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xml" ContentType="application/vnd.openxmlformats-officedocument.drawingml.chartshapes+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charts/chart17.xml" ContentType="application/vnd.openxmlformats-officedocument.drawingml.chart+xml"/>
  <Override PartName="/word/theme/themeOverride9.xml" ContentType="application/vnd.openxmlformats-officedocument.themeOverride+xml"/>
  <Override PartName="/word/charts/chart18.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word/theme/themeOverride11.xml" ContentType="application/vnd.openxmlformats-officedocument.themeOverride+xml"/>
  <Override PartName="/word/charts/chart20.xml" ContentType="application/vnd.openxmlformats-officedocument.drawingml.chart+xml"/>
  <Override PartName="/word/theme/themeOverride12.xml" ContentType="application/vnd.openxmlformats-officedocument.themeOverride+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7.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8.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9.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0.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1.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2.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3.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6.xml" ContentType="application/vnd.openxmlformats-officedocument.themeOverride+xml"/>
  <Override PartName="/word/charts/chart34.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7.xml" ContentType="application/vnd.openxmlformats-officedocument.themeOverride+xml"/>
  <Override PartName="/word/charts/chart35.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6.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8.xml" ContentType="application/vnd.openxmlformats-officedocument.themeOverride+xml"/>
  <Override PartName="/word/charts/chart37.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9.xml" ContentType="application/vnd.openxmlformats-officedocument.themeOverride+xml"/>
  <Override PartName="/word/charts/chart38.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0.xml" ContentType="application/vnd.openxmlformats-officedocument.themeOverride+xml"/>
  <Override PartName="/word/charts/chart3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1.xml" ContentType="application/vnd.openxmlformats-officedocument.themeOverride+xml"/>
  <Override PartName="/word/charts/chart4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2.xml" ContentType="application/vnd.openxmlformats-officedocument.themeOverride+xml"/>
  <Override PartName="/word/charts/chart41.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3.xml" ContentType="application/vnd.openxmlformats-officedocument.themeOverride+xml"/>
  <Override PartName="/word/charts/chart42.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4.xml" ContentType="application/vnd.openxmlformats-officedocument.themeOverride+xml"/>
  <Override PartName="/word/charts/chart4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5.xml" ContentType="application/vnd.openxmlformats-officedocument.themeOverride+xml"/>
  <Override PartName="/word/charts/chart4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6.xml" ContentType="application/vnd.openxmlformats-officedocument.themeOverride+xml"/>
  <Override PartName="/word/charts/chart45.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7.xml" ContentType="application/vnd.openxmlformats-officedocument.themeOverride+xml"/>
  <Override PartName="/word/charts/chart46.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8.xml" ContentType="application/vnd.openxmlformats-officedocument.themeOverride+xml"/>
  <Override PartName="/word/charts/chart47.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9.xml" ContentType="application/vnd.openxmlformats-officedocument.themeOverride+xml"/>
  <Override PartName="/word/charts/chart48.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0.xml" ContentType="application/vnd.openxmlformats-officedocument.themeOverride+xml"/>
  <Override PartName="/word/charts/chart49.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31.xml" ContentType="application/vnd.openxmlformats-officedocument.themeOverride+xml"/>
  <Override PartName="/word/charts/chart50.xml" ContentType="application/vnd.openxmlformats-officedocument.drawingml.chart+xml"/>
  <Override PartName="/word/theme/themeOverride32.xml" ContentType="application/vnd.openxmlformats-officedocument.themeOverride+xml"/>
  <Override PartName="/word/charts/chart51.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3.xml" ContentType="application/vnd.openxmlformats-officedocument.themeOverride+xml"/>
  <Override PartName="/word/charts/chart52.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4.xml" ContentType="application/vnd.openxmlformats-officedocument.themeOverride+xml"/>
  <Override PartName="/word/charts/chart53.xml" ContentType="application/vnd.openxmlformats-officedocument.drawingml.chart+xml"/>
  <Override PartName="/word/theme/themeOverride35.xml" ContentType="application/vnd.openxmlformats-officedocument.themeOverride+xml"/>
  <Override PartName="/word/drawings/drawing2.xml" ContentType="application/vnd.openxmlformats-officedocument.drawingml.chartshapes+xml"/>
  <Override PartName="/word/charts/chart54.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5.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6.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7.xml" ContentType="application/vnd.openxmlformats-officedocument.drawingml.chart+xml"/>
  <Override PartName="/word/charts/style49.xml" ContentType="application/vnd.ms-office.chartstyle+xml"/>
  <Override PartName="/word/charts/colors49.xml" ContentType="application/vnd.ms-office.chartcolorstyle+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2CE7C6" w14:textId="640F369F" w:rsidR="00930E12" w:rsidRPr="009C2B1A" w:rsidRDefault="00930E12" w:rsidP="3AFA5F37"/>
    <w:p w14:paraId="50C476EA" w14:textId="77777777" w:rsidR="00930E12" w:rsidRPr="009C2B1A" w:rsidRDefault="00930E12" w:rsidP="0012341A">
      <w:pPr>
        <w:suppressAutoHyphens/>
        <w:jc w:val="center"/>
      </w:pPr>
      <w:bookmarkStart w:id="0" w:name="_Hlk67307909"/>
    </w:p>
    <w:p w14:paraId="1C12BCA3" w14:textId="22D873D6" w:rsidR="00930E12" w:rsidRPr="009C2B1A" w:rsidRDefault="310185AC" w:rsidP="0012341A">
      <w:pPr>
        <w:suppressAutoHyphens/>
        <w:jc w:val="center"/>
      </w:pPr>
      <w:r>
        <w:rPr>
          <w:noProof/>
        </w:rPr>
        <w:drawing>
          <wp:inline distT="0" distB="0" distL="0" distR="0" wp14:anchorId="2A433500" wp14:editId="232F3FB1">
            <wp:extent cx="2185035" cy="647700"/>
            <wp:effectExtent l="0" t="0" r="5715" b="0"/>
            <wp:docPr id="16" name="Obraz 61" descr="XvAkZ_vE_400x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61"/>
                    <pic:cNvPicPr/>
                  </pic:nvPicPr>
                  <pic:blipFill>
                    <a:blip r:embed="rId12">
                      <a:extLst>
                        <a:ext uri="{28A0092B-C50C-407E-A947-70E740481C1C}">
                          <a14:useLocalDpi xmlns:a14="http://schemas.microsoft.com/office/drawing/2010/main" val="0"/>
                        </a:ext>
                      </a:extLst>
                    </a:blip>
                    <a:stretch>
                      <a:fillRect/>
                    </a:stretch>
                  </pic:blipFill>
                  <pic:spPr>
                    <a:xfrm>
                      <a:off x="0" y="0"/>
                      <a:ext cx="2185035" cy="647700"/>
                    </a:xfrm>
                    <a:prstGeom prst="rect">
                      <a:avLst/>
                    </a:prstGeom>
                  </pic:spPr>
                </pic:pic>
              </a:graphicData>
            </a:graphic>
          </wp:inline>
        </w:drawing>
      </w:r>
      <w:r w:rsidR="004F53D2" w:rsidRPr="7DD07ACE">
        <w:rPr>
          <w:rFonts w:ascii="Trebuchet MS" w:hAnsi="Trebuchet MS"/>
          <w:color w:val="1F497D" w:themeColor="text2"/>
        </w:rPr>
        <w:t xml:space="preserve"> </w:t>
      </w:r>
    </w:p>
    <w:p w14:paraId="15DB7396" w14:textId="77777777" w:rsidR="00930E12" w:rsidRPr="009C2B1A" w:rsidRDefault="00930E12" w:rsidP="00EA234C">
      <w:pPr>
        <w:suppressAutoHyphens/>
      </w:pPr>
    </w:p>
    <w:p w14:paraId="1EEE0814" w14:textId="77777777" w:rsidR="00930E12" w:rsidRPr="009C2B1A" w:rsidRDefault="00930E12" w:rsidP="00EA234C">
      <w:pPr>
        <w:suppressAutoHyphens/>
      </w:pPr>
    </w:p>
    <w:p w14:paraId="2CB89ECA" w14:textId="77777777" w:rsidR="00930E12" w:rsidRPr="009C2B1A" w:rsidRDefault="00930E12" w:rsidP="00EA234C">
      <w:pPr>
        <w:suppressAutoHyphens/>
      </w:pPr>
    </w:p>
    <w:p w14:paraId="41B075B6" w14:textId="77777777" w:rsidR="00930E12" w:rsidRPr="009C2B1A" w:rsidRDefault="00930E12" w:rsidP="00EA234C">
      <w:pPr>
        <w:suppressAutoHyphens/>
      </w:pPr>
    </w:p>
    <w:p w14:paraId="29A0A827" w14:textId="77777777" w:rsidR="00930E12" w:rsidRPr="009C2B1A" w:rsidRDefault="00930E12" w:rsidP="00EA234C">
      <w:pPr>
        <w:suppressAutoHyphens/>
      </w:pPr>
    </w:p>
    <w:p w14:paraId="135F9C43" w14:textId="77777777" w:rsidR="00930E12" w:rsidRPr="009C2B1A" w:rsidRDefault="00930E12" w:rsidP="00EA234C">
      <w:pPr>
        <w:suppressAutoHyphens/>
      </w:pPr>
    </w:p>
    <w:p w14:paraId="55FA83BD" w14:textId="77777777" w:rsidR="00930E12" w:rsidRPr="009C2B1A" w:rsidRDefault="00930E12" w:rsidP="00EA234C">
      <w:pPr>
        <w:suppressAutoHyphens/>
      </w:pPr>
    </w:p>
    <w:p w14:paraId="069CDBDB" w14:textId="77777777" w:rsidR="00930E12" w:rsidRPr="009C2B1A" w:rsidRDefault="00930E12" w:rsidP="00EA234C">
      <w:pPr>
        <w:suppressAutoHyphens/>
      </w:pPr>
    </w:p>
    <w:p w14:paraId="4AAB0D24" w14:textId="77777777" w:rsidR="00930E12" w:rsidRPr="00DF7789" w:rsidRDefault="00930E12" w:rsidP="00EA234C">
      <w:pPr>
        <w:suppressAutoHyphens/>
      </w:pPr>
    </w:p>
    <w:p w14:paraId="1F23FAD7" w14:textId="77777777" w:rsidR="00930E12" w:rsidRPr="00DF7789" w:rsidRDefault="00930E12" w:rsidP="0012341A">
      <w:pPr>
        <w:suppressAutoHyphens/>
        <w:jc w:val="center"/>
      </w:pPr>
    </w:p>
    <w:p w14:paraId="3329D51F" w14:textId="184F0A0F" w:rsidR="003D70D3" w:rsidRPr="005B79D4" w:rsidRDefault="00E12D84" w:rsidP="00CE57D6">
      <w:pPr>
        <w:pStyle w:val="Tytuplanu"/>
        <w:rPr>
          <w:b w:val="0"/>
          <w:bCs/>
          <w:i/>
          <w:iCs/>
        </w:rPr>
      </w:pPr>
      <w:bookmarkStart w:id="1" w:name="_Toc54269562"/>
      <w:bookmarkStart w:id="2" w:name="_Toc55815266"/>
      <w:bookmarkStart w:id="3" w:name="_Toc55856422"/>
      <w:r>
        <w:t xml:space="preserve">Projekt drugiej aktualizacji planu gospodarowania wodami </w:t>
      </w:r>
      <w:bookmarkEnd w:id="0"/>
      <w:r>
        <w:br/>
        <w:t>na obszarze dorzecza Pregoły</w:t>
      </w:r>
      <w:r w:rsidR="00930E12" w:rsidRPr="00AE5CEE">
        <w:br/>
      </w:r>
      <w:bookmarkEnd w:id="1"/>
      <w:bookmarkEnd w:id="2"/>
      <w:bookmarkEnd w:id="3"/>
    </w:p>
    <w:p w14:paraId="2B66AFB0" w14:textId="77777777" w:rsidR="00930E12" w:rsidRPr="0099345C" w:rsidRDefault="00930E12" w:rsidP="00EA234C">
      <w:pPr>
        <w:suppressAutoHyphens/>
        <w:rPr>
          <w:highlight w:val="yellow"/>
        </w:rPr>
      </w:pPr>
    </w:p>
    <w:p w14:paraId="36F81A2F" w14:textId="77777777" w:rsidR="00FE02F7" w:rsidRDefault="00FE02F7" w:rsidP="00EA234C">
      <w:pPr>
        <w:suppressAutoHyphens/>
        <w:spacing w:before="0" w:after="0"/>
        <w:jc w:val="left"/>
        <w:rPr>
          <w:highlight w:val="yellow"/>
        </w:rPr>
        <w:sectPr w:rsidR="00FE02F7" w:rsidSect="009D27B5">
          <w:headerReference w:type="default" r:id="rId13"/>
          <w:footerReference w:type="default" r:id="rId14"/>
          <w:headerReference w:type="first" r:id="rId15"/>
          <w:footerReference w:type="first" r:id="rId16"/>
          <w:pgSz w:w="11906" w:h="16838"/>
          <w:pgMar w:top="1417" w:right="1417" w:bottom="1417" w:left="1417" w:header="708" w:footer="708" w:gutter="0"/>
          <w:cols w:space="708"/>
          <w:titlePg/>
          <w:docGrid w:linePitch="360"/>
        </w:sectPr>
      </w:pPr>
    </w:p>
    <w:p w14:paraId="25180799" w14:textId="0F44C6D2" w:rsidR="00584651" w:rsidRPr="008255C2" w:rsidRDefault="008E59B7" w:rsidP="00F713C1">
      <w:pPr>
        <w:pStyle w:val="Tytuspisu"/>
        <w:rPr>
          <w:lang w:val="pl-PL"/>
        </w:rPr>
      </w:pPr>
      <w:r w:rsidRPr="008255C2">
        <w:rPr>
          <w:lang w:val="pl-PL"/>
        </w:rPr>
        <w:lastRenderedPageBreak/>
        <w:t>Spis treści</w:t>
      </w:r>
    </w:p>
    <w:p w14:paraId="59D794A4" w14:textId="0D3999A4" w:rsidR="006C4947" w:rsidRDefault="00BD3F83">
      <w:pPr>
        <w:pStyle w:val="Spistreci1"/>
        <w:rPr>
          <w:rFonts w:asciiTheme="minorHAnsi" w:eastAsiaTheme="minorEastAsia" w:hAnsiTheme="minorHAnsi" w:cstheme="minorBidi"/>
          <w:b w:val="0"/>
          <w:smallCaps w:val="0"/>
          <w:sz w:val="22"/>
          <w:szCs w:val="22"/>
          <w:lang w:eastAsia="pl-PL"/>
        </w:rPr>
      </w:pPr>
      <w:r>
        <w:rPr>
          <w:b w:val="0"/>
          <w:smallCaps w:val="0"/>
        </w:rPr>
        <w:fldChar w:fldCharType="begin"/>
      </w:r>
      <w:r>
        <w:rPr>
          <w:b w:val="0"/>
          <w:smallCaps w:val="0"/>
        </w:rPr>
        <w:instrText xml:space="preserve"> TOC \h \z \t "Nagłówek 1;1;Nagłówek 2;2;Nagłówek 3;3" </w:instrText>
      </w:r>
      <w:r>
        <w:rPr>
          <w:b w:val="0"/>
          <w:smallCaps w:val="0"/>
        </w:rPr>
        <w:fldChar w:fldCharType="separate"/>
      </w:r>
      <w:hyperlink w:anchor="_Toc68726830" w:history="1">
        <w:r w:rsidR="006C4947" w:rsidRPr="00FE6858">
          <w:rPr>
            <w:rStyle w:val="Hipercze"/>
          </w:rPr>
          <w:t>1</w:t>
        </w:r>
        <w:r w:rsidR="006C4947">
          <w:rPr>
            <w:rFonts w:asciiTheme="minorHAnsi" w:eastAsiaTheme="minorEastAsia" w:hAnsiTheme="minorHAnsi" w:cstheme="minorBidi"/>
            <w:b w:val="0"/>
            <w:smallCaps w:val="0"/>
            <w:sz w:val="22"/>
            <w:szCs w:val="22"/>
            <w:lang w:eastAsia="pl-PL"/>
          </w:rPr>
          <w:tab/>
        </w:r>
        <w:r w:rsidR="006C4947" w:rsidRPr="00FE6858">
          <w:rPr>
            <w:rStyle w:val="Hipercze"/>
          </w:rPr>
          <w:t>Wprowadzenie</w:t>
        </w:r>
        <w:r w:rsidR="006C4947">
          <w:rPr>
            <w:webHidden/>
          </w:rPr>
          <w:tab/>
        </w:r>
        <w:r w:rsidR="006C4947">
          <w:rPr>
            <w:webHidden/>
          </w:rPr>
          <w:fldChar w:fldCharType="begin"/>
        </w:r>
        <w:r w:rsidR="006C4947">
          <w:rPr>
            <w:webHidden/>
          </w:rPr>
          <w:instrText xml:space="preserve"> PAGEREF _Toc68726830 \h </w:instrText>
        </w:r>
        <w:r w:rsidR="006C4947">
          <w:rPr>
            <w:webHidden/>
          </w:rPr>
        </w:r>
        <w:r w:rsidR="006C4947">
          <w:rPr>
            <w:webHidden/>
          </w:rPr>
          <w:fldChar w:fldCharType="separate"/>
        </w:r>
        <w:r w:rsidR="006C4947">
          <w:rPr>
            <w:webHidden/>
          </w:rPr>
          <w:t>22</w:t>
        </w:r>
        <w:r w:rsidR="006C4947">
          <w:rPr>
            <w:webHidden/>
          </w:rPr>
          <w:fldChar w:fldCharType="end"/>
        </w:r>
      </w:hyperlink>
    </w:p>
    <w:p w14:paraId="3E6E40C7" w14:textId="284B7365" w:rsidR="006C4947" w:rsidRDefault="006C4947">
      <w:pPr>
        <w:pStyle w:val="Spistreci1"/>
        <w:rPr>
          <w:rFonts w:asciiTheme="minorHAnsi" w:eastAsiaTheme="minorEastAsia" w:hAnsiTheme="minorHAnsi" w:cstheme="minorBidi"/>
          <w:b w:val="0"/>
          <w:smallCaps w:val="0"/>
          <w:sz w:val="22"/>
          <w:szCs w:val="22"/>
          <w:lang w:eastAsia="pl-PL"/>
        </w:rPr>
      </w:pPr>
      <w:hyperlink w:anchor="_Toc68726831" w:history="1">
        <w:r w:rsidRPr="00FE6858">
          <w:rPr>
            <w:rStyle w:val="Hipercze"/>
          </w:rPr>
          <w:t>2</w:t>
        </w:r>
        <w:r>
          <w:rPr>
            <w:rFonts w:asciiTheme="minorHAnsi" w:eastAsiaTheme="minorEastAsia" w:hAnsiTheme="minorHAnsi" w:cstheme="minorBidi"/>
            <w:b w:val="0"/>
            <w:smallCaps w:val="0"/>
            <w:sz w:val="22"/>
            <w:szCs w:val="22"/>
            <w:lang w:eastAsia="pl-PL"/>
          </w:rPr>
          <w:tab/>
        </w:r>
        <w:r w:rsidRPr="00FE6858">
          <w:rPr>
            <w:rStyle w:val="Hipercze"/>
          </w:rPr>
          <w:t>Struktura dokumentu</w:t>
        </w:r>
        <w:r>
          <w:rPr>
            <w:webHidden/>
          </w:rPr>
          <w:tab/>
        </w:r>
        <w:r>
          <w:rPr>
            <w:webHidden/>
          </w:rPr>
          <w:fldChar w:fldCharType="begin"/>
        </w:r>
        <w:r>
          <w:rPr>
            <w:webHidden/>
          </w:rPr>
          <w:instrText xml:space="preserve"> PAGEREF _Toc68726831 \h </w:instrText>
        </w:r>
        <w:r>
          <w:rPr>
            <w:webHidden/>
          </w:rPr>
        </w:r>
        <w:r>
          <w:rPr>
            <w:webHidden/>
          </w:rPr>
          <w:fldChar w:fldCharType="separate"/>
        </w:r>
        <w:r>
          <w:rPr>
            <w:webHidden/>
          </w:rPr>
          <w:t>24</w:t>
        </w:r>
        <w:r>
          <w:rPr>
            <w:webHidden/>
          </w:rPr>
          <w:fldChar w:fldCharType="end"/>
        </w:r>
      </w:hyperlink>
    </w:p>
    <w:p w14:paraId="26B7ED08" w14:textId="040DDD6F" w:rsidR="006C4947" w:rsidRDefault="006C4947">
      <w:pPr>
        <w:pStyle w:val="Spistreci1"/>
        <w:rPr>
          <w:rFonts w:asciiTheme="minorHAnsi" w:eastAsiaTheme="minorEastAsia" w:hAnsiTheme="minorHAnsi" w:cstheme="minorBidi"/>
          <w:b w:val="0"/>
          <w:smallCaps w:val="0"/>
          <w:sz w:val="22"/>
          <w:szCs w:val="22"/>
          <w:lang w:eastAsia="pl-PL"/>
        </w:rPr>
      </w:pPr>
      <w:hyperlink w:anchor="_Toc68726832" w:history="1">
        <w:r w:rsidRPr="00FE6858">
          <w:rPr>
            <w:rStyle w:val="Hipercze"/>
          </w:rPr>
          <w:t>3</w:t>
        </w:r>
        <w:r>
          <w:rPr>
            <w:rFonts w:asciiTheme="minorHAnsi" w:eastAsiaTheme="minorEastAsia" w:hAnsiTheme="minorHAnsi" w:cstheme="minorBidi"/>
            <w:b w:val="0"/>
            <w:smallCaps w:val="0"/>
            <w:sz w:val="22"/>
            <w:szCs w:val="22"/>
            <w:lang w:eastAsia="pl-PL"/>
          </w:rPr>
          <w:tab/>
        </w:r>
        <w:r w:rsidRPr="00FE6858">
          <w:rPr>
            <w:rStyle w:val="Hipercze"/>
          </w:rPr>
          <w:t>Ogólny opis cech charakterystycznych obszaru dorzecza wraz z wykazem obszarów chronionych</w:t>
        </w:r>
        <w:r>
          <w:rPr>
            <w:webHidden/>
          </w:rPr>
          <w:tab/>
        </w:r>
        <w:r>
          <w:rPr>
            <w:webHidden/>
          </w:rPr>
          <w:fldChar w:fldCharType="begin"/>
        </w:r>
        <w:r>
          <w:rPr>
            <w:webHidden/>
          </w:rPr>
          <w:instrText xml:space="preserve"> PAGEREF _Toc68726832 \h </w:instrText>
        </w:r>
        <w:r>
          <w:rPr>
            <w:webHidden/>
          </w:rPr>
        </w:r>
        <w:r>
          <w:rPr>
            <w:webHidden/>
          </w:rPr>
          <w:fldChar w:fldCharType="separate"/>
        </w:r>
        <w:r>
          <w:rPr>
            <w:webHidden/>
          </w:rPr>
          <w:t>27</w:t>
        </w:r>
        <w:r>
          <w:rPr>
            <w:webHidden/>
          </w:rPr>
          <w:fldChar w:fldCharType="end"/>
        </w:r>
      </w:hyperlink>
    </w:p>
    <w:p w14:paraId="790D2478" w14:textId="000F1E8B" w:rsidR="006C4947" w:rsidRDefault="006C4947">
      <w:pPr>
        <w:pStyle w:val="Spistreci2"/>
        <w:rPr>
          <w:rFonts w:asciiTheme="minorHAnsi" w:eastAsiaTheme="minorEastAsia" w:hAnsiTheme="minorHAnsi" w:cstheme="minorBidi"/>
          <w:sz w:val="22"/>
          <w:szCs w:val="22"/>
          <w:lang w:eastAsia="pl-PL"/>
        </w:rPr>
      </w:pPr>
      <w:hyperlink w:anchor="_Toc68726833" w:history="1">
        <w:r w:rsidRPr="00FE6858">
          <w:rPr>
            <w:rStyle w:val="Hipercze"/>
          </w:rPr>
          <w:t>3.1</w:t>
        </w:r>
        <w:r>
          <w:rPr>
            <w:rFonts w:asciiTheme="minorHAnsi" w:eastAsiaTheme="minorEastAsia" w:hAnsiTheme="minorHAnsi" w:cstheme="minorBidi"/>
            <w:sz w:val="22"/>
            <w:szCs w:val="22"/>
            <w:lang w:eastAsia="pl-PL"/>
          </w:rPr>
          <w:tab/>
        </w:r>
        <w:r w:rsidRPr="00FE6858">
          <w:rPr>
            <w:rStyle w:val="Hipercze"/>
          </w:rPr>
          <w:t>Wykaz jcwp wraz z podaniem ich typów i ustalonych warunków referencyjnych oraz statusu</w:t>
        </w:r>
        <w:r>
          <w:rPr>
            <w:webHidden/>
          </w:rPr>
          <w:tab/>
        </w:r>
        <w:r>
          <w:rPr>
            <w:webHidden/>
          </w:rPr>
          <w:fldChar w:fldCharType="begin"/>
        </w:r>
        <w:r>
          <w:rPr>
            <w:webHidden/>
          </w:rPr>
          <w:instrText xml:space="preserve"> PAGEREF _Toc68726833 \h </w:instrText>
        </w:r>
        <w:r>
          <w:rPr>
            <w:webHidden/>
          </w:rPr>
        </w:r>
        <w:r>
          <w:rPr>
            <w:webHidden/>
          </w:rPr>
          <w:fldChar w:fldCharType="separate"/>
        </w:r>
        <w:r>
          <w:rPr>
            <w:webHidden/>
          </w:rPr>
          <w:t>31</w:t>
        </w:r>
        <w:r>
          <w:rPr>
            <w:webHidden/>
          </w:rPr>
          <w:fldChar w:fldCharType="end"/>
        </w:r>
      </w:hyperlink>
    </w:p>
    <w:p w14:paraId="083D0443" w14:textId="36756DAE" w:rsidR="006C4947" w:rsidRDefault="006C4947">
      <w:pPr>
        <w:pStyle w:val="Spistreci3"/>
        <w:rPr>
          <w:rFonts w:asciiTheme="minorHAnsi" w:eastAsiaTheme="minorEastAsia" w:hAnsiTheme="minorHAnsi" w:cstheme="minorBidi"/>
          <w:i w:val="0"/>
          <w:sz w:val="22"/>
          <w:szCs w:val="22"/>
          <w:lang w:eastAsia="pl-PL"/>
        </w:rPr>
      </w:pPr>
      <w:hyperlink w:anchor="_Toc68726834" w:history="1">
        <w:r w:rsidRPr="00FE6858">
          <w:rPr>
            <w:rStyle w:val="Hipercze"/>
          </w:rPr>
          <w:t>3.1.1</w:t>
        </w:r>
        <w:r>
          <w:rPr>
            <w:rFonts w:asciiTheme="minorHAnsi" w:eastAsiaTheme="minorEastAsia" w:hAnsiTheme="minorHAnsi" w:cstheme="minorBidi"/>
            <w:i w:val="0"/>
            <w:sz w:val="22"/>
            <w:szCs w:val="22"/>
            <w:lang w:eastAsia="pl-PL"/>
          </w:rPr>
          <w:tab/>
        </w:r>
        <w:r w:rsidRPr="00FE6858">
          <w:rPr>
            <w:rStyle w:val="Hipercze"/>
          </w:rPr>
          <w:t>Typologia jcwp</w:t>
        </w:r>
        <w:r>
          <w:rPr>
            <w:webHidden/>
          </w:rPr>
          <w:tab/>
        </w:r>
        <w:r>
          <w:rPr>
            <w:webHidden/>
          </w:rPr>
          <w:fldChar w:fldCharType="begin"/>
        </w:r>
        <w:r>
          <w:rPr>
            <w:webHidden/>
          </w:rPr>
          <w:instrText xml:space="preserve"> PAGEREF _Toc68726834 \h </w:instrText>
        </w:r>
        <w:r>
          <w:rPr>
            <w:webHidden/>
          </w:rPr>
        </w:r>
        <w:r>
          <w:rPr>
            <w:webHidden/>
          </w:rPr>
          <w:fldChar w:fldCharType="separate"/>
        </w:r>
        <w:r>
          <w:rPr>
            <w:webHidden/>
          </w:rPr>
          <w:t>32</w:t>
        </w:r>
        <w:r>
          <w:rPr>
            <w:webHidden/>
          </w:rPr>
          <w:fldChar w:fldCharType="end"/>
        </w:r>
      </w:hyperlink>
    </w:p>
    <w:p w14:paraId="27D92AC6" w14:textId="4AD1AAA0" w:rsidR="006C4947" w:rsidRDefault="006C4947">
      <w:pPr>
        <w:pStyle w:val="Spistreci3"/>
        <w:rPr>
          <w:rFonts w:asciiTheme="minorHAnsi" w:eastAsiaTheme="minorEastAsia" w:hAnsiTheme="minorHAnsi" w:cstheme="minorBidi"/>
          <w:i w:val="0"/>
          <w:sz w:val="22"/>
          <w:szCs w:val="22"/>
          <w:lang w:eastAsia="pl-PL"/>
        </w:rPr>
      </w:pPr>
      <w:hyperlink w:anchor="_Toc68726835" w:history="1">
        <w:r w:rsidRPr="00FE6858">
          <w:rPr>
            <w:rStyle w:val="Hipercze"/>
          </w:rPr>
          <w:t>3.1.2</w:t>
        </w:r>
        <w:r>
          <w:rPr>
            <w:rFonts w:asciiTheme="minorHAnsi" w:eastAsiaTheme="minorEastAsia" w:hAnsiTheme="minorHAnsi" w:cstheme="minorBidi"/>
            <w:i w:val="0"/>
            <w:sz w:val="22"/>
            <w:szCs w:val="22"/>
            <w:lang w:eastAsia="pl-PL"/>
          </w:rPr>
          <w:tab/>
        </w:r>
        <w:r w:rsidRPr="00FE6858">
          <w:rPr>
            <w:rStyle w:val="Hipercze"/>
          </w:rPr>
          <w:t>Status jcwp</w:t>
        </w:r>
        <w:r>
          <w:rPr>
            <w:webHidden/>
          </w:rPr>
          <w:tab/>
        </w:r>
        <w:r>
          <w:rPr>
            <w:webHidden/>
          </w:rPr>
          <w:fldChar w:fldCharType="begin"/>
        </w:r>
        <w:r>
          <w:rPr>
            <w:webHidden/>
          </w:rPr>
          <w:instrText xml:space="preserve"> PAGEREF _Toc68726835 \h </w:instrText>
        </w:r>
        <w:r>
          <w:rPr>
            <w:webHidden/>
          </w:rPr>
        </w:r>
        <w:r>
          <w:rPr>
            <w:webHidden/>
          </w:rPr>
          <w:fldChar w:fldCharType="separate"/>
        </w:r>
        <w:r>
          <w:rPr>
            <w:webHidden/>
          </w:rPr>
          <w:t>35</w:t>
        </w:r>
        <w:r>
          <w:rPr>
            <w:webHidden/>
          </w:rPr>
          <w:fldChar w:fldCharType="end"/>
        </w:r>
      </w:hyperlink>
    </w:p>
    <w:p w14:paraId="514ABCC1" w14:textId="6CCF2314" w:rsidR="006C4947" w:rsidRDefault="006C4947">
      <w:pPr>
        <w:pStyle w:val="Spistreci2"/>
        <w:rPr>
          <w:rFonts w:asciiTheme="minorHAnsi" w:eastAsiaTheme="minorEastAsia" w:hAnsiTheme="minorHAnsi" w:cstheme="minorBidi"/>
          <w:sz w:val="22"/>
          <w:szCs w:val="22"/>
          <w:lang w:eastAsia="pl-PL"/>
        </w:rPr>
      </w:pPr>
      <w:hyperlink w:anchor="_Toc68726836" w:history="1">
        <w:r w:rsidRPr="00FE6858">
          <w:rPr>
            <w:rStyle w:val="Hipercze"/>
          </w:rPr>
          <w:t>3.2</w:t>
        </w:r>
        <w:r>
          <w:rPr>
            <w:rFonts w:asciiTheme="minorHAnsi" w:eastAsiaTheme="minorEastAsia" w:hAnsiTheme="minorHAnsi" w:cstheme="minorBidi"/>
            <w:sz w:val="22"/>
            <w:szCs w:val="22"/>
            <w:lang w:eastAsia="pl-PL"/>
          </w:rPr>
          <w:tab/>
        </w:r>
        <w:r w:rsidRPr="00FE6858">
          <w:rPr>
            <w:rStyle w:val="Hipercze"/>
          </w:rPr>
          <w:t>Wykaz jcwpd</w:t>
        </w:r>
        <w:r>
          <w:rPr>
            <w:webHidden/>
          </w:rPr>
          <w:tab/>
        </w:r>
        <w:r>
          <w:rPr>
            <w:webHidden/>
          </w:rPr>
          <w:fldChar w:fldCharType="begin"/>
        </w:r>
        <w:r>
          <w:rPr>
            <w:webHidden/>
          </w:rPr>
          <w:instrText xml:space="preserve"> PAGEREF _Toc68726836 \h </w:instrText>
        </w:r>
        <w:r>
          <w:rPr>
            <w:webHidden/>
          </w:rPr>
        </w:r>
        <w:r>
          <w:rPr>
            <w:webHidden/>
          </w:rPr>
          <w:fldChar w:fldCharType="separate"/>
        </w:r>
        <w:r>
          <w:rPr>
            <w:webHidden/>
          </w:rPr>
          <w:t>38</w:t>
        </w:r>
        <w:r>
          <w:rPr>
            <w:webHidden/>
          </w:rPr>
          <w:fldChar w:fldCharType="end"/>
        </w:r>
      </w:hyperlink>
    </w:p>
    <w:p w14:paraId="3B381540" w14:textId="5523FF1A" w:rsidR="006C4947" w:rsidRDefault="006C4947">
      <w:pPr>
        <w:pStyle w:val="Spistreci2"/>
        <w:rPr>
          <w:rFonts w:asciiTheme="minorHAnsi" w:eastAsiaTheme="minorEastAsia" w:hAnsiTheme="minorHAnsi" w:cstheme="minorBidi"/>
          <w:sz w:val="22"/>
          <w:szCs w:val="22"/>
          <w:lang w:eastAsia="pl-PL"/>
        </w:rPr>
      </w:pPr>
      <w:hyperlink w:anchor="_Toc68726837" w:history="1">
        <w:r w:rsidRPr="00FE6858">
          <w:rPr>
            <w:rStyle w:val="Hipercze"/>
          </w:rPr>
          <w:t>3.3</w:t>
        </w:r>
        <w:r>
          <w:rPr>
            <w:rFonts w:asciiTheme="minorHAnsi" w:eastAsiaTheme="minorEastAsia" w:hAnsiTheme="minorHAnsi" w:cstheme="minorBidi"/>
            <w:sz w:val="22"/>
            <w:szCs w:val="22"/>
            <w:lang w:eastAsia="pl-PL"/>
          </w:rPr>
          <w:tab/>
        </w:r>
        <w:r w:rsidRPr="00FE6858">
          <w:rPr>
            <w:rStyle w:val="Hipercze"/>
          </w:rPr>
          <w:t>Wykaz obszarów chronionych, o których mowa w art. 317 ust. 4 ustawy Prawo wodne</w:t>
        </w:r>
        <w:r>
          <w:rPr>
            <w:webHidden/>
          </w:rPr>
          <w:tab/>
        </w:r>
        <w:r>
          <w:rPr>
            <w:webHidden/>
          </w:rPr>
          <w:fldChar w:fldCharType="begin"/>
        </w:r>
        <w:r>
          <w:rPr>
            <w:webHidden/>
          </w:rPr>
          <w:instrText xml:space="preserve"> PAGEREF _Toc68726837 \h </w:instrText>
        </w:r>
        <w:r>
          <w:rPr>
            <w:webHidden/>
          </w:rPr>
        </w:r>
        <w:r>
          <w:rPr>
            <w:webHidden/>
          </w:rPr>
          <w:fldChar w:fldCharType="separate"/>
        </w:r>
        <w:r>
          <w:rPr>
            <w:webHidden/>
          </w:rPr>
          <w:t>39</w:t>
        </w:r>
        <w:r>
          <w:rPr>
            <w:webHidden/>
          </w:rPr>
          <w:fldChar w:fldCharType="end"/>
        </w:r>
      </w:hyperlink>
    </w:p>
    <w:p w14:paraId="7194099F" w14:textId="2C74B635" w:rsidR="006C4947" w:rsidRDefault="006C4947">
      <w:pPr>
        <w:pStyle w:val="Spistreci3"/>
        <w:rPr>
          <w:rFonts w:asciiTheme="minorHAnsi" w:eastAsiaTheme="minorEastAsia" w:hAnsiTheme="minorHAnsi" w:cstheme="minorBidi"/>
          <w:i w:val="0"/>
          <w:sz w:val="22"/>
          <w:szCs w:val="22"/>
          <w:lang w:eastAsia="pl-PL"/>
        </w:rPr>
      </w:pPr>
      <w:hyperlink w:anchor="_Toc68726838" w:history="1">
        <w:r w:rsidRPr="00FE6858">
          <w:rPr>
            <w:rStyle w:val="Hipercze"/>
          </w:rPr>
          <w:t>3.3.1</w:t>
        </w:r>
        <w:r>
          <w:rPr>
            <w:rFonts w:asciiTheme="minorHAnsi" w:eastAsiaTheme="minorEastAsia" w:hAnsiTheme="minorHAnsi" w:cstheme="minorBidi"/>
            <w:i w:val="0"/>
            <w:sz w:val="22"/>
            <w:szCs w:val="22"/>
            <w:lang w:eastAsia="pl-PL"/>
          </w:rPr>
          <w:tab/>
        </w:r>
        <w:r w:rsidRPr="00FE6858">
          <w:rPr>
            <w:rStyle w:val="Hipercze"/>
          </w:rPr>
          <w:t>Jcw przeznaczone do poboru wody na potrzeby zaopatrzenia ludności w wodę przeznaczoną do spożycia przez ludzi, o których mowa w art. 71 ustawy Prawo wodne</w:t>
        </w:r>
        <w:r>
          <w:rPr>
            <w:webHidden/>
          </w:rPr>
          <w:tab/>
        </w:r>
        <w:r>
          <w:rPr>
            <w:webHidden/>
          </w:rPr>
          <w:fldChar w:fldCharType="begin"/>
        </w:r>
        <w:r>
          <w:rPr>
            <w:webHidden/>
          </w:rPr>
          <w:instrText xml:space="preserve"> PAGEREF _Toc68726838 \h </w:instrText>
        </w:r>
        <w:r>
          <w:rPr>
            <w:webHidden/>
          </w:rPr>
        </w:r>
        <w:r>
          <w:rPr>
            <w:webHidden/>
          </w:rPr>
          <w:fldChar w:fldCharType="separate"/>
        </w:r>
        <w:r>
          <w:rPr>
            <w:webHidden/>
          </w:rPr>
          <w:t>39</w:t>
        </w:r>
        <w:r>
          <w:rPr>
            <w:webHidden/>
          </w:rPr>
          <w:fldChar w:fldCharType="end"/>
        </w:r>
      </w:hyperlink>
    </w:p>
    <w:p w14:paraId="5741FCA4" w14:textId="3F3059FE" w:rsidR="006C4947" w:rsidRDefault="006C4947">
      <w:pPr>
        <w:pStyle w:val="Spistreci3"/>
        <w:rPr>
          <w:rFonts w:asciiTheme="minorHAnsi" w:eastAsiaTheme="minorEastAsia" w:hAnsiTheme="minorHAnsi" w:cstheme="minorBidi"/>
          <w:i w:val="0"/>
          <w:sz w:val="22"/>
          <w:szCs w:val="22"/>
          <w:lang w:eastAsia="pl-PL"/>
        </w:rPr>
      </w:pPr>
      <w:hyperlink w:anchor="_Toc68726839" w:history="1">
        <w:r w:rsidRPr="00FE6858">
          <w:rPr>
            <w:rStyle w:val="Hipercze"/>
          </w:rPr>
          <w:t>3.3.2</w:t>
        </w:r>
        <w:r>
          <w:rPr>
            <w:rFonts w:asciiTheme="minorHAnsi" w:eastAsiaTheme="minorEastAsia" w:hAnsiTheme="minorHAnsi" w:cstheme="minorBidi"/>
            <w:i w:val="0"/>
            <w:sz w:val="22"/>
            <w:szCs w:val="22"/>
            <w:lang w:eastAsia="pl-PL"/>
          </w:rPr>
          <w:tab/>
        </w:r>
        <w:r w:rsidRPr="00FE6858">
          <w:rPr>
            <w:rStyle w:val="Hipercze"/>
          </w:rPr>
          <w:t>Jcw przeznaczone do celów rekreacyjnych, w tym kąpieliskowych</w:t>
        </w:r>
        <w:r>
          <w:rPr>
            <w:webHidden/>
          </w:rPr>
          <w:tab/>
        </w:r>
        <w:r>
          <w:rPr>
            <w:webHidden/>
          </w:rPr>
          <w:fldChar w:fldCharType="begin"/>
        </w:r>
        <w:r>
          <w:rPr>
            <w:webHidden/>
          </w:rPr>
          <w:instrText xml:space="preserve"> PAGEREF _Toc68726839 \h </w:instrText>
        </w:r>
        <w:r>
          <w:rPr>
            <w:webHidden/>
          </w:rPr>
        </w:r>
        <w:r>
          <w:rPr>
            <w:webHidden/>
          </w:rPr>
          <w:fldChar w:fldCharType="separate"/>
        </w:r>
        <w:r>
          <w:rPr>
            <w:webHidden/>
          </w:rPr>
          <w:t>40</w:t>
        </w:r>
        <w:r>
          <w:rPr>
            <w:webHidden/>
          </w:rPr>
          <w:fldChar w:fldCharType="end"/>
        </w:r>
      </w:hyperlink>
    </w:p>
    <w:p w14:paraId="1985FE5D" w14:textId="212EBD72" w:rsidR="006C4947" w:rsidRDefault="006C4947">
      <w:pPr>
        <w:pStyle w:val="Spistreci3"/>
        <w:rPr>
          <w:rFonts w:asciiTheme="minorHAnsi" w:eastAsiaTheme="minorEastAsia" w:hAnsiTheme="minorHAnsi" w:cstheme="minorBidi"/>
          <w:i w:val="0"/>
          <w:sz w:val="22"/>
          <w:szCs w:val="22"/>
          <w:lang w:eastAsia="pl-PL"/>
        </w:rPr>
      </w:pPr>
      <w:hyperlink w:anchor="_Toc68726840" w:history="1">
        <w:r w:rsidRPr="00FE6858">
          <w:rPr>
            <w:rStyle w:val="Hipercze"/>
          </w:rPr>
          <w:t>3.3.3</w:t>
        </w:r>
        <w:r>
          <w:rPr>
            <w:rFonts w:asciiTheme="minorHAnsi" w:eastAsiaTheme="minorEastAsia" w:hAnsiTheme="minorHAnsi" w:cstheme="minorBidi"/>
            <w:i w:val="0"/>
            <w:sz w:val="22"/>
            <w:szCs w:val="22"/>
            <w:lang w:eastAsia="pl-PL"/>
          </w:rPr>
          <w:tab/>
        </w:r>
        <w:r w:rsidRPr="00FE6858">
          <w:rPr>
            <w:rStyle w:val="Hipercze"/>
          </w:rPr>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Pr>
            <w:webHidden/>
          </w:rPr>
          <w:tab/>
        </w:r>
        <w:r>
          <w:rPr>
            <w:webHidden/>
          </w:rPr>
          <w:fldChar w:fldCharType="begin"/>
        </w:r>
        <w:r>
          <w:rPr>
            <w:webHidden/>
          </w:rPr>
          <w:instrText xml:space="preserve"> PAGEREF _Toc68726840 \h </w:instrText>
        </w:r>
        <w:r>
          <w:rPr>
            <w:webHidden/>
          </w:rPr>
        </w:r>
        <w:r>
          <w:rPr>
            <w:webHidden/>
          </w:rPr>
          <w:fldChar w:fldCharType="separate"/>
        </w:r>
        <w:r>
          <w:rPr>
            <w:webHidden/>
          </w:rPr>
          <w:t>40</w:t>
        </w:r>
        <w:r>
          <w:rPr>
            <w:webHidden/>
          </w:rPr>
          <w:fldChar w:fldCharType="end"/>
        </w:r>
      </w:hyperlink>
    </w:p>
    <w:p w14:paraId="447C0702" w14:textId="261213D7" w:rsidR="006C4947" w:rsidRDefault="006C4947">
      <w:pPr>
        <w:pStyle w:val="Spistreci3"/>
        <w:rPr>
          <w:rFonts w:asciiTheme="minorHAnsi" w:eastAsiaTheme="minorEastAsia" w:hAnsiTheme="minorHAnsi" w:cstheme="minorBidi"/>
          <w:i w:val="0"/>
          <w:sz w:val="22"/>
          <w:szCs w:val="22"/>
          <w:lang w:eastAsia="pl-PL"/>
        </w:rPr>
      </w:pPr>
      <w:hyperlink w:anchor="_Toc68726841" w:history="1">
        <w:r w:rsidRPr="00FE6858">
          <w:rPr>
            <w:rStyle w:val="Hipercze"/>
          </w:rPr>
          <w:t>3.3.4</w:t>
        </w:r>
        <w:r>
          <w:rPr>
            <w:rFonts w:asciiTheme="minorHAnsi" w:eastAsiaTheme="minorEastAsia" w:hAnsiTheme="minorHAnsi" w:cstheme="minorBidi"/>
            <w:i w:val="0"/>
            <w:sz w:val="22"/>
            <w:szCs w:val="22"/>
            <w:lang w:eastAsia="pl-PL"/>
          </w:rPr>
          <w:tab/>
        </w:r>
        <w:r w:rsidRPr="00FE6858">
          <w:rPr>
            <w:rStyle w:val="Hipercze"/>
          </w:rPr>
          <w:t>Obszary przeznaczone do ochrony siedlisk lub gatunków, o których mowa w przepisach ustawy z dnia 16 kwietnia 2004 r. o ochronie przyrody, dla których utrzymanie lub poprawa stanu wód jest ważnym czynnikiem w ich ochronie</w:t>
        </w:r>
        <w:r>
          <w:rPr>
            <w:webHidden/>
          </w:rPr>
          <w:tab/>
        </w:r>
        <w:r>
          <w:rPr>
            <w:webHidden/>
          </w:rPr>
          <w:fldChar w:fldCharType="begin"/>
        </w:r>
        <w:r>
          <w:rPr>
            <w:webHidden/>
          </w:rPr>
          <w:instrText xml:space="preserve"> PAGEREF _Toc68726841 \h </w:instrText>
        </w:r>
        <w:r>
          <w:rPr>
            <w:webHidden/>
          </w:rPr>
        </w:r>
        <w:r>
          <w:rPr>
            <w:webHidden/>
          </w:rPr>
          <w:fldChar w:fldCharType="separate"/>
        </w:r>
        <w:r>
          <w:rPr>
            <w:webHidden/>
          </w:rPr>
          <w:t>40</w:t>
        </w:r>
        <w:r>
          <w:rPr>
            <w:webHidden/>
          </w:rPr>
          <w:fldChar w:fldCharType="end"/>
        </w:r>
      </w:hyperlink>
    </w:p>
    <w:p w14:paraId="6525ADAB" w14:textId="016EAD34" w:rsidR="006C4947" w:rsidRDefault="006C4947">
      <w:pPr>
        <w:pStyle w:val="Spistreci3"/>
        <w:rPr>
          <w:rFonts w:asciiTheme="minorHAnsi" w:eastAsiaTheme="minorEastAsia" w:hAnsiTheme="minorHAnsi" w:cstheme="minorBidi"/>
          <w:i w:val="0"/>
          <w:sz w:val="22"/>
          <w:szCs w:val="22"/>
          <w:lang w:eastAsia="pl-PL"/>
        </w:rPr>
      </w:pPr>
      <w:hyperlink w:anchor="_Toc68726842" w:history="1">
        <w:r w:rsidRPr="00FE6858">
          <w:rPr>
            <w:rStyle w:val="Hipercze"/>
          </w:rPr>
          <w:t>3.3.5</w:t>
        </w:r>
        <w:r>
          <w:rPr>
            <w:rFonts w:asciiTheme="minorHAnsi" w:eastAsiaTheme="minorEastAsia" w:hAnsiTheme="minorHAnsi" w:cstheme="minorBidi"/>
            <w:i w:val="0"/>
            <w:sz w:val="22"/>
            <w:szCs w:val="22"/>
            <w:lang w:eastAsia="pl-PL"/>
          </w:rPr>
          <w:tab/>
        </w:r>
        <w:r w:rsidRPr="00FE6858">
          <w:rPr>
            <w:rStyle w:val="Hipercze"/>
          </w:rPr>
          <w:t>Obszary przeznaczone do ochrony gatunków zwierząt wodnych o znaczeniu gospodarczym</w:t>
        </w:r>
        <w:r>
          <w:rPr>
            <w:webHidden/>
          </w:rPr>
          <w:tab/>
        </w:r>
        <w:r>
          <w:rPr>
            <w:webHidden/>
          </w:rPr>
          <w:fldChar w:fldCharType="begin"/>
        </w:r>
        <w:r>
          <w:rPr>
            <w:webHidden/>
          </w:rPr>
          <w:instrText xml:space="preserve"> PAGEREF _Toc68726842 \h </w:instrText>
        </w:r>
        <w:r>
          <w:rPr>
            <w:webHidden/>
          </w:rPr>
        </w:r>
        <w:r>
          <w:rPr>
            <w:webHidden/>
          </w:rPr>
          <w:fldChar w:fldCharType="separate"/>
        </w:r>
        <w:r>
          <w:rPr>
            <w:webHidden/>
          </w:rPr>
          <w:t>41</w:t>
        </w:r>
        <w:r>
          <w:rPr>
            <w:webHidden/>
          </w:rPr>
          <w:fldChar w:fldCharType="end"/>
        </w:r>
      </w:hyperlink>
    </w:p>
    <w:p w14:paraId="71846012" w14:textId="4B95AADC" w:rsidR="006C4947" w:rsidRDefault="006C4947">
      <w:pPr>
        <w:pStyle w:val="Spistreci1"/>
        <w:rPr>
          <w:rFonts w:asciiTheme="minorHAnsi" w:eastAsiaTheme="minorEastAsia" w:hAnsiTheme="minorHAnsi" w:cstheme="minorBidi"/>
          <w:b w:val="0"/>
          <w:smallCaps w:val="0"/>
          <w:sz w:val="22"/>
          <w:szCs w:val="22"/>
          <w:lang w:eastAsia="pl-PL"/>
        </w:rPr>
      </w:pPr>
      <w:hyperlink w:anchor="_Toc68726843" w:history="1">
        <w:r w:rsidRPr="00FE6858">
          <w:rPr>
            <w:rStyle w:val="Hipercze"/>
          </w:rPr>
          <w:t>4</w:t>
        </w:r>
        <w:r>
          <w:rPr>
            <w:rFonts w:asciiTheme="minorHAnsi" w:eastAsiaTheme="minorEastAsia" w:hAnsiTheme="minorHAnsi" w:cstheme="minorBidi"/>
            <w:b w:val="0"/>
            <w:smallCaps w:val="0"/>
            <w:sz w:val="22"/>
            <w:szCs w:val="22"/>
            <w:lang w:eastAsia="pl-PL"/>
          </w:rPr>
          <w:tab/>
        </w:r>
        <w:r w:rsidRPr="00FE6858">
          <w:rPr>
            <w:rStyle w:val="Hipercze"/>
          </w:rPr>
          <w:t>Informacje dotyczące prognozowanych zmian klimatu</w:t>
        </w:r>
        <w:r>
          <w:rPr>
            <w:webHidden/>
          </w:rPr>
          <w:tab/>
        </w:r>
        <w:r>
          <w:rPr>
            <w:webHidden/>
          </w:rPr>
          <w:fldChar w:fldCharType="begin"/>
        </w:r>
        <w:r>
          <w:rPr>
            <w:webHidden/>
          </w:rPr>
          <w:instrText xml:space="preserve"> PAGEREF _Toc68726843 \h </w:instrText>
        </w:r>
        <w:r>
          <w:rPr>
            <w:webHidden/>
          </w:rPr>
        </w:r>
        <w:r>
          <w:rPr>
            <w:webHidden/>
          </w:rPr>
          <w:fldChar w:fldCharType="separate"/>
        </w:r>
        <w:r>
          <w:rPr>
            <w:webHidden/>
          </w:rPr>
          <w:t>42</w:t>
        </w:r>
        <w:r>
          <w:rPr>
            <w:webHidden/>
          </w:rPr>
          <w:fldChar w:fldCharType="end"/>
        </w:r>
      </w:hyperlink>
    </w:p>
    <w:p w14:paraId="7E668267" w14:textId="4B9F2CD1" w:rsidR="006C4947" w:rsidRDefault="006C4947">
      <w:pPr>
        <w:pStyle w:val="Spistreci1"/>
        <w:rPr>
          <w:rFonts w:asciiTheme="minorHAnsi" w:eastAsiaTheme="minorEastAsia" w:hAnsiTheme="minorHAnsi" w:cstheme="minorBidi"/>
          <w:b w:val="0"/>
          <w:smallCaps w:val="0"/>
          <w:sz w:val="22"/>
          <w:szCs w:val="22"/>
          <w:lang w:eastAsia="pl-PL"/>
        </w:rPr>
      </w:pPr>
      <w:hyperlink w:anchor="_Toc68726844" w:history="1">
        <w:r w:rsidRPr="00FE6858">
          <w:rPr>
            <w:rStyle w:val="Hipercze"/>
          </w:rPr>
          <w:t>5</w:t>
        </w:r>
        <w:r>
          <w:rPr>
            <w:rFonts w:asciiTheme="minorHAnsi" w:eastAsiaTheme="minorEastAsia" w:hAnsiTheme="minorHAnsi" w:cstheme="minorBidi"/>
            <w:b w:val="0"/>
            <w:smallCaps w:val="0"/>
            <w:sz w:val="22"/>
            <w:szCs w:val="22"/>
            <w:lang w:eastAsia="pl-PL"/>
          </w:rPr>
          <w:tab/>
        </w:r>
        <w:r w:rsidRPr="00FE6858">
          <w:rPr>
            <w:rStyle w:val="Hipercze"/>
          </w:rPr>
          <w:t>Monitoring wód</w:t>
        </w:r>
        <w:r>
          <w:rPr>
            <w:webHidden/>
          </w:rPr>
          <w:tab/>
        </w:r>
        <w:r>
          <w:rPr>
            <w:webHidden/>
          </w:rPr>
          <w:fldChar w:fldCharType="begin"/>
        </w:r>
        <w:r>
          <w:rPr>
            <w:webHidden/>
          </w:rPr>
          <w:instrText xml:space="preserve"> PAGEREF _Toc68726844 \h </w:instrText>
        </w:r>
        <w:r>
          <w:rPr>
            <w:webHidden/>
          </w:rPr>
        </w:r>
        <w:r>
          <w:rPr>
            <w:webHidden/>
          </w:rPr>
          <w:fldChar w:fldCharType="separate"/>
        </w:r>
        <w:r>
          <w:rPr>
            <w:webHidden/>
          </w:rPr>
          <w:t>48</w:t>
        </w:r>
        <w:r>
          <w:rPr>
            <w:webHidden/>
          </w:rPr>
          <w:fldChar w:fldCharType="end"/>
        </w:r>
      </w:hyperlink>
    </w:p>
    <w:p w14:paraId="3DA5B0F7" w14:textId="0C591F99" w:rsidR="006C4947" w:rsidRDefault="006C4947">
      <w:pPr>
        <w:pStyle w:val="Spistreci2"/>
        <w:rPr>
          <w:rFonts w:asciiTheme="minorHAnsi" w:eastAsiaTheme="minorEastAsia" w:hAnsiTheme="minorHAnsi" w:cstheme="minorBidi"/>
          <w:sz w:val="22"/>
          <w:szCs w:val="22"/>
          <w:lang w:eastAsia="pl-PL"/>
        </w:rPr>
      </w:pPr>
      <w:hyperlink w:anchor="_Toc68726845" w:history="1">
        <w:r w:rsidRPr="00FE6858">
          <w:rPr>
            <w:rStyle w:val="Hipercze"/>
          </w:rPr>
          <w:t>5.1</w:t>
        </w:r>
        <w:r>
          <w:rPr>
            <w:rFonts w:asciiTheme="minorHAnsi" w:eastAsiaTheme="minorEastAsia" w:hAnsiTheme="minorHAnsi" w:cstheme="minorBidi"/>
            <w:sz w:val="22"/>
            <w:szCs w:val="22"/>
            <w:lang w:eastAsia="pl-PL"/>
          </w:rPr>
          <w:tab/>
        </w:r>
        <w:r w:rsidRPr="00FE6858">
          <w:rPr>
            <w:rStyle w:val="Hipercze"/>
          </w:rPr>
          <w:t>Wody powierzchniowe</w:t>
        </w:r>
        <w:r>
          <w:rPr>
            <w:webHidden/>
          </w:rPr>
          <w:tab/>
        </w:r>
        <w:r>
          <w:rPr>
            <w:webHidden/>
          </w:rPr>
          <w:fldChar w:fldCharType="begin"/>
        </w:r>
        <w:r>
          <w:rPr>
            <w:webHidden/>
          </w:rPr>
          <w:instrText xml:space="preserve"> PAGEREF _Toc68726845 \h </w:instrText>
        </w:r>
        <w:r>
          <w:rPr>
            <w:webHidden/>
          </w:rPr>
        </w:r>
        <w:r>
          <w:rPr>
            <w:webHidden/>
          </w:rPr>
          <w:fldChar w:fldCharType="separate"/>
        </w:r>
        <w:r>
          <w:rPr>
            <w:webHidden/>
          </w:rPr>
          <w:t>49</w:t>
        </w:r>
        <w:r>
          <w:rPr>
            <w:webHidden/>
          </w:rPr>
          <w:fldChar w:fldCharType="end"/>
        </w:r>
      </w:hyperlink>
    </w:p>
    <w:p w14:paraId="1882BDD6" w14:textId="2B418CEC" w:rsidR="006C4947" w:rsidRDefault="006C4947">
      <w:pPr>
        <w:pStyle w:val="Spistreci3"/>
        <w:rPr>
          <w:rFonts w:asciiTheme="minorHAnsi" w:eastAsiaTheme="minorEastAsia" w:hAnsiTheme="minorHAnsi" w:cstheme="minorBidi"/>
          <w:i w:val="0"/>
          <w:sz w:val="22"/>
          <w:szCs w:val="22"/>
          <w:lang w:eastAsia="pl-PL"/>
        </w:rPr>
      </w:pPr>
      <w:hyperlink w:anchor="_Toc68726846" w:history="1">
        <w:r w:rsidRPr="00FE6858">
          <w:rPr>
            <w:rStyle w:val="Hipercze"/>
          </w:rPr>
          <w:t>5.1.1</w:t>
        </w:r>
        <w:r>
          <w:rPr>
            <w:rFonts w:asciiTheme="minorHAnsi" w:eastAsiaTheme="minorEastAsia" w:hAnsiTheme="minorHAnsi" w:cstheme="minorBidi"/>
            <w:i w:val="0"/>
            <w:sz w:val="22"/>
            <w:szCs w:val="22"/>
            <w:lang w:eastAsia="pl-PL"/>
          </w:rPr>
          <w:tab/>
        </w:r>
        <w:r w:rsidRPr="00FE6858">
          <w:rPr>
            <w:rStyle w:val="Hipercze"/>
          </w:rPr>
          <w:t>Monitoring wód powierzchniowych</w:t>
        </w:r>
        <w:r>
          <w:rPr>
            <w:webHidden/>
          </w:rPr>
          <w:tab/>
        </w:r>
        <w:r>
          <w:rPr>
            <w:webHidden/>
          </w:rPr>
          <w:fldChar w:fldCharType="begin"/>
        </w:r>
        <w:r>
          <w:rPr>
            <w:webHidden/>
          </w:rPr>
          <w:instrText xml:space="preserve"> PAGEREF _Toc68726846 \h </w:instrText>
        </w:r>
        <w:r>
          <w:rPr>
            <w:webHidden/>
          </w:rPr>
        </w:r>
        <w:r>
          <w:rPr>
            <w:webHidden/>
          </w:rPr>
          <w:fldChar w:fldCharType="separate"/>
        </w:r>
        <w:r>
          <w:rPr>
            <w:webHidden/>
          </w:rPr>
          <w:t>49</w:t>
        </w:r>
        <w:r>
          <w:rPr>
            <w:webHidden/>
          </w:rPr>
          <w:fldChar w:fldCharType="end"/>
        </w:r>
      </w:hyperlink>
    </w:p>
    <w:p w14:paraId="6AB986DE" w14:textId="581492A4" w:rsidR="006C4947" w:rsidRDefault="006C4947">
      <w:pPr>
        <w:pStyle w:val="Spistreci3"/>
        <w:rPr>
          <w:rFonts w:asciiTheme="minorHAnsi" w:eastAsiaTheme="minorEastAsia" w:hAnsiTheme="minorHAnsi" w:cstheme="minorBidi"/>
          <w:i w:val="0"/>
          <w:sz w:val="22"/>
          <w:szCs w:val="22"/>
          <w:lang w:eastAsia="pl-PL"/>
        </w:rPr>
      </w:pPr>
      <w:hyperlink w:anchor="_Toc68726847" w:history="1">
        <w:r w:rsidRPr="00FE6858">
          <w:rPr>
            <w:rStyle w:val="Hipercze"/>
          </w:rPr>
          <w:t>5.1.2</w:t>
        </w:r>
        <w:r>
          <w:rPr>
            <w:rFonts w:asciiTheme="minorHAnsi" w:eastAsiaTheme="minorEastAsia" w:hAnsiTheme="minorHAnsi" w:cstheme="minorBidi"/>
            <w:i w:val="0"/>
            <w:sz w:val="22"/>
            <w:szCs w:val="22"/>
            <w:lang w:eastAsia="pl-PL"/>
          </w:rPr>
          <w:tab/>
        </w:r>
        <w:r w:rsidRPr="00FE6858">
          <w:rPr>
            <w:rStyle w:val="Hipercze"/>
          </w:rPr>
          <w:t>Mapa sieci monitoringu wód powierzchniowych wraz z prezentacją programów monitoringowych</w:t>
        </w:r>
        <w:r>
          <w:rPr>
            <w:webHidden/>
          </w:rPr>
          <w:tab/>
        </w:r>
        <w:r>
          <w:rPr>
            <w:webHidden/>
          </w:rPr>
          <w:fldChar w:fldCharType="begin"/>
        </w:r>
        <w:r>
          <w:rPr>
            <w:webHidden/>
          </w:rPr>
          <w:instrText xml:space="preserve"> PAGEREF _Toc68726847 \h </w:instrText>
        </w:r>
        <w:r>
          <w:rPr>
            <w:webHidden/>
          </w:rPr>
        </w:r>
        <w:r>
          <w:rPr>
            <w:webHidden/>
          </w:rPr>
          <w:fldChar w:fldCharType="separate"/>
        </w:r>
        <w:r>
          <w:rPr>
            <w:webHidden/>
          </w:rPr>
          <w:t>56</w:t>
        </w:r>
        <w:r>
          <w:rPr>
            <w:webHidden/>
          </w:rPr>
          <w:fldChar w:fldCharType="end"/>
        </w:r>
      </w:hyperlink>
    </w:p>
    <w:p w14:paraId="6A77E177" w14:textId="07D94001" w:rsidR="006C4947" w:rsidRDefault="006C4947">
      <w:pPr>
        <w:pStyle w:val="Spistreci3"/>
        <w:rPr>
          <w:rFonts w:asciiTheme="minorHAnsi" w:eastAsiaTheme="minorEastAsia" w:hAnsiTheme="minorHAnsi" w:cstheme="minorBidi"/>
          <w:i w:val="0"/>
          <w:sz w:val="22"/>
          <w:szCs w:val="22"/>
          <w:lang w:eastAsia="pl-PL"/>
        </w:rPr>
      </w:pPr>
      <w:hyperlink w:anchor="_Toc68726848" w:history="1">
        <w:r w:rsidRPr="00FE6858">
          <w:rPr>
            <w:rStyle w:val="Hipercze"/>
          </w:rPr>
          <w:t>5.1.3</w:t>
        </w:r>
        <w:r>
          <w:rPr>
            <w:rFonts w:asciiTheme="minorHAnsi" w:eastAsiaTheme="minorEastAsia" w:hAnsiTheme="minorHAnsi" w:cstheme="minorBidi"/>
            <w:i w:val="0"/>
            <w:sz w:val="22"/>
            <w:szCs w:val="22"/>
            <w:lang w:eastAsia="pl-PL"/>
          </w:rPr>
          <w:tab/>
        </w:r>
        <w:r w:rsidRPr="00FE6858">
          <w:rPr>
            <w:rStyle w:val="Hipercze"/>
          </w:rPr>
          <w:t>Wyniki państwowego monitoringu środowiska w zakresie wód powierzchniowych</w:t>
        </w:r>
        <w:r>
          <w:rPr>
            <w:webHidden/>
          </w:rPr>
          <w:tab/>
        </w:r>
        <w:r>
          <w:rPr>
            <w:webHidden/>
          </w:rPr>
          <w:fldChar w:fldCharType="begin"/>
        </w:r>
        <w:r>
          <w:rPr>
            <w:webHidden/>
          </w:rPr>
          <w:instrText xml:space="preserve"> PAGEREF _Toc68726848 \h </w:instrText>
        </w:r>
        <w:r>
          <w:rPr>
            <w:webHidden/>
          </w:rPr>
        </w:r>
        <w:r>
          <w:rPr>
            <w:webHidden/>
          </w:rPr>
          <w:fldChar w:fldCharType="separate"/>
        </w:r>
        <w:r>
          <w:rPr>
            <w:webHidden/>
          </w:rPr>
          <w:t>60</w:t>
        </w:r>
        <w:r>
          <w:rPr>
            <w:webHidden/>
          </w:rPr>
          <w:fldChar w:fldCharType="end"/>
        </w:r>
      </w:hyperlink>
    </w:p>
    <w:p w14:paraId="141184E0" w14:textId="7FD97F06" w:rsidR="006C4947" w:rsidRDefault="006C4947">
      <w:pPr>
        <w:pStyle w:val="Spistreci2"/>
        <w:rPr>
          <w:rFonts w:asciiTheme="minorHAnsi" w:eastAsiaTheme="minorEastAsia" w:hAnsiTheme="minorHAnsi" w:cstheme="minorBidi"/>
          <w:sz w:val="22"/>
          <w:szCs w:val="22"/>
          <w:lang w:eastAsia="pl-PL"/>
        </w:rPr>
      </w:pPr>
      <w:hyperlink w:anchor="_Toc68726849" w:history="1">
        <w:r w:rsidRPr="00FE6858">
          <w:rPr>
            <w:rStyle w:val="Hipercze"/>
          </w:rPr>
          <w:t>5.2</w:t>
        </w:r>
        <w:r>
          <w:rPr>
            <w:rFonts w:asciiTheme="minorHAnsi" w:eastAsiaTheme="minorEastAsia" w:hAnsiTheme="minorHAnsi" w:cstheme="minorBidi"/>
            <w:sz w:val="22"/>
            <w:szCs w:val="22"/>
            <w:lang w:eastAsia="pl-PL"/>
          </w:rPr>
          <w:tab/>
        </w:r>
        <w:r w:rsidRPr="00FE6858">
          <w:rPr>
            <w:rStyle w:val="Hipercze"/>
          </w:rPr>
          <w:t>Wody podziemne</w:t>
        </w:r>
        <w:r>
          <w:rPr>
            <w:webHidden/>
          </w:rPr>
          <w:tab/>
        </w:r>
        <w:r>
          <w:rPr>
            <w:webHidden/>
          </w:rPr>
          <w:fldChar w:fldCharType="begin"/>
        </w:r>
        <w:r>
          <w:rPr>
            <w:webHidden/>
          </w:rPr>
          <w:instrText xml:space="preserve"> PAGEREF _Toc68726849 \h </w:instrText>
        </w:r>
        <w:r>
          <w:rPr>
            <w:webHidden/>
          </w:rPr>
        </w:r>
        <w:r>
          <w:rPr>
            <w:webHidden/>
          </w:rPr>
          <w:fldChar w:fldCharType="separate"/>
        </w:r>
        <w:r>
          <w:rPr>
            <w:webHidden/>
          </w:rPr>
          <w:t>76</w:t>
        </w:r>
        <w:r>
          <w:rPr>
            <w:webHidden/>
          </w:rPr>
          <w:fldChar w:fldCharType="end"/>
        </w:r>
      </w:hyperlink>
    </w:p>
    <w:p w14:paraId="7F233567" w14:textId="5745E235" w:rsidR="006C4947" w:rsidRDefault="006C4947">
      <w:pPr>
        <w:pStyle w:val="Spistreci3"/>
        <w:rPr>
          <w:rFonts w:asciiTheme="minorHAnsi" w:eastAsiaTheme="minorEastAsia" w:hAnsiTheme="minorHAnsi" w:cstheme="minorBidi"/>
          <w:i w:val="0"/>
          <w:sz w:val="22"/>
          <w:szCs w:val="22"/>
          <w:lang w:eastAsia="pl-PL"/>
        </w:rPr>
      </w:pPr>
      <w:hyperlink w:anchor="_Toc68726850" w:history="1">
        <w:r w:rsidRPr="00FE6858">
          <w:rPr>
            <w:rStyle w:val="Hipercze"/>
          </w:rPr>
          <w:t>5.2.1</w:t>
        </w:r>
        <w:r>
          <w:rPr>
            <w:rFonts w:asciiTheme="minorHAnsi" w:eastAsiaTheme="minorEastAsia" w:hAnsiTheme="minorHAnsi" w:cstheme="minorBidi"/>
            <w:i w:val="0"/>
            <w:sz w:val="22"/>
            <w:szCs w:val="22"/>
            <w:lang w:eastAsia="pl-PL"/>
          </w:rPr>
          <w:tab/>
        </w:r>
        <w:r w:rsidRPr="00FE6858">
          <w:rPr>
            <w:rStyle w:val="Hipercze"/>
          </w:rPr>
          <w:t>Monitoring wód podziemnych</w:t>
        </w:r>
        <w:r>
          <w:rPr>
            <w:webHidden/>
          </w:rPr>
          <w:tab/>
        </w:r>
        <w:r>
          <w:rPr>
            <w:webHidden/>
          </w:rPr>
          <w:fldChar w:fldCharType="begin"/>
        </w:r>
        <w:r>
          <w:rPr>
            <w:webHidden/>
          </w:rPr>
          <w:instrText xml:space="preserve"> PAGEREF _Toc68726850 \h </w:instrText>
        </w:r>
        <w:r>
          <w:rPr>
            <w:webHidden/>
          </w:rPr>
        </w:r>
        <w:r>
          <w:rPr>
            <w:webHidden/>
          </w:rPr>
          <w:fldChar w:fldCharType="separate"/>
        </w:r>
        <w:r>
          <w:rPr>
            <w:webHidden/>
          </w:rPr>
          <w:t>76</w:t>
        </w:r>
        <w:r>
          <w:rPr>
            <w:webHidden/>
          </w:rPr>
          <w:fldChar w:fldCharType="end"/>
        </w:r>
      </w:hyperlink>
    </w:p>
    <w:p w14:paraId="04C49AD2" w14:textId="16B57A6C" w:rsidR="006C4947" w:rsidRDefault="006C4947">
      <w:pPr>
        <w:pStyle w:val="Spistreci3"/>
        <w:rPr>
          <w:rFonts w:asciiTheme="minorHAnsi" w:eastAsiaTheme="minorEastAsia" w:hAnsiTheme="minorHAnsi" w:cstheme="minorBidi"/>
          <w:i w:val="0"/>
          <w:sz w:val="22"/>
          <w:szCs w:val="22"/>
          <w:lang w:eastAsia="pl-PL"/>
        </w:rPr>
      </w:pPr>
      <w:hyperlink w:anchor="_Toc68726851" w:history="1">
        <w:r w:rsidRPr="00FE6858">
          <w:rPr>
            <w:rStyle w:val="Hipercze"/>
          </w:rPr>
          <w:t>5.2.2</w:t>
        </w:r>
        <w:r>
          <w:rPr>
            <w:rFonts w:asciiTheme="minorHAnsi" w:eastAsiaTheme="minorEastAsia" w:hAnsiTheme="minorHAnsi" w:cstheme="minorBidi"/>
            <w:i w:val="0"/>
            <w:sz w:val="22"/>
            <w:szCs w:val="22"/>
            <w:lang w:eastAsia="pl-PL"/>
          </w:rPr>
          <w:tab/>
        </w:r>
        <w:r w:rsidRPr="00FE6858">
          <w:rPr>
            <w:rStyle w:val="Hipercze"/>
          </w:rPr>
          <w:t>Mapa sieci monitoringu wód podziemnych wraz z prezentacją programów monitoringowych</w:t>
        </w:r>
        <w:r>
          <w:rPr>
            <w:webHidden/>
          </w:rPr>
          <w:tab/>
        </w:r>
        <w:r>
          <w:rPr>
            <w:webHidden/>
          </w:rPr>
          <w:fldChar w:fldCharType="begin"/>
        </w:r>
        <w:r>
          <w:rPr>
            <w:webHidden/>
          </w:rPr>
          <w:instrText xml:space="preserve"> PAGEREF _Toc68726851 \h </w:instrText>
        </w:r>
        <w:r>
          <w:rPr>
            <w:webHidden/>
          </w:rPr>
        </w:r>
        <w:r>
          <w:rPr>
            <w:webHidden/>
          </w:rPr>
          <w:fldChar w:fldCharType="separate"/>
        </w:r>
        <w:r>
          <w:rPr>
            <w:webHidden/>
          </w:rPr>
          <w:t>83</w:t>
        </w:r>
        <w:r>
          <w:rPr>
            <w:webHidden/>
          </w:rPr>
          <w:fldChar w:fldCharType="end"/>
        </w:r>
      </w:hyperlink>
    </w:p>
    <w:p w14:paraId="05741B12" w14:textId="28F4A5B9" w:rsidR="006C4947" w:rsidRDefault="006C4947">
      <w:pPr>
        <w:pStyle w:val="Spistreci3"/>
        <w:rPr>
          <w:rFonts w:asciiTheme="minorHAnsi" w:eastAsiaTheme="minorEastAsia" w:hAnsiTheme="minorHAnsi" w:cstheme="minorBidi"/>
          <w:i w:val="0"/>
          <w:sz w:val="22"/>
          <w:szCs w:val="22"/>
          <w:lang w:eastAsia="pl-PL"/>
        </w:rPr>
      </w:pPr>
      <w:hyperlink w:anchor="_Toc68726852" w:history="1">
        <w:r w:rsidRPr="00FE6858">
          <w:rPr>
            <w:rStyle w:val="Hipercze"/>
          </w:rPr>
          <w:t>5.2.3</w:t>
        </w:r>
        <w:r>
          <w:rPr>
            <w:rFonts w:asciiTheme="minorHAnsi" w:eastAsiaTheme="minorEastAsia" w:hAnsiTheme="minorHAnsi" w:cstheme="minorBidi"/>
            <w:i w:val="0"/>
            <w:sz w:val="22"/>
            <w:szCs w:val="22"/>
            <w:lang w:eastAsia="pl-PL"/>
          </w:rPr>
          <w:tab/>
        </w:r>
        <w:r w:rsidRPr="00FE6858">
          <w:rPr>
            <w:rStyle w:val="Hipercze"/>
          </w:rPr>
          <w:t>Wyniki państwowego monitoringu środowiska w zakresie wód podziemnych</w:t>
        </w:r>
        <w:r>
          <w:rPr>
            <w:webHidden/>
          </w:rPr>
          <w:tab/>
        </w:r>
        <w:r>
          <w:rPr>
            <w:webHidden/>
          </w:rPr>
          <w:fldChar w:fldCharType="begin"/>
        </w:r>
        <w:r>
          <w:rPr>
            <w:webHidden/>
          </w:rPr>
          <w:instrText xml:space="preserve"> PAGEREF _Toc68726852 \h </w:instrText>
        </w:r>
        <w:r>
          <w:rPr>
            <w:webHidden/>
          </w:rPr>
        </w:r>
        <w:r>
          <w:rPr>
            <w:webHidden/>
          </w:rPr>
          <w:fldChar w:fldCharType="separate"/>
        </w:r>
        <w:r>
          <w:rPr>
            <w:webHidden/>
          </w:rPr>
          <w:t>84</w:t>
        </w:r>
        <w:r>
          <w:rPr>
            <w:webHidden/>
          </w:rPr>
          <w:fldChar w:fldCharType="end"/>
        </w:r>
      </w:hyperlink>
    </w:p>
    <w:p w14:paraId="523F3E88" w14:textId="3901E448" w:rsidR="006C4947" w:rsidRDefault="006C4947">
      <w:pPr>
        <w:pStyle w:val="Spistreci1"/>
        <w:rPr>
          <w:rFonts w:asciiTheme="minorHAnsi" w:eastAsiaTheme="minorEastAsia" w:hAnsiTheme="minorHAnsi" w:cstheme="minorBidi"/>
          <w:b w:val="0"/>
          <w:smallCaps w:val="0"/>
          <w:sz w:val="22"/>
          <w:szCs w:val="22"/>
          <w:lang w:eastAsia="pl-PL"/>
        </w:rPr>
      </w:pPr>
      <w:hyperlink w:anchor="_Toc68726853" w:history="1">
        <w:r w:rsidRPr="00FE6858">
          <w:rPr>
            <w:rStyle w:val="Hipercze"/>
          </w:rPr>
          <w:t>6</w:t>
        </w:r>
        <w:r>
          <w:rPr>
            <w:rFonts w:asciiTheme="minorHAnsi" w:eastAsiaTheme="minorEastAsia" w:hAnsiTheme="minorHAnsi" w:cstheme="minorBidi"/>
            <w:b w:val="0"/>
            <w:smallCaps w:val="0"/>
            <w:sz w:val="22"/>
            <w:szCs w:val="22"/>
            <w:lang w:eastAsia="pl-PL"/>
          </w:rPr>
          <w:tab/>
        </w:r>
        <w:r w:rsidRPr="00FE6858">
          <w:rPr>
            <w:rStyle w:val="Hipercze"/>
          </w:rPr>
          <w:t>Wykaz wielkości emisji i stężeń substancji priorytetowych określonych w przepisach wydanych na podstawie art. 114 ustawy Prawo wodne oraz innych substancji powodujących zanieczyszczenie, dla których zostały określone środowiskowe normy jakości</w:t>
        </w:r>
        <w:r>
          <w:rPr>
            <w:webHidden/>
          </w:rPr>
          <w:tab/>
        </w:r>
        <w:r>
          <w:rPr>
            <w:webHidden/>
          </w:rPr>
          <w:fldChar w:fldCharType="begin"/>
        </w:r>
        <w:r>
          <w:rPr>
            <w:webHidden/>
          </w:rPr>
          <w:instrText xml:space="preserve"> PAGEREF _Toc68726853 \h </w:instrText>
        </w:r>
        <w:r>
          <w:rPr>
            <w:webHidden/>
          </w:rPr>
        </w:r>
        <w:r>
          <w:rPr>
            <w:webHidden/>
          </w:rPr>
          <w:fldChar w:fldCharType="separate"/>
        </w:r>
        <w:r>
          <w:rPr>
            <w:webHidden/>
          </w:rPr>
          <w:t>91</w:t>
        </w:r>
        <w:r>
          <w:rPr>
            <w:webHidden/>
          </w:rPr>
          <w:fldChar w:fldCharType="end"/>
        </w:r>
      </w:hyperlink>
    </w:p>
    <w:p w14:paraId="5F4EBBB3" w14:textId="749123AE" w:rsidR="006C4947" w:rsidRDefault="006C4947">
      <w:pPr>
        <w:pStyle w:val="Spistreci1"/>
        <w:rPr>
          <w:rFonts w:asciiTheme="minorHAnsi" w:eastAsiaTheme="minorEastAsia" w:hAnsiTheme="minorHAnsi" w:cstheme="minorBidi"/>
          <w:b w:val="0"/>
          <w:smallCaps w:val="0"/>
          <w:sz w:val="22"/>
          <w:szCs w:val="22"/>
          <w:lang w:eastAsia="pl-PL"/>
        </w:rPr>
      </w:pPr>
      <w:hyperlink w:anchor="_Toc68726854" w:history="1">
        <w:r w:rsidRPr="00FE6858">
          <w:rPr>
            <w:rStyle w:val="Hipercze"/>
          </w:rPr>
          <w:t>7</w:t>
        </w:r>
        <w:r>
          <w:rPr>
            <w:rFonts w:asciiTheme="minorHAnsi" w:eastAsiaTheme="minorEastAsia" w:hAnsiTheme="minorHAnsi" w:cstheme="minorBidi"/>
            <w:b w:val="0"/>
            <w:smallCaps w:val="0"/>
            <w:sz w:val="22"/>
            <w:szCs w:val="22"/>
            <w:lang w:eastAsia="pl-PL"/>
          </w:rPr>
          <w:tab/>
        </w:r>
        <w:r w:rsidRPr="00FE6858">
          <w:rPr>
            <w:rStyle w:val="Hipercze"/>
          </w:rPr>
          <w:t>Podsumowanie identyfikacji znaczących oddziaływań antropogenicznych i oceny ich wpływu na stan wód powierzchniowych i podziemnych</w:t>
        </w:r>
        <w:r>
          <w:rPr>
            <w:webHidden/>
          </w:rPr>
          <w:tab/>
        </w:r>
        <w:r>
          <w:rPr>
            <w:webHidden/>
          </w:rPr>
          <w:fldChar w:fldCharType="begin"/>
        </w:r>
        <w:r>
          <w:rPr>
            <w:webHidden/>
          </w:rPr>
          <w:instrText xml:space="preserve"> PAGEREF _Toc68726854 \h </w:instrText>
        </w:r>
        <w:r>
          <w:rPr>
            <w:webHidden/>
          </w:rPr>
        </w:r>
        <w:r>
          <w:rPr>
            <w:webHidden/>
          </w:rPr>
          <w:fldChar w:fldCharType="separate"/>
        </w:r>
        <w:r>
          <w:rPr>
            <w:webHidden/>
          </w:rPr>
          <w:t>96</w:t>
        </w:r>
        <w:r>
          <w:rPr>
            <w:webHidden/>
          </w:rPr>
          <w:fldChar w:fldCharType="end"/>
        </w:r>
      </w:hyperlink>
    </w:p>
    <w:p w14:paraId="6A83A920" w14:textId="510D5887" w:rsidR="006C4947" w:rsidRDefault="006C4947">
      <w:pPr>
        <w:pStyle w:val="Spistreci2"/>
        <w:rPr>
          <w:rFonts w:asciiTheme="minorHAnsi" w:eastAsiaTheme="minorEastAsia" w:hAnsiTheme="minorHAnsi" w:cstheme="minorBidi"/>
          <w:sz w:val="22"/>
          <w:szCs w:val="22"/>
          <w:lang w:eastAsia="pl-PL"/>
        </w:rPr>
      </w:pPr>
      <w:hyperlink w:anchor="_Toc68726855" w:history="1">
        <w:r w:rsidRPr="00FE6858">
          <w:rPr>
            <w:rStyle w:val="Hipercze"/>
          </w:rPr>
          <w:t>7.1</w:t>
        </w:r>
        <w:r>
          <w:rPr>
            <w:rFonts w:asciiTheme="minorHAnsi" w:eastAsiaTheme="minorEastAsia" w:hAnsiTheme="minorHAnsi" w:cstheme="minorBidi"/>
            <w:sz w:val="22"/>
            <w:szCs w:val="22"/>
            <w:lang w:eastAsia="pl-PL"/>
          </w:rPr>
          <w:tab/>
        </w:r>
        <w:r w:rsidRPr="00FE6858">
          <w:rPr>
            <w:rStyle w:val="Hipercze"/>
          </w:rPr>
          <w:t>Wody powierzchniowe</w:t>
        </w:r>
        <w:r>
          <w:rPr>
            <w:webHidden/>
          </w:rPr>
          <w:tab/>
        </w:r>
        <w:r>
          <w:rPr>
            <w:webHidden/>
          </w:rPr>
          <w:fldChar w:fldCharType="begin"/>
        </w:r>
        <w:r>
          <w:rPr>
            <w:webHidden/>
          </w:rPr>
          <w:instrText xml:space="preserve"> PAGEREF _Toc68726855 \h </w:instrText>
        </w:r>
        <w:r>
          <w:rPr>
            <w:webHidden/>
          </w:rPr>
        </w:r>
        <w:r>
          <w:rPr>
            <w:webHidden/>
          </w:rPr>
          <w:fldChar w:fldCharType="separate"/>
        </w:r>
        <w:r>
          <w:rPr>
            <w:webHidden/>
          </w:rPr>
          <w:t>96</w:t>
        </w:r>
        <w:r>
          <w:rPr>
            <w:webHidden/>
          </w:rPr>
          <w:fldChar w:fldCharType="end"/>
        </w:r>
      </w:hyperlink>
    </w:p>
    <w:p w14:paraId="57FC2E6E" w14:textId="225C0603" w:rsidR="006C4947" w:rsidRDefault="006C4947">
      <w:pPr>
        <w:pStyle w:val="Spistreci2"/>
        <w:rPr>
          <w:rFonts w:asciiTheme="minorHAnsi" w:eastAsiaTheme="minorEastAsia" w:hAnsiTheme="minorHAnsi" w:cstheme="minorBidi"/>
          <w:sz w:val="22"/>
          <w:szCs w:val="22"/>
          <w:lang w:eastAsia="pl-PL"/>
        </w:rPr>
      </w:pPr>
      <w:hyperlink w:anchor="_Toc68726856" w:history="1">
        <w:r w:rsidRPr="00FE6858">
          <w:rPr>
            <w:rStyle w:val="Hipercze"/>
          </w:rPr>
          <w:t>7.2</w:t>
        </w:r>
        <w:r>
          <w:rPr>
            <w:rFonts w:asciiTheme="minorHAnsi" w:eastAsiaTheme="minorEastAsia" w:hAnsiTheme="minorHAnsi" w:cstheme="minorBidi"/>
            <w:sz w:val="22"/>
            <w:szCs w:val="22"/>
            <w:lang w:eastAsia="pl-PL"/>
          </w:rPr>
          <w:tab/>
        </w:r>
        <w:r w:rsidRPr="00FE6858">
          <w:rPr>
            <w:rStyle w:val="Hipercze"/>
          </w:rPr>
          <w:t>Wody podziemne</w:t>
        </w:r>
        <w:r>
          <w:rPr>
            <w:webHidden/>
          </w:rPr>
          <w:tab/>
        </w:r>
        <w:r>
          <w:rPr>
            <w:webHidden/>
          </w:rPr>
          <w:fldChar w:fldCharType="begin"/>
        </w:r>
        <w:r>
          <w:rPr>
            <w:webHidden/>
          </w:rPr>
          <w:instrText xml:space="preserve"> PAGEREF _Toc68726856 \h </w:instrText>
        </w:r>
        <w:r>
          <w:rPr>
            <w:webHidden/>
          </w:rPr>
        </w:r>
        <w:r>
          <w:rPr>
            <w:webHidden/>
          </w:rPr>
          <w:fldChar w:fldCharType="separate"/>
        </w:r>
        <w:r>
          <w:rPr>
            <w:webHidden/>
          </w:rPr>
          <w:t>109</w:t>
        </w:r>
        <w:r>
          <w:rPr>
            <w:webHidden/>
          </w:rPr>
          <w:fldChar w:fldCharType="end"/>
        </w:r>
      </w:hyperlink>
    </w:p>
    <w:p w14:paraId="008E0AD5" w14:textId="1CCF5F8F" w:rsidR="006C4947" w:rsidRDefault="006C4947">
      <w:pPr>
        <w:pStyle w:val="Spistreci1"/>
        <w:rPr>
          <w:rFonts w:asciiTheme="minorHAnsi" w:eastAsiaTheme="minorEastAsia" w:hAnsiTheme="minorHAnsi" w:cstheme="minorBidi"/>
          <w:b w:val="0"/>
          <w:smallCaps w:val="0"/>
          <w:sz w:val="22"/>
          <w:szCs w:val="22"/>
          <w:lang w:eastAsia="pl-PL"/>
        </w:rPr>
      </w:pPr>
      <w:hyperlink w:anchor="_Toc68726857" w:history="1">
        <w:r w:rsidRPr="00FE6858">
          <w:rPr>
            <w:rStyle w:val="Hipercze"/>
          </w:rPr>
          <w:t>8</w:t>
        </w:r>
        <w:r>
          <w:rPr>
            <w:rFonts w:asciiTheme="minorHAnsi" w:eastAsiaTheme="minorEastAsia" w:hAnsiTheme="minorHAnsi" w:cstheme="minorBidi"/>
            <w:b w:val="0"/>
            <w:smallCaps w:val="0"/>
            <w:sz w:val="22"/>
            <w:szCs w:val="22"/>
            <w:lang w:eastAsia="pl-PL"/>
          </w:rPr>
          <w:tab/>
        </w:r>
        <w:r w:rsidRPr="00FE6858">
          <w:rPr>
            <w:rStyle w:val="Hipercze"/>
          </w:rPr>
          <w:t>Cele środowiskowe dla jcw i obszarów chronionych</w:t>
        </w:r>
        <w:r>
          <w:rPr>
            <w:webHidden/>
          </w:rPr>
          <w:tab/>
        </w:r>
        <w:r>
          <w:rPr>
            <w:webHidden/>
          </w:rPr>
          <w:fldChar w:fldCharType="begin"/>
        </w:r>
        <w:r>
          <w:rPr>
            <w:webHidden/>
          </w:rPr>
          <w:instrText xml:space="preserve"> PAGEREF _Toc68726857 \h </w:instrText>
        </w:r>
        <w:r>
          <w:rPr>
            <w:webHidden/>
          </w:rPr>
        </w:r>
        <w:r>
          <w:rPr>
            <w:webHidden/>
          </w:rPr>
          <w:fldChar w:fldCharType="separate"/>
        </w:r>
        <w:r>
          <w:rPr>
            <w:webHidden/>
          </w:rPr>
          <w:t>113</w:t>
        </w:r>
        <w:r>
          <w:rPr>
            <w:webHidden/>
          </w:rPr>
          <w:fldChar w:fldCharType="end"/>
        </w:r>
      </w:hyperlink>
    </w:p>
    <w:p w14:paraId="64422AD3" w14:textId="475D749B" w:rsidR="006C4947" w:rsidRDefault="006C4947">
      <w:pPr>
        <w:pStyle w:val="Spistreci2"/>
        <w:rPr>
          <w:rFonts w:asciiTheme="minorHAnsi" w:eastAsiaTheme="minorEastAsia" w:hAnsiTheme="minorHAnsi" w:cstheme="minorBidi"/>
          <w:sz w:val="22"/>
          <w:szCs w:val="22"/>
          <w:lang w:eastAsia="pl-PL"/>
        </w:rPr>
      </w:pPr>
      <w:hyperlink w:anchor="_Toc68726858" w:history="1">
        <w:r w:rsidRPr="00FE6858">
          <w:rPr>
            <w:rStyle w:val="Hipercze"/>
          </w:rPr>
          <w:t>8.1</w:t>
        </w:r>
        <w:r>
          <w:rPr>
            <w:rFonts w:asciiTheme="minorHAnsi" w:eastAsiaTheme="minorEastAsia" w:hAnsiTheme="minorHAnsi" w:cstheme="minorBidi"/>
            <w:sz w:val="22"/>
            <w:szCs w:val="22"/>
            <w:lang w:eastAsia="pl-PL"/>
          </w:rPr>
          <w:tab/>
        </w:r>
        <w:r w:rsidRPr="00FE6858">
          <w:rPr>
            <w:rStyle w:val="Hipercze"/>
          </w:rPr>
          <w:t>Cele środowiskowe jcwp</w:t>
        </w:r>
        <w:r>
          <w:rPr>
            <w:webHidden/>
          </w:rPr>
          <w:tab/>
        </w:r>
        <w:r>
          <w:rPr>
            <w:webHidden/>
          </w:rPr>
          <w:fldChar w:fldCharType="begin"/>
        </w:r>
        <w:r>
          <w:rPr>
            <w:webHidden/>
          </w:rPr>
          <w:instrText xml:space="preserve"> PAGEREF _Toc68726858 \h </w:instrText>
        </w:r>
        <w:r>
          <w:rPr>
            <w:webHidden/>
          </w:rPr>
        </w:r>
        <w:r>
          <w:rPr>
            <w:webHidden/>
          </w:rPr>
          <w:fldChar w:fldCharType="separate"/>
        </w:r>
        <w:r>
          <w:rPr>
            <w:webHidden/>
          </w:rPr>
          <w:t>113</w:t>
        </w:r>
        <w:r>
          <w:rPr>
            <w:webHidden/>
          </w:rPr>
          <w:fldChar w:fldCharType="end"/>
        </w:r>
      </w:hyperlink>
    </w:p>
    <w:p w14:paraId="5971C941" w14:textId="2C6BF11A" w:rsidR="006C4947" w:rsidRDefault="006C4947">
      <w:pPr>
        <w:pStyle w:val="Spistreci3"/>
        <w:rPr>
          <w:rFonts w:asciiTheme="minorHAnsi" w:eastAsiaTheme="minorEastAsia" w:hAnsiTheme="minorHAnsi" w:cstheme="minorBidi"/>
          <w:i w:val="0"/>
          <w:sz w:val="22"/>
          <w:szCs w:val="22"/>
          <w:lang w:eastAsia="pl-PL"/>
        </w:rPr>
      </w:pPr>
      <w:hyperlink w:anchor="_Toc68726859" w:history="1">
        <w:r w:rsidRPr="00FE6858">
          <w:rPr>
            <w:rStyle w:val="Hipercze"/>
          </w:rPr>
          <w:t>8.1.1</w:t>
        </w:r>
        <w:r>
          <w:rPr>
            <w:rFonts w:asciiTheme="minorHAnsi" w:eastAsiaTheme="minorEastAsia" w:hAnsiTheme="minorHAnsi" w:cstheme="minorBidi"/>
            <w:i w:val="0"/>
            <w:sz w:val="22"/>
            <w:szCs w:val="22"/>
            <w:lang w:eastAsia="pl-PL"/>
          </w:rPr>
          <w:tab/>
        </w:r>
        <w:r w:rsidRPr="00FE6858">
          <w:rPr>
            <w:rStyle w:val="Hipercze"/>
          </w:rPr>
          <w:t>Sposób określenia wartości granicznych dla stanu ekologicznego</w:t>
        </w:r>
        <w:r>
          <w:rPr>
            <w:webHidden/>
          </w:rPr>
          <w:tab/>
        </w:r>
        <w:r>
          <w:rPr>
            <w:webHidden/>
          </w:rPr>
          <w:fldChar w:fldCharType="begin"/>
        </w:r>
        <w:r>
          <w:rPr>
            <w:webHidden/>
          </w:rPr>
          <w:instrText xml:space="preserve"> PAGEREF _Toc68726859 \h </w:instrText>
        </w:r>
        <w:r>
          <w:rPr>
            <w:webHidden/>
          </w:rPr>
        </w:r>
        <w:r>
          <w:rPr>
            <w:webHidden/>
          </w:rPr>
          <w:fldChar w:fldCharType="separate"/>
        </w:r>
        <w:r>
          <w:rPr>
            <w:webHidden/>
          </w:rPr>
          <w:t>116</w:t>
        </w:r>
        <w:r>
          <w:rPr>
            <w:webHidden/>
          </w:rPr>
          <w:fldChar w:fldCharType="end"/>
        </w:r>
      </w:hyperlink>
    </w:p>
    <w:p w14:paraId="7D42976E" w14:textId="40E2EBD6" w:rsidR="006C4947" w:rsidRDefault="006C4947">
      <w:pPr>
        <w:pStyle w:val="Spistreci3"/>
        <w:rPr>
          <w:rFonts w:asciiTheme="minorHAnsi" w:eastAsiaTheme="minorEastAsia" w:hAnsiTheme="minorHAnsi" w:cstheme="minorBidi"/>
          <w:i w:val="0"/>
          <w:sz w:val="22"/>
          <w:szCs w:val="22"/>
          <w:lang w:eastAsia="pl-PL"/>
        </w:rPr>
      </w:pPr>
      <w:hyperlink w:anchor="_Toc68726860" w:history="1">
        <w:r w:rsidRPr="00FE6858">
          <w:rPr>
            <w:rStyle w:val="Hipercze"/>
          </w:rPr>
          <w:t>8.1.2</w:t>
        </w:r>
        <w:r>
          <w:rPr>
            <w:rFonts w:asciiTheme="minorHAnsi" w:eastAsiaTheme="minorEastAsia" w:hAnsiTheme="minorHAnsi" w:cstheme="minorBidi"/>
            <w:i w:val="0"/>
            <w:sz w:val="22"/>
            <w:szCs w:val="22"/>
            <w:lang w:eastAsia="pl-PL"/>
          </w:rPr>
          <w:tab/>
        </w:r>
        <w:r w:rsidRPr="00FE6858">
          <w:rPr>
            <w:rStyle w:val="Hipercze"/>
          </w:rPr>
          <w:t>Sposób określenia wartości granicznych dla potencjału ekologicznego</w:t>
        </w:r>
        <w:r>
          <w:rPr>
            <w:webHidden/>
          </w:rPr>
          <w:tab/>
        </w:r>
        <w:r>
          <w:rPr>
            <w:webHidden/>
          </w:rPr>
          <w:fldChar w:fldCharType="begin"/>
        </w:r>
        <w:r>
          <w:rPr>
            <w:webHidden/>
          </w:rPr>
          <w:instrText xml:space="preserve"> PAGEREF _Toc68726860 \h </w:instrText>
        </w:r>
        <w:r>
          <w:rPr>
            <w:webHidden/>
          </w:rPr>
        </w:r>
        <w:r>
          <w:rPr>
            <w:webHidden/>
          </w:rPr>
          <w:fldChar w:fldCharType="separate"/>
        </w:r>
        <w:r>
          <w:rPr>
            <w:webHidden/>
          </w:rPr>
          <w:t>116</w:t>
        </w:r>
        <w:r>
          <w:rPr>
            <w:webHidden/>
          </w:rPr>
          <w:fldChar w:fldCharType="end"/>
        </w:r>
      </w:hyperlink>
    </w:p>
    <w:p w14:paraId="7EB84879" w14:textId="738311EB" w:rsidR="006C4947" w:rsidRDefault="006C4947">
      <w:pPr>
        <w:pStyle w:val="Spistreci3"/>
        <w:rPr>
          <w:rFonts w:asciiTheme="minorHAnsi" w:eastAsiaTheme="minorEastAsia" w:hAnsiTheme="minorHAnsi" w:cstheme="minorBidi"/>
          <w:i w:val="0"/>
          <w:sz w:val="22"/>
          <w:szCs w:val="22"/>
          <w:lang w:eastAsia="pl-PL"/>
        </w:rPr>
      </w:pPr>
      <w:hyperlink w:anchor="_Toc68726861" w:history="1">
        <w:r w:rsidRPr="00FE6858">
          <w:rPr>
            <w:rStyle w:val="Hipercze"/>
          </w:rPr>
          <w:t>8.1.3</w:t>
        </w:r>
        <w:r>
          <w:rPr>
            <w:rFonts w:asciiTheme="minorHAnsi" w:eastAsiaTheme="minorEastAsia" w:hAnsiTheme="minorHAnsi" w:cstheme="minorBidi"/>
            <w:i w:val="0"/>
            <w:sz w:val="22"/>
            <w:szCs w:val="22"/>
            <w:lang w:eastAsia="pl-PL"/>
          </w:rPr>
          <w:tab/>
        </w:r>
        <w:r w:rsidRPr="00FE6858">
          <w:rPr>
            <w:rStyle w:val="Hipercze"/>
          </w:rPr>
          <w:t>Ocena osiągnięcia celów środowiskowych jcwp RW</w:t>
        </w:r>
        <w:r>
          <w:rPr>
            <w:webHidden/>
          </w:rPr>
          <w:tab/>
        </w:r>
        <w:r>
          <w:rPr>
            <w:webHidden/>
          </w:rPr>
          <w:fldChar w:fldCharType="begin"/>
        </w:r>
        <w:r>
          <w:rPr>
            <w:webHidden/>
          </w:rPr>
          <w:instrText xml:space="preserve"> PAGEREF _Toc68726861 \h </w:instrText>
        </w:r>
        <w:r>
          <w:rPr>
            <w:webHidden/>
          </w:rPr>
        </w:r>
        <w:r>
          <w:rPr>
            <w:webHidden/>
          </w:rPr>
          <w:fldChar w:fldCharType="separate"/>
        </w:r>
        <w:r>
          <w:rPr>
            <w:webHidden/>
          </w:rPr>
          <w:t>118</w:t>
        </w:r>
        <w:r>
          <w:rPr>
            <w:webHidden/>
          </w:rPr>
          <w:fldChar w:fldCharType="end"/>
        </w:r>
      </w:hyperlink>
    </w:p>
    <w:p w14:paraId="7EC15159" w14:textId="20EEB68B" w:rsidR="006C4947" w:rsidRDefault="006C4947">
      <w:pPr>
        <w:pStyle w:val="Spistreci3"/>
        <w:rPr>
          <w:rFonts w:asciiTheme="minorHAnsi" w:eastAsiaTheme="minorEastAsia" w:hAnsiTheme="minorHAnsi" w:cstheme="minorBidi"/>
          <w:i w:val="0"/>
          <w:sz w:val="22"/>
          <w:szCs w:val="22"/>
          <w:lang w:eastAsia="pl-PL"/>
        </w:rPr>
      </w:pPr>
      <w:hyperlink w:anchor="_Toc68726862" w:history="1">
        <w:r w:rsidRPr="00FE6858">
          <w:rPr>
            <w:rStyle w:val="Hipercze"/>
          </w:rPr>
          <w:t>8.1.4</w:t>
        </w:r>
        <w:r>
          <w:rPr>
            <w:rFonts w:asciiTheme="minorHAnsi" w:eastAsiaTheme="minorEastAsia" w:hAnsiTheme="minorHAnsi" w:cstheme="minorBidi"/>
            <w:i w:val="0"/>
            <w:sz w:val="22"/>
            <w:szCs w:val="22"/>
            <w:lang w:eastAsia="pl-PL"/>
          </w:rPr>
          <w:tab/>
        </w:r>
        <w:r w:rsidRPr="00FE6858">
          <w:rPr>
            <w:rStyle w:val="Hipercze"/>
          </w:rPr>
          <w:t>Ocena osiągnięcia celów środowiskowych jcwp LW</w:t>
        </w:r>
        <w:r>
          <w:rPr>
            <w:webHidden/>
          </w:rPr>
          <w:tab/>
        </w:r>
        <w:r>
          <w:rPr>
            <w:webHidden/>
          </w:rPr>
          <w:fldChar w:fldCharType="begin"/>
        </w:r>
        <w:r>
          <w:rPr>
            <w:webHidden/>
          </w:rPr>
          <w:instrText xml:space="preserve"> PAGEREF _Toc68726862 \h </w:instrText>
        </w:r>
        <w:r>
          <w:rPr>
            <w:webHidden/>
          </w:rPr>
        </w:r>
        <w:r>
          <w:rPr>
            <w:webHidden/>
          </w:rPr>
          <w:fldChar w:fldCharType="separate"/>
        </w:r>
        <w:r>
          <w:rPr>
            <w:webHidden/>
          </w:rPr>
          <w:t>122</w:t>
        </w:r>
        <w:r>
          <w:rPr>
            <w:webHidden/>
          </w:rPr>
          <w:fldChar w:fldCharType="end"/>
        </w:r>
      </w:hyperlink>
    </w:p>
    <w:p w14:paraId="595ACC3A" w14:textId="08C94117" w:rsidR="006C4947" w:rsidRDefault="006C4947">
      <w:pPr>
        <w:pStyle w:val="Spistreci2"/>
        <w:rPr>
          <w:rFonts w:asciiTheme="minorHAnsi" w:eastAsiaTheme="minorEastAsia" w:hAnsiTheme="minorHAnsi" w:cstheme="minorBidi"/>
          <w:sz w:val="22"/>
          <w:szCs w:val="22"/>
          <w:lang w:eastAsia="pl-PL"/>
        </w:rPr>
      </w:pPr>
      <w:hyperlink w:anchor="_Toc68726863" w:history="1">
        <w:r w:rsidRPr="00FE6858">
          <w:rPr>
            <w:rStyle w:val="Hipercze"/>
          </w:rPr>
          <w:t>8.2</w:t>
        </w:r>
        <w:r>
          <w:rPr>
            <w:rFonts w:asciiTheme="minorHAnsi" w:eastAsiaTheme="minorEastAsia" w:hAnsiTheme="minorHAnsi" w:cstheme="minorBidi"/>
            <w:sz w:val="22"/>
            <w:szCs w:val="22"/>
            <w:lang w:eastAsia="pl-PL"/>
          </w:rPr>
          <w:tab/>
        </w:r>
        <w:r w:rsidRPr="00FE6858">
          <w:rPr>
            <w:rStyle w:val="Hipercze"/>
          </w:rPr>
          <w:t>Cele środowiskowe jcwpd</w:t>
        </w:r>
        <w:r>
          <w:rPr>
            <w:webHidden/>
          </w:rPr>
          <w:tab/>
        </w:r>
        <w:r>
          <w:rPr>
            <w:webHidden/>
          </w:rPr>
          <w:fldChar w:fldCharType="begin"/>
        </w:r>
        <w:r>
          <w:rPr>
            <w:webHidden/>
          </w:rPr>
          <w:instrText xml:space="preserve"> PAGEREF _Toc68726863 \h </w:instrText>
        </w:r>
        <w:r>
          <w:rPr>
            <w:webHidden/>
          </w:rPr>
        </w:r>
        <w:r>
          <w:rPr>
            <w:webHidden/>
          </w:rPr>
          <w:fldChar w:fldCharType="separate"/>
        </w:r>
        <w:r>
          <w:rPr>
            <w:webHidden/>
          </w:rPr>
          <w:t>126</w:t>
        </w:r>
        <w:r>
          <w:rPr>
            <w:webHidden/>
          </w:rPr>
          <w:fldChar w:fldCharType="end"/>
        </w:r>
      </w:hyperlink>
    </w:p>
    <w:p w14:paraId="0B59A185" w14:textId="5BD81E4C" w:rsidR="006C4947" w:rsidRDefault="006C4947">
      <w:pPr>
        <w:pStyle w:val="Spistreci2"/>
        <w:rPr>
          <w:rFonts w:asciiTheme="minorHAnsi" w:eastAsiaTheme="minorEastAsia" w:hAnsiTheme="minorHAnsi" w:cstheme="minorBidi"/>
          <w:sz w:val="22"/>
          <w:szCs w:val="22"/>
          <w:lang w:eastAsia="pl-PL"/>
        </w:rPr>
      </w:pPr>
      <w:hyperlink w:anchor="_Toc68726864" w:history="1">
        <w:r w:rsidRPr="00FE6858">
          <w:rPr>
            <w:rStyle w:val="Hipercze"/>
          </w:rPr>
          <w:t>8.3</w:t>
        </w:r>
        <w:r>
          <w:rPr>
            <w:rFonts w:asciiTheme="minorHAnsi" w:eastAsiaTheme="minorEastAsia" w:hAnsiTheme="minorHAnsi" w:cstheme="minorBidi"/>
            <w:sz w:val="22"/>
            <w:szCs w:val="22"/>
            <w:lang w:eastAsia="pl-PL"/>
          </w:rPr>
          <w:tab/>
        </w:r>
        <w:r w:rsidRPr="00FE6858">
          <w:rPr>
            <w:rStyle w:val="Hipercze"/>
          </w:rPr>
          <w:t>Cele środowiskowe obszarów chronionych</w:t>
        </w:r>
        <w:r>
          <w:rPr>
            <w:webHidden/>
          </w:rPr>
          <w:tab/>
        </w:r>
        <w:r>
          <w:rPr>
            <w:webHidden/>
          </w:rPr>
          <w:fldChar w:fldCharType="begin"/>
        </w:r>
        <w:r>
          <w:rPr>
            <w:webHidden/>
          </w:rPr>
          <w:instrText xml:space="preserve"> PAGEREF _Toc68726864 \h </w:instrText>
        </w:r>
        <w:r>
          <w:rPr>
            <w:webHidden/>
          </w:rPr>
        </w:r>
        <w:r>
          <w:rPr>
            <w:webHidden/>
          </w:rPr>
          <w:fldChar w:fldCharType="separate"/>
        </w:r>
        <w:r>
          <w:rPr>
            <w:webHidden/>
          </w:rPr>
          <w:t>128</w:t>
        </w:r>
        <w:r>
          <w:rPr>
            <w:webHidden/>
          </w:rPr>
          <w:fldChar w:fldCharType="end"/>
        </w:r>
      </w:hyperlink>
    </w:p>
    <w:p w14:paraId="089613A2" w14:textId="20F25D70" w:rsidR="006C4947" w:rsidRDefault="006C4947">
      <w:pPr>
        <w:pStyle w:val="Spistreci2"/>
        <w:rPr>
          <w:rFonts w:asciiTheme="minorHAnsi" w:eastAsiaTheme="minorEastAsia" w:hAnsiTheme="minorHAnsi" w:cstheme="minorBidi"/>
          <w:sz w:val="22"/>
          <w:szCs w:val="22"/>
          <w:lang w:eastAsia="pl-PL"/>
        </w:rPr>
      </w:pPr>
      <w:hyperlink w:anchor="_Toc68726865" w:history="1">
        <w:r w:rsidRPr="00FE6858">
          <w:rPr>
            <w:rStyle w:val="Hipercze"/>
          </w:rPr>
          <w:t>8.4</w:t>
        </w:r>
        <w:r>
          <w:rPr>
            <w:rFonts w:asciiTheme="minorHAnsi" w:eastAsiaTheme="minorEastAsia" w:hAnsiTheme="minorHAnsi" w:cstheme="minorBidi"/>
            <w:sz w:val="22"/>
            <w:szCs w:val="22"/>
            <w:lang w:eastAsia="pl-PL"/>
          </w:rPr>
          <w:tab/>
        </w:r>
        <w:r w:rsidRPr="00FE6858">
          <w:rPr>
            <w:rStyle w:val="Hipercze"/>
          </w:rPr>
          <w:t>Przedłużenie terminu osiągnięcia celów środowiskowych i ustalenie mniej rygorystycznych celów środowiskowych</w:t>
        </w:r>
        <w:r>
          <w:rPr>
            <w:webHidden/>
          </w:rPr>
          <w:tab/>
        </w:r>
        <w:r>
          <w:rPr>
            <w:webHidden/>
          </w:rPr>
          <w:fldChar w:fldCharType="begin"/>
        </w:r>
        <w:r>
          <w:rPr>
            <w:webHidden/>
          </w:rPr>
          <w:instrText xml:space="preserve"> PAGEREF _Toc68726865 \h </w:instrText>
        </w:r>
        <w:r>
          <w:rPr>
            <w:webHidden/>
          </w:rPr>
        </w:r>
        <w:r>
          <w:rPr>
            <w:webHidden/>
          </w:rPr>
          <w:fldChar w:fldCharType="separate"/>
        </w:r>
        <w:r>
          <w:rPr>
            <w:webHidden/>
          </w:rPr>
          <w:t>130</w:t>
        </w:r>
        <w:r>
          <w:rPr>
            <w:webHidden/>
          </w:rPr>
          <w:fldChar w:fldCharType="end"/>
        </w:r>
      </w:hyperlink>
    </w:p>
    <w:p w14:paraId="007BD6B1" w14:textId="5927A402" w:rsidR="006C4947" w:rsidRDefault="006C4947">
      <w:pPr>
        <w:pStyle w:val="Spistreci2"/>
        <w:rPr>
          <w:rFonts w:asciiTheme="minorHAnsi" w:eastAsiaTheme="minorEastAsia" w:hAnsiTheme="minorHAnsi" w:cstheme="minorBidi"/>
          <w:sz w:val="22"/>
          <w:szCs w:val="22"/>
          <w:lang w:eastAsia="pl-PL"/>
        </w:rPr>
      </w:pPr>
      <w:hyperlink w:anchor="_Toc68726866" w:history="1">
        <w:r w:rsidRPr="00FE6858">
          <w:rPr>
            <w:rStyle w:val="Hipercze"/>
          </w:rPr>
          <w:t>8.5</w:t>
        </w:r>
        <w:r>
          <w:rPr>
            <w:rFonts w:asciiTheme="minorHAnsi" w:eastAsiaTheme="minorEastAsia" w:hAnsiTheme="minorHAnsi" w:cstheme="minorBidi"/>
            <w:sz w:val="22"/>
            <w:szCs w:val="22"/>
            <w:lang w:eastAsia="pl-PL"/>
          </w:rPr>
          <w:tab/>
        </w:r>
        <w:r w:rsidRPr="00FE6858">
          <w:rPr>
            <w:rStyle w:val="Hipercze"/>
          </w:rPr>
          <w:t>Cele środowiskowe a czasowe pogorszenie stanu jcw w wyniku zjawisk o charakterze naturalnym lub na skutek siły wyższej</w:t>
        </w:r>
        <w:r>
          <w:rPr>
            <w:webHidden/>
          </w:rPr>
          <w:tab/>
        </w:r>
        <w:r>
          <w:rPr>
            <w:webHidden/>
          </w:rPr>
          <w:fldChar w:fldCharType="begin"/>
        </w:r>
        <w:r>
          <w:rPr>
            <w:webHidden/>
          </w:rPr>
          <w:instrText xml:space="preserve"> PAGEREF _Toc68726866 \h </w:instrText>
        </w:r>
        <w:r>
          <w:rPr>
            <w:webHidden/>
          </w:rPr>
        </w:r>
        <w:r>
          <w:rPr>
            <w:webHidden/>
          </w:rPr>
          <w:fldChar w:fldCharType="separate"/>
        </w:r>
        <w:r>
          <w:rPr>
            <w:webHidden/>
          </w:rPr>
          <w:t>136</w:t>
        </w:r>
        <w:r>
          <w:rPr>
            <w:webHidden/>
          </w:rPr>
          <w:fldChar w:fldCharType="end"/>
        </w:r>
      </w:hyperlink>
    </w:p>
    <w:p w14:paraId="29E7F78E" w14:textId="58DA643F" w:rsidR="006C4947" w:rsidRDefault="006C4947">
      <w:pPr>
        <w:pStyle w:val="Spistreci1"/>
        <w:rPr>
          <w:rFonts w:asciiTheme="minorHAnsi" w:eastAsiaTheme="minorEastAsia" w:hAnsiTheme="minorHAnsi" w:cstheme="minorBidi"/>
          <w:b w:val="0"/>
          <w:smallCaps w:val="0"/>
          <w:sz w:val="22"/>
          <w:szCs w:val="22"/>
          <w:lang w:eastAsia="pl-PL"/>
        </w:rPr>
      </w:pPr>
      <w:hyperlink w:anchor="_Toc68726867" w:history="1">
        <w:r w:rsidRPr="00FE6858">
          <w:rPr>
            <w:rStyle w:val="Hipercze"/>
          </w:rPr>
          <w:t>9</w:t>
        </w:r>
        <w:r>
          <w:rPr>
            <w:rFonts w:asciiTheme="minorHAnsi" w:eastAsiaTheme="minorEastAsia" w:hAnsiTheme="minorHAnsi" w:cstheme="minorBidi"/>
            <w:b w:val="0"/>
            <w:smallCaps w:val="0"/>
            <w:sz w:val="22"/>
            <w:szCs w:val="22"/>
            <w:lang w:eastAsia="pl-PL"/>
          </w:rPr>
          <w:tab/>
        </w:r>
        <w:r w:rsidRPr="00FE6858">
          <w:rPr>
            <w:rStyle w:val="Hipercze"/>
          </w:rPr>
          <w:t>Ocena postępu w osiąganiu celów środowiskowych</w:t>
        </w:r>
        <w:r>
          <w:rPr>
            <w:webHidden/>
          </w:rPr>
          <w:tab/>
        </w:r>
        <w:r>
          <w:rPr>
            <w:webHidden/>
          </w:rPr>
          <w:fldChar w:fldCharType="begin"/>
        </w:r>
        <w:r>
          <w:rPr>
            <w:webHidden/>
          </w:rPr>
          <w:instrText xml:space="preserve"> PAGEREF _Toc68726867 \h </w:instrText>
        </w:r>
        <w:r>
          <w:rPr>
            <w:webHidden/>
          </w:rPr>
        </w:r>
        <w:r>
          <w:rPr>
            <w:webHidden/>
          </w:rPr>
          <w:fldChar w:fldCharType="separate"/>
        </w:r>
        <w:r>
          <w:rPr>
            <w:webHidden/>
          </w:rPr>
          <w:t>139</w:t>
        </w:r>
        <w:r>
          <w:rPr>
            <w:webHidden/>
          </w:rPr>
          <w:fldChar w:fldCharType="end"/>
        </w:r>
      </w:hyperlink>
    </w:p>
    <w:p w14:paraId="4310BF5B" w14:textId="05CDF91A" w:rsidR="006C4947" w:rsidRDefault="006C4947">
      <w:pPr>
        <w:pStyle w:val="Spistreci2"/>
        <w:rPr>
          <w:rFonts w:asciiTheme="minorHAnsi" w:eastAsiaTheme="minorEastAsia" w:hAnsiTheme="minorHAnsi" w:cstheme="minorBidi"/>
          <w:sz w:val="22"/>
          <w:szCs w:val="22"/>
          <w:lang w:eastAsia="pl-PL"/>
        </w:rPr>
      </w:pPr>
      <w:hyperlink w:anchor="_Toc68726868" w:history="1">
        <w:r w:rsidRPr="00FE6858">
          <w:rPr>
            <w:rStyle w:val="Hipercze"/>
          </w:rPr>
          <w:t>9.1</w:t>
        </w:r>
        <w:r>
          <w:rPr>
            <w:rFonts w:asciiTheme="minorHAnsi" w:eastAsiaTheme="minorEastAsia" w:hAnsiTheme="minorHAnsi" w:cstheme="minorBidi"/>
            <w:sz w:val="22"/>
            <w:szCs w:val="22"/>
            <w:lang w:eastAsia="pl-PL"/>
          </w:rPr>
          <w:tab/>
        </w:r>
        <w:r w:rsidRPr="00FE6858">
          <w:rPr>
            <w:rStyle w:val="Hipercze"/>
          </w:rPr>
          <w:t>Ocena postępu w osiąganiu celów środowiskowych jcwp</w:t>
        </w:r>
        <w:r>
          <w:rPr>
            <w:webHidden/>
          </w:rPr>
          <w:tab/>
        </w:r>
        <w:r>
          <w:rPr>
            <w:webHidden/>
          </w:rPr>
          <w:fldChar w:fldCharType="begin"/>
        </w:r>
        <w:r>
          <w:rPr>
            <w:webHidden/>
          </w:rPr>
          <w:instrText xml:space="preserve"> PAGEREF _Toc68726868 \h </w:instrText>
        </w:r>
        <w:r>
          <w:rPr>
            <w:webHidden/>
          </w:rPr>
        </w:r>
        <w:r>
          <w:rPr>
            <w:webHidden/>
          </w:rPr>
          <w:fldChar w:fldCharType="separate"/>
        </w:r>
        <w:r>
          <w:rPr>
            <w:webHidden/>
          </w:rPr>
          <w:t>140</w:t>
        </w:r>
        <w:r>
          <w:rPr>
            <w:webHidden/>
          </w:rPr>
          <w:fldChar w:fldCharType="end"/>
        </w:r>
      </w:hyperlink>
    </w:p>
    <w:p w14:paraId="7489D0F2" w14:textId="14AA2777" w:rsidR="006C4947" w:rsidRDefault="006C4947">
      <w:pPr>
        <w:pStyle w:val="Spistreci3"/>
        <w:rPr>
          <w:rFonts w:asciiTheme="minorHAnsi" w:eastAsiaTheme="minorEastAsia" w:hAnsiTheme="minorHAnsi" w:cstheme="minorBidi"/>
          <w:i w:val="0"/>
          <w:sz w:val="22"/>
          <w:szCs w:val="22"/>
          <w:lang w:eastAsia="pl-PL"/>
        </w:rPr>
      </w:pPr>
      <w:hyperlink w:anchor="_Toc68726869" w:history="1">
        <w:r w:rsidRPr="00FE6858">
          <w:rPr>
            <w:rStyle w:val="Hipercze"/>
          </w:rPr>
          <w:t>9.1.1</w:t>
        </w:r>
        <w:r>
          <w:rPr>
            <w:rFonts w:asciiTheme="minorHAnsi" w:eastAsiaTheme="minorEastAsia" w:hAnsiTheme="minorHAnsi" w:cstheme="minorBidi"/>
            <w:i w:val="0"/>
            <w:sz w:val="22"/>
            <w:szCs w:val="22"/>
            <w:lang w:eastAsia="pl-PL"/>
          </w:rPr>
          <w:tab/>
        </w:r>
        <w:r w:rsidRPr="00FE6858">
          <w:rPr>
            <w:rStyle w:val="Hipercze"/>
          </w:rPr>
          <w:t>Ocena postępu w osiąganiu celów środowiskowych dla stanu/potencjału ekologicznego jcwp RW w okresie od 2016 r. do 2021 r. wraz z wyjaśnieniem przyczyn nieosiągnięcia celów środowiskowych dla nich określonych</w:t>
        </w:r>
        <w:r>
          <w:rPr>
            <w:webHidden/>
          </w:rPr>
          <w:tab/>
        </w:r>
        <w:r>
          <w:rPr>
            <w:webHidden/>
          </w:rPr>
          <w:fldChar w:fldCharType="begin"/>
        </w:r>
        <w:r>
          <w:rPr>
            <w:webHidden/>
          </w:rPr>
          <w:instrText xml:space="preserve"> PAGEREF _Toc68726869 \h </w:instrText>
        </w:r>
        <w:r>
          <w:rPr>
            <w:webHidden/>
          </w:rPr>
        </w:r>
        <w:r>
          <w:rPr>
            <w:webHidden/>
          </w:rPr>
          <w:fldChar w:fldCharType="separate"/>
        </w:r>
        <w:r>
          <w:rPr>
            <w:webHidden/>
          </w:rPr>
          <w:t>140</w:t>
        </w:r>
        <w:r>
          <w:rPr>
            <w:webHidden/>
          </w:rPr>
          <w:fldChar w:fldCharType="end"/>
        </w:r>
      </w:hyperlink>
    </w:p>
    <w:p w14:paraId="6621D5FD" w14:textId="11347CC0" w:rsidR="006C4947" w:rsidRDefault="006C4947">
      <w:pPr>
        <w:pStyle w:val="Spistreci3"/>
        <w:rPr>
          <w:rFonts w:asciiTheme="minorHAnsi" w:eastAsiaTheme="minorEastAsia" w:hAnsiTheme="minorHAnsi" w:cstheme="minorBidi"/>
          <w:i w:val="0"/>
          <w:sz w:val="22"/>
          <w:szCs w:val="22"/>
          <w:lang w:eastAsia="pl-PL"/>
        </w:rPr>
      </w:pPr>
      <w:hyperlink w:anchor="_Toc68726870" w:history="1">
        <w:r w:rsidRPr="00FE6858">
          <w:rPr>
            <w:rStyle w:val="Hipercze"/>
            <w:bCs/>
          </w:rPr>
          <w:t>9.1.2</w:t>
        </w:r>
        <w:r>
          <w:rPr>
            <w:rFonts w:asciiTheme="minorHAnsi" w:eastAsiaTheme="minorEastAsia" w:hAnsiTheme="minorHAnsi" w:cstheme="minorBidi"/>
            <w:i w:val="0"/>
            <w:sz w:val="22"/>
            <w:szCs w:val="22"/>
            <w:lang w:eastAsia="pl-PL"/>
          </w:rPr>
          <w:tab/>
        </w:r>
        <w:r w:rsidRPr="00FE6858">
          <w:rPr>
            <w:rStyle w:val="Hipercze"/>
          </w:rPr>
          <w:t>Ocena postępu w osiąganiu celów środowiskowych dla stanu chemicznego jcwp RW w okresie od 2016-2021 r. wraz z wyjaśnieniem przyczyn nieosiągnięcia celów środowiskowych</w:t>
        </w:r>
        <w:r>
          <w:rPr>
            <w:webHidden/>
          </w:rPr>
          <w:tab/>
        </w:r>
        <w:r>
          <w:rPr>
            <w:webHidden/>
          </w:rPr>
          <w:fldChar w:fldCharType="begin"/>
        </w:r>
        <w:r>
          <w:rPr>
            <w:webHidden/>
          </w:rPr>
          <w:instrText xml:space="preserve"> PAGEREF _Toc68726870 \h </w:instrText>
        </w:r>
        <w:r>
          <w:rPr>
            <w:webHidden/>
          </w:rPr>
        </w:r>
        <w:r>
          <w:rPr>
            <w:webHidden/>
          </w:rPr>
          <w:fldChar w:fldCharType="separate"/>
        </w:r>
        <w:r>
          <w:rPr>
            <w:webHidden/>
          </w:rPr>
          <w:t>142</w:t>
        </w:r>
        <w:r>
          <w:rPr>
            <w:webHidden/>
          </w:rPr>
          <w:fldChar w:fldCharType="end"/>
        </w:r>
      </w:hyperlink>
    </w:p>
    <w:p w14:paraId="3B1B3156" w14:textId="206741A7" w:rsidR="006C4947" w:rsidRDefault="006C4947">
      <w:pPr>
        <w:pStyle w:val="Spistreci3"/>
        <w:rPr>
          <w:rFonts w:asciiTheme="minorHAnsi" w:eastAsiaTheme="minorEastAsia" w:hAnsiTheme="minorHAnsi" w:cstheme="minorBidi"/>
          <w:i w:val="0"/>
          <w:sz w:val="22"/>
          <w:szCs w:val="22"/>
          <w:lang w:eastAsia="pl-PL"/>
        </w:rPr>
      </w:pPr>
      <w:hyperlink w:anchor="_Toc68726871" w:history="1">
        <w:r w:rsidRPr="00FE6858">
          <w:rPr>
            <w:rStyle w:val="Hipercze"/>
            <w:bCs/>
          </w:rPr>
          <w:t>9.1.3</w:t>
        </w:r>
        <w:r>
          <w:rPr>
            <w:rFonts w:asciiTheme="minorHAnsi" w:eastAsiaTheme="minorEastAsia" w:hAnsiTheme="minorHAnsi" w:cstheme="minorBidi"/>
            <w:i w:val="0"/>
            <w:sz w:val="22"/>
            <w:szCs w:val="22"/>
            <w:lang w:eastAsia="pl-PL"/>
          </w:rPr>
          <w:tab/>
        </w:r>
        <w:r w:rsidRPr="00FE6858">
          <w:rPr>
            <w:rStyle w:val="Hipercze"/>
          </w:rPr>
          <w:t>Ocena postępu w osiąganiu celów środowiskowych dla stanu/potencjału ekologicznego jcwp LW w okresie od 2016-2021 r. wraz z wyjaśnieniem przyczyn nieosiągnięcia celów środowiskowych</w:t>
        </w:r>
        <w:r>
          <w:rPr>
            <w:webHidden/>
          </w:rPr>
          <w:tab/>
        </w:r>
        <w:r>
          <w:rPr>
            <w:webHidden/>
          </w:rPr>
          <w:fldChar w:fldCharType="begin"/>
        </w:r>
        <w:r>
          <w:rPr>
            <w:webHidden/>
          </w:rPr>
          <w:instrText xml:space="preserve"> PAGEREF _Toc68726871 \h </w:instrText>
        </w:r>
        <w:r>
          <w:rPr>
            <w:webHidden/>
          </w:rPr>
        </w:r>
        <w:r>
          <w:rPr>
            <w:webHidden/>
          </w:rPr>
          <w:fldChar w:fldCharType="separate"/>
        </w:r>
        <w:r>
          <w:rPr>
            <w:webHidden/>
          </w:rPr>
          <w:t>145</w:t>
        </w:r>
        <w:r>
          <w:rPr>
            <w:webHidden/>
          </w:rPr>
          <w:fldChar w:fldCharType="end"/>
        </w:r>
      </w:hyperlink>
    </w:p>
    <w:p w14:paraId="1D4095B3" w14:textId="5FE23839" w:rsidR="006C4947" w:rsidRDefault="006C4947">
      <w:pPr>
        <w:pStyle w:val="Spistreci3"/>
        <w:rPr>
          <w:rFonts w:asciiTheme="minorHAnsi" w:eastAsiaTheme="minorEastAsia" w:hAnsiTheme="minorHAnsi" w:cstheme="minorBidi"/>
          <w:i w:val="0"/>
          <w:sz w:val="22"/>
          <w:szCs w:val="22"/>
          <w:lang w:eastAsia="pl-PL"/>
        </w:rPr>
      </w:pPr>
      <w:hyperlink w:anchor="_Toc68726872" w:history="1">
        <w:r w:rsidRPr="00FE6858">
          <w:rPr>
            <w:rStyle w:val="Hipercze"/>
          </w:rPr>
          <w:t>9.1.4</w:t>
        </w:r>
        <w:r>
          <w:rPr>
            <w:rFonts w:asciiTheme="minorHAnsi" w:eastAsiaTheme="minorEastAsia" w:hAnsiTheme="minorHAnsi" w:cstheme="minorBidi"/>
            <w:i w:val="0"/>
            <w:sz w:val="22"/>
            <w:szCs w:val="22"/>
            <w:lang w:eastAsia="pl-PL"/>
          </w:rPr>
          <w:tab/>
        </w:r>
        <w:r w:rsidRPr="00FE6858">
          <w:rPr>
            <w:rStyle w:val="Hipercze"/>
          </w:rPr>
          <w:t>Ocena postępu w osiąganiu celów środowiskowych dla stanu chemicznego jcwp LW w okresie od 2016-2021 r. wraz z wyjaśnieniem przyczyn nieosiągnięcia celów środowiskowych</w:t>
        </w:r>
        <w:r>
          <w:rPr>
            <w:webHidden/>
          </w:rPr>
          <w:tab/>
        </w:r>
        <w:r>
          <w:rPr>
            <w:webHidden/>
          </w:rPr>
          <w:fldChar w:fldCharType="begin"/>
        </w:r>
        <w:r>
          <w:rPr>
            <w:webHidden/>
          </w:rPr>
          <w:instrText xml:space="preserve"> PAGEREF _Toc68726872 \h </w:instrText>
        </w:r>
        <w:r>
          <w:rPr>
            <w:webHidden/>
          </w:rPr>
        </w:r>
        <w:r>
          <w:rPr>
            <w:webHidden/>
          </w:rPr>
          <w:fldChar w:fldCharType="separate"/>
        </w:r>
        <w:r>
          <w:rPr>
            <w:webHidden/>
          </w:rPr>
          <w:t>147</w:t>
        </w:r>
        <w:r>
          <w:rPr>
            <w:webHidden/>
          </w:rPr>
          <w:fldChar w:fldCharType="end"/>
        </w:r>
      </w:hyperlink>
    </w:p>
    <w:p w14:paraId="51BBA541" w14:textId="7D69DBC1" w:rsidR="006C4947" w:rsidRDefault="006C4947">
      <w:pPr>
        <w:pStyle w:val="Spistreci2"/>
        <w:rPr>
          <w:rFonts w:asciiTheme="minorHAnsi" w:eastAsiaTheme="minorEastAsia" w:hAnsiTheme="minorHAnsi" w:cstheme="minorBidi"/>
          <w:sz w:val="22"/>
          <w:szCs w:val="22"/>
          <w:lang w:eastAsia="pl-PL"/>
        </w:rPr>
      </w:pPr>
      <w:hyperlink w:anchor="_Toc68726873" w:history="1">
        <w:r w:rsidRPr="00FE6858">
          <w:rPr>
            <w:rStyle w:val="Hipercze"/>
            <w:bCs/>
          </w:rPr>
          <w:t>9.2</w:t>
        </w:r>
        <w:r>
          <w:rPr>
            <w:rFonts w:asciiTheme="minorHAnsi" w:eastAsiaTheme="minorEastAsia" w:hAnsiTheme="minorHAnsi" w:cstheme="minorBidi"/>
            <w:sz w:val="22"/>
            <w:szCs w:val="22"/>
            <w:lang w:eastAsia="pl-PL"/>
          </w:rPr>
          <w:tab/>
        </w:r>
        <w:r w:rsidRPr="00FE6858">
          <w:rPr>
            <w:rStyle w:val="Hipercze"/>
          </w:rPr>
          <w:t>Ocena postępu w osiąganiu celów środowiskowych jcwpd</w:t>
        </w:r>
        <w:r>
          <w:rPr>
            <w:webHidden/>
          </w:rPr>
          <w:tab/>
        </w:r>
        <w:r>
          <w:rPr>
            <w:webHidden/>
          </w:rPr>
          <w:fldChar w:fldCharType="begin"/>
        </w:r>
        <w:r>
          <w:rPr>
            <w:webHidden/>
          </w:rPr>
          <w:instrText xml:space="preserve"> PAGEREF _Toc68726873 \h </w:instrText>
        </w:r>
        <w:r>
          <w:rPr>
            <w:webHidden/>
          </w:rPr>
        </w:r>
        <w:r>
          <w:rPr>
            <w:webHidden/>
          </w:rPr>
          <w:fldChar w:fldCharType="separate"/>
        </w:r>
        <w:r>
          <w:rPr>
            <w:webHidden/>
          </w:rPr>
          <w:t>149</w:t>
        </w:r>
        <w:r>
          <w:rPr>
            <w:webHidden/>
          </w:rPr>
          <w:fldChar w:fldCharType="end"/>
        </w:r>
      </w:hyperlink>
    </w:p>
    <w:p w14:paraId="26BF956B" w14:textId="4EAD31DB" w:rsidR="006C4947" w:rsidRDefault="006C4947">
      <w:pPr>
        <w:pStyle w:val="Spistreci2"/>
        <w:rPr>
          <w:rFonts w:asciiTheme="minorHAnsi" w:eastAsiaTheme="minorEastAsia" w:hAnsiTheme="minorHAnsi" w:cstheme="minorBidi"/>
          <w:sz w:val="22"/>
          <w:szCs w:val="22"/>
          <w:lang w:eastAsia="pl-PL"/>
        </w:rPr>
      </w:pPr>
      <w:hyperlink w:anchor="_Toc68726874" w:history="1">
        <w:r w:rsidRPr="00FE6858">
          <w:rPr>
            <w:rStyle w:val="Hipercze"/>
            <w:bCs/>
          </w:rPr>
          <w:t>9.3</w:t>
        </w:r>
        <w:r>
          <w:rPr>
            <w:rFonts w:asciiTheme="minorHAnsi" w:eastAsiaTheme="minorEastAsia" w:hAnsiTheme="minorHAnsi" w:cstheme="minorBidi"/>
            <w:sz w:val="22"/>
            <w:szCs w:val="22"/>
            <w:lang w:eastAsia="pl-PL"/>
          </w:rPr>
          <w:tab/>
        </w:r>
        <w:r w:rsidRPr="00FE6858">
          <w:rPr>
            <w:rStyle w:val="Hipercze"/>
          </w:rPr>
          <w:t>Ocena postępu w osiąganiu celów środowiskowych dla obszarów chronionych</w:t>
        </w:r>
        <w:r>
          <w:rPr>
            <w:webHidden/>
          </w:rPr>
          <w:tab/>
        </w:r>
        <w:r>
          <w:rPr>
            <w:webHidden/>
          </w:rPr>
          <w:fldChar w:fldCharType="begin"/>
        </w:r>
        <w:r>
          <w:rPr>
            <w:webHidden/>
          </w:rPr>
          <w:instrText xml:space="preserve"> PAGEREF _Toc68726874 \h </w:instrText>
        </w:r>
        <w:r>
          <w:rPr>
            <w:webHidden/>
          </w:rPr>
        </w:r>
        <w:r>
          <w:rPr>
            <w:webHidden/>
          </w:rPr>
          <w:fldChar w:fldCharType="separate"/>
        </w:r>
        <w:r>
          <w:rPr>
            <w:webHidden/>
          </w:rPr>
          <w:t>150</w:t>
        </w:r>
        <w:r>
          <w:rPr>
            <w:webHidden/>
          </w:rPr>
          <w:fldChar w:fldCharType="end"/>
        </w:r>
      </w:hyperlink>
    </w:p>
    <w:p w14:paraId="1ED3E571" w14:textId="76802221" w:rsidR="006C4947" w:rsidRDefault="006C4947">
      <w:pPr>
        <w:pStyle w:val="Spistreci1"/>
        <w:rPr>
          <w:rFonts w:asciiTheme="minorHAnsi" w:eastAsiaTheme="minorEastAsia" w:hAnsiTheme="minorHAnsi" w:cstheme="minorBidi"/>
          <w:b w:val="0"/>
          <w:smallCaps w:val="0"/>
          <w:sz w:val="22"/>
          <w:szCs w:val="22"/>
          <w:lang w:eastAsia="pl-PL"/>
        </w:rPr>
      </w:pPr>
      <w:hyperlink w:anchor="_Toc68726875" w:history="1">
        <w:r w:rsidRPr="00FE6858">
          <w:rPr>
            <w:rStyle w:val="Hipercze"/>
          </w:rPr>
          <w:t>10</w:t>
        </w:r>
        <w:r>
          <w:rPr>
            <w:rFonts w:asciiTheme="minorHAnsi" w:eastAsiaTheme="minorEastAsia" w:hAnsiTheme="minorHAnsi" w:cstheme="minorBidi"/>
            <w:b w:val="0"/>
            <w:smallCaps w:val="0"/>
            <w:sz w:val="22"/>
            <w:szCs w:val="22"/>
            <w:lang w:eastAsia="pl-PL"/>
          </w:rPr>
          <w:tab/>
        </w:r>
        <w:r w:rsidRPr="00FE6858">
          <w:rPr>
            <w:rStyle w:val="Hipercze"/>
          </w:rPr>
          <w:t>Podsumowanie działań zawartych w aPGW</w:t>
        </w:r>
        <w:r>
          <w:rPr>
            <w:webHidden/>
          </w:rPr>
          <w:tab/>
        </w:r>
        <w:r>
          <w:rPr>
            <w:webHidden/>
          </w:rPr>
          <w:fldChar w:fldCharType="begin"/>
        </w:r>
        <w:r>
          <w:rPr>
            <w:webHidden/>
          </w:rPr>
          <w:instrText xml:space="preserve"> PAGEREF _Toc68726875 \h </w:instrText>
        </w:r>
        <w:r>
          <w:rPr>
            <w:webHidden/>
          </w:rPr>
        </w:r>
        <w:r>
          <w:rPr>
            <w:webHidden/>
          </w:rPr>
          <w:fldChar w:fldCharType="separate"/>
        </w:r>
        <w:r>
          <w:rPr>
            <w:webHidden/>
          </w:rPr>
          <w:t>153</w:t>
        </w:r>
        <w:r>
          <w:rPr>
            <w:webHidden/>
          </w:rPr>
          <w:fldChar w:fldCharType="end"/>
        </w:r>
      </w:hyperlink>
    </w:p>
    <w:p w14:paraId="4215E309" w14:textId="38C86805" w:rsidR="006C4947" w:rsidRDefault="006C4947">
      <w:pPr>
        <w:pStyle w:val="Spistreci2"/>
        <w:rPr>
          <w:rFonts w:asciiTheme="minorHAnsi" w:eastAsiaTheme="minorEastAsia" w:hAnsiTheme="minorHAnsi" w:cstheme="minorBidi"/>
          <w:sz w:val="22"/>
          <w:szCs w:val="22"/>
          <w:lang w:eastAsia="pl-PL"/>
        </w:rPr>
      </w:pPr>
      <w:hyperlink w:anchor="_Toc68726876" w:history="1">
        <w:r w:rsidRPr="00FE6858">
          <w:rPr>
            <w:rStyle w:val="Hipercze"/>
          </w:rPr>
          <w:t>10.1</w:t>
        </w:r>
        <w:r>
          <w:rPr>
            <w:rFonts w:asciiTheme="minorHAnsi" w:eastAsiaTheme="minorEastAsia" w:hAnsiTheme="minorHAnsi" w:cstheme="minorBidi"/>
            <w:sz w:val="22"/>
            <w:szCs w:val="22"/>
            <w:lang w:eastAsia="pl-PL"/>
          </w:rPr>
          <w:tab/>
        </w:r>
        <w:r w:rsidRPr="00FE6858">
          <w:rPr>
            <w:rStyle w:val="Hipercze"/>
          </w:rPr>
          <w:t>Podsumowanie informacji uzyskanych w wyniku monitorowania  realizacji działań zawartych w ostatnim planie gospodarowania  wodami na obszarze dorzecza, pozyskanych na podstawie art. 328 ust. 2 ustawy Prawo wodne</w:t>
        </w:r>
        <w:r>
          <w:rPr>
            <w:webHidden/>
          </w:rPr>
          <w:tab/>
        </w:r>
        <w:r>
          <w:rPr>
            <w:webHidden/>
          </w:rPr>
          <w:fldChar w:fldCharType="begin"/>
        </w:r>
        <w:r>
          <w:rPr>
            <w:webHidden/>
          </w:rPr>
          <w:instrText xml:space="preserve"> PAGEREF _Toc68726876 \h </w:instrText>
        </w:r>
        <w:r>
          <w:rPr>
            <w:webHidden/>
          </w:rPr>
        </w:r>
        <w:r>
          <w:rPr>
            <w:webHidden/>
          </w:rPr>
          <w:fldChar w:fldCharType="separate"/>
        </w:r>
        <w:r>
          <w:rPr>
            <w:webHidden/>
          </w:rPr>
          <w:t>153</w:t>
        </w:r>
        <w:r>
          <w:rPr>
            <w:webHidden/>
          </w:rPr>
          <w:fldChar w:fldCharType="end"/>
        </w:r>
      </w:hyperlink>
    </w:p>
    <w:p w14:paraId="5CB3B8F1" w14:textId="150E32D7" w:rsidR="006C4947" w:rsidRDefault="006C4947">
      <w:pPr>
        <w:pStyle w:val="Spistreci2"/>
        <w:rPr>
          <w:rFonts w:asciiTheme="minorHAnsi" w:eastAsiaTheme="minorEastAsia" w:hAnsiTheme="minorHAnsi" w:cstheme="minorBidi"/>
          <w:sz w:val="22"/>
          <w:szCs w:val="22"/>
          <w:lang w:eastAsia="pl-PL"/>
        </w:rPr>
      </w:pPr>
      <w:hyperlink w:anchor="_Toc68726877" w:history="1">
        <w:r w:rsidRPr="00FE6858">
          <w:rPr>
            <w:rStyle w:val="Hipercze"/>
          </w:rPr>
          <w:t>10.2</w:t>
        </w:r>
        <w:r>
          <w:rPr>
            <w:rFonts w:asciiTheme="minorHAnsi" w:eastAsiaTheme="minorEastAsia" w:hAnsiTheme="minorHAnsi" w:cstheme="minorBidi"/>
            <w:sz w:val="22"/>
            <w:szCs w:val="22"/>
            <w:lang w:eastAsia="pl-PL"/>
          </w:rPr>
          <w:tab/>
        </w:r>
        <w:r w:rsidRPr="00FE6858">
          <w:rPr>
            <w:rStyle w:val="Hipercze"/>
          </w:rPr>
          <w:t>Działania z aPGW, które nie zostały zrealizowane</w:t>
        </w:r>
        <w:r>
          <w:rPr>
            <w:webHidden/>
          </w:rPr>
          <w:tab/>
        </w:r>
        <w:r>
          <w:rPr>
            <w:webHidden/>
          </w:rPr>
          <w:fldChar w:fldCharType="begin"/>
        </w:r>
        <w:r>
          <w:rPr>
            <w:webHidden/>
          </w:rPr>
          <w:instrText xml:space="preserve"> PAGEREF _Toc68726877 \h </w:instrText>
        </w:r>
        <w:r>
          <w:rPr>
            <w:webHidden/>
          </w:rPr>
        </w:r>
        <w:r>
          <w:rPr>
            <w:webHidden/>
          </w:rPr>
          <w:fldChar w:fldCharType="separate"/>
        </w:r>
        <w:r>
          <w:rPr>
            <w:webHidden/>
          </w:rPr>
          <w:t>160</w:t>
        </w:r>
        <w:r>
          <w:rPr>
            <w:webHidden/>
          </w:rPr>
          <w:fldChar w:fldCharType="end"/>
        </w:r>
      </w:hyperlink>
    </w:p>
    <w:p w14:paraId="75CAEC3C" w14:textId="152C15B7" w:rsidR="006C4947" w:rsidRDefault="006C4947">
      <w:pPr>
        <w:pStyle w:val="Spistreci2"/>
        <w:rPr>
          <w:rFonts w:asciiTheme="minorHAnsi" w:eastAsiaTheme="minorEastAsia" w:hAnsiTheme="minorHAnsi" w:cstheme="minorBidi"/>
          <w:sz w:val="22"/>
          <w:szCs w:val="22"/>
          <w:lang w:eastAsia="pl-PL"/>
        </w:rPr>
      </w:pPr>
      <w:hyperlink w:anchor="_Toc68726878" w:history="1">
        <w:r w:rsidRPr="00FE6858">
          <w:rPr>
            <w:rStyle w:val="Hipercze"/>
          </w:rPr>
          <w:t>10.3</w:t>
        </w:r>
        <w:r>
          <w:rPr>
            <w:rFonts w:asciiTheme="minorHAnsi" w:eastAsiaTheme="minorEastAsia" w:hAnsiTheme="minorHAnsi" w:cstheme="minorBidi"/>
            <w:sz w:val="22"/>
            <w:szCs w:val="22"/>
            <w:lang w:eastAsia="pl-PL"/>
          </w:rPr>
          <w:tab/>
        </w:r>
        <w:r w:rsidRPr="00FE6858">
          <w:rPr>
            <w:rStyle w:val="Hipercze"/>
          </w:rPr>
          <w:t>Konieczne, dodatkowe działania podjęte w trakcie realizacji aPGW na obszarze dorzecza</w:t>
        </w:r>
        <w:r>
          <w:rPr>
            <w:webHidden/>
          </w:rPr>
          <w:tab/>
        </w:r>
        <w:r>
          <w:rPr>
            <w:webHidden/>
          </w:rPr>
          <w:fldChar w:fldCharType="begin"/>
        </w:r>
        <w:r>
          <w:rPr>
            <w:webHidden/>
          </w:rPr>
          <w:instrText xml:space="preserve"> PAGEREF _Toc68726878 \h </w:instrText>
        </w:r>
        <w:r>
          <w:rPr>
            <w:webHidden/>
          </w:rPr>
        </w:r>
        <w:r>
          <w:rPr>
            <w:webHidden/>
          </w:rPr>
          <w:fldChar w:fldCharType="separate"/>
        </w:r>
        <w:r>
          <w:rPr>
            <w:webHidden/>
          </w:rPr>
          <w:t>161</w:t>
        </w:r>
        <w:r>
          <w:rPr>
            <w:webHidden/>
          </w:rPr>
          <w:fldChar w:fldCharType="end"/>
        </w:r>
      </w:hyperlink>
    </w:p>
    <w:p w14:paraId="04D5AF37" w14:textId="4481A28D" w:rsidR="006C4947" w:rsidRDefault="006C4947">
      <w:pPr>
        <w:pStyle w:val="Spistreci1"/>
        <w:rPr>
          <w:rFonts w:asciiTheme="minorHAnsi" w:eastAsiaTheme="minorEastAsia" w:hAnsiTheme="minorHAnsi" w:cstheme="minorBidi"/>
          <w:b w:val="0"/>
          <w:smallCaps w:val="0"/>
          <w:sz w:val="22"/>
          <w:szCs w:val="22"/>
          <w:lang w:eastAsia="pl-PL"/>
        </w:rPr>
      </w:pPr>
      <w:hyperlink w:anchor="_Toc68726879" w:history="1">
        <w:r w:rsidRPr="00FE6858">
          <w:rPr>
            <w:rStyle w:val="Hipercze"/>
          </w:rPr>
          <w:t>11</w:t>
        </w:r>
        <w:r>
          <w:rPr>
            <w:rFonts w:asciiTheme="minorHAnsi" w:eastAsiaTheme="minorEastAsia" w:hAnsiTheme="minorHAnsi" w:cstheme="minorBidi"/>
            <w:b w:val="0"/>
            <w:smallCaps w:val="0"/>
            <w:sz w:val="22"/>
            <w:szCs w:val="22"/>
            <w:lang w:eastAsia="pl-PL"/>
          </w:rPr>
          <w:tab/>
        </w:r>
        <w:r w:rsidRPr="00FE6858">
          <w:rPr>
            <w:rStyle w:val="Hipercze"/>
          </w:rPr>
          <w:t>Analizy ekonomiczne związane z korzystaniem z wód</w:t>
        </w:r>
        <w:r>
          <w:rPr>
            <w:webHidden/>
          </w:rPr>
          <w:tab/>
        </w:r>
        <w:r>
          <w:rPr>
            <w:webHidden/>
          </w:rPr>
          <w:fldChar w:fldCharType="begin"/>
        </w:r>
        <w:r>
          <w:rPr>
            <w:webHidden/>
          </w:rPr>
          <w:instrText xml:space="preserve"> PAGEREF _Toc68726879 \h </w:instrText>
        </w:r>
        <w:r>
          <w:rPr>
            <w:webHidden/>
          </w:rPr>
        </w:r>
        <w:r>
          <w:rPr>
            <w:webHidden/>
          </w:rPr>
          <w:fldChar w:fldCharType="separate"/>
        </w:r>
        <w:r>
          <w:rPr>
            <w:webHidden/>
          </w:rPr>
          <w:t>163</w:t>
        </w:r>
        <w:r>
          <w:rPr>
            <w:webHidden/>
          </w:rPr>
          <w:fldChar w:fldCharType="end"/>
        </w:r>
      </w:hyperlink>
    </w:p>
    <w:p w14:paraId="14AF765F" w14:textId="2990C4AD" w:rsidR="006C4947" w:rsidRDefault="006C4947">
      <w:pPr>
        <w:pStyle w:val="Spistreci2"/>
        <w:rPr>
          <w:rFonts w:asciiTheme="minorHAnsi" w:eastAsiaTheme="minorEastAsia" w:hAnsiTheme="minorHAnsi" w:cstheme="minorBidi"/>
          <w:sz w:val="22"/>
          <w:szCs w:val="22"/>
          <w:lang w:eastAsia="pl-PL"/>
        </w:rPr>
      </w:pPr>
      <w:hyperlink w:anchor="_Toc68726880" w:history="1">
        <w:r w:rsidRPr="00FE6858">
          <w:rPr>
            <w:rStyle w:val="Hipercze"/>
          </w:rPr>
          <w:t>11.1</w:t>
        </w:r>
        <w:r>
          <w:rPr>
            <w:rFonts w:asciiTheme="minorHAnsi" w:eastAsiaTheme="minorEastAsia" w:hAnsiTheme="minorHAnsi" w:cstheme="minorBidi"/>
            <w:sz w:val="22"/>
            <w:szCs w:val="22"/>
            <w:lang w:eastAsia="pl-PL"/>
          </w:rPr>
          <w:tab/>
        </w:r>
        <w:r w:rsidRPr="00FE6858">
          <w:rPr>
            <w:rStyle w:val="Hipercze"/>
          </w:rPr>
          <w:t>Analiza zwrotu kosztów usług wodnych</w:t>
        </w:r>
        <w:r>
          <w:rPr>
            <w:webHidden/>
          </w:rPr>
          <w:tab/>
        </w:r>
        <w:r>
          <w:rPr>
            <w:webHidden/>
          </w:rPr>
          <w:fldChar w:fldCharType="begin"/>
        </w:r>
        <w:r>
          <w:rPr>
            <w:webHidden/>
          </w:rPr>
          <w:instrText xml:space="preserve"> PAGEREF _Toc68726880 \h </w:instrText>
        </w:r>
        <w:r>
          <w:rPr>
            <w:webHidden/>
          </w:rPr>
        </w:r>
        <w:r>
          <w:rPr>
            <w:webHidden/>
          </w:rPr>
          <w:fldChar w:fldCharType="separate"/>
        </w:r>
        <w:r>
          <w:rPr>
            <w:webHidden/>
          </w:rPr>
          <w:t>164</w:t>
        </w:r>
        <w:r>
          <w:rPr>
            <w:webHidden/>
          </w:rPr>
          <w:fldChar w:fldCharType="end"/>
        </w:r>
      </w:hyperlink>
    </w:p>
    <w:p w14:paraId="2A5CE67E" w14:textId="7E7FA6CD" w:rsidR="006C4947" w:rsidRDefault="006C4947">
      <w:pPr>
        <w:pStyle w:val="Spistreci3"/>
        <w:rPr>
          <w:rFonts w:asciiTheme="minorHAnsi" w:eastAsiaTheme="minorEastAsia" w:hAnsiTheme="minorHAnsi" w:cstheme="minorBidi"/>
          <w:i w:val="0"/>
          <w:sz w:val="22"/>
          <w:szCs w:val="22"/>
          <w:lang w:eastAsia="pl-PL"/>
        </w:rPr>
      </w:pPr>
      <w:hyperlink w:anchor="_Toc68726881" w:history="1">
        <w:r w:rsidRPr="00FE6858">
          <w:rPr>
            <w:rStyle w:val="Hipercze"/>
          </w:rPr>
          <w:t>11.1.1</w:t>
        </w:r>
        <w:r>
          <w:rPr>
            <w:rFonts w:asciiTheme="minorHAnsi" w:eastAsiaTheme="minorEastAsia" w:hAnsiTheme="minorHAnsi" w:cstheme="minorBidi"/>
            <w:i w:val="0"/>
            <w:sz w:val="22"/>
            <w:szCs w:val="22"/>
            <w:lang w:eastAsia="pl-PL"/>
          </w:rPr>
          <w:tab/>
        </w:r>
        <w:r w:rsidRPr="00FE6858">
          <w:rPr>
            <w:rStyle w:val="Hipercze"/>
          </w:rPr>
          <w:t>Zinternalizowane koszty zasobowe - opłaty za usługi wodne w Polsce w 2019 r.</w:t>
        </w:r>
        <w:r>
          <w:rPr>
            <w:webHidden/>
          </w:rPr>
          <w:tab/>
        </w:r>
        <w:r>
          <w:rPr>
            <w:webHidden/>
          </w:rPr>
          <w:fldChar w:fldCharType="begin"/>
        </w:r>
        <w:r>
          <w:rPr>
            <w:webHidden/>
          </w:rPr>
          <w:instrText xml:space="preserve"> PAGEREF _Toc68726881 \h </w:instrText>
        </w:r>
        <w:r>
          <w:rPr>
            <w:webHidden/>
          </w:rPr>
        </w:r>
        <w:r>
          <w:rPr>
            <w:webHidden/>
          </w:rPr>
          <w:fldChar w:fldCharType="separate"/>
        </w:r>
        <w:r>
          <w:rPr>
            <w:webHidden/>
          </w:rPr>
          <w:t>164</w:t>
        </w:r>
        <w:r>
          <w:rPr>
            <w:webHidden/>
          </w:rPr>
          <w:fldChar w:fldCharType="end"/>
        </w:r>
      </w:hyperlink>
    </w:p>
    <w:p w14:paraId="49032A4B" w14:textId="1CF48368" w:rsidR="006C4947" w:rsidRDefault="006C4947">
      <w:pPr>
        <w:pStyle w:val="Spistreci3"/>
        <w:rPr>
          <w:rFonts w:asciiTheme="minorHAnsi" w:eastAsiaTheme="minorEastAsia" w:hAnsiTheme="minorHAnsi" w:cstheme="minorBidi"/>
          <w:i w:val="0"/>
          <w:sz w:val="22"/>
          <w:szCs w:val="22"/>
          <w:lang w:eastAsia="pl-PL"/>
        </w:rPr>
      </w:pPr>
      <w:hyperlink w:anchor="_Toc68726882" w:history="1">
        <w:r w:rsidRPr="00FE6858">
          <w:rPr>
            <w:rStyle w:val="Hipercze"/>
          </w:rPr>
          <w:t>11.1.2</w:t>
        </w:r>
        <w:r>
          <w:rPr>
            <w:rFonts w:asciiTheme="minorHAnsi" w:eastAsiaTheme="minorEastAsia" w:hAnsiTheme="minorHAnsi" w:cstheme="minorBidi"/>
            <w:i w:val="0"/>
            <w:sz w:val="22"/>
            <w:szCs w:val="22"/>
            <w:lang w:eastAsia="pl-PL"/>
          </w:rPr>
          <w:tab/>
        </w:r>
        <w:r w:rsidRPr="00FE6858">
          <w:rPr>
            <w:rStyle w:val="Hipercze"/>
          </w:rPr>
          <w:t>Koszty środowiskowe</w:t>
        </w:r>
        <w:r>
          <w:rPr>
            <w:webHidden/>
          </w:rPr>
          <w:tab/>
        </w:r>
        <w:r>
          <w:rPr>
            <w:webHidden/>
          </w:rPr>
          <w:fldChar w:fldCharType="begin"/>
        </w:r>
        <w:r>
          <w:rPr>
            <w:webHidden/>
          </w:rPr>
          <w:instrText xml:space="preserve"> PAGEREF _Toc68726882 \h </w:instrText>
        </w:r>
        <w:r>
          <w:rPr>
            <w:webHidden/>
          </w:rPr>
        </w:r>
        <w:r>
          <w:rPr>
            <w:webHidden/>
          </w:rPr>
          <w:fldChar w:fldCharType="separate"/>
        </w:r>
        <w:r>
          <w:rPr>
            <w:webHidden/>
          </w:rPr>
          <w:t>165</w:t>
        </w:r>
        <w:r>
          <w:rPr>
            <w:webHidden/>
          </w:rPr>
          <w:fldChar w:fldCharType="end"/>
        </w:r>
      </w:hyperlink>
    </w:p>
    <w:p w14:paraId="197A53C5" w14:textId="515DE40F" w:rsidR="006C4947" w:rsidRDefault="006C4947">
      <w:pPr>
        <w:pStyle w:val="Spistreci3"/>
        <w:rPr>
          <w:rFonts w:asciiTheme="minorHAnsi" w:eastAsiaTheme="minorEastAsia" w:hAnsiTheme="minorHAnsi" w:cstheme="minorBidi"/>
          <w:i w:val="0"/>
          <w:sz w:val="22"/>
          <w:szCs w:val="22"/>
          <w:lang w:eastAsia="pl-PL"/>
        </w:rPr>
      </w:pPr>
      <w:hyperlink w:anchor="_Toc68726883" w:history="1">
        <w:r w:rsidRPr="00FE6858">
          <w:rPr>
            <w:rStyle w:val="Hipercze"/>
          </w:rPr>
          <w:t>11.1.3</w:t>
        </w:r>
        <w:r>
          <w:rPr>
            <w:rFonts w:asciiTheme="minorHAnsi" w:eastAsiaTheme="minorEastAsia" w:hAnsiTheme="minorHAnsi" w:cstheme="minorBidi"/>
            <w:i w:val="0"/>
            <w:sz w:val="22"/>
            <w:szCs w:val="22"/>
            <w:lang w:eastAsia="pl-PL"/>
          </w:rPr>
          <w:tab/>
        </w:r>
        <w:r w:rsidRPr="00FE6858">
          <w:rPr>
            <w:rStyle w:val="Hipercze"/>
          </w:rPr>
          <w:t>Zwrot kosztów usług wodnych w sektorze komunalnym</w:t>
        </w:r>
        <w:r>
          <w:rPr>
            <w:webHidden/>
          </w:rPr>
          <w:tab/>
        </w:r>
        <w:r>
          <w:rPr>
            <w:webHidden/>
          </w:rPr>
          <w:fldChar w:fldCharType="begin"/>
        </w:r>
        <w:r>
          <w:rPr>
            <w:webHidden/>
          </w:rPr>
          <w:instrText xml:space="preserve"> PAGEREF _Toc68726883 \h </w:instrText>
        </w:r>
        <w:r>
          <w:rPr>
            <w:webHidden/>
          </w:rPr>
        </w:r>
        <w:r>
          <w:rPr>
            <w:webHidden/>
          </w:rPr>
          <w:fldChar w:fldCharType="separate"/>
        </w:r>
        <w:r>
          <w:rPr>
            <w:webHidden/>
          </w:rPr>
          <w:t>166</w:t>
        </w:r>
        <w:r>
          <w:rPr>
            <w:webHidden/>
          </w:rPr>
          <w:fldChar w:fldCharType="end"/>
        </w:r>
      </w:hyperlink>
    </w:p>
    <w:p w14:paraId="04EC5BDA" w14:textId="699AC2B2" w:rsidR="006C4947" w:rsidRDefault="006C4947">
      <w:pPr>
        <w:pStyle w:val="Spistreci3"/>
        <w:rPr>
          <w:rFonts w:asciiTheme="minorHAnsi" w:eastAsiaTheme="minorEastAsia" w:hAnsiTheme="minorHAnsi" w:cstheme="minorBidi"/>
          <w:i w:val="0"/>
          <w:sz w:val="22"/>
          <w:szCs w:val="22"/>
          <w:lang w:eastAsia="pl-PL"/>
        </w:rPr>
      </w:pPr>
      <w:hyperlink w:anchor="_Toc68726884" w:history="1">
        <w:r w:rsidRPr="00FE6858">
          <w:rPr>
            <w:rStyle w:val="Hipercze"/>
          </w:rPr>
          <w:t>11.1.4</w:t>
        </w:r>
        <w:r>
          <w:rPr>
            <w:rFonts w:asciiTheme="minorHAnsi" w:eastAsiaTheme="minorEastAsia" w:hAnsiTheme="minorHAnsi" w:cstheme="minorBidi"/>
            <w:i w:val="0"/>
            <w:sz w:val="22"/>
            <w:szCs w:val="22"/>
            <w:lang w:eastAsia="pl-PL"/>
          </w:rPr>
          <w:tab/>
        </w:r>
        <w:r w:rsidRPr="00FE6858">
          <w:rPr>
            <w:rStyle w:val="Hipercze"/>
          </w:rPr>
          <w:t>Zwrot kosztów usług wodnych w przemyśle</w:t>
        </w:r>
        <w:r>
          <w:rPr>
            <w:webHidden/>
          </w:rPr>
          <w:tab/>
        </w:r>
        <w:r>
          <w:rPr>
            <w:webHidden/>
          </w:rPr>
          <w:fldChar w:fldCharType="begin"/>
        </w:r>
        <w:r>
          <w:rPr>
            <w:webHidden/>
          </w:rPr>
          <w:instrText xml:space="preserve"> PAGEREF _Toc68726884 \h </w:instrText>
        </w:r>
        <w:r>
          <w:rPr>
            <w:webHidden/>
          </w:rPr>
        </w:r>
        <w:r>
          <w:rPr>
            <w:webHidden/>
          </w:rPr>
          <w:fldChar w:fldCharType="separate"/>
        </w:r>
        <w:r>
          <w:rPr>
            <w:webHidden/>
          </w:rPr>
          <w:t>167</w:t>
        </w:r>
        <w:r>
          <w:rPr>
            <w:webHidden/>
          </w:rPr>
          <w:fldChar w:fldCharType="end"/>
        </w:r>
      </w:hyperlink>
    </w:p>
    <w:p w14:paraId="7A8C5EE8" w14:textId="6B92A07E" w:rsidR="006C4947" w:rsidRDefault="006C4947">
      <w:pPr>
        <w:pStyle w:val="Spistreci3"/>
        <w:rPr>
          <w:rFonts w:asciiTheme="minorHAnsi" w:eastAsiaTheme="minorEastAsia" w:hAnsiTheme="minorHAnsi" w:cstheme="minorBidi"/>
          <w:i w:val="0"/>
          <w:sz w:val="22"/>
          <w:szCs w:val="22"/>
          <w:lang w:eastAsia="pl-PL"/>
        </w:rPr>
      </w:pPr>
      <w:hyperlink w:anchor="_Toc68726885" w:history="1">
        <w:r w:rsidRPr="00FE6858">
          <w:rPr>
            <w:rStyle w:val="Hipercze"/>
          </w:rPr>
          <w:t>11.1.5</w:t>
        </w:r>
        <w:r>
          <w:rPr>
            <w:rFonts w:asciiTheme="minorHAnsi" w:eastAsiaTheme="minorEastAsia" w:hAnsiTheme="minorHAnsi" w:cstheme="minorBidi"/>
            <w:i w:val="0"/>
            <w:sz w:val="22"/>
            <w:szCs w:val="22"/>
            <w:lang w:eastAsia="pl-PL"/>
          </w:rPr>
          <w:tab/>
        </w:r>
        <w:r w:rsidRPr="00FE6858">
          <w:rPr>
            <w:rStyle w:val="Hipercze"/>
          </w:rPr>
          <w:t>Zwrot kosztów usług wodnych w rolnictwie</w:t>
        </w:r>
        <w:r>
          <w:rPr>
            <w:webHidden/>
          </w:rPr>
          <w:tab/>
        </w:r>
        <w:r>
          <w:rPr>
            <w:webHidden/>
          </w:rPr>
          <w:fldChar w:fldCharType="begin"/>
        </w:r>
        <w:r>
          <w:rPr>
            <w:webHidden/>
          </w:rPr>
          <w:instrText xml:space="preserve"> PAGEREF _Toc68726885 \h </w:instrText>
        </w:r>
        <w:r>
          <w:rPr>
            <w:webHidden/>
          </w:rPr>
        </w:r>
        <w:r>
          <w:rPr>
            <w:webHidden/>
          </w:rPr>
          <w:fldChar w:fldCharType="separate"/>
        </w:r>
        <w:r>
          <w:rPr>
            <w:webHidden/>
          </w:rPr>
          <w:t>168</w:t>
        </w:r>
        <w:r>
          <w:rPr>
            <w:webHidden/>
          </w:rPr>
          <w:fldChar w:fldCharType="end"/>
        </w:r>
      </w:hyperlink>
    </w:p>
    <w:p w14:paraId="7621EAA1" w14:textId="1104816A" w:rsidR="006C4947" w:rsidRDefault="006C4947">
      <w:pPr>
        <w:pStyle w:val="Spistreci2"/>
        <w:rPr>
          <w:rFonts w:asciiTheme="minorHAnsi" w:eastAsiaTheme="minorEastAsia" w:hAnsiTheme="minorHAnsi" w:cstheme="minorBidi"/>
          <w:sz w:val="22"/>
          <w:szCs w:val="22"/>
          <w:lang w:eastAsia="pl-PL"/>
        </w:rPr>
      </w:pPr>
      <w:hyperlink w:anchor="_Toc68726886" w:history="1">
        <w:r w:rsidRPr="00FE6858">
          <w:rPr>
            <w:rStyle w:val="Hipercze"/>
          </w:rPr>
          <w:t>11.2</w:t>
        </w:r>
        <w:r>
          <w:rPr>
            <w:rFonts w:asciiTheme="minorHAnsi" w:eastAsiaTheme="minorEastAsia" w:hAnsiTheme="minorHAnsi" w:cstheme="minorBidi"/>
            <w:sz w:val="22"/>
            <w:szCs w:val="22"/>
            <w:lang w:eastAsia="pl-PL"/>
          </w:rPr>
          <w:tab/>
        </w:r>
        <w:r w:rsidRPr="00FE6858">
          <w:rPr>
            <w:rStyle w:val="Hipercze"/>
          </w:rPr>
          <w:t>Analiza efektywności kosztowej zestawu działań</w:t>
        </w:r>
        <w:r>
          <w:rPr>
            <w:webHidden/>
          </w:rPr>
          <w:tab/>
        </w:r>
        <w:r>
          <w:rPr>
            <w:webHidden/>
          </w:rPr>
          <w:fldChar w:fldCharType="begin"/>
        </w:r>
        <w:r>
          <w:rPr>
            <w:webHidden/>
          </w:rPr>
          <w:instrText xml:space="preserve"> PAGEREF _Toc68726886 \h </w:instrText>
        </w:r>
        <w:r>
          <w:rPr>
            <w:webHidden/>
          </w:rPr>
        </w:r>
        <w:r>
          <w:rPr>
            <w:webHidden/>
          </w:rPr>
          <w:fldChar w:fldCharType="separate"/>
        </w:r>
        <w:r>
          <w:rPr>
            <w:webHidden/>
          </w:rPr>
          <w:t>168</w:t>
        </w:r>
        <w:r>
          <w:rPr>
            <w:webHidden/>
          </w:rPr>
          <w:fldChar w:fldCharType="end"/>
        </w:r>
      </w:hyperlink>
    </w:p>
    <w:p w14:paraId="0E33288A" w14:textId="7318A93A" w:rsidR="006C4947" w:rsidRDefault="006C4947">
      <w:pPr>
        <w:pStyle w:val="Spistreci3"/>
        <w:rPr>
          <w:rFonts w:asciiTheme="minorHAnsi" w:eastAsiaTheme="minorEastAsia" w:hAnsiTheme="minorHAnsi" w:cstheme="minorBidi"/>
          <w:i w:val="0"/>
          <w:sz w:val="22"/>
          <w:szCs w:val="22"/>
          <w:lang w:eastAsia="pl-PL"/>
        </w:rPr>
      </w:pPr>
      <w:hyperlink w:anchor="_Toc68726887" w:history="1">
        <w:r w:rsidRPr="00FE6858">
          <w:rPr>
            <w:rStyle w:val="Hipercze"/>
          </w:rPr>
          <w:t>11.2.1</w:t>
        </w:r>
        <w:r>
          <w:rPr>
            <w:rFonts w:asciiTheme="minorHAnsi" w:eastAsiaTheme="minorEastAsia" w:hAnsiTheme="minorHAnsi" w:cstheme="minorBidi"/>
            <w:i w:val="0"/>
            <w:sz w:val="22"/>
            <w:szCs w:val="22"/>
            <w:lang w:eastAsia="pl-PL"/>
          </w:rPr>
          <w:tab/>
        </w:r>
        <w:r w:rsidRPr="00FE6858">
          <w:rPr>
            <w:rStyle w:val="Hipercze"/>
          </w:rPr>
          <w:t>Metodyka</w:t>
        </w:r>
        <w:r>
          <w:rPr>
            <w:webHidden/>
          </w:rPr>
          <w:tab/>
        </w:r>
        <w:r>
          <w:rPr>
            <w:webHidden/>
          </w:rPr>
          <w:fldChar w:fldCharType="begin"/>
        </w:r>
        <w:r>
          <w:rPr>
            <w:webHidden/>
          </w:rPr>
          <w:instrText xml:space="preserve"> PAGEREF _Toc68726887 \h </w:instrText>
        </w:r>
        <w:r>
          <w:rPr>
            <w:webHidden/>
          </w:rPr>
        </w:r>
        <w:r>
          <w:rPr>
            <w:webHidden/>
          </w:rPr>
          <w:fldChar w:fldCharType="separate"/>
        </w:r>
        <w:r>
          <w:rPr>
            <w:webHidden/>
          </w:rPr>
          <w:t>168</w:t>
        </w:r>
        <w:r>
          <w:rPr>
            <w:webHidden/>
          </w:rPr>
          <w:fldChar w:fldCharType="end"/>
        </w:r>
      </w:hyperlink>
    </w:p>
    <w:p w14:paraId="5BA6E7F5" w14:textId="54B16FE5" w:rsidR="006C4947" w:rsidRDefault="006C4947">
      <w:pPr>
        <w:pStyle w:val="Spistreci3"/>
        <w:rPr>
          <w:rFonts w:asciiTheme="minorHAnsi" w:eastAsiaTheme="minorEastAsia" w:hAnsiTheme="minorHAnsi" w:cstheme="minorBidi"/>
          <w:i w:val="0"/>
          <w:sz w:val="22"/>
          <w:szCs w:val="22"/>
          <w:lang w:eastAsia="pl-PL"/>
        </w:rPr>
      </w:pPr>
      <w:hyperlink w:anchor="_Toc68726888" w:history="1">
        <w:r w:rsidRPr="00FE6858">
          <w:rPr>
            <w:rStyle w:val="Hipercze"/>
          </w:rPr>
          <w:t>11.2.2</w:t>
        </w:r>
        <w:r>
          <w:rPr>
            <w:rFonts w:asciiTheme="minorHAnsi" w:eastAsiaTheme="minorEastAsia" w:hAnsiTheme="minorHAnsi" w:cstheme="minorBidi"/>
            <w:i w:val="0"/>
            <w:sz w:val="22"/>
            <w:szCs w:val="22"/>
            <w:lang w:eastAsia="pl-PL"/>
          </w:rPr>
          <w:tab/>
        </w:r>
        <w:r w:rsidRPr="00FE6858">
          <w:rPr>
            <w:rStyle w:val="Hipercze"/>
          </w:rPr>
          <w:t>Wyniki analizy efektywności jakościowej i kosztowej</w:t>
        </w:r>
        <w:r>
          <w:rPr>
            <w:webHidden/>
          </w:rPr>
          <w:tab/>
        </w:r>
        <w:r>
          <w:rPr>
            <w:webHidden/>
          </w:rPr>
          <w:fldChar w:fldCharType="begin"/>
        </w:r>
        <w:r>
          <w:rPr>
            <w:webHidden/>
          </w:rPr>
          <w:instrText xml:space="preserve"> PAGEREF _Toc68726888 \h </w:instrText>
        </w:r>
        <w:r>
          <w:rPr>
            <w:webHidden/>
          </w:rPr>
        </w:r>
        <w:r>
          <w:rPr>
            <w:webHidden/>
          </w:rPr>
          <w:fldChar w:fldCharType="separate"/>
        </w:r>
        <w:r>
          <w:rPr>
            <w:webHidden/>
          </w:rPr>
          <w:t>170</w:t>
        </w:r>
        <w:r>
          <w:rPr>
            <w:webHidden/>
          </w:rPr>
          <w:fldChar w:fldCharType="end"/>
        </w:r>
      </w:hyperlink>
    </w:p>
    <w:p w14:paraId="2D1D9A31" w14:textId="27827C2D" w:rsidR="006C4947" w:rsidRDefault="006C4947">
      <w:pPr>
        <w:pStyle w:val="Spistreci2"/>
        <w:rPr>
          <w:rFonts w:asciiTheme="minorHAnsi" w:eastAsiaTheme="minorEastAsia" w:hAnsiTheme="minorHAnsi" w:cstheme="minorBidi"/>
          <w:sz w:val="22"/>
          <w:szCs w:val="22"/>
          <w:lang w:eastAsia="pl-PL"/>
        </w:rPr>
      </w:pPr>
      <w:hyperlink w:anchor="_Toc68726889" w:history="1">
        <w:r w:rsidRPr="00FE6858">
          <w:rPr>
            <w:rStyle w:val="Hipercze"/>
          </w:rPr>
          <w:t>11.3</w:t>
        </w:r>
        <w:r>
          <w:rPr>
            <w:rFonts w:asciiTheme="minorHAnsi" w:eastAsiaTheme="minorEastAsia" w:hAnsiTheme="minorHAnsi" w:cstheme="minorBidi"/>
            <w:sz w:val="22"/>
            <w:szCs w:val="22"/>
            <w:lang w:eastAsia="pl-PL"/>
          </w:rPr>
          <w:tab/>
        </w:r>
        <w:r w:rsidRPr="00FE6858">
          <w:rPr>
            <w:rStyle w:val="Hipercze"/>
          </w:rPr>
          <w:t>Analiza ekonomiczna zestawu działań</w:t>
        </w:r>
        <w:r>
          <w:rPr>
            <w:webHidden/>
          </w:rPr>
          <w:tab/>
        </w:r>
        <w:r>
          <w:rPr>
            <w:webHidden/>
          </w:rPr>
          <w:fldChar w:fldCharType="begin"/>
        </w:r>
        <w:r>
          <w:rPr>
            <w:webHidden/>
          </w:rPr>
          <w:instrText xml:space="preserve"> PAGEREF _Toc68726889 \h </w:instrText>
        </w:r>
        <w:r>
          <w:rPr>
            <w:webHidden/>
          </w:rPr>
        </w:r>
        <w:r>
          <w:rPr>
            <w:webHidden/>
          </w:rPr>
          <w:fldChar w:fldCharType="separate"/>
        </w:r>
        <w:r>
          <w:rPr>
            <w:webHidden/>
          </w:rPr>
          <w:t>172</w:t>
        </w:r>
        <w:r>
          <w:rPr>
            <w:webHidden/>
          </w:rPr>
          <w:fldChar w:fldCharType="end"/>
        </w:r>
      </w:hyperlink>
    </w:p>
    <w:p w14:paraId="63B10AC3" w14:textId="154B3242" w:rsidR="006C4947" w:rsidRDefault="006C4947">
      <w:pPr>
        <w:pStyle w:val="Spistreci3"/>
        <w:rPr>
          <w:rFonts w:asciiTheme="minorHAnsi" w:eastAsiaTheme="minorEastAsia" w:hAnsiTheme="minorHAnsi" w:cstheme="minorBidi"/>
          <w:i w:val="0"/>
          <w:sz w:val="22"/>
          <w:szCs w:val="22"/>
          <w:lang w:eastAsia="pl-PL"/>
        </w:rPr>
      </w:pPr>
      <w:hyperlink w:anchor="_Toc68726890" w:history="1">
        <w:r w:rsidRPr="00FE6858">
          <w:rPr>
            <w:rStyle w:val="Hipercze"/>
          </w:rPr>
          <w:t>11.3.1</w:t>
        </w:r>
        <w:r>
          <w:rPr>
            <w:rFonts w:asciiTheme="minorHAnsi" w:eastAsiaTheme="minorEastAsia" w:hAnsiTheme="minorHAnsi" w:cstheme="minorBidi"/>
            <w:i w:val="0"/>
            <w:sz w:val="22"/>
            <w:szCs w:val="22"/>
            <w:lang w:eastAsia="pl-PL"/>
          </w:rPr>
          <w:tab/>
        </w:r>
        <w:r w:rsidRPr="00FE6858">
          <w:rPr>
            <w:rStyle w:val="Hipercze"/>
          </w:rPr>
          <w:t>Ogólne podejście do analiz</w:t>
        </w:r>
        <w:r>
          <w:rPr>
            <w:webHidden/>
          </w:rPr>
          <w:tab/>
        </w:r>
        <w:r>
          <w:rPr>
            <w:webHidden/>
          </w:rPr>
          <w:fldChar w:fldCharType="begin"/>
        </w:r>
        <w:r>
          <w:rPr>
            <w:webHidden/>
          </w:rPr>
          <w:instrText xml:space="preserve"> PAGEREF _Toc68726890 \h </w:instrText>
        </w:r>
        <w:r>
          <w:rPr>
            <w:webHidden/>
          </w:rPr>
        </w:r>
        <w:r>
          <w:rPr>
            <w:webHidden/>
          </w:rPr>
          <w:fldChar w:fldCharType="separate"/>
        </w:r>
        <w:r>
          <w:rPr>
            <w:webHidden/>
          </w:rPr>
          <w:t>172</w:t>
        </w:r>
        <w:r>
          <w:rPr>
            <w:webHidden/>
          </w:rPr>
          <w:fldChar w:fldCharType="end"/>
        </w:r>
      </w:hyperlink>
    </w:p>
    <w:p w14:paraId="19F6C730" w14:textId="15ACC724" w:rsidR="006C4947" w:rsidRDefault="006C4947">
      <w:pPr>
        <w:pStyle w:val="Spistreci3"/>
        <w:rPr>
          <w:rFonts w:asciiTheme="minorHAnsi" w:eastAsiaTheme="minorEastAsia" w:hAnsiTheme="minorHAnsi" w:cstheme="minorBidi"/>
          <w:i w:val="0"/>
          <w:sz w:val="22"/>
          <w:szCs w:val="22"/>
          <w:lang w:eastAsia="pl-PL"/>
        </w:rPr>
      </w:pPr>
      <w:hyperlink w:anchor="_Toc68726891" w:history="1">
        <w:r w:rsidRPr="00FE6858">
          <w:rPr>
            <w:rStyle w:val="Hipercze"/>
          </w:rPr>
          <w:t>11.3.2</w:t>
        </w:r>
        <w:r>
          <w:rPr>
            <w:rFonts w:asciiTheme="minorHAnsi" w:eastAsiaTheme="minorEastAsia" w:hAnsiTheme="minorHAnsi" w:cstheme="minorBidi"/>
            <w:i w:val="0"/>
            <w:sz w:val="22"/>
            <w:szCs w:val="22"/>
            <w:lang w:eastAsia="pl-PL"/>
          </w:rPr>
          <w:tab/>
        </w:r>
        <w:r w:rsidRPr="00FE6858">
          <w:rPr>
            <w:rStyle w:val="Hipercze"/>
          </w:rPr>
          <w:t>Wyniki analiz ekonomicznych - ocena ilościowa</w:t>
        </w:r>
        <w:r>
          <w:rPr>
            <w:webHidden/>
          </w:rPr>
          <w:tab/>
        </w:r>
        <w:r>
          <w:rPr>
            <w:webHidden/>
          </w:rPr>
          <w:fldChar w:fldCharType="begin"/>
        </w:r>
        <w:r>
          <w:rPr>
            <w:webHidden/>
          </w:rPr>
          <w:instrText xml:space="preserve"> PAGEREF _Toc68726891 \h </w:instrText>
        </w:r>
        <w:r>
          <w:rPr>
            <w:webHidden/>
          </w:rPr>
        </w:r>
        <w:r>
          <w:rPr>
            <w:webHidden/>
          </w:rPr>
          <w:fldChar w:fldCharType="separate"/>
        </w:r>
        <w:r>
          <w:rPr>
            <w:webHidden/>
          </w:rPr>
          <w:t>174</w:t>
        </w:r>
        <w:r>
          <w:rPr>
            <w:webHidden/>
          </w:rPr>
          <w:fldChar w:fldCharType="end"/>
        </w:r>
      </w:hyperlink>
    </w:p>
    <w:p w14:paraId="2B4448F1" w14:textId="6417B4A0" w:rsidR="006C4947" w:rsidRDefault="006C4947">
      <w:pPr>
        <w:pStyle w:val="Spistreci3"/>
        <w:rPr>
          <w:rFonts w:asciiTheme="minorHAnsi" w:eastAsiaTheme="minorEastAsia" w:hAnsiTheme="minorHAnsi" w:cstheme="minorBidi"/>
          <w:i w:val="0"/>
          <w:sz w:val="22"/>
          <w:szCs w:val="22"/>
          <w:lang w:eastAsia="pl-PL"/>
        </w:rPr>
      </w:pPr>
      <w:hyperlink w:anchor="_Toc68726892" w:history="1">
        <w:r w:rsidRPr="00FE6858">
          <w:rPr>
            <w:rStyle w:val="Hipercze"/>
          </w:rPr>
          <w:t>11.3.3</w:t>
        </w:r>
        <w:r>
          <w:rPr>
            <w:rFonts w:asciiTheme="minorHAnsi" w:eastAsiaTheme="minorEastAsia" w:hAnsiTheme="minorHAnsi" w:cstheme="minorBidi"/>
            <w:i w:val="0"/>
            <w:sz w:val="22"/>
            <w:szCs w:val="22"/>
            <w:lang w:eastAsia="pl-PL"/>
          </w:rPr>
          <w:tab/>
        </w:r>
        <w:r w:rsidRPr="00FE6858">
          <w:rPr>
            <w:rStyle w:val="Hipercze"/>
          </w:rPr>
          <w:t>Wyniki analiz ekonomicznych - ocena jakościowa</w:t>
        </w:r>
        <w:r>
          <w:rPr>
            <w:webHidden/>
          </w:rPr>
          <w:tab/>
        </w:r>
        <w:r>
          <w:rPr>
            <w:webHidden/>
          </w:rPr>
          <w:fldChar w:fldCharType="begin"/>
        </w:r>
        <w:r>
          <w:rPr>
            <w:webHidden/>
          </w:rPr>
          <w:instrText xml:space="preserve"> PAGEREF _Toc68726892 \h </w:instrText>
        </w:r>
        <w:r>
          <w:rPr>
            <w:webHidden/>
          </w:rPr>
        </w:r>
        <w:r>
          <w:rPr>
            <w:webHidden/>
          </w:rPr>
          <w:fldChar w:fldCharType="separate"/>
        </w:r>
        <w:r>
          <w:rPr>
            <w:webHidden/>
          </w:rPr>
          <w:t>175</w:t>
        </w:r>
        <w:r>
          <w:rPr>
            <w:webHidden/>
          </w:rPr>
          <w:fldChar w:fldCharType="end"/>
        </w:r>
      </w:hyperlink>
    </w:p>
    <w:p w14:paraId="75AF0A7B" w14:textId="2761385E" w:rsidR="006C4947" w:rsidRDefault="006C4947">
      <w:pPr>
        <w:pStyle w:val="Spistreci1"/>
        <w:rPr>
          <w:rFonts w:asciiTheme="minorHAnsi" w:eastAsiaTheme="minorEastAsia" w:hAnsiTheme="minorHAnsi" w:cstheme="minorBidi"/>
          <w:b w:val="0"/>
          <w:smallCaps w:val="0"/>
          <w:sz w:val="22"/>
          <w:szCs w:val="22"/>
          <w:lang w:eastAsia="pl-PL"/>
        </w:rPr>
      </w:pPr>
      <w:hyperlink w:anchor="_Toc68726893" w:history="1">
        <w:r w:rsidRPr="00FE6858">
          <w:rPr>
            <w:rStyle w:val="Hipercze"/>
          </w:rPr>
          <w:t>12</w:t>
        </w:r>
        <w:r>
          <w:rPr>
            <w:rFonts w:asciiTheme="minorHAnsi" w:eastAsiaTheme="minorEastAsia" w:hAnsiTheme="minorHAnsi" w:cstheme="minorBidi"/>
            <w:b w:val="0"/>
            <w:smallCaps w:val="0"/>
            <w:sz w:val="22"/>
            <w:szCs w:val="22"/>
            <w:lang w:eastAsia="pl-PL"/>
          </w:rPr>
          <w:tab/>
        </w:r>
        <w:r w:rsidRPr="00FE6858">
          <w:rPr>
            <w:rStyle w:val="Hipercze"/>
          </w:rPr>
          <w:t>Zestaw działań</w:t>
        </w:r>
        <w:r>
          <w:rPr>
            <w:webHidden/>
          </w:rPr>
          <w:tab/>
        </w:r>
        <w:r>
          <w:rPr>
            <w:webHidden/>
          </w:rPr>
          <w:fldChar w:fldCharType="begin"/>
        </w:r>
        <w:r>
          <w:rPr>
            <w:webHidden/>
          </w:rPr>
          <w:instrText xml:space="preserve"> PAGEREF _Toc68726893 \h </w:instrText>
        </w:r>
        <w:r>
          <w:rPr>
            <w:webHidden/>
          </w:rPr>
        </w:r>
        <w:r>
          <w:rPr>
            <w:webHidden/>
          </w:rPr>
          <w:fldChar w:fldCharType="separate"/>
        </w:r>
        <w:r>
          <w:rPr>
            <w:webHidden/>
          </w:rPr>
          <w:t>176</w:t>
        </w:r>
        <w:r>
          <w:rPr>
            <w:webHidden/>
          </w:rPr>
          <w:fldChar w:fldCharType="end"/>
        </w:r>
      </w:hyperlink>
    </w:p>
    <w:p w14:paraId="57321515" w14:textId="0E528EDD" w:rsidR="006C4947" w:rsidRDefault="006C4947">
      <w:pPr>
        <w:pStyle w:val="Spistreci2"/>
        <w:rPr>
          <w:rFonts w:asciiTheme="minorHAnsi" w:eastAsiaTheme="minorEastAsia" w:hAnsiTheme="minorHAnsi" w:cstheme="minorBidi"/>
          <w:sz w:val="22"/>
          <w:szCs w:val="22"/>
          <w:lang w:eastAsia="pl-PL"/>
        </w:rPr>
      </w:pPr>
      <w:hyperlink w:anchor="_Toc68726894" w:history="1">
        <w:r w:rsidRPr="00FE6858">
          <w:rPr>
            <w:rStyle w:val="Hipercze"/>
          </w:rPr>
          <w:t>12.1</w:t>
        </w:r>
        <w:r>
          <w:rPr>
            <w:rFonts w:asciiTheme="minorHAnsi" w:eastAsiaTheme="minorEastAsia" w:hAnsiTheme="minorHAnsi" w:cstheme="minorBidi"/>
            <w:sz w:val="22"/>
            <w:szCs w:val="22"/>
            <w:lang w:eastAsia="pl-PL"/>
          </w:rPr>
          <w:tab/>
        </w:r>
        <w:r w:rsidRPr="00FE6858">
          <w:rPr>
            <w:rStyle w:val="Hipercze"/>
          </w:rPr>
          <w:t>Katalog działań krajowych</w:t>
        </w:r>
        <w:r>
          <w:rPr>
            <w:webHidden/>
          </w:rPr>
          <w:tab/>
        </w:r>
        <w:r>
          <w:rPr>
            <w:webHidden/>
          </w:rPr>
          <w:fldChar w:fldCharType="begin"/>
        </w:r>
        <w:r>
          <w:rPr>
            <w:webHidden/>
          </w:rPr>
          <w:instrText xml:space="preserve"> PAGEREF _Toc68726894 \h </w:instrText>
        </w:r>
        <w:r>
          <w:rPr>
            <w:webHidden/>
          </w:rPr>
        </w:r>
        <w:r>
          <w:rPr>
            <w:webHidden/>
          </w:rPr>
          <w:fldChar w:fldCharType="separate"/>
        </w:r>
        <w:r>
          <w:rPr>
            <w:webHidden/>
          </w:rPr>
          <w:t>181</w:t>
        </w:r>
        <w:r>
          <w:rPr>
            <w:webHidden/>
          </w:rPr>
          <w:fldChar w:fldCharType="end"/>
        </w:r>
      </w:hyperlink>
    </w:p>
    <w:p w14:paraId="375F9EF8" w14:textId="05675FAC" w:rsidR="006C4947" w:rsidRDefault="006C4947">
      <w:pPr>
        <w:pStyle w:val="Spistreci2"/>
        <w:rPr>
          <w:rFonts w:asciiTheme="minorHAnsi" w:eastAsiaTheme="minorEastAsia" w:hAnsiTheme="minorHAnsi" w:cstheme="minorBidi"/>
          <w:sz w:val="22"/>
          <w:szCs w:val="22"/>
          <w:lang w:eastAsia="pl-PL"/>
        </w:rPr>
      </w:pPr>
      <w:hyperlink w:anchor="_Toc68726895" w:history="1">
        <w:r w:rsidRPr="00FE6858">
          <w:rPr>
            <w:rStyle w:val="Hipercze"/>
          </w:rPr>
          <w:t>12.2</w:t>
        </w:r>
        <w:r>
          <w:rPr>
            <w:rFonts w:asciiTheme="minorHAnsi" w:eastAsiaTheme="minorEastAsia" w:hAnsiTheme="minorHAnsi" w:cstheme="minorBidi"/>
            <w:sz w:val="22"/>
            <w:szCs w:val="22"/>
            <w:lang w:eastAsia="pl-PL"/>
          </w:rPr>
          <w:tab/>
        </w:r>
        <w:r w:rsidRPr="00FE6858">
          <w:rPr>
            <w:rStyle w:val="Hipercze"/>
          </w:rPr>
          <w:t>Katalogi działań poszczególnych kategorii wód</w:t>
        </w:r>
        <w:r>
          <w:rPr>
            <w:webHidden/>
          </w:rPr>
          <w:tab/>
        </w:r>
        <w:r>
          <w:rPr>
            <w:webHidden/>
          </w:rPr>
          <w:fldChar w:fldCharType="begin"/>
        </w:r>
        <w:r>
          <w:rPr>
            <w:webHidden/>
          </w:rPr>
          <w:instrText xml:space="preserve"> PAGEREF _Toc68726895 \h </w:instrText>
        </w:r>
        <w:r>
          <w:rPr>
            <w:webHidden/>
          </w:rPr>
        </w:r>
        <w:r>
          <w:rPr>
            <w:webHidden/>
          </w:rPr>
          <w:fldChar w:fldCharType="separate"/>
        </w:r>
        <w:r>
          <w:rPr>
            <w:webHidden/>
          </w:rPr>
          <w:t>184</w:t>
        </w:r>
        <w:r>
          <w:rPr>
            <w:webHidden/>
          </w:rPr>
          <w:fldChar w:fldCharType="end"/>
        </w:r>
      </w:hyperlink>
    </w:p>
    <w:p w14:paraId="6A626FDA" w14:textId="7D72BC96" w:rsidR="006C4947" w:rsidRDefault="006C4947">
      <w:pPr>
        <w:pStyle w:val="Spistreci3"/>
        <w:rPr>
          <w:rFonts w:asciiTheme="minorHAnsi" w:eastAsiaTheme="minorEastAsia" w:hAnsiTheme="minorHAnsi" w:cstheme="minorBidi"/>
          <w:i w:val="0"/>
          <w:sz w:val="22"/>
          <w:szCs w:val="22"/>
          <w:lang w:eastAsia="pl-PL"/>
        </w:rPr>
      </w:pPr>
      <w:hyperlink w:anchor="_Toc68726896" w:history="1">
        <w:r w:rsidRPr="00FE6858">
          <w:rPr>
            <w:rStyle w:val="Hipercze"/>
          </w:rPr>
          <w:t>12.2.1</w:t>
        </w:r>
        <w:r>
          <w:rPr>
            <w:rFonts w:asciiTheme="minorHAnsi" w:eastAsiaTheme="minorEastAsia" w:hAnsiTheme="minorHAnsi" w:cstheme="minorBidi"/>
            <w:i w:val="0"/>
            <w:sz w:val="22"/>
            <w:szCs w:val="22"/>
            <w:lang w:eastAsia="pl-PL"/>
          </w:rPr>
          <w:tab/>
        </w:r>
        <w:r w:rsidRPr="00FE6858">
          <w:rPr>
            <w:rStyle w:val="Hipercze"/>
          </w:rPr>
          <w:t>Katalog działań jcwp RW</w:t>
        </w:r>
        <w:r>
          <w:rPr>
            <w:webHidden/>
          </w:rPr>
          <w:tab/>
        </w:r>
        <w:r>
          <w:rPr>
            <w:webHidden/>
          </w:rPr>
          <w:fldChar w:fldCharType="begin"/>
        </w:r>
        <w:r>
          <w:rPr>
            <w:webHidden/>
          </w:rPr>
          <w:instrText xml:space="preserve"> PAGEREF _Toc68726896 \h </w:instrText>
        </w:r>
        <w:r>
          <w:rPr>
            <w:webHidden/>
          </w:rPr>
        </w:r>
        <w:r>
          <w:rPr>
            <w:webHidden/>
          </w:rPr>
          <w:fldChar w:fldCharType="separate"/>
        </w:r>
        <w:r>
          <w:rPr>
            <w:webHidden/>
          </w:rPr>
          <w:t>185</w:t>
        </w:r>
        <w:r>
          <w:rPr>
            <w:webHidden/>
          </w:rPr>
          <w:fldChar w:fldCharType="end"/>
        </w:r>
      </w:hyperlink>
    </w:p>
    <w:p w14:paraId="5D69DD47" w14:textId="6272F586" w:rsidR="006C4947" w:rsidRDefault="006C4947">
      <w:pPr>
        <w:pStyle w:val="Spistreci3"/>
        <w:rPr>
          <w:rFonts w:asciiTheme="minorHAnsi" w:eastAsiaTheme="minorEastAsia" w:hAnsiTheme="minorHAnsi" w:cstheme="minorBidi"/>
          <w:i w:val="0"/>
          <w:sz w:val="22"/>
          <w:szCs w:val="22"/>
          <w:lang w:eastAsia="pl-PL"/>
        </w:rPr>
      </w:pPr>
      <w:hyperlink w:anchor="_Toc68726897" w:history="1">
        <w:r w:rsidRPr="00FE6858">
          <w:rPr>
            <w:rStyle w:val="Hipercze"/>
          </w:rPr>
          <w:t>12.2.2</w:t>
        </w:r>
        <w:r>
          <w:rPr>
            <w:rFonts w:asciiTheme="minorHAnsi" w:eastAsiaTheme="minorEastAsia" w:hAnsiTheme="minorHAnsi" w:cstheme="minorBidi"/>
            <w:i w:val="0"/>
            <w:sz w:val="22"/>
            <w:szCs w:val="22"/>
            <w:lang w:eastAsia="pl-PL"/>
          </w:rPr>
          <w:tab/>
        </w:r>
        <w:r w:rsidRPr="00FE6858">
          <w:rPr>
            <w:rStyle w:val="Hipercze"/>
          </w:rPr>
          <w:t>Katalog działań jcwp LW</w:t>
        </w:r>
        <w:r>
          <w:rPr>
            <w:webHidden/>
          </w:rPr>
          <w:tab/>
        </w:r>
        <w:r>
          <w:rPr>
            <w:webHidden/>
          </w:rPr>
          <w:fldChar w:fldCharType="begin"/>
        </w:r>
        <w:r>
          <w:rPr>
            <w:webHidden/>
          </w:rPr>
          <w:instrText xml:space="preserve"> PAGEREF _Toc68726897 \h </w:instrText>
        </w:r>
        <w:r>
          <w:rPr>
            <w:webHidden/>
          </w:rPr>
        </w:r>
        <w:r>
          <w:rPr>
            <w:webHidden/>
          </w:rPr>
          <w:fldChar w:fldCharType="separate"/>
        </w:r>
        <w:r>
          <w:rPr>
            <w:webHidden/>
          </w:rPr>
          <w:t>190</w:t>
        </w:r>
        <w:r>
          <w:rPr>
            <w:webHidden/>
          </w:rPr>
          <w:fldChar w:fldCharType="end"/>
        </w:r>
      </w:hyperlink>
    </w:p>
    <w:p w14:paraId="415AD9E4" w14:textId="25ED2654" w:rsidR="006C4947" w:rsidRDefault="006C4947">
      <w:pPr>
        <w:pStyle w:val="Spistreci3"/>
        <w:rPr>
          <w:rFonts w:asciiTheme="minorHAnsi" w:eastAsiaTheme="minorEastAsia" w:hAnsiTheme="minorHAnsi" w:cstheme="minorBidi"/>
          <w:i w:val="0"/>
          <w:sz w:val="22"/>
          <w:szCs w:val="22"/>
          <w:lang w:eastAsia="pl-PL"/>
        </w:rPr>
      </w:pPr>
      <w:hyperlink w:anchor="_Toc68726898" w:history="1">
        <w:r w:rsidRPr="00FE6858">
          <w:rPr>
            <w:rStyle w:val="Hipercze"/>
          </w:rPr>
          <w:t>12.2.3</w:t>
        </w:r>
        <w:r>
          <w:rPr>
            <w:rFonts w:asciiTheme="minorHAnsi" w:eastAsiaTheme="minorEastAsia" w:hAnsiTheme="minorHAnsi" w:cstheme="minorBidi"/>
            <w:i w:val="0"/>
            <w:sz w:val="22"/>
            <w:szCs w:val="22"/>
            <w:lang w:eastAsia="pl-PL"/>
          </w:rPr>
          <w:tab/>
        </w:r>
        <w:r w:rsidRPr="00FE6858">
          <w:rPr>
            <w:rStyle w:val="Hipercze"/>
          </w:rPr>
          <w:t>Katalog działań jcwpd (GW)</w:t>
        </w:r>
        <w:r>
          <w:rPr>
            <w:webHidden/>
          </w:rPr>
          <w:tab/>
        </w:r>
        <w:r>
          <w:rPr>
            <w:webHidden/>
          </w:rPr>
          <w:fldChar w:fldCharType="begin"/>
        </w:r>
        <w:r>
          <w:rPr>
            <w:webHidden/>
          </w:rPr>
          <w:instrText xml:space="preserve"> PAGEREF _Toc68726898 \h </w:instrText>
        </w:r>
        <w:r>
          <w:rPr>
            <w:webHidden/>
          </w:rPr>
        </w:r>
        <w:r>
          <w:rPr>
            <w:webHidden/>
          </w:rPr>
          <w:fldChar w:fldCharType="separate"/>
        </w:r>
        <w:r>
          <w:rPr>
            <w:webHidden/>
          </w:rPr>
          <w:t>193</w:t>
        </w:r>
        <w:r>
          <w:rPr>
            <w:webHidden/>
          </w:rPr>
          <w:fldChar w:fldCharType="end"/>
        </w:r>
      </w:hyperlink>
    </w:p>
    <w:p w14:paraId="5565C549" w14:textId="6B2672A1" w:rsidR="006C4947" w:rsidRDefault="006C4947">
      <w:pPr>
        <w:pStyle w:val="Spistreci2"/>
        <w:rPr>
          <w:rFonts w:asciiTheme="minorHAnsi" w:eastAsiaTheme="minorEastAsia" w:hAnsiTheme="minorHAnsi" w:cstheme="minorBidi"/>
          <w:sz w:val="22"/>
          <w:szCs w:val="22"/>
          <w:lang w:eastAsia="pl-PL"/>
        </w:rPr>
      </w:pPr>
      <w:hyperlink w:anchor="_Toc68726899" w:history="1">
        <w:r w:rsidRPr="00FE6858">
          <w:rPr>
            <w:rStyle w:val="Hipercze"/>
          </w:rPr>
          <w:t>12.3</w:t>
        </w:r>
        <w:r>
          <w:rPr>
            <w:rFonts w:asciiTheme="minorHAnsi" w:eastAsiaTheme="minorEastAsia" w:hAnsiTheme="minorHAnsi" w:cstheme="minorBidi"/>
            <w:sz w:val="22"/>
            <w:szCs w:val="22"/>
            <w:lang w:eastAsia="pl-PL"/>
          </w:rPr>
          <w:tab/>
        </w:r>
        <w:r w:rsidRPr="00FE6858">
          <w:rPr>
            <w:rStyle w:val="Hipercze"/>
          </w:rPr>
          <w:t>Opis zestawu działań podstawowych i uzupełniających jcw</w:t>
        </w:r>
        <w:r>
          <w:rPr>
            <w:webHidden/>
          </w:rPr>
          <w:tab/>
        </w:r>
        <w:r>
          <w:rPr>
            <w:webHidden/>
          </w:rPr>
          <w:fldChar w:fldCharType="begin"/>
        </w:r>
        <w:r>
          <w:rPr>
            <w:webHidden/>
          </w:rPr>
          <w:instrText xml:space="preserve"> PAGEREF _Toc68726899 \h </w:instrText>
        </w:r>
        <w:r>
          <w:rPr>
            <w:webHidden/>
          </w:rPr>
        </w:r>
        <w:r>
          <w:rPr>
            <w:webHidden/>
          </w:rPr>
          <w:fldChar w:fldCharType="separate"/>
        </w:r>
        <w:r>
          <w:rPr>
            <w:webHidden/>
          </w:rPr>
          <w:t>197</w:t>
        </w:r>
        <w:r>
          <w:rPr>
            <w:webHidden/>
          </w:rPr>
          <w:fldChar w:fldCharType="end"/>
        </w:r>
      </w:hyperlink>
    </w:p>
    <w:p w14:paraId="3C4E69F8" w14:textId="054A5766" w:rsidR="006C4947" w:rsidRDefault="006C4947">
      <w:pPr>
        <w:pStyle w:val="Spistreci3"/>
        <w:rPr>
          <w:rFonts w:asciiTheme="minorHAnsi" w:eastAsiaTheme="minorEastAsia" w:hAnsiTheme="minorHAnsi" w:cstheme="minorBidi"/>
          <w:i w:val="0"/>
          <w:sz w:val="22"/>
          <w:szCs w:val="22"/>
          <w:lang w:eastAsia="pl-PL"/>
        </w:rPr>
      </w:pPr>
      <w:hyperlink w:anchor="_Toc68726900" w:history="1">
        <w:r w:rsidRPr="00FE6858">
          <w:rPr>
            <w:rStyle w:val="Hipercze"/>
          </w:rPr>
          <w:t>12.3.1</w:t>
        </w:r>
        <w:r>
          <w:rPr>
            <w:rFonts w:asciiTheme="minorHAnsi" w:eastAsiaTheme="minorEastAsia" w:hAnsiTheme="minorHAnsi" w:cstheme="minorBidi"/>
            <w:i w:val="0"/>
            <w:sz w:val="22"/>
            <w:szCs w:val="22"/>
            <w:lang w:eastAsia="pl-PL"/>
          </w:rPr>
          <w:tab/>
        </w:r>
        <w:r w:rsidRPr="00FE6858">
          <w:rPr>
            <w:rStyle w:val="Hipercze"/>
          </w:rPr>
          <w:t>Zestaw działań podstawowych i uzupełniających jcwp RW</w:t>
        </w:r>
        <w:r>
          <w:rPr>
            <w:webHidden/>
          </w:rPr>
          <w:tab/>
        </w:r>
        <w:r>
          <w:rPr>
            <w:webHidden/>
          </w:rPr>
          <w:fldChar w:fldCharType="begin"/>
        </w:r>
        <w:r>
          <w:rPr>
            <w:webHidden/>
          </w:rPr>
          <w:instrText xml:space="preserve"> PAGEREF _Toc68726900 \h </w:instrText>
        </w:r>
        <w:r>
          <w:rPr>
            <w:webHidden/>
          </w:rPr>
        </w:r>
        <w:r>
          <w:rPr>
            <w:webHidden/>
          </w:rPr>
          <w:fldChar w:fldCharType="separate"/>
        </w:r>
        <w:r>
          <w:rPr>
            <w:webHidden/>
          </w:rPr>
          <w:t>197</w:t>
        </w:r>
        <w:r>
          <w:rPr>
            <w:webHidden/>
          </w:rPr>
          <w:fldChar w:fldCharType="end"/>
        </w:r>
      </w:hyperlink>
    </w:p>
    <w:p w14:paraId="274430E1" w14:textId="54E3B102" w:rsidR="006C4947" w:rsidRDefault="006C4947">
      <w:pPr>
        <w:pStyle w:val="Spistreci3"/>
        <w:rPr>
          <w:rFonts w:asciiTheme="minorHAnsi" w:eastAsiaTheme="minorEastAsia" w:hAnsiTheme="minorHAnsi" w:cstheme="minorBidi"/>
          <w:i w:val="0"/>
          <w:sz w:val="22"/>
          <w:szCs w:val="22"/>
          <w:lang w:eastAsia="pl-PL"/>
        </w:rPr>
      </w:pPr>
      <w:hyperlink w:anchor="_Toc68726901" w:history="1">
        <w:r w:rsidRPr="00FE6858">
          <w:rPr>
            <w:rStyle w:val="Hipercze"/>
          </w:rPr>
          <w:t>12.3.2</w:t>
        </w:r>
        <w:r>
          <w:rPr>
            <w:rFonts w:asciiTheme="minorHAnsi" w:eastAsiaTheme="minorEastAsia" w:hAnsiTheme="minorHAnsi" w:cstheme="minorBidi"/>
            <w:i w:val="0"/>
            <w:sz w:val="22"/>
            <w:szCs w:val="22"/>
            <w:lang w:eastAsia="pl-PL"/>
          </w:rPr>
          <w:tab/>
        </w:r>
        <w:r w:rsidRPr="00FE6858">
          <w:rPr>
            <w:rStyle w:val="Hipercze"/>
          </w:rPr>
          <w:t>Zestaw działań podstawowych i uzupełniających jcwp LW</w:t>
        </w:r>
        <w:r>
          <w:rPr>
            <w:webHidden/>
          </w:rPr>
          <w:tab/>
        </w:r>
        <w:r>
          <w:rPr>
            <w:webHidden/>
          </w:rPr>
          <w:fldChar w:fldCharType="begin"/>
        </w:r>
        <w:r>
          <w:rPr>
            <w:webHidden/>
          </w:rPr>
          <w:instrText xml:space="preserve"> PAGEREF _Toc68726901 \h </w:instrText>
        </w:r>
        <w:r>
          <w:rPr>
            <w:webHidden/>
          </w:rPr>
        </w:r>
        <w:r>
          <w:rPr>
            <w:webHidden/>
          </w:rPr>
          <w:fldChar w:fldCharType="separate"/>
        </w:r>
        <w:r>
          <w:rPr>
            <w:webHidden/>
          </w:rPr>
          <w:t>201</w:t>
        </w:r>
        <w:r>
          <w:rPr>
            <w:webHidden/>
          </w:rPr>
          <w:fldChar w:fldCharType="end"/>
        </w:r>
      </w:hyperlink>
    </w:p>
    <w:p w14:paraId="7E13DCC9" w14:textId="43ABEB22" w:rsidR="006C4947" w:rsidRDefault="006C4947">
      <w:pPr>
        <w:pStyle w:val="Spistreci3"/>
        <w:rPr>
          <w:rFonts w:asciiTheme="minorHAnsi" w:eastAsiaTheme="minorEastAsia" w:hAnsiTheme="minorHAnsi" w:cstheme="minorBidi"/>
          <w:i w:val="0"/>
          <w:sz w:val="22"/>
          <w:szCs w:val="22"/>
          <w:lang w:eastAsia="pl-PL"/>
        </w:rPr>
      </w:pPr>
      <w:hyperlink w:anchor="_Toc68726902" w:history="1">
        <w:r w:rsidRPr="00FE6858">
          <w:rPr>
            <w:rStyle w:val="Hipercze"/>
          </w:rPr>
          <w:t>12.3.3</w:t>
        </w:r>
        <w:r>
          <w:rPr>
            <w:rFonts w:asciiTheme="minorHAnsi" w:eastAsiaTheme="minorEastAsia" w:hAnsiTheme="minorHAnsi" w:cstheme="minorBidi"/>
            <w:i w:val="0"/>
            <w:sz w:val="22"/>
            <w:szCs w:val="22"/>
            <w:lang w:eastAsia="pl-PL"/>
          </w:rPr>
          <w:tab/>
        </w:r>
        <w:r w:rsidRPr="00FE6858">
          <w:rPr>
            <w:rStyle w:val="Hipercze"/>
          </w:rPr>
          <w:t>Zestawy działań dla jcwpd (GW)</w:t>
        </w:r>
        <w:r>
          <w:rPr>
            <w:webHidden/>
          </w:rPr>
          <w:tab/>
        </w:r>
        <w:r>
          <w:rPr>
            <w:webHidden/>
          </w:rPr>
          <w:fldChar w:fldCharType="begin"/>
        </w:r>
        <w:r>
          <w:rPr>
            <w:webHidden/>
          </w:rPr>
          <w:instrText xml:space="preserve"> PAGEREF _Toc68726902 \h </w:instrText>
        </w:r>
        <w:r>
          <w:rPr>
            <w:webHidden/>
          </w:rPr>
        </w:r>
        <w:r>
          <w:rPr>
            <w:webHidden/>
          </w:rPr>
          <w:fldChar w:fldCharType="separate"/>
        </w:r>
        <w:r>
          <w:rPr>
            <w:webHidden/>
          </w:rPr>
          <w:t>204</w:t>
        </w:r>
        <w:r>
          <w:rPr>
            <w:webHidden/>
          </w:rPr>
          <w:fldChar w:fldCharType="end"/>
        </w:r>
      </w:hyperlink>
    </w:p>
    <w:p w14:paraId="5B09FBEF" w14:textId="76A74A3F" w:rsidR="006C4947" w:rsidRDefault="006C4947">
      <w:pPr>
        <w:pStyle w:val="Spistreci2"/>
        <w:rPr>
          <w:rFonts w:asciiTheme="minorHAnsi" w:eastAsiaTheme="minorEastAsia" w:hAnsiTheme="minorHAnsi" w:cstheme="minorBidi"/>
          <w:sz w:val="22"/>
          <w:szCs w:val="22"/>
          <w:lang w:eastAsia="pl-PL"/>
        </w:rPr>
      </w:pPr>
      <w:hyperlink w:anchor="_Toc68726903" w:history="1">
        <w:r w:rsidRPr="00FE6858">
          <w:rPr>
            <w:rStyle w:val="Hipercze"/>
          </w:rPr>
          <w:t>12.4</w:t>
        </w:r>
        <w:r>
          <w:rPr>
            <w:rFonts w:asciiTheme="minorHAnsi" w:eastAsiaTheme="minorEastAsia" w:hAnsiTheme="minorHAnsi" w:cstheme="minorBidi"/>
            <w:sz w:val="22"/>
            <w:szCs w:val="22"/>
            <w:lang w:eastAsia="pl-PL"/>
          </w:rPr>
          <w:tab/>
        </w:r>
        <w:r w:rsidRPr="00FE6858">
          <w:rPr>
            <w:rStyle w:val="Hipercze"/>
          </w:rPr>
          <w:t>Koszty zestawu działań</w:t>
        </w:r>
        <w:r>
          <w:rPr>
            <w:webHidden/>
          </w:rPr>
          <w:tab/>
        </w:r>
        <w:r>
          <w:rPr>
            <w:webHidden/>
          </w:rPr>
          <w:fldChar w:fldCharType="begin"/>
        </w:r>
        <w:r>
          <w:rPr>
            <w:webHidden/>
          </w:rPr>
          <w:instrText xml:space="preserve"> PAGEREF _Toc68726903 \h </w:instrText>
        </w:r>
        <w:r>
          <w:rPr>
            <w:webHidden/>
          </w:rPr>
        </w:r>
        <w:r>
          <w:rPr>
            <w:webHidden/>
          </w:rPr>
          <w:fldChar w:fldCharType="separate"/>
        </w:r>
        <w:r>
          <w:rPr>
            <w:webHidden/>
          </w:rPr>
          <w:t>206</w:t>
        </w:r>
        <w:r>
          <w:rPr>
            <w:webHidden/>
          </w:rPr>
          <w:fldChar w:fldCharType="end"/>
        </w:r>
      </w:hyperlink>
    </w:p>
    <w:p w14:paraId="2912F5D7" w14:textId="073694DB" w:rsidR="006C4947" w:rsidRDefault="006C4947">
      <w:pPr>
        <w:pStyle w:val="Spistreci1"/>
        <w:rPr>
          <w:rFonts w:asciiTheme="minorHAnsi" w:eastAsiaTheme="minorEastAsia" w:hAnsiTheme="minorHAnsi" w:cstheme="minorBidi"/>
          <w:b w:val="0"/>
          <w:smallCaps w:val="0"/>
          <w:sz w:val="22"/>
          <w:szCs w:val="22"/>
          <w:lang w:eastAsia="pl-PL"/>
        </w:rPr>
      </w:pPr>
      <w:hyperlink w:anchor="_Toc68726904" w:history="1">
        <w:r w:rsidRPr="00FE6858">
          <w:rPr>
            <w:rStyle w:val="Hipercze"/>
          </w:rPr>
          <w:t>13</w:t>
        </w:r>
        <w:r>
          <w:rPr>
            <w:rFonts w:asciiTheme="minorHAnsi" w:eastAsiaTheme="minorEastAsia" w:hAnsiTheme="minorHAnsi" w:cstheme="minorBidi"/>
            <w:b w:val="0"/>
            <w:smallCaps w:val="0"/>
            <w:sz w:val="22"/>
            <w:szCs w:val="22"/>
            <w:lang w:eastAsia="pl-PL"/>
          </w:rPr>
          <w:tab/>
        </w:r>
        <w:r w:rsidRPr="00FE6858">
          <w:rPr>
            <w:rStyle w:val="Hipercze"/>
          </w:rPr>
          <w:t>Podsumowanie działań</w:t>
        </w:r>
        <w:r>
          <w:rPr>
            <w:webHidden/>
          </w:rPr>
          <w:tab/>
        </w:r>
        <w:r>
          <w:rPr>
            <w:webHidden/>
          </w:rPr>
          <w:fldChar w:fldCharType="begin"/>
        </w:r>
        <w:r>
          <w:rPr>
            <w:webHidden/>
          </w:rPr>
          <w:instrText xml:space="preserve"> PAGEREF _Toc68726904 \h </w:instrText>
        </w:r>
        <w:r>
          <w:rPr>
            <w:webHidden/>
          </w:rPr>
        </w:r>
        <w:r>
          <w:rPr>
            <w:webHidden/>
          </w:rPr>
          <w:fldChar w:fldCharType="separate"/>
        </w:r>
        <w:r>
          <w:rPr>
            <w:webHidden/>
          </w:rPr>
          <w:t>209</w:t>
        </w:r>
        <w:r>
          <w:rPr>
            <w:webHidden/>
          </w:rPr>
          <w:fldChar w:fldCharType="end"/>
        </w:r>
      </w:hyperlink>
    </w:p>
    <w:p w14:paraId="576DEFCD" w14:textId="4C38D812" w:rsidR="006C4947" w:rsidRDefault="006C4947">
      <w:pPr>
        <w:pStyle w:val="Spistreci2"/>
        <w:rPr>
          <w:rFonts w:asciiTheme="minorHAnsi" w:eastAsiaTheme="minorEastAsia" w:hAnsiTheme="minorHAnsi" w:cstheme="minorBidi"/>
          <w:sz w:val="22"/>
          <w:szCs w:val="22"/>
          <w:lang w:eastAsia="pl-PL"/>
        </w:rPr>
      </w:pPr>
      <w:hyperlink w:anchor="_Toc68726905" w:history="1">
        <w:r w:rsidRPr="00FE6858">
          <w:rPr>
            <w:rStyle w:val="Hipercze"/>
          </w:rPr>
          <w:t>13.1</w:t>
        </w:r>
        <w:r>
          <w:rPr>
            <w:rFonts w:asciiTheme="minorHAnsi" w:eastAsiaTheme="minorEastAsia" w:hAnsiTheme="minorHAnsi" w:cstheme="minorBidi"/>
            <w:sz w:val="22"/>
            <w:szCs w:val="22"/>
            <w:lang w:eastAsia="pl-PL"/>
          </w:rPr>
          <w:tab/>
        </w:r>
        <w:r w:rsidRPr="00FE6858">
          <w:rPr>
            <w:rStyle w:val="Hipercze"/>
          </w:rPr>
          <w:t>Informacje o planowanych i podjętych działaniach, które służą wdrożeniu zasady zwrotu kosztów usług wodnych</w:t>
        </w:r>
        <w:r>
          <w:rPr>
            <w:webHidden/>
          </w:rPr>
          <w:tab/>
        </w:r>
        <w:r>
          <w:rPr>
            <w:webHidden/>
          </w:rPr>
          <w:fldChar w:fldCharType="begin"/>
        </w:r>
        <w:r>
          <w:rPr>
            <w:webHidden/>
          </w:rPr>
          <w:instrText xml:space="preserve"> PAGEREF _Toc68726905 \h </w:instrText>
        </w:r>
        <w:r>
          <w:rPr>
            <w:webHidden/>
          </w:rPr>
        </w:r>
        <w:r>
          <w:rPr>
            <w:webHidden/>
          </w:rPr>
          <w:fldChar w:fldCharType="separate"/>
        </w:r>
        <w:r>
          <w:rPr>
            <w:webHidden/>
          </w:rPr>
          <w:t>209</w:t>
        </w:r>
        <w:r>
          <w:rPr>
            <w:webHidden/>
          </w:rPr>
          <w:fldChar w:fldCharType="end"/>
        </w:r>
      </w:hyperlink>
    </w:p>
    <w:p w14:paraId="2F957C3E" w14:textId="21860D0A" w:rsidR="006C4947" w:rsidRDefault="006C4947">
      <w:pPr>
        <w:pStyle w:val="Spistreci3"/>
        <w:rPr>
          <w:rFonts w:asciiTheme="minorHAnsi" w:eastAsiaTheme="minorEastAsia" w:hAnsiTheme="minorHAnsi" w:cstheme="minorBidi"/>
          <w:i w:val="0"/>
          <w:sz w:val="22"/>
          <w:szCs w:val="22"/>
          <w:lang w:eastAsia="pl-PL"/>
        </w:rPr>
      </w:pPr>
      <w:hyperlink w:anchor="_Toc68726906" w:history="1">
        <w:r w:rsidRPr="00FE6858">
          <w:rPr>
            <w:rStyle w:val="Hipercze"/>
          </w:rPr>
          <w:t>13.1.1</w:t>
        </w:r>
        <w:r>
          <w:rPr>
            <w:rFonts w:asciiTheme="minorHAnsi" w:eastAsiaTheme="minorEastAsia" w:hAnsiTheme="minorHAnsi" w:cstheme="minorBidi"/>
            <w:i w:val="0"/>
            <w:sz w:val="22"/>
            <w:szCs w:val="22"/>
            <w:lang w:eastAsia="pl-PL"/>
          </w:rPr>
          <w:tab/>
        </w:r>
        <w:r w:rsidRPr="00FE6858">
          <w:rPr>
            <w:rStyle w:val="Hipercze"/>
          </w:rPr>
          <w:t>Kompleksowe uregulowanie zasady zwrotu kosztów usług wodnych w ustawie Prawo wodne</w:t>
        </w:r>
        <w:r>
          <w:rPr>
            <w:webHidden/>
          </w:rPr>
          <w:tab/>
        </w:r>
        <w:r>
          <w:rPr>
            <w:webHidden/>
          </w:rPr>
          <w:fldChar w:fldCharType="begin"/>
        </w:r>
        <w:r>
          <w:rPr>
            <w:webHidden/>
          </w:rPr>
          <w:instrText xml:space="preserve"> PAGEREF _Toc68726906 \h </w:instrText>
        </w:r>
        <w:r>
          <w:rPr>
            <w:webHidden/>
          </w:rPr>
        </w:r>
        <w:r>
          <w:rPr>
            <w:webHidden/>
          </w:rPr>
          <w:fldChar w:fldCharType="separate"/>
        </w:r>
        <w:r>
          <w:rPr>
            <w:webHidden/>
          </w:rPr>
          <w:t>209</w:t>
        </w:r>
        <w:r>
          <w:rPr>
            <w:webHidden/>
          </w:rPr>
          <w:fldChar w:fldCharType="end"/>
        </w:r>
      </w:hyperlink>
    </w:p>
    <w:p w14:paraId="14CC182A" w14:textId="6839A410" w:rsidR="006C4947" w:rsidRDefault="006C4947">
      <w:pPr>
        <w:pStyle w:val="Spistreci3"/>
        <w:rPr>
          <w:rFonts w:asciiTheme="minorHAnsi" w:eastAsiaTheme="minorEastAsia" w:hAnsiTheme="minorHAnsi" w:cstheme="minorBidi"/>
          <w:i w:val="0"/>
          <w:sz w:val="22"/>
          <w:szCs w:val="22"/>
          <w:lang w:eastAsia="pl-PL"/>
        </w:rPr>
      </w:pPr>
      <w:hyperlink w:anchor="_Toc68726907" w:history="1">
        <w:r w:rsidRPr="00FE6858">
          <w:rPr>
            <w:rStyle w:val="Hipercze"/>
          </w:rPr>
          <w:t>13.1.2</w:t>
        </w:r>
        <w:r>
          <w:rPr>
            <w:rFonts w:asciiTheme="minorHAnsi" w:eastAsiaTheme="minorEastAsia" w:hAnsiTheme="minorHAnsi" w:cstheme="minorBidi"/>
            <w:i w:val="0"/>
            <w:sz w:val="22"/>
            <w:szCs w:val="22"/>
            <w:lang w:eastAsia="pl-PL"/>
          </w:rPr>
          <w:tab/>
        </w:r>
        <w:r w:rsidRPr="00FE6858">
          <w:rPr>
            <w:rStyle w:val="Hipercze"/>
          </w:rPr>
          <w:t>System regulacji i zatwierdzania taryf za usługi wodno-kanalizacyjne</w:t>
        </w:r>
        <w:r>
          <w:rPr>
            <w:webHidden/>
          </w:rPr>
          <w:tab/>
        </w:r>
        <w:r>
          <w:rPr>
            <w:webHidden/>
          </w:rPr>
          <w:fldChar w:fldCharType="begin"/>
        </w:r>
        <w:r>
          <w:rPr>
            <w:webHidden/>
          </w:rPr>
          <w:instrText xml:space="preserve"> PAGEREF _Toc68726907 \h </w:instrText>
        </w:r>
        <w:r>
          <w:rPr>
            <w:webHidden/>
          </w:rPr>
        </w:r>
        <w:r>
          <w:rPr>
            <w:webHidden/>
          </w:rPr>
          <w:fldChar w:fldCharType="separate"/>
        </w:r>
        <w:r>
          <w:rPr>
            <w:webHidden/>
          </w:rPr>
          <w:t>213</w:t>
        </w:r>
        <w:r>
          <w:rPr>
            <w:webHidden/>
          </w:rPr>
          <w:fldChar w:fldCharType="end"/>
        </w:r>
      </w:hyperlink>
    </w:p>
    <w:p w14:paraId="74C7BB3A" w14:textId="4CF96C2F" w:rsidR="006C4947" w:rsidRDefault="006C4947">
      <w:pPr>
        <w:pStyle w:val="Spistreci3"/>
        <w:rPr>
          <w:rFonts w:asciiTheme="minorHAnsi" w:eastAsiaTheme="minorEastAsia" w:hAnsiTheme="minorHAnsi" w:cstheme="minorBidi"/>
          <w:i w:val="0"/>
          <w:sz w:val="22"/>
          <w:szCs w:val="22"/>
          <w:lang w:eastAsia="pl-PL"/>
        </w:rPr>
      </w:pPr>
      <w:hyperlink w:anchor="_Toc68726908" w:history="1">
        <w:r w:rsidRPr="00FE6858">
          <w:rPr>
            <w:rStyle w:val="Hipercze"/>
          </w:rPr>
          <w:t>13.1.3</w:t>
        </w:r>
        <w:r>
          <w:rPr>
            <w:rFonts w:asciiTheme="minorHAnsi" w:eastAsiaTheme="minorEastAsia" w:hAnsiTheme="minorHAnsi" w:cstheme="minorBidi"/>
            <w:i w:val="0"/>
            <w:sz w:val="22"/>
            <w:szCs w:val="22"/>
            <w:lang w:eastAsia="pl-PL"/>
          </w:rPr>
          <w:tab/>
        </w:r>
        <w:r w:rsidRPr="00FE6858">
          <w:rPr>
            <w:rStyle w:val="Hipercze"/>
          </w:rPr>
          <w:t>Planowane działania</w:t>
        </w:r>
        <w:r>
          <w:rPr>
            <w:webHidden/>
          </w:rPr>
          <w:tab/>
        </w:r>
        <w:r>
          <w:rPr>
            <w:webHidden/>
          </w:rPr>
          <w:fldChar w:fldCharType="begin"/>
        </w:r>
        <w:r>
          <w:rPr>
            <w:webHidden/>
          </w:rPr>
          <w:instrText xml:space="preserve"> PAGEREF _Toc68726908 \h </w:instrText>
        </w:r>
        <w:r>
          <w:rPr>
            <w:webHidden/>
          </w:rPr>
        </w:r>
        <w:r>
          <w:rPr>
            <w:webHidden/>
          </w:rPr>
          <w:fldChar w:fldCharType="separate"/>
        </w:r>
        <w:r>
          <w:rPr>
            <w:webHidden/>
          </w:rPr>
          <w:t>216</w:t>
        </w:r>
        <w:r>
          <w:rPr>
            <w:webHidden/>
          </w:rPr>
          <w:fldChar w:fldCharType="end"/>
        </w:r>
      </w:hyperlink>
    </w:p>
    <w:p w14:paraId="2D669436" w14:textId="534DB573" w:rsidR="006C4947" w:rsidRDefault="006C4947">
      <w:pPr>
        <w:pStyle w:val="Spistreci2"/>
        <w:rPr>
          <w:rFonts w:asciiTheme="minorHAnsi" w:eastAsiaTheme="minorEastAsia" w:hAnsiTheme="minorHAnsi" w:cstheme="minorBidi"/>
          <w:sz w:val="22"/>
          <w:szCs w:val="22"/>
          <w:lang w:eastAsia="pl-PL"/>
        </w:rPr>
      </w:pPr>
      <w:hyperlink w:anchor="_Toc68726909" w:history="1">
        <w:r w:rsidRPr="00FE6858">
          <w:rPr>
            <w:rStyle w:val="Hipercze"/>
          </w:rPr>
          <w:t>13.2</w:t>
        </w:r>
        <w:r>
          <w:rPr>
            <w:rFonts w:asciiTheme="minorHAnsi" w:eastAsiaTheme="minorEastAsia" w:hAnsiTheme="minorHAnsi" w:cstheme="minorBidi"/>
            <w:sz w:val="22"/>
            <w:szCs w:val="22"/>
            <w:lang w:eastAsia="pl-PL"/>
          </w:rPr>
          <w:tab/>
        </w:r>
        <w:r w:rsidRPr="00FE6858">
          <w:rPr>
            <w:rStyle w:val="Hipercze"/>
          </w:rPr>
          <w:t>Podsumowanie działań podjętych dla realizacji celów środowiskowych i wymagań związanych z zaopatrzeniem w wodę</w:t>
        </w:r>
        <w:r>
          <w:rPr>
            <w:webHidden/>
          </w:rPr>
          <w:tab/>
        </w:r>
        <w:r>
          <w:rPr>
            <w:webHidden/>
          </w:rPr>
          <w:fldChar w:fldCharType="begin"/>
        </w:r>
        <w:r>
          <w:rPr>
            <w:webHidden/>
          </w:rPr>
          <w:instrText xml:space="preserve"> PAGEREF _Toc68726909 \h </w:instrText>
        </w:r>
        <w:r>
          <w:rPr>
            <w:webHidden/>
          </w:rPr>
        </w:r>
        <w:r>
          <w:rPr>
            <w:webHidden/>
          </w:rPr>
          <w:fldChar w:fldCharType="separate"/>
        </w:r>
        <w:r>
          <w:rPr>
            <w:webHidden/>
          </w:rPr>
          <w:t>216</w:t>
        </w:r>
        <w:r>
          <w:rPr>
            <w:webHidden/>
          </w:rPr>
          <w:fldChar w:fldCharType="end"/>
        </w:r>
      </w:hyperlink>
    </w:p>
    <w:p w14:paraId="5350A412" w14:textId="0355ADC2" w:rsidR="006C4947" w:rsidRDefault="006C4947">
      <w:pPr>
        <w:pStyle w:val="Spistreci2"/>
        <w:rPr>
          <w:rFonts w:asciiTheme="minorHAnsi" w:eastAsiaTheme="minorEastAsia" w:hAnsiTheme="minorHAnsi" w:cstheme="minorBidi"/>
          <w:sz w:val="22"/>
          <w:szCs w:val="22"/>
          <w:lang w:eastAsia="pl-PL"/>
        </w:rPr>
      </w:pPr>
      <w:hyperlink w:anchor="_Toc68726910" w:history="1">
        <w:r w:rsidRPr="00FE6858">
          <w:rPr>
            <w:rStyle w:val="Hipercze"/>
          </w:rPr>
          <w:t>13.3</w:t>
        </w:r>
        <w:r>
          <w:rPr>
            <w:rFonts w:asciiTheme="minorHAnsi" w:eastAsiaTheme="minorEastAsia" w:hAnsiTheme="minorHAnsi" w:cstheme="minorBidi"/>
            <w:sz w:val="22"/>
            <w:szCs w:val="22"/>
            <w:lang w:eastAsia="pl-PL"/>
          </w:rPr>
          <w:tab/>
        </w:r>
        <w:r w:rsidRPr="00FE6858">
          <w:rPr>
            <w:rStyle w:val="Hipercze"/>
          </w:rPr>
          <w:t>Informacje dotyczące pozwoleń wodnoprawnych</w:t>
        </w:r>
        <w:r>
          <w:rPr>
            <w:webHidden/>
          </w:rPr>
          <w:tab/>
        </w:r>
        <w:r>
          <w:rPr>
            <w:webHidden/>
          </w:rPr>
          <w:fldChar w:fldCharType="begin"/>
        </w:r>
        <w:r>
          <w:rPr>
            <w:webHidden/>
          </w:rPr>
          <w:instrText xml:space="preserve"> PAGEREF _Toc68726910 \h </w:instrText>
        </w:r>
        <w:r>
          <w:rPr>
            <w:webHidden/>
          </w:rPr>
        </w:r>
        <w:r>
          <w:rPr>
            <w:webHidden/>
          </w:rPr>
          <w:fldChar w:fldCharType="separate"/>
        </w:r>
        <w:r>
          <w:rPr>
            <w:webHidden/>
          </w:rPr>
          <w:t>219</w:t>
        </w:r>
        <w:r>
          <w:rPr>
            <w:webHidden/>
          </w:rPr>
          <w:fldChar w:fldCharType="end"/>
        </w:r>
      </w:hyperlink>
    </w:p>
    <w:p w14:paraId="57B3392E" w14:textId="46EFA145" w:rsidR="006C4947" w:rsidRDefault="006C4947">
      <w:pPr>
        <w:pStyle w:val="Spistreci2"/>
        <w:rPr>
          <w:rFonts w:asciiTheme="minorHAnsi" w:eastAsiaTheme="minorEastAsia" w:hAnsiTheme="minorHAnsi" w:cstheme="minorBidi"/>
          <w:sz w:val="22"/>
          <w:szCs w:val="22"/>
          <w:lang w:eastAsia="pl-PL"/>
        </w:rPr>
      </w:pPr>
      <w:hyperlink w:anchor="_Toc68726911" w:history="1">
        <w:r w:rsidRPr="00FE6858">
          <w:rPr>
            <w:rStyle w:val="Hipercze"/>
          </w:rPr>
          <w:t>13.4</w:t>
        </w:r>
        <w:r>
          <w:rPr>
            <w:rFonts w:asciiTheme="minorHAnsi" w:eastAsiaTheme="minorEastAsia" w:hAnsiTheme="minorHAnsi" w:cstheme="minorBidi"/>
            <w:sz w:val="22"/>
            <w:szCs w:val="22"/>
            <w:lang w:eastAsia="pl-PL"/>
          </w:rPr>
          <w:tab/>
        </w:r>
        <w:r w:rsidRPr="00FE6858">
          <w:rPr>
            <w:rStyle w:val="Hipercze"/>
          </w:rPr>
          <w:t>Informacje o zezwoleniach na wprowadzanie zanieczyszczeń bezpośrednio do wód podziemnych</w:t>
        </w:r>
        <w:r>
          <w:rPr>
            <w:webHidden/>
          </w:rPr>
          <w:tab/>
        </w:r>
        <w:r>
          <w:rPr>
            <w:webHidden/>
          </w:rPr>
          <w:fldChar w:fldCharType="begin"/>
        </w:r>
        <w:r>
          <w:rPr>
            <w:webHidden/>
          </w:rPr>
          <w:instrText xml:space="preserve"> PAGEREF _Toc68726911 \h </w:instrText>
        </w:r>
        <w:r>
          <w:rPr>
            <w:webHidden/>
          </w:rPr>
        </w:r>
        <w:r>
          <w:rPr>
            <w:webHidden/>
          </w:rPr>
          <w:fldChar w:fldCharType="separate"/>
        </w:r>
        <w:r>
          <w:rPr>
            <w:webHidden/>
          </w:rPr>
          <w:t>222</w:t>
        </w:r>
        <w:r>
          <w:rPr>
            <w:webHidden/>
          </w:rPr>
          <w:fldChar w:fldCharType="end"/>
        </w:r>
      </w:hyperlink>
    </w:p>
    <w:p w14:paraId="11A5701B" w14:textId="06FE7471" w:rsidR="006C4947" w:rsidRDefault="006C4947">
      <w:pPr>
        <w:pStyle w:val="Spistreci2"/>
        <w:rPr>
          <w:rFonts w:asciiTheme="minorHAnsi" w:eastAsiaTheme="minorEastAsia" w:hAnsiTheme="minorHAnsi" w:cstheme="minorBidi"/>
          <w:sz w:val="22"/>
          <w:szCs w:val="22"/>
          <w:lang w:eastAsia="pl-PL"/>
        </w:rPr>
      </w:pPr>
      <w:hyperlink w:anchor="_Toc68726912" w:history="1">
        <w:r w:rsidRPr="00FE6858">
          <w:rPr>
            <w:rStyle w:val="Hipercze"/>
          </w:rPr>
          <w:t>13.5</w:t>
        </w:r>
        <w:r>
          <w:rPr>
            <w:rFonts w:asciiTheme="minorHAnsi" w:eastAsiaTheme="minorEastAsia" w:hAnsiTheme="minorHAnsi" w:cstheme="minorBidi"/>
            <w:sz w:val="22"/>
            <w:szCs w:val="22"/>
            <w:lang w:eastAsia="pl-PL"/>
          </w:rPr>
          <w:tab/>
        </w:r>
        <w:r w:rsidRPr="00FE6858">
          <w:rPr>
            <w:rStyle w:val="Hipercze"/>
          </w:rPr>
          <w:t>Podsumowanie działań podjętych w celu eliminowania stężeń substancji priorytetowych</w:t>
        </w:r>
        <w:r>
          <w:rPr>
            <w:webHidden/>
          </w:rPr>
          <w:tab/>
        </w:r>
        <w:r>
          <w:rPr>
            <w:webHidden/>
          </w:rPr>
          <w:fldChar w:fldCharType="begin"/>
        </w:r>
        <w:r>
          <w:rPr>
            <w:webHidden/>
          </w:rPr>
          <w:instrText xml:space="preserve"> PAGEREF _Toc68726912 \h </w:instrText>
        </w:r>
        <w:r>
          <w:rPr>
            <w:webHidden/>
          </w:rPr>
        </w:r>
        <w:r>
          <w:rPr>
            <w:webHidden/>
          </w:rPr>
          <w:fldChar w:fldCharType="separate"/>
        </w:r>
        <w:r>
          <w:rPr>
            <w:webHidden/>
          </w:rPr>
          <w:t>223</w:t>
        </w:r>
        <w:r>
          <w:rPr>
            <w:webHidden/>
          </w:rPr>
          <w:fldChar w:fldCharType="end"/>
        </w:r>
      </w:hyperlink>
    </w:p>
    <w:p w14:paraId="12CA7FD9" w14:textId="054B01D6" w:rsidR="006C4947" w:rsidRDefault="006C4947">
      <w:pPr>
        <w:pStyle w:val="Spistreci3"/>
        <w:rPr>
          <w:rFonts w:asciiTheme="minorHAnsi" w:eastAsiaTheme="minorEastAsia" w:hAnsiTheme="minorHAnsi" w:cstheme="minorBidi"/>
          <w:i w:val="0"/>
          <w:sz w:val="22"/>
          <w:szCs w:val="22"/>
          <w:lang w:eastAsia="pl-PL"/>
        </w:rPr>
      </w:pPr>
      <w:hyperlink w:anchor="_Toc68726913" w:history="1">
        <w:r w:rsidRPr="00FE6858">
          <w:rPr>
            <w:rStyle w:val="Hipercze"/>
          </w:rPr>
          <w:t>13.5.1</w:t>
        </w:r>
        <w:r>
          <w:rPr>
            <w:rFonts w:asciiTheme="minorHAnsi" w:eastAsiaTheme="minorEastAsia" w:hAnsiTheme="minorHAnsi" w:cstheme="minorBidi"/>
            <w:i w:val="0"/>
            <w:sz w:val="22"/>
            <w:szCs w:val="22"/>
            <w:lang w:eastAsia="pl-PL"/>
          </w:rPr>
          <w:tab/>
        </w:r>
        <w:r w:rsidRPr="00FE6858">
          <w:rPr>
            <w:rStyle w:val="Hipercze"/>
          </w:rPr>
          <w:t>Wdrażanie działań w celu eliminowania stężeń substancji priorytetowych</w:t>
        </w:r>
        <w:r>
          <w:rPr>
            <w:webHidden/>
          </w:rPr>
          <w:tab/>
        </w:r>
        <w:r>
          <w:rPr>
            <w:webHidden/>
          </w:rPr>
          <w:fldChar w:fldCharType="begin"/>
        </w:r>
        <w:r>
          <w:rPr>
            <w:webHidden/>
          </w:rPr>
          <w:instrText xml:space="preserve"> PAGEREF _Toc68726913 \h </w:instrText>
        </w:r>
        <w:r>
          <w:rPr>
            <w:webHidden/>
          </w:rPr>
        </w:r>
        <w:r>
          <w:rPr>
            <w:webHidden/>
          </w:rPr>
          <w:fldChar w:fldCharType="separate"/>
        </w:r>
        <w:r>
          <w:rPr>
            <w:webHidden/>
          </w:rPr>
          <w:t>223</w:t>
        </w:r>
        <w:r>
          <w:rPr>
            <w:webHidden/>
          </w:rPr>
          <w:fldChar w:fldCharType="end"/>
        </w:r>
      </w:hyperlink>
    </w:p>
    <w:p w14:paraId="7D97589B" w14:textId="3840B2F7" w:rsidR="006C4947" w:rsidRDefault="006C4947">
      <w:pPr>
        <w:pStyle w:val="Spistreci3"/>
        <w:rPr>
          <w:rFonts w:asciiTheme="minorHAnsi" w:eastAsiaTheme="minorEastAsia" w:hAnsiTheme="minorHAnsi" w:cstheme="minorBidi"/>
          <w:i w:val="0"/>
          <w:sz w:val="22"/>
          <w:szCs w:val="22"/>
          <w:lang w:eastAsia="pl-PL"/>
        </w:rPr>
      </w:pPr>
      <w:hyperlink w:anchor="_Toc68726914" w:history="1">
        <w:r w:rsidRPr="00FE6858">
          <w:rPr>
            <w:rStyle w:val="Hipercze"/>
          </w:rPr>
          <w:t>13.5.2</w:t>
        </w:r>
        <w:r>
          <w:rPr>
            <w:rFonts w:asciiTheme="minorHAnsi" w:eastAsiaTheme="minorEastAsia" w:hAnsiTheme="minorHAnsi" w:cstheme="minorBidi"/>
            <w:i w:val="0"/>
            <w:sz w:val="22"/>
            <w:szCs w:val="22"/>
            <w:lang w:eastAsia="pl-PL"/>
          </w:rPr>
          <w:tab/>
        </w:r>
        <w:r w:rsidRPr="00FE6858">
          <w:rPr>
            <w:rStyle w:val="Hipercze"/>
          </w:rPr>
          <w:t>Postęp we wdrażaniu działań w ramach aPGW (2016)</w:t>
        </w:r>
        <w:r>
          <w:rPr>
            <w:webHidden/>
          </w:rPr>
          <w:tab/>
        </w:r>
        <w:r>
          <w:rPr>
            <w:webHidden/>
          </w:rPr>
          <w:fldChar w:fldCharType="begin"/>
        </w:r>
        <w:r>
          <w:rPr>
            <w:webHidden/>
          </w:rPr>
          <w:instrText xml:space="preserve"> PAGEREF _Toc68726914 \h </w:instrText>
        </w:r>
        <w:r>
          <w:rPr>
            <w:webHidden/>
          </w:rPr>
        </w:r>
        <w:r>
          <w:rPr>
            <w:webHidden/>
          </w:rPr>
          <w:fldChar w:fldCharType="separate"/>
        </w:r>
        <w:r>
          <w:rPr>
            <w:webHidden/>
          </w:rPr>
          <w:t>225</w:t>
        </w:r>
        <w:r>
          <w:rPr>
            <w:webHidden/>
          </w:rPr>
          <w:fldChar w:fldCharType="end"/>
        </w:r>
      </w:hyperlink>
    </w:p>
    <w:p w14:paraId="322F3C07" w14:textId="4DF1CF16" w:rsidR="006C4947" w:rsidRDefault="006C4947">
      <w:pPr>
        <w:pStyle w:val="Spistreci3"/>
        <w:rPr>
          <w:rFonts w:asciiTheme="minorHAnsi" w:eastAsiaTheme="minorEastAsia" w:hAnsiTheme="minorHAnsi" w:cstheme="minorBidi"/>
          <w:i w:val="0"/>
          <w:sz w:val="22"/>
          <w:szCs w:val="22"/>
          <w:lang w:eastAsia="pl-PL"/>
        </w:rPr>
      </w:pPr>
      <w:hyperlink w:anchor="_Toc68726915" w:history="1">
        <w:r w:rsidRPr="00FE6858">
          <w:rPr>
            <w:rStyle w:val="Hipercze"/>
          </w:rPr>
          <w:t>13.5.3</w:t>
        </w:r>
        <w:r>
          <w:rPr>
            <w:rFonts w:asciiTheme="minorHAnsi" w:eastAsiaTheme="minorEastAsia" w:hAnsiTheme="minorHAnsi" w:cstheme="minorBidi"/>
            <w:i w:val="0"/>
            <w:sz w:val="22"/>
            <w:szCs w:val="22"/>
            <w:lang w:eastAsia="pl-PL"/>
          </w:rPr>
          <w:tab/>
        </w:r>
        <w:r w:rsidRPr="00FE6858">
          <w:rPr>
            <w:rStyle w:val="Hipercze"/>
          </w:rPr>
          <w:t>Ocena skuteczności zrealizowanych działań w ramach aPGW</w:t>
        </w:r>
        <w:r>
          <w:rPr>
            <w:webHidden/>
          </w:rPr>
          <w:tab/>
        </w:r>
        <w:r>
          <w:rPr>
            <w:webHidden/>
          </w:rPr>
          <w:fldChar w:fldCharType="begin"/>
        </w:r>
        <w:r>
          <w:rPr>
            <w:webHidden/>
          </w:rPr>
          <w:instrText xml:space="preserve"> PAGEREF _Toc68726915 \h </w:instrText>
        </w:r>
        <w:r>
          <w:rPr>
            <w:webHidden/>
          </w:rPr>
        </w:r>
        <w:r>
          <w:rPr>
            <w:webHidden/>
          </w:rPr>
          <w:fldChar w:fldCharType="separate"/>
        </w:r>
        <w:r>
          <w:rPr>
            <w:webHidden/>
          </w:rPr>
          <w:t>230</w:t>
        </w:r>
        <w:r>
          <w:rPr>
            <w:webHidden/>
          </w:rPr>
          <w:fldChar w:fldCharType="end"/>
        </w:r>
      </w:hyperlink>
    </w:p>
    <w:p w14:paraId="591EACFC" w14:textId="75D1A7C0" w:rsidR="006C4947" w:rsidRDefault="006C4947">
      <w:pPr>
        <w:pStyle w:val="Spistreci3"/>
        <w:rPr>
          <w:rFonts w:asciiTheme="minorHAnsi" w:eastAsiaTheme="minorEastAsia" w:hAnsiTheme="minorHAnsi" w:cstheme="minorBidi"/>
          <w:i w:val="0"/>
          <w:sz w:val="22"/>
          <w:szCs w:val="22"/>
          <w:lang w:eastAsia="pl-PL"/>
        </w:rPr>
      </w:pPr>
      <w:hyperlink w:anchor="_Toc68726916" w:history="1">
        <w:r w:rsidRPr="00FE6858">
          <w:rPr>
            <w:rStyle w:val="Hipercze"/>
          </w:rPr>
          <w:t>13.5.4</w:t>
        </w:r>
        <w:r>
          <w:rPr>
            <w:rFonts w:asciiTheme="minorHAnsi" w:eastAsiaTheme="minorEastAsia" w:hAnsiTheme="minorHAnsi" w:cstheme="minorBidi"/>
            <w:i w:val="0"/>
            <w:sz w:val="22"/>
            <w:szCs w:val="22"/>
            <w:lang w:eastAsia="pl-PL"/>
          </w:rPr>
          <w:tab/>
        </w:r>
        <w:r w:rsidRPr="00FE6858">
          <w:rPr>
            <w:rStyle w:val="Hipercze"/>
          </w:rPr>
          <w:t>Działania służące eliminacji stężeń substancji priorytetowych w ramach IIaPGW</w:t>
        </w:r>
        <w:r>
          <w:rPr>
            <w:webHidden/>
          </w:rPr>
          <w:tab/>
        </w:r>
        <w:r>
          <w:rPr>
            <w:webHidden/>
          </w:rPr>
          <w:fldChar w:fldCharType="begin"/>
        </w:r>
        <w:r>
          <w:rPr>
            <w:webHidden/>
          </w:rPr>
          <w:instrText xml:space="preserve"> PAGEREF _Toc68726916 \h </w:instrText>
        </w:r>
        <w:r>
          <w:rPr>
            <w:webHidden/>
          </w:rPr>
        </w:r>
        <w:r>
          <w:rPr>
            <w:webHidden/>
          </w:rPr>
          <w:fldChar w:fldCharType="separate"/>
        </w:r>
        <w:r>
          <w:rPr>
            <w:webHidden/>
          </w:rPr>
          <w:t>233</w:t>
        </w:r>
        <w:r>
          <w:rPr>
            <w:webHidden/>
          </w:rPr>
          <w:fldChar w:fldCharType="end"/>
        </w:r>
      </w:hyperlink>
    </w:p>
    <w:p w14:paraId="08DF3497" w14:textId="5BEB66A5" w:rsidR="006C4947" w:rsidRDefault="006C4947">
      <w:pPr>
        <w:pStyle w:val="Spistreci2"/>
        <w:rPr>
          <w:rFonts w:asciiTheme="minorHAnsi" w:eastAsiaTheme="minorEastAsia" w:hAnsiTheme="minorHAnsi" w:cstheme="minorBidi"/>
          <w:sz w:val="22"/>
          <w:szCs w:val="22"/>
          <w:lang w:eastAsia="pl-PL"/>
        </w:rPr>
      </w:pPr>
      <w:hyperlink w:anchor="_Toc68726917" w:history="1">
        <w:r w:rsidRPr="00FE6858">
          <w:rPr>
            <w:rStyle w:val="Hipercze"/>
          </w:rPr>
          <w:t>13.6</w:t>
        </w:r>
        <w:r>
          <w:rPr>
            <w:rFonts w:asciiTheme="minorHAnsi" w:eastAsiaTheme="minorEastAsia" w:hAnsiTheme="minorHAnsi" w:cstheme="minorBidi"/>
            <w:sz w:val="22"/>
            <w:szCs w:val="22"/>
            <w:lang w:eastAsia="pl-PL"/>
          </w:rPr>
          <w:tab/>
        </w:r>
        <w:r w:rsidRPr="00FE6858">
          <w:rPr>
            <w:rStyle w:val="Hipercze"/>
          </w:rPr>
          <w:t>Podsumowanie działań podjętych w celu zapobieżenia skutkom zanieczyszczeń niedających się przewidzieć lub łagodzenia tych skutków</w:t>
        </w:r>
        <w:r>
          <w:rPr>
            <w:webHidden/>
          </w:rPr>
          <w:tab/>
        </w:r>
        <w:r>
          <w:rPr>
            <w:webHidden/>
          </w:rPr>
          <w:fldChar w:fldCharType="begin"/>
        </w:r>
        <w:r>
          <w:rPr>
            <w:webHidden/>
          </w:rPr>
          <w:instrText xml:space="preserve"> PAGEREF _Toc68726917 \h </w:instrText>
        </w:r>
        <w:r>
          <w:rPr>
            <w:webHidden/>
          </w:rPr>
        </w:r>
        <w:r>
          <w:rPr>
            <w:webHidden/>
          </w:rPr>
          <w:fldChar w:fldCharType="separate"/>
        </w:r>
        <w:r>
          <w:rPr>
            <w:webHidden/>
          </w:rPr>
          <w:t>234</w:t>
        </w:r>
        <w:r>
          <w:rPr>
            <w:webHidden/>
          </w:rPr>
          <w:fldChar w:fldCharType="end"/>
        </w:r>
      </w:hyperlink>
    </w:p>
    <w:p w14:paraId="75F12DB0" w14:textId="47867E72" w:rsidR="006C4947" w:rsidRDefault="006C4947">
      <w:pPr>
        <w:pStyle w:val="Spistreci2"/>
        <w:rPr>
          <w:rFonts w:asciiTheme="minorHAnsi" w:eastAsiaTheme="minorEastAsia" w:hAnsiTheme="minorHAnsi" w:cstheme="minorBidi"/>
          <w:sz w:val="22"/>
          <w:szCs w:val="22"/>
          <w:lang w:eastAsia="pl-PL"/>
        </w:rPr>
      </w:pPr>
      <w:hyperlink w:anchor="_Toc68726918" w:history="1">
        <w:r w:rsidRPr="00FE6858">
          <w:rPr>
            <w:rStyle w:val="Hipercze"/>
          </w:rPr>
          <w:t>13.7</w:t>
        </w:r>
        <w:r>
          <w:rPr>
            <w:rFonts w:asciiTheme="minorHAnsi" w:eastAsiaTheme="minorEastAsia" w:hAnsiTheme="minorHAnsi" w:cstheme="minorBidi"/>
            <w:sz w:val="22"/>
            <w:szCs w:val="22"/>
            <w:lang w:eastAsia="pl-PL"/>
          </w:rPr>
          <w:tab/>
        </w:r>
        <w:r w:rsidRPr="00FE6858">
          <w:rPr>
            <w:rStyle w:val="Hipercze"/>
          </w:rPr>
          <w:t>Podsumowanie działań, o których mowa w art. 325 ust. 1 ustawy Prawo wodne</w:t>
        </w:r>
        <w:r>
          <w:rPr>
            <w:webHidden/>
          </w:rPr>
          <w:tab/>
        </w:r>
        <w:r>
          <w:rPr>
            <w:webHidden/>
          </w:rPr>
          <w:fldChar w:fldCharType="begin"/>
        </w:r>
        <w:r>
          <w:rPr>
            <w:webHidden/>
          </w:rPr>
          <w:instrText xml:space="preserve"> PAGEREF _Toc68726918 \h </w:instrText>
        </w:r>
        <w:r>
          <w:rPr>
            <w:webHidden/>
          </w:rPr>
        </w:r>
        <w:r>
          <w:rPr>
            <w:webHidden/>
          </w:rPr>
          <w:fldChar w:fldCharType="separate"/>
        </w:r>
        <w:r>
          <w:rPr>
            <w:webHidden/>
          </w:rPr>
          <w:t>244</w:t>
        </w:r>
        <w:r>
          <w:rPr>
            <w:webHidden/>
          </w:rPr>
          <w:fldChar w:fldCharType="end"/>
        </w:r>
      </w:hyperlink>
    </w:p>
    <w:p w14:paraId="4072B8EA" w14:textId="7A7D8773" w:rsidR="006C4947" w:rsidRDefault="006C4947">
      <w:pPr>
        <w:pStyle w:val="Spistreci2"/>
        <w:rPr>
          <w:rFonts w:asciiTheme="minorHAnsi" w:eastAsiaTheme="minorEastAsia" w:hAnsiTheme="minorHAnsi" w:cstheme="minorBidi"/>
          <w:sz w:val="22"/>
          <w:szCs w:val="22"/>
          <w:lang w:eastAsia="pl-PL"/>
        </w:rPr>
      </w:pPr>
      <w:hyperlink w:anchor="_Toc68726919" w:history="1">
        <w:r w:rsidRPr="00FE6858">
          <w:rPr>
            <w:rStyle w:val="Hipercze"/>
          </w:rPr>
          <w:t>13.8</w:t>
        </w:r>
        <w:r>
          <w:rPr>
            <w:rFonts w:asciiTheme="minorHAnsi" w:eastAsiaTheme="minorEastAsia" w:hAnsiTheme="minorHAnsi" w:cstheme="minorBidi"/>
            <w:sz w:val="22"/>
            <w:szCs w:val="22"/>
            <w:lang w:eastAsia="pl-PL"/>
          </w:rPr>
          <w:tab/>
        </w:r>
        <w:r w:rsidRPr="00FE6858">
          <w:rPr>
            <w:rStyle w:val="Hipercze"/>
          </w:rPr>
          <w:t>Informacje o sposobie prowadzenia działań polegających na utrzymywaniu wód</w:t>
        </w:r>
        <w:r>
          <w:rPr>
            <w:webHidden/>
          </w:rPr>
          <w:tab/>
        </w:r>
        <w:r>
          <w:rPr>
            <w:webHidden/>
          </w:rPr>
          <w:fldChar w:fldCharType="begin"/>
        </w:r>
        <w:r>
          <w:rPr>
            <w:webHidden/>
          </w:rPr>
          <w:instrText xml:space="preserve"> PAGEREF _Toc68726919 \h </w:instrText>
        </w:r>
        <w:r>
          <w:rPr>
            <w:webHidden/>
          </w:rPr>
        </w:r>
        <w:r>
          <w:rPr>
            <w:webHidden/>
          </w:rPr>
          <w:fldChar w:fldCharType="separate"/>
        </w:r>
        <w:r>
          <w:rPr>
            <w:webHidden/>
          </w:rPr>
          <w:t>246</w:t>
        </w:r>
        <w:r>
          <w:rPr>
            <w:webHidden/>
          </w:rPr>
          <w:fldChar w:fldCharType="end"/>
        </w:r>
      </w:hyperlink>
    </w:p>
    <w:p w14:paraId="0C2CCC24" w14:textId="78AF2335" w:rsidR="006C4947" w:rsidRDefault="006C4947">
      <w:pPr>
        <w:pStyle w:val="Spistreci3"/>
        <w:rPr>
          <w:rFonts w:asciiTheme="minorHAnsi" w:eastAsiaTheme="minorEastAsia" w:hAnsiTheme="minorHAnsi" w:cstheme="minorBidi"/>
          <w:i w:val="0"/>
          <w:sz w:val="22"/>
          <w:szCs w:val="22"/>
          <w:lang w:eastAsia="pl-PL"/>
        </w:rPr>
      </w:pPr>
      <w:hyperlink w:anchor="_Toc68726920" w:history="1">
        <w:r w:rsidRPr="00FE6858">
          <w:rPr>
            <w:rStyle w:val="Hipercze"/>
          </w:rPr>
          <w:t>13.8.1</w:t>
        </w:r>
        <w:r>
          <w:rPr>
            <w:rFonts w:asciiTheme="minorHAnsi" w:eastAsiaTheme="minorEastAsia" w:hAnsiTheme="minorHAnsi" w:cstheme="minorBidi"/>
            <w:i w:val="0"/>
            <w:sz w:val="22"/>
            <w:szCs w:val="22"/>
            <w:lang w:eastAsia="pl-PL"/>
          </w:rPr>
          <w:tab/>
        </w:r>
        <w:r w:rsidRPr="00FE6858">
          <w:rPr>
            <w:rStyle w:val="Hipercze"/>
          </w:rPr>
          <w:t>Działania wykonywane na poziomie obszaru dorzecza oraz regionu wodnego na podstawie PUW</w:t>
        </w:r>
        <w:r>
          <w:rPr>
            <w:webHidden/>
          </w:rPr>
          <w:tab/>
        </w:r>
        <w:r>
          <w:rPr>
            <w:webHidden/>
          </w:rPr>
          <w:fldChar w:fldCharType="begin"/>
        </w:r>
        <w:r>
          <w:rPr>
            <w:webHidden/>
          </w:rPr>
          <w:instrText xml:space="preserve"> PAGEREF _Toc68726920 \h </w:instrText>
        </w:r>
        <w:r>
          <w:rPr>
            <w:webHidden/>
          </w:rPr>
        </w:r>
        <w:r>
          <w:rPr>
            <w:webHidden/>
          </w:rPr>
          <w:fldChar w:fldCharType="separate"/>
        </w:r>
        <w:r>
          <w:rPr>
            <w:webHidden/>
          </w:rPr>
          <w:t>247</w:t>
        </w:r>
        <w:r>
          <w:rPr>
            <w:webHidden/>
          </w:rPr>
          <w:fldChar w:fldCharType="end"/>
        </w:r>
      </w:hyperlink>
    </w:p>
    <w:p w14:paraId="2DA04078" w14:textId="03F4FB40" w:rsidR="006C4947" w:rsidRDefault="006C4947">
      <w:pPr>
        <w:pStyle w:val="Spistreci3"/>
        <w:rPr>
          <w:rFonts w:asciiTheme="minorHAnsi" w:eastAsiaTheme="minorEastAsia" w:hAnsiTheme="minorHAnsi" w:cstheme="minorBidi"/>
          <w:i w:val="0"/>
          <w:sz w:val="22"/>
          <w:szCs w:val="22"/>
          <w:lang w:eastAsia="pl-PL"/>
        </w:rPr>
      </w:pPr>
      <w:hyperlink w:anchor="_Toc68726921" w:history="1">
        <w:r w:rsidRPr="00FE6858">
          <w:rPr>
            <w:rStyle w:val="Hipercze"/>
          </w:rPr>
          <w:t>13.8.2</w:t>
        </w:r>
        <w:r>
          <w:rPr>
            <w:rFonts w:asciiTheme="minorHAnsi" w:eastAsiaTheme="minorEastAsia" w:hAnsiTheme="minorHAnsi" w:cstheme="minorBidi"/>
            <w:i w:val="0"/>
            <w:sz w:val="22"/>
            <w:szCs w:val="22"/>
            <w:lang w:eastAsia="pl-PL"/>
          </w:rPr>
          <w:tab/>
        </w:r>
        <w:r w:rsidRPr="00FE6858">
          <w:rPr>
            <w:rStyle w:val="Hipercze"/>
          </w:rPr>
          <w:t>Katalog dobrych praktyk w zakresie robót hydrotechnicznych i prac utrzymaniowych wraz z ustaleniem zasad</w:t>
        </w:r>
        <w:r>
          <w:rPr>
            <w:webHidden/>
          </w:rPr>
          <w:tab/>
        </w:r>
        <w:r>
          <w:rPr>
            <w:webHidden/>
          </w:rPr>
          <w:fldChar w:fldCharType="begin"/>
        </w:r>
        <w:r>
          <w:rPr>
            <w:webHidden/>
          </w:rPr>
          <w:instrText xml:space="preserve"> PAGEREF _Toc68726921 \h </w:instrText>
        </w:r>
        <w:r>
          <w:rPr>
            <w:webHidden/>
          </w:rPr>
        </w:r>
        <w:r>
          <w:rPr>
            <w:webHidden/>
          </w:rPr>
          <w:fldChar w:fldCharType="separate"/>
        </w:r>
        <w:r>
          <w:rPr>
            <w:webHidden/>
          </w:rPr>
          <w:t>249</w:t>
        </w:r>
        <w:r>
          <w:rPr>
            <w:webHidden/>
          </w:rPr>
          <w:fldChar w:fldCharType="end"/>
        </w:r>
      </w:hyperlink>
    </w:p>
    <w:p w14:paraId="77D608B1" w14:textId="37A29A20" w:rsidR="006C4947" w:rsidRDefault="006C4947">
      <w:pPr>
        <w:pStyle w:val="Spistreci3"/>
        <w:rPr>
          <w:rFonts w:asciiTheme="minorHAnsi" w:eastAsiaTheme="minorEastAsia" w:hAnsiTheme="minorHAnsi" w:cstheme="minorBidi"/>
          <w:i w:val="0"/>
          <w:sz w:val="22"/>
          <w:szCs w:val="22"/>
          <w:lang w:eastAsia="pl-PL"/>
        </w:rPr>
      </w:pPr>
      <w:hyperlink w:anchor="_Toc68726922" w:history="1">
        <w:r w:rsidRPr="00FE6858">
          <w:rPr>
            <w:rStyle w:val="Hipercze"/>
          </w:rPr>
          <w:t>13.8.3</w:t>
        </w:r>
        <w:r>
          <w:rPr>
            <w:rFonts w:asciiTheme="minorHAnsi" w:eastAsiaTheme="minorEastAsia" w:hAnsiTheme="minorHAnsi" w:cstheme="minorBidi"/>
            <w:i w:val="0"/>
            <w:sz w:val="22"/>
            <w:szCs w:val="22"/>
            <w:lang w:eastAsia="pl-PL"/>
          </w:rPr>
          <w:tab/>
        </w:r>
        <w:r w:rsidRPr="00FE6858">
          <w:rPr>
            <w:rStyle w:val="Hipercze"/>
          </w:rPr>
          <w:t>Raport dotyczący zrealizowanych prac na przykładzie roku 2019</w:t>
        </w:r>
        <w:r>
          <w:rPr>
            <w:webHidden/>
          </w:rPr>
          <w:tab/>
        </w:r>
        <w:r>
          <w:rPr>
            <w:webHidden/>
          </w:rPr>
          <w:fldChar w:fldCharType="begin"/>
        </w:r>
        <w:r>
          <w:rPr>
            <w:webHidden/>
          </w:rPr>
          <w:instrText xml:space="preserve"> PAGEREF _Toc68726922 \h </w:instrText>
        </w:r>
        <w:r>
          <w:rPr>
            <w:webHidden/>
          </w:rPr>
        </w:r>
        <w:r>
          <w:rPr>
            <w:webHidden/>
          </w:rPr>
          <w:fldChar w:fldCharType="separate"/>
        </w:r>
        <w:r>
          <w:rPr>
            <w:webHidden/>
          </w:rPr>
          <w:t>250</w:t>
        </w:r>
        <w:r>
          <w:rPr>
            <w:webHidden/>
          </w:rPr>
          <w:fldChar w:fldCharType="end"/>
        </w:r>
      </w:hyperlink>
    </w:p>
    <w:p w14:paraId="69186AFB" w14:textId="1738F7B8" w:rsidR="006C4947" w:rsidRDefault="006C4947">
      <w:pPr>
        <w:pStyle w:val="Spistreci2"/>
        <w:rPr>
          <w:rFonts w:asciiTheme="minorHAnsi" w:eastAsiaTheme="minorEastAsia" w:hAnsiTheme="minorHAnsi" w:cstheme="minorBidi"/>
          <w:sz w:val="22"/>
          <w:szCs w:val="22"/>
          <w:lang w:eastAsia="pl-PL"/>
        </w:rPr>
      </w:pPr>
      <w:hyperlink w:anchor="_Toc68726923" w:history="1">
        <w:r w:rsidRPr="00FE6858">
          <w:rPr>
            <w:rStyle w:val="Hipercze"/>
          </w:rPr>
          <w:t>13.9</w:t>
        </w:r>
        <w:r>
          <w:rPr>
            <w:rFonts w:asciiTheme="minorHAnsi" w:eastAsiaTheme="minorEastAsia" w:hAnsiTheme="minorHAnsi" w:cstheme="minorBidi"/>
            <w:sz w:val="22"/>
            <w:szCs w:val="22"/>
            <w:lang w:eastAsia="pl-PL"/>
          </w:rPr>
          <w:tab/>
        </w:r>
        <w:r w:rsidRPr="00FE6858">
          <w:rPr>
            <w:rStyle w:val="Hipercze"/>
          </w:rPr>
          <w:t>Działania związane z ochroną wód morskich</w:t>
        </w:r>
        <w:r>
          <w:rPr>
            <w:webHidden/>
          </w:rPr>
          <w:tab/>
        </w:r>
        <w:r>
          <w:rPr>
            <w:webHidden/>
          </w:rPr>
          <w:fldChar w:fldCharType="begin"/>
        </w:r>
        <w:r>
          <w:rPr>
            <w:webHidden/>
          </w:rPr>
          <w:instrText xml:space="preserve"> PAGEREF _Toc68726923 \h </w:instrText>
        </w:r>
        <w:r>
          <w:rPr>
            <w:webHidden/>
          </w:rPr>
        </w:r>
        <w:r>
          <w:rPr>
            <w:webHidden/>
          </w:rPr>
          <w:fldChar w:fldCharType="separate"/>
        </w:r>
        <w:r>
          <w:rPr>
            <w:webHidden/>
          </w:rPr>
          <w:t>252</w:t>
        </w:r>
        <w:r>
          <w:rPr>
            <w:webHidden/>
          </w:rPr>
          <w:fldChar w:fldCharType="end"/>
        </w:r>
      </w:hyperlink>
    </w:p>
    <w:p w14:paraId="68CD029C" w14:textId="635E51A0" w:rsidR="006C4947" w:rsidRDefault="006C4947">
      <w:pPr>
        <w:pStyle w:val="Spistreci2"/>
        <w:rPr>
          <w:rFonts w:asciiTheme="minorHAnsi" w:eastAsiaTheme="minorEastAsia" w:hAnsiTheme="minorHAnsi" w:cstheme="minorBidi"/>
          <w:sz w:val="22"/>
          <w:szCs w:val="22"/>
          <w:lang w:eastAsia="pl-PL"/>
        </w:rPr>
      </w:pPr>
      <w:hyperlink w:anchor="_Toc68726924" w:history="1">
        <w:r w:rsidRPr="00FE6858">
          <w:rPr>
            <w:rStyle w:val="Hipercze"/>
          </w:rPr>
          <w:t>13.10</w:t>
        </w:r>
        <w:r>
          <w:rPr>
            <w:rFonts w:asciiTheme="minorHAnsi" w:eastAsiaTheme="minorEastAsia" w:hAnsiTheme="minorHAnsi" w:cstheme="minorBidi"/>
            <w:sz w:val="22"/>
            <w:szCs w:val="22"/>
            <w:lang w:eastAsia="pl-PL"/>
          </w:rPr>
          <w:tab/>
        </w:r>
        <w:r w:rsidRPr="00FE6858">
          <w:rPr>
            <w:rStyle w:val="Hipercze"/>
          </w:rPr>
          <w:t>Informacje o pozostałych działaniach</w:t>
        </w:r>
        <w:r>
          <w:rPr>
            <w:webHidden/>
          </w:rPr>
          <w:tab/>
        </w:r>
        <w:r>
          <w:rPr>
            <w:webHidden/>
          </w:rPr>
          <w:fldChar w:fldCharType="begin"/>
        </w:r>
        <w:r>
          <w:rPr>
            <w:webHidden/>
          </w:rPr>
          <w:instrText xml:space="preserve"> PAGEREF _Toc68726924 \h </w:instrText>
        </w:r>
        <w:r>
          <w:rPr>
            <w:webHidden/>
          </w:rPr>
        </w:r>
        <w:r>
          <w:rPr>
            <w:webHidden/>
          </w:rPr>
          <w:fldChar w:fldCharType="separate"/>
        </w:r>
        <w:r>
          <w:rPr>
            <w:webHidden/>
          </w:rPr>
          <w:t>252</w:t>
        </w:r>
        <w:r>
          <w:rPr>
            <w:webHidden/>
          </w:rPr>
          <w:fldChar w:fldCharType="end"/>
        </w:r>
      </w:hyperlink>
    </w:p>
    <w:p w14:paraId="1BEA1C4D" w14:textId="236203DF" w:rsidR="006C4947" w:rsidRDefault="006C4947">
      <w:pPr>
        <w:pStyle w:val="Spistreci1"/>
        <w:rPr>
          <w:rFonts w:asciiTheme="minorHAnsi" w:eastAsiaTheme="minorEastAsia" w:hAnsiTheme="minorHAnsi" w:cstheme="minorBidi"/>
          <w:b w:val="0"/>
          <w:smallCaps w:val="0"/>
          <w:sz w:val="22"/>
          <w:szCs w:val="22"/>
          <w:lang w:eastAsia="pl-PL"/>
        </w:rPr>
      </w:pPr>
      <w:hyperlink w:anchor="_Toc68726925" w:history="1">
        <w:r w:rsidRPr="00FE6858">
          <w:rPr>
            <w:rStyle w:val="Hipercze"/>
          </w:rPr>
          <w:t>14</w:t>
        </w:r>
        <w:r>
          <w:rPr>
            <w:rFonts w:asciiTheme="minorHAnsi" w:eastAsiaTheme="minorEastAsia" w:hAnsiTheme="minorHAnsi" w:cstheme="minorBidi"/>
            <w:b w:val="0"/>
            <w:smallCaps w:val="0"/>
            <w:sz w:val="22"/>
            <w:szCs w:val="22"/>
            <w:lang w:eastAsia="pl-PL"/>
          </w:rPr>
          <w:tab/>
        </w:r>
        <w:r w:rsidRPr="00FE6858">
          <w:rPr>
            <w:rStyle w:val="Hipercze"/>
          </w:rPr>
          <w:t>Warunki potwierdzenia ważności pomiarów lub badań w monitoringu jcwp i jcwpd</w:t>
        </w:r>
        <w:r>
          <w:rPr>
            <w:webHidden/>
          </w:rPr>
          <w:tab/>
        </w:r>
        <w:r>
          <w:rPr>
            <w:webHidden/>
          </w:rPr>
          <w:fldChar w:fldCharType="begin"/>
        </w:r>
        <w:r>
          <w:rPr>
            <w:webHidden/>
          </w:rPr>
          <w:instrText xml:space="preserve"> PAGEREF _Toc68726925 \h </w:instrText>
        </w:r>
        <w:r>
          <w:rPr>
            <w:webHidden/>
          </w:rPr>
        </w:r>
        <w:r>
          <w:rPr>
            <w:webHidden/>
          </w:rPr>
          <w:fldChar w:fldCharType="separate"/>
        </w:r>
        <w:r>
          <w:rPr>
            <w:webHidden/>
          </w:rPr>
          <w:t>255</w:t>
        </w:r>
        <w:r>
          <w:rPr>
            <w:webHidden/>
          </w:rPr>
          <w:fldChar w:fldCharType="end"/>
        </w:r>
      </w:hyperlink>
    </w:p>
    <w:p w14:paraId="7F4C7296" w14:textId="6F338872" w:rsidR="006C4947" w:rsidRDefault="006C4947">
      <w:pPr>
        <w:pStyle w:val="Spistreci1"/>
        <w:rPr>
          <w:rFonts w:asciiTheme="minorHAnsi" w:eastAsiaTheme="minorEastAsia" w:hAnsiTheme="minorHAnsi" w:cstheme="minorBidi"/>
          <w:b w:val="0"/>
          <w:smallCaps w:val="0"/>
          <w:sz w:val="22"/>
          <w:szCs w:val="22"/>
          <w:lang w:eastAsia="pl-PL"/>
        </w:rPr>
      </w:pPr>
      <w:hyperlink w:anchor="_Toc68726926" w:history="1">
        <w:r w:rsidRPr="00FE6858">
          <w:rPr>
            <w:rStyle w:val="Hipercze"/>
          </w:rPr>
          <w:t>15</w:t>
        </w:r>
        <w:r>
          <w:rPr>
            <w:rFonts w:asciiTheme="minorHAnsi" w:eastAsiaTheme="minorEastAsia" w:hAnsiTheme="minorHAnsi" w:cstheme="minorBidi"/>
            <w:b w:val="0"/>
            <w:smallCaps w:val="0"/>
            <w:sz w:val="22"/>
            <w:szCs w:val="22"/>
            <w:lang w:eastAsia="pl-PL"/>
          </w:rPr>
          <w:tab/>
        </w:r>
        <w:r w:rsidRPr="00FE6858">
          <w:rPr>
            <w:rStyle w:val="Hipercze"/>
          </w:rPr>
          <w:t>Uzasadnienie częstotliwości prowadzenia monitoringu substancji priorytetowych określonej w przepisach wydanych na podstawie art. 350 ust. 1 ustawy Prawo wodne</w:t>
        </w:r>
        <w:r>
          <w:rPr>
            <w:webHidden/>
          </w:rPr>
          <w:tab/>
        </w:r>
        <w:r>
          <w:rPr>
            <w:webHidden/>
          </w:rPr>
          <w:fldChar w:fldCharType="begin"/>
        </w:r>
        <w:r>
          <w:rPr>
            <w:webHidden/>
          </w:rPr>
          <w:instrText xml:space="preserve"> PAGEREF _Toc68726926 \h </w:instrText>
        </w:r>
        <w:r>
          <w:rPr>
            <w:webHidden/>
          </w:rPr>
        </w:r>
        <w:r>
          <w:rPr>
            <w:webHidden/>
          </w:rPr>
          <w:fldChar w:fldCharType="separate"/>
        </w:r>
        <w:r>
          <w:rPr>
            <w:webHidden/>
          </w:rPr>
          <w:t>271</w:t>
        </w:r>
        <w:r>
          <w:rPr>
            <w:webHidden/>
          </w:rPr>
          <w:fldChar w:fldCharType="end"/>
        </w:r>
      </w:hyperlink>
    </w:p>
    <w:p w14:paraId="32D4E2AC" w14:textId="68E3BDE7" w:rsidR="006C4947" w:rsidRDefault="006C4947">
      <w:pPr>
        <w:pStyle w:val="Spistreci1"/>
        <w:rPr>
          <w:rFonts w:asciiTheme="minorHAnsi" w:eastAsiaTheme="minorEastAsia" w:hAnsiTheme="minorHAnsi" w:cstheme="minorBidi"/>
          <w:b w:val="0"/>
          <w:smallCaps w:val="0"/>
          <w:sz w:val="22"/>
          <w:szCs w:val="22"/>
          <w:lang w:eastAsia="pl-PL"/>
        </w:rPr>
      </w:pPr>
      <w:hyperlink w:anchor="_Toc68726927" w:history="1">
        <w:r w:rsidRPr="00FE6858">
          <w:rPr>
            <w:rStyle w:val="Hipercze"/>
          </w:rPr>
          <w:t>16</w:t>
        </w:r>
        <w:r>
          <w:rPr>
            <w:rFonts w:asciiTheme="minorHAnsi" w:eastAsiaTheme="minorEastAsia" w:hAnsiTheme="minorHAnsi" w:cstheme="minorBidi"/>
            <w:b w:val="0"/>
            <w:smallCaps w:val="0"/>
            <w:sz w:val="22"/>
            <w:szCs w:val="22"/>
            <w:lang w:eastAsia="pl-PL"/>
          </w:rPr>
          <w:tab/>
        </w:r>
        <w:r w:rsidRPr="00FE6858">
          <w:rPr>
            <w:rStyle w:val="Hipercze"/>
          </w:rPr>
          <w:t>Wykaz inwestycji i działań które mogą spowodować nieosiągnięcie dobrego stanu wód lub pogorszenie dobrego stanu wód</w:t>
        </w:r>
        <w:r>
          <w:rPr>
            <w:webHidden/>
          </w:rPr>
          <w:tab/>
        </w:r>
        <w:r>
          <w:rPr>
            <w:webHidden/>
          </w:rPr>
          <w:fldChar w:fldCharType="begin"/>
        </w:r>
        <w:r>
          <w:rPr>
            <w:webHidden/>
          </w:rPr>
          <w:instrText xml:space="preserve"> PAGEREF _Toc68726927 \h </w:instrText>
        </w:r>
        <w:r>
          <w:rPr>
            <w:webHidden/>
          </w:rPr>
        </w:r>
        <w:r>
          <w:rPr>
            <w:webHidden/>
          </w:rPr>
          <w:fldChar w:fldCharType="separate"/>
        </w:r>
        <w:r>
          <w:rPr>
            <w:webHidden/>
          </w:rPr>
          <w:t>276</w:t>
        </w:r>
        <w:r>
          <w:rPr>
            <w:webHidden/>
          </w:rPr>
          <w:fldChar w:fldCharType="end"/>
        </w:r>
      </w:hyperlink>
    </w:p>
    <w:p w14:paraId="2C08B5D4" w14:textId="2D2918D2" w:rsidR="006C4947" w:rsidRDefault="006C4947">
      <w:pPr>
        <w:pStyle w:val="Spistreci1"/>
        <w:rPr>
          <w:rFonts w:asciiTheme="minorHAnsi" w:eastAsiaTheme="minorEastAsia" w:hAnsiTheme="minorHAnsi" w:cstheme="minorBidi"/>
          <w:b w:val="0"/>
          <w:smallCaps w:val="0"/>
          <w:sz w:val="22"/>
          <w:szCs w:val="22"/>
          <w:lang w:eastAsia="pl-PL"/>
        </w:rPr>
      </w:pPr>
      <w:hyperlink w:anchor="_Toc68726928" w:history="1">
        <w:r w:rsidRPr="00FE6858">
          <w:rPr>
            <w:rStyle w:val="Hipercze"/>
          </w:rPr>
          <w:t>17</w:t>
        </w:r>
        <w:r>
          <w:rPr>
            <w:rFonts w:asciiTheme="minorHAnsi" w:eastAsiaTheme="minorEastAsia" w:hAnsiTheme="minorHAnsi" w:cstheme="minorBidi"/>
            <w:b w:val="0"/>
            <w:smallCaps w:val="0"/>
            <w:sz w:val="22"/>
            <w:szCs w:val="22"/>
            <w:lang w:eastAsia="pl-PL"/>
          </w:rPr>
          <w:tab/>
        </w:r>
        <w:r w:rsidRPr="00FE6858">
          <w:rPr>
            <w:rStyle w:val="Hipercze"/>
          </w:rPr>
          <w:t>Zagrożenia dla swobodnego przepływu wód oraz spływu lodów</w:t>
        </w:r>
        <w:r>
          <w:rPr>
            <w:webHidden/>
          </w:rPr>
          <w:tab/>
        </w:r>
        <w:r>
          <w:rPr>
            <w:webHidden/>
          </w:rPr>
          <w:fldChar w:fldCharType="begin"/>
        </w:r>
        <w:r>
          <w:rPr>
            <w:webHidden/>
          </w:rPr>
          <w:instrText xml:space="preserve"> PAGEREF _Toc68726928 \h </w:instrText>
        </w:r>
        <w:r>
          <w:rPr>
            <w:webHidden/>
          </w:rPr>
        </w:r>
        <w:r>
          <w:rPr>
            <w:webHidden/>
          </w:rPr>
          <w:fldChar w:fldCharType="separate"/>
        </w:r>
        <w:r>
          <w:rPr>
            <w:webHidden/>
          </w:rPr>
          <w:t>279</w:t>
        </w:r>
        <w:r>
          <w:rPr>
            <w:webHidden/>
          </w:rPr>
          <w:fldChar w:fldCharType="end"/>
        </w:r>
      </w:hyperlink>
    </w:p>
    <w:p w14:paraId="65345B95" w14:textId="24FFEE18" w:rsidR="006C4947" w:rsidRDefault="006C4947">
      <w:pPr>
        <w:pStyle w:val="Spistreci1"/>
        <w:rPr>
          <w:rFonts w:asciiTheme="minorHAnsi" w:eastAsiaTheme="minorEastAsia" w:hAnsiTheme="minorHAnsi" w:cstheme="minorBidi"/>
          <w:b w:val="0"/>
          <w:smallCaps w:val="0"/>
          <w:sz w:val="22"/>
          <w:szCs w:val="22"/>
          <w:lang w:eastAsia="pl-PL"/>
        </w:rPr>
      </w:pPr>
      <w:hyperlink w:anchor="_Toc68726929" w:history="1">
        <w:r w:rsidRPr="00FE6858">
          <w:rPr>
            <w:rStyle w:val="Hipercze"/>
          </w:rPr>
          <w:t>18</w:t>
        </w:r>
        <w:r>
          <w:rPr>
            <w:rFonts w:asciiTheme="minorHAnsi" w:eastAsiaTheme="minorEastAsia" w:hAnsiTheme="minorHAnsi" w:cstheme="minorBidi"/>
            <w:b w:val="0"/>
            <w:smallCaps w:val="0"/>
            <w:sz w:val="22"/>
            <w:szCs w:val="22"/>
            <w:lang w:eastAsia="pl-PL"/>
          </w:rPr>
          <w:tab/>
        </w:r>
        <w:r w:rsidRPr="00FE6858">
          <w:rPr>
            <w:rStyle w:val="Hipercze"/>
          </w:rPr>
          <w:t>Budowle regulacyjne i urządzenia wodne</w:t>
        </w:r>
        <w:r>
          <w:rPr>
            <w:webHidden/>
          </w:rPr>
          <w:tab/>
        </w:r>
        <w:r>
          <w:rPr>
            <w:webHidden/>
          </w:rPr>
          <w:fldChar w:fldCharType="begin"/>
        </w:r>
        <w:r>
          <w:rPr>
            <w:webHidden/>
          </w:rPr>
          <w:instrText xml:space="preserve"> PAGEREF _Toc68726929 \h </w:instrText>
        </w:r>
        <w:r>
          <w:rPr>
            <w:webHidden/>
          </w:rPr>
        </w:r>
        <w:r>
          <w:rPr>
            <w:webHidden/>
          </w:rPr>
          <w:fldChar w:fldCharType="separate"/>
        </w:r>
        <w:r>
          <w:rPr>
            <w:webHidden/>
          </w:rPr>
          <w:t>280</w:t>
        </w:r>
        <w:r>
          <w:rPr>
            <w:webHidden/>
          </w:rPr>
          <w:fldChar w:fldCharType="end"/>
        </w:r>
      </w:hyperlink>
    </w:p>
    <w:p w14:paraId="24AA4D9B" w14:textId="0F973999" w:rsidR="006C4947" w:rsidRDefault="006C4947">
      <w:pPr>
        <w:pStyle w:val="Spistreci1"/>
        <w:rPr>
          <w:rFonts w:asciiTheme="minorHAnsi" w:eastAsiaTheme="minorEastAsia" w:hAnsiTheme="minorHAnsi" w:cstheme="minorBidi"/>
          <w:b w:val="0"/>
          <w:smallCaps w:val="0"/>
          <w:sz w:val="22"/>
          <w:szCs w:val="22"/>
          <w:lang w:eastAsia="pl-PL"/>
        </w:rPr>
      </w:pPr>
      <w:hyperlink w:anchor="_Toc68726930" w:history="1">
        <w:r w:rsidRPr="00FE6858">
          <w:rPr>
            <w:rStyle w:val="Hipercze"/>
          </w:rPr>
          <w:t>19</w:t>
        </w:r>
        <w:r>
          <w:rPr>
            <w:rFonts w:asciiTheme="minorHAnsi" w:eastAsiaTheme="minorEastAsia" w:hAnsiTheme="minorHAnsi" w:cstheme="minorBidi"/>
            <w:b w:val="0"/>
            <w:smallCaps w:val="0"/>
            <w:sz w:val="22"/>
            <w:szCs w:val="22"/>
            <w:lang w:eastAsia="pl-PL"/>
          </w:rPr>
          <w:tab/>
        </w:r>
        <w:r w:rsidRPr="00FE6858">
          <w:rPr>
            <w:rStyle w:val="Hipercze"/>
          </w:rPr>
          <w:t>Wykaz szczegółowych programów i planów gospodarowania dla obszaru dorzecza</w:t>
        </w:r>
        <w:r>
          <w:rPr>
            <w:webHidden/>
          </w:rPr>
          <w:tab/>
        </w:r>
        <w:r>
          <w:rPr>
            <w:webHidden/>
          </w:rPr>
          <w:fldChar w:fldCharType="begin"/>
        </w:r>
        <w:r>
          <w:rPr>
            <w:webHidden/>
          </w:rPr>
          <w:instrText xml:space="preserve"> PAGEREF _Toc68726930 \h </w:instrText>
        </w:r>
        <w:r>
          <w:rPr>
            <w:webHidden/>
          </w:rPr>
        </w:r>
        <w:r>
          <w:rPr>
            <w:webHidden/>
          </w:rPr>
          <w:fldChar w:fldCharType="separate"/>
        </w:r>
        <w:r>
          <w:rPr>
            <w:webHidden/>
          </w:rPr>
          <w:t>281</w:t>
        </w:r>
        <w:r>
          <w:rPr>
            <w:webHidden/>
          </w:rPr>
          <w:fldChar w:fldCharType="end"/>
        </w:r>
      </w:hyperlink>
    </w:p>
    <w:p w14:paraId="346FEB0E" w14:textId="665391F7" w:rsidR="006C4947" w:rsidRDefault="006C4947">
      <w:pPr>
        <w:pStyle w:val="Spistreci2"/>
        <w:rPr>
          <w:rFonts w:asciiTheme="minorHAnsi" w:eastAsiaTheme="minorEastAsia" w:hAnsiTheme="minorHAnsi" w:cstheme="minorBidi"/>
          <w:sz w:val="22"/>
          <w:szCs w:val="22"/>
          <w:lang w:eastAsia="pl-PL"/>
        </w:rPr>
      </w:pPr>
      <w:hyperlink w:anchor="_Toc68726931" w:history="1">
        <w:r w:rsidRPr="00FE6858">
          <w:rPr>
            <w:rStyle w:val="Hipercze"/>
          </w:rPr>
          <w:t>19.1</w:t>
        </w:r>
        <w:r>
          <w:rPr>
            <w:rFonts w:asciiTheme="minorHAnsi" w:eastAsiaTheme="minorEastAsia" w:hAnsiTheme="minorHAnsi" w:cstheme="minorBidi"/>
            <w:sz w:val="22"/>
            <w:szCs w:val="22"/>
            <w:lang w:eastAsia="pl-PL"/>
          </w:rPr>
          <w:tab/>
        </w:r>
        <w:r w:rsidRPr="00FE6858">
          <w:rPr>
            <w:rStyle w:val="Hipercze"/>
          </w:rPr>
          <w:t>Dokumenty powiązane mające wpływ na ustalenia IIaPGW</w:t>
        </w:r>
        <w:r>
          <w:rPr>
            <w:webHidden/>
          </w:rPr>
          <w:tab/>
        </w:r>
        <w:r>
          <w:rPr>
            <w:webHidden/>
          </w:rPr>
          <w:fldChar w:fldCharType="begin"/>
        </w:r>
        <w:r>
          <w:rPr>
            <w:webHidden/>
          </w:rPr>
          <w:instrText xml:space="preserve"> PAGEREF _Toc68726931 \h </w:instrText>
        </w:r>
        <w:r>
          <w:rPr>
            <w:webHidden/>
          </w:rPr>
        </w:r>
        <w:r>
          <w:rPr>
            <w:webHidden/>
          </w:rPr>
          <w:fldChar w:fldCharType="separate"/>
        </w:r>
        <w:r>
          <w:rPr>
            <w:webHidden/>
          </w:rPr>
          <w:t>283</w:t>
        </w:r>
        <w:r>
          <w:rPr>
            <w:webHidden/>
          </w:rPr>
          <w:fldChar w:fldCharType="end"/>
        </w:r>
      </w:hyperlink>
    </w:p>
    <w:p w14:paraId="44995752" w14:textId="3ECB9C11" w:rsidR="006C4947" w:rsidRDefault="006C4947">
      <w:pPr>
        <w:pStyle w:val="Spistreci3"/>
        <w:rPr>
          <w:rFonts w:asciiTheme="minorHAnsi" w:eastAsiaTheme="minorEastAsia" w:hAnsiTheme="minorHAnsi" w:cstheme="minorBidi"/>
          <w:i w:val="0"/>
          <w:sz w:val="22"/>
          <w:szCs w:val="22"/>
          <w:lang w:eastAsia="pl-PL"/>
        </w:rPr>
      </w:pPr>
      <w:hyperlink w:anchor="_Toc68726932" w:history="1">
        <w:r w:rsidRPr="00FE6858">
          <w:rPr>
            <w:rStyle w:val="Hipercze"/>
          </w:rPr>
          <w:t>19.1.1</w:t>
        </w:r>
        <w:r>
          <w:rPr>
            <w:rFonts w:asciiTheme="minorHAnsi" w:eastAsiaTheme="minorEastAsia" w:hAnsiTheme="minorHAnsi" w:cstheme="minorBidi"/>
            <w:i w:val="0"/>
            <w:sz w:val="22"/>
            <w:szCs w:val="22"/>
            <w:lang w:eastAsia="pl-PL"/>
          </w:rPr>
          <w:tab/>
        </w:r>
        <w:r w:rsidRPr="00FE6858">
          <w:rPr>
            <w:rStyle w:val="Hipercze"/>
          </w:rPr>
          <w:t>Dokumenty o charakterze strategicznym</w:t>
        </w:r>
        <w:r>
          <w:rPr>
            <w:webHidden/>
          </w:rPr>
          <w:tab/>
        </w:r>
        <w:r>
          <w:rPr>
            <w:webHidden/>
          </w:rPr>
          <w:fldChar w:fldCharType="begin"/>
        </w:r>
        <w:r>
          <w:rPr>
            <w:webHidden/>
          </w:rPr>
          <w:instrText xml:space="preserve"> PAGEREF _Toc68726932 \h </w:instrText>
        </w:r>
        <w:r>
          <w:rPr>
            <w:webHidden/>
          </w:rPr>
        </w:r>
        <w:r>
          <w:rPr>
            <w:webHidden/>
          </w:rPr>
          <w:fldChar w:fldCharType="separate"/>
        </w:r>
        <w:r>
          <w:rPr>
            <w:webHidden/>
          </w:rPr>
          <w:t>283</w:t>
        </w:r>
        <w:r>
          <w:rPr>
            <w:webHidden/>
          </w:rPr>
          <w:fldChar w:fldCharType="end"/>
        </w:r>
      </w:hyperlink>
    </w:p>
    <w:p w14:paraId="49B7B975" w14:textId="0C2A2197" w:rsidR="006C4947" w:rsidRDefault="006C4947">
      <w:pPr>
        <w:pStyle w:val="Spistreci3"/>
        <w:rPr>
          <w:rFonts w:asciiTheme="minorHAnsi" w:eastAsiaTheme="minorEastAsia" w:hAnsiTheme="minorHAnsi" w:cstheme="minorBidi"/>
          <w:i w:val="0"/>
          <w:sz w:val="22"/>
          <w:szCs w:val="22"/>
          <w:lang w:eastAsia="pl-PL"/>
        </w:rPr>
      </w:pPr>
      <w:hyperlink w:anchor="_Toc68726933" w:history="1">
        <w:r w:rsidRPr="00FE6858">
          <w:rPr>
            <w:rStyle w:val="Hipercze"/>
          </w:rPr>
          <w:t>19.1.2</w:t>
        </w:r>
        <w:r>
          <w:rPr>
            <w:rFonts w:asciiTheme="minorHAnsi" w:eastAsiaTheme="minorEastAsia" w:hAnsiTheme="minorHAnsi" w:cstheme="minorBidi"/>
            <w:i w:val="0"/>
            <w:sz w:val="22"/>
            <w:szCs w:val="22"/>
            <w:lang w:eastAsia="pl-PL"/>
          </w:rPr>
          <w:tab/>
        </w:r>
        <w:r w:rsidRPr="00FE6858">
          <w:rPr>
            <w:rStyle w:val="Hipercze"/>
          </w:rPr>
          <w:t>Dokumenty i inne instrumenty o charakterze operacyjno-wdrożeniowym - komplementarne względem zapisów IIaPGW</w:t>
        </w:r>
        <w:r>
          <w:rPr>
            <w:webHidden/>
          </w:rPr>
          <w:tab/>
        </w:r>
        <w:r>
          <w:rPr>
            <w:webHidden/>
          </w:rPr>
          <w:fldChar w:fldCharType="begin"/>
        </w:r>
        <w:r>
          <w:rPr>
            <w:webHidden/>
          </w:rPr>
          <w:instrText xml:space="preserve"> PAGEREF _Toc68726933 \h </w:instrText>
        </w:r>
        <w:r>
          <w:rPr>
            <w:webHidden/>
          </w:rPr>
        </w:r>
        <w:r>
          <w:rPr>
            <w:webHidden/>
          </w:rPr>
          <w:fldChar w:fldCharType="separate"/>
        </w:r>
        <w:r>
          <w:rPr>
            <w:webHidden/>
          </w:rPr>
          <w:t>289</w:t>
        </w:r>
        <w:r>
          <w:rPr>
            <w:webHidden/>
          </w:rPr>
          <w:fldChar w:fldCharType="end"/>
        </w:r>
      </w:hyperlink>
    </w:p>
    <w:p w14:paraId="2852A116" w14:textId="67AD6F42" w:rsidR="006C4947" w:rsidRDefault="006C4947">
      <w:pPr>
        <w:pStyle w:val="Spistreci3"/>
        <w:rPr>
          <w:rFonts w:asciiTheme="minorHAnsi" w:eastAsiaTheme="minorEastAsia" w:hAnsiTheme="minorHAnsi" w:cstheme="minorBidi"/>
          <w:i w:val="0"/>
          <w:sz w:val="22"/>
          <w:szCs w:val="22"/>
          <w:lang w:eastAsia="pl-PL"/>
        </w:rPr>
      </w:pPr>
      <w:hyperlink w:anchor="_Toc68726934" w:history="1">
        <w:r w:rsidRPr="00FE6858">
          <w:rPr>
            <w:rStyle w:val="Hipercze"/>
          </w:rPr>
          <w:t>19.1.3</w:t>
        </w:r>
        <w:r>
          <w:rPr>
            <w:rFonts w:asciiTheme="minorHAnsi" w:eastAsiaTheme="minorEastAsia" w:hAnsiTheme="minorHAnsi" w:cstheme="minorBidi"/>
            <w:i w:val="0"/>
            <w:sz w:val="22"/>
            <w:szCs w:val="22"/>
            <w:lang w:eastAsia="pl-PL"/>
          </w:rPr>
          <w:tab/>
        </w:r>
        <w:r w:rsidRPr="00FE6858">
          <w:rPr>
            <w:rStyle w:val="Hipercze"/>
          </w:rPr>
          <w:t>Dokumenty i inne instrumenty o charakterze operacyjno-wdrożeniowym - inne powiązane</w:t>
        </w:r>
        <w:r>
          <w:rPr>
            <w:webHidden/>
          </w:rPr>
          <w:tab/>
        </w:r>
        <w:r>
          <w:rPr>
            <w:webHidden/>
          </w:rPr>
          <w:fldChar w:fldCharType="begin"/>
        </w:r>
        <w:r>
          <w:rPr>
            <w:webHidden/>
          </w:rPr>
          <w:instrText xml:space="preserve"> PAGEREF _Toc68726934 \h </w:instrText>
        </w:r>
        <w:r>
          <w:rPr>
            <w:webHidden/>
          </w:rPr>
        </w:r>
        <w:r>
          <w:rPr>
            <w:webHidden/>
          </w:rPr>
          <w:fldChar w:fldCharType="separate"/>
        </w:r>
        <w:r>
          <w:rPr>
            <w:webHidden/>
          </w:rPr>
          <w:t>296</w:t>
        </w:r>
        <w:r>
          <w:rPr>
            <w:webHidden/>
          </w:rPr>
          <w:fldChar w:fldCharType="end"/>
        </w:r>
      </w:hyperlink>
    </w:p>
    <w:p w14:paraId="04FA8BD5" w14:textId="47C97351" w:rsidR="006C4947" w:rsidRDefault="006C4947">
      <w:pPr>
        <w:pStyle w:val="Spistreci2"/>
        <w:rPr>
          <w:rFonts w:asciiTheme="minorHAnsi" w:eastAsiaTheme="minorEastAsia" w:hAnsiTheme="minorHAnsi" w:cstheme="minorBidi"/>
          <w:sz w:val="22"/>
          <w:szCs w:val="22"/>
          <w:lang w:eastAsia="pl-PL"/>
        </w:rPr>
      </w:pPr>
      <w:hyperlink w:anchor="_Toc68726935" w:history="1">
        <w:r w:rsidRPr="00FE6858">
          <w:rPr>
            <w:rStyle w:val="Hipercze"/>
          </w:rPr>
          <w:t>19.2</w:t>
        </w:r>
        <w:r>
          <w:rPr>
            <w:rFonts w:asciiTheme="minorHAnsi" w:eastAsiaTheme="minorEastAsia" w:hAnsiTheme="minorHAnsi" w:cstheme="minorBidi"/>
            <w:sz w:val="22"/>
            <w:szCs w:val="22"/>
            <w:lang w:eastAsia="pl-PL"/>
          </w:rPr>
          <w:tab/>
        </w:r>
        <w:r w:rsidRPr="00FE6858">
          <w:rPr>
            <w:rStyle w:val="Hipercze"/>
          </w:rPr>
          <w:t>Dokumenty powiązane, na które wpływ mają ustalenia IIaPGW</w:t>
        </w:r>
        <w:r>
          <w:rPr>
            <w:webHidden/>
          </w:rPr>
          <w:tab/>
        </w:r>
        <w:r>
          <w:rPr>
            <w:webHidden/>
          </w:rPr>
          <w:fldChar w:fldCharType="begin"/>
        </w:r>
        <w:r>
          <w:rPr>
            <w:webHidden/>
          </w:rPr>
          <w:instrText xml:space="preserve"> PAGEREF _Toc68726935 \h </w:instrText>
        </w:r>
        <w:r>
          <w:rPr>
            <w:webHidden/>
          </w:rPr>
        </w:r>
        <w:r>
          <w:rPr>
            <w:webHidden/>
          </w:rPr>
          <w:fldChar w:fldCharType="separate"/>
        </w:r>
        <w:r>
          <w:rPr>
            <w:webHidden/>
          </w:rPr>
          <w:t>300</w:t>
        </w:r>
        <w:r>
          <w:rPr>
            <w:webHidden/>
          </w:rPr>
          <w:fldChar w:fldCharType="end"/>
        </w:r>
      </w:hyperlink>
    </w:p>
    <w:p w14:paraId="1AD31EC2" w14:textId="03134770" w:rsidR="006C4947" w:rsidRDefault="006C4947">
      <w:pPr>
        <w:pStyle w:val="Spistreci1"/>
        <w:rPr>
          <w:rFonts w:asciiTheme="minorHAnsi" w:eastAsiaTheme="minorEastAsia" w:hAnsiTheme="minorHAnsi" w:cstheme="minorBidi"/>
          <w:b w:val="0"/>
          <w:smallCaps w:val="0"/>
          <w:sz w:val="22"/>
          <w:szCs w:val="22"/>
          <w:lang w:eastAsia="pl-PL"/>
        </w:rPr>
      </w:pPr>
      <w:hyperlink w:anchor="_Toc68726936" w:history="1">
        <w:r w:rsidRPr="00FE6858">
          <w:rPr>
            <w:rStyle w:val="Hipercze"/>
          </w:rPr>
          <w:t>20</w:t>
        </w:r>
        <w:r>
          <w:rPr>
            <w:rFonts w:asciiTheme="minorHAnsi" w:eastAsiaTheme="minorEastAsia" w:hAnsiTheme="minorHAnsi" w:cstheme="minorBidi"/>
            <w:b w:val="0"/>
            <w:smallCaps w:val="0"/>
            <w:sz w:val="22"/>
            <w:szCs w:val="22"/>
            <w:lang w:eastAsia="pl-PL"/>
          </w:rPr>
          <w:tab/>
        </w:r>
        <w:r w:rsidRPr="00FE6858">
          <w:rPr>
            <w:rStyle w:val="Hipercze"/>
          </w:rPr>
          <w:t>Konsultacje publiczne</w:t>
        </w:r>
        <w:r>
          <w:rPr>
            <w:webHidden/>
          </w:rPr>
          <w:tab/>
        </w:r>
        <w:r>
          <w:rPr>
            <w:webHidden/>
          </w:rPr>
          <w:fldChar w:fldCharType="begin"/>
        </w:r>
        <w:r>
          <w:rPr>
            <w:webHidden/>
          </w:rPr>
          <w:instrText xml:space="preserve"> PAGEREF _Toc68726936 \h </w:instrText>
        </w:r>
        <w:r>
          <w:rPr>
            <w:webHidden/>
          </w:rPr>
        </w:r>
        <w:r>
          <w:rPr>
            <w:webHidden/>
          </w:rPr>
          <w:fldChar w:fldCharType="separate"/>
        </w:r>
        <w:r>
          <w:rPr>
            <w:webHidden/>
          </w:rPr>
          <w:t>302</w:t>
        </w:r>
        <w:r>
          <w:rPr>
            <w:webHidden/>
          </w:rPr>
          <w:fldChar w:fldCharType="end"/>
        </w:r>
      </w:hyperlink>
    </w:p>
    <w:p w14:paraId="304FAAAE" w14:textId="7BE31919" w:rsidR="006C4947" w:rsidRDefault="006C4947">
      <w:pPr>
        <w:pStyle w:val="Spistreci1"/>
        <w:rPr>
          <w:rFonts w:asciiTheme="minorHAnsi" w:eastAsiaTheme="minorEastAsia" w:hAnsiTheme="minorHAnsi" w:cstheme="minorBidi"/>
          <w:b w:val="0"/>
          <w:smallCaps w:val="0"/>
          <w:sz w:val="22"/>
          <w:szCs w:val="22"/>
          <w:lang w:eastAsia="pl-PL"/>
        </w:rPr>
      </w:pPr>
      <w:hyperlink w:anchor="_Toc68726937" w:history="1">
        <w:r w:rsidRPr="00FE6858">
          <w:rPr>
            <w:rStyle w:val="Hipercze"/>
          </w:rPr>
          <w:t>21</w:t>
        </w:r>
        <w:r>
          <w:rPr>
            <w:rFonts w:asciiTheme="minorHAnsi" w:eastAsiaTheme="minorEastAsia" w:hAnsiTheme="minorHAnsi" w:cstheme="minorBidi"/>
            <w:b w:val="0"/>
            <w:smallCaps w:val="0"/>
            <w:sz w:val="22"/>
            <w:szCs w:val="22"/>
            <w:lang w:eastAsia="pl-PL"/>
          </w:rPr>
          <w:tab/>
        </w:r>
        <w:r w:rsidRPr="00FE6858">
          <w:rPr>
            <w:rStyle w:val="Hipercze"/>
          </w:rPr>
          <w:t>Organy właściwe w sprawach gospodarowania wodami dla obszaru dorzecza</w:t>
        </w:r>
        <w:r>
          <w:rPr>
            <w:webHidden/>
          </w:rPr>
          <w:tab/>
        </w:r>
        <w:r>
          <w:rPr>
            <w:webHidden/>
          </w:rPr>
          <w:fldChar w:fldCharType="begin"/>
        </w:r>
        <w:r>
          <w:rPr>
            <w:webHidden/>
          </w:rPr>
          <w:instrText xml:space="preserve"> PAGEREF _Toc68726937 \h </w:instrText>
        </w:r>
        <w:r>
          <w:rPr>
            <w:webHidden/>
          </w:rPr>
        </w:r>
        <w:r>
          <w:rPr>
            <w:webHidden/>
          </w:rPr>
          <w:fldChar w:fldCharType="separate"/>
        </w:r>
        <w:r>
          <w:rPr>
            <w:webHidden/>
          </w:rPr>
          <w:t>305</w:t>
        </w:r>
        <w:r>
          <w:rPr>
            <w:webHidden/>
          </w:rPr>
          <w:fldChar w:fldCharType="end"/>
        </w:r>
      </w:hyperlink>
    </w:p>
    <w:p w14:paraId="7B53A382" w14:textId="7BD1A54F" w:rsidR="006C4947" w:rsidRDefault="006C4947">
      <w:pPr>
        <w:pStyle w:val="Spistreci1"/>
        <w:rPr>
          <w:rFonts w:asciiTheme="minorHAnsi" w:eastAsiaTheme="minorEastAsia" w:hAnsiTheme="minorHAnsi" w:cstheme="minorBidi"/>
          <w:b w:val="0"/>
          <w:smallCaps w:val="0"/>
          <w:sz w:val="22"/>
          <w:szCs w:val="22"/>
          <w:lang w:eastAsia="pl-PL"/>
        </w:rPr>
      </w:pPr>
      <w:hyperlink w:anchor="_Toc68726938" w:history="1">
        <w:r w:rsidRPr="00FE6858">
          <w:rPr>
            <w:rStyle w:val="Hipercze"/>
          </w:rPr>
          <w:t>22</w:t>
        </w:r>
        <w:r>
          <w:rPr>
            <w:rFonts w:asciiTheme="minorHAnsi" w:eastAsiaTheme="minorEastAsia" w:hAnsiTheme="minorHAnsi" w:cstheme="minorBidi"/>
            <w:b w:val="0"/>
            <w:smallCaps w:val="0"/>
            <w:sz w:val="22"/>
            <w:szCs w:val="22"/>
            <w:lang w:eastAsia="pl-PL"/>
          </w:rPr>
          <w:tab/>
        </w:r>
        <w:r w:rsidRPr="00FE6858">
          <w:rPr>
            <w:rStyle w:val="Hipercze"/>
          </w:rPr>
          <w:t>Współpraca międzynarodowa</w:t>
        </w:r>
        <w:r>
          <w:rPr>
            <w:webHidden/>
          </w:rPr>
          <w:tab/>
        </w:r>
        <w:r>
          <w:rPr>
            <w:webHidden/>
          </w:rPr>
          <w:fldChar w:fldCharType="begin"/>
        </w:r>
        <w:r>
          <w:rPr>
            <w:webHidden/>
          </w:rPr>
          <w:instrText xml:space="preserve"> PAGEREF _Toc68726938 \h </w:instrText>
        </w:r>
        <w:r>
          <w:rPr>
            <w:webHidden/>
          </w:rPr>
        </w:r>
        <w:r>
          <w:rPr>
            <w:webHidden/>
          </w:rPr>
          <w:fldChar w:fldCharType="separate"/>
        </w:r>
        <w:r>
          <w:rPr>
            <w:webHidden/>
          </w:rPr>
          <w:t>316</w:t>
        </w:r>
        <w:r>
          <w:rPr>
            <w:webHidden/>
          </w:rPr>
          <w:fldChar w:fldCharType="end"/>
        </w:r>
      </w:hyperlink>
    </w:p>
    <w:p w14:paraId="52B4AB4F" w14:textId="2BE9153F" w:rsidR="006C4947" w:rsidRDefault="006C4947">
      <w:pPr>
        <w:pStyle w:val="Spistreci1"/>
        <w:rPr>
          <w:rFonts w:asciiTheme="minorHAnsi" w:eastAsiaTheme="minorEastAsia" w:hAnsiTheme="minorHAnsi" w:cstheme="minorBidi"/>
          <w:b w:val="0"/>
          <w:smallCaps w:val="0"/>
          <w:sz w:val="22"/>
          <w:szCs w:val="22"/>
          <w:lang w:eastAsia="pl-PL"/>
        </w:rPr>
      </w:pPr>
      <w:hyperlink w:anchor="_Toc68726939" w:history="1">
        <w:r w:rsidRPr="00FE6858">
          <w:rPr>
            <w:rStyle w:val="Hipercze"/>
          </w:rPr>
          <w:t>23</w:t>
        </w:r>
        <w:r>
          <w:rPr>
            <w:rFonts w:asciiTheme="minorHAnsi" w:eastAsiaTheme="minorEastAsia" w:hAnsiTheme="minorHAnsi" w:cstheme="minorBidi"/>
            <w:b w:val="0"/>
            <w:smallCaps w:val="0"/>
            <w:sz w:val="22"/>
            <w:szCs w:val="22"/>
            <w:lang w:eastAsia="pl-PL"/>
          </w:rPr>
          <w:tab/>
        </w:r>
        <w:r w:rsidRPr="00FE6858">
          <w:rPr>
            <w:rStyle w:val="Hipercze"/>
          </w:rPr>
          <w:t>Podsumowanie wszelkich zmian lub uaktualnień dokonanych od dnia ogłoszenia poprzedniego planu gospodarowania wodami na obszarze dorzecza</w:t>
        </w:r>
        <w:r>
          <w:rPr>
            <w:webHidden/>
          </w:rPr>
          <w:tab/>
        </w:r>
        <w:r>
          <w:rPr>
            <w:webHidden/>
          </w:rPr>
          <w:fldChar w:fldCharType="begin"/>
        </w:r>
        <w:r>
          <w:rPr>
            <w:webHidden/>
          </w:rPr>
          <w:instrText xml:space="preserve"> PAGEREF _Toc68726939 \h </w:instrText>
        </w:r>
        <w:r>
          <w:rPr>
            <w:webHidden/>
          </w:rPr>
        </w:r>
        <w:r>
          <w:rPr>
            <w:webHidden/>
          </w:rPr>
          <w:fldChar w:fldCharType="separate"/>
        </w:r>
        <w:r>
          <w:rPr>
            <w:webHidden/>
          </w:rPr>
          <w:t>320</w:t>
        </w:r>
        <w:r>
          <w:rPr>
            <w:webHidden/>
          </w:rPr>
          <w:fldChar w:fldCharType="end"/>
        </w:r>
      </w:hyperlink>
    </w:p>
    <w:p w14:paraId="781CE3EA" w14:textId="3877E917" w:rsidR="006C4947" w:rsidRDefault="006C4947">
      <w:pPr>
        <w:pStyle w:val="Spistreci1"/>
        <w:rPr>
          <w:rFonts w:asciiTheme="minorHAnsi" w:eastAsiaTheme="minorEastAsia" w:hAnsiTheme="minorHAnsi" w:cstheme="minorBidi"/>
          <w:b w:val="0"/>
          <w:smallCaps w:val="0"/>
          <w:sz w:val="22"/>
          <w:szCs w:val="22"/>
          <w:lang w:eastAsia="pl-PL"/>
        </w:rPr>
      </w:pPr>
      <w:hyperlink w:anchor="_Toc68726940" w:history="1">
        <w:r w:rsidRPr="00FE6858">
          <w:rPr>
            <w:rStyle w:val="Hipercze"/>
          </w:rPr>
          <w:t>24</w:t>
        </w:r>
        <w:r>
          <w:rPr>
            <w:rFonts w:asciiTheme="minorHAnsi" w:eastAsiaTheme="minorEastAsia" w:hAnsiTheme="minorHAnsi" w:cstheme="minorBidi"/>
            <w:b w:val="0"/>
            <w:smallCaps w:val="0"/>
            <w:sz w:val="22"/>
            <w:szCs w:val="22"/>
            <w:lang w:eastAsia="pl-PL"/>
          </w:rPr>
          <w:tab/>
        </w:r>
        <w:r w:rsidRPr="00FE6858">
          <w:rPr>
            <w:rStyle w:val="Hipercze"/>
          </w:rPr>
          <w:t>Informacja o sposobach i procedurach pozyskiwania informacji  i dokumentacji źródłowej wykorzystanej do sporządzenia IIaPGW oraz informacji o spodziewanych wynikach realizacji IIaPGW</w:t>
        </w:r>
        <w:r>
          <w:rPr>
            <w:webHidden/>
          </w:rPr>
          <w:tab/>
        </w:r>
        <w:r>
          <w:rPr>
            <w:webHidden/>
          </w:rPr>
          <w:fldChar w:fldCharType="begin"/>
        </w:r>
        <w:r>
          <w:rPr>
            <w:webHidden/>
          </w:rPr>
          <w:instrText xml:space="preserve"> PAGEREF _Toc68726940 \h </w:instrText>
        </w:r>
        <w:r>
          <w:rPr>
            <w:webHidden/>
          </w:rPr>
        </w:r>
        <w:r>
          <w:rPr>
            <w:webHidden/>
          </w:rPr>
          <w:fldChar w:fldCharType="separate"/>
        </w:r>
        <w:r>
          <w:rPr>
            <w:webHidden/>
          </w:rPr>
          <w:t>323</w:t>
        </w:r>
        <w:r>
          <w:rPr>
            <w:webHidden/>
          </w:rPr>
          <w:fldChar w:fldCharType="end"/>
        </w:r>
      </w:hyperlink>
    </w:p>
    <w:p w14:paraId="07608FA2" w14:textId="74FD151E" w:rsidR="006C4947" w:rsidRDefault="006C4947">
      <w:pPr>
        <w:pStyle w:val="Spistreci2"/>
        <w:rPr>
          <w:rFonts w:asciiTheme="minorHAnsi" w:eastAsiaTheme="minorEastAsia" w:hAnsiTheme="minorHAnsi" w:cstheme="minorBidi"/>
          <w:sz w:val="22"/>
          <w:szCs w:val="22"/>
          <w:lang w:eastAsia="pl-PL"/>
        </w:rPr>
      </w:pPr>
      <w:hyperlink w:anchor="_Toc68726941" w:history="1">
        <w:r w:rsidRPr="00FE6858">
          <w:rPr>
            <w:rStyle w:val="Hipercze"/>
          </w:rPr>
          <w:t>24.1</w:t>
        </w:r>
        <w:r>
          <w:rPr>
            <w:rFonts w:asciiTheme="minorHAnsi" w:eastAsiaTheme="minorEastAsia" w:hAnsiTheme="minorHAnsi" w:cstheme="minorBidi"/>
            <w:sz w:val="22"/>
            <w:szCs w:val="22"/>
            <w:lang w:eastAsia="pl-PL"/>
          </w:rPr>
          <w:tab/>
        </w:r>
        <w:r w:rsidRPr="00FE6858">
          <w:rPr>
            <w:rStyle w:val="Hipercze"/>
          </w:rPr>
          <w:t>Punkty kontaktowe pozyskiwania informacji o spodziewanych wynikach realizacji planu</w:t>
        </w:r>
        <w:r>
          <w:rPr>
            <w:webHidden/>
          </w:rPr>
          <w:tab/>
        </w:r>
        <w:r>
          <w:rPr>
            <w:webHidden/>
          </w:rPr>
          <w:fldChar w:fldCharType="begin"/>
        </w:r>
        <w:r>
          <w:rPr>
            <w:webHidden/>
          </w:rPr>
          <w:instrText xml:space="preserve"> PAGEREF _Toc68726941 \h </w:instrText>
        </w:r>
        <w:r>
          <w:rPr>
            <w:webHidden/>
          </w:rPr>
        </w:r>
        <w:r>
          <w:rPr>
            <w:webHidden/>
          </w:rPr>
          <w:fldChar w:fldCharType="separate"/>
        </w:r>
        <w:r>
          <w:rPr>
            <w:webHidden/>
          </w:rPr>
          <w:t>323</w:t>
        </w:r>
        <w:r>
          <w:rPr>
            <w:webHidden/>
          </w:rPr>
          <w:fldChar w:fldCharType="end"/>
        </w:r>
      </w:hyperlink>
    </w:p>
    <w:p w14:paraId="1E72E4A3" w14:textId="757E28E8" w:rsidR="006C4947" w:rsidRDefault="006C4947">
      <w:pPr>
        <w:pStyle w:val="Spistreci2"/>
        <w:rPr>
          <w:rFonts w:asciiTheme="minorHAnsi" w:eastAsiaTheme="minorEastAsia" w:hAnsiTheme="minorHAnsi" w:cstheme="minorBidi"/>
          <w:sz w:val="22"/>
          <w:szCs w:val="22"/>
          <w:lang w:eastAsia="pl-PL"/>
        </w:rPr>
      </w:pPr>
      <w:hyperlink w:anchor="_Toc68726942" w:history="1">
        <w:r w:rsidRPr="00FE6858">
          <w:rPr>
            <w:rStyle w:val="Hipercze"/>
          </w:rPr>
          <w:t>24.2</w:t>
        </w:r>
        <w:r>
          <w:rPr>
            <w:rFonts w:asciiTheme="minorHAnsi" w:eastAsiaTheme="minorEastAsia" w:hAnsiTheme="minorHAnsi" w:cstheme="minorBidi"/>
            <w:sz w:val="22"/>
            <w:szCs w:val="22"/>
            <w:lang w:eastAsia="pl-PL"/>
          </w:rPr>
          <w:tab/>
        </w:r>
        <w:r w:rsidRPr="00FE6858">
          <w:rPr>
            <w:rStyle w:val="Hipercze"/>
          </w:rPr>
          <w:t>Procedury pozyskiwania źródłowej dokumentacji</w:t>
        </w:r>
        <w:r>
          <w:rPr>
            <w:webHidden/>
          </w:rPr>
          <w:tab/>
        </w:r>
        <w:r>
          <w:rPr>
            <w:webHidden/>
          </w:rPr>
          <w:fldChar w:fldCharType="begin"/>
        </w:r>
        <w:r>
          <w:rPr>
            <w:webHidden/>
          </w:rPr>
          <w:instrText xml:space="preserve"> PAGEREF _Toc68726942 \h </w:instrText>
        </w:r>
        <w:r>
          <w:rPr>
            <w:webHidden/>
          </w:rPr>
        </w:r>
        <w:r>
          <w:rPr>
            <w:webHidden/>
          </w:rPr>
          <w:fldChar w:fldCharType="separate"/>
        </w:r>
        <w:r>
          <w:rPr>
            <w:webHidden/>
          </w:rPr>
          <w:t>323</w:t>
        </w:r>
        <w:r>
          <w:rPr>
            <w:webHidden/>
          </w:rPr>
          <w:fldChar w:fldCharType="end"/>
        </w:r>
      </w:hyperlink>
    </w:p>
    <w:p w14:paraId="38BA1031" w14:textId="6FDB1A7A" w:rsidR="006C4947" w:rsidRDefault="006C4947">
      <w:pPr>
        <w:pStyle w:val="Spistreci2"/>
        <w:rPr>
          <w:rFonts w:asciiTheme="minorHAnsi" w:eastAsiaTheme="minorEastAsia" w:hAnsiTheme="minorHAnsi" w:cstheme="minorBidi"/>
          <w:sz w:val="22"/>
          <w:szCs w:val="22"/>
          <w:lang w:eastAsia="pl-PL"/>
        </w:rPr>
      </w:pPr>
      <w:hyperlink w:anchor="_Toc68726943" w:history="1">
        <w:r w:rsidRPr="00FE6858">
          <w:rPr>
            <w:rStyle w:val="Hipercze"/>
          </w:rPr>
          <w:t>24.3</w:t>
        </w:r>
        <w:r>
          <w:rPr>
            <w:rFonts w:asciiTheme="minorHAnsi" w:eastAsiaTheme="minorEastAsia" w:hAnsiTheme="minorHAnsi" w:cstheme="minorBidi"/>
            <w:sz w:val="22"/>
            <w:szCs w:val="22"/>
            <w:lang w:eastAsia="pl-PL"/>
          </w:rPr>
          <w:tab/>
        </w:r>
        <w:r w:rsidRPr="00FE6858">
          <w:rPr>
            <w:rStyle w:val="Hipercze"/>
          </w:rPr>
          <w:t>Dokumentacja źródłowa wykorzystana przy sporządzaniu IIaPGW</w:t>
        </w:r>
        <w:r>
          <w:rPr>
            <w:webHidden/>
          </w:rPr>
          <w:tab/>
        </w:r>
        <w:r>
          <w:rPr>
            <w:webHidden/>
          </w:rPr>
          <w:fldChar w:fldCharType="begin"/>
        </w:r>
        <w:r>
          <w:rPr>
            <w:webHidden/>
          </w:rPr>
          <w:instrText xml:space="preserve"> PAGEREF _Toc68726943 \h </w:instrText>
        </w:r>
        <w:r>
          <w:rPr>
            <w:webHidden/>
          </w:rPr>
        </w:r>
        <w:r>
          <w:rPr>
            <w:webHidden/>
          </w:rPr>
          <w:fldChar w:fldCharType="separate"/>
        </w:r>
        <w:r>
          <w:rPr>
            <w:webHidden/>
          </w:rPr>
          <w:t>324</w:t>
        </w:r>
        <w:r>
          <w:rPr>
            <w:webHidden/>
          </w:rPr>
          <w:fldChar w:fldCharType="end"/>
        </w:r>
      </w:hyperlink>
    </w:p>
    <w:p w14:paraId="550BEC82" w14:textId="6564AABE" w:rsidR="006C4947" w:rsidRDefault="006C4947">
      <w:pPr>
        <w:pStyle w:val="Spistreci1"/>
        <w:rPr>
          <w:rFonts w:asciiTheme="minorHAnsi" w:eastAsiaTheme="minorEastAsia" w:hAnsiTheme="minorHAnsi" w:cstheme="minorBidi"/>
          <w:b w:val="0"/>
          <w:smallCaps w:val="0"/>
          <w:sz w:val="22"/>
          <w:szCs w:val="22"/>
          <w:lang w:eastAsia="pl-PL"/>
        </w:rPr>
      </w:pPr>
      <w:hyperlink w:anchor="_Toc68726944" w:history="1">
        <w:r w:rsidRPr="00FE6858">
          <w:rPr>
            <w:rStyle w:val="Hipercze"/>
          </w:rPr>
          <w:t>25</w:t>
        </w:r>
        <w:r>
          <w:rPr>
            <w:rFonts w:asciiTheme="minorHAnsi" w:eastAsiaTheme="minorEastAsia" w:hAnsiTheme="minorHAnsi" w:cstheme="minorBidi"/>
            <w:b w:val="0"/>
            <w:smallCaps w:val="0"/>
            <w:sz w:val="22"/>
            <w:szCs w:val="22"/>
            <w:lang w:eastAsia="pl-PL"/>
          </w:rPr>
          <w:tab/>
        </w:r>
        <w:r w:rsidRPr="00FE6858">
          <w:rPr>
            <w:rStyle w:val="Hipercze"/>
          </w:rPr>
          <w:t>Załączniki</w:t>
        </w:r>
        <w:r>
          <w:rPr>
            <w:webHidden/>
          </w:rPr>
          <w:tab/>
        </w:r>
        <w:r>
          <w:rPr>
            <w:webHidden/>
          </w:rPr>
          <w:fldChar w:fldCharType="begin"/>
        </w:r>
        <w:r>
          <w:rPr>
            <w:webHidden/>
          </w:rPr>
          <w:instrText xml:space="preserve"> PAGEREF _Toc68726944 \h </w:instrText>
        </w:r>
        <w:r>
          <w:rPr>
            <w:webHidden/>
          </w:rPr>
        </w:r>
        <w:r>
          <w:rPr>
            <w:webHidden/>
          </w:rPr>
          <w:fldChar w:fldCharType="separate"/>
        </w:r>
        <w:r>
          <w:rPr>
            <w:webHidden/>
          </w:rPr>
          <w:t>328</w:t>
        </w:r>
        <w:r>
          <w:rPr>
            <w:webHidden/>
          </w:rPr>
          <w:fldChar w:fldCharType="end"/>
        </w:r>
      </w:hyperlink>
    </w:p>
    <w:p w14:paraId="6A79E806" w14:textId="457D26B8" w:rsidR="00BD3F83" w:rsidRDefault="00BD3F83" w:rsidP="00BD3F83">
      <w:pPr>
        <w:rPr>
          <w:b/>
          <w:smallCaps/>
          <w:noProof/>
          <w:sz w:val="18"/>
          <w:szCs w:val="20"/>
        </w:rPr>
      </w:pPr>
      <w:r>
        <w:rPr>
          <w:b/>
          <w:smallCaps/>
          <w:noProof/>
          <w:sz w:val="18"/>
          <w:szCs w:val="20"/>
        </w:rPr>
        <w:fldChar w:fldCharType="end"/>
      </w:r>
    </w:p>
    <w:p w14:paraId="2DD2FF3D" w14:textId="77777777" w:rsidR="00BD3F83" w:rsidRPr="00907601" w:rsidRDefault="00BD3F83" w:rsidP="00BD3F83">
      <w:pPr>
        <w:rPr>
          <w:lang w:val="en-US"/>
        </w:rPr>
      </w:pPr>
    </w:p>
    <w:p w14:paraId="74CCBF5E" w14:textId="77777777" w:rsidR="00FE7F92" w:rsidRPr="00907601" w:rsidRDefault="00FE7F92" w:rsidP="00EA234C">
      <w:pPr>
        <w:suppressAutoHyphens/>
        <w:rPr>
          <w:lang w:val="en-US"/>
        </w:rPr>
        <w:sectPr w:rsidR="00FE7F92" w:rsidRPr="00907601" w:rsidSect="00FE7F92">
          <w:headerReference w:type="even" r:id="rId17"/>
          <w:headerReference w:type="first" r:id="rId18"/>
          <w:pgSz w:w="11906" w:h="16838"/>
          <w:pgMar w:top="1417" w:right="1417" w:bottom="1417" w:left="1417" w:header="708" w:footer="708" w:gutter="0"/>
          <w:cols w:space="708"/>
          <w:docGrid w:linePitch="360"/>
        </w:sectPr>
      </w:pPr>
    </w:p>
    <w:p w14:paraId="76A8386E" w14:textId="32C8E159" w:rsidR="00BC4C89" w:rsidRPr="00907601" w:rsidRDefault="00BC4C89" w:rsidP="00F713C1">
      <w:pPr>
        <w:pStyle w:val="Tytuspisu"/>
      </w:pPr>
      <w:bookmarkStart w:id="4" w:name="_Hlk21895310"/>
      <w:r w:rsidRPr="00907601">
        <w:t>Spis tabel</w:t>
      </w:r>
    </w:p>
    <w:p w14:paraId="1B69C352" w14:textId="443E1F8A" w:rsidR="006C4947" w:rsidRDefault="00A95F09">
      <w:pPr>
        <w:pStyle w:val="Spisilustracji"/>
        <w:rPr>
          <w:rFonts w:asciiTheme="minorHAnsi" w:eastAsiaTheme="minorEastAsia" w:hAnsiTheme="minorHAnsi" w:cstheme="minorBidi"/>
          <w:noProof/>
          <w:sz w:val="22"/>
          <w:lang w:eastAsia="pl-PL"/>
        </w:rPr>
      </w:pPr>
      <w:r>
        <w:rPr>
          <w:b/>
          <w:sz w:val="22"/>
        </w:rPr>
        <w:fldChar w:fldCharType="begin"/>
      </w:r>
      <w:r>
        <w:rPr>
          <w:b/>
          <w:sz w:val="22"/>
        </w:rPr>
        <w:instrText xml:space="preserve"> TOC \h \z \c "Tabela" </w:instrText>
      </w:r>
      <w:r>
        <w:rPr>
          <w:b/>
          <w:sz w:val="22"/>
        </w:rPr>
        <w:fldChar w:fldCharType="separate"/>
      </w:r>
      <w:hyperlink w:anchor="_Toc68726945" w:history="1">
        <w:r w:rsidR="006C4947" w:rsidRPr="00CF0ACC">
          <w:rPr>
            <w:rStyle w:val="Hipercze"/>
            <w:noProof/>
          </w:rPr>
          <w:t>Tabela 2</w:t>
        </w:r>
        <w:r w:rsidR="006C4947" w:rsidRPr="00CF0ACC">
          <w:rPr>
            <w:rStyle w:val="Hipercze"/>
            <w:noProof/>
          </w:rPr>
          <w:noBreakHyphen/>
          <w:t>1</w:t>
        </w:r>
        <w:r w:rsidR="006C4947">
          <w:rPr>
            <w:rFonts w:asciiTheme="minorHAnsi" w:eastAsiaTheme="minorEastAsia" w:hAnsiTheme="minorHAnsi" w:cstheme="minorBidi"/>
            <w:noProof/>
            <w:sz w:val="22"/>
            <w:lang w:eastAsia="pl-PL"/>
          </w:rPr>
          <w:tab/>
        </w:r>
        <w:r w:rsidR="006C4947" w:rsidRPr="00CF0ACC">
          <w:rPr>
            <w:rStyle w:val="Hipercze"/>
            <w:noProof/>
          </w:rPr>
          <w:t>Zestawienie poszczególnych zagadnień prezentowanych w IIaPGW w odniesieniu do zakresu wskazanego w ustawie pr.w. i r.p.g.w</w:t>
        </w:r>
        <w:r w:rsidR="006C4947">
          <w:rPr>
            <w:noProof/>
            <w:webHidden/>
          </w:rPr>
          <w:tab/>
        </w:r>
        <w:r w:rsidR="006C4947">
          <w:rPr>
            <w:noProof/>
            <w:webHidden/>
          </w:rPr>
          <w:fldChar w:fldCharType="begin"/>
        </w:r>
        <w:r w:rsidR="006C4947">
          <w:rPr>
            <w:noProof/>
            <w:webHidden/>
          </w:rPr>
          <w:instrText xml:space="preserve"> PAGEREF _Toc68726945 \h </w:instrText>
        </w:r>
        <w:r w:rsidR="006C4947">
          <w:rPr>
            <w:noProof/>
            <w:webHidden/>
          </w:rPr>
        </w:r>
        <w:r w:rsidR="006C4947">
          <w:rPr>
            <w:noProof/>
            <w:webHidden/>
          </w:rPr>
          <w:fldChar w:fldCharType="separate"/>
        </w:r>
        <w:r w:rsidR="006C4947">
          <w:rPr>
            <w:noProof/>
            <w:webHidden/>
          </w:rPr>
          <w:t>24</w:t>
        </w:r>
        <w:r w:rsidR="006C4947">
          <w:rPr>
            <w:noProof/>
            <w:webHidden/>
          </w:rPr>
          <w:fldChar w:fldCharType="end"/>
        </w:r>
      </w:hyperlink>
    </w:p>
    <w:p w14:paraId="4376E7E5" w14:textId="3E57F43E" w:rsidR="006C4947" w:rsidRDefault="006C4947">
      <w:pPr>
        <w:pStyle w:val="Spisilustracji"/>
        <w:rPr>
          <w:rFonts w:asciiTheme="minorHAnsi" w:eastAsiaTheme="minorEastAsia" w:hAnsiTheme="minorHAnsi" w:cstheme="minorBidi"/>
          <w:noProof/>
          <w:sz w:val="22"/>
          <w:lang w:eastAsia="pl-PL"/>
        </w:rPr>
      </w:pPr>
      <w:hyperlink w:anchor="_Toc68726946" w:history="1">
        <w:r w:rsidRPr="00CF0ACC">
          <w:rPr>
            <w:rStyle w:val="Hipercze"/>
            <w:noProof/>
          </w:rPr>
          <w:t>Tabela 3</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Ogólny opis obszaru dorzecza Pregoły</w:t>
        </w:r>
        <w:r>
          <w:rPr>
            <w:noProof/>
            <w:webHidden/>
          </w:rPr>
          <w:tab/>
        </w:r>
        <w:r>
          <w:rPr>
            <w:noProof/>
            <w:webHidden/>
          </w:rPr>
          <w:fldChar w:fldCharType="begin"/>
        </w:r>
        <w:r>
          <w:rPr>
            <w:noProof/>
            <w:webHidden/>
          </w:rPr>
          <w:instrText xml:space="preserve"> PAGEREF _Toc68726946 \h </w:instrText>
        </w:r>
        <w:r>
          <w:rPr>
            <w:noProof/>
            <w:webHidden/>
          </w:rPr>
        </w:r>
        <w:r>
          <w:rPr>
            <w:noProof/>
            <w:webHidden/>
          </w:rPr>
          <w:fldChar w:fldCharType="separate"/>
        </w:r>
        <w:r>
          <w:rPr>
            <w:noProof/>
            <w:webHidden/>
          </w:rPr>
          <w:t>29</w:t>
        </w:r>
        <w:r>
          <w:rPr>
            <w:noProof/>
            <w:webHidden/>
          </w:rPr>
          <w:fldChar w:fldCharType="end"/>
        </w:r>
      </w:hyperlink>
    </w:p>
    <w:p w14:paraId="43AB247E" w14:textId="140FA69F" w:rsidR="006C4947" w:rsidRDefault="006C4947">
      <w:pPr>
        <w:pStyle w:val="Spisilustracji"/>
        <w:rPr>
          <w:rFonts w:asciiTheme="minorHAnsi" w:eastAsiaTheme="minorEastAsia" w:hAnsiTheme="minorHAnsi" w:cstheme="minorBidi"/>
          <w:noProof/>
          <w:sz w:val="22"/>
          <w:lang w:eastAsia="pl-PL"/>
        </w:rPr>
      </w:pPr>
      <w:hyperlink w:anchor="_Toc68726947" w:history="1">
        <w:r w:rsidRPr="00CF0ACC">
          <w:rPr>
            <w:rStyle w:val="Hipercze"/>
            <w:noProof/>
          </w:rPr>
          <w:t>Tabela 3</w:t>
        </w:r>
        <w:r w:rsidRPr="00CF0ACC">
          <w:rPr>
            <w:rStyle w:val="Hipercze"/>
            <w:noProof/>
          </w:rPr>
          <w:noBreakHyphen/>
          <w:t xml:space="preserve">2 </w:t>
        </w:r>
        <w:r>
          <w:rPr>
            <w:rFonts w:asciiTheme="minorHAnsi" w:eastAsiaTheme="minorEastAsia" w:hAnsiTheme="minorHAnsi" w:cstheme="minorBidi"/>
            <w:noProof/>
            <w:sz w:val="22"/>
            <w:lang w:eastAsia="pl-PL"/>
          </w:rPr>
          <w:tab/>
        </w:r>
        <w:r w:rsidRPr="00CF0ACC">
          <w:rPr>
            <w:rStyle w:val="Hipercze"/>
            <w:noProof/>
          </w:rPr>
          <w:t>Zestawienie jcwp na obszarze dorzecza Pregoły</w:t>
        </w:r>
        <w:r>
          <w:rPr>
            <w:noProof/>
            <w:webHidden/>
          </w:rPr>
          <w:tab/>
        </w:r>
        <w:r>
          <w:rPr>
            <w:noProof/>
            <w:webHidden/>
          </w:rPr>
          <w:fldChar w:fldCharType="begin"/>
        </w:r>
        <w:r>
          <w:rPr>
            <w:noProof/>
            <w:webHidden/>
          </w:rPr>
          <w:instrText xml:space="preserve"> PAGEREF _Toc68726947 \h </w:instrText>
        </w:r>
        <w:r>
          <w:rPr>
            <w:noProof/>
            <w:webHidden/>
          </w:rPr>
        </w:r>
        <w:r>
          <w:rPr>
            <w:noProof/>
            <w:webHidden/>
          </w:rPr>
          <w:fldChar w:fldCharType="separate"/>
        </w:r>
        <w:r>
          <w:rPr>
            <w:noProof/>
            <w:webHidden/>
          </w:rPr>
          <w:t>32</w:t>
        </w:r>
        <w:r>
          <w:rPr>
            <w:noProof/>
            <w:webHidden/>
          </w:rPr>
          <w:fldChar w:fldCharType="end"/>
        </w:r>
      </w:hyperlink>
    </w:p>
    <w:p w14:paraId="17A3C99F" w14:textId="19841D1F" w:rsidR="006C4947" w:rsidRDefault="006C4947">
      <w:pPr>
        <w:pStyle w:val="Spisilustracji"/>
        <w:rPr>
          <w:rFonts w:asciiTheme="minorHAnsi" w:eastAsiaTheme="minorEastAsia" w:hAnsiTheme="minorHAnsi" w:cstheme="minorBidi"/>
          <w:noProof/>
          <w:sz w:val="22"/>
          <w:lang w:eastAsia="pl-PL"/>
        </w:rPr>
      </w:pPr>
      <w:hyperlink w:anchor="_Toc68726948" w:history="1">
        <w:r w:rsidRPr="00CF0ACC">
          <w:rPr>
            <w:rStyle w:val="Hipercze"/>
            <w:noProof/>
          </w:rPr>
          <w:t>Tabela 3</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Typy jcwp RW na obszarze dorzecza Pregoły</w:t>
        </w:r>
        <w:r>
          <w:rPr>
            <w:noProof/>
            <w:webHidden/>
          </w:rPr>
          <w:tab/>
        </w:r>
        <w:r>
          <w:rPr>
            <w:noProof/>
            <w:webHidden/>
          </w:rPr>
          <w:fldChar w:fldCharType="begin"/>
        </w:r>
        <w:r>
          <w:rPr>
            <w:noProof/>
            <w:webHidden/>
          </w:rPr>
          <w:instrText xml:space="preserve"> PAGEREF _Toc68726948 \h </w:instrText>
        </w:r>
        <w:r>
          <w:rPr>
            <w:noProof/>
            <w:webHidden/>
          </w:rPr>
        </w:r>
        <w:r>
          <w:rPr>
            <w:noProof/>
            <w:webHidden/>
          </w:rPr>
          <w:fldChar w:fldCharType="separate"/>
        </w:r>
        <w:r>
          <w:rPr>
            <w:noProof/>
            <w:webHidden/>
          </w:rPr>
          <w:t>33</w:t>
        </w:r>
        <w:r>
          <w:rPr>
            <w:noProof/>
            <w:webHidden/>
          </w:rPr>
          <w:fldChar w:fldCharType="end"/>
        </w:r>
      </w:hyperlink>
    </w:p>
    <w:p w14:paraId="017A960F" w14:textId="37B71BD8" w:rsidR="006C4947" w:rsidRDefault="006C4947">
      <w:pPr>
        <w:pStyle w:val="Spisilustracji"/>
        <w:rPr>
          <w:rFonts w:asciiTheme="minorHAnsi" w:eastAsiaTheme="minorEastAsia" w:hAnsiTheme="minorHAnsi" w:cstheme="minorBidi"/>
          <w:noProof/>
          <w:sz w:val="22"/>
          <w:lang w:eastAsia="pl-PL"/>
        </w:rPr>
      </w:pPr>
      <w:hyperlink w:anchor="_Toc68726949" w:history="1">
        <w:r w:rsidRPr="00CF0ACC">
          <w:rPr>
            <w:rStyle w:val="Hipercze"/>
            <w:noProof/>
          </w:rPr>
          <w:t>Tabela 3</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Typy jcwp LW na obszarze dorzecza Pregoły</w:t>
        </w:r>
        <w:r>
          <w:rPr>
            <w:noProof/>
            <w:webHidden/>
          </w:rPr>
          <w:tab/>
        </w:r>
        <w:r>
          <w:rPr>
            <w:noProof/>
            <w:webHidden/>
          </w:rPr>
          <w:fldChar w:fldCharType="begin"/>
        </w:r>
        <w:r>
          <w:rPr>
            <w:noProof/>
            <w:webHidden/>
          </w:rPr>
          <w:instrText xml:space="preserve"> PAGEREF _Toc68726949 \h </w:instrText>
        </w:r>
        <w:r>
          <w:rPr>
            <w:noProof/>
            <w:webHidden/>
          </w:rPr>
        </w:r>
        <w:r>
          <w:rPr>
            <w:noProof/>
            <w:webHidden/>
          </w:rPr>
          <w:fldChar w:fldCharType="separate"/>
        </w:r>
        <w:r>
          <w:rPr>
            <w:noProof/>
            <w:webHidden/>
          </w:rPr>
          <w:t>34</w:t>
        </w:r>
        <w:r>
          <w:rPr>
            <w:noProof/>
            <w:webHidden/>
          </w:rPr>
          <w:fldChar w:fldCharType="end"/>
        </w:r>
      </w:hyperlink>
    </w:p>
    <w:p w14:paraId="56DB60E4" w14:textId="57593397" w:rsidR="006C4947" w:rsidRDefault="006C4947">
      <w:pPr>
        <w:pStyle w:val="Spisilustracji"/>
        <w:rPr>
          <w:rFonts w:asciiTheme="minorHAnsi" w:eastAsiaTheme="minorEastAsia" w:hAnsiTheme="minorHAnsi" w:cstheme="minorBidi"/>
          <w:noProof/>
          <w:sz w:val="22"/>
          <w:lang w:eastAsia="pl-PL"/>
        </w:rPr>
      </w:pPr>
      <w:hyperlink w:anchor="_Toc68726950" w:history="1">
        <w:r w:rsidRPr="00CF0ACC">
          <w:rPr>
            <w:rStyle w:val="Hipercze"/>
            <w:noProof/>
          </w:rPr>
          <w:t>Tabela 3</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Zestawienie jcwp z określonym statusem na obszarze dorzecza Pregoły</w:t>
        </w:r>
        <w:r>
          <w:rPr>
            <w:noProof/>
            <w:webHidden/>
          </w:rPr>
          <w:tab/>
        </w:r>
        <w:r>
          <w:rPr>
            <w:noProof/>
            <w:webHidden/>
          </w:rPr>
          <w:fldChar w:fldCharType="begin"/>
        </w:r>
        <w:r>
          <w:rPr>
            <w:noProof/>
            <w:webHidden/>
          </w:rPr>
          <w:instrText xml:space="preserve"> PAGEREF _Toc68726950 \h </w:instrText>
        </w:r>
        <w:r>
          <w:rPr>
            <w:noProof/>
            <w:webHidden/>
          </w:rPr>
        </w:r>
        <w:r>
          <w:rPr>
            <w:noProof/>
            <w:webHidden/>
          </w:rPr>
          <w:fldChar w:fldCharType="separate"/>
        </w:r>
        <w:r>
          <w:rPr>
            <w:noProof/>
            <w:webHidden/>
          </w:rPr>
          <w:t>37</w:t>
        </w:r>
        <w:r>
          <w:rPr>
            <w:noProof/>
            <w:webHidden/>
          </w:rPr>
          <w:fldChar w:fldCharType="end"/>
        </w:r>
      </w:hyperlink>
    </w:p>
    <w:p w14:paraId="3920E172" w14:textId="6D5EDCDB" w:rsidR="006C4947" w:rsidRDefault="006C4947">
      <w:pPr>
        <w:pStyle w:val="Spisilustracji"/>
        <w:rPr>
          <w:rFonts w:asciiTheme="minorHAnsi" w:eastAsiaTheme="minorEastAsia" w:hAnsiTheme="minorHAnsi" w:cstheme="minorBidi"/>
          <w:noProof/>
          <w:sz w:val="22"/>
          <w:lang w:eastAsia="pl-PL"/>
        </w:rPr>
      </w:pPr>
      <w:hyperlink w:anchor="_Toc68726951" w:history="1">
        <w:r w:rsidRPr="00CF0ACC">
          <w:rPr>
            <w:rStyle w:val="Hipercze"/>
            <w:noProof/>
          </w:rPr>
          <w:t>Tabela 3</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Zestawienie jcwpd na obszarze dorzecza Pregoły</w:t>
        </w:r>
        <w:r>
          <w:rPr>
            <w:noProof/>
            <w:webHidden/>
          </w:rPr>
          <w:tab/>
        </w:r>
        <w:r>
          <w:rPr>
            <w:noProof/>
            <w:webHidden/>
          </w:rPr>
          <w:fldChar w:fldCharType="begin"/>
        </w:r>
        <w:r>
          <w:rPr>
            <w:noProof/>
            <w:webHidden/>
          </w:rPr>
          <w:instrText xml:space="preserve"> PAGEREF _Toc68726951 \h </w:instrText>
        </w:r>
        <w:r>
          <w:rPr>
            <w:noProof/>
            <w:webHidden/>
          </w:rPr>
        </w:r>
        <w:r>
          <w:rPr>
            <w:noProof/>
            <w:webHidden/>
          </w:rPr>
          <w:fldChar w:fldCharType="separate"/>
        </w:r>
        <w:r>
          <w:rPr>
            <w:noProof/>
            <w:webHidden/>
          </w:rPr>
          <w:t>38</w:t>
        </w:r>
        <w:r>
          <w:rPr>
            <w:noProof/>
            <w:webHidden/>
          </w:rPr>
          <w:fldChar w:fldCharType="end"/>
        </w:r>
      </w:hyperlink>
    </w:p>
    <w:p w14:paraId="3D75B6D2" w14:textId="6791FBE3" w:rsidR="006C4947" w:rsidRDefault="006C4947">
      <w:pPr>
        <w:pStyle w:val="Spisilustracji"/>
        <w:rPr>
          <w:rFonts w:asciiTheme="minorHAnsi" w:eastAsiaTheme="minorEastAsia" w:hAnsiTheme="minorHAnsi" w:cstheme="minorBidi"/>
          <w:noProof/>
          <w:sz w:val="22"/>
          <w:lang w:eastAsia="pl-PL"/>
        </w:rPr>
      </w:pPr>
      <w:hyperlink w:anchor="_Toc68726952" w:history="1">
        <w:r w:rsidRPr="00CF0ACC">
          <w:rPr>
            <w:rStyle w:val="Hipercze"/>
            <w:noProof/>
          </w:rPr>
          <w:t>Tabela 4</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Charakterystyka klimatyczna - obszar dorzecza Pregoły</w:t>
        </w:r>
        <w:r>
          <w:rPr>
            <w:noProof/>
            <w:webHidden/>
          </w:rPr>
          <w:tab/>
        </w:r>
        <w:r>
          <w:rPr>
            <w:noProof/>
            <w:webHidden/>
          </w:rPr>
          <w:fldChar w:fldCharType="begin"/>
        </w:r>
        <w:r>
          <w:rPr>
            <w:noProof/>
            <w:webHidden/>
          </w:rPr>
          <w:instrText xml:space="preserve"> PAGEREF _Toc68726952 \h </w:instrText>
        </w:r>
        <w:r>
          <w:rPr>
            <w:noProof/>
            <w:webHidden/>
          </w:rPr>
        </w:r>
        <w:r>
          <w:rPr>
            <w:noProof/>
            <w:webHidden/>
          </w:rPr>
          <w:fldChar w:fldCharType="separate"/>
        </w:r>
        <w:r>
          <w:rPr>
            <w:noProof/>
            <w:webHidden/>
          </w:rPr>
          <w:t>44</w:t>
        </w:r>
        <w:r>
          <w:rPr>
            <w:noProof/>
            <w:webHidden/>
          </w:rPr>
          <w:fldChar w:fldCharType="end"/>
        </w:r>
      </w:hyperlink>
    </w:p>
    <w:p w14:paraId="67F3590C" w14:textId="42ED1D70" w:rsidR="006C4947" w:rsidRDefault="006C4947">
      <w:pPr>
        <w:pStyle w:val="Spisilustracji"/>
        <w:rPr>
          <w:rFonts w:asciiTheme="minorHAnsi" w:eastAsiaTheme="minorEastAsia" w:hAnsiTheme="minorHAnsi" w:cstheme="minorBidi"/>
          <w:noProof/>
          <w:sz w:val="22"/>
          <w:lang w:eastAsia="pl-PL"/>
        </w:rPr>
      </w:pPr>
      <w:hyperlink w:anchor="_Toc68726953" w:history="1">
        <w:r w:rsidRPr="00CF0ACC">
          <w:rPr>
            <w:rStyle w:val="Hipercze"/>
            <w:noProof/>
          </w:rPr>
          <w:t>Tabela 5</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Kryteria wyboru jcwp do monitorowania w ramach monitoringu diagnostycznego</w:t>
        </w:r>
        <w:r>
          <w:rPr>
            <w:noProof/>
            <w:webHidden/>
          </w:rPr>
          <w:tab/>
        </w:r>
        <w:r>
          <w:rPr>
            <w:noProof/>
            <w:webHidden/>
          </w:rPr>
          <w:fldChar w:fldCharType="begin"/>
        </w:r>
        <w:r>
          <w:rPr>
            <w:noProof/>
            <w:webHidden/>
          </w:rPr>
          <w:instrText xml:space="preserve"> PAGEREF _Toc68726953 \h </w:instrText>
        </w:r>
        <w:r>
          <w:rPr>
            <w:noProof/>
            <w:webHidden/>
          </w:rPr>
        </w:r>
        <w:r>
          <w:rPr>
            <w:noProof/>
            <w:webHidden/>
          </w:rPr>
          <w:fldChar w:fldCharType="separate"/>
        </w:r>
        <w:r>
          <w:rPr>
            <w:noProof/>
            <w:webHidden/>
          </w:rPr>
          <w:t>50</w:t>
        </w:r>
        <w:r>
          <w:rPr>
            <w:noProof/>
            <w:webHidden/>
          </w:rPr>
          <w:fldChar w:fldCharType="end"/>
        </w:r>
      </w:hyperlink>
    </w:p>
    <w:p w14:paraId="7DAC1B7D" w14:textId="33A7BEBB" w:rsidR="006C4947" w:rsidRDefault="006C4947">
      <w:pPr>
        <w:pStyle w:val="Spisilustracji"/>
        <w:rPr>
          <w:rFonts w:asciiTheme="minorHAnsi" w:eastAsiaTheme="minorEastAsia" w:hAnsiTheme="minorHAnsi" w:cstheme="minorBidi"/>
          <w:noProof/>
          <w:sz w:val="22"/>
          <w:lang w:eastAsia="pl-PL"/>
        </w:rPr>
      </w:pPr>
      <w:hyperlink w:anchor="_Toc68726954" w:history="1">
        <w:r w:rsidRPr="00CF0ACC">
          <w:rPr>
            <w:rStyle w:val="Hipercze"/>
            <w:noProof/>
          </w:rPr>
          <w:t>Tabela 5</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Kryteria wyboru jcwp do monitorowania w ramach monitoringu operacyjnego</w:t>
        </w:r>
        <w:r>
          <w:rPr>
            <w:noProof/>
            <w:webHidden/>
          </w:rPr>
          <w:tab/>
        </w:r>
        <w:r>
          <w:rPr>
            <w:noProof/>
            <w:webHidden/>
          </w:rPr>
          <w:fldChar w:fldCharType="begin"/>
        </w:r>
        <w:r>
          <w:rPr>
            <w:noProof/>
            <w:webHidden/>
          </w:rPr>
          <w:instrText xml:space="preserve"> PAGEREF _Toc68726954 \h </w:instrText>
        </w:r>
        <w:r>
          <w:rPr>
            <w:noProof/>
            <w:webHidden/>
          </w:rPr>
        </w:r>
        <w:r>
          <w:rPr>
            <w:noProof/>
            <w:webHidden/>
          </w:rPr>
          <w:fldChar w:fldCharType="separate"/>
        </w:r>
        <w:r>
          <w:rPr>
            <w:noProof/>
            <w:webHidden/>
          </w:rPr>
          <w:t>52</w:t>
        </w:r>
        <w:r>
          <w:rPr>
            <w:noProof/>
            <w:webHidden/>
          </w:rPr>
          <w:fldChar w:fldCharType="end"/>
        </w:r>
      </w:hyperlink>
    </w:p>
    <w:p w14:paraId="4EA78D76" w14:textId="25271D04" w:rsidR="006C4947" w:rsidRDefault="006C4947">
      <w:pPr>
        <w:pStyle w:val="Spisilustracji"/>
        <w:rPr>
          <w:rFonts w:asciiTheme="minorHAnsi" w:eastAsiaTheme="minorEastAsia" w:hAnsiTheme="minorHAnsi" w:cstheme="minorBidi"/>
          <w:noProof/>
          <w:sz w:val="22"/>
          <w:lang w:eastAsia="pl-PL"/>
        </w:rPr>
      </w:pPr>
      <w:hyperlink w:anchor="_Toc68726955" w:history="1">
        <w:r w:rsidRPr="00CF0ACC">
          <w:rPr>
            <w:rStyle w:val="Hipercze"/>
            <w:noProof/>
          </w:rPr>
          <w:t>Tabela 5</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Kryteria wyboru jcwp do monitorowania w ramach monitoringu obszarów chronionych</w:t>
        </w:r>
        <w:r>
          <w:rPr>
            <w:noProof/>
            <w:webHidden/>
          </w:rPr>
          <w:tab/>
        </w:r>
        <w:r>
          <w:rPr>
            <w:noProof/>
            <w:webHidden/>
          </w:rPr>
          <w:fldChar w:fldCharType="begin"/>
        </w:r>
        <w:r>
          <w:rPr>
            <w:noProof/>
            <w:webHidden/>
          </w:rPr>
          <w:instrText xml:space="preserve"> PAGEREF _Toc68726955 \h </w:instrText>
        </w:r>
        <w:r>
          <w:rPr>
            <w:noProof/>
            <w:webHidden/>
          </w:rPr>
        </w:r>
        <w:r>
          <w:rPr>
            <w:noProof/>
            <w:webHidden/>
          </w:rPr>
          <w:fldChar w:fldCharType="separate"/>
        </w:r>
        <w:r>
          <w:rPr>
            <w:noProof/>
            <w:webHidden/>
          </w:rPr>
          <w:t>54</w:t>
        </w:r>
        <w:r>
          <w:rPr>
            <w:noProof/>
            <w:webHidden/>
          </w:rPr>
          <w:fldChar w:fldCharType="end"/>
        </w:r>
      </w:hyperlink>
    </w:p>
    <w:p w14:paraId="0CEAB5DF" w14:textId="3244C0B9" w:rsidR="006C4947" w:rsidRDefault="006C4947">
      <w:pPr>
        <w:pStyle w:val="Spisilustracji"/>
        <w:rPr>
          <w:rFonts w:asciiTheme="minorHAnsi" w:eastAsiaTheme="minorEastAsia" w:hAnsiTheme="minorHAnsi" w:cstheme="minorBidi"/>
          <w:noProof/>
          <w:sz w:val="22"/>
          <w:lang w:eastAsia="pl-PL"/>
        </w:rPr>
      </w:pPr>
      <w:hyperlink w:anchor="_Toc68726956" w:history="1">
        <w:r w:rsidRPr="00CF0ACC">
          <w:rPr>
            <w:rStyle w:val="Hipercze"/>
            <w:noProof/>
          </w:rPr>
          <w:t>Tabela 5</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Liczba jcwp RW planowanych do monitoringu w stosunku do całkowitej liczby jcwp w obszarze dorzecza Pregoły (porównanie cyklów planistycznych 2016-2021 i 2022-2027)</w:t>
        </w:r>
        <w:r>
          <w:rPr>
            <w:noProof/>
            <w:webHidden/>
          </w:rPr>
          <w:tab/>
        </w:r>
        <w:r>
          <w:rPr>
            <w:noProof/>
            <w:webHidden/>
          </w:rPr>
          <w:fldChar w:fldCharType="begin"/>
        </w:r>
        <w:r>
          <w:rPr>
            <w:noProof/>
            <w:webHidden/>
          </w:rPr>
          <w:instrText xml:space="preserve"> PAGEREF _Toc68726956 \h </w:instrText>
        </w:r>
        <w:r>
          <w:rPr>
            <w:noProof/>
            <w:webHidden/>
          </w:rPr>
        </w:r>
        <w:r>
          <w:rPr>
            <w:noProof/>
            <w:webHidden/>
          </w:rPr>
          <w:fldChar w:fldCharType="separate"/>
        </w:r>
        <w:r>
          <w:rPr>
            <w:noProof/>
            <w:webHidden/>
          </w:rPr>
          <w:t>57</w:t>
        </w:r>
        <w:r>
          <w:rPr>
            <w:noProof/>
            <w:webHidden/>
          </w:rPr>
          <w:fldChar w:fldCharType="end"/>
        </w:r>
      </w:hyperlink>
    </w:p>
    <w:p w14:paraId="234FE2DC" w14:textId="11804449" w:rsidR="006C4947" w:rsidRDefault="006C4947">
      <w:pPr>
        <w:pStyle w:val="Spisilustracji"/>
        <w:rPr>
          <w:rFonts w:asciiTheme="minorHAnsi" w:eastAsiaTheme="minorEastAsia" w:hAnsiTheme="minorHAnsi" w:cstheme="minorBidi"/>
          <w:noProof/>
          <w:sz w:val="22"/>
          <w:lang w:eastAsia="pl-PL"/>
        </w:rPr>
      </w:pPr>
      <w:hyperlink w:anchor="_Toc68726957" w:history="1">
        <w:r w:rsidRPr="00CF0ACC">
          <w:rPr>
            <w:rStyle w:val="Hipercze"/>
            <w:noProof/>
          </w:rPr>
          <w:t>Tabela 5</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Liczba jcwp RW planowanych do monitoringu diagnostycznego (MD) i/lub operacyjnego (MO) w latach 2022-2027 w stosunku do całkowitej liczby jcwp danych kategorii w obszarze dorzecza Pregoły</w:t>
        </w:r>
        <w:r>
          <w:rPr>
            <w:noProof/>
            <w:webHidden/>
          </w:rPr>
          <w:tab/>
        </w:r>
        <w:r>
          <w:rPr>
            <w:noProof/>
            <w:webHidden/>
          </w:rPr>
          <w:fldChar w:fldCharType="begin"/>
        </w:r>
        <w:r>
          <w:rPr>
            <w:noProof/>
            <w:webHidden/>
          </w:rPr>
          <w:instrText xml:space="preserve"> PAGEREF _Toc68726957 \h </w:instrText>
        </w:r>
        <w:r>
          <w:rPr>
            <w:noProof/>
            <w:webHidden/>
          </w:rPr>
        </w:r>
        <w:r>
          <w:rPr>
            <w:noProof/>
            <w:webHidden/>
          </w:rPr>
          <w:fldChar w:fldCharType="separate"/>
        </w:r>
        <w:r>
          <w:rPr>
            <w:noProof/>
            <w:webHidden/>
          </w:rPr>
          <w:t>58</w:t>
        </w:r>
        <w:r>
          <w:rPr>
            <w:noProof/>
            <w:webHidden/>
          </w:rPr>
          <w:fldChar w:fldCharType="end"/>
        </w:r>
      </w:hyperlink>
    </w:p>
    <w:p w14:paraId="4ABEEA43" w14:textId="1D617D9B" w:rsidR="006C4947" w:rsidRDefault="006C4947">
      <w:pPr>
        <w:pStyle w:val="Spisilustracji"/>
        <w:rPr>
          <w:rFonts w:asciiTheme="minorHAnsi" w:eastAsiaTheme="minorEastAsia" w:hAnsiTheme="minorHAnsi" w:cstheme="minorBidi"/>
          <w:noProof/>
          <w:sz w:val="22"/>
          <w:lang w:eastAsia="pl-PL"/>
        </w:rPr>
      </w:pPr>
      <w:hyperlink w:anchor="_Toc68726958" w:history="1">
        <w:r w:rsidRPr="00CF0ACC">
          <w:rPr>
            <w:rStyle w:val="Hipercze"/>
            <w:noProof/>
          </w:rPr>
          <w:t>Tabela 5</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Liczba jcwp LW planowanych do monitoringu w stosunku do całkowitej liczby jcwp w obszarze dorzecza Pregoły (porównanie cyklów planistycznych 2016-2021 i 2022-2027)</w:t>
        </w:r>
        <w:r>
          <w:rPr>
            <w:noProof/>
            <w:webHidden/>
          </w:rPr>
          <w:tab/>
        </w:r>
        <w:r>
          <w:rPr>
            <w:noProof/>
            <w:webHidden/>
          </w:rPr>
          <w:fldChar w:fldCharType="begin"/>
        </w:r>
        <w:r>
          <w:rPr>
            <w:noProof/>
            <w:webHidden/>
          </w:rPr>
          <w:instrText xml:space="preserve"> PAGEREF _Toc68726958 \h </w:instrText>
        </w:r>
        <w:r>
          <w:rPr>
            <w:noProof/>
            <w:webHidden/>
          </w:rPr>
        </w:r>
        <w:r>
          <w:rPr>
            <w:noProof/>
            <w:webHidden/>
          </w:rPr>
          <w:fldChar w:fldCharType="separate"/>
        </w:r>
        <w:r>
          <w:rPr>
            <w:noProof/>
            <w:webHidden/>
          </w:rPr>
          <w:t>59</w:t>
        </w:r>
        <w:r>
          <w:rPr>
            <w:noProof/>
            <w:webHidden/>
          </w:rPr>
          <w:fldChar w:fldCharType="end"/>
        </w:r>
      </w:hyperlink>
    </w:p>
    <w:p w14:paraId="192DEC1A" w14:textId="763600CD" w:rsidR="006C4947" w:rsidRDefault="006C4947">
      <w:pPr>
        <w:pStyle w:val="Spisilustracji"/>
        <w:rPr>
          <w:rFonts w:asciiTheme="minorHAnsi" w:eastAsiaTheme="minorEastAsia" w:hAnsiTheme="minorHAnsi" w:cstheme="minorBidi"/>
          <w:noProof/>
          <w:sz w:val="22"/>
          <w:lang w:eastAsia="pl-PL"/>
        </w:rPr>
      </w:pPr>
      <w:hyperlink w:anchor="_Toc68726959" w:history="1">
        <w:r w:rsidRPr="00CF0ACC">
          <w:rPr>
            <w:rStyle w:val="Hipercze"/>
            <w:noProof/>
          </w:rPr>
          <w:t>Tabela 5</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Liczba jcwp LW planowanych do monitoringu diagnostycznego (MD) i/lub operacyjnego (MO) w latach 2022-2027 w stosunku do całkowitej liczby jcwp danych kategorii w obszarze dorzecza Pregoły</w:t>
        </w:r>
        <w:r>
          <w:rPr>
            <w:noProof/>
            <w:webHidden/>
          </w:rPr>
          <w:tab/>
        </w:r>
        <w:r>
          <w:rPr>
            <w:noProof/>
            <w:webHidden/>
          </w:rPr>
          <w:fldChar w:fldCharType="begin"/>
        </w:r>
        <w:r>
          <w:rPr>
            <w:noProof/>
            <w:webHidden/>
          </w:rPr>
          <w:instrText xml:space="preserve"> PAGEREF _Toc68726959 \h </w:instrText>
        </w:r>
        <w:r>
          <w:rPr>
            <w:noProof/>
            <w:webHidden/>
          </w:rPr>
        </w:r>
        <w:r>
          <w:rPr>
            <w:noProof/>
            <w:webHidden/>
          </w:rPr>
          <w:fldChar w:fldCharType="separate"/>
        </w:r>
        <w:r>
          <w:rPr>
            <w:noProof/>
            <w:webHidden/>
          </w:rPr>
          <w:t>60</w:t>
        </w:r>
        <w:r>
          <w:rPr>
            <w:noProof/>
            <w:webHidden/>
          </w:rPr>
          <w:fldChar w:fldCharType="end"/>
        </w:r>
      </w:hyperlink>
    </w:p>
    <w:p w14:paraId="11C75A2B" w14:textId="00DCAEC5" w:rsidR="006C4947" w:rsidRDefault="006C4947">
      <w:pPr>
        <w:pStyle w:val="Spisilustracji"/>
        <w:rPr>
          <w:rFonts w:asciiTheme="minorHAnsi" w:eastAsiaTheme="minorEastAsia" w:hAnsiTheme="minorHAnsi" w:cstheme="minorBidi"/>
          <w:noProof/>
          <w:sz w:val="22"/>
          <w:lang w:eastAsia="pl-PL"/>
        </w:rPr>
      </w:pPr>
      <w:hyperlink w:anchor="_Toc68726960" w:history="1">
        <w:r w:rsidRPr="00CF0ACC">
          <w:rPr>
            <w:rStyle w:val="Hipercze"/>
            <w:noProof/>
          </w:rPr>
          <w:t>Tabela 5</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Klasyfikacja stanu ekologicznego jcwp</w:t>
        </w:r>
        <w:r>
          <w:rPr>
            <w:noProof/>
            <w:webHidden/>
          </w:rPr>
          <w:tab/>
        </w:r>
        <w:r>
          <w:rPr>
            <w:noProof/>
            <w:webHidden/>
          </w:rPr>
          <w:fldChar w:fldCharType="begin"/>
        </w:r>
        <w:r>
          <w:rPr>
            <w:noProof/>
            <w:webHidden/>
          </w:rPr>
          <w:instrText xml:space="preserve"> PAGEREF _Toc68726960 \h </w:instrText>
        </w:r>
        <w:r>
          <w:rPr>
            <w:noProof/>
            <w:webHidden/>
          </w:rPr>
        </w:r>
        <w:r>
          <w:rPr>
            <w:noProof/>
            <w:webHidden/>
          </w:rPr>
          <w:fldChar w:fldCharType="separate"/>
        </w:r>
        <w:r>
          <w:rPr>
            <w:noProof/>
            <w:webHidden/>
          </w:rPr>
          <w:t>64</w:t>
        </w:r>
        <w:r>
          <w:rPr>
            <w:noProof/>
            <w:webHidden/>
          </w:rPr>
          <w:fldChar w:fldCharType="end"/>
        </w:r>
      </w:hyperlink>
    </w:p>
    <w:p w14:paraId="27DAEA5B" w14:textId="30FAA852" w:rsidR="006C4947" w:rsidRDefault="006C4947">
      <w:pPr>
        <w:pStyle w:val="Spisilustracji"/>
        <w:rPr>
          <w:rFonts w:asciiTheme="minorHAnsi" w:eastAsiaTheme="minorEastAsia" w:hAnsiTheme="minorHAnsi" w:cstheme="minorBidi"/>
          <w:noProof/>
          <w:sz w:val="22"/>
          <w:lang w:eastAsia="pl-PL"/>
        </w:rPr>
      </w:pPr>
      <w:hyperlink w:anchor="_Toc68726961" w:history="1">
        <w:r w:rsidRPr="00CF0ACC">
          <w:rPr>
            <w:rStyle w:val="Hipercze"/>
            <w:noProof/>
          </w:rPr>
          <w:t>Tabela 5</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Klasyfikacja potencjału ekologicznego jcwp</w:t>
        </w:r>
        <w:r>
          <w:rPr>
            <w:noProof/>
            <w:webHidden/>
          </w:rPr>
          <w:tab/>
        </w:r>
        <w:r>
          <w:rPr>
            <w:noProof/>
            <w:webHidden/>
          </w:rPr>
          <w:fldChar w:fldCharType="begin"/>
        </w:r>
        <w:r>
          <w:rPr>
            <w:noProof/>
            <w:webHidden/>
          </w:rPr>
          <w:instrText xml:space="preserve"> PAGEREF _Toc68726961 \h </w:instrText>
        </w:r>
        <w:r>
          <w:rPr>
            <w:noProof/>
            <w:webHidden/>
          </w:rPr>
        </w:r>
        <w:r>
          <w:rPr>
            <w:noProof/>
            <w:webHidden/>
          </w:rPr>
          <w:fldChar w:fldCharType="separate"/>
        </w:r>
        <w:r>
          <w:rPr>
            <w:noProof/>
            <w:webHidden/>
          </w:rPr>
          <w:t>64</w:t>
        </w:r>
        <w:r>
          <w:rPr>
            <w:noProof/>
            <w:webHidden/>
          </w:rPr>
          <w:fldChar w:fldCharType="end"/>
        </w:r>
      </w:hyperlink>
    </w:p>
    <w:p w14:paraId="145D6A85" w14:textId="115611DE" w:rsidR="006C4947" w:rsidRDefault="006C4947">
      <w:pPr>
        <w:pStyle w:val="Spisilustracji"/>
        <w:rPr>
          <w:rFonts w:asciiTheme="minorHAnsi" w:eastAsiaTheme="minorEastAsia" w:hAnsiTheme="minorHAnsi" w:cstheme="minorBidi"/>
          <w:noProof/>
          <w:sz w:val="22"/>
          <w:lang w:eastAsia="pl-PL"/>
        </w:rPr>
      </w:pPr>
      <w:hyperlink w:anchor="_Toc68726962" w:history="1">
        <w:r w:rsidRPr="00CF0ACC">
          <w:rPr>
            <w:rStyle w:val="Hipercze"/>
            <w:noProof/>
          </w:rPr>
          <w:t>Tabela 5</w:t>
        </w:r>
        <w:r w:rsidRPr="00CF0ACC">
          <w:rPr>
            <w:rStyle w:val="Hipercze"/>
            <w:noProof/>
          </w:rPr>
          <w:noBreakHyphen/>
          <w:t>10</w:t>
        </w:r>
        <w:r>
          <w:rPr>
            <w:rFonts w:asciiTheme="minorHAnsi" w:eastAsiaTheme="minorEastAsia" w:hAnsiTheme="minorHAnsi" w:cstheme="minorBidi"/>
            <w:noProof/>
            <w:sz w:val="22"/>
            <w:lang w:eastAsia="pl-PL"/>
          </w:rPr>
          <w:tab/>
        </w:r>
        <w:r w:rsidRPr="00CF0ACC">
          <w:rPr>
            <w:rStyle w:val="Hipercze"/>
            <w:noProof/>
          </w:rPr>
          <w:t>Klasyfikacja stanu chemicznego jcwp</w:t>
        </w:r>
        <w:r>
          <w:rPr>
            <w:noProof/>
            <w:webHidden/>
          </w:rPr>
          <w:tab/>
        </w:r>
        <w:r>
          <w:rPr>
            <w:noProof/>
            <w:webHidden/>
          </w:rPr>
          <w:fldChar w:fldCharType="begin"/>
        </w:r>
        <w:r>
          <w:rPr>
            <w:noProof/>
            <w:webHidden/>
          </w:rPr>
          <w:instrText xml:space="preserve"> PAGEREF _Toc68726962 \h </w:instrText>
        </w:r>
        <w:r>
          <w:rPr>
            <w:noProof/>
            <w:webHidden/>
          </w:rPr>
        </w:r>
        <w:r>
          <w:rPr>
            <w:noProof/>
            <w:webHidden/>
          </w:rPr>
          <w:fldChar w:fldCharType="separate"/>
        </w:r>
        <w:r>
          <w:rPr>
            <w:noProof/>
            <w:webHidden/>
          </w:rPr>
          <w:t>65</w:t>
        </w:r>
        <w:r>
          <w:rPr>
            <w:noProof/>
            <w:webHidden/>
          </w:rPr>
          <w:fldChar w:fldCharType="end"/>
        </w:r>
      </w:hyperlink>
    </w:p>
    <w:p w14:paraId="5ECC3267" w14:textId="09E7046D" w:rsidR="006C4947" w:rsidRDefault="006C4947">
      <w:pPr>
        <w:pStyle w:val="Spisilustracji"/>
        <w:rPr>
          <w:rFonts w:asciiTheme="minorHAnsi" w:eastAsiaTheme="minorEastAsia" w:hAnsiTheme="minorHAnsi" w:cstheme="minorBidi"/>
          <w:noProof/>
          <w:sz w:val="22"/>
          <w:lang w:eastAsia="pl-PL"/>
        </w:rPr>
      </w:pPr>
      <w:hyperlink w:anchor="_Toc68726963" w:history="1">
        <w:r w:rsidRPr="00CF0ACC">
          <w:rPr>
            <w:rStyle w:val="Hipercze"/>
            <w:noProof/>
          </w:rPr>
          <w:t>Tabela 5</w:t>
        </w:r>
        <w:r w:rsidRPr="00CF0ACC">
          <w:rPr>
            <w:rStyle w:val="Hipercze"/>
            <w:noProof/>
          </w:rPr>
          <w:noBreakHyphen/>
          <w:t>11</w:t>
        </w:r>
        <w:r>
          <w:rPr>
            <w:rFonts w:asciiTheme="minorHAnsi" w:eastAsiaTheme="minorEastAsia" w:hAnsiTheme="minorHAnsi" w:cstheme="minorBidi"/>
            <w:noProof/>
            <w:sz w:val="22"/>
            <w:lang w:eastAsia="pl-PL"/>
          </w:rPr>
          <w:tab/>
        </w:r>
        <w:r w:rsidRPr="00CF0ACC">
          <w:rPr>
            <w:rStyle w:val="Hipercze"/>
            <w:noProof/>
          </w:rPr>
          <w:t>Sposób oceny stanu ogólnego jcwp</w:t>
        </w:r>
        <w:r>
          <w:rPr>
            <w:noProof/>
            <w:webHidden/>
          </w:rPr>
          <w:tab/>
        </w:r>
        <w:r>
          <w:rPr>
            <w:noProof/>
            <w:webHidden/>
          </w:rPr>
          <w:fldChar w:fldCharType="begin"/>
        </w:r>
        <w:r>
          <w:rPr>
            <w:noProof/>
            <w:webHidden/>
          </w:rPr>
          <w:instrText xml:space="preserve"> PAGEREF _Toc68726963 \h </w:instrText>
        </w:r>
        <w:r>
          <w:rPr>
            <w:noProof/>
            <w:webHidden/>
          </w:rPr>
        </w:r>
        <w:r>
          <w:rPr>
            <w:noProof/>
            <w:webHidden/>
          </w:rPr>
          <w:fldChar w:fldCharType="separate"/>
        </w:r>
        <w:r>
          <w:rPr>
            <w:noProof/>
            <w:webHidden/>
          </w:rPr>
          <w:t>66</w:t>
        </w:r>
        <w:r>
          <w:rPr>
            <w:noProof/>
            <w:webHidden/>
          </w:rPr>
          <w:fldChar w:fldCharType="end"/>
        </w:r>
      </w:hyperlink>
    </w:p>
    <w:p w14:paraId="5AB67B33" w14:textId="75025268" w:rsidR="006C4947" w:rsidRDefault="006C4947">
      <w:pPr>
        <w:pStyle w:val="Spisilustracji"/>
        <w:rPr>
          <w:rFonts w:asciiTheme="minorHAnsi" w:eastAsiaTheme="minorEastAsia" w:hAnsiTheme="minorHAnsi" w:cstheme="minorBidi"/>
          <w:noProof/>
          <w:sz w:val="22"/>
          <w:lang w:eastAsia="pl-PL"/>
        </w:rPr>
      </w:pPr>
      <w:hyperlink w:anchor="_Toc68726964" w:history="1">
        <w:r w:rsidRPr="00CF0ACC">
          <w:rPr>
            <w:rStyle w:val="Hipercze"/>
            <w:noProof/>
          </w:rPr>
          <w:t>Tabela 5</w:t>
        </w:r>
        <w:r w:rsidRPr="00CF0ACC">
          <w:rPr>
            <w:rStyle w:val="Hipercze"/>
            <w:noProof/>
          </w:rPr>
          <w:noBreakHyphen/>
          <w:t>12</w:t>
        </w:r>
        <w:r>
          <w:rPr>
            <w:rFonts w:asciiTheme="minorHAnsi" w:eastAsiaTheme="minorEastAsia" w:hAnsiTheme="minorHAnsi" w:cstheme="minorBidi"/>
            <w:noProof/>
            <w:sz w:val="22"/>
            <w:lang w:eastAsia="pl-PL"/>
          </w:rPr>
          <w:tab/>
        </w:r>
        <w:r w:rsidRPr="00CF0ACC">
          <w:rPr>
            <w:rStyle w:val="Hipercze"/>
            <w:noProof/>
          </w:rPr>
          <w:t>Liczba jcwp RW zagrożonych nieosiągnięciem celów środowiskowych wraz z określeniem liczby jcwp RW z oceną stanu na obszarze dorzecza Pregoły</w:t>
        </w:r>
        <w:r>
          <w:rPr>
            <w:noProof/>
            <w:webHidden/>
          </w:rPr>
          <w:tab/>
        </w:r>
        <w:r>
          <w:rPr>
            <w:noProof/>
            <w:webHidden/>
          </w:rPr>
          <w:fldChar w:fldCharType="begin"/>
        </w:r>
        <w:r>
          <w:rPr>
            <w:noProof/>
            <w:webHidden/>
          </w:rPr>
          <w:instrText xml:space="preserve"> PAGEREF _Toc68726964 \h </w:instrText>
        </w:r>
        <w:r>
          <w:rPr>
            <w:noProof/>
            <w:webHidden/>
          </w:rPr>
        </w:r>
        <w:r>
          <w:rPr>
            <w:noProof/>
            <w:webHidden/>
          </w:rPr>
          <w:fldChar w:fldCharType="separate"/>
        </w:r>
        <w:r>
          <w:rPr>
            <w:noProof/>
            <w:webHidden/>
          </w:rPr>
          <w:t>68</w:t>
        </w:r>
        <w:r>
          <w:rPr>
            <w:noProof/>
            <w:webHidden/>
          </w:rPr>
          <w:fldChar w:fldCharType="end"/>
        </w:r>
      </w:hyperlink>
    </w:p>
    <w:p w14:paraId="25A12EF1" w14:textId="09411837" w:rsidR="006C4947" w:rsidRDefault="006C4947">
      <w:pPr>
        <w:pStyle w:val="Spisilustracji"/>
        <w:rPr>
          <w:rFonts w:asciiTheme="minorHAnsi" w:eastAsiaTheme="minorEastAsia" w:hAnsiTheme="minorHAnsi" w:cstheme="minorBidi"/>
          <w:noProof/>
          <w:sz w:val="22"/>
          <w:lang w:eastAsia="pl-PL"/>
        </w:rPr>
      </w:pPr>
      <w:hyperlink w:anchor="_Toc68726965" w:history="1">
        <w:r w:rsidRPr="00CF0ACC">
          <w:rPr>
            <w:rStyle w:val="Hipercze"/>
            <w:noProof/>
          </w:rPr>
          <w:t>Tabela 5</w:t>
        </w:r>
        <w:r w:rsidRPr="00CF0ACC">
          <w:rPr>
            <w:rStyle w:val="Hipercze"/>
            <w:noProof/>
          </w:rPr>
          <w:noBreakHyphen/>
          <w:t>13</w:t>
        </w:r>
        <w:r>
          <w:rPr>
            <w:rFonts w:asciiTheme="minorHAnsi" w:eastAsiaTheme="minorEastAsia" w:hAnsiTheme="minorHAnsi" w:cstheme="minorBidi"/>
            <w:noProof/>
            <w:sz w:val="22"/>
            <w:lang w:eastAsia="pl-PL"/>
          </w:rPr>
          <w:tab/>
        </w:r>
        <w:r w:rsidRPr="00CF0ACC">
          <w:rPr>
            <w:rStyle w:val="Hipercze"/>
            <w:noProof/>
          </w:rPr>
          <w:t>Podsumowanie oceny stanu jcwp RW - obszar dorzecza Pregoły</w:t>
        </w:r>
        <w:r>
          <w:rPr>
            <w:noProof/>
            <w:webHidden/>
          </w:rPr>
          <w:tab/>
        </w:r>
        <w:r>
          <w:rPr>
            <w:noProof/>
            <w:webHidden/>
          </w:rPr>
          <w:fldChar w:fldCharType="begin"/>
        </w:r>
        <w:r>
          <w:rPr>
            <w:noProof/>
            <w:webHidden/>
          </w:rPr>
          <w:instrText xml:space="preserve"> PAGEREF _Toc68726965 \h </w:instrText>
        </w:r>
        <w:r>
          <w:rPr>
            <w:noProof/>
            <w:webHidden/>
          </w:rPr>
        </w:r>
        <w:r>
          <w:rPr>
            <w:noProof/>
            <w:webHidden/>
          </w:rPr>
          <w:fldChar w:fldCharType="separate"/>
        </w:r>
        <w:r>
          <w:rPr>
            <w:noProof/>
            <w:webHidden/>
          </w:rPr>
          <w:t>70</w:t>
        </w:r>
        <w:r>
          <w:rPr>
            <w:noProof/>
            <w:webHidden/>
          </w:rPr>
          <w:fldChar w:fldCharType="end"/>
        </w:r>
      </w:hyperlink>
    </w:p>
    <w:p w14:paraId="33929E1B" w14:textId="54D7B97A" w:rsidR="006C4947" w:rsidRDefault="006C4947">
      <w:pPr>
        <w:pStyle w:val="Spisilustracji"/>
        <w:rPr>
          <w:rFonts w:asciiTheme="minorHAnsi" w:eastAsiaTheme="minorEastAsia" w:hAnsiTheme="minorHAnsi" w:cstheme="minorBidi"/>
          <w:noProof/>
          <w:sz w:val="22"/>
          <w:lang w:eastAsia="pl-PL"/>
        </w:rPr>
      </w:pPr>
      <w:hyperlink w:anchor="_Toc68726966" w:history="1">
        <w:r w:rsidRPr="00CF0ACC">
          <w:rPr>
            <w:rStyle w:val="Hipercze"/>
            <w:noProof/>
          </w:rPr>
          <w:t>Tabela 5</w:t>
        </w:r>
        <w:r w:rsidRPr="00CF0ACC">
          <w:rPr>
            <w:rStyle w:val="Hipercze"/>
            <w:noProof/>
          </w:rPr>
          <w:noBreakHyphen/>
          <w:t>14</w:t>
        </w:r>
        <w:r>
          <w:rPr>
            <w:rFonts w:asciiTheme="minorHAnsi" w:eastAsiaTheme="minorEastAsia" w:hAnsiTheme="minorHAnsi" w:cstheme="minorBidi"/>
            <w:noProof/>
            <w:sz w:val="22"/>
            <w:lang w:eastAsia="pl-PL"/>
          </w:rPr>
          <w:tab/>
        </w:r>
        <w:r w:rsidRPr="00CF0ACC">
          <w:rPr>
            <w:rStyle w:val="Hipercze"/>
            <w:noProof/>
          </w:rPr>
          <w:t>Liczba jcwp LW zagrożonych nieosiągnięciem celów środowiskowych wraz z określeniem liczby jcwp LW z oceną stanu na obszarze dorzecza Pregoły</w:t>
        </w:r>
        <w:r>
          <w:rPr>
            <w:noProof/>
            <w:webHidden/>
          </w:rPr>
          <w:tab/>
        </w:r>
        <w:r>
          <w:rPr>
            <w:noProof/>
            <w:webHidden/>
          </w:rPr>
          <w:fldChar w:fldCharType="begin"/>
        </w:r>
        <w:r>
          <w:rPr>
            <w:noProof/>
            <w:webHidden/>
          </w:rPr>
          <w:instrText xml:space="preserve"> PAGEREF _Toc68726966 \h </w:instrText>
        </w:r>
        <w:r>
          <w:rPr>
            <w:noProof/>
            <w:webHidden/>
          </w:rPr>
        </w:r>
        <w:r>
          <w:rPr>
            <w:noProof/>
            <w:webHidden/>
          </w:rPr>
          <w:fldChar w:fldCharType="separate"/>
        </w:r>
        <w:r>
          <w:rPr>
            <w:noProof/>
            <w:webHidden/>
          </w:rPr>
          <w:t>71</w:t>
        </w:r>
        <w:r>
          <w:rPr>
            <w:noProof/>
            <w:webHidden/>
          </w:rPr>
          <w:fldChar w:fldCharType="end"/>
        </w:r>
      </w:hyperlink>
    </w:p>
    <w:p w14:paraId="1AC84163" w14:textId="37B474D3" w:rsidR="006C4947" w:rsidRDefault="006C4947">
      <w:pPr>
        <w:pStyle w:val="Spisilustracji"/>
        <w:rPr>
          <w:rFonts w:asciiTheme="minorHAnsi" w:eastAsiaTheme="minorEastAsia" w:hAnsiTheme="minorHAnsi" w:cstheme="minorBidi"/>
          <w:noProof/>
          <w:sz w:val="22"/>
          <w:lang w:eastAsia="pl-PL"/>
        </w:rPr>
      </w:pPr>
      <w:hyperlink w:anchor="_Toc68726967" w:history="1">
        <w:r w:rsidRPr="00CF0ACC">
          <w:rPr>
            <w:rStyle w:val="Hipercze"/>
            <w:noProof/>
          </w:rPr>
          <w:t>Tabela 5</w:t>
        </w:r>
        <w:r w:rsidRPr="00CF0ACC">
          <w:rPr>
            <w:rStyle w:val="Hipercze"/>
            <w:noProof/>
          </w:rPr>
          <w:noBreakHyphen/>
          <w:t>15</w:t>
        </w:r>
        <w:r>
          <w:rPr>
            <w:rFonts w:asciiTheme="minorHAnsi" w:eastAsiaTheme="minorEastAsia" w:hAnsiTheme="minorHAnsi" w:cstheme="minorBidi"/>
            <w:noProof/>
            <w:sz w:val="22"/>
            <w:lang w:eastAsia="pl-PL"/>
          </w:rPr>
          <w:tab/>
        </w:r>
        <w:r w:rsidRPr="00CF0ACC">
          <w:rPr>
            <w:rStyle w:val="Hipercze"/>
            <w:noProof/>
          </w:rPr>
          <w:t>Podsumowanie oceny stanu jcwp LW - obszar dorzecza Pregoły</w:t>
        </w:r>
        <w:r>
          <w:rPr>
            <w:noProof/>
            <w:webHidden/>
          </w:rPr>
          <w:tab/>
        </w:r>
        <w:r>
          <w:rPr>
            <w:noProof/>
            <w:webHidden/>
          </w:rPr>
          <w:fldChar w:fldCharType="begin"/>
        </w:r>
        <w:r>
          <w:rPr>
            <w:noProof/>
            <w:webHidden/>
          </w:rPr>
          <w:instrText xml:space="preserve"> PAGEREF _Toc68726967 \h </w:instrText>
        </w:r>
        <w:r>
          <w:rPr>
            <w:noProof/>
            <w:webHidden/>
          </w:rPr>
        </w:r>
        <w:r>
          <w:rPr>
            <w:noProof/>
            <w:webHidden/>
          </w:rPr>
          <w:fldChar w:fldCharType="separate"/>
        </w:r>
        <w:r>
          <w:rPr>
            <w:noProof/>
            <w:webHidden/>
          </w:rPr>
          <w:t>73</w:t>
        </w:r>
        <w:r>
          <w:rPr>
            <w:noProof/>
            <w:webHidden/>
          </w:rPr>
          <w:fldChar w:fldCharType="end"/>
        </w:r>
      </w:hyperlink>
    </w:p>
    <w:p w14:paraId="0F8122B3" w14:textId="7E81F7AB" w:rsidR="006C4947" w:rsidRDefault="006C4947">
      <w:pPr>
        <w:pStyle w:val="Spisilustracji"/>
        <w:rPr>
          <w:rFonts w:asciiTheme="minorHAnsi" w:eastAsiaTheme="minorEastAsia" w:hAnsiTheme="minorHAnsi" w:cstheme="minorBidi"/>
          <w:noProof/>
          <w:sz w:val="22"/>
          <w:lang w:eastAsia="pl-PL"/>
        </w:rPr>
      </w:pPr>
      <w:hyperlink w:anchor="_Toc68726968" w:history="1">
        <w:r w:rsidRPr="00CF0ACC">
          <w:rPr>
            <w:rStyle w:val="Hipercze"/>
            <w:noProof/>
          </w:rPr>
          <w:t>Tabela 5</w:t>
        </w:r>
        <w:r w:rsidRPr="00CF0ACC">
          <w:rPr>
            <w:rStyle w:val="Hipercze"/>
            <w:noProof/>
          </w:rPr>
          <w:noBreakHyphen/>
          <w:t>16</w:t>
        </w:r>
        <w:r>
          <w:rPr>
            <w:rFonts w:asciiTheme="minorHAnsi" w:eastAsiaTheme="minorEastAsia" w:hAnsiTheme="minorHAnsi" w:cstheme="minorBidi"/>
            <w:noProof/>
            <w:sz w:val="22"/>
            <w:lang w:eastAsia="pl-PL"/>
          </w:rPr>
          <w:tab/>
        </w:r>
        <w:r w:rsidRPr="00CF0ACC">
          <w:rPr>
            <w:rStyle w:val="Hipercze"/>
            <w:noProof/>
          </w:rPr>
          <w:t>Liczba jcwp monitorowanych i niemonitorowanych przeanalizowanych pod kątem klasyfikacji i oceny w podziale na kategorie wód</w:t>
        </w:r>
        <w:r>
          <w:rPr>
            <w:noProof/>
            <w:webHidden/>
          </w:rPr>
          <w:tab/>
        </w:r>
        <w:r>
          <w:rPr>
            <w:noProof/>
            <w:webHidden/>
          </w:rPr>
          <w:fldChar w:fldCharType="begin"/>
        </w:r>
        <w:r>
          <w:rPr>
            <w:noProof/>
            <w:webHidden/>
          </w:rPr>
          <w:instrText xml:space="preserve"> PAGEREF _Toc68726968 \h </w:instrText>
        </w:r>
        <w:r>
          <w:rPr>
            <w:noProof/>
            <w:webHidden/>
          </w:rPr>
        </w:r>
        <w:r>
          <w:rPr>
            <w:noProof/>
            <w:webHidden/>
          </w:rPr>
          <w:fldChar w:fldCharType="separate"/>
        </w:r>
        <w:r>
          <w:rPr>
            <w:noProof/>
            <w:webHidden/>
          </w:rPr>
          <w:t>74</w:t>
        </w:r>
        <w:r>
          <w:rPr>
            <w:noProof/>
            <w:webHidden/>
          </w:rPr>
          <w:fldChar w:fldCharType="end"/>
        </w:r>
      </w:hyperlink>
    </w:p>
    <w:p w14:paraId="681CD530" w14:textId="38073721" w:rsidR="006C4947" w:rsidRDefault="006C4947">
      <w:pPr>
        <w:pStyle w:val="Spisilustracji"/>
        <w:rPr>
          <w:rFonts w:asciiTheme="minorHAnsi" w:eastAsiaTheme="minorEastAsia" w:hAnsiTheme="minorHAnsi" w:cstheme="minorBidi"/>
          <w:noProof/>
          <w:sz w:val="22"/>
          <w:lang w:eastAsia="pl-PL"/>
        </w:rPr>
      </w:pPr>
      <w:hyperlink w:anchor="_Toc68726969" w:history="1">
        <w:r w:rsidRPr="00CF0ACC">
          <w:rPr>
            <w:rStyle w:val="Hipercze"/>
            <w:noProof/>
          </w:rPr>
          <w:t>Tabela 5</w:t>
        </w:r>
        <w:r w:rsidRPr="00CF0ACC">
          <w:rPr>
            <w:rStyle w:val="Hipercze"/>
            <w:noProof/>
          </w:rPr>
          <w:noBreakHyphen/>
          <w:t>17</w:t>
        </w:r>
        <w:r>
          <w:rPr>
            <w:rFonts w:asciiTheme="minorHAnsi" w:eastAsiaTheme="minorEastAsia" w:hAnsiTheme="minorHAnsi" w:cstheme="minorBidi"/>
            <w:noProof/>
            <w:sz w:val="22"/>
            <w:lang w:eastAsia="pl-PL"/>
          </w:rPr>
          <w:tab/>
        </w:r>
        <w:r w:rsidRPr="00CF0ACC">
          <w:rPr>
            <w:rStyle w:val="Hipercze"/>
            <w:noProof/>
          </w:rPr>
          <w:t>Podsumowanie statystyczne klasyfikacji i oceny jcwp (jcwp monitorowane i niemonitorowane)</w:t>
        </w:r>
        <w:r>
          <w:rPr>
            <w:noProof/>
            <w:webHidden/>
          </w:rPr>
          <w:tab/>
        </w:r>
        <w:r>
          <w:rPr>
            <w:noProof/>
            <w:webHidden/>
          </w:rPr>
          <w:fldChar w:fldCharType="begin"/>
        </w:r>
        <w:r>
          <w:rPr>
            <w:noProof/>
            <w:webHidden/>
          </w:rPr>
          <w:instrText xml:space="preserve"> PAGEREF _Toc68726969 \h </w:instrText>
        </w:r>
        <w:r>
          <w:rPr>
            <w:noProof/>
            <w:webHidden/>
          </w:rPr>
        </w:r>
        <w:r>
          <w:rPr>
            <w:noProof/>
            <w:webHidden/>
          </w:rPr>
          <w:fldChar w:fldCharType="separate"/>
        </w:r>
        <w:r>
          <w:rPr>
            <w:noProof/>
            <w:webHidden/>
          </w:rPr>
          <w:t>75</w:t>
        </w:r>
        <w:r>
          <w:rPr>
            <w:noProof/>
            <w:webHidden/>
          </w:rPr>
          <w:fldChar w:fldCharType="end"/>
        </w:r>
      </w:hyperlink>
    </w:p>
    <w:p w14:paraId="352B7A10" w14:textId="5817D1F5" w:rsidR="006C4947" w:rsidRDefault="006C4947">
      <w:pPr>
        <w:pStyle w:val="Spisilustracji"/>
        <w:rPr>
          <w:rFonts w:asciiTheme="minorHAnsi" w:eastAsiaTheme="minorEastAsia" w:hAnsiTheme="minorHAnsi" w:cstheme="minorBidi"/>
          <w:noProof/>
          <w:sz w:val="22"/>
          <w:lang w:eastAsia="pl-PL"/>
        </w:rPr>
      </w:pPr>
      <w:hyperlink w:anchor="_Toc68726970" w:history="1">
        <w:r w:rsidRPr="00CF0ACC">
          <w:rPr>
            <w:rStyle w:val="Hipercze"/>
            <w:noProof/>
          </w:rPr>
          <w:t>Tabela 5</w:t>
        </w:r>
        <w:r w:rsidRPr="00CF0ACC">
          <w:rPr>
            <w:rStyle w:val="Hipercze"/>
            <w:noProof/>
          </w:rPr>
          <w:noBreakHyphen/>
          <w:t>18</w:t>
        </w:r>
        <w:r>
          <w:rPr>
            <w:rFonts w:asciiTheme="minorHAnsi" w:eastAsiaTheme="minorEastAsia" w:hAnsiTheme="minorHAnsi" w:cstheme="minorBidi"/>
            <w:noProof/>
            <w:sz w:val="22"/>
            <w:lang w:eastAsia="pl-PL"/>
          </w:rPr>
          <w:tab/>
        </w:r>
        <w:r w:rsidRPr="00CF0ACC">
          <w:rPr>
            <w:rStyle w:val="Hipercze"/>
            <w:noProof/>
          </w:rPr>
          <w:t>Wyniki analizy tendencji zmian stężeń wskaźników fizykochemicznych w punktach w latach 2007-2019</w:t>
        </w:r>
        <w:r>
          <w:rPr>
            <w:noProof/>
            <w:webHidden/>
          </w:rPr>
          <w:tab/>
        </w:r>
        <w:r>
          <w:rPr>
            <w:noProof/>
            <w:webHidden/>
          </w:rPr>
          <w:fldChar w:fldCharType="begin"/>
        </w:r>
        <w:r>
          <w:rPr>
            <w:noProof/>
            <w:webHidden/>
          </w:rPr>
          <w:instrText xml:space="preserve"> PAGEREF _Toc68726970 \h </w:instrText>
        </w:r>
        <w:r>
          <w:rPr>
            <w:noProof/>
            <w:webHidden/>
          </w:rPr>
        </w:r>
        <w:r>
          <w:rPr>
            <w:noProof/>
            <w:webHidden/>
          </w:rPr>
          <w:fldChar w:fldCharType="separate"/>
        </w:r>
        <w:r>
          <w:rPr>
            <w:noProof/>
            <w:webHidden/>
          </w:rPr>
          <w:t>86</w:t>
        </w:r>
        <w:r>
          <w:rPr>
            <w:noProof/>
            <w:webHidden/>
          </w:rPr>
          <w:fldChar w:fldCharType="end"/>
        </w:r>
      </w:hyperlink>
    </w:p>
    <w:p w14:paraId="5FF699AB" w14:textId="355D722C" w:rsidR="006C4947" w:rsidRDefault="006C4947">
      <w:pPr>
        <w:pStyle w:val="Spisilustracji"/>
        <w:rPr>
          <w:rFonts w:asciiTheme="minorHAnsi" w:eastAsiaTheme="minorEastAsia" w:hAnsiTheme="minorHAnsi" w:cstheme="minorBidi"/>
          <w:noProof/>
          <w:sz w:val="22"/>
          <w:lang w:eastAsia="pl-PL"/>
        </w:rPr>
      </w:pPr>
      <w:hyperlink w:anchor="_Toc68726971" w:history="1">
        <w:r w:rsidRPr="00CF0ACC">
          <w:rPr>
            <w:rStyle w:val="Hipercze"/>
            <w:noProof/>
          </w:rPr>
          <w:t>Tabela 5</w:t>
        </w:r>
        <w:r w:rsidRPr="00CF0ACC">
          <w:rPr>
            <w:rStyle w:val="Hipercze"/>
            <w:noProof/>
          </w:rPr>
          <w:noBreakHyphen/>
          <w:t>19</w:t>
        </w:r>
        <w:r>
          <w:rPr>
            <w:rFonts w:asciiTheme="minorHAnsi" w:eastAsiaTheme="minorEastAsia" w:hAnsiTheme="minorHAnsi" w:cstheme="minorBidi"/>
            <w:noProof/>
            <w:sz w:val="22"/>
            <w:lang w:eastAsia="pl-PL"/>
          </w:rPr>
          <w:tab/>
        </w:r>
        <w:r w:rsidRPr="00CF0ACC">
          <w:rPr>
            <w:rStyle w:val="Hipercze"/>
            <w:noProof/>
          </w:rPr>
          <w:t>Wyniki analizy położenia zwierciadła wody podziemnej w jcwpd nr 20 i 21 zlokalizowanych w obszarze dorzecza Pregoły</w:t>
        </w:r>
        <w:r>
          <w:rPr>
            <w:noProof/>
            <w:webHidden/>
          </w:rPr>
          <w:tab/>
        </w:r>
        <w:r>
          <w:rPr>
            <w:noProof/>
            <w:webHidden/>
          </w:rPr>
          <w:fldChar w:fldCharType="begin"/>
        </w:r>
        <w:r>
          <w:rPr>
            <w:noProof/>
            <w:webHidden/>
          </w:rPr>
          <w:instrText xml:space="preserve"> PAGEREF _Toc68726971 \h </w:instrText>
        </w:r>
        <w:r>
          <w:rPr>
            <w:noProof/>
            <w:webHidden/>
          </w:rPr>
        </w:r>
        <w:r>
          <w:rPr>
            <w:noProof/>
            <w:webHidden/>
          </w:rPr>
          <w:fldChar w:fldCharType="separate"/>
        </w:r>
        <w:r>
          <w:rPr>
            <w:noProof/>
            <w:webHidden/>
          </w:rPr>
          <w:t>87</w:t>
        </w:r>
        <w:r>
          <w:rPr>
            <w:noProof/>
            <w:webHidden/>
          </w:rPr>
          <w:fldChar w:fldCharType="end"/>
        </w:r>
      </w:hyperlink>
    </w:p>
    <w:p w14:paraId="12721781" w14:textId="69F5C6A2" w:rsidR="006C4947" w:rsidRDefault="006C4947">
      <w:pPr>
        <w:pStyle w:val="Spisilustracji"/>
        <w:rPr>
          <w:rFonts w:asciiTheme="minorHAnsi" w:eastAsiaTheme="minorEastAsia" w:hAnsiTheme="minorHAnsi" w:cstheme="minorBidi"/>
          <w:noProof/>
          <w:sz w:val="22"/>
          <w:lang w:eastAsia="pl-PL"/>
        </w:rPr>
      </w:pPr>
      <w:hyperlink w:anchor="_Toc68726972" w:history="1">
        <w:r w:rsidRPr="00CF0ACC">
          <w:rPr>
            <w:rStyle w:val="Hipercze"/>
            <w:noProof/>
          </w:rPr>
          <w:t>Tabela 5</w:t>
        </w:r>
        <w:r w:rsidRPr="00CF0ACC">
          <w:rPr>
            <w:rStyle w:val="Hipercze"/>
            <w:noProof/>
          </w:rPr>
          <w:noBreakHyphen/>
          <w:t>20</w:t>
        </w:r>
        <w:r>
          <w:rPr>
            <w:rFonts w:asciiTheme="minorHAnsi" w:eastAsiaTheme="minorEastAsia" w:hAnsiTheme="minorHAnsi" w:cstheme="minorBidi"/>
            <w:noProof/>
            <w:sz w:val="22"/>
            <w:lang w:eastAsia="pl-PL"/>
          </w:rPr>
          <w:tab/>
        </w:r>
        <w:r w:rsidRPr="00CF0ACC">
          <w:rPr>
            <w:rStyle w:val="Hipercze"/>
            <w:noProof/>
          </w:rPr>
          <w:t>Stan chemiczny jcwpd na obszarze dorzecza Pregoły</w:t>
        </w:r>
        <w:r>
          <w:rPr>
            <w:noProof/>
            <w:webHidden/>
          </w:rPr>
          <w:tab/>
        </w:r>
        <w:r>
          <w:rPr>
            <w:noProof/>
            <w:webHidden/>
          </w:rPr>
          <w:fldChar w:fldCharType="begin"/>
        </w:r>
        <w:r>
          <w:rPr>
            <w:noProof/>
            <w:webHidden/>
          </w:rPr>
          <w:instrText xml:space="preserve"> PAGEREF _Toc68726972 \h </w:instrText>
        </w:r>
        <w:r>
          <w:rPr>
            <w:noProof/>
            <w:webHidden/>
          </w:rPr>
        </w:r>
        <w:r>
          <w:rPr>
            <w:noProof/>
            <w:webHidden/>
          </w:rPr>
          <w:fldChar w:fldCharType="separate"/>
        </w:r>
        <w:r>
          <w:rPr>
            <w:noProof/>
            <w:webHidden/>
          </w:rPr>
          <w:t>88</w:t>
        </w:r>
        <w:r>
          <w:rPr>
            <w:noProof/>
            <w:webHidden/>
          </w:rPr>
          <w:fldChar w:fldCharType="end"/>
        </w:r>
      </w:hyperlink>
    </w:p>
    <w:p w14:paraId="3DFC764C" w14:textId="01C46587" w:rsidR="006C4947" w:rsidRDefault="006C4947">
      <w:pPr>
        <w:pStyle w:val="Spisilustracji"/>
        <w:rPr>
          <w:rFonts w:asciiTheme="minorHAnsi" w:eastAsiaTheme="minorEastAsia" w:hAnsiTheme="minorHAnsi" w:cstheme="minorBidi"/>
          <w:noProof/>
          <w:sz w:val="22"/>
          <w:lang w:eastAsia="pl-PL"/>
        </w:rPr>
      </w:pPr>
      <w:hyperlink w:anchor="_Toc68726973" w:history="1">
        <w:r w:rsidRPr="00CF0ACC">
          <w:rPr>
            <w:rStyle w:val="Hipercze"/>
            <w:noProof/>
          </w:rPr>
          <w:t>Tabela 5</w:t>
        </w:r>
        <w:r w:rsidRPr="00CF0ACC">
          <w:rPr>
            <w:rStyle w:val="Hipercze"/>
            <w:noProof/>
          </w:rPr>
          <w:noBreakHyphen/>
          <w:t>21</w:t>
        </w:r>
        <w:r>
          <w:rPr>
            <w:rFonts w:asciiTheme="minorHAnsi" w:eastAsiaTheme="minorEastAsia" w:hAnsiTheme="minorHAnsi" w:cstheme="minorBidi"/>
            <w:noProof/>
            <w:sz w:val="22"/>
            <w:lang w:eastAsia="pl-PL"/>
          </w:rPr>
          <w:tab/>
        </w:r>
        <w:r w:rsidRPr="00CF0ACC">
          <w:rPr>
            <w:rStyle w:val="Hipercze"/>
            <w:noProof/>
          </w:rPr>
          <w:t>Wyniki testu C.1 - Ogólna ocena stanu chemicznego jcwpd</w:t>
        </w:r>
        <w:r>
          <w:rPr>
            <w:noProof/>
            <w:webHidden/>
          </w:rPr>
          <w:tab/>
        </w:r>
        <w:r>
          <w:rPr>
            <w:noProof/>
            <w:webHidden/>
          </w:rPr>
          <w:fldChar w:fldCharType="begin"/>
        </w:r>
        <w:r>
          <w:rPr>
            <w:noProof/>
            <w:webHidden/>
          </w:rPr>
          <w:instrText xml:space="preserve"> PAGEREF _Toc68726973 \h </w:instrText>
        </w:r>
        <w:r>
          <w:rPr>
            <w:noProof/>
            <w:webHidden/>
          </w:rPr>
        </w:r>
        <w:r>
          <w:rPr>
            <w:noProof/>
            <w:webHidden/>
          </w:rPr>
          <w:fldChar w:fldCharType="separate"/>
        </w:r>
        <w:r>
          <w:rPr>
            <w:noProof/>
            <w:webHidden/>
          </w:rPr>
          <w:t>88</w:t>
        </w:r>
        <w:r>
          <w:rPr>
            <w:noProof/>
            <w:webHidden/>
          </w:rPr>
          <w:fldChar w:fldCharType="end"/>
        </w:r>
      </w:hyperlink>
    </w:p>
    <w:p w14:paraId="19531190" w14:textId="492A978E" w:rsidR="006C4947" w:rsidRDefault="006C4947">
      <w:pPr>
        <w:pStyle w:val="Spisilustracji"/>
        <w:rPr>
          <w:rFonts w:asciiTheme="minorHAnsi" w:eastAsiaTheme="minorEastAsia" w:hAnsiTheme="minorHAnsi" w:cstheme="minorBidi"/>
          <w:noProof/>
          <w:sz w:val="22"/>
          <w:lang w:eastAsia="pl-PL"/>
        </w:rPr>
      </w:pPr>
      <w:hyperlink w:anchor="_Toc68726974" w:history="1">
        <w:r w:rsidRPr="00CF0ACC">
          <w:rPr>
            <w:rStyle w:val="Hipercze"/>
            <w:noProof/>
          </w:rPr>
          <w:t>Tabela 5</w:t>
        </w:r>
        <w:r w:rsidRPr="00CF0ACC">
          <w:rPr>
            <w:rStyle w:val="Hipercze"/>
            <w:noProof/>
          </w:rPr>
          <w:noBreakHyphen/>
          <w:t>22</w:t>
        </w:r>
        <w:r>
          <w:rPr>
            <w:rFonts w:asciiTheme="minorHAnsi" w:eastAsiaTheme="minorEastAsia" w:hAnsiTheme="minorHAnsi" w:cstheme="minorBidi"/>
            <w:noProof/>
            <w:sz w:val="22"/>
            <w:lang w:eastAsia="pl-PL"/>
          </w:rPr>
          <w:tab/>
        </w:r>
        <w:r w:rsidRPr="00CF0ACC">
          <w:rPr>
            <w:rStyle w:val="Hipercze"/>
            <w:noProof/>
          </w:rPr>
          <w:t>Wyniki testu C.2/I.2 - Ocena wpływu ingresji i ascenzji wód słonych lub innych zdegradowanych na stan wód podziemnych</w:t>
        </w:r>
        <w:r>
          <w:rPr>
            <w:noProof/>
            <w:webHidden/>
          </w:rPr>
          <w:tab/>
        </w:r>
        <w:r>
          <w:rPr>
            <w:noProof/>
            <w:webHidden/>
          </w:rPr>
          <w:fldChar w:fldCharType="begin"/>
        </w:r>
        <w:r>
          <w:rPr>
            <w:noProof/>
            <w:webHidden/>
          </w:rPr>
          <w:instrText xml:space="preserve"> PAGEREF _Toc68726974 \h </w:instrText>
        </w:r>
        <w:r>
          <w:rPr>
            <w:noProof/>
            <w:webHidden/>
          </w:rPr>
        </w:r>
        <w:r>
          <w:rPr>
            <w:noProof/>
            <w:webHidden/>
          </w:rPr>
          <w:fldChar w:fldCharType="separate"/>
        </w:r>
        <w:r>
          <w:rPr>
            <w:noProof/>
            <w:webHidden/>
          </w:rPr>
          <w:t>88</w:t>
        </w:r>
        <w:r>
          <w:rPr>
            <w:noProof/>
            <w:webHidden/>
          </w:rPr>
          <w:fldChar w:fldCharType="end"/>
        </w:r>
      </w:hyperlink>
    </w:p>
    <w:p w14:paraId="22D56D86" w14:textId="1BF0792D" w:rsidR="006C4947" w:rsidRDefault="006C4947">
      <w:pPr>
        <w:pStyle w:val="Spisilustracji"/>
        <w:rPr>
          <w:rFonts w:asciiTheme="minorHAnsi" w:eastAsiaTheme="minorEastAsia" w:hAnsiTheme="minorHAnsi" w:cstheme="minorBidi"/>
          <w:noProof/>
          <w:sz w:val="22"/>
          <w:lang w:eastAsia="pl-PL"/>
        </w:rPr>
      </w:pPr>
      <w:hyperlink w:anchor="_Toc68726975" w:history="1">
        <w:r w:rsidRPr="00CF0ACC">
          <w:rPr>
            <w:rStyle w:val="Hipercze"/>
            <w:noProof/>
          </w:rPr>
          <w:t>Tabela 5</w:t>
        </w:r>
        <w:r w:rsidRPr="00CF0ACC">
          <w:rPr>
            <w:rStyle w:val="Hipercze"/>
            <w:noProof/>
          </w:rPr>
          <w:noBreakHyphen/>
          <w:t>23</w:t>
        </w:r>
        <w:r>
          <w:rPr>
            <w:rFonts w:asciiTheme="minorHAnsi" w:eastAsiaTheme="minorEastAsia" w:hAnsiTheme="minorHAnsi" w:cstheme="minorBidi"/>
            <w:noProof/>
            <w:sz w:val="22"/>
            <w:lang w:eastAsia="pl-PL"/>
          </w:rPr>
          <w:tab/>
        </w:r>
        <w:r w:rsidRPr="00CF0ACC">
          <w:rPr>
            <w:rStyle w:val="Hipercze"/>
            <w:noProof/>
          </w:rPr>
          <w:t>Wyniki testu C.3 - Ochrona ekosystemów lądowych zależnych od wód podziemnych</w:t>
        </w:r>
        <w:r>
          <w:rPr>
            <w:noProof/>
            <w:webHidden/>
          </w:rPr>
          <w:tab/>
        </w:r>
        <w:r>
          <w:rPr>
            <w:noProof/>
            <w:webHidden/>
          </w:rPr>
          <w:fldChar w:fldCharType="begin"/>
        </w:r>
        <w:r>
          <w:rPr>
            <w:noProof/>
            <w:webHidden/>
          </w:rPr>
          <w:instrText xml:space="preserve"> PAGEREF _Toc68726975 \h </w:instrText>
        </w:r>
        <w:r>
          <w:rPr>
            <w:noProof/>
            <w:webHidden/>
          </w:rPr>
        </w:r>
        <w:r>
          <w:rPr>
            <w:noProof/>
            <w:webHidden/>
          </w:rPr>
          <w:fldChar w:fldCharType="separate"/>
        </w:r>
        <w:r>
          <w:rPr>
            <w:noProof/>
            <w:webHidden/>
          </w:rPr>
          <w:t>88</w:t>
        </w:r>
        <w:r>
          <w:rPr>
            <w:noProof/>
            <w:webHidden/>
          </w:rPr>
          <w:fldChar w:fldCharType="end"/>
        </w:r>
      </w:hyperlink>
    </w:p>
    <w:p w14:paraId="70D76799" w14:textId="6AFE3B17" w:rsidR="006C4947" w:rsidRDefault="006C4947">
      <w:pPr>
        <w:pStyle w:val="Spisilustracji"/>
        <w:rPr>
          <w:rFonts w:asciiTheme="minorHAnsi" w:eastAsiaTheme="minorEastAsia" w:hAnsiTheme="minorHAnsi" w:cstheme="minorBidi"/>
          <w:noProof/>
          <w:sz w:val="22"/>
          <w:lang w:eastAsia="pl-PL"/>
        </w:rPr>
      </w:pPr>
      <w:hyperlink w:anchor="_Toc68726976" w:history="1">
        <w:r w:rsidRPr="00CF0ACC">
          <w:rPr>
            <w:rStyle w:val="Hipercze"/>
            <w:noProof/>
          </w:rPr>
          <w:t>Tabela 5</w:t>
        </w:r>
        <w:r w:rsidRPr="00CF0ACC">
          <w:rPr>
            <w:rStyle w:val="Hipercze"/>
            <w:noProof/>
          </w:rPr>
          <w:noBreakHyphen/>
          <w:t>24</w:t>
        </w:r>
        <w:r>
          <w:rPr>
            <w:rFonts w:asciiTheme="minorHAnsi" w:eastAsiaTheme="minorEastAsia" w:hAnsiTheme="minorHAnsi" w:cstheme="minorBidi"/>
            <w:noProof/>
            <w:sz w:val="22"/>
            <w:lang w:eastAsia="pl-PL"/>
          </w:rPr>
          <w:tab/>
        </w:r>
        <w:r w:rsidRPr="00CF0ACC">
          <w:rPr>
            <w:rStyle w:val="Hipercze"/>
            <w:noProof/>
          </w:rPr>
          <w:t>Wyniki testu C.4 - Ochrona stanu wód powierzchniowych</w:t>
        </w:r>
        <w:r>
          <w:rPr>
            <w:noProof/>
            <w:webHidden/>
          </w:rPr>
          <w:tab/>
        </w:r>
        <w:r>
          <w:rPr>
            <w:noProof/>
            <w:webHidden/>
          </w:rPr>
          <w:fldChar w:fldCharType="begin"/>
        </w:r>
        <w:r>
          <w:rPr>
            <w:noProof/>
            <w:webHidden/>
          </w:rPr>
          <w:instrText xml:space="preserve"> PAGEREF _Toc68726976 \h </w:instrText>
        </w:r>
        <w:r>
          <w:rPr>
            <w:noProof/>
            <w:webHidden/>
          </w:rPr>
        </w:r>
        <w:r>
          <w:rPr>
            <w:noProof/>
            <w:webHidden/>
          </w:rPr>
          <w:fldChar w:fldCharType="separate"/>
        </w:r>
        <w:r>
          <w:rPr>
            <w:noProof/>
            <w:webHidden/>
          </w:rPr>
          <w:t>89</w:t>
        </w:r>
        <w:r>
          <w:rPr>
            <w:noProof/>
            <w:webHidden/>
          </w:rPr>
          <w:fldChar w:fldCharType="end"/>
        </w:r>
      </w:hyperlink>
    </w:p>
    <w:p w14:paraId="12AE4216" w14:textId="28DE88EB" w:rsidR="006C4947" w:rsidRDefault="006C4947">
      <w:pPr>
        <w:pStyle w:val="Spisilustracji"/>
        <w:rPr>
          <w:rFonts w:asciiTheme="minorHAnsi" w:eastAsiaTheme="minorEastAsia" w:hAnsiTheme="minorHAnsi" w:cstheme="minorBidi"/>
          <w:noProof/>
          <w:sz w:val="22"/>
          <w:lang w:eastAsia="pl-PL"/>
        </w:rPr>
      </w:pPr>
      <w:hyperlink w:anchor="_Toc68726977" w:history="1">
        <w:r w:rsidRPr="00CF0ACC">
          <w:rPr>
            <w:rStyle w:val="Hipercze"/>
            <w:noProof/>
          </w:rPr>
          <w:t>Tabela 5</w:t>
        </w:r>
        <w:r w:rsidRPr="00CF0ACC">
          <w:rPr>
            <w:rStyle w:val="Hipercze"/>
            <w:noProof/>
          </w:rPr>
          <w:noBreakHyphen/>
          <w:t>25.</w:t>
        </w:r>
        <w:r>
          <w:rPr>
            <w:rFonts w:asciiTheme="minorHAnsi" w:eastAsiaTheme="minorEastAsia" w:hAnsiTheme="minorHAnsi" w:cstheme="minorBidi"/>
            <w:noProof/>
            <w:sz w:val="22"/>
            <w:lang w:eastAsia="pl-PL"/>
          </w:rPr>
          <w:tab/>
        </w:r>
        <w:r w:rsidRPr="00CF0ACC">
          <w:rPr>
            <w:rStyle w:val="Hipercze"/>
            <w:noProof/>
          </w:rPr>
          <w:t>Wyniki testu C.5 - Ochrona wód przeznaczonych do spożycia przez ludzi</w:t>
        </w:r>
        <w:r>
          <w:rPr>
            <w:noProof/>
            <w:webHidden/>
          </w:rPr>
          <w:tab/>
        </w:r>
        <w:r>
          <w:rPr>
            <w:noProof/>
            <w:webHidden/>
          </w:rPr>
          <w:fldChar w:fldCharType="begin"/>
        </w:r>
        <w:r>
          <w:rPr>
            <w:noProof/>
            <w:webHidden/>
          </w:rPr>
          <w:instrText xml:space="preserve"> PAGEREF _Toc68726977 \h </w:instrText>
        </w:r>
        <w:r>
          <w:rPr>
            <w:noProof/>
            <w:webHidden/>
          </w:rPr>
        </w:r>
        <w:r>
          <w:rPr>
            <w:noProof/>
            <w:webHidden/>
          </w:rPr>
          <w:fldChar w:fldCharType="separate"/>
        </w:r>
        <w:r>
          <w:rPr>
            <w:noProof/>
            <w:webHidden/>
          </w:rPr>
          <w:t>89</w:t>
        </w:r>
        <w:r>
          <w:rPr>
            <w:noProof/>
            <w:webHidden/>
          </w:rPr>
          <w:fldChar w:fldCharType="end"/>
        </w:r>
      </w:hyperlink>
    </w:p>
    <w:p w14:paraId="4229EFE1" w14:textId="2354781C" w:rsidR="006C4947" w:rsidRDefault="006C4947">
      <w:pPr>
        <w:pStyle w:val="Spisilustracji"/>
        <w:rPr>
          <w:rFonts w:asciiTheme="minorHAnsi" w:eastAsiaTheme="minorEastAsia" w:hAnsiTheme="minorHAnsi" w:cstheme="minorBidi"/>
          <w:noProof/>
          <w:sz w:val="22"/>
          <w:lang w:eastAsia="pl-PL"/>
        </w:rPr>
      </w:pPr>
      <w:hyperlink w:anchor="_Toc68726978" w:history="1">
        <w:r w:rsidRPr="00CF0ACC">
          <w:rPr>
            <w:rStyle w:val="Hipercze"/>
            <w:noProof/>
          </w:rPr>
          <w:t>Tabela 5</w:t>
        </w:r>
        <w:r w:rsidRPr="00CF0ACC">
          <w:rPr>
            <w:rStyle w:val="Hipercze"/>
            <w:noProof/>
          </w:rPr>
          <w:noBreakHyphen/>
          <w:t>26.</w:t>
        </w:r>
        <w:r>
          <w:rPr>
            <w:rFonts w:asciiTheme="minorHAnsi" w:eastAsiaTheme="minorEastAsia" w:hAnsiTheme="minorHAnsi" w:cstheme="minorBidi"/>
            <w:noProof/>
            <w:sz w:val="22"/>
            <w:lang w:eastAsia="pl-PL"/>
          </w:rPr>
          <w:tab/>
        </w:r>
        <w:r w:rsidRPr="00CF0ACC">
          <w:rPr>
            <w:rStyle w:val="Hipercze"/>
            <w:noProof/>
          </w:rPr>
          <w:t>Stan ilościowy jcwpd na obszarze dorzecza Pregoły</w:t>
        </w:r>
        <w:r>
          <w:rPr>
            <w:noProof/>
            <w:webHidden/>
          </w:rPr>
          <w:tab/>
        </w:r>
        <w:r>
          <w:rPr>
            <w:noProof/>
            <w:webHidden/>
          </w:rPr>
          <w:fldChar w:fldCharType="begin"/>
        </w:r>
        <w:r>
          <w:rPr>
            <w:noProof/>
            <w:webHidden/>
          </w:rPr>
          <w:instrText xml:space="preserve"> PAGEREF _Toc68726978 \h </w:instrText>
        </w:r>
        <w:r>
          <w:rPr>
            <w:noProof/>
            <w:webHidden/>
          </w:rPr>
        </w:r>
        <w:r>
          <w:rPr>
            <w:noProof/>
            <w:webHidden/>
          </w:rPr>
          <w:fldChar w:fldCharType="separate"/>
        </w:r>
        <w:r>
          <w:rPr>
            <w:noProof/>
            <w:webHidden/>
          </w:rPr>
          <w:t>89</w:t>
        </w:r>
        <w:r>
          <w:rPr>
            <w:noProof/>
            <w:webHidden/>
          </w:rPr>
          <w:fldChar w:fldCharType="end"/>
        </w:r>
      </w:hyperlink>
    </w:p>
    <w:p w14:paraId="5DE452D1" w14:textId="4A0938CC" w:rsidR="006C4947" w:rsidRDefault="006C4947">
      <w:pPr>
        <w:pStyle w:val="Spisilustracji"/>
        <w:rPr>
          <w:rFonts w:asciiTheme="minorHAnsi" w:eastAsiaTheme="minorEastAsia" w:hAnsiTheme="minorHAnsi" w:cstheme="minorBidi"/>
          <w:noProof/>
          <w:sz w:val="22"/>
          <w:lang w:eastAsia="pl-PL"/>
        </w:rPr>
      </w:pPr>
      <w:hyperlink w:anchor="_Toc68726979" w:history="1">
        <w:r w:rsidRPr="00CF0ACC">
          <w:rPr>
            <w:rStyle w:val="Hipercze"/>
            <w:noProof/>
          </w:rPr>
          <w:t>Tabela 5</w:t>
        </w:r>
        <w:r w:rsidRPr="00CF0ACC">
          <w:rPr>
            <w:rStyle w:val="Hipercze"/>
            <w:noProof/>
          </w:rPr>
          <w:noBreakHyphen/>
          <w:t>27</w:t>
        </w:r>
        <w:r>
          <w:rPr>
            <w:rFonts w:asciiTheme="minorHAnsi" w:eastAsiaTheme="minorEastAsia" w:hAnsiTheme="minorHAnsi" w:cstheme="minorBidi"/>
            <w:noProof/>
            <w:sz w:val="22"/>
            <w:lang w:eastAsia="pl-PL"/>
          </w:rPr>
          <w:tab/>
        </w:r>
        <w:r w:rsidRPr="00CF0ACC">
          <w:rPr>
            <w:rStyle w:val="Hipercze"/>
            <w:noProof/>
          </w:rPr>
          <w:t>Wyniki testu I.1 - Bilans wodny</w:t>
        </w:r>
        <w:r>
          <w:rPr>
            <w:noProof/>
            <w:webHidden/>
          </w:rPr>
          <w:tab/>
        </w:r>
        <w:r>
          <w:rPr>
            <w:noProof/>
            <w:webHidden/>
          </w:rPr>
          <w:fldChar w:fldCharType="begin"/>
        </w:r>
        <w:r>
          <w:rPr>
            <w:noProof/>
            <w:webHidden/>
          </w:rPr>
          <w:instrText xml:space="preserve"> PAGEREF _Toc68726979 \h </w:instrText>
        </w:r>
        <w:r>
          <w:rPr>
            <w:noProof/>
            <w:webHidden/>
          </w:rPr>
        </w:r>
        <w:r>
          <w:rPr>
            <w:noProof/>
            <w:webHidden/>
          </w:rPr>
          <w:fldChar w:fldCharType="separate"/>
        </w:r>
        <w:r>
          <w:rPr>
            <w:noProof/>
            <w:webHidden/>
          </w:rPr>
          <w:t>90</w:t>
        </w:r>
        <w:r>
          <w:rPr>
            <w:noProof/>
            <w:webHidden/>
          </w:rPr>
          <w:fldChar w:fldCharType="end"/>
        </w:r>
      </w:hyperlink>
    </w:p>
    <w:p w14:paraId="1B4A1217" w14:textId="1EB762D5" w:rsidR="006C4947" w:rsidRDefault="006C4947">
      <w:pPr>
        <w:pStyle w:val="Spisilustracji"/>
        <w:rPr>
          <w:rFonts w:asciiTheme="minorHAnsi" w:eastAsiaTheme="minorEastAsia" w:hAnsiTheme="minorHAnsi" w:cstheme="minorBidi"/>
          <w:noProof/>
          <w:sz w:val="22"/>
          <w:lang w:eastAsia="pl-PL"/>
        </w:rPr>
      </w:pPr>
      <w:hyperlink w:anchor="_Toc68726980" w:history="1">
        <w:r w:rsidRPr="00CF0ACC">
          <w:rPr>
            <w:rStyle w:val="Hipercze"/>
            <w:noProof/>
          </w:rPr>
          <w:t>Tabela 5</w:t>
        </w:r>
        <w:r w:rsidRPr="00CF0ACC">
          <w:rPr>
            <w:rStyle w:val="Hipercze"/>
            <w:noProof/>
          </w:rPr>
          <w:noBreakHyphen/>
          <w:t>28</w:t>
        </w:r>
        <w:r>
          <w:rPr>
            <w:rFonts w:asciiTheme="minorHAnsi" w:eastAsiaTheme="minorEastAsia" w:hAnsiTheme="minorHAnsi" w:cstheme="minorBidi"/>
            <w:noProof/>
            <w:sz w:val="22"/>
            <w:lang w:eastAsia="pl-PL"/>
          </w:rPr>
          <w:tab/>
        </w:r>
        <w:r w:rsidRPr="00CF0ACC">
          <w:rPr>
            <w:rStyle w:val="Hipercze"/>
            <w:noProof/>
          </w:rPr>
          <w:t>Wyniki testu I.3 - Ochrona ekosystemów lądowych zależnych od wód podziemnych</w:t>
        </w:r>
        <w:r>
          <w:rPr>
            <w:noProof/>
            <w:webHidden/>
          </w:rPr>
          <w:tab/>
        </w:r>
        <w:r>
          <w:rPr>
            <w:noProof/>
            <w:webHidden/>
          </w:rPr>
          <w:fldChar w:fldCharType="begin"/>
        </w:r>
        <w:r>
          <w:rPr>
            <w:noProof/>
            <w:webHidden/>
          </w:rPr>
          <w:instrText xml:space="preserve"> PAGEREF _Toc68726980 \h </w:instrText>
        </w:r>
        <w:r>
          <w:rPr>
            <w:noProof/>
            <w:webHidden/>
          </w:rPr>
        </w:r>
        <w:r>
          <w:rPr>
            <w:noProof/>
            <w:webHidden/>
          </w:rPr>
          <w:fldChar w:fldCharType="separate"/>
        </w:r>
        <w:r>
          <w:rPr>
            <w:noProof/>
            <w:webHidden/>
          </w:rPr>
          <w:t>90</w:t>
        </w:r>
        <w:r>
          <w:rPr>
            <w:noProof/>
            <w:webHidden/>
          </w:rPr>
          <w:fldChar w:fldCharType="end"/>
        </w:r>
      </w:hyperlink>
    </w:p>
    <w:p w14:paraId="03A4C0FE" w14:textId="5EBEFC2D" w:rsidR="006C4947" w:rsidRDefault="006C4947">
      <w:pPr>
        <w:pStyle w:val="Spisilustracji"/>
        <w:rPr>
          <w:rFonts w:asciiTheme="minorHAnsi" w:eastAsiaTheme="minorEastAsia" w:hAnsiTheme="minorHAnsi" w:cstheme="minorBidi"/>
          <w:noProof/>
          <w:sz w:val="22"/>
          <w:lang w:eastAsia="pl-PL"/>
        </w:rPr>
      </w:pPr>
      <w:hyperlink w:anchor="_Toc68726981" w:history="1">
        <w:r w:rsidRPr="00CF0ACC">
          <w:rPr>
            <w:rStyle w:val="Hipercze"/>
            <w:noProof/>
          </w:rPr>
          <w:t>Tabela 6</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Substancje, dla których zgodnie z r.kl.jcwp stwierdzono przekroczenie środowiskowych norm jakości w obszarze dorzecza Pregoły („+” - występuje przekroczenie; „-” - nie występuje przekroczenie)</w:t>
        </w:r>
        <w:r>
          <w:rPr>
            <w:noProof/>
            <w:webHidden/>
          </w:rPr>
          <w:tab/>
        </w:r>
        <w:r>
          <w:rPr>
            <w:noProof/>
            <w:webHidden/>
          </w:rPr>
          <w:fldChar w:fldCharType="begin"/>
        </w:r>
        <w:r>
          <w:rPr>
            <w:noProof/>
            <w:webHidden/>
          </w:rPr>
          <w:instrText xml:space="preserve"> PAGEREF _Toc68726981 \h </w:instrText>
        </w:r>
        <w:r>
          <w:rPr>
            <w:noProof/>
            <w:webHidden/>
          </w:rPr>
        </w:r>
        <w:r>
          <w:rPr>
            <w:noProof/>
            <w:webHidden/>
          </w:rPr>
          <w:fldChar w:fldCharType="separate"/>
        </w:r>
        <w:r>
          <w:rPr>
            <w:noProof/>
            <w:webHidden/>
          </w:rPr>
          <w:t>94</w:t>
        </w:r>
        <w:r>
          <w:rPr>
            <w:noProof/>
            <w:webHidden/>
          </w:rPr>
          <w:fldChar w:fldCharType="end"/>
        </w:r>
      </w:hyperlink>
    </w:p>
    <w:p w14:paraId="628C926F" w14:textId="0C830A4C" w:rsidR="006C4947" w:rsidRDefault="006C4947">
      <w:pPr>
        <w:pStyle w:val="Spisilustracji"/>
        <w:rPr>
          <w:rFonts w:asciiTheme="minorHAnsi" w:eastAsiaTheme="minorEastAsia" w:hAnsiTheme="minorHAnsi" w:cstheme="minorBidi"/>
          <w:noProof/>
          <w:sz w:val="22"/>
          <w:lang w:eastAsia="pl-PL"/>
        </w:rPr>
      </w:pPr>
      <w:hyperlink w:anchor="_Toc68726982" w:history="1">
        <w:r w:rsidRPr="00CF0ACC">
          <w:rPr>
            <w:rStyle w:val="Hipercze"/>
            <w:noProof/>
          </w:rPr>
          <w:t>Tabela 6</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Podsumowanie dla oznaczeń wykonanych w wodzie i biocie obszaru dorzecza Pregoły</w:t>
        </w:r>
        <w:r>
          <w:rPr>
            <w:noProof/>
            <w:webHidden/>
          </w:rPr>
          <w:tab/>
        </w:r>
        <w:r>
          <w:rPr>
            <w:noProof/>
            <w:webHidden/>
          </w:rPr>
          <w:fldChar w:fldCharType="begin"/>
        </w:r>
        <w:r>
          <w:rPr>
            <w:noProof/>
            <w:webHidden/>
          </w:rPr>
          <w:instrText xml:space="preserve"> PAGEREF _Toc68726982 \h </w:instrText>
        </w:r>
        <w:r>
          <w:rPr>
            <w:noProof/>
            <w:webHidden/>
          </w:rPr>
        </w:r>
        <w:r>
          <w:rPr>
            <w:noProof/>
            <w:webHidden/>
          </w:rPr>
          <w:fldChar w:fldCharType="separate"/>
        </w:r>
        <w:r>
          <w:rPr>
            <w:noProof/>
            <w:webHidden/>
          </w:rPr>
          <w:t>95</w:t>
        </w:r>
        <w:r>
          <w:rPr>
            <w:noProof/>
            <w:webHidden/>
          </w:rPr>
          <w:fldChar w:fldCharType="end"/>
        </w:r>
      </w:hyperlink>
    </w:p>
    <w:p w14:paraId="45DA9513" w14:textId="12A47D3C" w:rsidR="006C4947" w:rsidRDefault="006C4947">
      <w:pPr>
        <w:pStyle w:val="Spisilustracji"/>
        <w:rPr>
          <w:rFonts w:asciiTheme="minorHAnsi" w:eastAsiaTheme="minorEastAsia" w:hAnsiTheme="minorHAnsi" w:cstheme="minorBidi"/>
          <w:noProof/>
          <w:sz w:val="22"/>
          <w:lang w:eastAsia="pl-PL"/>
        </w:rPr>
      </w:pPr>
      <w:hyperlink w:anchor="_Toc68726983" w:history="1">
        <w:r w:rsidRPr="00CF0ACC">
          <w:rPr>
            <w:rStyle w:val="Hipercze"/>
            <w:bCs/>
            <w:noProof/>
          </w:rPr>
          <w:t>Tabela 7</w:t>
        </w:r>
        <w:r w:rsidRPr="00CF0ACC">
          <w:rPr>
            <w:rStyle w:val="Hipercze"/>
            <w:bCs/>
            <w:noProof/>
          </w:rPr>
          <w:noBreakHyphen/>
          <w:t>1</w:t>
        </w:r>
        <w:r>
          <w:rPr>
            <w:rFonts w:asciiTheme="minorHAnsi" w:eastAsiaTheme="minorEastAsia" w:hAnsiTheme="minorHAnsi" w:cstheme="minorBidi"/>
            <w:noProof/>
            <w:sz w:val="22"/>
            <w:lang w:eastAsia="pl-PL"/>
          </w:rPr>
          <w:tab/>
        </w:r>
        <w:r w:rsidRPr="00CF0ACC">
          <w:rPr>
            <w:rStyle w:val="Hipercze"/>
            <w:noProof/>
          </w:rPr>
          <w:t>Podsumowanie analizy znaczących oddziaływań antropogenicznych wraz z oceną ryzyka nieosiągnięcia celów środowiskowych dla jcwp RW - obszar dorzecza Pregoły</w:t>
        </w:r>
        <w:r>
          <w:rPr>
            <w:noProof/>
            <w:webHidden/>
          </w:rPr>
          <w:tab/>
        </w:r>
        <w:r>
          <w:rPr>
            <w:noProof/>
            <w:webHidden/>
          </w:rPr>
          <w:fldChar w:fldCharType="begin"/>
        </w:r>
        <w:r>
          <w:rPr>
            <w:noProof/>
            <w:webHidden/>
          </w:rPr>
          <w:instrText xml:space="preserve"> PAGEREF _Toc68726983 \h </w:instrText>
        </w:r>
        <w:r>
          <w:rPr>
            <w:noProof/>
            <w:webHidden/>
          </w:rPr>
        </w:r>
        <w:r>
          <w:rPr>
            <w:noProof/>
            <w:webHidden/>
          </w:rPr>
          <w:fldChar w:fldCharType="separate"/>
        </w:r>
        <w:r>
          <w:rPr>
            <w:noProof/>
            <w:webHidden/>
          </w:rPr>
          <w:t>100</w:t>
        </w:r>
        <w:r>
          <w:rPr>
            <w:noProof/>
            <w:webHidden/>
          </w:rPr>
          <w:fldChar w:fldCharType="end"/>
        </w:r>
      </w:hyperlink>
    </w:p>
    <w:p w14:paraId="6D95D131" w14:textId="62868B9D" w:rsidR="006C4947" w:rsidRDefault="006C4947">
      <w:pPr>
        <w:pStyle w:val="Spisilustracji"/>
        <w:rPr>
          <w:rFonts w:asciiTheme="minorHAnsi" w:eastAsiaTheme="minorEastAsia" w:hAnsiTheme="minorHAnsi" w:cstheme="minorBidi"/>
          <w:noProof/>
          <w:sz w:val="22"/>
          <w:lang w:eastAsia="pl-PL"/>
        </w:rPr>
      </w:pPr>
      <w:hyperlink w:anchor="_Toc68726984" w:history="1">
        <w:r w:rsidRPr="00CF0ACC">
          <w:rPr>
            <w:rStyle w:val="Hipercze"/>
            <w:bCs/>
            <w:noProof/>
          </w:rPr>
          <w:t>Tabela 7</w:t>
        </w:r>
        <w:r w:rsidRPr="00CF0ACC">
          <w:rPr>
            <w:rStyle w:val="Hipercze"/>
            <w:bCs/>
            <w:noProof/>
          </w:rPr>
          <w:noBreakHyphen/>
          <w:t>2</w:t>
        </w:r>
        <w:r>
          <w:rPr>
            <w:rFonts w:asciiTheme="minorHAnsi" w:eastAsiaTheme="minorEastAsia" w:hAnsiTheme="minorHAnsi" w:cstheme="minorBidi"/>
            <w:noProof/>
            <w:sz w:val="22"/>
            <w:lang w:eastAsia="pl-PL"/>
          </w:rPr>
          <w:tab/>
        </w:r>
        <w:r w:rsidRPr="00CF0ACC">
          <w:rPr>
            <w:rStyle w:val="Hipercze"/>
            <w:noProof/>
          </w:rPr>
          <w:t>Liczba jcwp RW, dla których wskazano presję znaczącą umiarkowaną lub silną na elementy biologiczne, w obszarze dorzecza Pregoły</w:t>
        </w:r>
        <w:r>
          <w:rPr>
            <w:noProof/>
            <w:webHidden/>
          </w:rPr>
          <w:tab/>
        </w:r>
        <w:r>
          <w:rPr>
            <w:noProof/>
            <w:webHidden/>
          </w:rPr>
          <w:fldChar w:fldCharType="begin"/>
        </w:r>
        <w:r>
          <w:rPr>
            <w:noProof/>
            <w:webHidden/>
          </w:rPr>
          <w:instrText xml:space="preserve"> PAGEREF _Toc68726984 \h </w:instrText>
        </w:r>
        <w:r>
          <w:rPr>
            <w:noProof/>
            <w:webHidden/>
          </w:rPr>
        </w:r>
        <w:r>
          <w:rPr>
            <w:noProof/>
            <w:webHidden/>
          </w:rPr>
          <w:fldChar w:fldCharType="separate"/>
        </w:r>
        <w:r>
          <w:rPr>
            <w:noProof/>
            <w:webHidden/>
          </w:rPr>
          <w:t>101</w:t>
        </w:r>
        <w:r>
          <w:rPr>
            <w:noProof/>
            <w:webHidden/>
          </w:rPr>
          <w:fldChar w:fldCharType="end"/>
        </w:r>
      </w:hyperlink>
    </w:p>
    <w:p w14:paraId="27873618" w14:textId="318E251C" w:rsidR="006C4947" w:rsidRDefault="006C4947">
      <w:pPr>
        <w:pStyle w:val="Spisilustracji"/>
        <w:rPr>
          <w:rFonts w:asciiTheme="minorHAnsi" w:eastAsiaTheme="minorEastAsia" w:hAnsiTheme="minorHAnsi" w:cstheme="minorBidi"/>
          <w:noProof/>
          <w:sz w:val="22"/>
          <w:lang w:eastAsia="pl-PL"/>
        </w:rPr>
      </w:pPr>
      <w:hyperlink w:anchor="_Toc68726985" w:history="1">
        <w:r w:rsidRPr="00CF0ACC">
          <w:rPr>
            <w:rStyle w:val="Hipercze"/>
            <w:noProof/>
          </w:rPr>
          <w:t>Tabela 7</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Liczba jcwp RW zagrożonych nieosiągnięciem celów środowiskowych na obszarze dorzecza Pregoły</w:t>
        </w:r>
        <w:r>
          <w:rPr>
            <w:noProof/>
            <w:webHidden/>
          </w:rPr>
          <w:tab/>
        </w:r>
        <w:r>
          <w:rPr>
            <w:noProof/>
            <w:webHidden/>
          </w:rPr>
          <w:fldChar w:fldCharType="begin"/>
        </w:r>
        <w:r>
          <w:rPr>
            <w:noProof/>
            <w:webHidden/>
          </w:rPr>
          <w:instrText xml:space="preserve"> PAGEREF _Toc68726985 \h </w:instrText>
        </w:r>
        <w:r>
          <w:rPr>
            <w:noProof/>
            <w:webHidden/>
          </w:rPr>
        </w:r>
        <w:r>
          <w:rPr>
            <w:noProof/>
            <w:webHidden/>
          </w:rPr>
          <w:fldChar w:fldCharType="separate"/>
        </w:r>
        <w:r>
          <w:rPr>
            <w:noProof/>
            <w:webHidden/>
          </w:rPr>
          <w:t>106</w:t>
        </w:r>
        <w:r>
          <w:rPr>
            <w:noProof/>
            <w:webHidden/>
          </w:rPr>
          <w:fldChar w:fldCharType="end"/>
        </w:r>
      </w:hyperlink>
    </w:p>
    <w:p w14:paraId="093302C6" w14:textId="2C9BBCD4" w:rsidR="006C4947" w:rsidRDefault="006C4947">
      <w:pPr>
        <w:pStyle w:val="Spisilustracji"/>
        <w:rPr>
          <w:rFonts w:asciiTheme="minorHAnsi" w:eastAsiaTheme="minorEastAsia" w:hAnsiTheme="minorHAnsi" w:cstheme="minorBidi"/>
          <w:noProof/>
          <w:sz w:val="22"/>
          <w:lang w:eastAsia="pl-PL"/>
        </w:rPr>
      </w:pPr>
      <w:hyperlink w:anchor="_Toc68726986" w:history="1">
        <w:r w:rsidRPr="00CF0ACC">
          <w:rPr>
            <w:rStyle w:val="Hipercze"/>
            <w:bCs/>
            <w:noProof/>
          </w:rPr>
          <w:t>Tabela 7</w:t>
        </w:r>
        <w:r w:rsidRPr="00CF0ACC">
          <w:rPr>
            <w:rStyle w:val="Hipercze"/>
            <w:bCs/>
            <w:noProof/>
          </w:rPr>
          <w:noBreakHyphen/>
          <w:t>4</w:t>
        </w:r>
        <w:r>
          <w:rPr>
            <w:rFonts w:asciiTheme="minorHAnsi" w:eastAsiaTheme="minorEastAsia" w:hAnsiTheme="minorHAnsi" w:cstheme="minorBidi"/>
            <w:noProof/>
            <w:sz w:val="22"/>
            <w:lang w:eastAsia="pl-PL"/>
          </w:rPr>
          <w:tab/>
        </w:r>
        <w:r w:rsidRPr="00CF0ACC">
          <w:rPr>
            <w:rStyle w:val="Hipercze"/>
            <w:noProof/>
          </w:rPr>
          <w:t>Podsumowanie analizy znaczących oddziaływań antropogenicznych wraz z oceną ryzyka nieosiągnięcia celów środowiskowych dla jcwp LW - obszar dorzecza Pregoły</w:t>
        </w:r>
        <w:r>
          <w:rPr>
            <w:noProof/>
            <w:webHidden/>
          </w:rPr>
          <w:tab/>
        </w:r>
        <w:r>
          <w:rPr>
            <w:noProof/>
            <w:webHidden/>
          </w:rPr>
          <w:fldChar w:fldCharType="begin"/>
        </w:r>
        <w:r>
          <w:rPr>
            <w:noProof/>
            <w:webHidden/>
          </w:rPr>
          <w:instrText xml:space="preserve"> PAGEREF _Toc68726986 \h </w:instrText>
        </w:r>
        <w:r>
          <w:rPr>
            <w:noProof/>
            <w:webHidden/>
          </w:rPr>
        </w:r>
        <w:r>
          <w:rPr>
            <w:noProof/>
            <w:webHidden/>
          </w:rPr>
          <w:fldChar w:fldCharType="separate"/>
        </w:r>
        <w:r>
          <w:rPr>
            <w:noProof/>
            <w:webHidden/>
          </w:rPr>
          <w:t>107</w:t>
        </w:r>
        <w:r>
          <w:rPr>
            <w:noProof/>
            <w:webHidden/>
          </w:rPr>
          <w:fldChar w:fldCharType="end"/>
        </w:r>
      </w:hyperlink>
    </w:p>
    <w:p w14:paraId="04FE276C" w14:textId="080578AD" w:rsidR="006C4947" w:rsidRDefault="006C4947">
      <w:pPr>
        <w:pStyle w:val="Spisilustracji"/>
        <w:rPr>
          <w:rFonts w:asciiTheme="minorHAnsi" w:eastAsiaTheme="minorEastAsia" w:hAnsiTheme="minorHAnsi" w:cstheme="minorBidi"/>
          <w:noProof/>
          <w:sz w:val="22"/>
          <w:lang w:eastAsia="pl-PL"/>
        </w:rPr>
      </w:pPr>
      <w:hyperlink w:anchor="_Toc68726987" w:history="1">
        <w:r w:rsidRPr="00CF0ACC">
          <w:rPr>
            <w:rStyle w:val="Hipercze"/>
            <w:bCs/>
            <w:noProof/>
          </w:rPr>
          <w:t>Tabela 7</w:t>
        </w:r>
        <w:r w:rsidRPr="00CF0ACC">
          <w:rPr>
            <w:rStyle w:val="Hipercze"/>
            <w:bCs/>
            <w:noProof/>
          </w:rPr>
          <w:noBreakHyphen/>
          <w:t>5</w:t>
        </w:r>
        <w:r>
          <w:rPr>
            <w:rFonts w:asciiTheme="minorHAnsi" w:eastAsiaTheme="minorEastAsia" w:hAnsiTheme="minorHAnsi" w:cstheme="minorBidi"/>
            <w:noProof/>
            <w:sz w:val="22"/>
            <w:lang w:eastAsia="pl-PL"/>
          </w:rPr>
          <w:tab/>
        </w:r>
        <w:r w:rsidRPr="00CF0ACC">
          <w:rPr>
            <w:rStyle w:val="Hipercze"/>
            <w:noProof/>
          </w:rPr>
          <w:t>Podsumowanie analizy znaczących oddziaływań antropogenicznych wraz z oceną ryzyka nieosiągnięcia celów środowiskowych dla jcwpd na obszarze dorzecza Pregoły</w:t>
        </w:r>
        <w:r>
          <w:rPr>
            <w:noProof/>
            <w:webHidden/>
          </w:rPr>
          <w:tab/>
        </w:r>
        <w:r>
          <w:rPr>
            <w:noProof/>
            <w:webHidden/>
          </w:rPr>
          <w:fldChar w:fldCharType="begin"/>
        </w:r>
        <w:r>
          <w:rPr>
            <w:noProof/>
            <w:webHidden/>
          </w:rPr>
          <w:instrText xml:space="preserve"> PAGEREF _Toc68726987 \h </w:instrText>
        </w:r>
        <w:r>
          <w:rPr>
            <w:noProof/>
            <w:webHidden/>
          </w:rPr>
        </w:r>
        <w:r>
          <w:rPr>
            <w:noProof/>
            <w:webHidden/>
          </w:rPr>
          <w:fldChar w:fldCharType="separate"/>
        </w:r>
        <w:r>
          <w:rPr>
            <w:noProof/>
            <w:webHidden/>
          </w:rPr>
          <w:t>112</w:t>
        </w:r>
        <w:r>
          <w:rPr>
            <w:noProof/>
            <w:webHidden/>
          </w:rPr>
          <w:fldChar w:fldCharType="end"/>
        </w:r>
      </w:hyperlink>
    </w:p>
    <w:p w14:paraId="253B0445" w14:textId="79E6E55D" w:rsidR="006C4947" w:rsidRDefault="006C4947">
      <w:pPr>
        <w:pStyle w:val="Spisilustracji"/>
        <w:rPr>
          <w:rFonts w:asciiTheme="minorHAnsi" w:eastAsiaTheme="minorEastAsia" w:hAnsiTheme="minorHAnsi" w:cstheme="minorBidi"/>
          <w:noProof/>
          <w:sz w:val="22"/>
          <w:lang w:eastAsia="pl-PL"/>
        </w:rPr>
      </w:pPr>
      <w:hyperlink w:anchor="_Toc68726988" w:history="1">
        <w:r w:rsidRPr="00CF0ACC">
          <w:rPr>
            <w:rStyle w:val="Hipercze"/>
            <w:noProof/>
          </w:rPr>
          <w:t>Tabela 8</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Liczba jcwp RW z poszczególnymi celami środowiskowymi na obszarze dorzecza Pregoły w aPGW (2016-2021)</w:t>
        </w:r>
        <w:r>
          <w:rPr>
            <w:noProof/>
            <w:webHidden/>
          </w:rPr>
          <w:tab/>
        </w:r>
        <w:r>
          <w:rPr>
            <w:noProof/>
            <w:webHidden/>
          </w:rPr>
          <w:fldChar w:fldCharType="begin"/>
        </w:r>
        <w:r>
          <w:rPr>
            <w:noProof/>
            <w:webHidden/>
          </w:rPr>
          <w:instrText xml:space="preserve"> PAGEREF _Toc68726988 \h </w:instrText>
        </w:r>
        <w:r>
          <w:rPr>
            <w:noProof/>
            <w:webHidden/>
          </w:rPr>
        </w:r>
        <w:r>
          <w:rPr>
            <w:noProof/>
            <w:webHidden/>
          </w:rPr>
          <w:fldChar w:fldCharType="separate"/>
        </w:r>
        <w:r>
          <w:rPr>
            <w:noProof/>
            <w:webHidden/>
          </w:rPr>
          <w:t>113</w:t>
        </w:r>
        <w:r>
          <w:rPr>
            <w:noProof/>
            <w:webHidden/>
          </w:rPr>
          <w:fldChar w:fldCharType="end"/>
        </w:r>
      </w:hyperlink>
    </w:p>
    <w:p w14:paraId="641FA115" w14:textId="7F376607" w:rsidR="006C4947" w:rsidRDefault="006C4947">
      <w:pPr>
        <w:pStyle w:val="Spisilustracji"/>
        <w:rPr>
          <w:rFonts w:asciiTheme="minorHAnsi" w:eastAsiaTheme="minorEastAsia" w:hAnsiTheme="minorHAnsi" w:cstheme="minorBidi"/>
          <w:noProof/>
          <w:sz w:val="22"/>
          <w:lang w:eastAsia="pl-PL"/>
        </w:rPr>
      </w:pPr>
      <w:hyperlink w:anchor="_Toc68726989" w:history="1">
        <w:r w:rsidRPr="00CF0ACC">
          <w:rPr>
            <w:rStyle w:val="Hipercze"/>
            <w:noProof/>
          </w:rPr>
          <w:t>Tabela 8</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 xml:space="preserve">Liczba jcwp LW z poszczególnymi celami środowiskowymi w obszarze dorzecza Pregoły w aPGW </w:t>
        </w:r>
        <w:r w:rsidRPr="00CF0ACC">
          <w:rPr>
            <w:rStyle w:val="Hipercze"/>
            <w:bCs/>
            <w:noProof/>
          </w:rPr>
          <w:t>(2016-2021)</w:t>
        </w:r>
        <w:r>
          <w:rPr>
            <w:noProof/>
            <w:webHidden/>
          </w:rPr>
          <w:tab/>
        </w:r>
        <w:r>
          <w:rPr>
            <w:noProof/>
            <w:webHidden/>
          </w:rPr>
          <w:fldChar w:fldCharType="begin"/>
        </w:r>
        <w:r>
          <w:rPr>
            <w:noProof/>
            <w:webHidden/>
          </w:rPr>
          <w:instrText xml:space="preserve"> PAGEREF _Toc68726989 \h </w:instrText>
        </w:r>
        <w:r>
          <w:rPr>
            <w:noProof/>
            <w:webHidden/>
          </w:rPr>
        </w:r>
        <w:r>
          <w:rPr>
            <w:noProof/>
            <w:webHidden/>
          </w:rPr>
          <w:fldChar w:fldCharType="separate"/>
        </w:r>
        <w:r>
          <w:rPr>
            <w:noProof/>
            <w:webHidden/>
          </w:rPr>
          <w:t>114</w:t>
        </w:r>
        <w:r>
          <w:rPr>
            <w:noProof/>
            <w:webHidden/>
          </w:rPr>
          <w:fldChar w:fldCharType="end"/>
        </w:r>
      </w:hyperlink>
    </w:p>
    <w:p w14:paraId="2C73908D" w14:textId="1B9DCFF5" w:rsidR="006C4947" w:rsidRDefault="006C4947">
      <w:pPr>
        <w:pStyle w:val="Spisilustracji"/>
        <w:rPr>
          <w:rFonts w:asciiTheme="minorHAnsi" w:eastAsiaTheme="minorEastAsia" w:hAnsiTheme="minorHAnsi" w:cstheme="minorBidi"/>
          <w:noProof/>
          <w:sz w:val="22"/>
          <w:lang w:eastAsia="pl-PL"/>
        </w:rPr>
      </w:pPr>
      <w:hyperlink w:anchor="_Toc68726990" w:history="1">
        <w:r w:rsidRPr="00CF0ACC">
          <w:rPr>
            <w:rStyle w:val="Hipercze"/>
            <w:noProof/>
          </w:rPr>
          <w:t>Tabela 8</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Liczba jcwp RW z poszczególnymi celami środowiskowymi w regionie wodnym dorzecza Pregoły w IIaPGW (2022-2027)</w:t>
        </w:r>
        <w:r>
          <w:rPr>
            <w:noProof/>
            <w:webHidden/>
          </w:rPr>
          <w:tab/>
        </w:r>
        <w:r>
          <w:rPr>
            <w:noProof/>
            <w:webHidden/>
          </w:rPr>
          <w:fldChar w:fldCharType="begin"/>
        </w:r>
        <w:r>
          <w:rPr>
            <w:noProof/>
            <w:webHidden/>
          </w:rPr>
          <w:instrText xml:space="preserve"> PAGEREF _Toc68726990 \h </w:instrText>
        </w:r>
        <w:r>
          <w:rPr>
            <w:noProof/>
            <w:webHidden/>
          </w:rPr>
        </w:r>
        <w:r>
          <w:rPr>
            <w:noProof/>
            <w:webHidden/>
          </w:rPr>
          <w:fldChar w:fldCharType="separate"/>
        </w:r>
        <w:r>
          <w:rPr>
            <w:noProof/>
            <w:webHidden/>
          </w:rPr>
          <w:t>115</w:t>
        </w:r>
        <w:r>
          <w:rPr>
            <w:noProof/>
            <w:webHidden/>
          </w:rPr>
          <w:fldChar w:fldCharType="end"/>
        </w:r>
      </w:hyperlink>
    </w:p>
    <w:p w14:paraId="687D369B" w14:textId="54ECFBBA" w:rsidR="006C4947" w:rsidRDefault="006C4947">
      <w:pPr>
        <w:pStyle w:val="Spisilustracji"/>
        <w:rPr>
          <w:rFonts w:asciiTheme="minorHAnsi" w:eastAsiaTheme="minorEastAsia" w:hAnsiTheme="minorHAnsi" w:cstheme="minorBidi"/>
          <w:noProof/>
          <w:sz w:val="22"/>
          <w:lang w:eastAsia="pl-PL"/>
        </w:rPr>
      </w:pPr>
      <w:hyperlink w:anchor="_Toc68726991" w:history="1">
        <w:r w:rsidRPr="00CF0ACC">
          <w:rPr>
            <w:rStyle w:val="Hipercze"/>
            <w:noProof/>
          </w:rPr>
          <w:t>Tabela 8</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Liczba jcwp LW z poszczególnymi celami środowiskowymi w regionie wodny dorzecza Pregoły w IIaPGW (2022-2027)</w:t>
        </w:r>
        <w:r>
          <w:rPr>
            <w:noProof/>
            <w:webHidden/>
          </w:rPr>
          <w:tab/>
        </w:r>
        <w:r>
          <w:rPr>
            <w:noProof/>
            <w:webHidden/>
          </w:rPr>
          <w:fldChar w:fldCharType="begin"/>
        </w:r>
        <w:r>
          <w:rPr>
            <w:noProof/>
            <w:webHidden/>
          </w:rPr>
          <w:instrText xml:space="preserve"> PAGEREF _Toc68726991 \h </w:instrText>
        </w:r>
        <w:r>
          <w:rPr>
            <w:noProof/>
            <w:webHidden/>
          </w:rPr>
        </w:r>
        <w:r>
          <w:rPr>
            <w:noProof/>
            <w:webHidden/>
          </w:rPr>
          <w:fldChar w:fldCharType="separate"/>
        </w:r>
        <w:r>
          <w:rPr>
            <w:noProof/>
            <w:webHidden/>
          </w:rPr>
          <w:t>115</w:t>
        </w:r>
        <w:r>
          <w:rPr>
            <w:noProof/>
            <w:webHidden/>
          </w:rPr>
          <w:fldChar w:fldCharType="end"/>
        </w:r>
      </w:hyperlink>
    </w:p>
    <w:p w14:paraId="26A4B9CB" w14:textId="087F7FC7" w:rsidR="006C4947" w:rsidRDefault="006C4947">
      <w:pPr>
        <w:pStyle w:val="Spisilustracji"/>
        <w:rPr>
          <w:rFonts w:asciiTheme="minorHAnsi" w:eastAsiaTheme="minorEastAsia" w:hAnsiTheme="minorHAnsi" w:cstheme="minorBidi"/>
          <w:noProof/>
          <w:sz w:val="22"/>
          <w:lang w:eastAsia="pl-PL"/>
        </w:rPr>
      </w:pPr>
      <w:hyperlink w:anchor="_Toc68726992" w:history="1">
        <w:r w:rsidRPr="00CF0ACC">
          <w:rPr>
            <w:rStyle w:val="Hipercze"/>
            <w:noProof/>
          </w:rPr>
          <w:t>Tabela 8</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Osiągnięcie celów środowiskowych ustalonych na lata 2016-2021 dla jcwp rzecznych na obszarze dorzecza Pregoły w oparciu o jednostki planistyczne aPGW</w:t>
        </w:r>
        <w:r>
          <w:rPr>
            <w:noProof/>
            <w:webHidden/>
          </w:rPr>
          <w:tab/>
        </w:r>
        <w:r>
          <w:rPr>
            <w:noProof/>
            <w:webHidden/>
          </w:rPr>
          <w:fldChar w:fldCharType="begin"/>
        </w:r>
        <w:r>
          <w:rPr>
            <w:noProof/>
            <w:webHidden/>
          </w:rPr>
          <w:instrText xml:space="preserve"> PAGEREF _Toc68726992 \h </w:instrText>
        </w:r>
        <w:r>
          <w:rPr>
            <w:noProof/>
            <w:webHidden/>
          </w:rPr>
        </w:r>
        <w:r>
          <w:rPr>
            <w:noProof/>
            <w:webHidden/>
          </w:rPr>
          <w:fldChar w:fldCharType="separate"/>
        </w:r>
        <w:r>
          <w:rPr>
            <w:noProof/>
            <w:webHidden/>
          </w:rPr>
          <w:t>119</w:t>
        </w:r>
        <w:r>
          <w:rPr>
            <w:noProof/>
            <w:webHidden/>
          </w:rPr>
          <w:fldChar w:fldCharType="end"/>
        </w:r>
      </w:hyperlink>
    </w:p>
    <w:p w14:paraId="1878604A" w14:textId="702C3128" w:rsidR="006C4947" w:rsidRDefault="006C4947">
      <w:pPr>
        <w:pStyle w:val="Spisilustracji"/>
        <w:rPr>
          <w:rFonts w:asciiTheme="minorHAnsi" w:eastAsiaTheme="minorEastAsia" w:hAnsiTheme="minorHAnsi" w:cstheme="minorBidi"/>
          <w:noProof/>
          <w:sz w:val="22"/>
          <w:lang w:eastAsia="pl-PL"/>
        </w:rPr>
      </w:pPr>
      <w:hyperlink w:anchor="_Toc68726993" w:history="1">
        <w:r w:rsidRPr="00CF0ACC">
          <w:rPr>
            <w:rStyle w:val="Hipercze"/>
            <w:noProof/>
          </w:rPr>
          <w:t>Tabela 8</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Osiągnięcie celów środowiskowych ustalonych na lata 2016-2021 dla jcwp jeziornych (LW) na obszarze dorzecza Pregoły w oparciu o jednostki planistyczne aPGW</w:t>
        </w:r>
        <w:r>
          <w:rPr>
            <w:noProof/>
            <w:webHidden/>
          </w:rPr>
          <w:tab/>
        </w:r>
        <w:r>
          <w:rPr>
            <w:noProof/>
            <w:webHidden/>
          </w:rPr>
          <w:fldChar w:fldCharType="begin"/>
        </w:r>
        <w:r>
          <w:rPr>
            <w:noProof/>
            <w:webHidden/>
          </w:rPr>
          <w:instrText xml:space="preserve"> PAGEREF _Toc68726993 \h </w:instrText>
        </w:r>
        <w:r>
          <w:rPr>
            <w:noProof/>
            <w:webHidden/>
          </w:rPr>
        </w:r>
        <w:r>
          <w:rPr>
            <w:noProof/>
            <w:webHidden/>
          </w:rPr>
          <w:fldChar w:fldCharType="separate"/>
        </w:r>
        <w:r>
          <w:rPr>
            <w:noProof/>
            <w:webHidden/>
          </w:rPr>
          <w:t>123</w:t>
        </w:r>
        <w:r>
          <w:rPr>
            <w:noProof/>
            <w:webHidden/>
          </w:rPr>
          <w:fldChar w:fldCharType="end"/>
        </w:r>
      </w:hyperlink>
    </w:p>
    <w:p w14:paraId="5D12AB8E" w14:textId="3C8C42E6" w:rsidR="006C4947" w:rsidRDefault="006C4947">
      <w:pPr>
        <w:pStyle w:val="Spisilustracji"/>
        <w:rPr>
          <w:rFonts w:asciiTheme="minorHAnsi" w:eastAsiaTheme="minorEastAsia" w:hAnsiTheme="minorHAnsi" w:cstheme="minorBidi"/>
          <w:noProof/>
          <w:sz w:val="22"/>
          <w:lang w:eastAsia="pl-PL"/>
        </w:rPr>
      </w:pPr>
      <w:hyperlink w:anchor="_Toc68726994" w:history="1">
        <w:r w:rsidRPr="00CF0ACC">
          <w:rPr>
            <w:rStyle w:val="Hipercze"/>
            <w:noProof/>
          </w:rPr>
          <w:t>Tabela 8</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Osiągnięcie celów środowiskowych ustalonych na lata 2016-2021 dla obszaru dorzecza Pregoły</w:t>
        </w:r>
        <w:r>
          <w:rPr>
            <w:noProof/>
            <w:webHidden/>
          </w:rPr>
          <w:tab/>
        </w:r>
        <w:r>
          <w:rPr>
            <w:noProof/>
            <w:webHidden/>
          </w:rPr>
          <w:fldChar w:fldCharType="begin"/>
        </w:r>
        <w:r>
          <w:rPr>
            <w:noProof/>
            <w:webHidden/>
          </w:rPr>
          <w:instrText xml:space="preserve"> PAGEREF _Toc68726994 \h </w:instrText>
        </w:r>
        <w:r>
          <w:rPr>
            <w:noProof/>
            <w:webHidden/>
          </w:rPr>
        </w:r>
        <w:r>
          <w:rPr>
            <w:noProof/>
            <w:webHidden/>
          </w:rPr>
          <w:fldChar w:fldCharType="separate"/>
        </w:r>
        <w:r>
          <w:rPr>
            <w:noProof/>
            <w:webHidden/>
          </w:rPr>
          <w:t>127</w:t>
        </w:r>
        <w:r>
          <w:rPr>
            <w:noProof/>
            <w:webHidden/>
          </w:rPr>
          <w:fldChar w:fldCharType="end"/>
        </w:r>
      </w:hyperlink>
    </w:p>
    <w:p w14:paraId="304C5B07" w14:textId="6ED98794" w:rsidR="006C4947" w:rsidRDefault="006C4947">
      <w:pPr>
        <w:pStyle w:val="Spisilustracji"/>
        <w:rPr>
          <w:rFonts w:asciiTheme="minorHAnsi" w:eastAsiaTheme="minorEastAsia" w:hAnsiTheme="minorHAnsi" w:cstheme="minorBidi"/>
          <w:noProof/>
          <w:sz w:val="22"/>
          <w:lang w:eastAsia="pl-PL"/>
        </w:rPr>
      </w:pPr>
      <w:hyperlink w:anchor="_Toc68726995" w:history="1">
        <w:r w:rsidRPr="00CF0ACC">
          <w:rPr>
            <w:rStyle w:val="Hipercze"/>
            <w:noProof/>
          </w:rPr>
          <w:t>Tabela 8</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Cele środowiskowe dla jcwpd na obszarze dorzecza Pregoły</w:t>
        </w:r>
        <w:r>
          <w:rPr>
            <w:noProof/>
            <w:webHidden/>
          </w:rPr>
          <w:tab/>
        </w:r>
        <w:r>
          <w:rPr>
            <w:noProof/>
            <w:webHidden/>
          </w:rPr>
          <w:fldChar w:fldCharType="begin"/>
        </w:r>
        <w:r>
          <w:rPr>
            <w:noProof/>
            <w:webHidden/>
          </w:rPr>
          <w:instrText xml:space="preserve"> PAGEREF _Toc68726995 \h </w:instrText>
        </w:r>
        <w:r>
          <w:rPr>
            <w:noProof/>
            <w:webHidden/>
          </w:rPr>
        </w:r>
        <w:r>
          <w:rPr>
            <w:noProof/>
            <w:webHidden/>
          </w:rPr>
          <w:fldChar w:fldCharType="separate"/>
        </w:r>
        <w:r>
          <w:rPr>
            <w:noProof/>
            <w:webHidden/>
          </w:rPr>
          <w:t>127</w:t>
        </w:r>
        <w:r>
          <w:rPr>
            <w:noProof/>
            <w:webHidden/>
          </w:rPr>
          <w:fldChar w:fldCharType="end"/>
        </w:r>
      </w:hyperlink>
    </w:p>
    <w:p w14:paraId="7C4CD95B" w14:textId="2BAEEC9F" w:rsidR="006C4947" w:rsidRDefault="006C4947">
      <w:pPr>
        <w:pStyle w:val="Spisilustracji"/>
        <w:rPr>
          <w:rFonts w:asciiTheme="minorHAnsi" w:eastAsiaTheme="minorEastAsia" w:hAnsiTheme="minorHAnsi" w:cstheme="minorBidi"/>
          <w:noProof/>
          <w:sz w:val="22"/>
          <w:lang w:eastAsia="pl-PL"/>
        </w:rPr>
      </w:pPr>
      <w:hyperlink w:anchor="_Toc68726996" w:history="1">
        <w:r w:rsidRPr="00CF0ACC">
          <w:rPr>
            <w:rStyle w:val="Hipercze"/>
            <w:noProof/>
          </w:rPr>
          <w:t>Tabela 8</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Zestawienie liczbowe jcw z odstępstwami od osiągnięcia celów środowiskowych w trybie art. 4 ust. 4 i 4 ust. 5 RDW (IIaPGW, 2022-2027)</w:t>
        </w:r>
        <w:r>
          <w:rPr>
            <w:noProof/>
            <w:webHidden/>
          </w:rPr>
          <w:tab/>
        </w:r>
        <w:r>
          <w:rPr>
            <w:noProof/>
            <w:webHidden/>
          </w:rPr>
          <w:fldChar w:fldCharType="begin"/>
        </w:r>
        <w:r>
          <w:rPr>
            <w:noProof/>
            <w:webHidden/>
          </w:rPr>
          <w:instrText xml:space="preserve"> PAGEREF _Toc68726996 \h </w:instrText>
        </w:r>
        <w:r>
          <w:rPr>
            <w:noProof/>
            <w:webHidden/>
          </w:rPr>
        </w:r>
        <w:r>
          <w:rPr>
            <w:noProof/>
            <w:webHidden/>
          </w:rPr>
          <w:fldChar w:fldCharType="separate"/>
        </w:r>
        <w:r>
          <w:rPr>
            <w:noProof/>
            <w:webHidden/>
          </w:rPr>
          <w:t>135</w:t>
        </w:r>
        <w:r>
          <w:rPr>
            <w:noProof/>
            <w:webHidden/>
          </w:rPr>
          <w:fldChar w:fldCharType="end"/>
        </w:r>
      </w:hyperlink>
    </w:p>
    <w:p w14:paraId="2B3B72A5" w14:textId="702DC0D2" w:rsidR="006C4947" w:rsidRDefault="006C4947">
      <w:pPr>
        <w:pStyle w:val="Spisilustracji"/>
        <w:rPr>
          <w:rFonts w:asciiTheme="minorHAnsi" w:eastAsiaTheme="minorEastAsia" w:hAnsiTheme="minorHAnsi" w:cstheme="minorBidi"/>
          <w:noProof/>
          <w:sz w:val="22"/>
          <w:lang w:eastAsia="pl-PL"/>
        </w:rPr>
      </w:pPr>
      <w:hyperlink w:anchor="_Toc68726997" w:history="1">
        <w:r w:rsidRPr="00CF0ACC">
          <w:rPr>
            <w:rStyle w:val="Hipercze"/>
            <w:noProof/>
          </w:rPr>
          <w:t>Tabela 9</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stanu/potencjału ekologicznego na obszarze dorzecza Pregoły dla jcwp RW w układzie planistycznym aPGW (2016-2021)</w:t>
        </w:r>
        <w:r>
          <w:rPr>
            <w:noProof/>
            <w:webHidden/>
          </w:rPr>
          <w:tab/>
        </w:r>
        <w:r>
          <w:rPr>
            <w:noProof/>
            <w:webHidden/>
          </w:rPr>
          <w:fldChar w:fldCharType="begin"/>
        </w:r>
        <w:r>
          <w:rPr>
            <w:noProof/>
            <w:webHidden/>
          </w:rPr>
          <w:instrText xml:space="preserve"> PAGEREF _Toc68726997 \h </w:instrText>
        </w:r>
        <w:r>
          <w:rPr>
            <w:noProof/>
            <w:webHidden/>
          </w:rPr>
        </w:r>
        <w:r>
          <w:rPr>
            <w:noProof/>
            <w:webHidden/>
          </w:rPr>
          <w:fldChar w:fldCharType="separate"/>
        </w:r>
        <w:r>
          <w:rPr>
            <w:noProof/>
            <w:webHidden/>
          </w:rPr>
          <w:t>140</w:t>
        </w:r>
        <w:r>
          <w:rPr>
            <w:noProof/>
            <w:webHidden/>
          </w:rPr>
          <w:fldChar w:fldCharType="end"/>
        </w:r>
      </w:hyperlink>
    </w:p>
    <w:p w14:paraId="22A9DDB7" w14:textId="1C36E362" w:rsidR="006C4947" w:rsidRDefault="006C4947">
      <w:pPr>
        <w:pStyle w:val="Spisilustracji"/>
        <w:rPr>
          <w:rFonts w:asciiTheme="minorHAnsi" w:eastAsiaTheme="minorEastAsia" w:hAnsiTheme="minorHAnsi" w:cstheme="minorBidi"/>
          <w:noProof/>
          <w:sz w:val="22"/>
          <w:lang w:eastAsia="pl-PL"/>
        </w:rPr>
      </w:pPr>
      <w:hyperlink w:anchor="_Toc68726998" w:history="1">
        <w:r w:rsidRPr="00CF0ACC">
          <w:rPr>
            <w:rStyle w:val="Hipercze"/>
            <w:noProof/>
          </w:rPr>
          <w:t>Tabela 9</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stanu/potencjału ekologicznego na obszarze dorzecza Pregoły dla jcwp RW w układzie planistycznym IIaPGW (2022-2027)</w:t>
        </w:r>
        <w:r>
          <w:rPr>
            <w:noProof/>
            <w:webHidden/>
          </w:rPr>
          <w:tab/>
        </w:r>
        <w:r>
          <w:rPr>
            <w:noProof/>
            <w:webHidden/>
          </w:rPr>
          <w:fldChar w:fldCharType="begin"/>
        </w:r>
        <w:r>
          <w:rPr>
            <w:noProof/>
            <w:webHidden/>
          </w:rPr>
          <w:instrText xml:space="preserve"> PAGEREF _Toc68726998 \h </w:instrText>
        </w:r>
        <w:r>
          <w:rPr>
            <w:noProof/>
            <w:webHidden/>
          </w:rPr>
        </w:r>
        <w:r>
          <w:rPr>
            <w:noProof/>
            <w:webHidden/>
          </w:rPr>
          <w:fldChar w:fldCharType="separate"/>
        </w:r>
        <w:r>
          <w:rPr>
            <w:noProof/>
            <w:webHidden/>
          </w:rPr>
          <w:t>141</w:t>
        </w:r>
        <w:r>
          <w:rPr>
            <w:noProof/>
            <w:webHidden/>
          </w:rPr>
          <w:fldChar w:fldCharType="end"/>
        </w:r>
      </w:hyperlink>
    </w:p>
    <w:p w14:paraId="69AB6AAD" w14:textId="7CC088BF" w:rsidR="006C4947" w:rsidRDefault="006C4947">
      <w:pPr>
        <w:pStyle w:val="Spisilustracji"/>
        <w:rPr>
          <w:rFonts w:asciiTheme="minorHAnsi" w:eastAsiaTheme="minorEastAsia" w:hAnsiTheme="minorHAnsi" w:cstheme="minorBidi"/>
          <w:noProof/>
          <w:sz w:val="22"/>
          <w:lang w:eastAsia="pl-PL"/>
        </w:rPr>
      </w:pPr>
      <w:hyperlink w:anchor="_Toc68726999" w:history="1">
        <w:r w:rsidRPr="00CF0ACC">
          <w:rPr>
            <w:rStyle w:val="Hipercze"/>
            <w:noProof/>
          </w:rPr>
          <w:t>Tabela 9</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Analiza przyczyn wpływających na brak postępu w osiąganiu celów środowiskowych dla stanu/potencjału ekologicznego w obszarze dorzecza Pregoły - jcwp RW</w:t>
        </w:r>
        <w:r>
          <w:rPr>
            <w:noProof/>
            <w:webHidden/>
          </w:rPr>
          <w:tab/>
        </w:r>
        <w:r>
          <w:rPr>
            <w:noProof/>
            <w:webHidden/>
          </w:rPr>
          <w:fldChar w:fldCharType="begin"/>
        </w:r>
        <w:r>
          <w:rPr>
            <w:noProof/>
            <w:webHidden/>
          </w:rPr>
          <w:instrText xml:space="preserve"> PAGEREF _Toc68726999 \h </w:instrText>
        </w:r>
        <w:r>
          <w:rPr>
            <w:noProof/>
            <w:webHidden/>
          </w:rPr>
        </w:r>
        <w:r>
          <w:rPr>
            <w:noProof/>
            <w:webHidden/>
          </w:rPr>
          <w:fldChar w:fldCharType="separate"/>
        </w:r>
        <w:r>
          <w:rPr>
            <w:noProof/>
            <w:webHidden/>
          </w:rPr>
          <w:t>141</w:t>
        </w:r>
        <w:r>
          <w:rPr>
            <w:noProof/>
            <w:webHidden/>
          </w:rPr>
          <w:fldChar w:fldCharType="end"/>
        </w:r>
      </w:hyperlink>
    </w:p>
    <w:p w14:paraId="70286DB3" w14:textId="7E5B4D4A" w:rsidR="006C4947" w:rsidRDefault="006C4947">
      <w:pPr>
        <w:pStyle w:val="Spisilustracji"/>
        <w:rPr>
          <w:rFonts w:asciiTheme="minorHAnsi" w:eastAsiaTheme="minorEastAsia" w:hAnsiTheme="minorHAnsi" w:cstheme="minorBidi"/>
          <w:noProof/>
          <w:sz w:val="22"/>
          <w:lang w:eastAsia="pl-PL"/>
        </w:rPr>
      </w:pPr>
      <w:hyperlink w:anchor="_Toc68727000" w:history="1">
        <w:r w:rsidRPr="00CF0ACC">
          <w:rPr>
            <w:rStyle w:val="Hipercze"/>
            <w:noProof/>
          </w:rPr>
          <w:t>Tabela 9</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 xml:space="preserve">Ocena postępu w osiąganiu celów środowiskowych dla stanu chemicznego na obszarze dorzecza Pregoły dla jcwp RW w układzie planistycznym aPGW </w:t>
        </w:r>
        <w:r w:rsidRPr="00CF0ACC">
          <w:rPr>
            <w:rStyle w:val="Hipercze"/>
            <w:bCs/>
            <w:noProof/>
          </w:rPr>
          <w:t>(2016-2021)</w:t>
        </w:r>
        <w:r>
          <w:rPr>
            <w:noProof/>
            <w:webHidden/>
          </w:rPr>
          <w:tab/>
        </w:r>
        <w:r>
          <w:rPr>
            <w:noProof/>
            <w:webHidden/>
          </w:rPr>
          <w:fldChar w:fldCharType="begin"/>
        </w:r>
        <w:r>
          <w:rPr>
            <w:noProof/>
            <w:webHidden/>
          </w:rPr>
          <w:instrText xml:space="preserve"> PAGEREF _Toc68727000 \h </w:instrText>
        </w:r>
        <w:r>
          <w:rPr>
            <w:noProof/>
            <w:webHidden/>
          </w:rPr>
        </w:r>
        <w:r>
          <w:rPr>
            <w:noProof/>
            <w:webHidden/>
          </w:rPr>
          <w:fldChar w:fldCharType="separate"/>
        </w:r>
        <w:r>
          <w:rPr>
            <w:noProof/>
            <w:webHidden/>
          </w:rPr>
          <w:t>143</w:t>
        </w:r>
        <w:r>
          <w:rPr>
            <w:noProof/>
            <w:webHidden/>
          </w:rPr>
          <w:fldChar w:fldCharType="end"/>
        </w:r>
      </w:hyperlink>
    </w:p>
    <w:p w14:paraId="5A0559B9" w14:textId="38CFC640" w:rsidR="006C4947" w:rsidRDefault="006C4947">
      <w:pPr>
        <w:pStyle w:val="Spisilustracji"/>
        <w:rPr>
          <w:rFonts w:asciiTheme="minorHAnsi" w:eastAsiaTheme="minorEastAsia" w:hAnsiTheme="minorHAnsi" w:cstheme="minorBidi"/>
          <w:noProof/>
          <w:sz w:val="22"/>
          <w:lang w:eastAsia="pl-PL"/>
        </w:rPr>
      </w:pPr>
      <w:hyperlink w:anchor="_Toc68727001" w:history="1">
        <w:r w:rsidRPr="00CF0ACC">
          <w:rPr>
            <w:rStyle w:val="Hipercze"/>
            <w:noProof/>
          </w:rPr>
          <w:t>Tabela 9</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 chemicznego w obszarze dorzecza Pregoły bazujące na nowym układzie planistycznym IIaPGW (2022-2027)- jcwp rzeczne (RW)</w:t>
        </w:r>
        <w:r>
          <w:rPr>
            <w:noProof/>
            <w:webHidden/>
          </w:rPr>
          <w:tab/>
        </w:r>
        <w:r>
          <w:rPr>
            <w:noProof/>
            <w:webHidden/>
          </w:rPr>
          <w:fldChar w:fldCharType="begin"/>
        </w:r>
        <w:r>
          <w:rPr>
            <w:noProof/>
            <w:webHidden/>
          </w:rPr>
          <w:instrText xml:space="preserve"> PAGEREF _Toc68727001 \h </w:instrText>
        </w:r>
        <w:r>
          <w:rPr>
            <w:noProof/>
            <w:webHidden/>
          </w:rPr>
        </w:r>
        <w:r>
          <w:rPr>
            <w:noProof/>
            <w:webHidden/>
          </w:rPr>
          <w:fldChar w:fldCharType="separate"/>
        </w:r>
        <w:r>
          <w:rPr>
            <w:noProof/>
            <w:webHidden/>
          </w:rPr>
          <w:t>143</w:t>
        </w:r>
        <w:r>
          <w:rPr>
            <w:noProof/>
            <w:webHidden/>
          </w:rPr>
          <w:fldChar w:fldCharType="end"/>
        </w:r>
      </w:hyperlink>
    </w:p>
    <w:p w14:paraId="1A4FE50D" w14:textId="4126B26A" w:rsidR="006C4947" w:rsidRDefault="006C4947">
      <w:pPr>
        <w:pStyle w:val="Spisilustracji"/>
        <w:rPr>
          <w:rFonts w:asciiTheme="minorHAnsi" w:eastAsiaTheme="minorEastAsia" w:hAnsiTheme="minorHAnsi" w:cstheme="minorBidi"/>
          <w:noProof/>
          <w:sz w:val="22"/>
          <w:lang w:eastAsia="pl-PL"/>
        </w:rPr>
      </w:pPr>
      <w:hyperlink w:anchor="_Toc68727002" w:history="1">
        <w:r w:rsidRPr="00CF0ACC">
          <w:rPr>
            <w:rStyle w:val="Hipercze"/>
            <w:noProof/>
          </w:rPr>
          <w:t>Tabela 9</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 xml:space="preserve">Analiza przyczyn wpływających na brak postępu w osiąganiu celów środowiskowych dla stanu chemicznego w obszarze dorzecza Pregoły </w:t>
        </w:r>
        <w:r w:rsidRPr="00CF0ACC">
          <w:rPr>
            <w:rStyle w:val="Hipercze"/>
            <w:rFonts w:cstheme="minorHAnsi"/>
            <w:noProof/>
          </w:rPr>
          <w:t xml:space="preserve">bazując na nowym układzie planistycznym IIaPGW (2022-2027) </w:t>
        </w:r>
        <w:r w:rsidRPr="00CF0ACC">
          <w:rPr>
            <w:rStyle w:val="Hipercze"/>
            <w:noProof/>
          </w:rPr>
          <w:t>- jcwp RW</w:t>
        </w:r>
        <w:r>
          <w:rPr>
            <w:noProof/>
            <w:webHidden/>
          </w:rPr>
          <w:tab/>
        </w:r>
        <w:r>
          <w:rPr>
            <w:noProof/>
            <w:webHidden/>
          </w:rPr>
          <w:fldChar w:fldCharType="begin"/>
        </w:r>
        <w:r>
          <w:rPr>
            <w:noProof/>
            <w:webHidden/>
          </w:rPr>
          <w:instrText xml:space="preserve"> PAGEREF _Toc68727002 \h </w:instrText>
        </w:r>
        <w:r>
          <w:rPr>
            <w:noProof/>
            <w:webHidden/>
          </w:rPr>
        </w:r>
        <w:r>
          <w:rPr>
            <w:noProof/>
            <w:webHidden/>
          </w:rPr>
          <w:fldChar w:fldCharType="separate"/>
        </w:r>
        <w:r>
          <w:rPr>
            <w:noProof/>
            <w:webHidden/>
          </w:rPr>
          <w:t>144</w:t>
        </w:r>
        <w:r>
          <w:rPr>
            <w:noProof/>
            <w:webHidden/>
          </w:rPr>
          <w:fldChar w:fldCharType="end"/>
        </w:r>
      </w:hyperlink>
    </w:p>
    <w:p w14:paraId="0612EB35" w14:textId="29EFF5F7" w:rsidR="006C4947" w:rsidRDefault="006C4947">
      <w:pPr>
        <w:pStyle w:val="Spisilustracji"/>
        <w:rPr>
          <w:rFonts w:asciiTheme="minorHAnsi" w:eastAsiaTheme="minorEastAsia" w:hAnsiTheme="minorHAnsi" w:cstheme="minorBidi"/>
          <w:noProof/>
          <w:sz w:val="22"/>
          <w:lang w:eastAsia="pl-PL"/>
        </w:rPr>
      </w:pPr>
      <w:hyperlink w:anchor="_Toc68727003" w:history="1">
        <w:r w:rsidRPr="00CF0ACC">
          <w:rPr>
            <w:rStyle w:val="Hipercze"/>
            <w:noProof/>
          </w:rPr>
          <w:t>Tabela 9</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stanu/potencjału ekologicznego na obszarze dorzecza Pregoły dla jcwp LW w układzie planistycznym w aPGW (2016-2021)</w:t>
        </w:r>
        <w:r>
          <w:rPr>
            <w:noProof/>
            <w:webHidden/>
          </w:rPr>
          <w:tab/>
        </w:r>
        <w:r>
          <w:rPr>
            <w:noProof/>
            <w:webHidden/>
          </w:rPr>
          <w:fldChar w:fldCharType="begin"/>
        </w:r>
        <w:r>
          <w:rPr>
            <w:noProof/>
            <w:webHidden/>
          </w:rPr>
          <w:instrText xml:space="preserve"> PAGEREF _Toc68727003 \h </w:instrText>
        </w:r>
        <w:r>
          <w:rPr>
            <w:noProof/>
            <w:webHidden/>
          </w:rPr>
        </w:r>
        <w:r>
          <w:rPr>
            <w:noProof/>
            <w:webHidden/>
          </w:rPr>
          <w:fldChar w:fldCharType="separate"/>
        </w:r>
        <w:r>
          <w:rPr>
            <w:noProof/>
            <w:webHidden/>
          </w:rPr>
          <w:t>145</w:t>
        </w:r>
        <w:r>
          <w:rPr>
            <w:noProof/>
            <w:webHidden/>
          </w:rPr>
          <w:fldChar w:fldCharType="end"/>
        </w:r>
      </w:hyperlink>
    </w:p>
    <w:p w14:paraId="1ED60EAC" w14:textId="654DAA81" w:rsidR="006C4947" w:rsidRDefault="006C4947">
      <w:pPr>
        <w:pStyle w:val="Spisilustracji"/>
        <w:rPr>
          <w:rFonts w:asciiTheme="minorHAnsi" w:eastAsiaTheme="minorEastAsia" w:hAnsiTheme="minorHAnsi" w:cstheme="minorBidi"/>
          <w:noProof/>
          <w:sz w:val="22"/>
          <w:lang w:eastAsia="pl-PL"/>
        </w:rPr>
      </w:pPr>
      <w:hyperlink w:anchor="_Toc68727004" w:history="1">
        <w:r w:rsidRPr="00CF0ACC">
          <w:rPr>
            <w:rStyle w:val="Hipercze"/>
            <w:noProof/>
          </w:rPr>
          <w:t>Tabela 9</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stanu/potencjału ekologicznego na obszarze dorzecza Pregoły dla jcwp LW w układzie planistycznym w IIaPGW (2022-2027)</w:t>
        </w:r>
        <w:r>
          <w:rPr>
            <w:noProof/>
            <w:webHidden/>
          </w:rPr>
          <w:tab/>
        </w:r>
        <w:r>
          <w:rPr>
            <w:noProof/>
            <w:webHidden/>
          </w:rPr>
          <w:fldChar w:fldCharType="begin"/>
        </w:r>
        <w:r>
          <w:rPr>
            <w:noProof/>
            <w:webHidden/>
          </w:rPr>
          <w:instrText xml:space="preserve"> PAGEREF _Toc68727004 \h </w:instrText>
        </w:r>
        <w:r>
          <w:rPr>
            <w:noProof/>
            <w:webHidden/>
          </w:rPr>
        </w:r>
        <w:r>
          <w:rPr>
            <w:noProof/>
            <w:webHidden/>
          </w:rPr>
          <w:fldChar w:fldCharType="separate"/>
        </w:r>
        <w:r>
          <w:rPr>
            <w:noProof/>
            <w:webHidden/>
          </w:rPr>
          <w:t>146</w:t>
        </w:r>
        <w:r>
          <w:rPr>
            <w:noProof/>
            <w:webHidden/>
          </w:rPr>
          <w:fldChar w:fldCharType="end"/>
        </w:r>
      </w:hyperlink>
    </w:p>
    <w:p w14:paraId="14FD9BBA" w14:textId="12DC836D" w:rsidR="006C4947" w:rsidRDefault="006C4947">
      <w:pPr>
        <w:pStyle w:val="Spisilustracji"/>
        <w:rPr>
          <w:rFonts w:asciiTheme="minorHAnsi" w:eastAsiaTheme="minorEastAsia" w:hAnsiTheme="minorHAnsi" w:cstheme="minorBidi"/>
          <w:noProof/>
          <w:sz w:val="22"/>
          <w:lang w:eastAsia="pl-PL"/>
        </w:rPr>
      </w:pPr>
      <w:hyperlink w:anchor="_Toc68727005" w:history="1">
        <w:r w:rsidRPr="00CF0ACC">
          <w:rPr>
            <w:rStyle w:val="Hipercze"/>
            <w:noProof/>
          </w:rPr>
          <w:t>Tabela 9</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Analiza przyczyn braku postępu w osiąganiu celów środowiskowych dla stanu/potencjału ekologicznego w jcwp LW dorzecza Pregoły wykonana w oparciu o nowy układ planistyczny IIaPGW</w:t>
        </w:r>
        <w:r>
          <w:rPr>
            <w:noProof/>
            <w:webHidden/>
          </w:rPr>
          <w:tab/>
        </w:r>
        <w:r>
          <w:rPr>
            <w:noProof/>
            <w:webHidden/>
          </w:rPr>
          <w:fldChar w:fldCharType="begin"/>
        </w:r>
        <w:r>
          <w:rPr>
            <w:noProof/>
            <w:webHidden/>
          </w:rPr>
          <w:instrText xml:space="preserve"> PAGEREF _Toc68727005 \h </w:instrText>
        </w:r>
        <w:r>
          <w:rPr>
            <w:noProof/>
            <w:webHidden/>
          </w:rPr>
        </w:r>
        <w:r>
          <w:rPr>
            <w:noProof/>
            <w:webHidden/>
          </w:rPr>
          <w:fldChar w:fldCharType="separate"/>
        </w:r>
        <w:r>
          <w:rPr>
            <w:noProof/>
            <w:webHidden/>
          </w:rPr>
          <w:t>146</w:t>
        </w:r>
        <w:r>
          <w:rPr>
            <w:noProof/>
            <w:webHidden/>
          </w:rPr>
          <w:fldChar w:fldCharType="end"/>
        </w:r>
      </w:hyperlink>
    </w:p>
    <w:p w14:paraId="604BEDBC" w14:textId="49F956AD" w:rsidR="006C4947" w:rsidRDefault="006C4947">
      <w:pPr>
        <w:pStyle w:val="Spisilustracji"/>
        <w:rPr>
          <w:rFonts w:asciiTheme="minorHAnsi" w:eastAsiaTheme="minorEastAsia" w:hAnsiTheme="minorHAnsi" w:cstheme="minorBidi"/>
          <w:noProof/>
          <w:sz w:val="22"/>
          <w:lang w:eastAsia="pl-PL"/>
        </w:rPr>
      </w:pPr>
      <w:hyperlink w:anchor="_Toc68727006" w:history="1">
        <w:r w:rsidRPr="00CF0ACC">
          <w:rPr>
            <w:rStyle w:val="Hipercze"/>
            <w:noProof/>
          </w:rPr>
          <w:t>Tabela 9</w:t>
        </w:r>
        <w:r w:rsidRPr="00CF0ACC">
          <w:rPr>
            <w:rStyle w:val="Hipercze"/>
            <w:noProof/>
          </w:rPr>
          <w:noBreakHyphen/>
          <w:t>10</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 chemicznego na obszarze dorzecza Pregoły dla jcwp LW w układzie planistycznym w aPGW (2016-2021)</w:t>
        </w:r>
        <w:r>
          <w:rPr>
            <w:noProof/>
            <w:webHidden/>
          </w:rPr>
          <w:tab/>
        </w:r>
        <w:r>
          <w:rPr>
            <w:noProof/>
            <w:webHidden/>
          </w:rPr>
          <w:fldChar w:fldCharType="begin"/>
        </w:r>
        <w:r>
          <w:rPr>
            <w:noProof/>
            <w:webHidden/>
          </w:rPr>
          <w:instrText xml:space="preserve"> PAGEREF _Toc68727006 \h </w:instrText>
        </w:r>
        <w:r>
          <w:rPr>
            <w:noProof/>
            <w:webHidden/>
          </w:rPr>
        </w:r>
        <w:r>
          <w:rPr>
            <w:noProof/>
            <w:webHidden/>
          </w:rPr>
          <w:fldChar w:fldCharType="separate"/>
        </w:r>
        <w:r>
          <w:rPr>
            <w:noProof/>
            <w:webHidden/>
          </w:rPr>
          <w:t>147</w:t>
        </w:r>
        <w:r>
          <w:rPr>
            <w:noProof/>
            <w:webHidden/>
          </w:rPr>
          <w:fldChar w:fldCharType="end"/>
        </w:r>
      </w:hyperlink>
    </w:p>
    <w:p w14:paraId="5BEC23DB" w14:textId="707E919D" w:rsidR="006C4947" w:rsidRDefault="006C4947">
      <w:pPr>
        <w:pStyle w:val="Spisilustracji"/>
        <w:rPr>
          <w:rFonts w:asciiTheme="minorHAnsi" w:eastAsiaTheme="minorEastAsia" w:hAnsiTheme="minorHAnsi" w:cstheme="minorBidi"/>
          <w:noProof/>
          <w:sz w:val="22"/>
          <w:lang w:eastAsia="pl-PL"/>
        </w:rPr>
      </w:pPr>
      <w:hyperlink w:anchor="_Toc68727007" w:history="1">
        <w:r w:rsidRPr="00CF0ACC">
          <w:rPr>
            <w:rStyle w:val="Hipercze"/>
            <w:noProof/>
          </w:rPr>
          <w:t>Tabela 9</w:t>
        </w:r>
        <w:r w:rsidRPr="00CF0ACC">
          <w:rPr>
            <w:rStyle w:val="Hipercze"/>
            <w:noProof/>
          </w:rPr>
          <w:noBreakHyphen/>
          <w:t>11</w:t>
        </w:r>
        <w:r>
          <w:rPr>
            <w:rFonts w:asciiTheme="minorHAnsi" w:eastAsiaTheme="minorEastAsia" w:hAnsiTheme="minorHAnsi" w:cstheme="minorBidi"/>
            <w:noProof/>
            <w:sz w:val="22"/>
            <w:lang w:eastAsia="pl-PL"/>
          </w:rPr>
          <w:tab/>
        </w:r>
        <w:r w:rsidRPr="00CF0ACC">
          <w:rPr>
            <w:rStyle w:val="Hipercze"/>
            <w:noProof/>
          </w:rPr>
          <w:t>Ocena postępu w osiąganiu celów środowiskowych dla stanu chemicznego na obszarze dorzecza Pregoły bazujące na nowym układzie planistycznym IIaPGW - jcwp LW</w:t>
        </w:r>
        <w:r>
          <w:rPr>
            <w:noProof/>
            <w:webHidden/>
          </w:rPr>
          <w:tab/>
        </w:r>
        <w:r>
          <w:rPr>
            <w:noProof/>
            <w:webHidden/>
          </w:rPr>
          <w:fldChar w:fldCharType="begin"/>
        </w:r>
        <w:r>
          <w:rPr>
            <w:noProof/>
            <w:webHidden/>
          </w:rPr>
          <w:instrText xml:space="preserve"> PAGEREF _Toc68727007 \h </w:instrText>
        </w:r>
        <w:r>
          <w:rPr>
            <w:noProof/>
            <w:webHidden/>
          </w:rPr>
        </w:r>
        <w:r>
          <w:rPr>
            <w:noProof/>
            <w:webHidden/>
          </w:rPr>
          <w:fldChar w:fldCharType="separate"/>
        </w:r>
        <w:r>
          <w:rPr>
            <w:noProof/>
            <w:webHidden/>
          </w:rPr>
          <w:t>148</w:t>
        </w:r>
        <w:r>
          <w:rPr>
            <w:noProof/>
            <w:webHidden/>
          </w:rPr>
          <w:fldChar w:fldCharType="end"/>
        </w:r>
      </w:hyperlink>
    </w:p>
    <w:p w14:paraId="0D286B3E" w14:textId="6234044C" w:rsidR="006C4947" w:rsidRDefault="006C4947">
      <w:pPr>
        <w:pStyle w:val="Spisilustracji"/>
        <w:rPr>
          <w:rFonts w:asciiTheme="minorHAnsi" w:eastAsiaTheme="minorEastAsia" w:hAnsiTheme="minorHAnsi" w:cstheme="minorBidi"/>
          <w:noProof/>
          <w:sz w:val="22"/>
          <w:lang w:eastAsia="pl-PL"/>
        </w:rPr>
      </w:pPr>
      <w:hyperlink w:anchor="_Toc68727008" w:history="1">
        <w:r w:rsidRPr="00CF0ACC">
          <w:rPr>
            <w:rStyle w:val="Hipercze"/>
            <w:noProof/>
          </w:rPr>
          <w:t>Tabela 9</w:t>
        </w:r>
        <w:r w:rsidRPr="00CF0ACC">
          <w:rPr>
            <w:rStyle w:val="Hipercze"/>
            <w:noProof/>
          </w:rPr>
          <w:noBreakHyphen/>
          <w:t>12</w:t>
        </w:r>
        <w:r>
          <w:rPr>
            <w:rFonts w:asciiTheme="minorHAnsi" w:eastAsiaTheme="minorEastAsia" w:hAnsiTheme="minorHAnsi" w:cstheme="minorBidi"/>
            <w:noProof/>
            <w:sz w:val="22"/>
            <w:lang w:eastAsia="pl-PL"/>
          </w:rPr>
          <w:tab/>
        </w:r>
        <w:r w:rsidRPr="00CF0ACC">
          <w:rPr>
            <w:rStyle w:val="Hipercze"/>
            <w:noProof/>
          </w:rPr>
          <w:t>Analiza przyczyn wpływających na brak postępu w osiąganiu celów środowiskowych dla stanu chemicznego na obszarze dorzecza Pregoły bazując na nowym układzie planistycznym - jcwp LW</w:t>
        </w:r>
        <w:r>
          <w:rPr>
            <w:noProof/>
            <w:webHidden/>
          </w:rPr>
          <w:tab/>
        </w:r>
        <w:r>
          <w:rPr>
            <w:noProof/>
            <w:webHidden/>
          </w:rPr>
          <w:fldChar w:fldCharType="begin"/>
        </w:r>
        <w:r>
          <w:rPr>
            <w:noProof/>
            <w:webHidden/>
          </w:rPr>
          <w:instrText xml:space="preserve"> PAGEREF _Toc68727008 \h </w:instrText>
        </w:r>
        <w:r>
          <w:rPr>
            <w:noProof/>
            <w:webHidden/>
          </w:rPr>
        </w:r>
        <w:r>
          <w:rPr>
            <w:noProof/>
            <w:webHidden/>
          </w:rPr>
          <w:fldChar w:fldCharType="separate"/>
        </w:r>
        <w:r>
          <w:rPr>
            <w:noProof/>
            <w:webHidden/>
          </w:rPr>
          <w:t>148</w:t>
        </w:r>
        <w:r>
          <w:rPr>
            <w:noProof/>
            <w:webHidden/>
          </w:rPr>
          <w:fldChar w:fldCharType="end"/>
        </w:r>
      </w:hyperlink>
    </w:p>
    <w:p w14:paraId="62A6E577" w14:textId="4B75DCD5" w:rsidR="006C4947" w:rsidRDefault="006C4947">
      <w:pPr>
        <w:pStyle w:val="Spisilustracji"/>
        <w:rPr>
          <w:rFonts w:asciiTheme="minorHAnsi" w:eastAsiaTheme="minorEastAsia" w:hAnsiTheme="minorHAnsi" w:cstheme="minorBidi"/>
          <w:noProof/>
          <w:sz w:val="22"/>
          <w:lang w:eastAsia="pl-PL"/>
        </w:rPr>
      </w:pPr>
      <w:hyperlink w:anchor="_Toc68727009" w:history="1">
        <w:r w:rsidRPr="00CF0ACC">
          <w:rPr>
            <w:rStyle w:val="Hipercze"/>
            <w:noProof/>
          </w:rPr>
          <w:t>Tabela 9</w:t>
        </w:r>
        <w:r w:rsidRPr="00CF0ACC">
          <w:rPr>
            <w:rStyle w:val="Hipercze"/>
            <w:noProof/>
          </w:rPr>
          <w:noBreakHyphen/>
          <w:t>13</w:t>
        </w:r>
        <w:r>
          <w:rPr>
            <w:rFonts w:asciiTheme="minorHAnsi" w:eastAsiaTheme="minorEastAsia" w:hAnsiTheme="minorHAnsi" w:cstheme="minorBidi"/>
            <w:noProof/>
            <w:sz w:val="22"/>
            <w:lang w:eastAsia="pl-PL"/>
          </w:rPr>
          <w:tab/>
        </w:r>
        <w:r w:rsidRPr="00CF0ACC">
          <w:rPr>
            <w:rStyle w:val="Hipercze"/>
            <w:noProof/>
          </w:rPr>
          <w:t>Porównanie wyniku oceny stanu jcwpd w latach 2016 i 2019 w obszarze dorzecza Pregoły</w:t>
        </w:r>
        <w:r>
          <w:rPr>
            <w:noProof/>
            <w:webHidden/>
          </w:rPr>
          <w:tab/>
        </w:r>
        <w:r>
          <w:rPr>
            <w:noProof/>
            <w:webHidden/>
          </w:rPr>
          <w:fldChar w:fldCharType="begin"/>
        </w:r>
        <w:r>
          <w:rPr>
            <w:noProof/>
            <w:webHidden/>
          </w:rPr>
          <w:instrText xml:space="preserve"> PAGEREF _Toc68727009 \h </w:instrText>
        </w:r>
        <w:r>
          <w:rPr>
            <w:noProof/>
            <w:webHidden/>
          </w:rPr>
        </w:r>
        <w:r>
          <w:rPr>
            <w:noProof/>
            <w:webHidden/>
          </w:rPr>
          <w:fldChar w:fldCharType="separate"/>
        </w:r>
        <w:r>
          <w:rPr>
            <w:noProof/>
            <w:webHidden/>
          </w:rPr>
          <w:t>150</w:t>
        </w:r>
        <w:r>
          <w:rPr>
            <w:noProof/>
            <w:webHidden/>
          </w:rPr>
          <w:fldChar w:fldCharType="end"/>
        </w:r>
      </w:hyperlink>
    </w:p>
    <w:p w14:paraId="37BDEC0F" w14:textId="5A6E43A2" w:rsidR="006C4947" w:rsidRDefault="006C4947">
      <w:pPr>
        <w:pStyle w:val="Spisilustracji"/>
        <w:rPr>
          <w:rFonts w:asciiTheme="minorHAnsi" w:eastAsiaTheme="minorEastAsia" w:hAnsiTheme="minorHAnsi" w:cstheme="minorBidi"/>
          <w:noProof/>
          <w:sz w:val="22"/>
          <w:lang w:eastAsia="pl-PL"/>
        </w:rPr>
      </w:pPr>
      <w:hyperlink w:anchor="_Toc68727010" w:history="1">
        <w:r w:rsidRPr="00CF0ACC">
          <w:rPr>
            <w:rStyle w:val="Hipercze"/>
            <w:noProof/>
          </w:rPr>
          <w:t>Tabela 9</w:t>
        </w:r>
        <w:r w:rsidRPr="00CF0ACC">
          <w:rPr>
            <w:rStyle w:val="Hipercze"/>
            <w:noProof/>
          </w:rPr>
          <w:noBreakHyphen/>
          <w:t>14</w:t>
        </w:r>
        <w:r>
          <w:rPr>
            <w:rFonts w:asciiTheme="minorHAnsi" w:eastAsiaTheme="minorEastAsia" w:hAnsiTheme="minorHAnsi" w:cstheme="minorBidi"/>
            <w:noProof/>
            <w:sz w:val="22"/>
            <w:lang w:eastAsia="pl-PL"/>
          </w:rPr>
          <w:tab/>
        </w:r>
        <w:r w:rsidRPr="00CF0ACC">
          <w:rPr>
            <w:rStyle w:val="Hipercze"/>
            <w:noProof/>
          </w:rPr>
          <w:t>Ocena postępu w osiąganiu podstawowych celów środowiskowych dla obszarów chronionych; wód przeznaczonych do celów rekreacyjnych, w tym kąpieliskowych; wrażliwych na eutrofizację wywołaną zanieczyszczeniami pochodzącymi ze źródeł komunalnych rozumianą jako wzbogacanie wód biogenami w obszarze dorzecza Pregoły</w:t>
        </w:r>
        <w:r>
          <w:rPr>
            <w:noProof/>
            <w:webHidden/>
          </w:rPr>
          <w:tab/>
        </w:r>
        <w:r>
          <w:rPr>
            <w:noProof/>
            <w:webHidden/>
          </w:rPr>
          <w:fldChar w:fldCharType="begin"/>
        </w:r>
        <w:r>
          <w:rPr>
            <w:noProof/>
            <w:webHidden/>
          </w:rPr>
          <w:instrText xml:space="preserve"> PAGEREF _Toc68727010 \h </w:instrText>
        </w:r>
        <w:r>
          <w:rPr>
            <w:noProof/>
            <w:webHidden/>
          </w:rPr>
        </w:r>
        <w:r>
          <w:rPr>
            <w:noProof/>
            <w:webHidden/>
          </w:rPr>
          <w:fldChar w:fldCharType="separate"/>
        </w:r>
        <w:r>
          <w:rPr>
            <w:noProof/>
            <w:webHidden/>
          </w:rPr>
          <w:t>151</w:t>
        </w:r>
        <w:r>
          <w:rPr>
            <w:noProof/>
            <w:webHidden/>
          </w:rPr>
          <w:fldChar w:fldCharType="end"/>
        </w:r>
      </w:hyperlink>
    </w:p>
    <w:p w14:paraId="0C15CF86" w14:textId="30B9F828" w:rsidR="006C4947" w:rsidRDefault="006C4947">
      <w:pPr>
        <w:pStyle w:val="Spisilustracji"/>
        <w:rPr>
          <w:rFonts w:asciiTheme="minorHAnsi" w:eastAsiaTheme="minorEastAsia" w:hAnsiTheme="minorHAnsi" w:cstheme="minorBidi"/>
          <w:noProof/>
          <w:sz w:val="22"/>
          <w:lang w:eastAsia="pl-PL"/>
        </w:rPr>
      </w:pPr>
      <w:hyperlink w:anchor="_Toc68727011" w:history="1">
        <w:r w:rsidRPr="00CF0ACC">
          <w:rPr>
            <w:rStyle w:val="Hipercze"/>
            <w:noProof/>
          </w:rPr>
          <w:t>Tabela 10</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Stopień realizacji działań podstawowych krajowych</w:t>
        </w:r>
        <w:r>
          <w:rPr>
            <w:noProof/>
            <w:webHidden/>
          </w:rPr>
          <w:tab/>
        </w:r>
        <w:r>
          <w:rPr>
            <w:noProof/>
            <w:webHidden/>
          </w:rPr>
          <w:fldChar w:fldCharType="begin"/>
        </w:r>
        <w:r>
          <w:rPr>
            <w:noProof/>
            <w:webHidden/>
          </w:rPr>
          <w:instrText xml:space="preserve"> PAGEREF _Toc68727011 \h </w:instrText>
        </w:r>
        <w:r>
          <w:rPr>
            <w:noProof/>
            <w:webHidden/>
          </w:rPr>
        </w:r>
        <w:r>
          <w:rPr>
            <w:noProof/>
            <w:webHidden/>
          </w:rPr>
          <w:fldChar w:fldCharType="separate"/>
        </w:r>
        <w:r>
          <w:rPr>
            <w:noProof/>
            <w:webHidden/>
          </w:rPr>
          <w:t>154</w:t>
        </w:r>
        <w:r>
          <w:rPr>
            <w:noProof/>
            <w:webHidden/>
          </w:rPr>
          <w:fldChar w:fldCharType="end"/>
        </w:r>
      </w:hyperlink>
    </w:p>
    <w:p w14:paraId="3BC6F383" w14:textId="77B441E7" w:rsidR="006C4947" w:rsidRDefault="006C4947">
      <w:pPr>
        <w:pStyle w:val="Spisilustracji"/>
        <w:rPr>
          <w:rFonts w:asciiTheme="minorHAnsi" w:eastAsiaTheme="minorEastAsia" w:hAnsiTheme="minorHAnsi" w:cstheme="minorBidi"/>
          <w:noProof/>
          <w:sz w:val="22"/>
          <w:lang w:eastAsia="pl-PL"/>
        </w:rPr>
      </w:pPr>
      <w:hyperlink w:anchor="_Toc68727012" w:history="1">
        <w:r w:rsidRPr="00CF0ACC">
          <w:rPr>
            <w:rStyle w:val="Hipercze"/>
            <w:noProof/>
          </w:rPr>
          <w:t>Tabela 10</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Stopień realizacji działań wynikających z aPWŚK w skali kraju</w:t>
        </w:r>
        <w:r>
          <w:rPr>
            <w:noProof/>
            <w:webHidden/>
          </w:rPr>
          <w:tab/>
        </w:r>
        <w:r>
          <w:rPr>
            <w:noProof/>
            <w:webHidden/>
          </w:rPr>
          <w:fldChar w:fldCharType="begin"/>
        </w:r>
        <w:r>
          <w:rPr>
            <w:noProof/>
            <w:webHidden/>
          </w:rPr>
          <w:instrText xml:space="preserve"> PAGEREF _Toc68727012 \h </w:instrText>
        </w:r>
        <w:r>
          <w:rPr>
            <w:noProof/>
            <w:webHidden/>
          </w:rPr>
        </w:r>
        <w:r>
          <w:rPr>
            <w:noProof/>
            <w:webHidden/>
          </w:rPr>
          <w:fldChar w:fldCharType="separate"/>
        </w:r>
        <w:r>
          <w:rPr>
            <w:noProof/>
            <w:webHidden/>
          </w:rPr>
          <w:t>157</w:t>
        </w:r>
        <w:r>
          <w:rPr>
            <w:noProof/>
            <w:webHidden/>
          </w:rPr>
          <w:fldChar w:fldCharType="end"/>
        </w:r>
      </w:hyperlink>
    </w:p>
    <w:p w14:paraId="5A78CC65" w14:textId="62C23F0D" w:rsidR="006C4947" w:rsidRDefault="006C4947">
      <w:pPr>
        <w:pStyle w:val="Spisilustracji"/>
        <w:rPr>
          <w:rFonts w:asciiTheme="minorHAnsi" w:eastAsiaTheme="minorEastAsia" w:hAnsiTheme="minorHAnsi" w:cstheme="minorBidi"/>
          <w:noProof/>
          <w:sz w:val="22"/>
          <w:lang w:eastAsia="pl-PL"/>
        </w:rPr>
      </w:pPr>
      <w:hyperlink w:anchor="_Toc68727013" w:history="1">
        <w:r w:rsidRPr="00CF0ACC">
          <w:rPr>
            <w:rStyle w:val="Hipercze"/>
            <w:noProof/>
          </w:rPr>
          <w:t>Tabela 11</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Opłaty stałe za usługi wodne, uiszczone w 2019 r.</w:t>
        </w:r>
        <w:r>
          <w:rPr>
            <w:noProof/>
            <w:webHidden/>
          </w:rPr>
          <w:tab/>
        </w:r>
        <w:r>
          <w:rPr>
            <w:noProof/>
            <w:webHidden/>
          </w:rPr>
          <w:fldChar w:fldCharType="begin"/>
        </w:r>
        <w:r>
          <w:rPr>
            <w:noProof/>
            <w:webHidden/>
          </w:rPr>
          <w:instrText xml:space="preserve"> PAGEREF _Toc68727013 \h </w:instrText>
        </w:r>
        <w:r>
          <w:rPr>
            <w:noProof/>
            <w:webHidden/>
          </w:rPr>
        </w:r>
        <w:r>
          <w:rPr>
            <w:noProof/>
            <w:webHidden/>
          </w:rPr>
          <w:fldChar w:fldCharType="separate"/>
        </w:r>
        <w:r>
          <w:rPr>
            <w:noProof/>
            <w:webHidden/>
          </w:rPr>
          <w:t>164</w:t>
        </w:r>
        <w:r>
          <w:rPr>
            <w:noProof/>
            <w:webHidden/>
          </w:rPr>
          <w:fldChar w:fldCharType="end"/>
        </w:r>
      </w:hyperlink>
    </w:p>
    <w:p w14:paraId="6746166E" w14:textId="68912215" w:rsidR="006C4947" w:rsidRDefault="006C4947">
      <w:pPr>
        <w:pStyle w:val="Spisilustracji"/>
        <w:rPr>
          <w:rFonts w:asciiTheme="minorHAnsi" w:eastAsiaTheme="minorEastAsia" w:hAnsiTheme="minorHAnsi" w:cstheme="minorBidi"/>
          <w:noProof/>
          <w:sz w:val="22"/>
          <w:lang w:eastAsia="pl-PL"/>
        </w:rPr>
      </w:pPr>
      <w:hyperlink w:anchor="_Toc68727014" w:history="1">
        <w:r w:rsidRPr="00CF0ACC">
          <w:rPr>
            <w:rStyle w:val="Hipercze"/>
            <w:noProof/>
          </w:rPr>
          <w:t>Tabela 11</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Opłaty zmienne za usługi wodne, uiszczone w 2019 r.</w:t>
        </w:r>
        <w:r>
          <w:rPr>
            <w:noProof/>
            <w:webHidden/>
          </w:rPr>
          <w:tab/>
        </w:r>
        <w:r>
          <w:rPr>
            <w:noProof/>
            <w:webHidden/>
          </w:rPr>
          <w:fldChar w:fldCharType="begin"/>
        </w:r>
        <w:r>
          <w:rPr>
            <w:noProof/>
            <w:webHidden/>
          </w:rPr>
          <w:instrText xml:space="preserve"> PAGEREF _Toc68727014 \h </w:instrText>
        </w:r>
        <w:r>
          <w:rPr>
            <w:noProof/>
            <w:webHidden/>
          </w:rPr>
        </w:r>
        <w:r>
          <w:rPr>
            <w:noProof/>
            <w:webHidden/>
          </w:rPr>
          <w:fldChar w:fldCharType="separate"/>
        </w:r>
        <w:r>
          <w:rPr>
            <w:noProof/>
            <w:webHidden/>
          </w:rPr>
          <w:t>164</w:t>
        </w:r>
        <w:r>
          <w:rPr>
            <w:noProof/>
            <w:webHidden/>
          </w:rPr>
          <w:fldChar w:fldCharType="end"/>
        </w:r>
      </w:hyperlink>
    </w:p>
    <w:p w14:paraId="06D76EB4" w14:textId="58534684" w:rsidR="006C4947" w:rsidRDefault="006C4947">
      <w:pPr>
        <w:pStyle w:val="Spisilustracji"/>
        <w:rPr>
          <w:rFonts w:asciiTheme="minorHAnsi" w:eastAsiaTheme="minorEastAsia" w:hAnsiTheme="minorHAnsi" w:cstheme="minorBidi"/>
          <w:noProof/>
          <w:sz w:val="22"/>
          <w:lang w:eastAsia="pl-PL"/>
        </w:rPr>
      </w:pPr>
      <w:hyperlink w:anchor="_Toc68727015" w:history="1">
        <w:r w:rsidRPr="00CF0ACC">
          <w:rPr>
            <w:rStyle w:val="Hipercze"/>
            <w:noProof/>
          </w:rPr>
          <w:t>Tabela 11</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Wysokość jednostkowych opłat za usługi wodne w 2019 r.</w:t>
        </w:r>
        <w:r>
          <w:rPr>
            <w:noProof/>
            <w:webHidden/>
          </w:rPr>
          <w:tab/>
        </w:r>
        <w:r>
          <w:rPr>
            <w:noProof/>
            <w:webHidden/>
          </w:rPr>
          <w:fldChar w:fldCharType="begin"/>
        </w:r>
        <w:r>
          <w:rPr>
            <w:noProof/>
            <w:webHidden/>
          </w:rPr>
          <w:instrText xml:space="preserve"> PAGEREF _Toc68727015 \h </w:instrText>
        </w:r>
        <w:r>
          <w:rPr>
            <w:noProof/>
            <w:webHidden/>
          </w:rPr>
        </w:r>
        <w:r>
          <w:rPr>
            <w:noProof/>
            <w:webHidden/>
          </w:rPr>
          <w:fldChar w:fldCharType="separate"/>
        </w:r>
        <w:r>
          <w:rPr>
            <w:noProof/>
            <w:webHidden/>
          </w:rPr>
          <w:t>165</w:t>
        </w:r>
        <w:r>
          <w:rPr>
            <w:noProof/>
            <w:webHidden/>
          </w:rPr>
          <w:fldChar w:fldCharType="end"/>
        </w:r>
      </w:hyperlink>
    </w:p>
    <w:p w14:paraId="11BEA2B8" w14:textId="3005E0AD" w:rsidR="006C4947" w:rsidRDefault="006C4947">
      <w:pPr>
        <w:pStyle w:val="Spisilustracji"/>
        <w:rPr>
          <w:rFonts w:asciiTheme="minorHAnsi" w:eastAsiaTheme="minorEastAsia" w:hAnsiTheme="minorHAnsi" w:cstheme="minorBidi"/>
          <w:noProof/>
          <w:sz w:val="22"/>
          <w:lang w:eastAsia="pl-PL"/>
        </w:rPr>
      </w:pPr>
      <w:hyperlink w:anchor="_Toc68727016" w:history="1">
        <w:r w:rsidRPr="00CF0ACC">
          <w:rPr>
            <w:rStyle w:val="Hipercze"/>
            <w:noProof/>
          </w:rPr>
          <w:t>Tabela 11</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Podział kosztów środowiskowych pomiędzy sektory w 2018 r.</w:t>
        </w:r>
        <w:r>
          <w:rPr>
            <w:noProof/>
            <w:webHidden/>
          </w:rPr>
          <w:tab/>
        </w:r>
        <w:r>
          <w:rPr>
            <w:noProof/>
            <w:webHidden/>
          </w:rPr>
          <w:fldChar w:fldCharType="begin"/>
        </w:r>
        <w:r>
          <w:rPr>
            <w:noProof/>
            <w:webHidden/>
          </w:rPr>
          <w:instrText xml:space="preserve"> PAGEREF _Toc68727016 \h </w:instrText>
        </w:r>
        <w:r>
          <w:rPr>
            <w:noProof/>
            <w:webHidden/>
          </w:rPr>
        </w:r>
        <w:r>
          <w:rPr>
            <w:noProof/>
            <w:webHidden/>
          </w:rPr>
          <w:fldChar w:fldCharType="separate"/>
        </w:r>
        <w:r>
          <w:rPr>
            <w:noProof/>
            <w:webHidden/>
          </w:rPr>
          <w:t>166</w:t>
        </w:r>
        <w:r>
          <w:rPr>
            <w:noProof/>
            <w:webHidden/>
          </w:rPr>
          <w:fldChar w:fldCharType="end"/>
        </w:r>
      </w:hyperlink>
    </w:p>
    <w:p w14:paraId="59753094" w14:textId="74C7E4BF" w:rsidR="006C4947" w:rsidRDefault="006C4947">
      <w:pPr>
        <w:pStyle w:val="Spisilustracji"/>
        <w:rPr>
          <w:rFonts w:asciiTheme="minorHAnsi" w:eastAsiaTheme="minorEastAsia" w:hAnsiTheme="minorHAnsi" w:cstheme="minorBidi"/>
          <w:noProof/>
          <w:sz w:val="22"/>
          <w:lang w:eastAsia="pl-PL"/>
        </w:rPr>
      </w:pPr>
      <w:hyperlink w:anchor="_Toc68727017" w:history="1">
        <w:r w:rsidRPr="00CF0ACC">
          <w:rPr>
            <w:rStyle w:val="Hipercze"/>
            <w:noProof/>
          </w:rPr>
          <w:t>Tabela 11</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Dane finansowe sektora komunalnego w Polsce w 2018 r.</w:t>
        </w:r>
        <w:r>
          <w:rPr>
            <w:noProof/>
            <w:webHidden/>
          </w:rPr>
          <w:tab/>
        </w:r>
        <w:r>
          <w:rPr>
            <w:noProof/>
            <w:webHidden/>
          </w:rPr>
          <w:fldChar w:fldCharType="begin"/>
        </w:r>
        <w:r>
          <w:rPr>
            <w:noProof/>
            <w:webHidden/>
          </w:rPr>
          <w:instrText xml:space="preserve"> PAGEREF _Toc68727017 \h </w:instrText>
        </w:r>
        <w:r>
          <w:rPr>
            <w:noProof/>
            <w:webHidden/>
          </w:rPr>
        </w:r>
        <w:r>
          <w:rPr>
            <w:noProof/>
            <w:webHidden/>
          </w:rPr>
          <w:fldChar w:fldCharType="separate"/>
        </w:r>
        <w:r>
          <w:rPr>
            <w:noProof/>
            <w:webHidden/>
          </w:rPr>
          <w:t>166</w:t>
        </w:r>
        <w:r>
          <w:rPr>
            <w:noProof/>
            <w:webHidden/>
          </w:rPr>
          <w:fldChar w:fldCharType="end"/>
        </w:r>
      </w:hyperlink>
    </w:p>
    <w:p w14:paraId="7FD57F65" w14:textId="39F867B2" w:rsidR="006C4947" w:rsidRDefault="006C4947">
      <w:pPr>
        <w:pStyle w:val="Spisilustracji"/>
        <w:rPr>
          <w:rFonts w:asciiTheme="minorHAnsi" w:eastAsiaTheme="minorEastAsia" w:hAnsiTheme="minorHAnsi" w:cstheme="minorBidi"/>
          <w:noProof/>
          <w:sz w:val="22"/>
          <w:lang w:eastAsia="pl-PL"/>
        </w:rPr>
      </w:pPr>
      <w:hyperlink w:anchor="_Toc68727018" w:history="1">
        <w:r w:rsidRPr="00CF0ACC">
          <w:rPr>
            <w:rStyle w:val="Hipercze"/>
            <w:noProof/>
          </w:rPr>
          <w:t>Tabela 11</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Stopa zwrotu kosztów usług wodnych w sektorze komunalnym w 2018 r.</w:t>
        </w:r>
        <w:r>
          <w:rPr>
            <w:noProof/>
            <w:webHidden/>
          </w:rPr>
          <w:tab/>
        </w:r>
        <w:r>
          <w:rPr>
            <w:noProof/>
            <w:webHidden/>
          </w:rPr>
          <w:fldChar w:fldCharType="begin"/>
        </w:r>
        <w:r>
          <w:rPr>
            <w:noProof/>
            <w:webHidden/>
          </w:rPr>
          <w:instrText xml:space="preserve"> PAGEREF _Toc68727018 \h </w:instrText>
        </w:r>
        <w:r>
          <w:rPr>
            <w:noProof/>
            <w:webHidden/>
          </w:rPr>
        </w:r>
        <w:r>
          <w:rPr>
            <w:noProof/>
            <w:webHidden/>
          </w:rPr>
          <w:fldChar w:fldCharType="separate"/>
        </w:r>
        <w:r>
          <w:rPr>
            <w:noProof/>
            <w:webHidden/>
          </w:rPr>
          <w:t>167</w:t>
        </w:r>
        <w:r>
          <w:rPr>
            <w:noProof/>
            <w:webHidden/>
          </w:rPr>
          <w:fldChar w:fldCharType="end"/>
        </w:r>
      </w:hyperlink>
    </w:p>
    <w:p w14:paraId="3C853988" w14:textId="41487F6F" w:rsidR="006C4947" w:rsidRDefault="006C4947">
      <w:pPr>
        <w:pStyle w:val="Spisilustracji"/>
        <w:rPr>
          <w:rFonts w:asciiTheme="minorHAnsi" w:eastAsiaTheme="minorEastAsia" w:hAnsiTheme="minorHAnsi" w:cstheme="minorBidi"/>
          <w:noProof/>
          <w:sz w:val="22"/>
          <w:lang w:eastAsia="pl-PL"/>
        </w:rPr>
      </w:pPr>
      <w:hyperlink w:anchor="_Toc68727019" w:history="1">
        <w:r w:rsidRPr="00CF0ACC">
          <w:rPr>
            <w:rStyle w:val="Hipercze"/>
            <w:noProof/>
          </w:rPr>
          <w:t>Tabela 11</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Wielkość kosztów związanych z gospodarką wodną w rolnictwie w Polsce, dane w mln zł za 2017 r.</w:t>
        </w:r>
        <w:r>
          <w:rPr>
            <w:noProof/>
            <w:webHidden/>
          </w:rPr>
          <w:tab/>
        </w:r>
        <w:r>
          <w:rPr>
            <w:noProof/>
            <w:webHidden/>
          </w:rPr>
          <w:fldChar w:fldCharType="begin"/>
        </w:r>
        <w:r>
          <w:rPr>
            <w:noProof/>
            <w:webHidden/>
          </w:rPr>
          <w:instrText xml:space="preserve"> PAGEREF _Toc68727019 \h </w:instrText>
        </w:r>
        <w:r>
          <w:rPr>
            <w:noProof/>
            <w:webHidden/>
          </w:rPr>
        </w:r>
        <w:r>
          <w:rPr>
            <w:noProof/>
            <w:webHidden/>
          </w:rPr>
          <w:fldChar w:fldCharType="separate"/>
        </w:r>
        <w:r>
          <w:rPr>
            <w:noProof/>
            <w:webHidden/>
          </w:rPr>
          <w:t>168</w:t>
        </w:r>
        <w:r>
          <w:rPr>
            <w:noProof/>
            <w:webHidden/>
          </w:rPr>
          <w:fldChar w:fldCharType="end"/>
        </w:r>
      </w:hyperlink>
    </w:p>
    <w:p w14:paraId="5DFCE95A" w14:textId="1189CC81" w:rsidR="006C4947" w:rsidRDefault="006C4947">
      <w:pPr>
        <w:pStyle w:val="Spisilustracji"/>
        <w:rPr>
          <w:rFonts w:asciiTheme="minorHAnsi" w:eastAsiaTheme="minorEastAsia" w:hAnsiTheme="minorHAnsi" w:cstheme="minorBidi"/>
          <w:noProof/>
          <w:sz w:val="22"/>
          <w:lang w:eastAsia="pl-PL"/>
        </w:rPr>
      </w:pPr>
      <w:hyperlink w:anchor="_Toc68727020" w:history="1">
        <w:r w:rsidRPr="00CF0ACC">
          <w:rPr>
            <w:rStyle w:val="Hipercze"/>
            <w:noProof/>
          </w:rPr>
          <w:t>Tabela 11</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Macierz efektywności kosztowej</w:t>
        </w:r>
        <w:r>
          <w:rPr>
            <w:noProof/>
            <w:webHidden/>
          </w:rPr>
          <w:tab/>
        </w:r>
        <w:r>
          <w:rPr>
            <w:noProof/>
            <w:webHidden/>
          </w:rPr>
          <w:fldChar w:fldCharType="begin"/>
        </w:r>
        <w:r>
          <w:rPr>
            <w:noProof/>
            <w:webHidden/>
          </w:rPr>
          <w:instrText xml:space="preserve"> PAGEREF _Toc68727020 \h </w:instrText>
        </w:r>
        <w:r>
          <w:rPr>
            <w:noProof/>
            <w:webHidden/>
          </w:rPr>
        </w:r>
        <w:r>
          <w:rPr>
            <w:noProof/>
            <w:webHidden/>
          </w:rPr>
          <w:fldChar w:fldCharType="separate"/>
        </w:r>
        <w:r>
          <w:rPr>
            <w:noProof/>
            <w:webHidden/>
          </w:rPr>
          <w:t>170</w:t>
        </w:r>
        <w:r>
          <w:rPr>
            <w:noProof/>
            <w:webHidden/>
          </w:rPr>
          <w:fldChar w:fldCharType="end"/>
        </w:r>
      </w:hyperlink>
    </w:p>
    <w:p w14:paraId="4A90FE75" w14:textId="5FA450E6" w:rsidR="006C4947" w:rsidRDefault="006C4947">
      <w:pPr>
        <w:pStyle w:val="Spisilustracji"/>
        <w:rPr>
          <w:rFonts w:asciiTheme="minorHAnsi" w:eastAsiaTheme="minorEastAsia" w:hAnsiTheme="minorHAnsi" w:cstheme="minorBidi"/>
          <w:noProof/>
          <w:sz w:val="22"/>
          <w:lang w:eastAsia="pl-PL"/>
        </w:rPr>
      </w:pPr>
      <w:hyperlink w:anchor="_Toc68727021" w:history="1">
        <w:r w:rsidRPr="00CF0ACC">
          <w:rPr>
            <w:rStyle w:val="Hipercze"/>
            <w:noProof/>
          </w:rPr>
          <w:t>Tabela 11</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Wyniki analizy efektywności jakościowej - wskaźnik efektywności</w:t>
        </w:r>
        <w:r>
          <w:rPr>
            <w:noProof/>
            <w:webHidden/>
          </w:rPr>
          <w:tab/>
        </w:r>
        <w:r>
          <w:rPr>
            <w:noProof/>
            <w:webHidden/>
          </w:rPr>
          <w:fldChar w:fldCharType="begin"/>
        </w:r>
        <w:r>
          <w:rPr>
            <w:noProof/>
            <w:webHidden/>
          </w:rPr>
          <w:instrText xml:space="preserve"> PAGEREF _Toc68727021 \h </w:instrText>
        </w:r>
        <w:r>
          <w:rPr>
            <w:noProof/>
            <w:webHidden/>
          </w:rPr>
        </w:r>
        <w:r>
          <w:rPr>
            <w:noProof/>
            <w:webHidden/>
          </w:rPr>
          <w:fldChar w:fldCharType="separate"/>
        </w:r>
        <w:r>
          <w:rPr>
            <w:noProof/>
            <w:webHidden/>
          </w:rPr>
          <w:t>170</w:t>
        </w:r>
        <w:r>
          <w:rPr>
            <w:noProof/>
            <w:webHidden/>
          </w:rPr>
          <w:fldChar w:fldCharType="end"/>
        </w:r>
      </w:hyperlink>
    </w:p>
    <w:p w14:paraId="377EA366" w14:textId="0DA0A342" w:rsidR="006C4947" w:rsidRDefault="006C4947">
      <w:pPr>
        <w:pStyle w:val="Spisilustracji"/>
        <w:rPr>
          <w:rFonts w:asciiTheme="minorHAnsi" w:eastAsiaTheme="minorEastAsia" w:hAnsiTheme="minorHAnsi" w:cstheme="minorBidi"/>
          <w:noProof/>
          <w:sz w:val="22"/>
          <w:lang w:eastAsia="pl-PL"/>
        </w:rPr>
      </w:pPr>
      <w:hyperlink w:anchor="_Toc68727022" w:history="1">
        <w:r w:rsidRPr="00CF0ACC">
          <w:rPr>
            <w:rStyle w:val="Hipercze"/>
            <w:noProof/>
          </w:rPr>
          <w:t>Tabela 11</w:t>
        </w:r>
        <w:r w:rsidRPr="00CF0ACC">
          <w:rPr>
            <w:rStyle w:val="Hipercze"/>
            <w:noProof/>
          </w:rPr>
          <w:noBreakHyphen/>
          <w:t>10</w:t>
        </w:r>
        <w:r>
          <w:rPr>
            <w:rFonts w:asciiTheme="minorHAnsi" w:eastAsiaTheme="minorEastAsia" w:hAnsiTheme="minorHAnsi" w:cstheme="minorBidi"/>
            <w:noProof/>
            <w:sz w:val="22"/>
            <w:lang w:eastAsia="pl-PL"/>
          </w:rPr>
          <w:tab/>
        </w:r>
        <w:r w:rsidRPr="00CF0ACC">
          <w:rPr>
            <w:rStyle w:val="Hipercze"/>
            <w:noProof/>
          </w:rPr>
          <w:t>Wyniki analizy efektywności kosztowej</w:t>
        </w:r>
        <w:r>
          <w:rPr>
            <w:noProof/>
            <w:webHidden/>
          </w:rPr>
          <w:tab/>
        </w:r>
        <w:r>
          <w:rPr>
            <w:noProof/>
            <w:webHidden/>
          </w:rPr>
          <w:fldChar w:fldCharType="begin"/>
        </w:r>
        <w:r>
          <w:rPr>
            <w:noProof/>
            <w:webHidden/>
          </w:rPr>
          <w:instrText xml:space="preserve"> PAGEREF _Toc68727022 \h </w:instrText>
        </w:r>
        <w:r>
          <w:rPr>
            <w:noProof/>
            <w:webHidden/>
          </w:rPr>
        </w:r>
        <w:r>
          <w:rPr>
            <w:noProof/>
            <w:webHidden/>
          </w:rPr>
          <w:fldChar w:fldCharType="separate"/>
        </w:r>
        <w:r>
          <w:rPr>
            <w:noProof/>
            <w:webHidden/>
          </w:rPr>
          <w:t>170</w:t>
        </w:r>
        <w:r>
          <w:rPr>
            <w:noProof/>
            <w:webHidden/>
          </w:rPr>
          <w:fldChar w:fldCharType="end"/>
        </w:r>
      </w:hyperlink>
    </w:p>
    <w:p w14:paraId="104F522E" w14:textId="72F9A48E" w:rsidR="006C4947" w:rsidRDefault="006C4947">
      <w:pPr>
        <w:pStyle w:val="Spisilustracji"/>
        <w:rPr>
          <w:rFonts w:asciiTheme="minorHAnsi" w:eastAsiaTheme="minorEastAsia" w:hAnsiTheme="minorHAnsi" w:cstheme="minorBidi"/>
          <w:noProof/>
          <w:sz w:val="22"/>
          <w:lang w:eastAsia="pl-PL"/>
        </w:rPr>
      </w:pPr>
      <w:hyperlink w:anchor="_Toc68727023" w:history="1">
        <w:r w:rsidRPr="00CF0ACC">
          <w:rPr>
            <w:rStyle w:val="Hipercze"/>
            <w:noProof/>
          </w:rPr>
          <w:t>Tabela 11</w:t>
        </w:r>
        <w:r w:rsidRPr="00CF0ACC">
          <w:rPr>
            <w:rStyle w:val="Hipercze"/>
            <w:noProof/>
          </w:rPr>
          <w:noBreakHyphen/>
          <w:t>11</w:t>
        </w:r>
        <w:r>
          <w:rPr>
            <w:rFonts w:asciiTheme="minorHAnsi" w:eastAsiaTheme="minorEastAsia" w:hAnsiTheme="minorHAnsi" w:cstheme="minorBidi"/>
            <w:noProof/>
            <w:sz w:val="22"/>
            <w:lang w:eastAsia="pl-PL"/>
          </w:rPr>
          <w:tab/>
        </w:r>
        <w:r w:rsidRPr="00CF0ACC">
          <w:rPr>
            <w:rStyle w:val="Hipercze"/>
            <w:noProof/>
          </w:rPr>
          <w:t>Wyniki analizy efektywności kosztowej  - wody powierzchniowe</w:t>
        </w:r>
        <w:r>
          <w:rPr>
            <w:noProof/>
            <w:webHidden/>
          </w:rPr>
          <w:tab/>
        </w:r>
        <w:r>
          <w:rPr>
            <w:noProof/>
            <w:webHidden/>
          </w:rPr>
          <w:fldChar w:fldCharType="begin"/>
        </w:r>
        <w:r>
          <w:rPr>
            <w:noProof/>
            <w:webHidden/>
          </w:rPr>
          <w:instrText xml:space="preserve"> PAGEREF _Toc68727023 \h </w:instrText>
        </w:r>
        <w:r>
          <w:rPr>
            <w:noProof/>
            <w:webHidden/>
          </w:rPr>
        </w:r>
        <w:r>
          <w:rPr>
            <w:noProof/>
            <w:webHidden/>
          </w:rPr>
          <w:fldChar w:fldCharType="separate"/>
        </w:r>
        <w:r>
          <w:rPr>
            <w:noProof/>
            <w:webHidden/>
          </w:rPr>
          <w:t>171</w:t>
        </w:r>
        <w:r>
          <w:rPr>
            <w:noProof/>
            <w:webHidden/>
          </w:rPr>
          <w:fldChar w:fldCharType="end"/>
        </w:r>
      </w:hyperlink>
    </w:p>
    <w:p w14:paraId="4E10652F" w14:textId="0537ABAE" w:rsidR="006C4947" w:rsidRDefault="006C4947">
      <w:pPr>
        <w:pStyle w:val="Spisilustracji"/>
        <w:rPr>
          <w:rFonts w:asciiTheme="minorHAnsi" w:eastAsiaTheme="minorEastAsia" w:hAnsiTheme="minorHAnsi" w:cstheme="minorBidi"/>
          <w:noProof/>
          <w:sz w:val="22"/>
          <w:lang w:eastAsia="pl-PL"/>
        </w:rPr>
      </w:pPr>
      <w:hyperlink w:anchor="_Toc68727024" w:history="1">
        <w:r w:rsidRPr="00CF0ACC">
          <w:rPr>
            <w:rStyle w:val="Hipercze"/>
            <w:noProof/>
          </w:rPr>
          <w:t>Tabela 11</w:t>
        </w:r>
        <w:r w:rsidRPr="00CF0ACC">
          <w:rPr>
            <w:rStyle w:val="Hipercze"/>
            <w:noProof/>
          </w:rPr>
          <w:noBreakHyphen/>
          <w:t>12</w:t>
        </w:r>
        <w:r>
          <w:rPr>
            <w:rFonts w:asciiTheme="minorHAnsi" w:eastAsiaTheme="minorEastAsia" w:hAnsiTheme="minorHAnsi" w:cstheme="minorBidi"/>
            <w:noProof/>
            <w:sz w:val="22"/>
            <w:lang w:eastAsia="pl-PL"/>
          </w:rPr>
          <w:tab/>
        </w:r>
        <w:r w:rsidRPr="00CF0ACC">
          <w:rPr>
            <w:rStyle w:val="Hipercze"/>
            <w:noProof/>
          </w:rPr>
          <w:t>Wyniki analizy efektywności kosztowej - wody podziemne</w:t>
        </w:r>
        <w:r>
          <w:rPr>
            <w:noProof/>
            <w:webHidden/>
          </w:rPr>
          <w:tab/>
        </w:r>
        <w:r>
          <w:rPr>
            <w:noProof/>
            <w:webHidden/>
          </w:rPr>
          <w:fldChar w:fldCharType="begin"/>
        </w:r>
        <w:r>
          <w:rPr>
            <w:noProof/>
            <w:webHidden/>
          </w:rPr>
          <w:instrText xml:space="preserve"> PAGEREF _Toc68727024 \h </w:instrText>
        </w:r>
        <w:r>
          <w:rPr>
            <w:noProof/>
            <w:webHidden/>
          </w:rPr>
        </w:r>
        <w:r>
          <w:rPr>
            <w:noProof/>
            <w:webHidden/>
          </w:rPr>
          <w:fldChar w:fldCharType="separate"/>
        </w:r>
        <w:r>
          <w:rPr>
            <w:noProof/>
            <w:webHidden/>
          </w:rPr>
          <w:t>172</w:t>
        </w:r>
        <w:r>
          <w:rPr>
            <w:noProof/>
            <w:webHidden/>
          </w:rPr>
          <w:fldChar w:fldCharType="end"/>
        </w:r>
      </w:hyperlink>
    </w:p>
    <w:p w14:paraId="660697EF" w14:textId="799C3D3E" w:rsidR="006C4947" w:rsidRDefault="006C4947">
      <w:pPr>
        <w:pStyle w:val="Spisilustracji"/>
        <w:rPr>
          <w:rFonts w:asciiTheme="minorHAnsi" w:eastAsiaTheme="minorEastAsia" w:hAnsiTheme="minorHAnsi" w:cstheme="minorBidi"/>
          <w:noProof/>
          <w:sz w:val="22"/>
          <w:lang w:eastAsia="pl-PL"/>
        </w:rPr>
      </w:pPr>
      <w:hyperlink w:anchor="_Toc68727025" w:history="1">
        <w:r w:rsidRPr="00CF0ACC">
          <w:rPr>
            <w:rStyle w:val="Hipercze"/>
            <w:noProof/>
          </w:rPr>
          <w:t>Tabela 11</w:t>
        </w:r>
        <w:r w:rsidRPr="00CF0ACC">
          <w:rPr>
            <w:rStyle w:val="Hipercze"/>
            <w:noProof/>
          </w:rPr>
          <w:noBreakHyphen/>
          <w:t>13</w:t>
        </w:r>
        <w:r>
          <w:rPr>
            <w:rFonts w:asciiTheme="minorHAnsi" w:eastAsiaTheme="minorEastAsia" w:hAnsiTheme="minorHAnsi" w:cstheme="minorBidi"/>
            <w:noProof/>
            <w:sz w:val="22"/>
            <w:lang w:eastAsia="pl-PL"/>
          </w:rPr>
          <w:tab/>
        </w:r>
        <w:r w:rsidRPr="00CF0ACC">
          <w:rPr>
            <w:rStyle w:val="Hipercze"/>
            <w:noProof/>
          </w:rPr>
          <w:t>Wskaźnik istotności presji na stan chemiczny jcwpd (Wip)</w:t>
        </w:r>
        <w:r>
          <w:rPr>
            <w:noProof/>
            <w:webHidden/>
          </w:rPr>
          <w:tab/>
        </w:r>
        <w:r>
          <w:rPr>
            <w:noProof/>
            <w:webHidden/>
          </w:rPr>
          <w:fldChar w:fldCharType="begin"/>
        </w:r>
        <w:r>
          <w:rPr>
            <w:noProof/>
            <w:webHidden/>
          </w:rPr>
          <w:instrText xml:space="preserve"> PAGEREF _Toc68727025 \h </w:instrText>
        </w:r>
        <w:r>
          <w:rPr>
            <w:noProof/>
            <w:webHidden/>
          </w:rPr>
        </w:r>
        <w:r>
          <w:rPr>
            <w:noProof/>
            <w:webHidden/>
          </w:rPr>
          <w:fldChar w:fldCharType="separate"/>
        </w:r>
        <w:r>
          <w:rPr>
            <w:noProof/>
            <w:webHidden/>
          </w:rPr>
          <w:t>173</w:t>
        </w:r>
        <w:r>
          <w:rPr>
            <w:noProof/>
            <w:webHidden/>
          </w:rPr>
          <w:fldChar w:fldCharType="end"/>
        </w:r>
      </w:hyperlink>
    </w:p>
    <w:p w14:paraId="25FFA031" w14:textId="0FBB51AB" w:rsidR="006C4947" w:rsidRDefault="006C4947">
      <w:pPr>
        <w:pStyle w:val="Spisilustracji"/>
        <w:rPr>
          <w:rFonts w:asciiTheme="minorHAnsi" w:eastAsiaTheme="minorEastAsia" w:hAnsiTheme="minorHAnsi" w:cstheme="minorBidi"/>
          <w:noProof/>
          <w:sz w:val="22"/>
          <w:lang w:eastAsia="pl-PL"/>
        </w:rPr>
      </w:pPr>
      <w:hyperlink w:anchor="_Toc68727026" w:history="1">
        <w:r w:rsidRPr="00CF0ACC">
          <w:rPr>
            <w:rStyle w:val="Hipercze"/>
            <w:noProof/>
          </w:rPr>
          <w:t>Tabela 11</w:t>
        </w:r>
        <w:r w:rsidRPr="00CF0ACC">
          <w:rPr>
            <w:rStyle w:val="Hipercze"/>
            <w:noProof/>
          </w:rPr>
          <w:noBreakHyphen/>
          <w:t>14</w:t>
        </w:r>
        <w:r>
          <w:rPr>
            <w:rFonts w:asciiTheme="minorHAnsi" w:eastAsiaTheme="minorEastAsia" w:hAnsiTheme="minorHAnsi" w:cstheme="minorBidi"/>
            <w:noProof/>
            <w:sz w:val="22"/>
            <w:lang w:eastAsia="pl-PL"/>
          </w:rPr>
          <w:tab/>
        </w:r>
        <w:r w:rsidRPr="00CF0ACC">
          <w:rPr>
            <w:rStyle w:val="Hipercze"/>
            <w:noProof/>
          </w:rPr>
          <w:t>Wskaźnik prawdopodobieństwa występowania deficytu wody na cele zaopatrzenia ludności w wodę (Wpd)</w:t>
        </w:r>
        <w:r>
          <w:rPr>
            <w:noProof/>
            <w:webHidden/>
          </w:rPr>
          <w:tab/>
        </w:r>
        <w:r>
          <w:rPr>
            <w:noProof/>
            <w:webHidden/>
          </w:rPr>
          <w:fldChar w:fldCharType="begin"/>
        </w:r>
        <w:r>
          <w:rPr>
            <w:noProof/>
            <w:webHidden/>
          </w:rPr>
          <w:instrText xml:space="preserve"> PAGEREF _Toc68727026 \h </w:instrText>
        </w:r>
        <w:r>
          <w:rPr>
            <w:noProof/>
            <w:webHidden/>
          </w:rPr>
        </w:r>
        <w:r>
          <w:rPr>
            <w:noProof/>
            <w:webHidden/>
          </w:rPr>
          <w:fldChar w:fldCharType="separate"/>
        </w:r>
        <w:r>
          <w:rPr>
            <w:noProof/>
            <w:webHidden/>
          </w:rPr>
          <w:t>174</w:t>
        </w:r>
        <w:r>
          <w:rPr>
            <w:noProof/>
            <w:webHidden/>
          </w:rPr>
          <w:fldChar w:fldCharType="end"/>
        </w:r>
      </w:hyperlink>
    </w:p>
    <w:p w14:paraId="5AB12EA6" w14:textId="6CE63348" w:rsidR="006C4947" w:rsidRDefault="006C4947">
      <w:pPr>
        <w:pStyle w:val="Spisilustracji"/>
        <w:rPr>
          <w:rFonts w:asciiTheme="minorHAnsi" w:eastAsiaTheme="minorEastAsia" w:hAnsiTheme="minorHAnsi" w:cstheme="minorBidi"/>
          <w:noProof/>
          <w:sz w:val="22"/>
          <w:lang w:eastAsia="pl-PL"/>
        </w:rPr>
      </w:pPr>
      <w:hyperlink w:anchor="_Toc68727027" w:history="1">
        <w:r w:rsidRPr="00CF0ACC">
          <w:rPr>
            <w:rStyle w:val="Hipercze"/>
            <w:noProof/>
          </w:rPr>
          <w:t>Tabela 11</w:t>
        </w:r>
        <w:r w:rsidRPr="00CF0ACC">
          <w:rPr>
            <w:rStyle w:val="Hipercze"/>
            <w:noProof/>
          </w:rPr>
          <w:noBreakHyphen/>
          <w:t>15</w:t>
        </w:r>
        <w:r>
          <w:rPr>
            <w:rFonts w:asciiTheme="minorHAnsi" w:eastAsiaTheme="minorEastAsia" w:hAnsiTheme="minorHAnsi" w:cstheme="minorBidi"/>
            <w:noProof/>
            <w:sz w:val="22"/>
            <w:lang w:eastAsia="pl-PL"/>
          </w:rPr>
          <w:tab/>
        </w:r>
        <w:r w:rsidRPr="00CF0ACC">
          <w:rPr>
            <w:rStyle w:val="Hipercze"/>
            <w:noProof/>
          </w:rPr>
          <w:t>Analiza ekonomiczna - wskaźniki</w:t>
        </w:r>
        <w:r>
          <w:rPr>
            <w:noProof/>
            <w:webHidden/>
          </w:rPr>
          <w:tab/>
        </w:r>
        <w:r>
          <w:rPr>
            <w:noProof/>
            <w:webHidden/>
          </w:rPr>
          <w:fldChar w:fldCharType="begin"/>
        </w:r>
        <w:r>
          <w:rPr>
            <w:noProof/>
            <w:webHidden/>
          </w:rPr>
          <w:instrText xml:space="preserve"> PAGEREF _Toc68727027 \h </w:instrText>
        </w:r>
        <w:r>
          <w:rPr>
            <w:noProof/>
            <w:webHidden/>
          </w:rPr>
        </w:r>
        <w:r>
          <w:rPr>
            <w:noProof/>
            <w:webHidden/>
          </w:rPr>
          <w:fldChar w:fldCharType="separate"/>
        </w:r>
        <w:r>
          <w:rPr>
            <w:noProof/>
            <w:webHidden/>
          </w:rPr>
          <w:t>174</w:t>
        </w:r>
        <w:r>
          <w:rPr>
            <w:noProof/>
            <w:webHidden/>
          </w:rPr>
          <w:fldChar w:fldCharType="end"/>
        </w:r>
      </w:hyperlink>
    </w:p>
    <w:p w14:paraId="5A576EA5" w14:textId="6B336F3D" w:rsidR="006C4947" w:rsidRDefault="006C4947">
      <w:pPr>
        <w:pStyle w:val="Spisilustracji"/>
        <w:rPr>
          <w:rFonts w:asciiTheme="minorHAnsi" w:eastAsiaTheme="minorEastAsia" w:hAnsiTheme="minorHAnsi" w:cstheme="minorBidi"/>
          <w:noProof/>
          <w:sz w:val="22"/>
          <w:lang w:eastAsia="pl-PL"/>
        </w:rPr>
      </w:pPr>
      <w:hyperlink w:anchor="_Toc68727028" w:history="1">
        <w:r w:rsidRPr="00CF0ACC">
          <w:rPr>
            <w:rStyle w:val="Hipercze"/>
            <w:noProof/>
          </w:rPr>
          <w:t>Tabela 11</w:t>
        </w:r>
        <w:r w:rsidRPr="00CF0ACC">
          <w:rPr>
            <w:rStyle w:val="Hipercze"/>
            <w:noProof/>
          </w:rPr>
          <w:noBreakHyphen/>
          <w:t>16</w:t>
        </w:r>
        <w:r>
          <w:rPr>
            <w:rFonts w:asciiTheme="minorHAnsi" w:eastAsiaTheme="minorEastAsia" w:hAnsiTheme="minorHAnsi" w:cstheme="minorBidi"/>
            <w:noProof/>
            <w:sz w:val="22"/>
            <w:lang w:eastAsia="pl-PL"/>
          </w:rPr>
          <w:tab/>
        </w:r>
        <w:r w:rsidRPr="00CF0ACC">
          <w:rPr>
            <w:rStyle w:val="Hipercze"/>
            <w:noProof/>
          </w:rPr>
          <w:t>Wyniki analiz ekonomicznych - ocena jakościowa</w:t>
        </w:r>
        <w:r>
          <w:rPr>
            <w:noProof/>
            <w:webHidden/>
          </w:rPr>
          <w:tab/>
        </w:r>
        <w:r>
          <w:rPr>
            <w:noProof/>
            <w:webHidden/>
          </w:rPr>
          <w:fldChar w:fldCharType="begin"/>
        </w:r>
        <w:r>
          <w:rPr>
            <w:noProof/>
            <w:webHidden/>
          </w:rPr>
          <w:instrText xml:space="preserve"> PAGEREF _Toc68727028 \h </w:instrText>
        </w:r>
        <w:r>
          <w:rPr>
            <w:noProof/>
            <w:webHidden/>
          </w:rPr>
        </w:r>
        <w:r>
          <w:rPr>
            <w:noProof/>
            <w:webHidden/>
          </w:rPr>
          <w:fldChar w:fldCharType="separate"/>
        </w:r>
        <w:r>
          <w:rPr>
            <w:noProof/>
            <w:webHidden/>
          </w:rPr>
          <w:t>175</w:t>
        </w:r>
        <w:r>
          <w:rPr>
            <w:noProof/>
            <w:webHidden/>
          </w:rPr>
          <w:fldChar w:fldCharType="end"/>
        </w:r>
      </w:hyperlink>
    </w:p>
    <w:p w14:paraId="673C8FB3" w14:textId="52FE4FB7" w:rsidR="006C4947" w:rsidRDefault="006C4947">
      <w:pPr>
        <w:pStyle w:val="Spisilustracji"/>
        <w:rPr>
          <w:rFonts w:asciiTheme="minorHAnsi" w:eastAsiaTheme="minorEastAsia" w:hAnsiTheme="minorHAnsi" w:cstheme="minorBidi"/>
          <w:noProof/>
          <w:sz w:val="22"/>
          <w:lang w:eastAsia="pl-PL"/>
        </w:rPr>
      </w:pPr>
      <w:hyperlink w:anchor="_Toc68727029" w:history="1">
        <w:r w:rsidRPr="00CF0ACC">
          <w:rPr>
            <w:rStyle w:val="Hipercze"/>
            <w:noProof/>
          </w:rPr>
          <w:t>Tabela 12</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Kodowanie działań w katalogu jcw</w:t>
        </w:r>
        <w:r>
          <w:rPr>
            <w:noProof/>
            <w:webHidden/>
          </w:rPr>
          <w:tab/>
        </w:r>
        <w:r>
          <w:rPr>
            <w:noProof/>
            <w:webHidden/>
          </w:rPr>
          <w:fldChar w:fldCharType="begin"/>
        </w:r>
        <w:r>
          <w:rPr>
            <w:noProof/>
            <w:webHidden/>
          </w:rPr>
          <w:instrText xml:space="preserve"> PAGEREF _Toc68727029 \h </w:instrText>
        </w:r>
        <w:r>
          <w:rPr>
            <w:noProof/>
            <w:webHidden/>
          </w:rPr>
        </w:r>
        <w:r>
          <w:rPr>
            <w:noProof/>
            <w:webHidden/>
          </w:rPr>
          <w:fldChar w:fldCharType="separate"/>
        </w:r>
        <w:r>
          <w:rPr>
            <w:noProof/>
            <w:webHidden/>
          </w:rPr>
          <w:t>184</w:t>
        </w:r>
        <w:r>
          <w:rPr>
            <w:noProof/>
            <w:webHidden/>
          </w:rPr>
          <w:fldChar w:fldCharType="end"/>
        </w:r>
      </w:hyperlink>
    </w:p>
    <w:p w14:paraId="1961A51D" w14:textId="4224F9DC" w:rsidR="006C4947" w:rsidRDefault="006C4947">
      <w:pPr>
        <w:pStyle w:val="Spisilustracji"/>
        <w:rPr>
          <w:rFonts w:asciiTheme="minorHAnsi" w:eastAsiaTheme="minorEastAsia" w:hAnsiTheme="minorHAnsi" w:cstheme="minorBidi"/>
          <w:noProof/>
          <w:sz w:val="22"/>
          <w:lang w:eastAsia="pl-PL"/>
        </w:rPr>
      </w:pPr>
      <w:hyperlink w:anchor="_Toc68727030" w:history="1">
        <w:r w:rsidRPr="00CF0ACC">
          <w:rPr>
            <w:rStyle w:val="Hipercze"/>
            <w:noProof/>
          </w:rPr>
          <w:t>Tabela 12</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Kodowanie działań w katalogu jcwpd</w:t>
        </w:r>
        <w:r>
          <w:rPr>
            <w:noProof/>
            <w:webHidden/>
          </w:rPr>
          <w:tab/>
        </w:r>
        <w:r>
          <w:rPr>
            <w:noProof/>
            <w:webHidden/>
          </w:rPr>
          <w:fldChar w:fldCharType="begin"/>
        </w:r>
        <w:r>
          <w:rPr>
            <w:noProof/>
            <w:webHidden/>
          </w:rPr>
          <w:instrText xml:space="preserve"> PAGEREF _Toc68727030 \h </w:instrText>
        </w:r>
        <w:r>
          <w:rPr>
            <w:noProof/>
            <w:webHidden/>
          </w:rPr>
        </w:r>
        <w:r>
          <w:rPr>
            <w:noProof/>
            <w:webHidden/>
          </w:rPr>
          <w:fldChar w:fldCharType="separate"/>
        </w:r>
        <w:r>
          <w:rPr>
            <w:noProof/>
            <w:webHidden/>
          </w:rPr>
          <w:t>185</w:t>
        </w:r>
        <w:r>
          <w:rPr>
            <w:noProof/>
            <w:webHidden/>
          </w:rPr>
          <w:fldChar w:fldCharType="end"/>
        </w:r>
      </w:hyperlink>
    </w:p>
    <w:p w14:paraId="52081044" w14:textId="7ABE706F" w:rsidR="006C4947" w:rsidRDefault="006C4947">
      <w:pPr>
        <w:pStyle w:val="Spisilustracji"/>
        <w:rPr>
          <w:rFonts w:asciiTheme="minorHAnsi" w:eastAsiaTheme="minorEastAsia" w:hAnsiTheme="minorHAnsi" w:cstheme="minorBidi"/>
          <w:noProof/>
          <w:sz w:val="22"/>
          <w:lang w:eastAsia="pl-PL"/>
        </w:rPr>
      </w:pPr>
      <w:hyperlink w:anchor="_Toc68727031" w:history="1">
        <w:r w:rsidRPr="00CF0ACC">
          <w:rPr>
            <w:rStyle w:val="Hipercze"/>
            <w:noProof/>
          </w:rPr>
          <w:t>Tabela 12</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Liczba działań poszczególnych kodów IIaPGW jcwp RW</w:t>
        </w:r>
        <w:r>
          <w:rPr>
            <w:noProof/>
            <w:webHidden/>
          </w:rPr>
          <w:tab/>
        </w:r>
        <w:r>
          <w:rPr>
            <w:noProof/>
            <w:webHidden/>
          </w:rPr>
          <w:fldChar w:fldCharType="begin"/>
        </w:r>
        <w:r>
          <w:rPr>
            <w:noProof/>
            <w:webHidden/>
          </w:rPr>
          <w:instrText xml:space="preserve"> PAGEREF _Toc68727031 \h </w:instrText>
        </w:r>
        <w:r>
          <w:rPr>
            <w:noProof/>
            <w:webHidden/>
          </w:rPr>
        </w:r>
        <w:r>
          <w:rPr>
            <w:noProof/>
            <w:webHidden/>
          </w:rPr>
          <w:fldChar w:fldCharType="separate"/>
        </w:r>
        <w:r>
          <w:rPr>
            <w:noProof/>
            <w:webHidden/>
          </w:rPr>
          <w:t>187</w:t>
        </w:r>
        <w:r>
          <w:rPr>
            <w:noProof/>
            <w:webHidden/>
          </w:rPr>
          <w:fldChar w:fldCharType="end"/>
        </w:r>
      </w:hyperlink>
    </w:p>
    <w:p w14:paraId="1A64EC87" w14:textId="7416B904" w:rsidR="006C4947" w:rsidRDefault="006C4947">
      <w:pPr>
        <w:pStyle w:val="Spisilustracji"/>
        <w:rPr>
          <w:rFonts w:asciiTheme="minorHAnsi" w:eastAsiaTheme="minorEastAsia" w:hAnsiTheme="minorHAnsi" w:cstheme="minorBidi"/>
          <w:noProof/>
          <w:sz w:val="22"/>
          <w:lang w:eastAsia="pl-PL"/>
        </w:rPr>
      </w:pPr>
      <w:hyperlink w:anchor="_Toc68727032" w:history="1">
        <w:r w:rsidRPr="00CF0ACC">
          <w:rPr>
            <w:rStyle w:val="Hipercze"/>
            <w:noProof/>
          </w:rPr>
          <w:t>Tabela 12</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Liczba działań poszczególnych kodów IIaPGW jcwp LW</w:t>
        </w:r>
        <w:r>
          <w:rPr>
            <w:noProof/>
            <w:webHidden/>
          </w:rPr>
          <w:tab/>
        </w:r>
        <w:r>
          <w:rPr>
            <w:noProof/>
            <w:webHidden/>
          </w:rPr>
          <w:fldChar w:fldCharType="begin"/>
        </w:r>
        <w:r>
          <w:rPr>
            <w:noProof/>
            <w:webHidden/>
          </w:rPr>
          <w:instrText xml:space="preserve"> PAGEREF _Toc68727032 \h </w:instrText>
        </w:r>
        <w:r>
          <w:rPr>
            <w:noProof/>
            <w:webHidden/>
          </w:rPr>
        </w:r>
        <w:r>
          <w:rPr>
            <w:noProof/>
            <w:webHidden/>
          </w:rPr>
          <w:fldChar w:fldCharType="separate"/>
        </w:r>
        <w:r>
          <w:rPr>
            <w:noProof/>
            <w:webHidden/>
          </w:rPr>
          <w:t>191</w:t>
        </w:r>
        <w:r>
          <w:rPr>
            <w:noProof/>
            <w:webHidden/>
          </w:rPr>
          <w:fldChar w:fldCharType="end"/>
        </w:r>
      </w:hyperlink>
    </w:p>
    <w:p w14:paraId="2CD2B922" w14:textId="279F1383" w:rsidR="006C4947" w:rsidRDefault="006C4947">
      <w:pPr>
        <w:pStyle w:val="Spisilustracji"/>
        <w:rPr>
          <w:rFonts w:asciiTheme="minorHAnsi" w:eastAsiaTheme="minorEastAsia" w:hAnsiTheme="minorHAnsi" w:cstheme="minorBidi"/>
          <w:noProof/>
          <w:sz w:val="22"/>
          <w:lang w:eastAsia="pl-PL"/>
        </w:rPr>
      </w:pPr>
      <w:hyperlink w:anchor="_Toc68727033" w:history="1">
        <w:r w:rsidRPr="00CF0ACC">
          <w:rPr>
            <w:rStyle w:val="Hipercze"/>
            <w:noProof/>
          </w:rPr>
          <w:t>Tabela 12</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Liczba działań w poszczególnych grupach IIaPGW</w:t>
        </w:r>
        <w:r>
          <w:rPr>
            <w:noProof/>
            <w:webHidden/>
          </w:rPr>
          <w:tab/>
        </w:r>
        <w:r>
          <w:rPr>
            <w:noProof/>
            <w:webHidden/>
          </w:rPr>
          <w:fldChar w:fldCharType="begin"/>
        </w:r>
        <w:r>
          <w:rPr>
            <w:noProof/>
            <w:webHidden/>
          </w:rPr>
          <w:instrText xml:space="preserve"> PAGEREF _Toc68727033 \h </w:instrText>
        </w:r>
        <w:r>
          <w:rPr>
            <w:noProof/>
            <w:webHidden/>
          </w:rPr>
        </w:r>
        <w:r>
          <w:rPr>
            <w:noProof/>
            <w:webHidden/>
          </w:rPr>
          <w:fldChar w:fldCharType="separate"/>
        </w:r>
        <w:r>
          <w:rPr>
            <w:noProof/>
            <w:webHidden/>
          </w:rPr>
          <w:t>196</w:t>
        </w:r>
        <w:r>
          <w:rPr>
            <w:noProof/>
            <w:webHidden/>
          </w:rPr>
          <w:fldChar w:fldCharType="end"/>
        </w:r>
      </w:hyperlink>
    </w:p>
    <w:p w14:paraId="2B1508C5" w14:textId="28C87DD4" w:rsidR="006C4947" w:rsidRDefault="006C4947">
      <w:pPr>
        <w:pStyle w:val="Spisilustracji"/>
        <w:rPr>
          <w:rFonts w:asciiTheme="minorHAnsi" w:eastAsiaTheme="minorEastAsia" w:hAnsiTheme="minorHAnsi" w:cstheme="minorBidi"/>
          <w:noProof/>
          <w:sz w:val="22"/>
          <w:lang w:eastAsia="pl-PL"/>
        </w:rPr>
      </w:pPr>
      <w:hyperlink w:anchor="_Toc68727034" w:history="1">
        <w:r w:rsidRPr="00CF0ACC">
          <w:rPr>
            <w:rStyle w:val="Hipercze"/>
            <w:noProof/>
          </w:rPr>
          <w:t>Tabela 12</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Zestawienie działań zalecanych do wdrożenia w jcwp RW na obszarze dorzecza Pregoły</w:t>
        </w:r>
        <w:r>
          <w:rPr>
            <w:noProof/>
            <w:webHidden/>
          </w:rPr>
          <w:tab/>
        </w:r>
        <w:r>
          <w:rPr>
            <w:noProof/>
            <w:webHidden/>
          </w:rPr>
          <w:fldChar w:fldCharType="begin"/>
        </w:r>
        <w:r>
          <w:rPr>
            <w:noProof/>
            <w:webHidden/>
          </w:rPr>
          <w:instrText xml:space="preserve"> PAGEREF _Toc68727034 \h </w:instrText>
        </w:r>
        <w:r>
          <w:rPr>
            <w:noProof/>
            <w:webHidden/>
          </w:rPr>
        </w:r>
        <w:r>
          <w:rPr>
            <w:noProof/>
            <w:webHidden/>
          </w:rPr>
          <w:fldChar w:fldCharType="separate"/>
        </w:r>
        <w:r>
          <w:rPr>
            <w:noProof/>
            <w:webHidden/>
          </w:rPr>
          <w:t>199</w:t>
        </w:r>
        <w:r>
          <w:rPr>
            <w:noProof/>
            <w:webHidden/>
          </w:rPr>
          <w:fldChar w:fldCharType="end"/>
        </w:r>
      </w:hyperlink>
    </w:p>
    <w:p w14:paraId="60FE48FA" w14:textId="795FC48B" w:rsidR="006C4947" w:rsidRDefault="006C4947">
      <w:pPr>
        <w:pStyle w:val="Spisilustracji"/>
        <w:rPr>
          <w:rFonts w:asciiTheme="minorHAnsi" w:eastAsiaTheme="minorEastAsia" w:hAnsiTheme="minorHAnsi" w:cstheme="minorBidi"/>
          <w:noProof/>
          <w:sz w:val="22"/>
          <w:lang w:eastAsia="pl-PL"/>
        </w:rPr>
      </w:pPr>
      <w:hyperlink w:anchor="_Toc68727035" w:history="1">
        <w:r w:rsidRPr="00CF0ACC">
          <w:rPr>
            <w:rStyle w:val="Hipercze"/>
            <w:noProof/>
          </w:rPr>
          <w:t>Tabela 12</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Zestawienie działań zalecanych do wdrożenia w jcwp LW na obszarze dorzecza Pregoły</w:t>
        </w:r>
        <w:r>
          <w:rPr>
            <w:noProof/>
            <w:webHidden/>
          </w:rPr>
          <w:tab/>
        </w:r>
        <w:r>
          <w:rPr>
            <w:noProof/>
            <w:webHidden/>
          </w:rPr>
          <w:fldChar w:fldCharType="begin"/>
        </w:r>
        <w:r>
          <w:rPr>
            <w:noProof/>
            <w:webHidden/>
          </w:rPr>
          <w:instrText xml:space="preserve"> PAGEREF _Toc68727035 \h </w:instrText>
        </w:r>
        <w:r>
          <w:rPr>
            <w:noProof/>
            <w:webHidden/>
          </w:rPr>
        </w:r>
        <w:r>
          <w:rPr>
            <w:noProof/>
            <w:webHidden/>
          </w:rPr>
          <w:fldChar w:fldCharType="separate"/>
        </w:r>
        <w:r>
          <w:rPr>
            <w:noProof/>
            <w:webHidden/>
          </w:rPr>
          <w:t>202</w:t>
        </w:r>
        <w:r>
          <w:rPr>
            <w:noProof/>
            <w:webHidden/>
          </w:rPr>
          <w:fldChar w:fldCharType="end"/>
        </w:r>
      </w:hyperlink>
    </w:p>
    <w:p w14:paraId="16428FBD" w14:textId="4C413F58" w:rsidR="006C4947" w:rsidRDefault="006C4947">
      <w:pPr>
        <w:pStyle w:val="Spisilustracji"/>
        <w:rPr>
          <w:rFonts w:asciiTheme="minorHAnsi" w:eastAsiaTheme="minorEastAsia" w:hAnsiTheme="minorHAnsi" w:cstheme="minorBidi"/>
          <w:noProof/>
          <w:sz w:val="22"/>
          <w:lang w:eastAsia="pl-PL"/>
        </w:rPr>
      </w:pPr>
      <w:hyperlink w:anchor="_Toc68727036" w:history="1">
        <w:r w:rsidRPr="00CF0ACC">
          <w:rPr>
            <w:rStyle w:val="Hipercze"/>
            <w:noProof/>
          </w:rPr>
          <w:t>Tabela 12</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Koszty zestawu działań w obszarze dorzecza Pregoły (w tys. zł)</w:t>
        </w:r>
        <w:r>
          <w:rPr>
            <w:noProof/>
            <w:webHidden/>
          </w:rPr>
          <w:tab/>
        </w:r>
        <w:r>
          <w:rPr>
            <w:noProof/>
            <w:webHidden/>
          </w:rPr>
          <w:fldChar w:fldCharType="begin"/>
        </w:r>
        <w:r>
          <w:rPr>
            <w:noProof/>
            <w:webHidden/>
          </w:rPr>
          <w:instrText xml:space="preserve"> PAGEREF _Toc68727036 \h </w:instrText>
        </w:r>
        <w:r>
          <w:rPr>
            <w:noProof/>
            <w:webHidden/>
          </w:rPr>
        </w:r>
        <w:r>
          <w:rPr>
            <w:noProof/>
            <w:webHidden/>
          </w:rPr>
          <w:fldChar w:fldCharType="separate"/>
        </w:r>
        <w:r>
          <w:rPr>
            <w:noProof/>
            <w:webHidden/>
          </w:rPr>
          <w:t>206</w:t>
        </w:r>
        <w:r>
          <w:rPr>
            <w:noProof/>
            <w:webHidden/>
          </w:rPr>
          <w:fldChar w:fldCharType="end"/>
        </w:r>
      </w:hyperlink>
    </w:p>
    <w:p w14:paraId="1291153D" w14:textId="552AF8D1" w:rsidR="006C4947" w:rsidRDefault="006C4947">
      <w:pPr>
        <w:pStyle w:val="Spisilustracji"/>
        <w:rPr>
          <w:rFonts w:asciiTheme="minorHAnsi" w:eastAsiaTheme="minorEastAsia" w:hAnsiTheme="minorHAnsi" w:cstheme="minorBidi"/>
          <w:noProof/>
          <w:sz w:val="22"/>
          <w:lang w:eastAsia="pl-PL"/>
        </w:rPr>
      </w:pPr>
      <w:hyperlink w:anchor="_Toc68727037" w:history="1">
        <w:r w:rsidRPr="00CF0ACC">
          <w:rPr>
            <w:rStyle w:val="Hipercze"/>
            <w:noProof/>
          </w:rPr>
          <w:t>Tabela 12</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Udział poszczególnych kategorii wód w kosztach ogółem zestawu działań w obszarze dorzecza Pregoły</w:t>
        </w:r>
        <w:r>
          <w:rPr>
            <w:noProof/>
            <w:webHidden/>
          </w:rPr>
          <w:tab/>
        </w:r>
        <w:r>
          <w:rPr>
            <w:noProof/>
            <w:webHidden/>
          </w:rPr>
          <w:fldChar w:fldCharType="begin"/>
        </w:r>
        <w:r>
          <w:rPr>
            <w:noProof/>
            <w:webHidden/>
          </w:rPr>
          <w:instrText xml:space="preserve"> PAGEREF _Toc68727037 \h </w:instrText>
        </w:r>
        <w:r>
          <w:rPr>
            <w:noProof/>
            <w:webHidden/>
          </w:rPr>
        </w:r>
        <w:r>
          <w:rPr>
            <w:noProof/>
            <w:webHidden/>
          </w:rPr>
          <w:fldChar w:fldCharType="separate"/>
        </w:r>
        <w:r>
          <w:rPr>
            <w:noProof/>
            <w:webHidden/>
          </w:rPr>
          <w:t>206</w:t>
        </w:r>
        <w:r>
          <w:rPr>
            <w:noProof/>
            <w:webHidden/>
          </w:rPr>
          <w:fldChar w:fldCharType="end"/>
        </w:r>
      </w:hyperlink>
    </w:p>
    <w:p w14:paraId="62E874E3" w14:textId="438ECEEE" w:rsidR="006C4947" w:rsidRDefault="006C4947">
      <w:pPr>
        <w:pStyle w:val="Spisilustracji"/>
        <w:rPr>
          <w:rFonts w:asciiTheme="minorHAnsi" w:eastAsiaTheme="minorEastAsia" w:hAnsiTheme="minorHAnsi" w:cstheme="minorBidi"/>
          <w:noProof/>
          <w:sz w:val="22"/>
          <w:lang w:eastAsia="pl-PL"/>
        </w:rPr>
      </w:pPr>
      <w:hyperlink w:anchor="_Toc68727038" w:history="1">
        <w:r w:rsidRPr="00CF0ACC">
          <w:rPr>
            <w:rStyle w:val="Hipercze"/>
            <w:noProof/>
          </w:rPr>
          <w:t>Tabela 12</w:t>
        </w:r>
        <w:r w:rsidRPr="00CF0ACC">
          <w:rPr>
            <w:rStyle w:val="Hipercze"/>
            <w:noProof/>
          </w:rPr>
          <w:noBreakHyphen/>
          <w:t>10</w:t>
        </w:r>
        <w:r>
          <w:rPr>
            <w:rFonts w:asciiTheme="minorHAnsi" w:eastAsiaTheme="minorEastAsia" w:hAnsiTheme="minorHAnsi" w:cstheme="minorBidi"/>
            <w:noProof/>
            <w:sz w:val="22"/>
            <w:lang w:eastAsia="pl-PL"/>
          </w:rPr>
          <w:tab/>
        </w:r>
        <w:r w:rsidRPr="00CF0ACC">
          <w:rPr>
            <w:rStyle w:val="Hipercze"/>
            <w:noProof/>
          </w:rPr>
          <w:t>Koszty zestawu działań według rodzajów działań (w tys. zł) w obszarze dorzecza Pregoły</w:t>
        </w:r>
        <w:r>
          <w:rPr>
            <w:noProof/>
            <w:webHidden/>
          </w:rPr>
          <w:tab/>
        </w:r>
        <w:r>
          <w:rPr>
            <w:noProof/>
            <w:webHidden/>
          </w:rPr>
          <w:fldChar w:fldCharType="begin"/>
        </w:r>
        <w:r>
          <w:rPr>
            <w:noProof/>
            <w:webHidden/>
          </w:rPr>
          <w:instrText xml:space="preserve"> PAGEREF _Toc68727038 \h </w:instrText>
        </w:r>
        <w:r>
          <w:rPr>
            <w:noProof/>
            <w:webHidden/>
          </w:rPr>
        </w:r>
        <w:r>
          <w:rPr>
            <w:noProof/>
            <w:webHidden/>
          </w:rPr>
          <w:fldChar w:fldCharType="separate"/>
        </w:r>
        <w:r>
          <w:rPr>
            <w:noProof/>
            <w:webHidden/>
          </w:rPr>
          <w:t>207</w:t>
        </w:r>
        <w:r>
          <w:rPr>
            <w:noProof/>
            <w:webHidden/>
          </w:rPr>
          <w:fldChar w:fldCharType="end"/>
        </w:r>
      </w:hyperlink>
    </w:p>
    <w:p w14:paraId="0AD91D5B" w14:textId="4D6B6804" w:rsidR="006C4947" w:rsidRDefault="006C4947">
      <w:pPr>
        <w:pStyle w:val="Spisilustracji"/>
        <w:rPr>
          <w:rFonts w:asciiTheme="minorHAnsi" w:eastAsiaTheme="minorEastAsia" w:hAnsiTheme="minorHAnsi" w:cstheme="minorBidi"/>
          <w:noProof/>
          <w:sz w:val="22"/>
          <w:lang w:eastAsia="pl-PL"/>
        </w:rPr>
      </w:pPr>
      <w:hyperlink w:anchor="_Toc68727039" w:history="1">
        <w:r w:rsidRPr="00CF0ACC">
          <w:rPr>
            <w:rStyle w:val="Hipercze"/>
            <w:noProof/>
          </w:rPr>
          <w:t>Tabela 12</w:t>
        </w:r>
        <w:r w:rsidRPr="00CF0ACC">
          <w:rPr>
            <w:rStyle w:val="Hipercze"/>
            <w:noProof/>
          </w:rPr>
          <w:noBreakHyphen/>
          <w:t>11</w:t>
        </w:r>
        <w:r>
          <w:rPr>
            <w:rFonts w:asciiTheme="minorHAnsi" w:eastAsiaTheme="minorEastAsia" w:hAnsiTheme="minorHAnsi" w:cstheme="minorBidi"/>
            <w:noProof/>
            <w:sz w:val="22"/>
            <w:lang w:eastAsia="pl-PL"/>
          </w:rPr>
          <w:tab/>
        </w:r>
        <w:r w:rsidRPr="00CF0ACC">
          <w:rPr>
            <w:rStyle w:val="Hipercze"/>
            <w:noProof/>
          </w:rPr>
          <w:t>Koszty zestawu działań według kategorii działań (w tys. zł) w obszarze dorzecza Pregoły</w:t>
        </w:r>
        <w:r>
          <w:rPr>
            <w:noProof/>
            <w:webHidden/>
          </w:rPr>
          <w:tab/>
        </w:r>
        <w:r>
          <w:rPr>
            <w:noProof/>
            <w:webHidden/>
          </w:rPr>
          <w:fldChar w:fldCharType="begin"/>
        </w:r>
        <w:r>
          <w:rPr>
            <w:noProof/>
            <w:webHidden/>
          </w:rPr>
          <w:instrText xml:space="preserve"> PAGEREF _Toc68727039 \h </w:instrText>
        </w:r>
        <w:r>
          <w:rPr>
            <w:noProof/>
            <w:webHidden/>
          </w:rPr>
        </w:r>
        <w:r>
          <w:rPr>
            <w:noProof/>
            <w:webHidden/>
          </w:rPr>
          <w:fldChar w:fldCharType="separate"/>
        </w:r>
        <w:r>
          <w:rPr>
            <w:noProof/>
            <w:webHidden/>
          </w:rPr>
          <w:t>207</w:t>
        </w:r>
        <w:r>
          <w:rPr>
            <w:noProof/>
            <w:webHidden/>
          </w:rPr>
          <w:fldChar w:fldCharType="end"/>
        </w:r>
      </w:hyperlink>
    </w:p>
    <w:p w14:paraId="4647ED52" w14:textId="2156FC1D" w:rsidR="006C4947" w:rsidRDefault="006C4947">
      <w:pPr>
        <w:pStyle w:val="Spisilustracji"/>
        <w:rPr>
          <w:rFonts w:asciiTheme="minorHAnsi" w:eastAsiaTheme="minorEastAsia" w:hAnsiTheme="minorHAnsi" w:cstheme="minorBidi"/>
          <w:noProof/>
          <w:sz w:val="22"/>
          <w:lang w:eastAsia="pl-PL"/>
        </w:rPr>
      </w:pPr>
      <w:hyperlink w:anchor="_Toc68727040" w:history="1">
        <w:r w:rsidRPr="00CF0ACC">
          <w:rPr>
            <w:rStyle w:val="Hipercze"/>
            <w:noProof/>
          </w:rPr>
          <w:t>Tabela 12</w:t>
        </w:r>
        <w:r w:rsidRPr="00CF0ACC">
          <w:rPr>
            <w:rStyle w:val="Hipercze"/>
            <w:noProof/>
          </w:rPr>
          <w:noBreakHyphen/>
          <w:t>12</w:t>
        </w:r>
        <w:r>
          <w:rPr>
            <w:rFonts w:asciiTheme="minorHAnsi" w:eastAsiaTheme="minorEastAsia" w:hAnsiTheme="minorHAnsi" w:cstheme="minorBidi"/>
            <w:noProof/>
            <w:sz w:val="22"/>
            <w:lang w:eastAsia="pl-PL"/>
          </w:rPr>
          <w:tab/>
        </w:r>
        <w:r w:rsidRPr="00CF0ACC">
          <w:rPr>
            <w:rStyle w:val="Hipercze"/>
            <w:noProof/>
          </w:rPr>
          <w:t>Ocena realności wdrożenia działań - dorzecze Pregoły</w:t>
        </w:r>
        <w:r>
          <w:rPr>
            <w:noProof/>
            <w:webHidden/>
          </w:rPr>
          <w:tab/>
        </w:r>
        <w:r>
          <w:rPr>
            <w:noProof/>
            <w:webHidden/>
          </w:rPr>
          <w:fldChar w:fldCharType="begin"/>
        </w:r>
        <w:r>
          <w:rPr>
            <w:noProof/>
            <w:webHidden/>
          </w:rPr>
          <w:instrText xml:space="preserve"> PAGEREF _Toc68727040 \h </w:instrText>
        </w:r>
        <w:r>
          <w:rPr>
            <w:noProof/>
            <w:webHidden/>
          </w:rPr>
        </w:r>
        <w:r>
          <w:rPr>
            <w:noProof/>
            <w:webHidden/>
          </w:rPr>
          <w:fldChar w:fldCharType="separate"/>
        </w:r>
        <w:r>
          <w:rPr>
            <w:noProof/>
            <w:webHidden/>
          </w:rPr>
          <w:t>208</w:t>
        </w:r>
        <w:r>
          <w:rPr>
            <w:noProof/>
            <w:webHidden/>
          </w:rPr>
          <w:fldChar w:fldCharType="end"/>
        </w:r>
      </w:hyperlink>
    </w:p>
    <w:p w14:paraId="506844A5" w14:textId="4F99140D" w:rsidR="006C4947" w:rsidRDefault="006C4947">
      <w:pPr>
        <w:pStyle w:val="Spisilustracji"/>
        <w:rPr>
          <w:rFonts w:asciiTheme="minorHAnsi" w:eastAsiaTheme="minorEastAsia" w:hAnsiTheme="minorHAnsi" w:cstheme="minorBidi"/>
          <w:noProof/>
          <w:sz w:val="22"/>
          <w:lang w:eastAsia="pl-PL"/>
        </w:rPr>
      </w:pPr>
      <w:hyperlink w:anchor="_Toc68727041" w:history="1">
        <w:r w:rsidRPr="00CF0ACC">
          <w:rPr>
            <w:rStyle w:val="Hipercze"/>
            <w:noProof/>
          </w:rPr>
          <w:t>Tabela 13</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Działania związane z wdrażaniem zasady zwrotu kosztów usług wodnych ujęte w aPWŚK</w:t>
        </w:r>
        <w:r>
          <w:rPr>
            <w:noProof/>
            <w:webHidden/>
          </w:rPr>
          <w:tab/>
        </w:r>
        <w:r>
          <w:rPr>
            <w:noProof/>
            <w:webHidden/>
          </w:rPr>
          <w:fldChar w:fldCharType="begin"/>
        </w:r>
        <w:r>
          <w:rPr>
            <w:noProof/>
            <w:webHidden/>
          </w:rPr>
          <w:instrText xml:space="preserve"> PAGEREF _Toc68727041 \h </w:instrText>
        </w:r>
        <w:r>
          <w:rPr>
            <w:noProof/>
            <w:webHidden/>
          </w:rPr>
        </w:r>
        <w:r>
          <w:rPr>
            <w:noProof/>
            <w:webHidden/>
          </w:rPr>
          <w:fldChar w:fldCharType="separate"/>
        </w:r>
        <w:r>
          <w:rPr>
            <w:noProof/>
            <w:webHidden/>
          </w:rPr>
          <w:t>209</w:t>
        </w:r>
        <w:r>
          <w:rPr>
            <w:noProof/>
            <w:webHidden/>
          </w:rPr>
          <w:fldChar w:fldCharType="end"/>
        </w:r>
      </w:hyperlink>
    </w:p>
    <w:p w14:paraId="4B1E5052" w14:textId="51921DD2" w:rsidR="006C4947" w:rsidRDefault="006C4947">
      <w:pPr>
        <w:pStyle w:val="Spisilustracji"/>
        <w:rPr>
          <w:rFonts w:asciiTheme="minorHAnsi" w:eastAsiaTheme="minorEastAsia" w:hAnsiTheme="minorHAnsi" w:cstheme="minorBidi"/>
          <w:noProof/>
          <w:sz w:val="22"/>
          <w:lang w:eastAsia="pl-PL"/>
        </w:rPr>
      </w:pPr>
      <w:hyperlink w:anchor="_Toc68727042" w:history="1">
        <w:r w:rsidRPr="00CF0ACC">
          <w:rPr>
            <w:rStyle w:val="Hipercze"/>
            <w:noProof/>
          </w:rPr>
          <w:t>Tabela 13</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Liczba złożonych wniosków taryfowych wg organu regulacyjnego (RZGW WP)</w:t>
        </w:r>
        <w:r>
          <w:rPr>
            <w:noProof/>
            <w:webHidden/>
          </w:rPr>
          <w:tab/>
        </w:r>
        <w:r>
          <w:rPr>
            <w:noProof/>
            <w:webHidden/>
          </w:rPr>
          <w:fldChar w:fldCharType="begin"/>
        </w:r>
        <w:r>
          <w:rPr>
            <w:noProof/>
            <w:webHidden/>
          </w:rPr>
          <w:instrText xml:space="preserve"> PAGEREF _Toc68727042 \h </w:instrText>
        </w:r>
        <w:r>
          <w:rPr>
            <w:noProof/>
            <w:webHidden/>
          </w:rPr>
        </w:r>
        <w:r>
          <w:rPr>
            <w:noProof/>
            <w:webHidden/>
          </w:rPr>
          <w:fldChar w:fldCharType="separate"/>
        </w:r>
        <w:r>
          <w:rPr>
            <w:noProof/>
            <w:webHidden/>
          </w:rPr>
          <w:t>214</w:t>
        </w:r>
        <w:r>
          <w:rPr>
            <w:noProof/>
            <w:webHidden/>
          </w:rPr>
          <w:fldChar w:fldCharType="end"/>
        </w:r>
      </w:hyperlink>
    </w:p>
    <w:p w14:paraId="64FC4695" w14:textId="372EF6B9" w:rsidR="006C4947" w:rsidRDefault="006C4947">
      <w:pPr>
        <w:pStyle w:val="Spisilustracji"/>
        <w:rPr>
          <w:rFonts w:asciiTheme="minorHAnsi" w:eastAsiaTheme="minorEastAsia" w:hAnsiTheme="minorHAnsi" w:cstheme="minorBidi"/>
          <w:noProof/>
          <w:sz w:val="22"/>
          <w:lang w:eastAsia="pl-PL"/>
        </w:rPr>
      </w:pPr>
      <w:hyperlink w:anchor="_Toc68727043" w:history="1">
        <w:r w:rsidRPr="00CF0ACC">
          <w:rPr>
            <w:rStyle w:val="Hipercze"/>
            <w:noProof/>
          </w:rPr>
          <w:t>Tabela 13</w:t>
        </w:r>
        <w:r w:rsidRPr="00CF0ACC">
          <w:rPr>
            <w:rStyle w:val="Hipercze"/>
            <w:noProof/>
          </w:rPr>
          <w:noBreakHyphen/>
          <w:t>3</w:t>
        </w:r>
        <w:r>
          <w:rPr>
            <w:rFonts w:asciiTheme="minorHAnsi" w:eastAsiaTheme="minorEastAsia" w:hAnsiTheme="minorHAnsi" w:cstheme="minorBidi"/>
            <w:noProof/>
            <w:sz w:val="22"/>
            <w:lang w:eastAsia="pl-PL"/>
          </w:rPr>
          <w:tab/>
        </w:r>
        <w:r w:rsidRPr="00CF0ACC">
          <w:rPr>
            <w:rStyle w:val="Hipercze"/>
            <w:noProof/>
          </w:rPr>
          <w:t>Liczba wniosków taryfowych złożonych do RZGW WP w Białymstoku wg formy organizacyjnej przedsiębiorstwa wodociągowo-kanalizacyjnego występującego z wnioskiem</w:t>
        </w:r>
        <w:r>
          <w:rPr>
            <w:noProof/>
            <w:webHidden/>
          </w:rPr>
          <w:tab/>
        </w:r>
        <w:r>
          <w:rPr>
            <w:noProof/>
            <w:webHidden/>
          </w:rPr>
          <w:fldChar w:fldCharType="begin"/>
        </w:r>
        <w:r>
          <w:rPr>
            <w:noProof/>
            <w:webHidden/>
          </w:rPr>
          <w:instrText xml:space="preserve"> PAGEREF _Toc68727043 \h </w:instrText>
        </w:r>
        <w:r>
          <w:rPr>
            <w:noProof/>
            <w:webHidden/>
          </w:rPr>
        </w:r>
        <w:r>
          <w:rPr>
            <w:noProof/>
            <w:webHidden/>
          </w:rPr>
          <w:fldChar w:fldCharType="separate"/>
        </w:r>
        <w:r>
          <w:rPr>
            <w:noProof/>
            <w:webHidden/>
          </w:rPr>
          <w:t>215</w:t>
        </w:r>
        <w:r>
          <w:rPr>
            <w:noProof/>
            <w:webHidden/>
          </w:rPr>
          <w:fldChar w:fldCharType="end"/>
        </w:r>
      </w:hyperlink>
    </w:p>
    <w:p w14:paraId="3D2CB871" w14:textId="60697E55" w:rsidR="006C4947" w:rsidRDefault="006C4947">
      <w:pPr>
        <w:pStyle w:val="Spisilustracji"/>
        <w:rPr>
          <w:rFonts w:asciiTheme="minorHAnsi" w:eastAsiaTheme="minorEastAsia" w:hAnsiTheme="minorHAnsi" w:cstheme="minorBidi"/>
          <w:noProof/>
          <w:sz w:val="22"/>
          <w:lang w:eastAsia="pl-PL"/>
        </w:rPr>
      </w:pPr>
      <w:hyperlink w:anchor="_Toc68727044" w:history="1">
        <w:r w:rsidRPr="00CF0ACC">
          <w:rPr>
            <w:rStyle w:val="Hipercze"/>
            <w:noProof/>
          </w:rPr>
          <w:t>Tabela 13</w:t>
        </w:r>
        <w:r w:rsidRPr="00CF0ACC">
          <w:rPr>
            <w:rStyle w:val="Hipercze"/>
            <w:noProof/>
          </w:rPr>
          <w:noBreakHyphen/>
          <w:t>4</w:t>
        </w:r>
        <w:r>
          <w:rPr>
            <w:rFonts w:asciiTheme="minorHAnsi" w:eastAsiaTheme="minorEastAsia" w:hAnsiTheme="minorHAnsi" w:cstheme="minorBidi"/>
            <w:noProof/>
            <w:sz w:val="22"/>
            <w:lang w:eastAsia="pl-PL"/>
          </w:rPr>
          <w:tab/>
        </w:r>
        <w:r w:rsidRPr="00CF0ACC">
          <w:rPr>
            <w:rStyle w:val="Hipercze"/>
            <w:noProof/>
          </w:rPr>
          <w:t xml:space="preserve">Liczba wniosków taryfowych </w:t>
        </w:r>
        <w:r w:rsidRPr="00CF0ACC">
          <w:rPr>
            <w:rStyle w:val="Hipercze"/>
            <w:rFonts w:cs="Calibri"/>
            <w:noProof/>
          </w:rPr>
          <w:t xml:space="preserve">złożonych do RZGW WP w Białymstoku </w:t>
        </w:r>
        <w:r w:rsidRPr="00CF0ACC">
          <w:rPr>
            <w:rStyle w:val="Hipercze"/>
            <w:noProof/>
          </w:rPr>
          <w:t>wg rodzaju działalności przedsiębiorstwa</w:t>
        </w:r>
        <w:r>
          <w:rPr>
            <w:noProof/>
            <w:webHidden/>
          </w:rPr>
          <w:tab/>
        </w:r>
        <w:r>
          <w:rPr>
            <w:noProof/>
            <w:webHidden/>
          </w:rPr>
          <w:fldChar w:fldCharType="begin"/>
        </w:r>
        <w:r>
          <w:rPr>
            <w:noProof/>
            <w:webHidden/>
          </w:rPr>
          <w:instrText xml:space="preserve"> PAGEREF _Toc68727044 \h </w:instrText>
        </w:r>
        <w:r>
          <w:rPr>
            <w:noProof/>
            <w:webHidden/>
          </w:rPr>
        </w:r>
        <w:r>
          <w:rPr>
            <w:noProof/>
            <w:webHidden/>
          </w:rPr>
          <w:fldChar w:fldCharType="separate"/>
        </w:r>
        <w:r>
          <w:rPr>
            <w:noProof/>
            <w:webHidden/>
          </w:rPr>
          <w:t>215</w:t>
        </w:r>
        <w:r>
          <w:rPr>
            <w:noProof/>
            <w:webHidden/>
          </w:rPr>
          <w:fldChar w:fldCharType="end"/>
        </w:r>
      </w:hyperlink>
    </w:p>
    <w:p w14:paraId="77AC999E" w14:textId="64B46C1B" w:rsidR="006C4947" w:rsidRDefault="006C4947">
      <w:pPr>
        <w:pStyle w:val="Spisilustracji"/>
        <w:rPr>
          <w:rFonts w:asciiTheme="minorHAnsi" w:eastAsiaTheme="minorEastAsia" w:hAnsiTheme="minorHAnsi" w:cstheme="minorBidi"/>
          <w:noProof/>
          <w:sz w:val="22"/>
          <w:lang w:eastAsia="pl-PL"/>
        </w:rPr>
      </w:pPr>
      <w:hyperlink w:anchor="_Toc68727045" w:history="1">
        <w:r w:rsidRPr="00CF0ACC">
          <w:rPr>
            <w:rStyle w:val="Hipercze"/>
            <w:noProof/>
          </w:rPr>
          <w:t>Tabela 13</w:t>
        </w:r>
        <w:r w:rsidRPr="00CF0ACC">
          <w:rPr>
            <w:rStyle w:val="Hipercze"/>
            <w:noProof/>
          </w:rPr>
          <w:noBreakHyphen/>
          <w:t>5</w:t>
        </w:r>
        <w:r>
          <w:rPr>
            <w:rFonts w:asciiTheme="minorHAnsi" w:eastAsiaTheme="minorEastAsia" w:hAnsiTheme="minorHAnsi" w:cstheme="minorBidi"/>
            <w:noProof/>
            <w:sz w:val="22"/>
            <w:lang w:eastAsia="pl-PL"/>
          </w:rPr>
          <w:tab/>
        </w:r>
        <w:r w:rsidRPr="00CF0ACC">
          <w:rPr>
            <w:rStyle w:val="Hipercze"/>
            <w:noProof/>
          </w:rPr>
          <w:t>Działania planowane na IV cykl planistyczny (2022-2027)</w:t>
        </w:r>
        <w:r>
          <w:rPr>
            <w:noProof/>
            <w:webHidden/>
          </w:rPr>
          <w:tab/>
        </w:r>
        <w:r>
          <w:rPr>
            <w:noProof/>
            <w:webHidden/>
          </w:rPr>
          <w:fldChar w:fldCharType="begin"/>
        </w:r>
        <w:r>
          <w:rPr>
            <w:noProof/>
            <w:webHidden/>
          </w:rPr>
          <w:instrText xml:space="preserve"> PAGEREF _Toc68727045 \h </w:instrText>
        </w:r>
        <w:r>
          <w:rPr>
            <w:noProof/>
            <w:webHidden/>
          </w:rPr>
        </w:r>
        <w:r>
          <w:rPr>
            <w:noProof/>
            <w:webHidden/>
          </w:rPr>
          <w:fldChar w:fldCharType="separate"/>
        </w:r>
        <w:r>
          <w:rPr>
            <w:noProof/>
            <w:webHidden/>
          </w:rPr>
          <w:t>216</w:t>
        </w:r>
        <w:r>
          <w:rPr>
            <w:noProof/>
            <w:webHidden/>
          </w:rPr>
          <w:fldChar w:fldCharType="end"/>
        </w:r>
      </w:hyperlink>
    </w:p>
    <w:p w14:paraId="338E490C" w14:textId="2EE986F0" w:rsidR="006C4947" w:rsidRDefault="006C4947">
      <w:pPr>
        <w:pStyle w:val="Spisilustracji"/>
        <w:rPr>
          <w:rFonts w:asciiTheme="minorHAnsi" w:eastAsiaTheme="minorEastAsia" w:hAnsiTheme="minorHAnsi" w:cstheme="minorBidi"/>
          <w:noProof/>
          <w:sz w:val="22"/>
          <w:lang w:eastAsia="pl-PL"/>
        </w:rPr>
      </w:pPr>
      <w:hyperlink w:anchor="_Toc68727046" w:history="1">
        <w:r w:rsidRPr="00CF0ACC">
          <w:rPr>
            <w:rStyle w:val="Hipercze"/>
            <w:noProof/>
          </w:rPr>
          <w:t>Tabela 13</w:t>
        </w:r>
        <w:r w:rsidRPr="00CF0ACC">
          <w:rPr>
            <w:rStyle w:val="Hipercze"/>
            <w:noProof/>
          </w:rPr>
          <w:noBreakHyphen/>
          <w:t>6</w:t>
        </w:r>
        <w:r>
          <w:rPr>
            <w:rFonts w:asciiTheme="minorHAnsi" w:eastAsiaTheme="minorEastAsia" w:hAnsiTheme="minorHAnsi" w:cstheme="minorBidi"/>
            <w:noProof/>
            <w:sz w:val="22"/>
            <w:lang w:eastAsia="pl-PL"/>
          </w:rPr>
          <w:tab/>
        </w:r>
        <w:r w:rsidRPr="00CF0ACC">
          <w:rPr>
            <w:rStyle w:val="Hipercze"/>
            <w:noProof/>
          </w:rPr>
          <w:t xml:space="preserve">Działania związane z realizacją celów środowiskowych i wymagań związanych z zaopatrzeniem w wodę ujęte w </w:t>
        </w:r>
        <w:r w:rsidRPr="00CF0ACC">
          <w:rPr>
            <w:rStyle w:val="Hipercze"/>
            <w:bCs/>
            <w:noProof/>
          </w:rPr>
          <w:t>aPWŚK</w:t>
        </w:r>
        <w:r>
          <w:rPr>
            <w:noProof/>
            <w:webHidden/>
          </w:rPr>
          <w:tab/>
        </w:r>
        <w:r>
          <w:rPr>
            <w:noProof/>
            <w:webHidden/>
          </w:rPr>
          <w:fldChar w:fldCharType="begin"/>
        </w:r>
        <w:r>
          <w:rPr>
            <w:noProof/>
            <w:webHidden/>
          </w:rPr>
          <w:instrText xml:space="preserve"> PAGEREF _Toc68727046 \h </w:instrText>
        </w:r>
        <w:r>
          <w:rPr>
            <w:noProof/>
            <w:webHidden/>
          </w:rPr>
        </w:r>
        <w:r>
          <w:rPr>
            <w:noProof/>
            <w:webHidden/>
          </w:rPr>
          <w:fldChar w:fldCharType="separate"/>
        </w:r>
        <w:r>
          <w:rPr>
            <w:noProof/>
            <w:webHidden/>
          </w:rPr>
          <w:t>217</w:t>
        </w:r>
        <w:r>
          <w:rPr>
            <w:noProof/>
            <w:webHidden/>
          </w:rPr>
          <w:fldChar w:fldCharType="end"/>
        </w:r>
      </w:hyperlink>
    </w:p>
    <w:p w14:paraId="74951491" w14:textId="01DB3573" w:rsidR="006C4947" w:rsidRDefault="006C4947">
      <w:pPr>
        <w:pStyle w:val="Spisilustracji"/>
        <w:rPr>
          <w:rFonts w:asciiTheme="minorHAnsi" w:eastAsiaTheme="minorEastAsia" w:hAnsiTheme="minorHAnsi" w:cstheme="minorBidi"/>
          <w:noProof/>
          <w:sz w:val="22"/>
          <w:lang w:eastAsia="pl-PL"/>
        </w:rPr>
      </w:pPr>
      <w:hyperlink w:anchor="_Toc68727047" w:history="1">
        <w:r w:rsidRPr="00CF0ACC">
          <w:rPr>
            <w:rStyle w:val="Hipercze"/>
            <w:noProof/>
          </w:rPr>
          <w:t>Tabela 13</w:t>
        </w:r>
        <w:r w:rsidRPr="00CF0ACC">
          <w:rPr>
            <w:rStyle w:val="Hipercze"/>
            <w:noProof/>
          </w:rPr>
          <w:noBreakHyphen/>
          <w:t>7</w:t>
        </w:r>
        <w:r>
          <w:rPr>
            <w:rFonts w:asciiTheme="minorHAnsi" w:eastAsiaTheme="minorEastAsia" w:hAnsiTheme="minorHAnsi" w:cstheme="minorBidi"/>
            <w:noProof/>
            <w:sz w:val="22"/>
            <w:lang w:eastAsia="pl-PL"/>
          </w:rPr>
          <w:tab/>
        </w:r>
        <w:r w:rsidRPr="00CF0ACC">
          <w:rPr>
            <w:rStyle w:val="Hipercze"/>
            <w:noProof/>
          </w:rPr>
          <w:t>Przykłady proponowanych działań krajowych, wspólnych dla wszystkich jcwp - obszar dorzecza Pregoły</w:t>
        </w:r>
        <w:r>
          <w:rPr>
            <w:noProof/>
            <w:webHidden/>
          </w:rPr>
          <w:tab/>
        </w:r>
        <w:r>
          <w:rPr>
            <w:noProof/>
            <w:webHidden/>
          </w:rPr>
          <w:fldChar w:fldCharType="begin"/>
        </w:r>
        <w:r>
          <w:rPr>
            <w:noProof/>
            <w:webHidden/>
          </w:rPr>
          <w:instrText xml:space="preserve"> PAGEREF _Toc68727047 \h </w:instrText>
        </w:r>
        <w:r>
          <w:rPr>
            <w:noProof/>
            <w:webHidden/>
          </w:rPr>
        </w:r>
        <w:r>
          <w:rPr>
            <w:noProof/>
            <w:webHidden/>
          </w:rPr>
          <w:fldChar w:fldCharType="separate"/>
        </w:r>
        <w:r>
          <w:rPr>
            <w:noProof/>
            <w:webHidden/>
          </w:rPr>
          <w:t>218</w:t>
        </w:r>
        <w:r>
          <w:rPr>
            <w:noProof/>
            <w:webHidden/>
          </w:rPr>
          <w:fldChar w:fldCharType="end"/>
        </w:r>
      </w:hyperlink>
    </w:p>
    <w:p w14:paraId="1642FC42" w14:textId="3E4E3441" w:rsidR="006C4947" w:rsidRDefault="006C4947">
      <w:pPr>
        <w:pStyle w:val="Spisilustracji"/>
        <w:rPr>
          <w:rFonts w:asciiTheme="minorHAnsi" w:eastAsiaTheme="minorEastAsia" w:hAnsiTheme="minorHAnsi" w:cstheme="minorBidi"/>
          <w:noProof/>
          <w:sz w:val="22"/>
          <w:lang w:eastAsia="pl-PL"/>
        </w:rPr>
      </w:pPr>
      <w:hyperlink w:anchor="_Toc68727048" w:history="1">
        <w:r w:rsidRPr="00CF0ACC">
          <w:rPr>
            <w:rStyle w:val="Hipercze"/>
            <w:noProof/>
          </w:rPr>
          <w:t>Tabela 13</w:t>
        </w:r>
        <w:r w:rsidRPr="00CF0ACC">
          <w:rPr>
            <w:rStyle w:val="Hipercze"/>
            <w:noProof/>
          </w:rPr>
          <w:noBreakHyphen/>
          <w:t>8</w:t>
        </w:r>
        <w:r>
          <w:rPr>
            <w:rFonts w:asciiTheme="minorHAnsi" w:eastAsiaTheme="minorEastAsia" w:hAnsiTheme="minorHAnsi" w:cstheme="minorBidi"/>
            <w:noProof/>
            <w:sz w:val="22"/>
            <w:lang w:eastAsia="pl-PL"/>
          </w:rPr>
          <w:tab/>
        </w:r>
        <w:r w:rsidRPr="00CF0ACC">
          <w:rPr>
            <w:rStyle w:val="Hipercze"/>
            <w:noProof/>
          </w:rPr>
          <w:t>Zestawienie liczby pozwoleń wodnoprawnych wydanych do roku 2018 i obowiązujących w okresie 2022-2027</w:t>
        </w:r>
        <w:r>
          <w:rPr>
            <w:noProof/>
            <w:webHidden/>
          </w:rPr>
          <w:tab/>
        </w:r>
        <w:r>
          <w:rPr>
            <w:noProof/>
            <w:webHidden/>
          </w:rPr>
          <w:fldChar w:fldCharType="begin"/>
        </w:r>
        <w:r>
          <w:rPr>
            <w:noProof/>
            <w:webHidden/>
          </w:rPr>
          <w:instrText xml:space="preserve"> PAGEREF _Toc68727048 \h </w:instrText>
        </w:r>
        <w:r>
          <w:rPr>
            <w:noProof/>
            <w:webHidden/>
          </w:rPr>
        </w:r>
        <w:r>
          <w:rPr>
            <w:noProof/>
            <w:webHidden/>
          </w:rPr>
          <w:fldChar w:fldCharType="separate"/>
        </w:r>
        <w:r>
          <w:rPr>
            <w:noProof/>
            <w:webHidden/>
          </w:rPr>
          <w:t>220</w:t>
        </w:r>
        <w:r>
          <w:rPr>
            <w:noProof/>
            <w:webHidden/>
          </w:rPr>
          <w:fldChar w:fldCharType="end"/>
        </w:r>
      </w:hyperlink>
    </w:p>
    <w:p w14:paraId="22D433F0" w14:textId="6700ACC9" w:rsidR="006C4947" w:rsidRDefault="006C4947">
      <w:pPr>
        <w:pStyle w:val="Spisilustracji"/>
        <w:rPr>
          <w:rFonts w:asciiTheme="minorHAnsi" w:eastAsiaTheme="minorEastAsia" w:hAnsiTheme="minorHAnsi" w:cstheme="minorBidi"/>
          <w:noProof/>
          <w:sz w:val="22"/>
          <w:lang w:eastAsia="pl-PL"/>
        </w:rPr>
      </w:pPr>
      <w:hyperlink w:anchor="_Toc68727049" w:history="1">
        <w:r w:rsidRPr="00CF0ACC">
          <w:rPr>
            <w:rStyle w:val="Hipercze"/>
            <w:noProof/>
          </w:rPr>
          <w:t>Tabela 13</w:t>
        </w:r>
        <w:r w:rsidRPr="00CF0ACC">
          <w:rPr>
            <w:rStyle w:val="Hipercze"/>
            <w:noProof/>
          </w:rPr>
          <w:noBreakHyphen/>
          <w:t>9</w:t>
        </w:r>
        <w:r>
          <w:rPr>
            <w:rFonts w:asciiTheme="minorHAnsi" w:eastAsiaTheme="minorEastAsia" w:hAnsiTheme="minorHAnsi" w:cstheme="minorBidi"/>
            <w:noProof/>
            <w:sz w:val="22"/>
            <w:lang w:eastAsia="pl-PL"/>
          </w:rPr>
          <w:tab/>
        </w:r>
        <w:r w:rsidRPr="00CF0ACC">
          <w:rPr>
            <w:rStyle w:val="Hipercze"/>
            <w:noProof/>
          </w:rPr>
          <w:t>Zestawienie liczby pozwoleń wodnoprawnych udzielonych w okresie 2018-2019 w obszarze dorzecza Pregoły</w:t>
        </w:r>
        <w:r>
          <w:rPr>
            <w:noProof/>
            <w:webHidden/>
          </w:rPr>
          <w:tab/>
        </w:r>
        <w:r>
          <w:rPr>
            <w:noProof/>
            <w:webHidden/>
          </w:rPr>
          <w:fldChar w:fldCharType="begin"/>
        </w:r>
        <w:r>
          <w:rPr>
            <w:noProof/>
            <w:webHidden/>
          </w:rPr>
          <w:instrText xml:space="preserve"> PAGEREF _Toc68727049 \h </w:instrText>
        </w:r>
        <w:r>
          <w:rPr>
            <w:noProof/>
            <w:webHidden/>
          </w:rPr>
        </w:r>
        <w:r>
          <w:rPr>
            <w:noProof/>
            <w:webHidden/>
          </w:rPr>
          <w:fldChar w:fldCharType="separate"/>
        </w:r>
        <w:r>
          <w:rPr>
            <w:noProof/>
            <w:webHidden/>
          </w:rPr>
          <w:t>221</w:t>
        </w:r>
        <w:r>
          <w:rPr>
            <w:noProof/>
            <w:webHidden/>
          </w:rPr>
          <w:fldChar w:fldCharType="end"/>
        </w:r>
      </w:hyperlink>
    </w:p>
    <w:p w14:paraId="41D94E5C" w14:textId="7BDD1F5F" w:rsidR="006C4947" w:rsidRDefault="006C4947">
      <w:pPr>
        <w:pStyle w:val="Spisilustracji"/>
        <w:rPr>
          <w:rFonts w:asciiTheme="minorHAnsi" w:eastAsiaTheme="minorEastAsia" w:hAnsiTheme="minorHAnsi" w:cstheme="minorBidi"/>
          <w:noProof/>
          <w:sz w:val="22"/>
          <w:lang w:eastAsia="pl-PL"/>
        </w:rPr>
      </w:pPr>
      <w:hyperlink w:anchor="_Toc68727050" w:history="1">
        <w:r w:rsidRPr="00CF0ACC">
          <w:rPr>
            <w:rStyle w:val="Hipercze"/>
            <w:noProof/>
          </w:rPr>
          <w:t>Tabela 13</w:t>
        </w:r>
        <w:r w:rsidRPr="00CF0ACC">
          <w:rPr>
            <w:rStyle w:val="Hipercze"/>
            <w:noProof/>
          </w:rPr>
          <w:noBreakHyphen/>
          <w:t>10</w:t>
        </w:r>
        <w:r>
          <w:rPr>
            <w:rFonts w:asciiTheme="minorHAnsi" w:eastAsiaTheme="minorEastAsia" w:hAnsiTheme="minorHAnsi" w:cstheme="minorBidi"/>
            <w:noProof/>
            <w:sz w:val="22"/>
            <w:lang w:eastAsia="pl-PL"/>
          </w:rPr>
          <w:tab/>
        </w:r>
        <w:r w:rsidRPr="00CF0ACC">
          <w:rPr>
            <w:rStyle w:val="Hipercze"/>
            <w:noProof/>
          </w:rPr>
          <w:t>Wielkość zrzutu w podziale na rodzaj zrzutu na obszarze dorzecza Pregoły</w:t>
        </w:r>
        <w:r>
          <w:rPr>
            <w:noProof/>
            <w:webHidden/>
          </w:rPr>
          <w:tab/>
        </w:r>
        <w:r>
          <w:rPr>
            <w:noProof/>
            <w:webHidden/>
          </w:rPr>
          <w:fldChar w:fldCharType="begin"/>
        </w:r>
        <w:r>
          <w:rPr>
            <w:noProof/>
            <w:webHidden/>
          </w:rPr>
          <w:instrText xml:space="preserve"> PAGEREF _Toc68727050 \h </w:instrText>
        </w:r>
        <w:r>
          <w:rPr>
            <w:noProof/>
            <w:webHidden/>
          </w:rPr>
        </w:r>
        <w:r>
          <w:rPr>
            <w:noProof/>
            <w:webHidden/>
          </w:rPr>
          <w:fldChar w:fldCharType="separate"/>
        </w:r>
        <w:r>
          <w:rPr>
            <w:noProof/>
            <w:webHidden/>
          </w:rPr>
          <w:t>222</w:t>
        </w:r>
        <w:r>
          <w:rPr>
            <w:noProof/>
            <w:webHidden/>
          </w:rPr>
          <w:fldChar w:fldCharType="end"/>
        </w:r>
      </w:hyperlink>
    </w:p>
    <w:p w14:paraId="48A006E6" w14:textId="202AD7B6" w:rsidR="006C4947" w:rsidRDefault="006C4947">
      <w:pPr>
        <w:pStyle w:val="Spisilustracji"/>
        <w:rPr>
          <w:rFonts w:asciiTheme="minorHAnsi" w:eastAsiaTheme="minorEastAsia" w:hAnsiTheme="minorHAnsi" w:cstheme="minorBidi"/>
          <w:noProof/>
          <w:sz w:val="22"/>
          <w:lang w:eastAsia="pl-PL"/>
        </w:rPr>
      </w:pPr>
      <w:hyperlink w:anchor="_Toc68727051" w:history="1">
        <w:r w:rsidRPr="00CF0ACC">
          <w:rPr>
            <w:rStyle w:val="Hipercze"/>
            <w:noProof/>
          </w:rPr>
          <w:t>Tabela 13</w:t>
        </w:r>
        <w:r w:rsidRPr="00CF0ACC">
          <w:rPr>
            <w:rStyle w:val="Hipercze"/>
            <w:noProof/>
          </w:rPr>
          <w:noBreakHyphen/>
          <w:t>11</w:t>
        </w:r>
        <w:r>
          <w:rPr>
            <w:rFonts w:asciiTheme="minorHAnsi" w:eastAsiaTheme="minorEastAsia" w:hAnsiTheme="minorHAnsi" w:cstheme="minorBidi"/>
            <w:noProof/>
            <w:sz w:val="22"/>
            <w:lang w:eastAsia="pl-PL"/>
          </w:rPr>
          <w:tab/>
        </w:r>
        <w:r w:rsidRPr="00CF0ACC">
          <w:rPr>
            <w:rStyle w:val="Hipercze"/>
            <w:noProof/>
          </w:rPr>
          <w:t>Wybrane działania z Katalogu działań krajowych aPWŚK (2016), znaczące dla poprawy stanu jakościowego jcwp</w:t>
        </w:r>
        <w:r>
          <w:rPr>
            <w:noProof/>
            <w:webHidden/>
          </w:rPr>
          <w:tab/>
        </w:r>
        <w:r>
          <w:rPr>
            <w:noProof/>
            <w:webHidden/>
          </w:rPr>
          <w:fldChar w:fldCharType="begin"/>
        </w:r>
        <w:r>
          <w:rPr>
            <w:noProof/>
            <w:webHidden/>
          </w:rPr>
          <w:instrText xml:space="preserve"> PAGEREF _Toc68727051 \h </w:instrText>
        </w:r>
        <w:r>
          <w:rPr>
            <w:noProof/>
            <w:webHidden/>
          </w:rPr>
        </w:r>
        <w:r>
          <w:rPr>
            <w:noProof/>
            <w:webHidden/>
          </w:rPr>
          <w:fldChar w:fldCharType="separate"/>
        </w:r>
        <w:r>
          <w:rPr>
            <w:noProof/>
            <w:webHidden/>
          </w:rPr>
          <w:t>224</w:t>
        </w:r>
        <w:r>
          <w:rPr>
            <w:noProof/>
            <w:webHidden/>
          </w:rPr>
          <w:fldChar w:fldCharType="end"/>
        </w:r>
      </w:hyperlink>
    </w:p>
    <w:p w14:paraId="3E35797A" w14:textId="3ADA3754" w:rsidR="006C4947" w:rsidRDefault="006C4947">
      <w:pPr>
        <w:pStyle w:val="Spisilustracji"/>
        <w:rPr>
          <w:rFonts w:asciiTheme="minorHAnsi" w:eastAsiaTheme="minorEastAsia" w:hAnsiTheme="minorHAnsi" w:cstheme="minorBidi"/>
          <w:noProof/>
          <w:sz w:val="22"/>
          <w:lang w:eastAsia="pl-PL"/>
        </w:rPr>
      </w:pPr>
      <w:hyperlink w:anchor="_Toc68727052" w:history="1">
        <w:r w:rsidRPr="00CF0ACC">
          <w:rPr>
            <w:rStyle w:val="Hipercze"/>
            <w:noProof/>
          </w:rPr>
          <w:t>Tabela 13</w:t>
        </w:r>
        <w:r w:rsidRPr="00CF0ACC">
          <w:rPr>
            <w:rStyle w:val="Hipercze"/>
            <w:noProof/>
          </w:rPr>
          <w:noBreakHyphen/>
          <w:t>12</w:t>
        </w:r>
        <w:r>
          <w:rPr>
            <w:rFonts w:asciiTheme="minorHAnsi" w:eastAsiaTheme="minorEastAsia" w:hAnsiTheme="minorHAnsi" w:cstheme="minorBidi"/>
            <w:noProof/>
            <w:sz w:val="22"/>
            <w:lang w:eastAsia="pl-PL"/>
          </w:rPr>
          <w:tab/>
        </w:r>
        <w:r w:rsidRPr="00CF0ACC">
          <w:rPr>
            <w:rStyle w:val="Hipercze"/>
            <w:noProof/>
          </w:rPr>
          <w:t>Podsumowanie liczby działań zrealizowanych i zaawansowanych w realizacji, mających znaczenie dla poprawy stanu jakościowego jcwp - wszystkie obszary dorzeczy i kategorie wód</w:t>
        </w:r>
        <w:r>
          <w:rPr>
            <w:noProof/>
            <w:webHidden/>
          </w:rPr>
          <w:tab/>
        </w:r>
        <w:r>
          <w:rPr>
            <w:noProof/>
            <w:webHidden/>
          </w:rPr>
          <w:fldChar w:fldCharType="begin"/>
        </w:r>
        <w:r>
          <w:rPr>
            <w:noProof/>
            <w:webHidden/>
          </w:rPr>
          <w:instrText xml:space="preserve"> PAGEREF _Toc68727052 \h </w:instrText>
        </w:r>
        <w:r>
          <w:rPr>
            <w:noProof/>
            <w:webHidden/>
          </w:rPr>
        </w:r>
        <w:r>
          <w:rPr>
            <w:noProof/>
            <w:webHidden/>
          </w:rPr>
          <w:fldChar w:fldCharType="separate"/>
        </w:r>
        <w:r>
          <w:rPr>
            <w:noProof/>
            <w:webHidden/>
          </w:rPr>
          <w:t>228</w:t>
        </w:r>
        <w:r>
          <w:rPr>
            <w:noProof/>
            <w:webHidden/>
          </w:rPr>
          <w:fldChar w:fldCharType="end"/>
        </w:r>
      </w:hyperlink>
    </w:p>
    <w:p w14:paraId="24820195" w14:textId="4614D24C" w:rsidR="006C4947" w:rsidRDefault="006C4947">
      <w:pPr>
        <w:pStyle w:val="Spisilustracji"/>
        <w:rPr>
          <w:rFonts w:asciiTheme="minorHAnsi" w:eastAsiaTheme="minorEastAsia" w:hAnsiTheme="minorHAnsi" w:cstheme="minorBidi"/>
          <w:noProof/>
          <w:sz w:val="22"/>
          <w:lang w:eastAsia="pl-PL"/>
        </w:rPr>
      </w:pPr>
      <w:hyperlink w:anchor="_Toc68727053" w:history="1">
        <w:r w:rsidRPr="00CF0ACC">
          <w:rPr>
            <w:rStyle w:val="Hipercze"/>
            <w:noProof/>
          </w:rPr>
          <w:t>Tabela 13</w:t>
        </w:r>
        <w:r w:rsidRPr="00CF0ACC">
          <w:rPr>
            <w:rStyle w:val="Hipercze"/>
            <w:noProof/>
          </w:rPr>
          <w:noBreakHyphen/>
          <w:t>13</w:t>
        </w:r>
        <w:r>
          <w:rPr>
            <w:rFonts w:asciiTheme="minorHAnsi" w:eastAsiaTheme="minorEastAsia" w:hAnsiTheme="minorHAnsi" w:cstheme="minorBidi"/>
            <w:noProof/>
            <w:sz w:val="22"/>
            <w:lang w:eastAsia="pl-PL"/>
          </w:rPr>
          <w:tab/>
        </w:r>
        <w:r w:rsidRPr="00CF0ACC">
          <w:rPr>
            <w:rStyle w:val="Hipercze"/>
            <w:noProof/>
          </w:rPr>
          <w:t>Podsumowanie liczby działań zrealizowanych i zaawansowanych w realizacji, mających znaczenie dla poprawy stanu jakościowego jcwp - obszar dorzecza Pregoły</w:t>
        </w:r>
        <w:r>
          <w:rPr>
            <w:noProof/>
            <w:webHidden/>
          </w:rPr>
          <w:tab/>
        </w:r>
        <w:r>
          <w:rPr>
            <w:noProof/>
            <w:webHidden/>
          </w:rPr>
          <w:fldChar w:fldCharType="begin"/>
        </w:r>
        <w:r>
          <w:rPr>
            <w:noProof/>
            <w:webHidden/>
          </w:rPr>
          <w:instrText xml:space="preserve"> PAGEREF _Toc68727053 \h </w:instrText>
        </w:r>
        <w:r>
          <w:rPr>
            <w:noProof/>
            <w:webHidden/>
          </w:rPr>
        </w:r>
        <w:r>
          <w:rPr>
            <w:noProof/>
            <w:webHidden/>
          </w:rPr>
          <w:fldChar w:fldCharType="separate"/>
        </w:r>
        <w:r>
          <w:rPr>
            <w:noProof/>
            <w:webHidden/>
          </w:rPr>
          <w:t>229</w:t>
        </w:r>
        <w:r>
          <w:rPr>
            <w:noProof/>
            <w:webHidden/>
          </w:rPr>
          <w:fldChar w:fldCharType="end"/>
        </w:r>
      </w:hyperlink>
    </w:p>
    <w:p w14:paraId="2A8376D0" w14:textId="2AA7E34B" w:rsidR="006C4947" w:rsidRDefault="006C4947">
      <w:pPr>
        <w:pStyle w:val="Spisilustracji"/>
        <w:rPr>
          <w:rFonts w:asciiTheme="minorHAnsi" w:eastAsiaTheme="minorEastAsia" w:hAnsiTheme="minorHAnsi" w:cstheme="minorBidi"/>
          <w:noProof/>
          <w:sz w:val="22"/>
          <w:lang w:eastAsia="pl-PL"/>
        </w:rPr>
      </w:pPr>
      <w:hyperlink w:anchor="_Toc68727054" w:history="1">
        <w:r w:rsidRPr="00CF0ACC">
          <w:rPr>
            <w:rStyle w:val="Hipercze"/>
            <w:noProof/>
          </w:rPr>
          <w:t>Tabela 13</w:t>
        </w:r>
        <w:r w:rsidRPr="00CF0ACC">
          <w:rPr>
            <w:rStyle w:val="Hipercze"/>
            <w:noProof/>
          </w:rPr>
          <w:noBreakHyphen/>
          <w:t>14</w:t>
        </w:r>
        <w:r>
          <w:rPr>
            <w:rFonts w:asciiTheme="minorHAnsi" w:eastAsiaTheme="minorEastAsia" w:hAnsiTheme="minorHAnsi" w:cstheme="minorBidi"/>
            <w:noProof/>
            <w:sz w:val="22"/>
            <w:lang w:eastAsia="pl-PL"/>
          </w:rPr>
          <w:tab/>
        </w:r>
        <w:r w:rsidRPr="00CF0ACC">
          <w:rPr>
            <w:rStyle w:val="Hipercze"/>
            <w:noProof/>
          </w:rPr>
          <w:t>Skuteczność działań dla kategorii jcwp rzecznych w zakresie oceny substancji priorytetowych w wodzie - analiza statystyczna obejmująca wszystkie obszary dorzeczy</w:t>
        </w:r>
        <w:r>
          <w:rPr>
            <w:noProof/>
            <w:webHidden/>
          </w:rPr>
          <w:tab/>
        </w:r>
        <w:r>
          <w:rPr>
            <w:noProof/>
            <w:webHidden/>
          </w:rPr>
          <w:fldChar w:fldCharType="begin"/>
        </w:r>
        <w:r>
          <w:rPr>
            <w:noProof/>
            <w:webHidden/>
          </w:rPr>
          <w:instrText xml:space="preserve"> PAGEREF _Toc68727054 \h </w:instrText>
        </w:r>
        <w:r>
          <w:rPr>
            <w:noProof/>
            <w:webHidden/>
          </w:rPr>
        </w:r>
        <w:r>
          <w:rPr>
            <w:noProof/>
            <w:webHidden/>
          </w:rPr>
          <w:fldChar w:fldCharType="separate"/>
        </w:r>
        <w:r>
          <w:rPr>
            <w:noProof/>
            <w:webHidden/>
          </w:rPr>
          <w:t>230</w:t>
        </w:r>
        <w:r>
          <w:rPr>
            <w:noProof/>
            <w:webHidden/>
          </w:rPr>
          <w:fldChar w:fldCharType="end"/>
        </w:r>
      </w:hyperlink>
    </w:p>
    <w:p w14:paraId="1071E08F" w14:textId="2048D1AF" w:rsidR="006C4947" w:rsidRDefault="006C4947">
      <w:pPr>
        <w:pStyle w:val="Spisilustracji"/>
        <w:rPr>
          <w:rFonts w:asciiTheme="minorHAnsi" w:eastAsiaTheme="minorEastAsia" w:hAnsiTheme="minorHAnsi" w:cstheme="minorBidi"/>
          <w:noProof/>
          <w:sz w:val="22"/>
          <w:lang w:eastAsia="pl-PL"/>
        </w:rPr>
      </w:pPr>
      <w:hyperlink w:anchor="_Toc68727055" w:history="1">
        <w:r w:rsidRPr="00CF0ACC">
          <w:rPr>
            <w:rStyle w:val="Hipercze"/>
            <w:noProof/>
          </w:rPr>
          <w:t>Tabela 13</w:t>
        </w:r>
        <w:r w:rsidRPr="00CF0ACC">
          <w:rPr>
            <w:rStyle w:val="Hipercze"/>
            <w:noProof/>
          </w:rPr>
          <w:noBreakHyphen/>
          <w:t>15</w:t>
        </w:r>
        <w:r>
          <w:rPr>
            <w:rFonts w:asciiTheme="minorHAnsi" w:eastAsiaTheme="minorEastAsia" w:hAnsiTheme="minorHAnsi" w:cstheme="minorBidi"/>
            <w:noProof/>
            <w:sz w:val="22"/>
            <w:lang w:eastAsia="pl-PL"/>
          </w:rPr>
          <w:tab/>
        </w:r>
        <w:r w:rsidRPr="00CF0ACC">
          <w:rPr>
            <w:rStyle w:val="Hipercze"/>
            <w:noProof/>
          </w:rPr>
          <w:t>Skuteczność działań dla kategorii jcwp jeziornych w zakresie oceny substancji priorytetowych w wodzie - analiza statystyczna obejmująca wszystkie obszary dorzeczy</w:t>
        </w:r>
        <w:r>
          <w:rPr>
            <w:noProof/>
            <w:webHidden/>
          </w:rPr>
          <w:tab/>
        </w:r>
        <w:r>
          <w:rPr>
            <w:noProof/>
            <w:webHidden/>
          </w:rPr>
          <w:fldChar w:fldCharType="begin"/>
        </w:r>
        <w:r>
          <w:rPr>
            <w:noProof/>
            <w:webHidden/>
          </w:rPr>
          <w:instrText xml:space="preserve"> PAGEREF _Toc68727055 \h </w:instrText>
        </w:r>
        <w:r>
          <w:rPr>
            <w:noProof/>
            <w:webHidden/>
          </w:rPr>
        </w:r>
        <w:r>
          <w:rPr>
            <w:noProof/>
            <w:webHidden/>
          </w:rPr>
          <w:fldChar w:fldCharType="separate"/>
        </w:r>
        <w:r>
          <w:rPr>
            <w:noProof/>
            <w:webHidden/>
          </w:rPr>
          <w:t>231</w:t>
        </w:r>
        <w:r>
          <w:rPr>
            <w:noProof/>
            <w:webHidden/>
          </w:rPr>
          <w:fldChar w:fldCharType="end"/>
        </w:r>
      </w:hyperlink>
    </w:p>
    <w:p w14:paraId="7BC07D00" w14:textId="39C24DBF" w:rsidR="006C4947" w:rsidRDefault="006C4947">
      <w:pPr>
        <w:pStyle w:val="Spisilustracji"/>
        <w:rPr>
          <w:rFonts w:asciiTheme="minorHAnsi" w:eastAsiaTheme="minorEastAsia" w:hAnsiTheme="minorHAnsi" w:cstheme="minorBidi"/>
          <w:noProof/>
          <w:sz w:val="22"/>
          <w:lang w:eastAsia="pl-PL"/>
        </w:rPr>
      </w:pPr>
      <w:hyperlink w:anchor="_Toc68727056" w:history="1">
        <w:r w:rsidRPr="00CF0ACC">
          <w:rPr>
            <w:rStyle w:val="Hipercze"/>
            <w:noProof/>
          </w:rPr>
          <w:t>Tabela 13</w:t>
        </w:r>
        <w:r w:rsidRPr="00CF0ACC">
          <w:rPr>
            <w:rStyle w:val="Hipercze"/>
            <w:noProof/>
          </w:rPr>
          <w:noBreakHyphen/>
          <w:t>16</w:t>
        </w:r>
        <w:r>
          <w:rPr>
            <w:rFonts w:asciiTheme="minorHAnsi" w:eastAsiaTheme="minorEastAsia" w:hAnsiTheme="minorHAnsi" w:cstheme="minorBidi"/>
            <w:noProof/>
            <w:sz w:val="22"/>
            <w:lang w:eastAsia="pl-PL"/>
          </w:rPr>
          <w:tab/>
        </w:r>
        <w:r w:rsidRPr="00CF0ACC">
          <w:rPr>
            <w:rStyle w:val="Hipercze"/>
            <w:noProof/>
          </w:rPr>
          <w:t>Skuteczność działań dla kategorii jcwp RW w zakresie oceny substancji priorytetowych w wodzie - analiza statystyczna obejmująca obszar dorzecza Pregoły</w:t>
        </w:r>
        <w:r>
          <w:rPr>
            <w:noProof/>
            <w:webHidden/>
          </w:rPr>
          <w:tab/>
        </w:r>
        <w:r>
          <w:rPr>
            <w:noProof/>
            <w:webHidden/>
          </w:rPr>
          <w:fldChar w:fldCharType="begin"/>
        </w:r>
        <w:r>
          <w:rPr>
            <w:noProof/>
            <w:webHidden/>
          </w:rPr>
          <w:instrText xml:space="preserve"> PAGEREF _Toc68727056 \h </w:instrText>
        </w:r>
        <w:r>
          <w:rPr>
            <w:noProof/>
            <w:webHidden/>
          </w:rPr>
        </w:r>
        <w:r>
          <w:rPr>
            <w:noProof/>
            <w:webHidden/>
          </w:rPr>
          <w:fldChar w:fldCharType="separate"/>
        </w:r>
        <w:r>
          <w:rPr>
            <w:noProof/>
            <w:webHidden/>
          </w:rPr>
          <w:t>232</w:t>
        </w:r>
        <w:r>
          <w:rPr>
            <w:noProof/>
            <w:webHidden/>
          </w:rPr>
          <w:fldChar w:fldCharType="end"/>
        </w:r>
      </w:hyperlink>
    </w:p>
    <w:p w14:paraId="22886BE7" w14:textId="7B2C5FB1" w:rsidR="006C4947" w:rsidRDefault="006C4947">
      <w:pPr>
        <w:pStyle w:val="Spisilustracji"/>
        <w:rPr>
          <w:rFonts w:asciiTheme="minorHAnsi" w:eastAsiaTheme="minorEastAsia" w:hAnsiTheme="minorHAnsi" w:cstheme="minorBidi"/>
          <w:noProof/>
          <w:sz w:val="22"/>
          <w:lang w:eastAsia="pl-PL"/>
        </w:rPr>
      </w:pPr>
      <w:hyperlink w:anchor="_Toc68727057" w:history="1">
        <w:r w:rsidRPr="00CF0ACC">
          <w:rPr>
            <w:rStyle w:val="Hipercze"/>
            <w:noProof/>
          </w:rPr>
          <w:t>Tabela 13</w:t>
        </w:r>
        <w:r w:rsidRPr="00CF0ACC">
          <w:rPr>
            <w:rStyle w:val="Hipercze"/>
            <w:noProof/>
          </w:rPr>
          <w:noBreakHyphen/>
          <w:t>17</w:t>
        </w:r>
        <w:r>
          <w:rPr>
            <w:rFonts w:asciiTheme="minorHAnsi" w:eastAsiaTheme="minorEastAsia" w:hAnsiTheme="minorHAnsi" w:cstheme="minorBidi"/>
            <w:noProof/>
            <w:sz w:val="22"/>
            <w:lang w:eastAsia="pl-PL"/>
          </w:rPr>
          <w:tab/>
        </w:r>
        <w:r w:rsidRPr="00CF0ACC">
          <w:rPr>
            <w:rStyle w:val="Hipercze"/>
            <w:noProof/>
          </w:rPr>
          <w:t>Skuteczność działań dla kategorii jcwp LW w zakresie oceny substancji priorytetowych w wodzie - analiza statystyczna obejmująca obszar dorzecza Pregoły</w:t>
        </w:r>
        <w:r>
          <w:rPr>
            <w:noProof/>
            <w:webHidden/>
          </w:rPr>
          <w:tab/>
        </w:r>
        <w:r>
          <w:rPr>
            <w:noProof/>
            <w:webHidden/>
          </w:rPr>
          <w:fldChar w:fldCharType="begin"/>
        </w:r>
        <w:r>
          <w:rPr>
            <w:noProof/>
            <w:webHidden/>
          </w:rPr>
          <w:instrText xml:space="preserve"> PAGEREF _Toc68727057 \h </w:instrText>
        </w:r>
        <w:r>
          <w:rPr>
            <w:noProof/>
            <w:webHidden/>
          </w:rPr>
        </w:r>
        <w:r>
          <w:rPr>
            <w:noProof/>
            <w:webHidden/>
          </w:rPr>
          <w:fldChar w:fldCharType="separate"/>
        </w:r>
        <w:r>
          <w:rPr>
            <w:noProof/>
            <w:webHidden/>
          </w:rPr>
          <w:t>232</w:t>
        </w:r>
        <w:r>
          <w:rPr>
            <w:noProof/>
            <w:webHidden/>
          </w:rPr>
          <w:fldChar w:fldCharType="end"/>
        </w:r>
      </w:hyperlink>
    </w:p>
    <w:p w14:paraId="66A03CFB" w14:textId="1B8BBC1D" w:rsidR="006C4947" w:rsidRDefault="006C4947">
      <w:pPr>
        <w:pStyle w:val="Spisilustracji"/>
        <w:rPr>
          <w:rFonts w:asciiTheme="minorHAnsi" w:eastAsiaTheme="minorEastAsia" w:hAnsiTheme="minorHAnsi" w:cstheme="minorBidi"/>
          <w:noProof/>
          <w:sz w:val="22"/>
          <w:lang w:eastAsia="pl-PL"/>
        </w:rPr>
      </w:pPr>
      <w:hyperlink w:anchor="_Toc68727058" w:history="1">
        <w:r w:rsidRPr="00CF0ACC">
          <w:rPr>
            <w:rStyle w:val="Hipercze"/>
            <w:noProof/>
          </w:rPr>
          <w:t>Tabela 13</w:t>
        </w:r>
        <w:r w:rsidRPr="00CF0ACC">
          <w:rPr>
            <w:rStyle w:val="Hipercze"/>
            <w:noProof/>
          </w:rPr>
          <w:noBreakHyphen/>
          <w:t>18</w:t>
        </w:r>
        <w:r>
          <w:rPr>
            <w:rFonts w:asciiTheme="minorHAnsi" w:eastAsiaTheme="minorEastAsia" w:hAnsiTheme="minorHAnsi" w:cstheme="minorBidi"/>
            <w:noProof/>
            <w:sz w:val="22"/>
            <w:lang w:eastAsia="pl-PL"/>
          </w:rPr>
          <w:tab/>
        </w:r>
        <w:r w:rsidRPr="00CF0ACC">
          <w:rPr>
            <w:rStyle w:val="Hipercze"/>
            <w:noProof/>
          </w:rPr>
          <w:t>Zakres obowiązków w celu przeciwdziałania skutkom zanieczyszczeń wraz ze wskazaniem podmiotu odpowiedzialnego i podstawy prawnej działania</w:t>
        </w:r>
        <w:r>
          <w:rPr>
            <w:noProof/>
            <w:webHidden/>
          </w:rPr>
          <w:tab/>
        </w:r>
        <w:r>
          <w:rPr>
            <w:noProof/>
            <w:webHidden/>
          </w:rPr>
          <w:fldChar w:fldCharType="begin"/>
        </w:r>
        <w:r>
          <w:rPr>
            <w:noProof/>
            <w:webHidden/>
          </w:rPr>
          <w:instrText xml:space="preserve"> PAGEREF _Toc68727058 \h </w:instrText>
        </w:r>
        <w:r>
          <w:rPr>
            <w:noProof/>
            <w:webHidden/>
          </w:rPr>
        </w:r>
        <w:r>
          <w:rPr>
            <w:noProof/>
            <w:webHidden/>
          </w:rPr>
          <w:fldChar w:fldCharType="separate"/>
        </w:r>
        <w:r>
          <w:rPr>
            <w:noProof/>
            <w:webHidden/>
          </w:rPr>
          <w:t>236</w:t>
        </w:r>
        <w:r>
          <w:rPr>
            <w:noProof/>
            <w:webHidden/>
          </w:rPr>
          <w:fldChar w:fldCharType="end"/>
        </w:r>
      </w:hyperlink>
    </w:p>
    <w:p w14:paraId="2C504EA3" w14:textId="4E362E86" w:rsidR="006C4947" w:rsidRDefault="006C4947">
      <w:pPr>
        <w:pStyle w:val="Spisilustracji"/>
        <w:rPr>
          <w:rFonts w:asciiTheme="minorHAnsi" w:eastAsiaTheme="minorEastAsia" w:hAnsiTheme="minorHAnsi" w:cstheme="minorBidi"/>
          <w:noProof/>
          <w:sz w:val="22"/>
          <w:lang w:eastAsia="pl-PL"/>
        </w:rPr>
      </w:pPr>
      <w:hyperlink w:anchor="_Toc68727059" w:history="1">
        <w:r w:rsidRPr="00CF0ACC">
          <w:rPr>
            <w:rStyle w:val="Hipercze"/>
            <w:noProof/>
          </w:rPr>
          <w:t>Tabela 13</w:t>
        </w:r>
        <w:r w:rsidRPr="00CF0ACC">
          <w:rPr>
            <w:rStyle w:val="Hipercze"/>
            <w:noProof/>
          </w:rPr>
          <w:noBreakHyphen/>
          <w:t>19</w:t>
        </w:r>
        <w:r>
          <w:rPr>
            <w:rFonts w:asciiTheme="minorHAnsi" w:eastAsiaTheme="minorEastAsia" w:hAnsiTheme="minorHAnsi" w:cstheme="minorBidi"/>
            <w:noProof/>
            <w:sz w:val="22"/>
            <w:lang w:eastAsia="pl-PL"/>
          </w:rPr>
          <w:tab/>
        </w:r>
        <w:r w:rsidRPr="00CF0ACC">
          <w:rPr>
            <w:rStyle w:val="Hipercze"/>
            <w:noProof/>
          </w:rPr>
          <w:t>Działania pośrednio związane z przeciwdziałaniem skutkom zanieczyszczeń - wynikające z powiązanych przepisów</w:t>
        </w:r>
        <w:r>
          <w:rPr>
            <w:noProof/>
            <w:webHidden/>
          </w:rPr>
          <w:tab/>
        </w:r>
        <w:r>
          <w:rPr>
            <w:noProof/>
            <w:webHidden/>
          </w:rPr>
          <w:fldChar w:fldCharType="begin"/>
        </w:r>
        <w:r>
          <w:rPr>
            <w:noProof/>
            <w:webHidden/>
          </w:rPr>
          <w:instrText xml:space="preserve"> PAGEREF _Toc68727059 \h </w:instrText>
        </w:r>
        <w:r>
          <w:rPr>
            <w:noProof/>
            <w:webHidden/>
          </w:rPr>
        </w:r>
        <w:r>
          <w:rPr>
            <w:noProof/>
            <w:webHidden/>
          </w:rPr>
          <w:fldChar w:fldCharType="separate"/>
        </w:r>
        <w:r>
          <w:rPr>
            <w:noProof/>
            <w:webHidden/>
          </w:rPr>
          <w:t>241</w:t>
        </w:r>
        <w:r>
          <w:rPr>
            <w:noProof/>
            <w:webHidden/>
          </w:rPr>
          <w:fldChar w:fldCharType="end"/>
        </w:r>
      </w:hyperlink>
    </w:p>
    <w:p w14:paraId="1FE59ACF" w14:textId="0891847D" w:rsidR="006C4947" w:rsidRDefault="006C4947">
      <w:pPr>
        <w:pStyle w:val="Spisilustracji"/>
        <w:rPr>
          <w:rFonts w:asciiTheme="minorHAnsi" w:eastAsiaTheme="minorEastAsia" w:hAnsiTheme="minorHAnsi" w:cstheme="minorBidi"/>
          <w:noProof/>
          <w:sz w:val="22"/>
          <w:lang w:eastAsia="pl-PL"/>
        </w:rPr>
      </w:pPr>
      <w:hyperlink w:anchor="_Toc68727060" w:history="1">
        <w:r w:rsidRPr="00CF0ACC">
          <w:rPr>
            <w:rStyle w:val="Hipercze"/>
            <w:noProof/>
          </w:rPr>
          <w:t>Tabela 13</w:t>
        </w:r>
        <w:r w:rsidRPr="00CF0ACC">
          <w:rPr>
            <w:rStyle w:val="Hipercze"/>
            <w:noProof/>
          </w:rPr>
          <w:noBreakHyphen/>
          <w:t>20</w:t>
        </w:r>
        <w:r>
          <w:rPr>
            <w:rFonts w:asciiTheme="minorHAnsi" w:eastAsiaTheme="minorEastAsia" w:hAnsiTheme="minorHAnsi" w:cstheme="minorBidi"/>
            <w:noProof/>
            <w:sz w:val="22"/>
            <w:lang w:eastAsia="pl-PL"/>
          </w:rPr>
          <w:tab/>
        </w:r>
        <w:r w:rsidRPr="00CF0ACC">
          <w:rPr>
            <w:rStyle w:val="Hipercze"/>
            <w:noProof/>
            <w:lang w:eastAsia="pl-PL"/>
          </w:rPr>
          <w:t>Działania, o których mowa w art. 325 ust.1 pkt. 2 ustawy pr.w. - katalog działań krajowych IIaPGW</w:t>
        </w:r>
        <w:r>
          <w:rPr>
            <w:noProof/>
            <w:webHidden/>
          </w:rPr>
          <w:tab/>
        </w:r>
        <w:r>
          <w:rPr>
            <w:noProof/>
            <w:webHidden/>
          </w:rPr>
          <w:fldChar w:fldCharType="begin"/>
        </w:r>
        <w:r>
          <w:rPr>
            <w:noProof/>
            <w:webHidden/>
          </w:rPr>
          <w:instrText xml:space="preserve"> PAGEREF _Toc68727060 \h </w:instrText>
        </w:r>
        <w:r>
          <w:rPr>
            <w:noProof/>
            <w:webHidden/>
          </w:rPr>
        </w:r>
        <w:r>
          <w:rPr>
            <w:noProof/>
            <w:webHidden/>
          </w:rPr>
          <w:fldChar w:fldCharType="separate"/>
        </w:r>
        <w:r>
          <w:rPr>
            <w:noProof/>
            <w:webHidden/>
          </w:rPr>
          <w:t>245</w:t>
        </w:r>
        <w:r>
          <w:rPr>
            <w:noProof/>
            <w:webHidden/>
          </w:rPr>
          <w:fldChar w:fldCharType="end"/>
        </w:r>
      </w:hyperlink>
    </w:p>
    <w:p w14:paraId="4670B7A3" w14:textId="6C909C56" w:rsidR="006C4947" w:rsidRDefault="006C4947">
      <w:pPr>
        <w:pStyle w:val="Spisilustracji"/>
        <w:rPr>
          <w:rFonts w:asciiTheme="minorHAnsi" w:eastAsiaTheme="minorEastAsia" w:hAnsiTheme="minorHAnsi" w:cstheme="minorBidi"/>
          <w:noProof/>
          <w:sz w:val="22"/>
          <w:lang w:eastAsia="pl-PL"/>
        </w:rPr>
      </w:pPr>
      <w:hyperlink w:anchor="_Toc68727061" w:history="1">
        <w:r w:rsidRPr="00CF0ACC">
          <w:rPr>
            <w:rStyle w:val="Hipercze"/>
            <w:noProof/>
          </w:rPr>
          <w:t>Tabela 14</w:t>
        </w:r>
        <w:r w:rsidRPr="00CF0ACC">
          <w:rPr>
            <w:rStyle w:val="Hipercze"/>
            <w:noProof/>
          </w:rPr>
          <w:noBreakHyphen/>
          <w:t xml:space="preserve">1 </w:t>
        </w:r>
        <w:r>
          <w:rPr>
            <w:rFonts w:asciiTheme="minorHAnsi" w:eastAsiaTheme="minorEastAsia" w:hAnsiTheme="minorHAnsi" w:cstheme="minorBidi"/>
            <w:noProof/>
            <w:sz w:val="22"/>
            <w:lang w:eastAsia="pl-PL"/>
          </w:rPr>
          <w:tab/>
        </w:r>
        <w:r w:rsidRPr="00CF0ACC">
          <w:rPr>
            <w:rStyle w:val="Hipercze"/>
            <w:noProof/>
          </w:rPr>
          <w:t>Granice oznaczalności stosowanych metodyk referencyjnych dla wskaźników jakości badanych w wodzie, w odniesieniu do substancji priorytetowych</w:t>
        </w:r>
        <w:r>
          <w:rPr>
            <w:noProof/>
            <w:webHidden/>
          </w:rPr>
          <w:tab/>
        </w:r>
        <w:r>
          <w:rPr>
            <w:noProof/>
            <w:webHidden/>
          </w:rPr>
          <w:fldChar w:fldCharType="begin"/>
        </w:r>
        <w:r>
          <w:rPr>
            <w:noProof/>
            <w:webHidden/>
          </w:rPr>
          <w:instrText xml:space="preserve"> PAGEREF _Toc68727061 \h </w:instrText>
        </w:r>
        <w:r>
          <w:rPr>
            <w:noProof/>
            <w:webHidden/>
          </w:rPr>
        </w:r>
        <w:r>
          <w:rPr>
            <w:noProof/>
            <w:webHidden/>
          </w:rPr>
          <w:fldChar w:fldCharType="separate"/>
        </w:r>
        <w:r>
          <w:rPr>
            <w:noProof/>
            <w:webHidden/>
          </w:rPr>
          <w:t>256</w:t>
        </w:r>
        <w:r>
          <w:rPr>
            <w:noProof/>
            <w:webHidden/>
          </w:rPr>
          <w:fldChar w:fldCharType="end"/>
        </w:r>
      </w:hyperlink>
    </w:p>
    <w:p w14:paraId="6D41CA25" w14:textId="20E2763B" w:rsidR="006C4947" w:rsidRDefault="006C4947">
      <w:pPr>
        <w:pStyle w:val="Spisilustracji"/>
        <w:rPr>
          <w:rFonts w:asciiTheme="minorHAnsi" w:eastAsiaTheme="minorEastAsia" w:hAnsiTheme="minorHAnsi" w:cstheme="minorBidi"/>
          <w:noProof/>
          <w:sz w:val="22"/>
          <w:lang w:eastAsia="pl-PL"/>
        </w:rPr>
      </w:pPr>
      <w:hyperlink w:anchor="_Toc68727062" w:history="1">
        <w:r w:rsidRPr="00CF0ACC">
          <w:rPr>
            <w:rStyle w:val="Hipercze"/>
            <w:noProof/>
          </w:rPr>
          <w:t>Tabela 14</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Wykaz elementów fizykochemicznych oznaczanych podczas badań monitoringu chemicznego  wraz z opisem stosowanych metod badań laboratoryjnych i terenowych oraz ich granic oznaczalności (stan na 30.11.2020)</w:t>
        </w:r>
        <w:r>
          <w:rPr>
            <w:noProof/>
            <w:webHidden/>
          </w:rPr>
          <w:tab/>
        </w:r>
        <w:r>
          <w:rPr>
            <w:noProof/>
            <w:webHidden/>
          </w:rPr>
          <w:fldChar w:fldCharType="begin"/>
        </w:r>
        <w:r>
          <w:rPr>
            <w:noProof/>
            <w:webHidden/>
          </w:rPr>
          <w:instrText xml:space="preserve"> PAGEREF _Toc68727062 \h </w:instrText>
        </w:r>
        <w:r>
          <w:rPr>
            <w:noProof/>
            <w:webHidden/>
          </w:rPr>
        </w:r>
        <w:r>
          <w:rPr>
            <w:noProof/>
            <w:webHidden/>
          </w:rPr>
          <w:fldChar w:fldCharType="separate"/>
        </w:r>
        <w:r>
          <w:rPr>
            <w:noProof/>
            <w:webHidden/>
          </w:rPr>
          <w:t>261</w:t>
        </w:r>
        <w:r>
          <w:rPr>
            <w:noProof/>
            <w:webHidden/>
          </w:rPr>
          <w:fldChar w:fldCharType="end"/>
        </w:r>
      </w:hyperlink>
    </w:p>
    <w:p w14:paraId="0FF4D6CB" w14:textId="3A77987E" w:rsidR="006C4947" w:rsidRDefault="006C4947">
      <w:pPr>
        <w:pStyle w:val="Spisilustracji"/>
        <w:rPr>
          <w:rFonts w:asciiTheme="minorHAnsi" w:eastAsiaTheme="minorEastAsia" w:hAnsiTheme="minorHAnsi" w:cstheme="minorBidi"/>
          <w:noProof/>
          <w:sz w:val="22"/>
          <w:lang w:eastAsia="pl-PL"/>
        </w:rPr>
      </w:pPr>
      <w:hyperlink w:anchor="_Toc68727063" w:history="1">
        <w:r w:rsidRPr="00CF0ACC">
          <w:rPr>
            <w:rStyle w:val="Hipercze"/>
            <w:noProof/>
          </w:rPr>
          <w:t>Tabela 15</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 xml:space="preserve">Ocena stanu chemicznego wód dla kategorii wód w obszarze dorzecza Pregoły w oparciu o wyniki oceny stanu GIOŚ za lata 2014-2019 oraz wartości wg. </w:t>
        </w:r>
        <w:r w:rsidRPr="00CF0ACC">
          <w:rPr>
            <w:rStyle w:val="Hipercze"/>
            <w:i/>
            <w:noProof/>
          </w:rPr>
          <w:t>Analizy znaczących oddziaływań - jcwp (…)</w:t>
        </w:r>
        <w:r w:rsidRPr="00CF0ACC">
          <w:rPr>
            <w:rStyle w:val="Hipercze"/>
            <w:noProof/>
          </w:rPr>
          <w:t xml:space="preserve"> w zlewniach niemonitorowanych</w:t>
        </w:r>
        <w:r>
          <w:rPr>
            <w:noProof/>
            <w:webHidden/>
          </w:rPr>
          <w:tab/>
        </w:r>
        <w:r>
          <w:rPr>
            <w:noProof/>
            <w:webHidden/>
          </w:rPr>
          <w:fldChar w:fldCharType="begin"/>
        </w:r>
        <w:r>
          <w:rPr>
            <w:noProof/>
            <w:webHidden/>
          </w:rPr>
          <w:instrText xml:space="preserve"> PAGEREF _Toc68727063 \h </w:instrText>
        </w:r>
        <w:r>
          <w:rPr>
            <w:noProof/>
            <w:webHidden/>
          </w:rPr>
        </w:r>
        <w:r>
          <w:rPr>
            <w:noProof/>
            <w:webHidden/>
          </w:rPr>
          <w:fldChar w:fldCharType="separate"/>
        </w:r>
        <w:r>
          <w:rPr>
            <w:noProof/>
            <w:webHidden/>
          </w:rPr>
          <w:t>273</w:t>
        </w:r>
        <w:r>
          <w:rPr>
            <w:noProof/>
            <w:webHidden/>
          </w:rPr>
          <w:fldChar w:fldCharType="end"/>
        </w:r>
      </w:hyperlink>
    </w:p>
    <w:p w14:paraId="3EE0EC35" w14:textId="0424C595" w:rsidR="006C4947" w:rsidRDefault="006C4947">
      <w:pPr>
        <w:pStyle w:val="Spisilustracji"/>
        <w:rPr>
          <w:rFonts w:asciiTheme="minorHAnsi" w:eastAsiaTheme="minorEastAsia" w:hAnsiTheme="minorHAnsi" w:cstheme="minorBidi"/>
          <w:noProof/>
          <w:sz w:val="22"/>
          <w:lang w:eastAsia="pl-PL"/>
        </w:rPr>
      </w:pPr>
      <w:hyperlink w:anchor="_Toc68727064" w:history="1">
        <w:r w:rsidRPr="00CF0ACC">
          <w:rPr>
            <w:rStyle w:val="Hipercze"/>
            <w:noProof/>
          </w:rPr>
          <w:t>Tabela 15</w:t>
        </w:r>
        <w:r w:rsidRPr="00CF0ACC">
          <w:rPr>
            <w:rStyle w:val="Hipercze"/>
            <w:noProof/>
          </w:rPr>
          <w:noBreakHyphen/>
          <w:t>2</w:t>
        </w:r>
        <w:r>
          <w:rPr>
            <w:rFonts w:asciiTheme="minorHAnsi" w:eastAsiaTheme="minorEastAsia" w:hAnsiTheme="minorHAnsi" w:cstheme="minorBidi"/>
            <w:noProof/>
            <w:sz w:val="22"/>
            <w:lang w:eastAsia="pl-PL"/>
          </w:rPr>
          <w:tab/>
        </w:r>
        <w:r w:rsidRPr="00CF0ACC">
          <w:rPr>
            <w:rStyle w:val="Hipercze"/>
            <w:noProof/>
          </w:rPr>
          <w:t>Udział wód objętych programami monitoringu w obszarze dorzecza Pregoły</w:t>
        </w:r>
        <w:r>
          <w:rPr>
            <w:noProof/>
            <w:webHidden/>
          </w:rPr>
          <w:tab/>
        </w:r>
        <w:r>
          <w:rPr>
            <w:noProof/>
            <w:webHidden/>
          </w:rPr>
          <w:fldChar w:fldCharType="begin"/>
        </w:r>
        <w:r>
          <w:rPr>
            <w:noProof/>
            <w:webHidden/>
          </w:rPr>
          <w:instrText xml:space="preserve"> PAGEREF _Toc68727064 \h </w:instrText>
        </w:r>
        <w:r>
          <w:rPr>
            <w:noProof/>
            <w:webHidden/>
          </w:rPr>
        </w:r>
        <w:r>
          <w:rPr>
            <w:noProof/>
            <w:webHidden/>
          </w:rPr>
          <w:fldChar w:fldCharType="separate"/>
        </w:r>
        <w:r>
          <w:rPr>
            <w:noProof/>
            <w:webHidden/>
          </w:rPr>
          <w:t>274</w:t>
        </w:r>
        <w:r>
          <w:rPr>
            <w:noProof/>
            <w:webHidden/>
          </w:rPr>
          <w:fldChar w:fldCharType="end"/>
        </w:r>
      </w:hyperlink>
    </w:p>
    <w:p w14:paraId="55D28B83" w14:textId="590F3549" w:rsidR="006C4947" w:rsidRDefault="006C4947">
      <w:pPr>
        <w:pStyle w:val="Spisilustracji"/>
        <w:rPr>
          <w:rFonts w:asciiTheme="minorHAnsi" w:eastAsiaTheme="minorEastAsia" w:hAnsiTheme="minorHAnsi" w:cstheme="minorBidi"/>
          <w:noProof/>
          <w:sz w:val="22"/>
          <w:lang w:eastAsia="pl-PL"/>
        </w:rPr>
      </w:pPr>
      <w:hyperlink w:anchor="_Toc68727065" w:history="1">
        <w:r w:rsidRPr="00CF0ACC">
          <w:rPr>
            <w:rStyle w:val="Hipercze"/>
            <w:noProof/>
          </w:rPr>
          <w:t>Tabela 17</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Zestawienie liczby odcinków potencjalnie zagrożonych w obszarze dorzecza Pregoły</w:t>
        </w:r>
        <w:r>
          <w:rPr>
            <w:noProof/>
            <w:webHidden/>
          </w:rPr>
          <w:tab/>
        </w:r>
        <w:r>
          <w:rPr>
            <w:noProof/>
            <w:webHidden/>
          </w:rPr>
          <w:fldChar w:fldCharType="begin"/>
        </w:r>
        <w:r>
          <w:rPr>
            <w:noProof/>
            <w:webHidden/>
          </w:rPr>
          <w:instrText xml:space="preserve"> PAGEREF _Toc68727065 \h </w:instrText>
        </w:r>
        <w:r>
          <w:rPr>
            <w:noProof/>
            <w:webHidden/>
          </w:rPr>
        </w:r>
        <w:r>
          <w:rPr>
            <w:noProof/>
            <w:webHidden/>
          </w:rPr>
          <w:fldChar w:fldCharType="separate"/>
        </w:r>
        <w:r>
          <w:rPr>
            <w:noProof/>
            <w:webHidden/>
          </w:rPr>
          <w:t>279</w:t>
        </w:r>
        <w:r>
          <w:rPr>
            <w:noProof/>
            <w:webHidden/>
          </w:rPr>
          <w:fldChar w:fldCharType="end"/>
        </w:r>
      </w:hyperlink>
    </w:p>
    <w:p w14:paraId="093F0DC4" w14:textId="074D1FA8" w:rsidR="006C4947" w:rsidRDefault="006C4947">
      <w:pPr>
        <w:pStyle w:val="Spisilustracji"/>
        <w:rPr>
          <w:rFonts w:asciiTheme="minorHAnsi" w:eastAsiaTheme="minorEastAsia" w:hAnsiTheme="minorHAnsi" w:cstheme="minorBidi"/>
          <w:noProof/>
          <w:sz w:val="22"/>
          <w:lang w:eastAsia="pl-PL"/>
        </w:rPr>
      </w:pPr>
      <w:hyperlink w:anchor="_Toc68727066" w:history="1">
        <w:r w:rsidRPr="00CF0ACC">
          <w:rPr>
            <w:rStyle w:val="Hipercze"/>
            <w:noProof/>
          </w:rPr>
          <w:t>Tabela 18</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Budowle regulacyjne na obszarze dorzecza Pregoły</w:t>
        </w:r>
        <w:r>
          <w:rPr>
            <w:noProof/>
            <w:webHidden/>
          </w:rPr>
          <w:tab/>
        </w:r>
        <w:r>
          <w:rPr>
            <w:noProof/>
            <w:webHidden/>
          </w:rPr>
          <w:fldChar w:fldCharType="begin"/>
        </w:r>
        <w:r>
          <w:rPr>
            <w:noProof/>
            <w:webHidden/>
          </w:rPr>
          <w:instrText xml:space="preserve"> PAGEREF _Toc68727066 \h </w:instrText>
        </w:r>
        <w:r>
          <w:rPr>
            <w:noProof/>
            <w:webHidden/>
          </w:rPr>
        </w:r>
        <w:r>
          <w:rPr>
            <w:noProof/>
            <w:webHidden/>
          </w:rPr>
          <w:fldChar w:fldCharType="separate"/>
        </w:r>
        <w:r>
          <w:rPr>
            <w:noProof/>
            <w:webHidden/>
          </w:rPr>
          <w:t>280</w:t>
        </w:r>
        <w:r>
          <w:rPr>
            <w:noProof/>
            <w:webHidden/>
          </w:rPr>
          <w:fldChar w:fldCharType="end"/>
        </w:r>
      </w:hyperlink>
    </w:p>
    <w:p w14:paraId="52FFBE44" w14:textId="55DCB33F" w:rsidR="006C4947" w:rsidRDefault="006C4947">
      <w:pPr>
        <w:pStyle w:val="Spisilustracji"/>
        <w:rPr>
          <w:rFonts w:asciiTheme="minorHAnsi" w:eastAsiaTheme="minorEastAsia" w:hAnsiTheme="minorHAnsi" w:cstheme="minorBidi"/>
          <w:noProof/>
          <w:sz w:val="22"/>
          <w:lang w:eastAsia="pl-PL"/>
        </w:rPr>
      </w:pPr>
      <w:hyperlink w:anchor="_Toc68727067" w:history="1">
        <w:r w:rsidRPr="00CF0ACC">
          <w:rPr>
            <w:rStyle w:val="Hipercze"/>
            <w:noProof/>
          </w:rPr>
          <w:t>Tabela 21</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Zestawienie organów właściwych w sprawach gospodarowania wodami dla obszaru dorzecza Pregoły wraz ze statusem prawnym oraz danymi adresowymi</w:t>
        </w:r>
        <w:r>
          <w:rPr>
            <w:noProof/>
            <w:webHidden/>
          </w:rPr>
          <w:tab/>
        </w:r>
        <w:r>
          <w:rPr>
            <w:noProof/>
            <w:webHidden/>
          </w:rPr>
          <w:fldChar w:fldCharType="begin"/>
        </w:r>
        <w:r>
          <w:rPr>
            <w:noProof/>
            <w:webHidden/>
          </w:rPr>
          <w:instrText xml:space="preserve"> PAGEREF _Toc68727067 \h </w:instrText>
        </w:r>
        <w:r>
          <w:rPr>
            <w:noProof/>
            <w:webHidden/>
          </w:rPr>
        </w:r>
        <w:r>
          <w:rPr>
            <w:noProof/>
            <w:webHidden/>
          </w:rPr>
          <w:fldChar w:fldCharType="separate"/>
        </w:r>
        <w:r>
          <w:rPr>
            <w:noProof/>
            <w:webHidden/>
          </w:rPr>
          <w:t>305</w:t>
        </w:r>
        <w:r>
          <w:rPr>
            <w:noProof/>
            <w:webHidden/>
          </w:rPr>
          <w:fldChar w:fldCharType="end"/>
        </w:r>
      </w:hyperlink>
    </w:p>
    <w:p w14:paraId="38331B08" w14:textId="7BB9B8A8" w:rsidR="006C4947" w:rsidRDefault="006C4947">
      <w:pPr>
        <w:pStyle w:val="Spisilustracji"/>
        <w:rPr>
          <w:rFonts w:asciiTheme="minorHAnsi" w:eastAsiaTheme="minorEastAsia" w:hAnsiTheme="minorHAnsi" w:cstheme="minorBidi"/>
          <w:noProof/>
          <w:sz w:val="22"/>
          <w:lang w:eastAsia="pl-PL"/>
        </w:rPr>
      </w:pPr>
      <w:hyperlink w:anchor="_Toc68727068" w:history="1">
        <w:r w:rsidRPr="00CF0ACC">
          <w:rPr>
            <w:rStyle w:val="Hipercze"/>
            <w:noProof/>
          </w:rPr>
          <w:t>Tabela 23</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Porównanie liczby jcwp danej kategorii i o danym statusie wg aPGW i IIaPGW.</w:t>
        </w:r>
        <w:r>
          <w:rPr>
            <w:noProof/>
            <w:webHidden/>
          </w:rPr>
          <w:tab/>
        </w:r>
        <w:r>
          <w:rPr>
            <w:noProof/>
            <w:webHidden/>
          </w:rPr>
          <w:fldChar w:fldCharType="begin"/>
        </w:r>
        <w:r>
          <w:rPr>
            <w:noProof/>
            <w:webHidden/>
          </w:rPr>
          <w:instrText xml:space="preserve"> PAGEREF _Toc68727068 \h </w:instrText>
        </w:r>
        <w:r>
          <w:rPr>
            <w:noProof/>
            <w:webHidden/>
          </w:rPr>
        </w:r>
        <w:r>
          <w:rPr>
            <w:noProof/>
            <w:webHidden/>
          </w:rPr>
          <w:fldChar w:fldCharType="separate"/>
        </w:r>
        <w:r>
          <w:rPr>
            <w:noProof/>
            <w:webHidden/>
          </w:rPr>
          <w:t>320</w:t>
        </w:r>
        <w:r>
          <w:rPr>
            <w:noProof/>
            <w:webHidden/>
          </w:rPr>
          <w:fldChar w:fldCharType="end"/>
        </w:r>
      </w:hyperlink>
    </w:p>
    <w:p w14:paraId="1BA0E411" w14:textId="780C4A30" w:rsidR="006C4947" w:rsidRDefault="006C4947">
      <w:pPr>
        <w:pStyle w:val="Spisilustracji"/>
        <w:rPr>
          <w:rFonts w:asciiTheme="minorHAnsi" w:eastAsiaTheme="minorEastAsia" w:hAnsiTheme="minorHAnsi" w:cstheme="minorBidi"/>
          <w:noProof/>
          <w:sz w:val="22"/>
          <w:lang w:eastAsia="pl-PL"/>
        </w:rPr>
      </w:pPr>
      <w:hyperlink w:anchor="_Toc68727069" w:history="1">
        <w:r w:rsidRPr="00CF0ACC">
          <w:rPr>
            <w:rStyle w:val="Hipercze"/>
            <w:noProof/>
          </w:rPr>
          <w:t>Tabela 21</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Dane adresowe organów właściwych do udzielania informacji z zakresu IIaPGW dla obszaru dorzecza Pregoły</w:t>
        </w:r>
        <w:r>
          <w:rPr>
            <w:noProof/>
            <w:webHidden/>
          </w:rPr>
          <w:tab/>
        </w:r>
        <w:r>
          <w:rPr>
            <w:noProof/>
            <w:webHidden/>
          </w:rPr>
          <w:fldChar w:fldCharType="begin"/>
        </w:r>
        <w:r>
          <w:rPr>
            <w:noProof/>
            <w:webHidden/>
          </w:rPr>
          <w:instrText xml:space="preserve"> PAGEREF _Toc68727069 \h </w:instrText>
        </w:r>
        <w:r>
          <w:rPr>
            <w:noProof/>
            <w:webHidden/>
          </w:rPr>
        </w:r>
        <w:r>
          <w:rPr>
            <w:noProof/>
            <w:webHidden/>
          </w:rPr>
          <w:fldChar w:fldCharType="separate"/>
        </w:r>
        <w:r>
          <w:rPr>
            <w:noProof/>
            <w:webHidden/>
          </w:rPr>
          <w:t>323</w:t>
        </w:r>
        <w:r>
          <w:rPr>
            <w:noProof/>
            <w:webHidden/>
          </w:rPr>
          <w:fldChar w:fldCharType="end"/>
        </w:r>
      </w:hyperlink>
    </w:p>
    <w:p w14:paraId="065A11B5" w14:textId="1738D428" w:rsidR="006C4947" w:rsidRDefault="006C4947">
      <w:pPr>
        <w:pStyle w:val="Spisilustracji"/>
        <w:rPr>
          <w:rFonts w:asciiTheme="minorHAnsi" w:eastAsiaTheme="minorEastAsia" w:hAnsiTheme="minorHAnsi" w:cstheme="minorBidi"/>
          <w:noProof/>
          <w:sz w:val="22"/>
          <w:lang w:eastAsia="pl-PL"/>
        </w:rPr>
      </w:pPr>
      <w:hyperlink w:anchor="_Toc68727070" w:history="1">
        <w:r w:rsidRPr="00CF0ACC">
          <w:rPr>
            <w:rStyle w:val="Hipercze"/>
            <w:noProof/>
          </w:rPr>
          <w:t>Tabela 21</w:t>
        </w:r>
        <w:r w:rsidRPr="00CF0ACC">
          <w:rPr>
            <w:rStyle w:val="Hipercze"/>
            <w:noProof/>
          </w:rPr>
          <w:noBreakHyphen/>
          <w:t>1</w:t>
        </w:r>
        <w:r>
          <w:rPr>
            <w:rFonts w:asciiTheme="minorHAnsi" w:eastAsiaTheme="minorEastAsia" w:hAnsiTheme="minorHAnsi" w:cstheme="minorBidi"/>
            <w:noProof/>
            <w:sz w:val="22"/>
            <w:lang w:eastAsia="pl-PL"/>
          </w:rPr>
          <w:tab/>
        </w:r>
        <w:r w:rsidRPr="00CF0ACC">
          <w:rPr>
            <w:rStyle w:val="Hipercze"/>
            <w:noProof/>
          </w:rPr>
          <w:t>Dane adresowe organów właściwych do udzielania informacji z zakresu monitoringu wód i obszarów chronionych dla obszaru dorzecza Pregoły</w:t>
        </w:r>
        <w:r>
          <w:rPr>
            <w:noProof/>
            <w:webHidden/>
          </w:rPr>
          <w:tab/>
        </w:r>
        <w:r>
          <w:rPr>
            <w:noProof/>
            <w:webHidden/>
          </w:rPr>
          <w:fldChar w:fldCharType="begin"/>
        </w:r>
        <w:r>
          <w:rPr>
            <w:noProof/>
            <w:webHidden/>
          </w:rPr>
          <w:instrText xml:space="preserve"> PAGEREF _Toc68727070 \h </w:instrText>
        </w:r>
        <w:r>
          <w:rPr>
            <w:noProof/>
            <w:webHidden/>
          </w:rPr>
        </w:r>
        <w:r>
          <w:rPr>
            <w:noProof/>
            <w:webHidden/>
          </w:rPr>
          <w:fldChar w:fldCharType="separate"/>
        </w:r>
        <w:r>
          <w:rPr>
            <w:noProof/>
            <w:webHidden/>
          </w:rPr>
          <w:t>323</w:t>
        </w:r>
        <w:r>
          <w:rPr>
            <w:noProof/>
            <w:webHidden/>
          </w:rPr>
          <w:fldChar w:fldCharType="end"/>
        </w:r>
      </w:hyperlink>
    </w:p>
    <w:p w14:paraId="079E19C4" w14:textId="486602B4" w:rsidR="00BC4C89" w:rsidRPr="00C73C9B" w:rsidRDefault="00A95F09" w:rsidP="00F713C1">
      <w:pPr>
        <w:pStyle w:val="Tytuspisu"/>
      </w:pPr>
      <w:r>
        <w:rPr>
          <w:color w:val="auto"/>
          <w:sz w:val="22"/>
          <w:szCs w:val="22"/>
        </w:rPr>
        <w:fldChar w:fldCharType="end"/>
      </w:r>
      <w:r w:rsidR="00BC4C89" w:rsidRPr="00C73C9B">
        <w:t xml:space="preserve">Spis </w:t>
      </w:r>
      <w:r w:rsidR="006229CC">
        <w:t>rysunków</w:t>
      </w:r>
    </w:p>
    <w:p w14:paraId="04FCE017" w14:textId="558B19EC" w:rsidR="006C4947" w:rsidRDefault="003F4E3F">
      <w:pPr>
        <w:pStyle w:val="Spisilustracji"/>
        <w:rPr>
          <w:rFonts w:asciiTheme="minorHAnsi" w:eastAsiaTheme="minorEastAsia" w:hAnsiTheme="minorHAnsi" w:cstheme="minorBidi"/>
          <w:noProof/>
          <w:sz w:val="22"/>
          <w:lang w:eastAsia="pl-PL"/>
        </w:rPr>
      </w:pPr>
      <w:r>
        <w:rPr>
          <w:b/>
        </w:rPr>
        <w:fldChar w:fldCharType="begin"/>
      </w:r>
      <w:r>
        <w:rPr>
          <w:b/>
        </w:rPr>
        <w:instrText xml:space="preserve"> TOC \h \z \c "Rysunek" </w:instrText>
      </w:r>
      <w:r>
        <w:rPr>
          <w:b/>
        </w:rPr>
        <w:fldChar w:fldCharType="separate"/>
      </w:r>
      <w:hyperlink w:anchor="_Toc68727071" w:history="1">
        <w:r w:rsidR="006C4947" w:rsidRPr="009F74A7">
          <w:rPr>
            <w:rStyle w:val="Hipercze"/>
            <w:noProof/>
          </w:rPr>
          <w:t>Rysunek 1</w:t>
        </w:r>
        <w:r w:rsidR="006C4947" w:rsidRPr="009F74A7">
          <w:rPr>
            <w:rStyle w:val="Hipercze"/>
            <w:noProof/>
          </w:rPr>
          <w:noBreakHyphen/>
          <w:t>1</w:t>
        </w:r>
        <w:r w:rsidR="006C4947">
          <w:rPr>
            <w:rFonts w:asciiTheme="minorHAnsi" w:eastAsiaTheme="minorEastAsia" w:hAnsiTheme="minorHAnsi" w:cstheme="minorBidi"/>
            <w:noProof/>
            <w:sz w:val="22"/>
            <w:lang w:eastAsia="pl-PL"/>
          </w:rPr>
          <w:tab/>
        </w:r>
        <w:r w:rsidR="006C4947" w:rsidRPr="009F74A7">
          <w:rPr>
            <w:rStyle w:val="Hipercze"/>
            <w:noProof/>
          </w:rPr>
          <w:t>Relacje głównych zagadnień planu gospodarowania wodami</w:t>
        </w:r>
        <w:r w:rsidR="006C4947">
          <w:rPr>
            <w:noProof/>
            <w:webHidden/>
          </w:rPr>
          <w:tab/>
        </w:r>
        <w:r w:rsidR="006C4947">
          <w:rPr>
            <w:noProof/>
            <w:webHidden/>
          </w:rPr>
          <w:fldChar w:fldCharType="begin"/>
        </w:r>
        <w:r w:rsidR="006C4947">
          <w:rPr>
            <w:noProof/>
            <w:webHidden/>
          </w:rPr>
          <w:instrText xml:space="preserve"> PAGEREF _Toc68727071 \h </w:instrText>
        </w:r>
        <w:r w:rsidR="006C4947">
          <w:rPr>
            <w:noProof/>
            <w:webHidden/>
          </w:rPr>
        </w:r>
        <w:r w:rsidR="006C4947">
          <w:rPr>
            <w:noProof/>
            <w:webHidden/>
          </w:rPr>
          <w:fldChar w:fldCharType="separate"/>
        </w:r>
        <w:r w:rsidR="006C4947">
          <w:rPr>
            <w:noProof/>
            <w:webHidden/>
          </w:rPr>
          <w:t>23</w:t>
        </w:r>
        <w:r w:rsidR="006C4947">
          <w:rPr>
            <w:noProof/>
            <w:webHidden/>
          </w:rPr>
          <w:fldChar w:fldCharType="end"/>
        </w:r>
      </w:hyperlink>
    </w:p>
    <w:p w14:paraId="742D7A11" w14:textId="0D50B726" w:rsidR="006C4947" w:rsidRDefault="006C4947">
      <w:pPr>
        <w:pStyle w:val="Spisilustracji"/>
        <w:rPr>
          <w:rFonts w:asciiTheme="minorHAnsi" w:eastAsiaTheme="minorEastAsia" w:hAnsiTheme="minorHAnsi" w:cstheme="minorBidi"/>
          <w:noProof/>
          <w:sz w:val="22"/>
          <w:lang w:eastAsia="pl-PL"/>
        </w:rPr>
      </w:pPr>
      <w:hyperlink w:anchor="_Toc68727072" w:history="1">
        <w:r w:rsidRPr="009F74A7">
          <w:rPr>
            <w:rStyle w:val="Hipercze"/>
            <w:noProof/>
          </w:rPr>
          <w:t>Rysunek 2</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Struktura dokumentu IIaPGW</w:t>
        </w:r>
        <w:r>
          <w:rPr>
            <w:noProof/>
            <w:webHidden/>
          </w:rPr>
          <w:tab/>
        </w:r>
        <w:r>
          <w:rPr>
            <w:noProof/>
            <w:webHidden/>
          </w:rPr>
          <w:fldChar w:fldCharType="begin"/>
        </w:r>
        <w:r>
          <w:rPr>
            <w:noProof/>
            <w:webHidden/>
          </w:rPr>
          <w:instrText xml:space="preserve"> PAGEREF _Toc68727072 \h </w:instrText>
        </w:r>
        <w:r>
          <w:rPr>
            <w:noProof/>
            <w:webHidden/>
          </w:rPr>
        </w:r>
        <w:r>
          <w:rPr>
            <w:noProof/>
            <w:webHidden/>
          </w:rPr>
          <w:fldChar w:fldCharType="separate"/>
        </w:r>
        <w:r>
          <w:rPr>
            <w:noProof/>
            <w:webHidden/>
          </w:rPr>
          <w:t>26</w:t>
        </w:r>
        <w:r>
          <w:rPr>
            <w:noProof/>
            <w:webHidden/>
          </w:rPr>
          <w:fldChar w:fldCharType="end"/>
        </w:r>
      </w:hyperlink>
    </w:p>
    <w:p w14:paraId="0FB0C25C" w14:textId="74BEDB1F" w:rsidR="006C4947" w:rsidRDefault="006C4947">
      <w:pPr>
        <w:pStyle w:val="Spisilustracji"/>
        <w:rPr>
          <w:rFonts w:asciiTheme="minorHAnsi" w:eastAsiaTheme="minorEastAsia" w:hAnsiTheme="minorHAnsi" w:cstheme="minorBidi"/>
          <w:noProof/>
          <w:sz w:val="22"/>
          <w:lang w:eastAsia="pl-PL"/>
        </w:rPr>
      </w:pPr>
      <w:hyperlink w:anchor="_Toc68727073" w:history="1">
        <w:r w:rsidRPr="009F74A7">
          <w:rPr>
            <w:rStyle w:val="Hipercze"/>
            <w:noProof/>
          </w:rPr>
          <w:t>Rysunek 3</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Graficzne odwzorowanie granic obszaru dorzecza Pregoły</w:t>
        </w:r>
        <w:r>
          <w:rPr>
            <w:noProof/>
            <w:webHidden/>
          </w:rPr>
          <w:tab/>
        </w:r>
        <w:r>
          <w:rPr>
            <w:noProof/>
            <w:webHidden/>
          </w:rPr>
          <w:fldChar w:fldCharType="begin"/>
        </w:r>
        <w:r>
          <w:rPr>
            <w:noProof/>
            <w:webHidden/>
          </w:rPr>
          <w:instrText xml:space="preserve"> PAGEREF _Toc68727073 \h </w:instrText>
        </w:r>
        <w:r>
          <w:rPr>
            <w:noProof/>
            <w:webHidden/>
          </w:rPr>
        </w:r>
        <w:r>
          <w:rPr>
            <w:noProof/>
            <w:webHidden/>
          </w:rPr>
          <w:fldChar w:fldCharType="separate"/>
        </w:r>
        <w:r>
          <w:rPr>
            <w:noProof/>
            <w:webHidden/>
          </w:rPr>
          <w:t>28</w:t>
        </w:r>
        <w:r>
          <w:rPr>
            <w:noProof/>
            <w:webHidden/>
          </w:rPr>
          <w:fldChar w:fldCharType="end"/>
        </w:r>
      </w:hyperlink>
    </w:p>
    <w:p w14:paraId="0B1CF15B" w14:textId="31670807" w:rsidR="006C4947" w:rsidRDefault="006C4947">
      <w:pPr>
        <w:pStyle w:val="Spisilustracji"/>
        <w:rPr>
          <w:rFonts w:asciiTheme="minorHAnsi" w:eastAsiaTheme="minorEastAsia" w:hAnsiTheme="minorHAnsi" w:cstheme="minorBidi"/>
          <w:noProof/>
          <w:sz w:val="22"/>
          <w:lang w:eastAsia="pl-PL"/>
        </w:rPr>
      </w:pPr>
      <w:hyperlink w:anchor="_Toc68727074" w:history="1">
        <w:r w:rsidRPr="009F74A7">
          <w:rPr>
            <w:rStyle w:val="Hipercze"/>
            <w:noProof/>
          </w:rPr>
          <w:t>Rysunek 3</w:t>
        </w:r>
        <w:r w:rsidRPr="009F74A7">
          <w:rPr>
            <w:rStyle w:val="Hipercze"/>
            <w:noProof/>
          </w:rPr>
          <w:noBreakHyphen/>
          <w:t>2</w:t>
        </w:r>
        <w:r>
          <w:rPr>
            <w:rFonts w:asciiTheme="minorHAnsi" w:eastAsiaTheme="minorEastAsia" w:hAnsiTheme="minorHAnsi" w:cstheme="minorBidi"/>
            <w:noProof/>
            <w:sz w:val="22"/>
            <w:lang w:eastAsia="pl-PL"/>
          </w:rPr>
          <w:tab/>
        </w:r>
        <w:r w:rsidRPr="009F74A7">
          <w:rPr>
            <w:rStyle w:val="Hipercze"/>
            <w:noProof/>
          </w:rPr>
          <w:t>Etapy procesu wyznaczania silnie zmienionych i sztucznych części wód.</w:t>
        </w:r>
        <w:r>
          <w:rPr>
            <w:noProof/>
            <w:webHidden/>
          </w:rPr>
          <w:tab/>
        </w:r>
        <w:r>
          <w:rPr>
            <w:noProof/>
            <w:webHidden/>
          </w:rPr>
          <w:fldChar w:fldCharType="begin"/>
        </w:r>
        <w:r>
          <w:rPr>
            <w:noProof/>
            <w:webHidden/>
          </w:rPr>
          <w:instrText xml:space="preserve"> PAGEREF _Toc68727074 \h </w:instrText>
        </w:r>
        <w:r>
          <w:rPr>
            <w:noProof/>
            <w:webHidden/>
          </w:rPr>
        </w:r>
        <w:r>
          <w:rPr>
            <w:noProof/>
            <w:webHidden/>
          </w:rPr>
          <w:fldChar w:fldCharType="separate"/>
        </w:r>
        <w:r>
          <w:rPr>
            <w:noProof/>
            <w:webHidden/>
          </w:rPr>
          <w:t>36</w:t>
        </w:r>
        <w:r>
          <w:rPr>
            <w:noProof/>
            <w:webHidden/>
          </w:rPr>
          <w:fldChar w:fldCharType="end"/>
        </w:r>
      </w:hyperlink>
    </w:p>
    <w:p w14:paraId="7063F0CB" w14:textId="325C3E73" w:rsidR="006C4947" w:rsidRDefault="006C4947">
      <w:pPr>
        <w:pStyle w:val="Spisilustracji"/>
        <w:rPr>
          <w:rFonts w:asciiTheme="minorHAnsi" w:eastAsiaTheme="minorEastAsia" w:hAnsiTheme="minorHAnsi" w:cstheme="minorBidi"/>
          <w:noProof/>
          <w:sz w:val="22"/>
          <w:lang w:eastAsia="pl-PL"/>
        </w:rPr>
      </w:pPr>
      <w:hyperlink w:anchor="_Toc68727075" w:history="1">
        <w:r w:rsidRPr="009F74A7">
          <w:rPr>
            <w:rStyle w:val="Hipercze"/>
            <w:noProof/>
          </w:rPr>
          <w:t>Rysunek 8</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Algorytm decyzyjny zastosowania odstępstw w trybie art. 4 ust. 4 i 5 RDW</w:t>
        </w:r>
        <w:r>
          <w:rPr>
            <w:noProof/>
            <w:webHidden/>
          </w:rPr>
          <w:tab/>
        </w:r>
        <w:r>
          <w:rPr>
            <w:noProof/>
            <w:webHidden/>
          </w:rPr>
          <w:fldChar w:fldCharType="begin"/>
        </w:r>
        <w:r>
          <w:rPr>
            <w:noProof/>
            <w:webHidden/>
          </w:rPr>
          <w:instrText xml:space="preserve"> PAGEREF _Toc68727075 \h </w:instrText>
        </w:r>
        <w:r>
          <w:rPr>
            <w:noProof/>
            <w:webHidden/>
          </w:rPr>
        </w:r>
        <w:r>
          <w:rPr>
            <w:noProof/>
            <w:webHidden/>
          </w:rPr>
          <w:fldChar w:fldCharType="separate"/>
        </w:r>
        <w:r>
          <w:rPr>
            <w:noProof/>
            <w:webHidden/>
          </w:rPr>
          <w:t>133</w:t>
        </w:r>
        <w:r>
          <w:rPr>
            <w:noProof/>
            <w:webHidden/>
          </w:rPr>
          <w:fldChar w:fldCharType="end"/>
        </w:r>
      </w:hyperlink>
    </w:p>
    <w:p w14:paraId="4519998D" w14:textId="007BA311" w:rsidR="006C4947" w:rsidRDefault="006C4947">
      <w:pPr>
        <w:pStyle w:val="Spisilustracji"/>
        <w:rPr>
          <w:rFonts w:asciiTheme="minorHAnsi" w:eastAsiaTheme="minorEastAsia" w:hAnsiTheme="minorHAnsi" w:cstheme="minorBidi"/>
          <w:noProof/>
          <w:sz w:val="22"/>
          <w:lang w:eastAsia="pl-PL"/>
        </w:rPr>
      </w:pPr>
      <w:hyperlink w:anchor="_Toc68727076" w:history="1">
        <w:r w:rsidRPr="009F74A7">
          <w:rPr>
            <w:rStyle w:val="Hipercze"/>
            <w:noProof/>
          </w:rPr>
          <w:t>Rysunek 11</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Schemat analizy efektywności kosztowej</w:t>
        </w:r>
        <w:r>
          <w:rPr>
            <w:noProof/>
            <w:webHidden/>
          </w:rPr>
          <w:tab/>
        </w:r>
        <w:r>
          <w:rPr>
            <w:noProof/>
            <w:webHidden/>
          </w:rPr>
          <w:fldChar w:fldCharType="begin"/>
        </w:r>
        <w:r>
          <w:rPr>
            <w:noProof/>
            <w:webHidden/>
          </w:rPr>
          <w:instrText xml:space="preserve"> PAGEREF _Toc68727076 \h </w:instrText>
        </w:r>
        <w:r>
          <w:rPr>
            <w:noProof/>
            <w:webHidden/>
          </w:rPr>
        </w:r>
        <w:r>
          <w:rPr>
            <w:noProof/>
            <w:webHidden/>
          </w:rPr>
          <w:fldChar w:fldCharType="separate"/>
        </w:r>
        <w:r>
          <w:rPr>
            <w:noProof/>
            <w:webHidden/>
          </w:rPr>
          <w:t>169</w:t>
        </w:r>
        <w:r>
          <w:rPr>
            <w:noProof/>
            <w:webHidden/>
          </w:rPr>
          <w:fldChar w:fldCharType="end"/>
        </w:r>
      </w:hyperlink>
    </w:p>
    <w:p w14:paraId="02248F2B" w14:textId="2730E717" w:rsidR="006C4947" w:rsidRDefault="006C4947">
      <w:pPr>
        <w:pStyle w:val="Spisilustracji"/>
        <w:rPr>
          <w:rFonts w:asciiTheme="minorHAnsi" w:eastAsiaTheme="minorEastAsia" w:hAnsiTheme="minorHAnsi" w:cstheme="minorBidi"/>
          <w:noProof/>
          <w:sz w:val="22"/>
          <w:lang w:eastAsia="pl-PL"/>
        </w:rPr>
      </w:pPr>
      <w:hyperlink w:anchor="_Toc68727077" w:history="1">
        <w:r w:rsidRPr="009F74A7">
          <w:rPr>
            <w:rStyle w:val="Hipercze"/>
            <w:noProof/>
          </w:rPr>
          <w:t>Rysunek 12</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Powiązania wzajemne katalogów i zestawów</w:t>
        </w:r>
        <w:r>
          <w:rPr>
            <w:noProof/>
            <w:webHidden/>
          </w:rPr>
          <w:tab/>
        </w:r>
        <w:r>
          <w:rPr>
            <w:noProof/>
            <w:webHidden/>
          </w:rPr>
          <w:fldChar w:fldCharType="begin"/>
        </w:r>
        <w:r>
          <w:rPr>
            <w:noProof/>
            <w:webHidden/>
          </w:rPr>
          <w:instrText xml:space="preserve"> PAGEREF _Toc68727077 \h </w:instrText>
        </w:r>
        <w:r>
          <w:rPr>
            <w:noProof/>
            <w:webHidden/>
          </w:rPr>
        </w:r>
        <w:r>
          <w:rPr>
            <w:noProof/>
            <w:webHidden/>
          </w:rPr>
          <w:fldChar w:fldCharType="separate"/>
        </w:r>
        <w:r>
          <w:rPr>
            <w:noProof/>
            <w:webHidden/>
          </w:rPr>
          <w:t>179</w:t>
        </w:r>
        <w:r>
          <w:rPr>
            <w:noProof/>
            <w:webHidden/>
          </w:rPr>
          <w:fldChar w:fldCharType="end"/>
        </w:r>
      </w:hyperlink>
    </w:p>
    <w:p w14:paraId="4F950909" w14:textId="530162EE" w:rsidR="006C4947" w:rsidRDefault="006C4947">
      <w:pPr>
        <w:pStyle w:val="Spisilustracji"/>
        <w:rPr>
          <w:rFonts w:asciiTheme="minorHAnsi" w:eastAsiaTheme="minorEastAsia" w:hAnsiTheme="minorHAnsi" w:cstheme="minorBidi"/>
          <w:noProof/>
          <w:sz w:val="22"/>
          <w:lang w:eastAsia="pl-PL"/>
        </w:rPr>
      </w:pPr>
      <w:hyperlink w:anchor="_Toc68727078" w:history="1">
        <w:r w:rsidRPr="009F74A7">
          <w:rPr>
            <w:rStyle w:val="Hipercze"/>
            <w:noProof/>
          </w:rPr>
          <w:t>Rysunek 19</w:t>
        </w:r>
        <w:r w:rsidRPr="009F74A7">
          <w:rPr>
            <w:rStyle w:val="Hipercze"/>
            <w:noProof/>
          </w:rPr>
          <w:noBreakHyphen/>
          <w:t>1</w:t>
        </w:r>
        <w:r>
          <w:rPr>
            <w:rFonts w:asciiTheme="minorHAnsi" w:eastAsiaTheme="minorEastAsia" w:hAnsiTheme="minorHAnsi" w:cstheme="minorBidi"/>
            <w:noProof/>
            <w:sz w:val="22"/>
            <w:lang w:eastAsia="pl-PL"/>
          </w:rPr>
          <w:tab/>
        </w:r>
        <w:r w:rsidRPr="009F74A7">
          <w:rPr>
            <w:rStyle w:val="Hipercze"/>
            <w:noProof/>
          </w:rPr>
          <w:t>Schemat - relacje pomiędzy wybranymi dokumentami systemu zarządzania polityką rozwoju a dokumentem IIaPGW</w:t>
        </w:r>
        <w:r>
          <w:rPr>
            <w:noProof/>
            <w:webHidden/>
          </w:rPr>
          <w:tab/>
        </w:r>
        <w:r>
          <w:rPr>
            <w:noProof/>
            <w:webHidden/>
          </w:rPr>
          <w:fldChar w:fldCharType="begin"/>
        </w:r>
        <w:r>
          <w:rPr>
            <w:noProof/>
            <w:webHidden/>
          </w:rPr>
          <w:instrText xml:space="preserve"> PAGEREF _Toc68727078 \h </w:instrText>
        </w:r>
        <w:r>
          <w:rPr>
            <w:noProof/>
            <w:webHidden/>
          </w:rPr>
        </w:r>
        <w:r>
          <w:rPr>
            <w:noProof/>
            <w:webHidden/>
          </w:rPr>
          <w:fldChar w:fldCharType="separate"/>
        </w:r>
        <w:r>
          <w:rPr>
            <w:noProof/>
            <w:webHidden/>
          </w:rPr>
          <w:t>282</w:t>
        </w:r>
        <w:r>
          <w:rPr>
            <w:noProof/>
            <w:webHidden/>
          </w:rPr>
          <w:fldChar w:fldCharType="end"/>
        </w:r>
      </w:hyperlink>
    </w:p>
    <w:p w14:paraId="1362F2AD" w14:textId="238882C1" w:rsidR="00BC4C89" w:rsidRPr="00C73C9B" w:rsidRDefault="003F4E3F" w:rsidP="00F713C1">
      <w:pPr>
        <w:pStyle w:val="Tytuspisu"/>
      </w:pPr>
      <w:r>
        <w:rPr>
          <w:color w:val="auto"/>
          <w:sz w:val="18"/>
          <w:szCs w:val="22"/>
        </w:rPr>
        <w:fldChar w:fldCharType="end"/>
      </w:r>
      <w:r w:rsidR="00BC4C89" w:rsidRPr="00C73C9B">
        <w:t xml:space="preserve">Spis </w:t>
      </w:r>
      <w:r w:rsidR="006229CC">
        <w:t>wykresów</w:t>
      </w:r>
    </w:p>
    <w:p w14:paraId="306044F0" w14:textId="54655353" w:rsidR="006C4947" w:rsidRDefault="00B32CFD">
      <w:pPr>
        <w:pStyle w:val="Spisilustracji"/>
        <w:rPr>
          <w:rFonts w:asciiTheme="minorHAnsi" w:eastAsiaTheme="minorEastAsia" w:hAnsiTheme="minorHAnsi" w:cstheme="minorBidi"/>
          <w:noProof/>
          <w:sz w:val="22"/>
          <w:lang w:eastAsia="pl-PL"/>
        </w:rPr>
      </w:pPr>
      <w:r>
        <w:fldChar w:fldCharType="begin"/>
      </w:r>
      <w:r>
        <w:instrText xml:space="preserve"> TOC \h \z \c "Wykres" </w:instrText>
      </w:r>
      <w:r>
        <w:fldChar w:fldCharType="separate"/>
      </w:r>
      <w:hyperlink w:anchor="_Toc68727079" w:history="1">
        <w:r w:rsidR="006C4947" w:rsidRPr="00C129CE">
          <w:rPr>
            <w:rStyle w:val="Hipercze"/>
            <w:noProof/>
          </w:rPr>
          <w:t>Wykres 3</w:t>
        </w:r>
        <w:r w:rsidR="006C4947" w:rsidRPr="00C129CE">
          <w:rPr>
            <w:rStyle w:val="Hipercze"/>
            <w:noProof/>
          </w:rPr>
          <w:noBreakHyphen/>
          <w:t>1</w:t>
        </w:r>
        <w:r w:rsidR="006C4947">
          <w:rPr>
            <w:rFonts w:asciiTheme="minorHAnsi" w:eastAsiaTheme="minorEastAsia" w:hAnsiTheme="minorHAnsi" w:cstheme="minorBidi"/>
            <w:noProof/>
            <w:sz w:val="22"/>
            <w:lang w:eastAsia="pl-PL"/>
          </w:rPr>
          <w:tab/>
        </w:r>
        <w:r w:rsidR="006C4947" w:rsidRPr="00C129CE">
          <w:rPr>
            <w:rStyle w:val="Hipercze"/>
            <w:noProof/>
          </w:rPr>
          <w:t>Udział poszczególnych ekoregionów w obrębie dorzecza Pregoły</w:t>
        </w:r>
        <w:r w:rsidR="006C4947">
          <w:rPr>
            <w:noProof/>
            <w:webHidden/>
          </w:rPr>
          <w:tab/>
        </w:r>
        <w:r w:rsidR="006C4947">
          <w:rPr>
            <w:noProof/>
            <w:webHidden/>
          </w:rPr>
          <w:fldChar w:fldCharType="begin"/>
        </w:r>
        <w:r w:rsidR="006C4947">
          <w:rPr>
            <w:noProof/>
            <w:webHidden/>
          </w:rPr>
          <w:instrText xml:space="preserve"> PAGEREF _Toc68727079 \h </w:instrText>
        </w:r>
        <w:r w:rsidR="006C4947">
          <w:rPr>
            <w:noProof/>
            <w:webHidden/>
          </w:rPr>
        </w:r>
        <w:r w:rsidR="006C4947">
          <w:rPr>
            <w:noProof/>
            <w:webHidden/>
          </w:rPr>
          <w:fldChar w:fldCharType="separate"/>
        </w:r>
        <w:r w:rsidR="006C4947">
          <w:rPr>
            <w:noProof/>
            <w:webHidden/>
          </w:rPr>
          <w:t>30</w:t>
        </w:r>
        <w:r w:rsidR="006C4947">
          <w:rPr>
            <w:noProof/>
            <w:webHidden/>
          </w:rPr>
          <w:fldChar w:fldCharType="end"/>
        </w:r>
      </w:hyperlink>
    </w:p>
    <w:p w14:paraId="78417AE8" w14:textId="5FC0A027" w:rsidR="006C4947" w:rsidRDefault="006C4947">
      <w:pPr>
        <w:pStyle w:val="Spisilustracji"/>
        <w:rPr>
          <w:rFonts w:asciiTheme="minorHAnsi" w:eastAsiaTheme="minorEastAsia" w:hAnsiTheme="minorHAnsi" w:cstheme="minorBidi"/>
          <w:noProof/>
          <w:sz w:val="22"/>
          <w:lang w:eastAsia="pl-PL"/>
        </w:rPr>
      </w:pPr>
      <w:hyperlink w:anchor="_Toc68727080" w:history="1">
        <w:r w:rsidRPr="00C129CE">
          <w:rPr>
            <w:rStyle w:val="Hipercze"/>
            <w:noProof/>
          </w:rPr>
          <w:t>Wykres 3</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Udział poszczególnych form zagospodarowania terenu regionu wodnego Łyny i Węgorapy</w:t>
        </w:r>
        <w:r>
          <w:rPr>
            <w:noProof/>
            <w:webHidden/>
          </w:rPr>
          <w:tab/>
        </w:r>
        <w:r>
          <w:rPr>
            <w:noProof/>
            <w:webHidden/>
          </w:rPr>
          <w:fldChar w:fldCharType="begin"/>
        </w:r>
        <w:r>
          <w:rPr>
            <w:noProof/>
            <w:webHidden/>
          </w:rPr>
          <w:instrText xml:space="preserve"> PAGEREF _Toc68727080 \h </w:instrText>
        </w:r>
        <w:r>
          <w:rPr>
            <w:noProof/>
            <w:webHidden/>
          </w:rPr>
        </w:r>
        <w:r>
          <w:rPr>
            <w:noProof/>
            <w:webHidden/>
          </w:rPr>
          <w:fldChar w:fldCharType="separate"/>
        </w:r>
        <w:r>
          <w:rPr>
            <w:noProof/>
            <w:webHidden/>
          </w:rPr>
          <w:t>31</w:t>
        </w:r>
        <w:r>
          <w:rPr>
            <w:noProof/>
            <w:webHidden/>
          </w:rPr>
          <w:fldChar w:fldCharType="end"/>
        </w:r>
      </w:hyperlink>
    </w:p>
    <w:p w14:paraId="031520AE" w14:textId="73F302B8" w:rsidR="006C4947" w:rsidRDefault="006C4947">
      <w:pPr>
        <w:pStyle w:val="Spisilustracji"/>
        <w:rPr>
          <w:rFonts w:asciiTheme="minorHAnsi" w:eastAsiaTheme="minorEastAsia" w:hAnsiTheme="minorHAnsi" w:cstheme="minorBidi"/>
          <w:noProof/>
          <w:sz w:val="22"/>
          <w:lang w:eastAsia="pl-PL"/>
        </w:rPr>
      </w:pPr>
      <w:hyperlink w:anchor="_Toc68727081" w:history="1">
        <w:r w:rsidRPr="00C129CE">
          <w:rPr>
            <w:rStyle w:val="Hipercze"/>
            <w:noProof/>
          </w:rPr>
          <w:t>Wykres 3</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Udział jcwp RW i LW regionu wodnego w ogólnej liczbie jcwp obszaru dorzecza Pregoły</w:t>
        </w:r>
        <w:r>
          <w:rPr>
            <w:noProof/>
            <w:webHidden/>
          </w:rPr>
          <w:tab/>
        </w:r>
        <w:r>
          <w:rPr>
            <w:noProof/>
            <w:webHidden/>
          </w:rPr>
          <w:fldChar w:fldCharType="begin"/>
        </w:r>
        <w:r>
          <w:rPr>
            <w:noProof/>
            <w:webHidden/>
          </w:rPr>
          <w:instrText xml:space="preserve"> PAGEREF _Toc68727081 \h </w:instrText>
        </w:r>
        <w:r>
          <w:rPr>
            <w:noProof/>
            <w:webHidden/>
          </w:rPr>
        </w:r>
        <w:r>
          <w:rPr>
            <w:noProof/>
            <w:webHidden/>
          </w:rPr>
          <w:fldChar w:fldCharType="separate"/>
        </w:r>
        <w:r>
          <w:rPr>
            <w:noProof/>
            <w:webHidden/>
          </w:rPr>
          <w:t>32</w:t>
        </w:r>
        <w:r>
          <w:rPr>
            <w:noProof/>
            <w:webHidden/>
          </w:rPr>
          <w:fldChar w:fldCharType="end"/>
        </w:r>
      </w:hyperlink>
    </w:p>
    <w:p w14:paraId="5C935334" w14:textId="5D02C032" w:rsidR="006C4947" w:rsidRDefault="006C4947">
      <w:pPr>
        <w:pStyle w:val="Spisilustracji"/>
        <w:rPr>
          <w:rFonts w:asciiTheme="minorHAnsi" w:eastAsiaTheme="minorEastAsia" w:hAnsiTheme="minorHAnsi" w:cstheme="minorBidi"/>
          <w:noProof/>
          <w:sz w:val="22"/>
          <w:lang w:eastAsia="pl-PL"/>
        </w:rPr>
      </w:pPr>
      <w:hyperlink w:anchor="_Toc68727082" w:history="1">
        <w:r w:rsidRPr="00C129CE">
          <w:rPr>
            <w:rStyle w:val="Hipercze"/>
            <w:noProof/>
          </w:rPr>
          <w:t>Wykres 3</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Udział jcwp RW danego typu w ogólnej liczbie jcwp RW obszaru dorzecza Pregoły</w:t>
        </w:r>
        <w:r>
          <w:rPr>
            <w:noProof/>
            <w:webHidden/>
          </w:rPr>
          <w:tab/>
        </w:r>
        <w:r>
          <w:rPr>
            <w:noProof/>
            <w:webHidden/>
          </w:rPr>
          <w:fldChar w:fldCharType="begin"/>
        </w:r>
        <w:r>
          <w:rPr>
            <w:noProof/>
            <w:webHidden/>
          </w:rPr>
          <w:instrText xml:space="preserve"> PAGEREF _Toc68727082 \h </w:instrText>
        </w:r>
        <w:r>
          <w:rPr>
            <w:noProof/>
            <w:webHidden/>
          </w:rPr>
        </w:r>
        <w:r>
          <w:rPr>
            <w:noProof/>
            <w:webHidden/>
          </w:rPr>
          <w:fldChar w:fldCharType="separate"/>
        </w:r>
        <w:r>
          <w:rPr>
            <w:noProof/>
            <w:webHidden/>
          </w:rPr>
          <w:t>34</w:t>
        </w:r>
        <w:r>
          <w:rPr>
            <w:noProof/>
            <w:webHidden/>
          </w:rPr>
          <w:fldChar w:fldCharType="end"/>
        </w:r>
      </w:hyperlink>
    </w:p>
    <w:p w14:paraId="1AEBE13D" w14:textId="6E731B65" w:rsidR="006C4947" w:rsidRDefault="006C4947">
      <w:pPr>
        <w:pStyle w:val="Spisilustracji"/>
        <w:rPr>
          <w:rFonts w:asciiTheme="minorHAnsi" w:eastAsiaTheme="minorEastAsia" w:hAnsiTheme="minorHAnsi" w:cstheme="minorBidi"/>
          <w:noProof/>
          <w:sz w:val="22"/>
          <w:lang w:eastAsia="pl-PL"/>
        </w:rPr>
      </w:pPr>
      <w:hyperlink w:anchor="_Toc68727083" w:history="1">
        <w:r w:rsidRPr="00C129CE">
          <w:rPr>
            <w:rStyle w:val="Hipercze"/>
            <w:noProof/>
          </w:rPr>
          <w:t>Wykres 3</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rPr>
          <w:t>Udział jcwp LW danego typu w ogólnej liczbie jcwp LW obszaru dorzecza Pregoły</w:t>
        </w:r>
        <w:r>
          <w:rPr>
            <w:noProof/>
            <w:webHidden/>
          </w:rPr>
          <w:tab/>
        </w:r>
        <w:r>
          <w:rPr>
            <w:noProof/>
            <w:webHidden/>
          </w:rPr>
          <w:fldChar w:fldCharType="begin"/>
        </w:r>
        <w:r>
          <w:rPr>
            <w:noProof/>
            <w:webHidden/>
          </w:rPr>
          <w:instrText xml:space="preserve"> PAGEREF _Toc68727083 \h </w:instrText>
        </w:r>
        <w:r>
          <w:rPr>
            <w:noProof/>
            <w:webHidden/>
          </w:rPr>
        </w:r>
        <w:r>
          <w:rPr>
            <w:noProof/>
            <w:webHidden/>
          </w:rPr>
          <w:fldChar w:fldCharType="separate"/>
        </w:r>
        <w:r>
          <w:rPr>
            <w:noProof/>
            <w:webHidden/>
          </w:rPr>
          <w:t>35</w:t>
        </w:r>
        <w:r>
          <w:rPr>
            <w:noProof/>
            <w:webHidden/>
          </w:rPr>
          <w:fldChar w:fldCharType="end"/>
        </w:r>
      </w:hyperlink>
    </w:p>
    <w:p w14:paraId="662CA87D" w14:textId="5BC4CBC1" w:rsidR="006C4947" w:rsidRDefault="006C4947">
      <w:pPr>
        <w:pStyle w:val="Spisilustracji"/>
        <w:rPr>
          <w:rFonts w:asciiTheme="minorHAnsi" w:eastAsiaTheme="minorEastAsia" w:hAnsiTheme="minorHAnsi" w:cstheme="minorBidi"/>
          <w:noProof/>
          <w:sz w:val="22"/>
          <w:lang w:eastAsia="pl-PL"/>
        </w:rPr>
      </w:pPr>
      <w:hyperlink w:anchor="_Toc68727084" w:history="1">
        <w:r w:rsidRPr="00C129CE">
          <w:rPr>
            <w:rStyle w:val="Hipercze"/>
            <w:noProof/>
          </w:rPr>
          <w:t>Wykres 3</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Udział jcwp RW z określonym statusem w ogólnej liczbie jcwp RW na obszarze dorzecza Pregoły</w:t>
        </w:r>
        <w:r>
          <w:rPr>
            <w:noProof/>
            <w:webHidden/>
          </w:rPr>
          <w:tab/>
        </w:r>
        <w:r>
          <w:rPr>
            <w:noProof/>
            <w:webHidden/>
          </w:rPr>
          <w:fldChar w:fldCharType="begin"/>
        </w:r>
        <w:r>
          <w:rPr>
            <w:noProof/>
            <w:webHidden/>
          </w:rPr>
          <w:instrText xml:space="preserve"> PAGEREF _Toc68727084 \h </w:instrText>
        </w:r>
        <w:r>
          <w:rPr>
            <w:noProof/>
            <w:webHidden/>
          </w:rPr>
        </w:r>
        <w:r>
          <w:rPr>
            <w:noProof/>
            <w:webHidden/>
          </w:rPr>
          <w:fldChar w:fldCharType="separate"/>
        </w:r>
        <w:r>
          <w:rPr>
            <w:noProof/>
            <w:webHidden/>
          </w:rPr>
          <w:t>37</w:t>
        </w:r>
        <w:r>
          <w:rPr>
            <w:noProof/>
            <w:webHidden/>
          </w:rPr>
          <w:fldChar w:fldCharType="end"/>
        </w:r>
      </w:hyperlink>
    </w:p>
    <w:p w14:paraId="5A48C09D" w14:textId="45923C55" w:rsidR="006C4947" w:rsidRDefault="006C4947">
      <w:pPr>
        <w:pStyle w:val="Spisilustracji"/>
        <w:rPr>
          <w:rFonts w:asciiTheme="minorHAnsi" w:eastAsiaTheme="minorEastAsia" w:hAnsiTheme="minorHAnsi" w:cstheme="minorBidi"/>
          <w:noProof/>
          <w:sz w:val="22"/>
          <w:lang w:eastAsia="pl-PL"/>
        </w:rPr>
      </w:pPr>
      <w:hyperlink w:anchor="_Toc68727085" w:history="1">
        <w:r w:rsidRPr="00C129CE">
          <w:rPr>
            <w:rStyle w:val="Hipercze"/>
            <w:noProof/>
          </w:rPr>
          <w:t>Wykres 3</w:t>
        </w:r>
        <w:r w:rsidRPr="00C129CE">
          <w:rPr>
            <w:rStyle w:val="Hipercze"/>
            <w:noProof/>
          </w:rPr>
          <w:noBreakHyphen/>
          <w:t>7</w:t>
        </w:r>
        <w:r>
          <w:rPr>
            <w:rFonts w:asciiTheme="minorHAnsi" w:eastAsiaTheme="minorEastAsia" w:hAnsiTheme="minorHAnsi" w:cstheme="minorBidi"/>
            <w:noProof/>
            <w:sz w:val="22"/>
            <w:lang w:eastAsia="pl-PL"/>
          </w:rPr>
          <w:tab/>
        </w:r>
        <w:r w:rsidRPr="00C129CE">
          <w:rPr>
            <w:rStyle w:val="Hipercze"/>
            <w:noProof/>
          </w:rPr>
          <w:t>Udział jcwp LW z określonym statusem w ogólnej liczbie jcwp LW na obszarze dorzecza Pregoły</w:t>
        </w:r>
        <w:r>
          <w:rPr>
            <w:noProof/>
            <w:webHidden/>
          </w:rPr>
          <w:tab/>
        </w:r>
        <w:r>
          <w:rPr>
            <w:noProof/>
            <w:webHidden/>
          </w:rPr>
          <w:fldChar w:fldCharType="begin"/>
        </w:r>
        <w:r>
          <w:rPr>
            <w:noProof/>
            <w:webHidden/>
          </w:rPr>
          <w:instrText xml:space="preserve"> PAGEREF _Toc68727085 \h </w:instrText>
        </w:r>
        <w:r>
          <w:rPr>
            <w:noProof/>
            <w:webHidden/>
          </w:rPr>
        </w:r>
        <w:r>
          <w:rPr>
            <w:noProof/>
            <w:webHidden/>
          </w:rPr>
          <w:fldChar w:fldCharType="separate"/>
        </w:r>
        <w:r>
          <w:rPr>
            <w:noProof/>
            <w:webHidden/>
          </w:rPr>
          <w:t>38</w:t>
        </w:r>
        <w:r>
          <w:rPr>
            <w:noProof/>
            <w:webHidden/>
          </w:rPr>
          <w:fldChar w:fldCharType="end"/>
        </w:r>
      </w:hyperlink>
    </w:p>
    <w:p w14:paraId="341234E2" w14:textId="75D8F6A5" w:rsidR="006C4947" w:rsidRDefault="006C4947">
      <w:pPr>
        <w:pStyle w:val="Spisilustracji"/>
        <w:rPr>
          <w:rFonts w:asciiTheme="minorHAnsi" w:eastAsiaTheme="minorEastAsia" w:hAnsiTheme="minorHAnsi" w:cstheme="minorBidi"/>
          <w:noProof/>
          <w:sz w:val="22"/>
          <w:lang w:eastAsia="pl-PL"/>
        </w:rPr>
      </w:pPr>
      <w:hyperlink w:anchor="_Toc68727086" w:history="1">
        <w:r w:rsidRPr="00C129CE">
          <w:rPr>
            <w:rStyle w:val="Hipercze"/>
            <w:noProof/>
          </w:rPr>
          <w:t>Wykres 4</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Prognozowane tendencje zmian wybranych składowych klimatu</w:t>
        </w:r>
        <w:r>
          <w:rPr>
            <w:noProof/>
            <w:webHidden/>
          </w:rPr>
          <w:tab/>
        </w:r>
        <w:r>
          <w:rPr>
            <w:noProof/>
            <w:webHidden/>
          </w:rPr>
          <w:fldChar w:fldCharType="begin"/>
        </w:r>
        <w:r>
          <w:rPr>
            <w:noProof/>
            <w:webHidden/>
          </w:rPr>
          <w:instrText xml:space="preserve"> PAGEREF _Toc68727086 \h </w:instrText>
        </w:r>
        <w:r>
          <w:rPr>
            <w:noProof/>
            <w:webHidden/>
          </w:rPr>
        </w:r>
        <w:r>
          <w:rPr>
            <w:noProof/>
            <w:webHidden/>
          </w:rPr>
          <w:fldChar w:fldCharType="separate"/>
        </w:r>
        <w:r>
          <w:rPr>
            <w:noProof/>
            <w:webHidden/>
          </w:rPr>
          <w:t>46</w:t>
        </w:r>
        <w:r>
          <w:rPr>
            <w:noProof/>
            <w:webHidden/>
          </w:rPr>
          <w:fldChar w:fldCharType="end"/>
        </w:r>
      </w:hyperlink>
    </w:p>
    <w:p w14:paraId="39838084" w14:textId="6C856CB4" w:rsidR="006C4947" w:rsidRDefault="006C4947">
      <w:pPr>
        <w:pStyle w:val="Spisilustracji"/>
        <w:rPr>
          <w:rFonts w:asciiTheme="minorHAnsi" w:eastAsiaTheme="minorEastAsia" w:hAnsiTheme="minorHAnsi" w:cstheme="minorBidi"/>
          <w:noProof/>
          <w:sz w:val="22"/>
          <w:lang w:eastAsia="pl-PL"/>
        </w:rPr>
      </w:pPr>
      <w:hyperlink w:anchor="_Toc68727087" w:history="1">
        <w:r w:rsidRPr="00C129CE">
          <w:rPr>
            <w:rStyle w:val="Hipercze"/>
            <w:noProof/>
          </w:rPr>
          <w:t>Wykres 5</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Udział jcwp RW planowanych do objęcia monitoringiem w latach 2022-2027 w stosunku do ogólnej liczby jcwp danej kategorii w obszarze dorzecza Pregoły</w:t>
        </w:r>
        <w:r>
          <w:rPr>
            <w:noProof/>
            <w:webHidden/>
          </w:rPr>
          <w:tab/>
        </w:r>
        <w:r>
          <w:rPr>
            <w:noProof/>
            <w:webHidden/>
          </w:rPr>
          <w:fldChar w:fldCharType="begin"/>
        </w:r>
        <w:r>
          <w:rPr>
            <w:noProof/>
            <w:webHidden/>
          </w:rPr>
          <w:instrText xml:space="preserve"> PAGEREF _Toc68727087 \h </w:instrText>
        </w:r>
        <w:r>
          <w:rPr>
            <w:noProof/>
            <w:webHidden/>
          </w:rPr>
        </w:r>
        <w:r>
          <w:rPr>
            <w:noProof/>
            <w:webHidden/>
          </w:rPr>
          <w:fldChar w:fldCharType="separate"/>
        </w:r>
        <w:r>
          <w:rPr>
            <w:noProof/>
            <w:webHidden/>
          </w:rPr>
          <w:t>58</w:t>
        </w:r>
        <w:r>
          <w:rPr>
            <w:noProof/>
            <w:webHidden/>
          </w:rPr>
          <w:fldChar w:fldCharType="end"/>
        </w:r>
      </w:hyperlink>
    </w:p>
    <w:p w14:paraId="04E62D8F" w14:textId="0F04A7E9" w:rsidR="006C4947" w:rsidRDefault="006C4947">
      <w:pPr>
        <w:pStyle w:val="Spisilustracji"/>
        <w:rPr>
          <w:rFonts w:asciiTheme="minorHAnsi" w:eastAsiaTheme="minorEastAsia" w:hAnsiTheme="minorHAnsi" w:cstheme="minorBidi"/>
          <w:noProof/>
          <w:sz w:val="22"/>
          <w:lang w:eastAsia="pl-PL"/>
        </w:rPr>
      </w:pPr>
      <w:hyperlink w:anchor="_Toc68727088" w:history="1">
        <w:r w:rsidRPr="00C129CE">
          <w:rPr>
            <w:rStyle w:val="Hipercze"/>
            <w:noProof/>
          </w:rPr>
          <w:t>Wykres 5</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Udział jcwp LW planowanych do objęcia monitoringiem w latach 2022-2027 w stosunku do ogólnej liczby jcwp danej kategorii w obszarze dorzecza Pregoły</w:t>
        </w:r>
        <w:r>
          <w:rPr>
            <w:noProof/>
            <w:webHidden/>
          </w:rPr>
          <w:tab/>
        </w:r>
        <w:r>
          <w:rPr>
            <w:noProof/>
            <w:webHidden/>
          </w:rPr>
          <w:fldChar w:fldCharType="begin"/>
        </w:r>
        <w:r>
          <w:rPr>
            <w:noProof/>
            <w:webHidden/>
          </w:rPr>
          <w:instrText xml:space="preserve"> PAGEREF _Toc68727088 \h </w:instrText>
        </w:r>
        <w:r>
          <w:rPr>
            <w:noProof/>
            <w:webHidden/>
          </w:rPr>
        </w:r>
        <w:r>
          <w:rPr>
            <w:noProof/>
            <w:webHidden/>
          </w:rPr>
          <w:fldChar w:fldCharType="separate"/>
        </w:r>
        <w:r>
          <w:rPr>
            <w:noProof/>
            <w:webHidden/>
          </w:rPr>
          <w:t>59</w:t>
        </w:r>
        <w:r>
          <w:rPr>
            <w:noProof/>
            <w:webHidden/>
          </w:rPr>
          <w:fldChar w:fldCharType="end"/>
        </w:r>
      </w:hyperlink>
    </w:p>
    <w:p w14:paraId="0D6E861E" w14:textId="06763D6F" w:rsidR="006C4947" w:rsidRDefault="006C4947">
      <w:pPr>
        <w:pStyle w:val="Spisilustracji"/>
        <w:rPr>
          <w:rFonts w:asciiTheme="minorHAnsi" w:eastAsiaTheme="minorEastAsia" w:hAnsiTheme="minorHAnsi" w:cstheme="minorBidi"/>
          <w:noProof/>
          <w:sz w:val="22"/>
          <w:lang w:eastAsia="pl-PL"/>
        </w:rPr>
      </w:pPr>
      <w:hyperlink w:anchor="_Toc68727089" w:history="1">
        <w:r w:rsidRPr="00C129CE">
          <w:rPr>
            <w:rStyle w:val="Hipercze"/>
            <w:noProof/>
          </w:rPr>
          <w:t>Wykres 5</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Udział jcwp RW z oceną stanu w ogólnej liczbie jcwp RW na obszarze dorzecza Pregoły - ocena stanu zgodnie z r.kl.jcwp do 2022 r.</w:t>
        </w:r>
        <w:r>
          <w:rPr>
            <w:noProof/>
            <w:webHidden/>
          </w:rPr>
          <w:tab/>
        </w:r>
        <w:r>
          <w:rPr>
            <w:noProof/>
            <w:webHidden/>
          </w:rPr>
          <w:fldChar w:fldCharType="begin"/>
        </w:r>
        <w:r>
          <w:rPr>
            <w:noProof/>
            <w:webHidden/>
          </w:rPr>
          <w:instrText xml:space="preserve"> PAGEREF _Toc68727089 \h </w:instrText>
        </w:r>
        <w:r>
          <w:rPr>
            <w:noProof/>
            <w:webHidden/>
          </w:rPr>
        </w:r>
        <w:r>
          <w:rPr>
            <w:noProof/>
            <w:webHidden/>
          </w:rPr>
          <w:fldChar w:fldCharType="separate"/>
        </w:r>
        <w:r>
          <w:rPr>
            <w:noProof/>
            <w:webHidden/>
          </w:rPr>
          <w:t>68</w:t>
        </w:r>
        <w:r>
          <w:rPr>
            <w:noProof/>
            <w:webHidden/>
          </w:rPr>
          <w:fldChar w:fldCharType="end"/>
        </w:r>
      </w:hyperlink>
    </w:p>
    <w:p w14:paraId="641BE518" w14:textId="33695AA4" w:rsidR="006C4947" w:rsidRDefault="006C4947">
      <w:pPr>
        <w:pStyle w:val="Spisilustracji"/>
        <w:rPr>
          <w:rFonts w:asciiTheme="minorHAnsi" w:eastAsiaTheme="minorEastAsia" w:hAnsiTheme="minorHAnsi" w:cstheme="minorBidi"/>
          <w:noProof/>
          <w:sz w:val="22"/>
          <w:lang w:eastAsia="pl-PL"/>
        </w:rPr>
      </w:pPr>
      <w:hyperlink w:anchor="_Toc68727090" w:history="1">
        <w:r w:rsidRPr="00C129CE">
          <w:rPr>
            <w:rStyle w:val="Hipercze"/>
            <w:noProof/>
          </w:rPr>
          <w:t>Wykres 5</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Udział jcwp RW z oceną stanu w ogólnej liczbie jcwp RW na obszarze dorzecza Pregoły - ocena stanu zgodnie z r.kl.jcwp od 2022 r.</w:t>
        </w:r>
        <w:r>
          <w:rPr>
            <w:noProof/>
            <w:webHidden/>
          </w:rPr>
          <w:tab/>
        </w:r>
        <w:r>
          <w:rPr>
            <w:noProof/>
            <w:webHidden/>
          </w:rPr>
          <w:fldChar w:fldCharType="begin"/>
        </w:r>
        <w:r>
          <w:rPr>
            <w:noProof/>
            <w:webHidden/>
          </w:rPr>
          <w:instrText xml:space="preserve"> PAGEREF _Toc68727090 \h </w:instrText>
        </w:r>
        <w:r>
          <w:rPr>
            <w:noProof/>
            <w:webHidden/>
          </w:rPr>
        </w:r>
        <w:r>
          <w:rPr>
            <w:noProof/>
            <w:webHidden/>
          </w:rPr>
          <w:fldChar w:fldCharType="separate"/>
        </w:r>
        <w:r>
          <w:rPr>
            <w:noProof/>
            <w:webHidden/>
          </w:rPr>
          <w:t>69</w:t>
        </w:r>
        <w:r>
          <w:rPr>
            <w:noProof/>
            <w:webHidden/>
          </w:rPr>
          <w:fldChar w:fldCharType="end"/>
        </w:r>
      </w:hyperlink>
    </w:p>
    <w:p w14:paraId="1D30AC67" w14:textId="06F8767B" w:rsidR="006C4947" w:rsidRDefault="006C4947">
      <w:pPr>
        <w:pStyle w:val="Spisilustracji"/>
        <w:rPr>
          <w:rFonts w:asciiTheme="minorHAnsi" w:eastAsiaTheme="minorEastAsia" w:hAnsiTheme="minorHAnsi" w:cstheme="minorBidi"/>
          <w:noProof/>
          <w:sz w:val="22"/>
          <w:lang w:eastAsia="pl-PL"/>
        </w:rPr>
      </w:pPr>
      <w:hyperlink w:anchor="_Toc68727091" w:history="1">
        <w:r w:rsidRPr="00C129CE">
          <w:rPr>
            <w:rStyle w:val="Hipercze"/>
            <w:noProof/>
          </w:rPr>
          <w:t>Wykres 5</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rPr>
          <w:t>Udział jcwp LW z oceną stanu w ogólnej liczbie jcwp LW na obszarze dorzecza Pregoły - ocena stanu zgodnie z r.kl.jcwp do 2022 r.</w:t>
        </w:r>
        <w:r>
          <w:rPr>
            <w:noProof/>
            <w:webHidden/>
          </w:rPr>
          <w:tab/>
        </w:r>
        <w:r>
          <w:rPr>
            <w:noProof/>
            <w:webHidden/>
          </w:rPr>
          <w:fldChar w:fldCharType="begin"/>
        </w:r>
        <w:r>
          <w:rPr>
            <w:noProof/>
            <w:webHidden/>
          </w:rPr>
          <w:instrText xml:space="preserve"> PAGEREF _Toc68727091 \h </w:instrText>
        </w:r>
        <w:r>
          <w:rPr>
            <w:noProof/>
            <w:webHidden/>
          </w:rPr>
        </w:r>
        <w:r>
          <w:rPr>
            <w:noProof/>
            <w:webHidden/>
          </w:rPr>
          <w:fldChar w:fldCharType="separate"/>
        </w:r>
        <w:r>
          <w:rPr>
            <w:noProof/>
            <w:webHidden/>
          </w:rPr>
          <w:t>72</w:t>
        </w:r>
        <w:r>
          <w:rPr>
            <w:noProof/>
            <w:webHidden/>
          </w:rPr>
          <w:fldChar w:fldCharType="end"/>
        </w:r>
      </w:hyperlink>
    </w:p>
    <w:p w14:paraId="6F52A75C" w14:textId="110A0FD4" w:rsidR="006C4947" w:rsidRDefault="006C4947">
      <w:pPr>
        <w:pStyle w:val="Spisilustracji"/>
        <w:rPr>
          <w:rFonts w:asciiTheme="minorHAnsi" w:eastAsiaTheme="minorEastAsia" w:hAnsiTheme="minorHAnsi" w:cstheme="minorBidi"/>
          <w:noProof/>
          <w:sz w:val="22"/>
          <w:lang w:eastAsia="pl-PL"/>
        </w:rPr>
      </w:pPr>
      <w:hyperlink w:anchor="_Toc68727092" w:history="1">
        <w:r w:rsidRPr="00C129CE">
          <w:rPr>
            <w:rStyle w:val="Hipercze"/>
            <w:noProof/>
          </w:rPr>
          <w:t>Wykres 5</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Udział jcwp LW z oceną stanu w ogólnej liczbie jcwp LW na obszarze dorzecza Pregoły - ocena stanu zgodnie z r.kl.jcwp od 2022 r.</w:t>
        </w:r>
        <w:r>
          <w:rPr>
            <w:noProof/>
            <w:webHidden/>
          </w:rPr>
          <w:tab/>
        </w:r>
        <w:r>
          <w:rPr>
            <w:noProof/>
            <w:webHidden/>
          </w:rPr>
          <w:fldChar w:fldCharType="begin"/>
        </w:r>
        <w:r>
          <w:rPr>
            <w:noProof/>
            <w:webHidden/>
          </w:rPr>
          <w:instrText xml:space="preserve"> PAGEREF _Toc68727092 \h </w:instrText>
        </w:r>
        <w:r>
          <w:rPr>
            <w:noProof/>
            <w:webHidden/>
          </w:rPr>
        </w:r>
        <w:r>
          <w:rPr>
            <w:noProof/>
            <w:webHidden/>
          </w:rPr>
          <w:fldChar w:fldCharType="separate"/>
        </w:r>
        <w:r>
          <w:rPr>
            <w:noProof/>
            <w:webHidden/>
          </w:rPr>
          <w:t>72</w:t>
        </w:r>
        <w:r>
          <w:rPr>
            <w:noProof/>
            <w:webHidden/>
          </w:rPr>
          <w:fldChar w:fldCharType="end"/>
        </w:r>
      </w:hyperlink>
    </w:p>
    <w:p w14:paraId="50EB5A40" w14:textId="12CC4E4A" w:rsidR="006C4947" w:rsidRDefault="006C4947">
      <w:pPr>
        <w:pStyle w:val="Spisilustracji"/>
        <w:rPr>
          <w:rFonts w:asciiTheme="minorHAnsi" w:eastAsiaTheme="minorEastAsia" w:hAnsiTheme="minorHAnsi" w:cstheme="minorBidi"/>
          <w:noProof/>
          <w:sz w:val="22"/>
          <w:lang w:eastAsia="pl-PL"/>
        </w:rPr>
      </w:pPr>
      <w:hyperlink w:anchor="_Toc68727093" w:history="1">
        <w:r w:rsidRPr="00C129CE">
          <w:rPr>
            <w:rStyle w:val="Hipercze"/>
            <w:noProof/>
          </w:rPr>
          <w:t>Wykres 6</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Częstość przekroczeń wartości granicznych EQS (≥40%) w wodzie i biocie w podziale na typ wód (LW: jcwp jeziorne; RW: jcwp rzeczne)</w:t>
        </w:r>
        <w:r>
          <w:rPr>
            <w:noProof/>
            <w:webHidden/>
          </w:rPr>
          <w:tab/>
        </w:r>
        <w:r>
          <w:rPr>
            <w:noProof/>
            <w:webHidden/>
          </w:rPr>
          <w:fldChar w:fldCharType="begin"/>
        </w:r>
        <w:r>
          <w:rPr>
            <w:noProof/>
            <w:webHidden/>
          </w:rPr>
          <w:instrText xml:space="preserve"> PAGEREF _Toc68727093 \h </w:instrText>
        </w:r>
        <w:r>
          <w:rPr>
            <w:noProof/>
            <w:webHidden/>
          </w:rPr>
        </w:r>
        <w:r>
          <w:rPr>
            <w:noProof/>
            <w:webHidden/>
          </w:rPr>
          <w:fldChar w:fldCharType="separate"/>
        </w:r>
        <w:r>
          <w:rPr>
            <w:noProof/>
            <w:webHidden/>
          </w:rPr>
          <w:t>93</w:t>
        </w:r>
        <w:r>
          <w:rPr>
            <w:noProof/>
            <w:webHidden/>
          </w:rPr>
          <w:fldChar w:fldCharType="end"/>
        </w:r>
      </w:hyperlink>
    </w:p>
    <w:p w14:paraId="6FF21D64" w14:textId="169F483A" w:rsidR="006C4947" w:rsidRDefault="006C4947">
      <w:pPr>
        <w:pStyle w:val="Spisilustracji"/>
        <w:rPr>
          <w:rFonts w:asciiTheme="minorHAnsi" w:eastAsiaTheme="minorEastAsia" w:hAnsiTheme="minorHAnsi" w:cstheme="minorBidi"/>
          <w:noProof/>
          <w:sz w:val="22"/>
          <w:lang w:eastAsia="pl-PL"/>
        </w:rPr>
      </w:pPr>
      <w:hyperlink w:anchor="_Toc68727094" w:history="1">
        <w:r w:rsidRPr="00C129CE">
          <w:rPr>
            <w:rStyle w:val="Hipercze"/>
            <w:noProof/>
          </w:rPr>
          <w:t>Wykres 7</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Udział liczby jcwp RW ze zidentyfikowaną daną presją znaczącą w ogólnej liczbie jcwp RW na obszarze dorzecza Pregoły</w:t>
        </w:r>
        <w:r>
          <w:rPr>
            <w:noProof/>
            <w:webHidden/>
          </w:rPr>
          <w:tab/>
        </w:r>
        <w:r>
          <w:rPr>
            <w:noProof/>
            <w:webHidden/>
          </w:rPr>
          <w:fldChar w:fldCharType="begin"/>
        </w:r>
        <w:r>
          <w:rPr>
            <w:noProof/>
            <w:webHidden/>
          </w:rPr>
          <w:instrText xml:space="preserve"> PAGEREF _Toc68727094 \h </w:instrText>
        </w:r>
        <w:r>
          <w:rPr>
            <w:noProof/>
            <w:webHidden/>
          </w:rPr>
        </w:r>
        <w:r>
          <w:rPr>
            <w:noProof/>
            <w:webHidden/>
          </w:rPr>
          <w:fldChar w:fldCharType="separate"/>
        </w:r>
        <w:r>
          <w:rPr>
            <w:noProof/>
            <w:webHidden/>
          </w:rPr>
          <w:t>101</w:t>
        </w:r>
        <w:r>
          <w:rPr>
            <w:noProof/>
            <w:webHidden/>
          </w:rPr>
          <w:fldChar w:fldCharType="end"/>
        </w:r>
      </w:hyperlink>
    </w:p>
    <w:p w14:paraId="365E84DB" w14:textId="309B3A00" w:rsidR="006C4947" w:rsidRDefault="006C4947">
      <w:pPr>
        <w:pStyle w:val="Spisilustracji"/>
        <w:rPr>
          <w:rFonts w:asciiTheme="minorHAnsi" w:eastAsiaTheme="minorEastAsia" w:hAnsiTheme="minorHAnsi" w:cstheme="minorBidi"/>
          <w:noProof/>
          <w:sz w:val="22"/>
          <w:lang w:eastAsia="pl-PL"/>
        </w:rPr>
      </w:pPr>
      <w:hyperlink w:anchor="_Toc68727095" w:history="1">
        <w:r w:rsidRPr="00C129CE">
          <w:rPr>
            <w:rStyle w:val="Hipercze"/>
            <w:noProof/>
          </w:rPr>
          <w:t>Wykres 7</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Udział liczby jcwp o zidentyfikowanej presji znaczącej umiarkowanej i silnej na elementy biologiczne zależne od hydromorfologii w regionie wodnym Łyny i Węgorapy obszaru dorzecza Pregoły</w:t>
        </w:r>
        <w:r>
          <w:rPr>
            <w:noProof/>
            <w:webHidden/>
          </w:rPr>
          <w:tab/>
        </w:r>
        <w:r>
          <w:rPr>
            <w:noProof/>
            <w:webHidden/>
          </w:rPr>
          <w:fldChar w:fldCharType="begin"/>
        </w:r>
        <w:r>
          <w:rPr>
            <w:noProof/>
            <w:webHidden/>
          </w:rPr>
          <w:instrText xml:space="preserve"> PAGEREF _Toc68727095 \h </w:instrText>
        </w:r>
        <w:r>
          <w:rPr>
            <w:noProof/>
            <w:webHidden/>
          </w:rPr>
        </w:r>
        <w:r>
          <w:rPr>
            <w:noProof/>
            <w:webHidden/>
          </w:rPr>
          <w:fldChar w:fldCharType="separate"/>
        </w:r>
        <w:r>
          <w:rPr>
            <w:noProof/>
            <w:webHidden/>
          </w:rPr>
          <w:t>102</w:t>
        </w:r>
        <w:r>
          <w:rPr>
            <w:noProof/>
            <w:webHidden/>
          </w:rPr>
          <w:fldChar w:fldCharType="end"/>
        </w:r>
      </w:hyperlink>
    </w:p>
    <w:p w14:paraId="631BA564" w14:textId="4737DB9A" w:rsidR="006C4947" w:rsidRDefault="006C4947">
      <w:pPr>
        <w:pStyle w:val="Spisilustracji"/>
        <w:rPr>
          <w:rFonts w:asciiTheme="minorHAnsi" w:eastAsiaTheme="minorEastAsia" w:hAnsiTheme="minorHAnsi" w:cstheme="minorBidi"/>
          <w:noProof/>
          <w:sz w:val="22"/>
          <w:lang w:eastAsia="pl-PL"/>
        </w:rPr>
      </w:pPr>
      <w:hyperlink w:anchor="_Toc68727096" w:history="1">
        <w:r w:rsidRPr="00C129CE">
          <w:rPr>
            <w:rStyle w:val="Hipercze"/>
            <w:noProof/>
          </w:rPr>
          <w:t>Wykres 7</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Udział liczby jcwp ze zidentyfikowaną presją znaczącą umiarkowaną i silną na elementy biologiczne zależne od fizykochemii (trofii) w regionie wodnym Łyny i Węgorapy obszaru dorzecza Pregoły</w:t>
        </w:r>
        <w:r>
          <w:rPr>
            <w:noProof/>
            <w:webHidden/>
          </w:rPr>
          <w:tab/>
        </w:r>
        <w:r>
          <w:rPr>
            <w:noProof/>
            <w:webHidden/>
          </w:rPr>
          <w:fldChar w:fldCharType="begin"/>
        </w:r>
        <w:r>
          <w:rPr>
            <w:noProof/>
            <w:webHidden/>
          </w:rPr>
          <w:instrText xml:space="preserve"> PAGEREF _Toc68727096 \h </w:instrText>
        </w:r>
        <w:r>
          <w:rPr>
            <w:noProof/>
            <w:webHidden/>
          </w:rPr>
        </w:r>
        <w:r>
          <w:rPr>
            <w:noProof/>
            <w:webHidden/>
          </w:rPr>
          <w:fldChar w:fldCharType="separate"/>
        </w:r>
        <w:r>
          <w:rPr>
            <w:noProof/>
            <w:webHidden/>
          </w:rPr>
          <w:t>103</w:t>
        </w:r>
        <w:r>
          <w:rPr>
            <w:noProof/>
            <w:webHidden/>
          </w:rPr>
          <w:fldChar w:fldCharType="end"/>
        </w:r>
      </w:hyperlink>
    </w:p>
    <w:p w14:paraId="36A4D362" w14:textId="748FC143" w:rsidR="006C4947" w:rsidRDefault="006C4947">
      <w:pPr>
        <w:pStyle w:val="Spisilustracji"/>
        <w:rPr>
          <w:rFonts w:asciiTheme="minorHAnsi" w:eastAsiaTheme="minorEastAsia" w:hAnsiTheme="minorHAnsi" w:cstheme="minorBidi"/>
          <w:noProof/>
          <w:sz w:val="22"/>
          <w:lang w:eastAsia="pl-PL"/>
        </w:rPr>
      </w:pPr>
      <w:hyperlink w:anchor="_Toc68727097" w:history="1">
        <w:r w:rsidRPr="00C129CE">
          <w:rPr>
            <w:rStyle w:val="Hipercze"/>
            <w:noProof/>
          </w:rPr>
          <w:t>Wykres 7</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Zestawienie oceny ryzyka nieosiągnięcia celów środowiskowych dla elementów biologicznych zależnych od hydromorfologii w regionie wodnym Łyny i Węgorapy obszaru dorzecza Pregoły</w:t>
        </w:r>
        <w:r>
          <w:rPr>
            <w:noProof/>
            <w:webHidden/>
          </w:rPr>
          <w:tab/>
        </w:r>
        <w:r>
          <w:rPr>
            <w:noProof/>
            <w:webHidden/>
          </w:rPr>
          <w:fldChar w:fldCharType="begin"/>
        </w:r>
        <w:r>
          <w:rPr>
            <w:noProof/>
            <w:webHidden/>
          </w:rPr>
          <w:instrText xml:space="preserve"> PAGEREF _Toc68727097 \h </w:instrText>
        </w:r>
        <w:r>
          <w:rPr>
            <w:noProof/>
            <w:webHidden/>
          </w:rPr>
        </w:r>
        <w:r>
          <w:rPr>
            <w:noProof/>
            <w:webHidden/>
          </w:rPr>
          <w:fldChar w:fldCharType="separate"/>
        </w:r>
        <w:r>
          <w:rPr>
            <w:noProof/>
            <w:webHidden/>
          </w:rPr>
          <w:t>104</w:t>
        </w:r>
        <w:r>
          <w:rPr>
            <w:noProof/>
            <w:webHidden/>
          </w:rPr>
          <w:fldChar w:fldCharType="end"/>
        </w:r>
      </w:hyperlink>
    </w:p>
    <w:p w14:paraId="6C4E1936" w14:textId="74515CBC" w:rsidR="006C4947" w:rsidRDefault="006C4947">
      <w:pPr>
        <w:pStyle w:val="Spisilustracji"/>
        <w:rPr>
          <w:rFonts w:asciiTheme="minorHAnsi" w:eastAsiaTheme="minorEastAsia" w:hAnsiTheme="minorHAnsi" w:cstheme="minorBidi"/>
          <w:noProof/>
          <w:sz w:val="22"/>
          <w:lang w:eastAsia="pl-PL"/>
        </w:rPr>
      </w:pPr>
      <w:hyperlink w:anchor="_Toc68727098" w:history="1">
        <w:r w:rsidRPr="00C129CE">
          <w:rPr>
            <w:rStyle w:val="Hipercze"/>
            <w:noProof/>
          </w:rPr>
          <w:t>Wykres 7</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lang w:val="pl"/>
          </w:rPr>
          <w:t xml:space="preserve">Zestawienie oceny ryzyka nieosiągnięcia celów środowiskowych dla elementów biologicznych zależnych od fizykochemii </w:t>
        </w:r>
        <w:r w:rsidRPr="00C129CE">
          <w:rPr>
            <w:rStyle w:val="Hipercze"/>
            <w:noProof/>
          </w:rPr>
          <w:t>w regionie wodnym Łyny i Węgorapy obszaru dorzecza Pregoły</w:t>
        </w:r>
        <w:r>
          <w:rPr>
            <w:noProof/>
            <w:webHidden/>
          </w:rPr>
          <w:tab/>
        </w:r>
        <w:r>
          <w:rPr>
            <w:noProof/>
            <w:webHidden/>
          </w:rPr>
          <w:fldChar w:fldCharType="begin"/>
        </w:r>
        <w:r>
          <w:rPr>
            <w:noProof/>
            <w:webHidden/>
          </w:rPr>
          <w:instrText xml:space="preserve"> PAGEREF _Toc68727098 \h </w:instrText>
        </w:r>
        <w:r>
          <w:rPr>
            <w:noProof/>
            <w:webHidden/>
          </w:rPr>
        </w:r>
        <w:r>
          <w:rPr>
            <w:noProof/>
            <w:webHidden/>
          </w:rPr>
          <w:fldChar w:fldCharType="separate"/>
        </w:r>
        <w:r>
          <w:rPr>
            <w:noProof/>
            <w:webHidden/>
          </w:rPr>
          <w:t>104</w:t>
        </w:r>
        <w:r>
          <w:rPr>
            <w:noProof/>
            <w:webHidden/>
          </w:rPr>
          <w:fldChar w:fldCharType="end"/>
        </w:r>
      </w:hyperlink>
    </w:p>
    <w:p w14:paraId="0B2A18D1" w14:textId="7B59E069" w:rsidR="006C4947" w:rsidRDefault="006C4947">
      <w:pPr>
        <w:pStyle w:val="Spisilustracji"/>
        <w:rPr>
          <w:rFonts w:asciiTheme="minorHAnsi" w:eastAsiaTheme="minorEastAsia" w:hAnsiTheme="minorHAnsi" w:cstheme="minorBidi"/>
          <w:noProof/>
          <w:sz w:val="22"/>
          <w:lang w:eastAsia="pl-PL"/>
        </w:rPr>
      </w:pPr>
      <w:hyperlink w:anchor="_Toc68727099" w:history="1">
        <w:r w:rsidRPr="00C129CE">
          <w:rPr>
            <w:rStyle w:val="Hipercze"/>
            <w:noProof/>
          </w:rPr>
          <w:t>Wykres 7</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Dominujące źródła presji na wskaźniki fizykochemiczne jcwp RW na obszarze dorzecza Pregoły</w:t>
        </w:r>
        <w:r>
          <w:rPr>
            <w:noProof/>
            <w:webHidden/>
          </w:rPr>
          <w:tab/>
        </w:r>
        <w:r>
          <w:rPr>
            <w:noProof/>
            <w:webHidden/>
          </w:rPr>
          <w:fldChar w:fldCharType="begin"/>
        </w:r>
        <w:r>
          <w:rPr>
            <w:noProof/>
            <w:webHidden/>
          </w:rPr>
          <w:instrText xml:space="preserve"> PAGEREF _Toc68727099 \h </w:instrText>
        </w:r>
        <w:r>
          <w:rPr>
            <w:noProof/>
            <w:webHidden/>
          </w:rPr>
        </w:r>
        <w:r>
          <w:rPr>
            <w:noProof/>
            <w:webHidden/>
          </w:rPr>
          <w:fldChar w:fldCharType="separate"/>
        </w:r>
        <w:r>
          <w:rPr>
            <w:noProof/>
            <w:webHidden/>
          </w:rPr>
          <w:t>106</w:t>
        </w:r>
        <w:r>
          <w:rPr>
            <w:noProof/>
            <w:webHidden/>
          </w:rPr>
          <w:fldChar w:fldCharType="end"/>
        </w:r>
      </w:hyperlink>
    </w:p>
    <w:p w14:paraId="6906C87D" w14:textId="77A178D3" w:rsidR="006C4947" w:rsidRDefault="006C4947">
      <w:pPr>
        <w:pStyle w:val="Spisilustracji"/>
        <w:rPr>
          <w:rFonts w:asciiTheme="minorHAnsi" w:eastAsiaTheme="minorEastAsia" w:hAnsiTheme="minorHAnsi" w:cstheme="minorBidi"/>
          <w:noProof/>
          <w:sz w:val="22"/>
          <w:lang w:eastAsia="pl-PL"/>
        </w:rPr>
      </w:pPr>
      <w:hyperlink w:anchor="_Toc68727100" w:history="1">
        <w:r w:rsidRPr="00C129CE">
          <w:rPr>
            <w:rStyle w:val="Hipercze"/>
            <w:noProof/>
          </w:rPr>
          <w:t>Wykres 7</w:t>
        </w:r>
        <w:r w:rsidRPr="00C129CE">
          <w:rPr>
            <w:rStyle w:val="Hipercze"/>
            <w:noProof/>
          </w:rPr>
          <w:noBreakHyphen/>
          <w:t>7</w:t>
        </w:r>
        <w:r>
          <w:rPr>
            <w:rFonts w:asciiTheme="minorHAnsi" w:eastAsiaTheme="minorEastAsia" w:hAnsiTheme="minorHAnsi" w:cstheme="minorBidi"/>
            <w:noProof/>
            <w:sz w:val="22"/>
            <w:lang w:eastAsia="pl-PL"/>
          </w:rPr>
          <w:tab/>
        </w:r>
        <w:r w:rsidRPr="00C129CE">
          <w:rPr>
            <w:rStyle w:val="Hipercze"/>
            <w:noProof/>
          </w:rPr>
          <w:t>Udział jcwp LW ze zidentyfikowaną daną presją znaczącą w ogólnej liczbie jcwp LW - obszar dorzecza Pregoły</w:t>
        </w:r>
        <w:r>
          <w:rPr>
            <w:noProof/>
            <w:webHidden/>
          </w:rPr>
          <w:tab/>
        </w:r>
        <w:r>
          <w:rPr>
            <w:noProof/>
            <w:webHidden/>
          </w:rPr>
          <w:fldChar w:fldCharType="begin"/>
        </w:r>
        <w:r>
          <w:rPr>
            <w:noProof/>
            <w:webHidden/>
          </w:rPr>
          <w:instrText xml:space="preserve"> PAGEREF _Toc68727100 \h </w:instrText>
        </w:r>
        <w:r>
          <w:rPr>
            <w:noProof/>
            <w:webHidden/>
          </w:rPr>
        </w:r>
        <w:r>
          <w:rPr>
            <w:noProof/>
            <w:webHidden/>
          </w:rPr>
          <w:fldChar w:fldCharType="separate"/>
        </w:r>
        <w:r>
          <w:rPr>
            <w:noProof/>
            <w:webHidden/>
          </w:rPr>
          <w:t>108</w:t>
        </w:r>
        <w:r>
          <w:rPr>
            <w:noProof/>
            <w:webHidden/>
          </w:rPr>
          <w:fldChar w:fldCharType="end"/>
        </w:r>
      </w:hyperlink>
    </w:p>
    <w:p w14:paraId="444656F3" w14:textId="0863D13B" w:rsidR="006C4947" w:rsidRDefault="006C4947">
      <w:pPr>
        <w:pStyle w:val="Spisilustracji"/>
        <w:rPr>
          <w:rFonts w:asciiTheme="minorHAnsi" w:eastAsiaTheme="minorEastAsia" w:hAnsiTheme="minorHAnsi" w:cstheme="minorBidi"/>
          <w:noProof/>
          <w:sz w:val="22"/>
          <w:lang w:eastAsia="pl-PL"/>
        </w:rPr>
      </w:pPr>
      <w:hyperlink w:anchor="_Toc68727101" w:history="1">
        <w:r w:rsidRPr="00C129CE">
          <w:rPr>
            <w:rStyle w:val="Hipercze"/>
            <w:noProof/>
          </w:rPr>
          <w:t>Wykres 7</w:t>
        </w:r>
        <w:r w:rsidRPr="00C129CE">
          <w:rPr>
            <w:rStyle w:val="Hipercze"/>
            <w:noProof/>
          </w:rPr>
          <w:noBreakHyphen/>
          <w:t>8</w:t>
        </w:r>
        <w:r>
          <w:rPr>
            <w:rFonts w:asciiTheme="minorHAnsi" w:eastAsiaTheme="minorEastAsia" w:hAnsiTheme="minorHAnsi" w:cstheme="minorBidi"/>
            <w:noProof/>
            <w:sz w:val="22"/>
            <w:lang w:eastAsia="pl-PL"/>
          </w:rPr>
          <w:tab/>
        </w:r>
        <w:r w:rsidRPr="00C129CE">
          <w:rPr>
            <w:rStyle w:val="Hipercze"/>
            <w:noProof/>
          </w:rPr>
          <w:t>Udział jcwp LW zagrożonych nieosiągnięciem celów środowiskowych w ogólnej liczbie jcwp LW obszaru dorzecza Pregoły</w:t>
        </w:r>
        <w:r>
          <w:rPr>
            <w:noProof/>
            <w:webHidden/>
          </w:rPr>
          <w:tab/>
        </w:r>
        <w:r>
          <w:rPr>
            <w:noProof/>
            <w:webHidden/>
          </w:rPr>
          <w:fldChar w:fldCharType="begin"/>
        </w:r>
        <w:r>
          <w:rPr>
            <w:noProof/>
            <w:webHidden/>
          </w:rPr>
          <w:instrText xml:space="preserve"> PAGEREF _Toc68727101 \h </w:instrText>
        </w:r>
        <w:r>
          <w:rPr>
            <w:noProof/>
            <w:webHidden/>
          </w:rPr>
        </w:r>
        <w:r>
          <w:rPr>
            <w:noProof/>
            <w:webHidden/>
          </w:rPr>
          <w:fldChar w:fldCharType="separate"/>
        </w:r>
        <w:r>
          <w:rPr>
            <w:noProof/>
            <w:webHidden/>
          </w:rPr>
          <w:t>109</w:t>
        </w:r>
        <w:r>
          <w:rPr>
            <w:noProof/>
            <w:webHidden/>
          </w:rPr>
          <w:fldChar w:fldCharType="end"/>
        </w:r>
      </w:hyperlink>
    </w:p>
    <w:p w14:paraId="59828590" w14:textId="1F417D6C" w:rsidR="006C4947" w:rsidRDefault="006C4947">
      <w:pPr>
        <w:pStyle w:val="Spisilustracji"/>
        <w:rPr>
          <w:rFonts w:asciiTheme="minorHAnsi" w:eastAsiaTheme="minorEastAsia" w:hAnsiTheme="minorHAnsi" w:cstheme="minorBidi"/>
          <w:noProof/>
          <w:sz w:val="22"/>
          <w:lang w:eastAsia="pl-PL"/>
        </w:rPr>
      </w:pPr>
      <w:hyperlink w:anchor="_Toc68727102" w:history="1">
        <w:r w:rsidRPr="00C129CE">
          <w:rPr>
            <w:rStyle w:val="Hipercze"/>
            <w:noProof/>
          </w:rPr>
          <w:t>Wykres 7</w:t>
        </w:r>
        <w:r w:rsidRPr="00C129CE">
          <w:rPr>
            <w:rStyle w:val="Hipercze"/>
            <w:noProof/>
          </w:rPr>
          <w:noBreakHyphen/>
          <w:t>9</w:t>
        </w:r>
        <w:r>
          <w:rPr>
            <w:rFonts w:asciiTheme="minorHAnsi" w:eastAsiaTheme="minorEastAsia" w:hAnsiTheme="minorHAnsi" w:cstheme="minorBidi"/>
            <w:noProof/>
            <w:sz w:val="22"/>
            <w:lang w:eastAsia="pl-PL"/>
          </w:rPr>
          <w:tab/>
        </w:r>
        <w:r w:rsidRPr="00C129CE">
          <w:rPr>
            <w:rStyle w:val="Hipercze"/>
            <w:noProof/>
          </w:rPr>
          <w:t>Udział różnych typów składowisk na obszarze dorzecza Pregoły</w:t>
        </w:r>
        <w:r>
          <w:rPr>
            <w:noProof/>
            <w:webHidden/>
          </w:rPr>
          <w:tab/>
        </w:r>
        <w:r>
          <w:rPr>
            <w:noProof/>
            <w:webHidden/>
          </w:rPr>
          <w:fldChar w:fldCharType="begin"/>
        </w:r>
        <w:r>
          <w:rPr>
            <w:noProof/>
            <w:webHidden/>
          </w:rPr>
          <w:instrText xml:space="preserve"> PAGEREF _Toc68727102 \h </w:instrText>
        </w:r>
        <w:r>
          <w:rPr>
            <w:noProof/>
            <w:webHidden/>
          </w:rPr>
        </w:r>
        <w:r>
          <w:rPr>
            <w:noProof/>
            <w:webHidden/>
          </w:rPr>
          <w:fldChar w:fldCharType="separate"/>
        </w:r>
        <w:r>
          <w:rPr>
            <w:noProof/>
            <w:webHidden/>
          </w:rPr>
          <w:t>111</w:t>
        </w:r>
        <w:r>
          <w:rPr>
            <w:noProof/>
            <w:webHidden/>
          </w:rPr>
          <w:fldChar w:fldCharType="end"/>
        </w:r>
      </w:hyperlink>
    </w:p>
    <w:p w14:paraId="7F4AC49E" w14:textId="0D6AD22E" w:rsidR="006C4947" w:rsidRDefault="006C4947">
      <w:pPr>
        <w:pStyle w:val="Spisilustracji"/>
        <w:rPr>
          <w:rFonts w:asciiTheme="minorHAnsi" w:eastAsiaTheme="minorEastAsia" w:hAnsiTheme="minorHAnsi" w:cstheme="minorBidi"/>
          <w:noProof/>
          <w:sz w:val="22"/>
          <w:lang w:eastAsia="pl-PL"/>
        </w:rPr>
      </w:pPr>
      <w:hyperlink w:anchor="_Toc68727103" w:history="1">
        <w:r w:rsidRPr="00C129CE">
          <w:rPr>
            <w:rStyle w:val="Hipercze"/>
            <w:noProof/>
          </w:rPr>
          <w:t>Wykres 8</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Ocena osiągnięcia celów środowiskowych wyznaczonych w aPGW (2016-2021) dla stanu/potencjału ekologicznego w jcwp rzecznych na obszarze dorzecza Pregoły w oparciu o nowy układ jednostek planistycznych IIaPGW</w:t>
        </w:r>
        <w:r>
          <w:rPr>
            <w:noProof/>
            <w:webHidden/>
          </w:rPr>
          <w:tab/>
        </w:r>
        <w:r>
          <w:rPr>
            <w:noProof/>
            <w:webHidden/>
          </w:rPr>
          <w:fldChar w:fldCharType="begin"/>
        </w:r>
        <w:r>
          <w:rPr>
            <w:noProof/>
            <w:webHidden/>
          </w:rPr>
          <w:instrText xml:space="preserve"> PAGEREF _Toc68727103 \h </w:instrText>
        </w:r>
        <w:r>
          <w:rPr>
            <w:noProof/>
            <w:webHidden/>
          </w:rPr>
        </w:r>
        <w:r>
          <w:rPr>
            <w:noProof/>
            <w:webHidden/>
          </w:rPr>
          <w:fldChar w:fldCharType="separate"/>
        </w:r>
        <w:r>
          <w:rPr>
            <w:noProof/>
            <w:webHidden/>
          </w:rPr>
          <w:t>120</w:t>
        </w:r>
        <w:r>
          <w:rPr>
            <w:noProof/>
            <w:webHidden/>
          </w:rPr>
          <w:fldChar w:fldCharType="end"/>
        </w:r>
      </w:hyperlink>
    </w:p>
    <w:p w14:paraId="7265E365" w14:textId="2619D710" w:rsidR="006C4947" w:rsidRDefault="006C4947">
      <w:pPr>
        <w:pStyle w:val="Spisilustracji"/>
        <w:rPr>
          <w:rFonts w:asciiTheme="minorHAnsi" w:eastAsiaTheme="minorEastAsia" w:hAnsiTheme="minorHAnsi" w:cstheme="minorBidi"/>
          <w:noProof/>
          <w:sz w:val="22"/>
          <w:lang w:eastAsia="pl-PL"/>
        </w:rPr>
      </w:pPr>
      <w:hyperlink w:anchor="_Toc68727104" w:history="1">
        <w:r w:rsidRPr="00C129CE">
          <w:rPr>
            <w:rStyle w:val="Hipercze"/>
            <w:noProof/>
          </w:rPr>
          <w:t>Wykres 8</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Ocena osiągnięcia wyznaczonych w aPGW (2016-2021) celów środowiskowych w zakresie stanu chemicznego w jcwp RW na obszarze dorzecza Pregoły w oparciu o nowy układ jednostek planistycznych</w:t>
        </w:r>
        <w:r>
          <w:rPr>
            <w:noProof/>
            <w:webHidden/>
          </w:rPr>
          <w:tab/>
        </w:r>
        <w:r>
          <w:rPr>
            <w:noProof/>
            <w:webHidden/>
          </w:rPr>
          <w:fldChar w:fldCharType="begin"/>
        </w:r>
        <w:r>
          <w:rPr>
            <w:noProof/>
            <w:webHidden/>
          </w:rPr>
          <w:instrText xml:space="preserve"> PAGEREF _Toc68727104 \h </w:instrText>
        </w:r>
        <w:r>
          <w:rPr>
            <w:noProof/>
            <w:webHidden/>
          </w:rPr>
        </w:r>
        <w:r>
          <w:rPr>
            <w:noProof/>
            <w:webHidden/>
          </w:rPr>
          <w:fldChar w:fldCharType="separate"/>
        </w:r>
        <w:r>
          <w:rPr>
            <w:noProof/>
            <w:webHidden/>
          </w:rPr>
          <w:t>121</w:t>
        </w:r>
        <w:r>
          <w:rPr>
            <w:noProof/>
            <w:webHidden/>
          </w:rPr>
          <w:fldChar w:fldCharType="end"/>
        </w:r>
      </w:hyperlink>
    </w:p>
    <w:p w14:paraId="49D19F97" w14:textId="2EA38607" w:rsidR="006C4947" w:rsidRDefault="006C4947">
      <w:pPr>
        <w:pStyle w:val="Spisilustracji"/>
        <w:rPr>
          <w:rFonts w:asciiTheme="minorHAnsi" w:eastAsiaTheme="minorEastAsia" w:hAnsiTheme="minorHAnsi" w:cstheme="minorBidi"/>
          <w:noProof/>
          <w:sz w:val="22"/>
          <w:lang w:eastAsia="pl-PL"/>
        </w:rPr>
      </w:pPr>
      <w:hyperlink w:anchor="_Toc68727105" w:history="1">
        <w:r w:rsidRPr="00C129CE">
          <w:rPr>
            <w:rStyle w:val="Hipercze"/>
            <w:noProof/>
          </w:rPr>
          <w:t>Wykres 8</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Ocena osiągnięcia wyznaczonych w aPGW (2016-2021) celów środowiskowych w zakresie stanu ogólnego w jcwp RW na obszarze dorzecza Pregoły w oparciu o nowy układ jednostek planistycznych.</w:t>
        </w:r>
        <w:r>
          <w:rPr>
            <w:noProof/>
            <w:webHidden/>
          </w:rPr>
          <w:tab/>
        </w:r>
        <w:r>
          <w:rPr>
            <w:noProof/>
            <w:webHidden/>
          </w:rPr>
          <w:fldChar w:fldCharType="begin"/>
        </w:r>
        <w:r>
          <w:rPr>
            <w:noProof/>
            <w:webHidden/>
          </w:rPr>
          <w:instrText xml:space="preserve"> PAGEREF _Toc68727105 \h </w:instrText>
        </w:r>
        <w:r>
          <w:rPr>
            <w:noProof/>
            <w:webHidden/>
          </w:rPr>
        </w:r>
        <w:r>
          <w:rPr>
            <w:noProof/>
            <w:webHidden/>
          </w:rPr>
          <w:fldChar w:fldCharType="separate"/>
        </w:r>
        <w:r>
          <w:rPr>
            <w:noProof/>
            <w:webHidden/>
          </w:rPr>
          <w:t>122</w:t>
        </w:r>
        <w:r>
          <w:rPr>
            <w:noProof/>
            <w:webHidden/>
          </w:rPr>
          <w:fldChar w:fldCharType="end"/>
        </w:r>
      </w:hyperlink>
    </w:p>
    <w:p w14:paraId="09E42E1D" w14:textId="41269330" w:rsidR="006C4947" w:rsidRDefault="006C4947">
      <w:pPr>
        <w:pStyle w:val="Spisilustracji"/>
        <w:rPr>
          <w:rFonts w:asciiTheme="minorHAnsi" w:eastAsiaTheme="minorEastAsia" w:hAnsiTheme="minorHAnsi" w:cstheme="minorBidi"/>
          <w:noProof/>
          <w:sz w:val="22"/>
          <w:lang w:eastAsia="pl-PL"/>
        </w:rPr>
      </w:pPr>
      <w:hyperlink w:anchor="_Toc68727106" w:history="1">
        <w:r w:rsidRPr="00C129CE">
          <w:rPr>
            <w:rStyle w:val="Hipercze"/>
            <w:noProof/>
          </w:rPr>
          <w:t>Wykres 8</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Ocena osiągnięcia celów środowiskowych wyznaczonych w aPGW (2016-2021) dla stanu/potencjału ekologicznego w jcwp jeziornych na obszarze dorzecza Pregoły w oparciu o nowy układ jednostek planistycznych</w:t>
        </w:r>
        <w:r>
          <w:rPr>
            <w:noProof/>
            <w:webHidden/>
          </w:rPr>
          <w:tab/>
        </w:r>
        <w:r>
          <w:rPr>
            <w:noProof/>
            <w:webHidden/>
          </w:rPr>
          <w:fldChar w:fldCharType="begin"/>
        </w:r>
        <w:r>
          <w:rPr>
            <w:noProof/>
            <w:webHidden/>
          </w:rPr>
          <w:instrText xml:space="preserve"> PAGEREF _Toc68727106 \h </w:instrText>
        </w:r>
        <w:r>
          <w:rPr>
            <w:noProof/>
            <w:webHidden/>
          </w:rPr>
        </w:r>
        <w:r>
          <w:rPr>
            <w:noProof/>
            <w:webHidden/>
          </w:rPr>
          <w:fldChar w:fldCharType="separate"/>
        </w:r>
        <w:r>
          <w:rPr>
            <w:noProof/>
            <w:webHidden/>
          </w:rPr>
          <w:t>124</w:t>
        </w:r>
        <w:r>
          <w:rPr>
            <w:noProof/>
            <w:webHidden/>
          </w:rPr>
          <w:fldChar w:fldCharType="end"/>
        </w:r>
      </w:hyperlink>
    </w:p>
    <w:p w14:paraId="11C9C23D" w14:textId="49427C63" w:rsidR="006C4947" w:rsidRDefault="006C4947">
      <w:pPr>
        <w:pStyle w:val="Spisilustracji"/>
        <w:rPr>
          <w:rFonts w:asciiTheme="minorHAnsi" w:eastAsiaTheme="minorEastAsia" w:hAnsiTheme="minorHAnsi" w:cstheme="minorBidi"/>
          <w:noProof/>
          <w:sz w:val="22"/>
          <w:lang w:eastAsia="pl-PL"/>
        </w:rPr>
      </w:pPr>
      <w:hyperlink w:anchor="_Toc68727107" w:history="1">
        <w:r w:rsidRPr="00C129CE">
          <w:rPr>
            <w:rStyle w:val="Hipercze"/>
            <w:noProof/>
          </w:rPr>
          <w:t>Wykres 8</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rPr>
          <w:t>Ocena osiągnięcia wyznaczonych w aPGW (2016-2021) celów środowiskowych w zakresie stanu chemicznego w jcwp jeziornych na obszarze dorzecza Pregoły w oparciu o nowy układ jednostek planistycznych</w:t>
        </w:r>
        <w:r>
          <w:rPr>
            <w:noProof/>
            <w:webHidden/>
          </w:rPr>
          <w:tab/>
        </w:r>
        <w:r>
          <w:rPr>
            <w:noProof/>
            <w:webHidden/>
          </w:rPr>
          <w:fldChar w:fldCharType="begin"/>
        </w:r>
        <w:r>
          <w:rPr>
            <w:noProof/>
            <w:webHidden/>
          </w:rPr>
          <w:instrText xml:space="preserve"> PAGEREF _Toc68727107 \h </w:instrText>
        </w:r>
        <w:r>
          <w:rPr>
            <w:noProof/>
            <w:webHidden/>
          </w:rPr>
        </w:r>
        <w:r>
          <w:rPr>
            <w:noProof/>
            <w:webHidden/>
          </w:rPr>
          <w:fldChar w:fldCharType="separate"/>
        </w:r>
        <w:r>
          <w:rPr>
            <w:noProof/>
            <w:webHidden/>
          </w:rPr>
          <w:t>125</w:t>
        </w:r>
        <w:r>
          <w:rPr>
            <w:noProof/>
            <w:webHidden/>
          </w:rPr>
          <w:fldChar w:fldCharType="end"/>
        </w:r>
      </w:hyperlink>
    </w:p>
    <w:p w14:paraId="042D5E61" w14:textId="4FBE6AB5" w:rsidR="006C4947" w:rsidRDefault="006C4947">
      <w:pPr>
        <w:pStyle w:val="Spisilustracji"/>
        <w:rPr>
          <w:rFonts w:asciiTheme="minorHAnsi" w:eastAsiaTheme="minorEastAsia" w:hAnsiTheme="minorHAnsi" w:cstheme="minorBidi"/>
          <w:noProof/>
          <w:sz w:val="22"/>
          <w:lang w:eastAsia="pl-PL"/>
        </w:rPr>
      </w:pPr>
      <w:hyperlink w:anchor="_Toc68727108" w:history="1">
        <w:r w:rsidRPr="00C129CE">
          <w:rPr>
            <w:rStyle w:val="Hipercze"/>
            <w:noProof/>
          </w:rPr>
          <w:t>Wykres 8</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Ocena osiągnięcia wyznaczonych w aPGW (2016-2021) celów środowiskowych w zakresie stanu ogólnego w jcwp LW na obszarze dorzecza Pregoły w oparciu o nowy układ jednostek planistycznych</w:t>
        </w:r>
        <w:r>
          <w:rPr>
            <w:noProof/>
            <w:webHidden/>
          </w:rPr>
          <w:tab/>
        </w:r>
        <w:r>
          <w:rPr>
            <w:noProof/>
            <w:webHidden/>
          </w:rPr>
          <w:fldChar w:fldCharType="begin"/>
        </w:r>
        <w:r>
          <w:rPr>
            <w:noProof/>
            <w:webHidden/>
          </w:rPr>
          <w:instrText xml:space="preserve"> PAGEREF _Toc68727108 \h </w:instrText>
        </w:r>
        <w:r>
          <w:rPr>
            <w:noProof/>
            <w:webHidden/>
          </w:rPr>
        </w:r>
        <w:r>
          <w:rPr>
            <w:noProof/>
            <w:webHidden/>
          </w:rPr>
          <w:fldChar w:fldCharType="separate"/>
        </w:r>
        <w:r>
          <w:rPr>
            <w:noProof/>
            <w:webHidden/>
          </w:rPr>
          <w:t>126</w:t>
        </w:r>
        <w:r>
          <w:rPr>
            <w:noProof/>
            <w:webHidden/>
          </w:rPr>
          <w:fldChar w:fldCharType="end"/>
        </w:r>
      </w:hyperlink>
    </w:p>
    <w:p w14:paraId="5B8A55E6" w14:textId="41C4CCB4" w:rsidR="006C4947" w:rsidRDefault="006C4947">
      <w:pPr>
        <w:pStyle w:val="Spisilustracji"/>
        <w:rPr>
          <w:rFonts w:asciiTheme="minorHAnsi" w:eastAsiaTheme="minorEastAsia" w:hAnsiTheme="minorHAnsi" w:cstheme="minorBidi"/>
          <w:noProof/>
          <w:sz w:val="22"/>
          <w:lang w:eastAsia="pl-PL"/>
        </w:rPr>
      </w:pPr>
      <w:hyperlink w:anchor="_Toc68727109" w:history="1">
        <w:r w:rsidRPr="00C129CE">
          <w:rPr>
            <w:rStyle w:val="Hipercze"/>
            <w:noProof/>
          </w:rPr>
          <w:t>Wykres 8</w:t>
        </w:r>
        <w:r w:rsidRPr="00C129CE">
          <w:rPr>
            <w:rStyle w:val="Hipercze"/>
            <w:noProof/>
          </w:rPr>
          <w:noBreakHyphen/>
          <w:t>7</w:t>
        </w:r>
        <w:r>
          <w:rPr>
            <w:rFonts w:asciiTheme="minorHAnsi" w:eastAsiaTheme="minorEastAsia" w:hAnsiTheme="minorHAnsi" w:cstheme="minorBidi"/>
            <w:noProof/>
            <w:sz w:val="22"/>
            <w:lang w:eastAsia="pl-PL"/>
          </w:rPr>
          <w:tab/>
        </w:r>
        <w:r w:rsidRPr="00C129CE">
          <w:rPr>
            <w:rStyle w:val="Hipercze"/>
            <w:noProof/>
          </w:rPr>
          <w:t>Podsumowanie wyniku oceny osiągnięcia celów środowiskowych obszarów przeznaczonych do ochrony siedlisk lub gatunków ustanowionych w ustawie o ochronie przyrody, dla których utrzymanie lub poprawa stanu wód jest ważnym czynnikiem w ich ochronie, które uwzględnione zostały w wykazie obszarów przeznaczonych do ochrony siedlisk lub gatunków w latach 2016-2021.</w:t>
        </w:r>
        <w:r>
          <w:rPr>
            <w:noProof/>
            <w:webHidden/>
          </w:rPr>
          <w:tab/>
        </w:r>
        <w:r>
          <w:rPr>
            <w:noProof/>
            <w:webHidden/>
          </w:rPr>
          <w:fldChar w:fldCharType="begin"/>
        </w:r>
        <w:r>
          <w:rPr>
            <w:noProof/>
            <w:webHidden/>
          </w:rPr>
          <w:instrText xml:space="preserve"> PAGEREF _Toc68727109 \h </w:instrText>
        </w:r>
        <w:r>
          <w:rPr>
            <w:noProof/>
            <w:webHidden/>
          </w:rPr>
        </w:r>
        <w:r>
          <w:rPr>
            <w:noProof/>
            <w:webHidden/>
          </w:rPr>
          <w:fldChar w:fldCharType="separate"/>
        </w:r>
        <w:r>
          <w:rPr>
            <w:noProof/>
            <w:webHidden/>
          </w:rPr>
          <w:t>130</w:t>
        </w:r>
        <w:r>
          <w:rPr>
            <w:noProof/>
            <w:webHidden/>
          </w:rPr>
          <w:fldChar w:fldCharType="end"/>
        </w:r>
      </w:hyperlink>
    </w:p>
    <w:p w14:paraId="650E4E44" w14:textId="30CF5772" w:rsidR="006C4947" w:rsidRDefault="006C4947">
      <w:pPr>
        <w:pStyle w:val="Spisilustracji"/>
        <w:rPr>
          <w:rFonts w:asciiTheme="minorHAnsi" w:eastAsiaTheme="minorEastAsia" w:hAnsiTheme="minorHAnsi" w:cstheme="minorBidi"/>
          <w:noProof/>
          <w:sz w:val="22"/>
          <w:lang w:eastAsia="pl-PL"/>
        </w:rPr>
      </w:pPr>
      <w:hyperlink w:anchor="_Toc68727110" w:history="1">
        <w:r w:rsidRPr="00C129CE">
          <w:rPr>
            <w:rStyle w:val="Hipercze"/>
            <w:noProof/>
          </w:rPr>
          <w:t>Wykres 10</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Udział działań krajowych z określonym terminem realizacji (aPGW) (2016-2021)</w:t>
        </w:r>
        <w:r>
          <w:rPr>
            <w:noProof/>
            <w:webHidden/>
          </w:rPr>
          <w:tab/>
        </w:r>
        <w:r>
          <w:rPr>
            <w:noProof/>
            <w:webHidden/>
          </w:rPr>
          <w:fldChar w:fldCharType="begin"/>
        </w:r>
        <w:r>
          <w:rPr>
            <w:noProof/>
            <w:webHidden/>
          </w:rPr>
          <w:instrText xml:space="preserve"> PAGEREF _Toc68727110 \h </w:instrText>
        </w:r>
        <w:r>
          <w:rPr>
            <w:noProof/>
            <w:webHidden/>
          </w:rPr>
        </w:r>
        <w:r>
          <w:rPr>
            <w:noProof/>
            <w:webHidden/>
          </w:rPr>
          <w:fldChar w:fldCharType="separate"/>
        </w:r>
        <w:r>
          <w:rPr>
            <w:noProof/>
            <w:webHidden/>
          </w:rPr>
          <w:t>155</w:t>
        </w:r>
        <w:r>
          <w:rPr>
            <w:noProof/>
            <w:webHidden/>
          </w:rPr>
          <w:fldChar w:fldCharType="end"/>
        </w:r>
      </w:hyperlink>
    </w:p>
    <w:p w14:paraId="70DD6E40" w14:textId="38054053" w:rsidR="006C4947" w:rsidRDefault="006C4947">
      <w:pPr>
        <w:pStyle w:val="Spisilustracji"/>
        <w:rPr>
          <w:rFonts w:asciiTheme="minorHAnsi" w:eastAsiaTheme="minorEastAsia" w:hAnsiTheme="minorHAnsi" w:cstheme="minorBidi"/>
          <w:noProof/>
          <w:sz w:val="22"/>
          <w:lang w:eastAsia="pl-PL"/>
        </w:rPr>
      </w:pPr>
      <w:hyperlink w:anchor="_Toc68727111" w:history="1">
        <w:r w:rsidRPr="00C129CE">
          <w:rPr>
            <w:rStyle w:val="Hipercze"/>
            <w:noProof/>
          </w:rPr>
          <w:t>Wykres 10</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Stan realizacji działań krajowych ze wskazanym terminem realizacji (aPGW), (2016-2021)</w:t>
        </w:r>
        <w:r>
          <w:rPr>
            <w:noProof/>
            <w:webHidden/>
          </w:rPr>
          <w:tab/>
        </w:r>
        <w:r>
          <w:rPr>
            <w:noProof/>
            <w:webHidden/>
          </w:rPr>
          <w:fldChar w:fldCharType="begin"/>
        </w:r>
        <w:r>
          <w:rPr>
            <w:noProof/>
            <w:webHidden/>
          </w:rPr>
          <w:instrText xml:space="preserve"> PAGEREF _Toc68727111 \h </w:instrText>
        </w:r>
        <w:r>
          <w:rPr>
            <w:noProof/>
            <w:webHidden/>
          </w:rPr>
        </w:r>
        <w:r>
          <w:rPr>
            <w:noProof/>
            <w:webHidden/>
          </w:rPr>
          <w:fldChar w:fldCharType="separate"/>
        </w:r>
        <w:r>
          <w:rPr>
            <w:noProof/>
            <w:webHidden/>
          </w:rPr>
          <w:t>155</w:t>
        </w:r>
        <w:r>
          <w:rPr>
            <w:noProof/>
            <w:webHidden/>
          </w:rPr>
          <w:fldChar w:fldCharType="end"/>
        </w:r>
      </w:hyperlink>
    </w:p>
    <w:p w14:paraId="79DB8E80" w14:textId="0857ABAE" w:rsidR="006C4947" w:rsidRDefault="006C4947">
      <w:pPr>
        <w:pStyle w:val="Spisilustracji"/>
        <w:rPr>
          <w:rFonts w:asciiTheme="minorHAnsi" w:eastAsiaTheme="minorEastAsia" w:hAnsiTheme="minorHAnsi" w:cstheme="minorBidi"/>
          <w:noProof/>
          <w:sz w:val="22"/>
          <w:lang w:eastAsia="pl-PL"/>
        </w:rPr>
      </w:pPr>
      <w:hyperlink w:anchor="_Toc68727112" w:history="1">
        <w:r w:rsidRPr="00C129CE">
          <w:rPr>
            <w:rStyle w:val="Hipercze"/>
            <w:noProof/>
          </w:rPr>
          <w:t>Wykres 10</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Udział działań zaplanowanych dla poszczególnych kategorii wód w ogólnej liczbie działań aPGW (cykl planistyczny 2016-2021) (w skali kraju)</w:t>
        </w:r>
        <w:r>
          <w:rPr>
            <w:noProof/>
            <w:webHidden/>
          </w:rPr>
          <w:tab/>
        </w:r>
        <w:r>
          <w:rPr>
            <w:noProof/>
            <w:webHidden/>
          </w:rPr>
          <w:fldChar w:fldCharType="begin"/>
        </w:r>
        <w:r>
          <w:rPr>
            <w:noProof/>
            <w:webHidden/>
          </w:rPr>
          <w:instrText xml:space="preserve"> PAGEREF _Toc68727112 \h </w:instrText>
        </w:r>
        <w:r>
          <w:rPr>
            <w:noProof/>
            <w:webHidden/>
          </w:rPr>
        </w:r>
        <w:r>
          <w:rPr>
            <w:noProof/>
            <w:webHidden/>
          </w:rPr>
          <w:fldChar w:fldCharType="separate"/>
        </w:r>
        <w:r>
          <w:rPr>
            <w:noProof/>
            <w:webHidden/>
          </w:rPr>
          <w:t>156</w:t>
        </w:r>
        <w:r>
          <w:rPr>
            <w:noProof/>
            <w:webHidden/>
          </w:rPr>
          <w:fldChar w:fldCharType="end"/>
        </w:r>
      </w:hyperlink>
    </w:p>
    <w:p w14:paraId="76F6AB13" w14:textId="58C9BC0F" w:rsidR="006C4947" w:rsidRDefault="006C4947">
      <w:pPr>
        <w:pStyle w:val="Spisilustracji"/>
        <w:rPr>
          <w:rFonts w:asciiTheme="minorHAnsi" w:eastAsiaTheme="minorEastAsia" w:hAnsiTheme="minorHAnsi" w:cstheme="minorBidi"/>
          <w:noProof/>
          <w:sz w:val="22"/>
          <w:lang w:eastAsia="pl-PL"/>
        </w:rPr>
      </w:pPr>
      <w:hyperlink w:anchor="_Toc68727113" w:history="1">
        <w:r w:rsidRPr="00C129CE">
          <w:rPr>
            <w:rStyle w:val="Hipercze"/>
            <w:noProof/>
          </w:rPr>
          <w:t>Wykres 10</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Udział działań o określonym statusie w podziale na działania podstawowe i uzupełniające - jcwp RW (w skali kraju)</w:t>
        </w:r>
        <w:r>
          <w:rPr>
            <w:noProof/>
            <w:webHidden/>
          </w:rPr>
          <w:tab/>
        </w:r>
        <w:r>
          <w:rPr>
            <w:noProof/>
            <w:webHidden/>
          </w:rPr>
          <w:fldChar w:fldCharType="begin"/>
        </w:r>
        <w:r>
          <w:rPr>
            <w:noProof/>
            <w:webHidden/>
          </w:rPr>
          <w:instrText xml:space="preserve"> PAGEREF _Toc68727113 \h </w:instrText>
        </w:r>
        <w:r>
          <w:rPr>
            <w:noProof/>
            <w:webHidden/>
          </w:rPr>
        </w:r>
        <w:r>
          <w:rPr>
            <w:noProof/>
            <w:webHidden/>
          </w:rPr>
          <w:fldChar w:fldCharType="separate"/>
        </w:r>
        <w:r>
          <w:rPr>
            <w:noProof/>
            <w:webHidden/>
          </w:rPr>
          <w:t>158</w:t>
        </w:r>
        <w:r>
          <w:rPr>
            <w:noProof/>
            <w:webHidden/>
          </w:rPr>
          <w:fldChar w:fldCharType="end"/>
        </w:r>
      </w:hyperlink>
    </w:p>
    <w:p w14:paraId="700DEB5D" w14:textId="6040E344" w:rsidR="006C4947" w:rsidRDefault="006C4947">
      <w:pPr>
        <w:pStyle w:val="Spisilustracji"/>
        <w:rPr>
          <w:rFonts w:asciiTheme="minorHAnsi" w:eastAsiaTheme="minorEastAsia" w:hAnsiTheme="minorHAnsi" w:cstheme="minorBidi"/>
          <w:noProof/>
          <w:sz w:val="22"/>
          <w:lang w:eastAsia="pl-PL"/>
        </w:rPr>
      </w:pPr>
      <w:hyperlink w:anchor="_Toc68727114" w:history="1">
        <w:r w:rsidRPr="00C129CE">
          <w:rPr>
            <w:rStyle w:val="Hipercze"/>
            <w:noProof/>
          </w:rPr>
          <w:t>Wykres 10</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rPr>
          <w:t>Liczba jcwp LW z przypisanymi działaniami danej kategorii</w:t>
        </w:r>
        <w:r>
          <w:rPr>
            <w:noProof/>
            <w:webHidden/>
          </w:rPr>
          <w:tab/>
        </w:r>
        <w:r>
          <w:rPr>
            <w:noProof/>
            <w:webHidden/>
          </w:rPr>
          <w:fldChar w:fldCharType="begin"/>
        </w:r>
        <w:r>
          <w:rPr>
            <w:noProof/>
            <w:webHidden/>
          </w:rPr>
          <w:instrText xml:space="preserve"> PAGEREF _Toc68727114 \h </w:instrText>
        </w:r>
        <w:r>
          <w:rPr>
            <w:noProof/>
            <w:webHidden/>
          </w:rPr>
        </w:r>
        <w:r>
          <w:rPr>
            <w:noProof/>
            <w:webHidden/>
          </w:rPr>
          <w:fldChar w:fldCharType="separate"/>
        </w:r>
        <w:r>
          <w:rPr>
            <w:noProof/>
            <w:webHidden/>
          </w:rPr>
          <w:t>159</w:t>
        </w:r>
        <w:r>
          <w:rPr>
            <w:noProof/>
            <w:webHidden/>
          </w:rPr>
          <w:fldChar w:fldCharType="end"/>
        </w:r>
      </w:hyperlink>
    </w:p>
    <w:p w14:paraId="610B4B8A" w14:textId="7045EFD9" w:rsidR="006C4947" w:rsidRDefault="006C4947">
      <w:pPr>
        <w:pStyle w:val="Spisilustracji"/>
        <w:rPr>
          <w:rFonts w:asciiTheme="minorHAnsi" w:eastAsiaTheme="minorEastAsia" w:hAnsiTheme="minorHAnsi" w:cstheme="minorBidi"/>
          <w:noProof/>
          <w:sz w:val="22"/>
          <w:lang w:eastAsia="pl-PL"/>
        </w:rPr>
      </w:pPr>
      <w:hyperlink w:anchor="_Toc68727115" w:history="1">
        <w:r w:rsidRPr="00C129CE">
          <w:rPr>
            <w:rStyle w:val="Hipercze"/>
            <w:noProof/>
          </w:rPr>
          <w:t>Wykres 10</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Udział działań o określonym statusie w podziale na działania podstawowe i uzupełniające - jcwpd (w skali kraju)</w:t>
        </w:r>
        <w:r>
          <w:rPr>
            <w:noProof/>
            <w:webHidden/>
          </w:rPr>
          <w:tab/>
        </w:r>
        <w:r>
          <w:rPr>
            <w:noProof/>
            <w:webHidden/>
          </w:rPr>
          <w:fldChar w:fldCharType="begin"/>
        </w:r>
        <w:r>
          <w:rPr>
            <w:noProof/>
            <w:webHidden/>
          </w:rPr>
          <w:instrText xml:space="preserve"> PAGEREF _Toc68727115 \h </w:instrText>
        </w:r>
        <w:r>
          <w:rPr>
            <w:noProof/>
            <w:webHidden/>
          </w:rPr>
        </w:r>
        <w:r>
          <w:rPr>
            <w:noProof/>
            <w:webHidden/>
          </w:rPr>
          <w:fldChar w:fldCharType="separate"/>
        </w:r>
        <w:r>
          <w:rPr>
            <w:noProof/>
            <w:webHidden/>
          </w:rPr>
          <w:t>160</w:t>
        </w:r>
        <w:r>
          <w:rPr>
            <w:noProof/>
            <w:webHidden/>
          </w:rPr>
          <w:fldChar w:fldCharType="end"/>
        </w:r>
      </w:hyperlink>
    </w:p>
    <w:p w14:paraId="095DD79C" w14:textId="72766AD7" w:rsidR="006C4947" w:rsidRDefault="006C4947">
      <w:pPr>
        <w:pStyle w:val="Spisilustracji"/>
        <w:rPr>
          <w:rFonts w:asciiTheme="minorHAnsi" w:eastAsiaTheme="minorEastAsia" w:hAnsiTheme="minorHAnsi" w:cstheme="minorBidi"/>
          <w:noProof/>
          <w:sz w:val="22"/>
          <w:lang w:eastAsia="pl-PL"/>
        </w:rPr>
      </w:pPr>
      <w:hyperlink w:anchor="_Toc68727116" w:history="1">
        <w:r w:rsidRPr="00C129CE">
          <w:rPr>
            <w:rStyle w:val="Hipercze"/>
            <w:noProof/>
          </w:rPr>
          <w:t>Wykres 12</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Udział działań poszczególnych kategorii w katalogu działań krajowych IIaPGW</w:t>
        </w:r>
        <w:r>
          <w:rPr>
            <w:noProof/>
            <w:webHidden/>
          </w:rPr>
          <w:tab/>
        </w:r>
        <w:r>
          <w:rPr>
            <w:noProof/>
            <w:webHidden/>
          </w:rPr>
          <w:fldChar w:fldCharType="begin"/>
        </w:r>
        <w:r>
          <w:rPr>
            <w:noProof/>
            <w:webHidden/>
          </w:rPr>
          <w:instrText xml:space="preserve"> PAGEREF _Toc68727116 \h </w:instrText>
        </w:r>
        <w:r>
          <w:rPr>
            <w:noProof/>
            <w:webHidden/>
          </w:rPr>
        </w:r>
        <w:r>
          <w:rPr>
            <w:noProof/>
            <w:webHidden/>
          </w:rPr>
          <w:fldChar w:fldCharType="separate"/>
        </w:r>
        <w:r>
          <w:rPr>
            <w:noProof/>
            <w:webHidden/>
          </w:rPr>
          <w:t>182</w:t>
        </w:r>
        <w:r>
          <w:rPr>
            <w:noProof/>
            <w:webHidden/>
          </w:rPr>
          <w:fldChar w:fldCharType="end"/>
        </w:r>
      </w:hyperlink>
    </w:p>
    <w:p w14:paraId="7025336A" w14:textId="6577B7CE" w:rsidR="006C4947" w:rsidRDefault="006C4947">
      <w:pPr>
        <w:pStyle w:val="Spisilustracji"/>
        <w:rPr>
          <w:rFonts w:asciiTheme="minorHAnsi" w:eastAsiaTheme="minorEastAsia" w:hAnsiTheme="minorHAnsi" w:cstheme="minorBidi"/>
          <w:noProof/>
          <w:sz w:val="22"/>
          <w:lang w:eastAsia="pl-PL"/>
        </w:rPr>
      </w:pPr>
      <w:hyperlink w:anchor="_Toc68727117" w:history="1">
        <w:r w:rsidRPr="00C129CE">
          <w:rPr>
            <w:rStyle w:val="Hipercze"/>
            <w:noProof/>
          </w:rPr>
          <w:t>Wykres 12</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Udział działań z prolongacji oraz nowych w katalogu działań krajowych IIaPGW</w:t>
        </w:r>
        <w:r>
          <w:rPr>
            <w:noProof/>
            <w:webHidden/>
          </w:rPr>
          <w:tab/>
        </w:r>
        <w:r>
          <w:rPr>
            <w:noProof/>
            <w:webHidden/>
          </w:rPr>
          <w:fldChar w:fldCharType="begin"/>
        </w:r>
        <w:r>
          <w:rPr>
            <w:noProof/>
            <w:webHidden/>
          </w:rPr>
          <w:instrText xml:space="preserve"> PAGEREF _Toc68727117 \h </w:instrText>
        </w:r>
        <w:r>
          <w:rPr>
            <w:noProof/>
            <w:webHidden/>
          </w:rPr>
        </w:r>
        <w:r>
          <w:rPr>
            <w:noProof/>
            <w:webHidden/>
          </w:rPr>
          <w:fldChar w:fldCharType="separate"/>
        </w:r>
        <w:r>
          <w:rPr>
            <w:noProof/>
            <w:webHidden/>
          </w:rPr>
          <w:t>183</w:t>
        </w:r>
        <w:r>
          <w:rPr>
            <w:noProof/>
            <w:webHidden/>
          </w:rPr>
          <w:fldChar w:fldCharType="end"/>
        </w:r>
      </w:hyperlink>
    </w:p>
    <w:p w14:paraId="5E326F1A" w14:textId="18DAF6C7" w:rsidR="006C4947" w:rsidRDefault="006C4947">
      <w:pPr>
        <w:pStyle w:val="Spisilustracji"/>
        <w:rPr>
          <w:rFonts w:asciiTheme="minorHAnsi" w:eastAsiaTheme="minorEastAsia" w:hAnsiTheme="minorHAnsi" w:cstheme="minorBidi"/>
          <w:noProof/>
          <w:sz w:val="22"/>
          <w:lang w:eastAsia="pl-PL"/>
        </w:rPr>
      </w:pPr>
      <w:hyperlink w:anchor="_Toc68727118" w:history="1">
        <w:r w:rsidRPr="00C129CE">
          <w:rPr>
            <w:rStyle w:val="Hipercze"/>
            <w:noProof/>
          </w:rPr>
          <w:t>Wykres 12</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Udział działań z określonym terminem realizacji oraz działań ciągłych w katalogu działań krajowych IIaPGW</w:t>
        </w:r>
        <w:r>
          <w:rPr>
            <w:noProof/>
            <w:webHidden/>
          </w:rPr>
          <w:tab/>
        </w:r>
        <w:r>
          <w:rPr>
            <w:noProof/>
            <w:webHidden/>
          </w:rPr>
          <w:fldChar w:fldCharType="begin"/>
        </w:r>
        <w:r>
          <w:rPr>
            <w:noProof/>
            <w:webHidden/>
          </w:rPr>
          <w:instrText xml:space="preserve"> PAGEREF _Toc68727118 \h </w:instrText>
        </w:r>
        <w:r>
          <w:rPr>
            <w:noProof/>
            <w:webHidden/>
          </w:rPr>
        </w:r>
        <w:r>
          <w:rPr>
            <w:noProof/>
            <w:webHidden/>
          </w:rPr>
          <w:fldChar w:fldCharType="separate"/>
        </w:r>
        <w:r>
          <w:rPr>
            <w:noProof/>
            <w:webHidden/>
          </w:rPr>
          <w:t>183</w:t>
        </w:r>
        <w:r>
          <w:rPr>
            <w:noProof/>
            <w:webHidden/>
          </w:rPr>
          <w:fldChar w:fldCharType="end"/>
        </w:r>
      </w:hyperlink>
    </w:p>
    <w:p w14:paraId="4FDD338D" w14:textId="3433DECC" w:rsidR="006C4947" w:rsidRDefault="006C4947">
      <w:pPr>
        <w:pStyle w:val="Spisilustracji"/>
        <w:rPr>
          <w:rFonts w:asciiTheme="minorHAnsi" w:eastAsiaTheme="minorEastAsia" w:hAnsiTheme="minorHAnsi" w:cstheme="minorBidi"/>
          <w:noProof/>
          <w:sz w:val="22"/>
          <w:lang w:eastAsia="pl-PL"/>
        </w:rPr>
      </w:pPr>
      <w:hyperlink w:anchor="_Toc68727119" w:history="1">
        <w:r w:rsidRPr="00C129CE">
          <w:rPr>
            <w:rStyle w:val="Hipercze"/>
            <w:noProof/>
          </w:rPr>
          <w:t>Wykres 12</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Udział działań w poszczególnych kategoriach katalogu działań jcwp RW</w:t>
        </w:r>
        <w:r>
          <w:rPr>
            <w:noProof/>
            <w:webHidden/>
          </w:rPr>
          <w:tab/>
        </w:r>
        <w:r>
          <w:rPr>
            <w:noProof/>
            <w:webHidden/>
          </w:rPr>
          <w:fldChar w:fldCharType="begin"/>
        </w:r>
        <w:r>
          <w:rPr>
            <w:noProof/>
            <w:webHidden/>
          </w:rPr>
          <w:instrText xml:space="preserve"> PAGEREF _Toc68727119 \h </w:instrText>
        </w:r>
        <w:r>
          <w:rPr>
            <w:noProof/>
            <w:webHidden/>
          </w:rPr>
        </w:r>
        <w:r>
          <w:rPr>
            <w:noProof/>
            <w:webHidden/>
          </w:rPr>
          <w:fldChar w:fldCharType="separate"/>
        </w:r>
        <w:r>
          <w:rPr>
            <w:noProof/>
            <w:webHidden/>
          </w:rPr>
          <w:t>186</w:t>
        </w:r>
        <w:r>
          <w:rPr>
            <w:noProof/>
            <w:webHidden/>
          </w:rPr>
          <w:fldChar w:fldCharType="end"/>
        </w:r>
      </w:hyperlink>
    </w:p>
    <w:p w14:paraId="740F92C5" w14:textId="74CBA50B" w:rsidR="006C4947" w:rsidRDefault="006C4947">
      <w:pPr>
        <w:pStyle w:val="Spisilustracji"/>
        <w:rPr>
          <w:rFonts w:asciiTheme="minorHAnsi" w:eastAsiaTheme="minorEastAsia" w:hAnsiTheme="minorHAnsi" w:cstheme="minorBidi"/>
          <w:noProof/>
          <w:sz w:val="22"/>
          <w:lang w:eastAsia="pl-PL"/>
        </w:rPr>
      </w:pPr>
      <w:hyperlink w:anchor="_Toc68727120" w:history="1">
        <w:r w:rsidRPr="00C129CE">
          <w:rPr>
            <w:rStyle w:val="Hipercze"/>
            <w:noProof/>
          </w:rPr>
          <w:t>Wykres 12</w:t>
        </w:r>
        <w:r w:rsidRPr="00C129CE">
          <w:rPr>
            <w:rStyle w:val="Hipercze"/>
            <w:noProof/>
          </w:rPr>
          <w:noBreakHyphen/>
          <w:t>5</w:t>
        </w:r>
        <w:r>
          <w:rPr>
            <w:rFonts w:asciiTheme="minorHAnsi" w:eastAsiaTheme="minorEastAsia" w:hAnsiTheme="minorHAnsi" w:cstheme="minorBidi"/>
            <w:noProof/>
            <w:sz w:val="22"/>
            <w:lang w:eastAsia="pl-PL"/>
          </w:rPr>
          <w:tab/>
        </w:r>
        <w:r w:rsidRPr="00C129CE">
          <w:rPr>
            <w:rStyle w:val="Hipercze"/>
            <w:noProof/>
          </w:rPr>
          <w:t>Udział działań podstawowych oraz uzupełniających w katalogu działań jcwp RW</w:t>
        </w:r>
        <w:r>
          <w:rPr>
            <w:noProof/>
            <w:webHidden/>
          </w:rPr>
          <w:tab/>
        </w:r>
        <w:r>
          <w:rPr>
            <w:noProof/>
            <w:webHidden/>
          </w:rPr>
          <w:fldChar w:fldCharType="begin"/>
        </w:r>
        <w:r>
          <w:rPr>
            <w:noProof/>
            <w:webHidden/>
          </w:rPr>
          <w:instrText xml:space="preserve"> PAGEREF _Toc68727120 \h </w:instrText>
        </w:r>
        <w:r>
          <w:rPr>
            <w:noProof/>
            <w:webHidden/>
          </w:rPr>
        </w:r>
        <w:r>
          <w:rPr>
            <w:noProof/>
            <w:webHidden/>
          </w:rPr>
          <w:fldChar w:fldCharType="separate"/>
        </w:r>
        <w:r>
          <w:rPr>
            <w:noProof/>
            <w:webHidden/>
          </w:rPr>
          <w:t>187</w:t>
        </w:r>
        <w:r>
          <w:rPr>
            <w:noProof/>
            <w:webHidden/>
          </w:rPr>
          <w:fldChar w:fldCharType="end"/>
        </w:r>
      </w:hyperlink>
    </w:p>
    <w:p w14:paraId="147E74A6" w14:textId="1863D021" w:rsidR="006C4947" w:rsidRDefault="006C4947">
      <w:pPr>
        <w:pStyle w:val="Spisilustracji"/>
        <w:rPr>
          <w:rFonts w:asciiTheme="minorHAnsi" w:eastAsiaTheme="minorEastAsia" w:hAnsiTheme="minorHAnsi" w:cstheme="minorBidi"/>
          <w:noProof/>
          <w:sz w:val="22"/>
          <w:lang w:eastAsia="pl-PL"/>
        </w:rPr>
      </w:pPr>
      <w:hyperlink w:anchor="_Toc68727121" w:history="1">
        <w:r w:rsidRPr="00C129CE">
          <w:rPr>
            <w:rStyle w:val="Hipercze"/>
            <w:noProof/>
          </w:rPr>
          <w:t>Wykres 12</w:t>
        </w:r>
        <w:r w:rsidRPr="00C129CE">
          <w:rPr>
            <w:rStyle w:val="Hipercze"/>
            <w:noProof/>
          </w:rPr>
          <w:noBreakHyphen/>
          <w:t>6</w:t>
        </w:r>
        <w:r>
          <w:rPr>
            <w:rFonts w:asciiTheme="minorHAnsi" w:eastAsiaTheme="minorEastAsia" w:hAnsiTheme="minorHAnsi" w:cstheme="minorBidi"/>
            <w:noProof/>
            <w:sz w:val="22"/>
            <w:lang w:eastAsia="pl-PL"/>
          </w:rPr>
          <w:tab/>
        </w:r>
        <w:r w:rsidRPr="00C129CE">
          <w:rPr>
            <w:rStyle w:val="Hipercze"/>
            <w:noProof/>
          </w:rPr>
          <w:t>Udział działań ukierunkowanych na redukcję poszczególnych rodzajów presji</w:t>
        </w:r>
        <w:r>
          <w:rPr>
            <w:noProof/>
            <w:webHidden/>
          </w:rPr>
          <w:tab/>
        </w:r>
        <w:r>
          <w:rPr>
            <w:noProof/>
            <w:webHidden/>
          </w:rPr>
          <w:fldChar w:fldCharType="begin"/>
        </w:r>
        <w:r>
          <w:rPr>
            <w:noProof/>
            <w:webHidden/>
          </w:rPr>
          <w:instrText xml:space="preserve"> PAGEREF _Toc68727121 \h </w:instrText>
        </w:r>
        <w:r>
          <w:rPr>
            <w:noProof/>
            <w:webHidden/>
          </w:rPr>
        </w:r>
        <w:r>
          <w:rPr>
            <w:noProof/>
            <w:webHidden/>
          </w:rPr>
          <w:fldChar w:fldCharType="separate"/>
        </w:r>
        <w:r>
          <w:rPr>
            <w:noProof/>
            <w:webHidden/>
          </w:rPr>
          <w:t>188</w:t>
        </w:r>
        <w:r>
          <w:rPr>
            <w:noProof/>
            <w:webHidden/>
          </w:rPr>
          <w:fldChar w:fldCharType="end"/>
        </w:r>
      </w:hyperlink>
    </w:p>
    <w:p w14:paraId="524DB921" w14:textId="431D60EF" w:rsidR="006C4947" w:rsidRDefault="006C4947">
      <w:pPr>
        <w:pStyle w:val="Spisilustracji"/>
        <w:rPr>
          <w:rFonts w:asciiTheme="minorHAnsi" w:eastAsiaTheme="minorEastAsia" w:hAnsiTheme="minorHAnsi" w:cstheme="minorBidi"/>
          <w:noProof/>
          <w:sz w:val="22"/>
          <w:lang w:eastAsia="pl-PL"/>
        </w:rPr>
      </w:pPr>
      <w:hyperlink w:anchor="_Toc68727122" w:history="1">
        <w:r w:rsidRPr="00C129CE">
          <w:rPr>
            <w:rStyle w:val="Hipercze"/>
            <w:noProof/>
          </w:rPr>
          <w:t>Wykres 12</w:t>
        </w:r>
        <w:r w:rsidRPr="00C129CE">
          <w:rPr>
            <w:rStyle w:val="Hipercze"/>
            <w:noProof/>
          </w:rPr>
          <w:noBreakHyphen/>
          <w:t>7</w:t>
        </w:r>
        <w:r>
          <w:rPr>
            <w:rFonts w:asciiTheme="minorHAnsi" w:eastAsiaTheme="minorEastAsia" w:hAnsiTheme="minorHAnsi" w:cstheme="minorBidi"/>
            <w:noProof/>
            <w:sz w:val="22"/>
            <w:lang w:eastAsia="pl-PL"/>
          </w:rPr>
          <w:tab/>
        </w:r>
        <w:r w:rsidRPr="00C129CE">
          <w:rPr>
            <w:rStyle w:val="Hipercze"/>
            <w:noProof/>
          </w:rPr>
          <w:t>Udział działań w poszczególnych kategoriach katalogu działań jcwp LW</w:t>
        </w:r>
        <w:r>
          <w:rPr>
            <w:noProof/>
            <w:webHidden/>
          </w:rPr>
          <w:tab/>
        </w:r>
        <w:r>
          <w:rPr>
            <w:noProof/>
            <w:webHidden/>
          </w:rPr>
          <w:fldChar w:fldCharType="begin"/>
        </w:r>
        <w:r>
          <w:rPr>
            <w:noProof/>
            <w:webHidden/>
          </w:rPr>
          <w:instrText xml:space="preserve"> PAGEREF _Toc68727122 \h </w:instrText>
        </w:r>
        <w:r>
          <w:rPr>
            <w:noProof/>
            <w:webHidden/>
          </w:rPr>
        </w:r>
        <w:r>
          <w:rPr>
            <w:noProof/>
            <w:webHidden/>
          </w:rPr>
          <w:fldChar w:fldCharType="separate"/>
        </w:r>
        <w:r>
          <w:rPr>
            <w:noProof/>
            <w:webHidden/>
          </w:rPr>
          <w:t>190</w:t>
        </w:r>
        <w:r>
          <w:rPr>
            <w:noProof/>
            <w:webHidden/>
          </w:rPr>
          <w:fldChar w:fldCharType="end"/>
        </w:r>
      </w:hyperlink>
    </w:p>
    <w:p w14:paraId="0AC40301" w14:textId="625897FA" w:rsidR="006C4947" w:rsidRDefault="006C4947">
      <w:pPr>
        <w:pStyle w:val="Spisilustracji"/>
        <w:rPr>
          <w:rFonts w:asciiTheme="minorHAnsi" w:eastAsiaTheme="minorEastAsia" w:hAnsiTheme="minorHAnsi" w:cstheme="minorBidi"/>
          <w:noProof/>
          <w:sz w:val="22"/>
          <w:lang w:eastAsia="pl-PL"/>
        </w:rPr>
      </w:pPr>
      <w:hyperlink w:anchor="_Toc68727123" w:history="1">
        <w:r w:rsidRPr="00C129CE">
          <w:rPr>
            <w:rStyle w:val="Hipercze"/>
            <w:noProof/>
          </w:rPr>
          <w:t>Wykres 12</w:t>
        </w:r>
        <w:r w:rsidRPr="00C129CE">
          <w:rPr>
            <w:rStyle w:val="Hipercze"/>
            <w:noProof/>
          </w:rPr>
          <w:noBreakHyphen/>
          <w:t>8</w:t>
        </w:r>
        <w:r>
          <w:rPr>
            <w:rFonts w:asciiTheme="minorHAnsi" w:eastAsiaTheme="minorEastAsia" w:hAnsiTheme="minorHAnsi" w:cstheme="minorBidi"/>
            <w:noProof/>
            <w:sz w:val="22"/>
            <w:lang w:eastAsia="pl-PL"/>
          </w:rPr>
          <w:tab/>
        </w:r>
        <w:r w:rsidRPr="00C129CE">
          <w:rPr>
            <w:rStyle w:val="Hipercze"/>
            <w:noProof/>
          </w:rPr>
          <w:t>Udział działań podstawowych oraz uzupełniających w katalogu działań jcwp LW</w:t>
        </w:r>
        <w:r>
          <w:rPr>
            <w:noProof/>
            <w:webHidden/>
          </w:rPr>
          <w:tab/>
        </w:r>
        <w:r>
          <w:rPr>
            <w:noProof/>
            <w:webHidden/>
          </w:rPr>
          <w:fldChar w:fldCharType="begin"/>
        </w:r>
        <w:r>
          <w:rPr>
            <w:noProof/>
            <w:webHidden/>
          </w:rPr>
          <w:instrText xml:space="preserve"> PAGEREF _Toc68727123 \h </w:instrText>
        </w:r>
        <w:r>
          <w:rPr>
            <w:noProof/>
            <w:webHidden/>
          </w:rPr>
        </w:r>
        <w:r>
          <w:rPr>
            <w:noProof/>
            <w:webHidden/>
          </w:rPr>
          <w:fldChar w:fldCharType="separate"/>
        </w:r>
        <w:r>
          <w:rPr>
            <w:noProof/>
            <w:webHidden/>
          </w:rPr>
          <w:t>191</w:t>
        </w:r>
        <w:r>
          <w:rPr>
            <w:noProof/>
            <w:webHidden/>
          </w:rPr>
          <w:fldChar w:fldCharType="end"/>
        </w:r>
      </w:hyperlink>
    </w:p>
    <w:p w14:paraId="1CB3F2F1" w14:textId="66D140AE" w:rsidR="006C4947" w:rsidRDefault="006C4947">
      <w:pPr>
        <w:pStyle w:val="Spisilustracji"/>
        <w:rPr>
          <w:rFonts w:asciiTheme="minorHAnsi" w:eastAsiaTheme="minorEastAsia" w:hAnsiTheme="minorHAnsi" w:cstheme="minorBidi"/>
          <w:noProof/>
          <w:sz w:val="22"/>
          <w:lang w:eastAsia="pl-PL"/>
        </w:rPr>
      </w:pPr>
      <w:hyperlink w:anchor="_Toc68727124" w:history="1">
        <w:r w:rsidRPr="00C129CE">
          <w:rPr>
            <w:rStyle w:val="Hipercze"/>
            <w:noProof/>
          </w:rPr>
          <w:t>Wykres 12</w:t>
        </w:r>
        <w:r w:rsidRPr="00C129CE">
          <w:rPr>
            <w:rStyle w:val="Hipercze"/>
            <w:noProof/>
          </w:rPr>
          <w:noBreakHyphen/>
          <w:t>9</w:t>
        </w:r>
        <w:r>
          <w:rPr>
            <w:rFonts w:asciiTheme="minorHAnsi" w:eastAsiaTheme="minorEastAsia" w:hAnsiTheme="minorHAnsi" w:cstheme="minorBidi"/>
            <w:noProof/>
            <w:sz w:val="22"/>
            <w:lang w:eastAsia="pl-PL"/>
          </w:rPr>
          <w:tab/>
        </w:r>
        <w:r w:rsidRPr="00C129CE">
          <w:rPr>
            <w:rStyle w:val="Hipercze"/>
            <w:noProof/>
          </w:rPr>
          <w:t>Udział działań ukierunkowanych na redukcję poszczególnych rodzajów presji</w:t>
        </w:r>
        <w:r>
          <w:rPr>
            <w:noProof/>
            <w:webHidden/>
          </w:rPr>
          <w:tab/>
        </w:r>
        <w:r>
          <w:rPr>
            <w:noProof/>
            <w:webHidden/>
          </w:rPr>
          <w:fldChar w:fldCharType="begin"/>
        </w:r>
        <w:r>
          <w:rPr>
            <w:noProof/>
            <w:webHidden/>
          </w:rPr>
          <w:instrText xml:space="preserve"> PAGEREF _Toc68727124 \h </w:instrText>
        </w:r>
        <w:r>
          <w:rPr>
            <w:noProof/>
            <w:webHidden/>
          </w:rPr>
        </w:r>
        <w:r>
          <w:rPr>
            <w:noProof/>
            <w:webHidden/>
          </w:rPr>
          <w:fldChar w:fldCharType="separate"/>
        </w:r>
        <w:r>
          <w:rPr>
            <w:noProof/>
            <w:webHidden/>
          </w:rPr>
          <w:t>192</w:t>
        </w:r>
        <w:r>
          <w:rPr>
            <w:noProof/>
            <w:webHidden/>
          </w:rPr>
          <w:fldChar w:fldCharType="end"/>
        </w:r>
      </w:hyperlink>
    </w:p>
    <w:p w14:paraId="3E7BB628" w14:textId="5D208821" w:rsidR="006C4947" w:rsidRDefault="006C4947">
      <w:pPr>
        <w:pStyle w:val="Spisilustracji"/>
        <w:rPr>
          <w:rFonts w:asciiTheme="minorHAnsi" w:eastAsiaTheme="minorEastAsia" w:hAnsiTheme="minorHAnsi" w:cstheme="minorBidi"/>
          <w:noProof/>
          <w:sz w:val="22"/>
          <w:lang w:eastAsia="pl-PL"/>
        </w:rPr>
      </w:pPr>
      <w:hyperlink w:anchor="_Toc68727125" w:history="1">
        <w:r w:rsidRPr="00C129CE">
          <w:rPr>
            <w:rStyle w:val="Hipercze"/>
            <w:noProof/>
          </w:rPr>
          <w:t>Wykres 12</w:t>
        </w:r>
        <w:r w:rsidRPr="00C129CE">
          <w:rPr>
            <w:rStyle w:val="Hipercze"/>
            <w:noProof/>
          </w:rPr>
          <w:noBreakHyphen/>
          <w:t>10</w:t>
        </w:r>
        <w:r>
          <w:rPr>
            <w:rFonts w:asciiTheme="minorHAnsi" w:eastAsiaTheme="minorEastAsia" w:hAnsiTheme="minorHAnsi" w:cstheme="minorBidi"/>
            <w:noProof/>
            <w:sz w:val="22"/>
            <w:lang w:eastAsia="pl-PL"/>
          </w:rPr>
          <w:tab/>
        </w:r>
        <w:r w:rsidRPr="00C129CE">
          <w:rPr>
            <w:rStyle w:val="Hipercze"/>
            <w:noProof/>
          </w:rPr>
          <w:t>Udział działań w poszczególnych kategoriach katalogu działań jcwpd (GW)</w:t>
        </w:r>
        <w:r>
          <w:rPr>
            <w:noProof/>
            <w:webHidden/>
          </w:rPr>
          <w:tab/>
        </w:r>
        <w:r>
          <w:rPr>
            <w:noProof/>
            <w:webHidden/>
          </w:rPr>
          <w:fldChar w:fldCharType="begin"/>
        </w:r>
        <w:r>
          <w:rPr>
            <w:noProof/>
            <w:webHidden/>
          </w:rPr>
          <w:instrText xml:space="preserve"> PAGEREF _Toc68727125 \h </w:instrText>
        </w:r>
        <w:r>
          <w:rPr>
            <w:noProof/>
            <w:webHidden/>
          </w:rPr>
        </w:r>
        <w:r>
          <w:rPr>
            <w:noProof/>
            <w:webHidden/>
          </w:rPr>
          <w:fldChar w:fldCharType="separate"/>
        </w:r>
        <w:r>
          <w:rPr>
            <w:noProof/>
            <w:webHidden/>
          </w:rPr>
          <w:t>194</w:t>
        </w:r>
        <w:r>
          <w:rPr>
            <w:noProof/>
            <w:webHidden/>
          </w:rPr>
          <w:fldChar w:fldCharType="end"/>
        </w:r>
      </w:hyperlink>
    </w:p>
    <w:p w14:paraId="2B07F59F" w14:textId="7B6920DA" w:rsidR="006C4947" w:rsidRDefault="006C4947">
      <w:pPr>
        <w:pStyle w:val="Spisilustracji"/>
        <w:rPr>
          <w:rFonts w:asciiTheme="minorHAnsi" w:eastAsiaTheme="minorEastAsia" w:hAnsiTheme="minorHAnsi" w:cstheme="minorBidi"/>
          <w:noProof/>
          <w:sz w:val="22"/>
          <w:lang w:eastAsia="pl-PL"/>
        </w:rPr>
      </w:pPr>
      <w:hyperlink w:anchor="_Toc68727126" w:history="1">
        <w:r w:rsidRPr="00C129CE">
          <w:rPr>
            <w:rStyle w:val="Hipercze"/>
            <w:noProof/>
          </w:rPr>
          <w:t>Wykres 12</w:t>
        </w:r>
        <w:r w:rsidRPr="00C129CE">
          <w:rPr>
            <w:rStyle w:val="Hipercze"/>
            <w:noProof/>
          </w:rPr>
          <w:noBreakHyphen/>
          <w:t>11</w:t>
        </w:r>
        <w:r>
          <w:rPr>
            <w:rFonts w:asciiTheme="minorHAnsi" w:eastAsiaTheme="minorEastAsia" w:hAnsiTheme="minorHAnsi" w:cstheme="minorBidi"/>
            <w:noProof/>
            <w:sz w:val="22"/>
            <w:lang w:eastAsia="pl-PL"/>
          </w:rPr>
          <w:tab/>
        </w:r>
        <w:r w:rsidRPr="00C129CE">
          <w:rPr>
            <w:rStyle w:val="Hipercze"/>
            <w:noProof/>
          </w:rPr>
          <w:t>Udział działań podstawowych oraz uzupełniających w katalogu działań jcwpd (GW)</w:t>
        </w:r>
        <w:r>
          <w:rPr>
            <w:noProof/>
            <w:webHidden/>
          </w:rPr>
          <w:tab/>
        </w:r>
        <w:r>
          <w:rPr>
            <w:noProof/>
            <w:webHidden/>
          </w:rPr>
          <w:fldChar w:fldCharType="begin"/>
        </w:r>
        <w:r>
          <w:rPr>
            <w:noProof/>
            <w:webHidden/>
          </w:rPr>
          <w:instrText xml:space="preserve"> PAGEREF _Toc68727126 \h </w:instrText>
        </w:r>
        <w:r>
          <w:rPr>
            <w:noProof/>
            <w:webHidden/>
          </w:rPr>
        </w:r>
        <w:r>
          <w:rPr>
            <w:noProof/>
            <w:webHidden/>
          </w:rPr>
          <w:fldChar w:fldCharType="separate"/>
        </w:r>
        <w:r>
          <w:rPr>
            <w:noProof/>
            <w:webHidden/>
          </w:rPr>
          <w:t>195</w:t>
        </w:r>
        <w:r>
          <w:rPr>
            <w:noProof/>
            <w:webHidden/>
          </w:rPr>
          <w:fldChar w:fldCharType="end"/>
        </w:r>
      </w:hyperlink>
    </w:p>
    <w:p w14:paraId="6B66AD79" w14:textId="7C0D42F7" w:rsidR="006C4947" w:rsidRDefault="006C4947">
      <w:pPr>
        <w:pStyle w:val="Spisilustracji"/>
        <w:rPr>
          <w:rFonts w:asciiTheme="minorHAnsi" w:eastAsiaTheme="minorEastAsia" w:hAnsiTheme="minorHAnsi" w:cstheme="minorBidi"/>
          <w:noProof/>
          <w:sz w:val="22"/>
          <w:lang w:eastAsia="pl-PL"/>
        </w:rPr>
      </w:pPr>
      <w:hyperlink w:anchor="_Toc68727127" w:history="1">
        <w:r w:rsidRPr="00C129CE">
          <w:rPr>
            <w:rStyle w:val="Hipercze"/>
            <w:noProof/>
          </w:rPr>
          <w:t>Wykres 12</w:t>
        </w:r>
        <w:r w:rsidRPr="00C129CE">
          <w:rPr>
            <w:rStyle w:val="Hipercze"/>
            <w:noProof/>
          </w:rPr>
          <w:noBreakHyphen/>
          <w:t>12</w:t>
        </w:r>
        <w:r>
          <w:rPr>
            <w:rFonts w:asciiTheme="minorHAnsi" w:eastAsiaTheme="minorEastAsia" w:hAnsiTheme="minorHAnsi" w:cstheme="minorBidi"/>
            <w:noProof/>
            <w:sz w:val="22"/>
            <w:lang w:eastAsia="pl-PL"/>
          </w:rPr>
          <w:tab/>
        </w:r>
        <w:r w:rsidRPr="00C129CE">
          <w:rPr>
            <w:rStyle w:val="Hipercze"/>
            <w:noProof/>
          </w:rPr>
          <w:t>Liczba działań dla jcwpd w poszczególnych grupach działań katalogu</w:t>
        </w:r>
        <w:r>
          <w:rPr>
            <w:noProof/>
            <w:webHidden/>
          </w:rPr>
          <w:tab/>
        </w:r>
        <w:r>
          <w:rPr>
            <w:noProof/>
            <w:webHidden/>
          </w:rPr>
          <w:fldChar w:fldCharType="begin"/>
        </w:r>
        <w:r>
          <w:rPr>
            <w:noProof/>
            <w:webHidden/>
          </w:rPr>
          <w:instrText xml:space="preserve"> PAGEREF _Toc68727127 \h </w:instrText>
        </w:r>
        <w:r>
          <w:rPr>
            <w:noProof/>
            <w:webHidden/>
          </w:rPr>
        </w:r>
        <w:r>
          <w:rPr>
            <w:noProof/>
            <w:webHidden/>
          </w:rPr>
          <w:fldChar w:fldCharType="separate"/>
        </w:r>
        <w:r>
          <w:rPr>
            <w:noProof/>
            <w:webHidden/>
          </w:rPr>
          <w:t>195</w:t>
        </w:r>
        <w:r>
          <w:rPr>
            <w:noProof/>
            <w:webHidden/>
          </w:rPr>
          <w:fldChar w:fldCharType="end"/>
        </w:r>
      </w:hyperlink>
    </w:p>
    <w:p w14:paraId="5D19FD8E" w14:textId="2A4B0536" w:rsidR="006C4947" w:rsidRDefault="006C4947">
      <w:pPr>
        <w:pStyle w:val="Spisilustracji"/>
        <w:rPr>
          <w:rFonts w:asciiTheme="minorHAnsi" w:eastAsiaTheme="minorEastAsia" w:hAnsiTheme="minorHAnsi" w:cstheme="minorBidi"/>
          <w:noProof/>
          <w:sz w:val="22"/>
          <w:lang w:eastAsia="pl-PL"/>
        </w:rPr>
      </w:pPr>
      <w:hyperlink w:anchor="_Toc68727128" w:history="1">
        <w:r w:rsidRPr="00C129CE">
          <w:rPr>
            <w:rStyle w:val="Hipercze"/>
            <w:noProof/>
          </w:rPr>
          <w:t>Wykres 12</w:t>
        </w:r>
        <w:r w:rsidRPr="00C129CE">
          <w:rPr>
            <w:rStyle w:val="Hipercze"/>
            <w:noProof/>
          </w:rPr>
          <w:noBreakHyphen/>
          <w:t>13</w:t>
        </w:r>
        <w:r>
          <w:rPr>
            <w:rFonts w:asciiTheme="minorHAnsi" w:eastAsiaTheme="minorEastAsia" w:hAnsiTheme="minorHAnsi" w:cstheme="minorBidi"/>
            <w:noProof/>
            <w:sz w:val="22"/>
            <w:lang w:eastAsia="pl-PL"/>
          </w:rPr>
          <w:tab/>
        </w:r>
        <w:r w:rsidRPr="00C129CE">
          <w:rPr>
            <w:rStyle w:val="Hipercze"/>
            <w:noProof/>
          </w:rPr>
          <w:t>Udział działań ukierunkowanych na redukcję poszczególnych rodzajów presji</w:t>
        </w:r>
        <w:r>
          <w:rPr>
            <w:noProof/>
            <w:webHidden/>
          </w:rPr>
          <w:tab/>
        </w:r>
        <w:r>
          <w:rPr>
            <w:noProof/>
            <w:webHidden/>
          </w:rPr>
          <w:fldChar w:fldCharType="begin"/>
        </w:r>
        <w:r>
          <w:rPr>
            <w:noProof/>
            <w:webHidden/>
          </w:rPr>
          <w:instrText xml:space="preserve"> PAGEREF _Toc68727128 \h </w:instrText>
        </w:r>
        <w:r>
          <w:rPr>
            <w:noProof/>
            <w:webHidden/>
          </w:rPr>
        </w:r>
        <w:r>
          <w:rPr>
            <w:noProof/>
            <w:webHidden/>
          </w:rPr>
          <w:fldChar w:fldCharType="separate"/>
        </w:r>
        <w:r>
          <w:rPr>
            <w:noProof/>
            <w:webHidden/>
          </w:rPr>
          <w:t>196</w:t>
        </w:r>
        <w:r>
          <w:rPr>
            <w:noProof/>
            <w:webHidden/>
          </w:rPr>
          <w:fldChar w:fldCharType="end"/>
        </w:r>
      </w:hyperlink>
    </w:p>
    <w:p w14:paraId="49212181" w14:textId="7A5B9CDC" w:rsidR="006C4947" w:rsidRDefault="006C4947">
      <w:pPr>
        <w:pStyle w:val="Spisilustracji"/>
        <w:rPr>
          <w:rFonts w:asciiTheme="minorHAnsi" w:eastAsiaTheme="minorEastAsia" w:hAnsiTheme="minorHAnsi" w:cstheme="minorBidi"/>
          <w:noProof/>
          <w:sz w:val="22"/>
          <w:lang w:eastAsia="pl-PL"/>
        </w:rPr>
      </w:pPr>
      <w:hyperlink w:anchor="_Toc68727129" w:history="1">
        <w:r w:rsidRPr="00C129CE">
          <w:rPr>
            <w:rStyle w:val="Hipercze"/>
            <w:noProof/>
          </w:rPr>
          <w:t>Wykres 12</w:t>
        </w:r>
        <w:r w:rsidRPr="00C129CE">
          <w:rPr>
            <w:rStyle w:val="Hipercze"/>
            <w:noProof/>
          </w:rPr>
          <w:noBreakHyphen/>
          <w:t>14</w:t>
        </w:r>
        <w:r>
          <w:rPr>
            <w:rFonts w:asciiTheme="minorHAnsi" w:eastAsiaTheme="minorEastAsia" w:hAnsiTheme="minorHAnsi" w:cstheme="minorBidi"/>
            <w:noProof/>
            <w:sz w:val="22"/>
            <w:lang w:eastAsia="pl-PL"/>
          </w:rPr>
          <w:tab/>
        </w:r>
        <w:r w:rsidRPr="00C129CE">
          <w:rPr>
            <w:rStyle w:val="Hipercze"/>
            <w:noProof/>
          </w:rPr>
          <w:t>Udział jcwp RW z przypisanymi zestawami działań w regionie wodnym obszaru dorzecza Pregoły</w:t>
        </w:r>
        <w:r>
          <w:rPr>
            <w:noProof/>
            <w:webHidden/>
          </w:rPr>
          <w:tab/>
        </w:r>
        <w:r>
          <w:rPr>
            <w:noProof/>
            <w:webHidden/>
          </w:rPr>
          <w:fldChar w:fldCharType="begin"/>
        </w:r>
        <w:r>
          <w:rPr>
            <w:noProof/>
            <w:webHidden/>
          </w:rPr>
          <w:instrText xml:space="preserve"> PAGEREF _Toc68727129 \h </w:instrText>
        </w:r>
        <w:r>
          <w:rPr>
            <w:noProof/>
            <w:webHidden/>
          </w:rPr>
        </w:r>
        <w:r>
          <w:rPr>
            <w:noProof/>
            <w:webHidden/>
          </w:rPr>
          <w:fldChar w:fldCharType="separate"/>
        </w:r>
        <w:r>
          <w:rPr>
            <w:noProof/>
            <w:webHidden/>
          </w:rPr>
          <w:t>200</w:t>
        </w:r>
        <w:r>
          <w:rPr>
            <w:noProof/>
            <w:webHidden/>
          </w:rPr>
          <w:fldChar w:fldCharType="end"/>
        </w:r>
      </w:hyperlink>
    </w:p>
    <w:p w14:paraId="170F2171" w14:textId="2356086E" w:rsidR="006C4947" w:rsidRDefault="006C4947">
      <w:pPr>
        <w:pStyle w:val="Spisilustracji"/>
        <w:rPr>
          <w:rFonts w:asciiTheme="minorHAnsi" w:eastAsiaTheme="minorEastAsia" w:hAnsiTheme="minorHAnsi" w:cstheme="minorBidi"/>
          <w:noProof/>
          <w:sz w:val="22"/>
          <w:lang w:eastAsia="pl-PL"/>
        </w:rPr>
      </w:pPr>
      <w:hyperlink w:anchor="_Toc68727130" w:history="1">
        <w:r w:rsidRPr="00C129CE">
          <w:rPr>
            <w:rStyle w:val="Hipercze"/>
            <w:noProof/>
          </w:rPr>
          <w:t>Wykres 12</w:t>
        </w:r>
        <w:r w:rsidRPr="00C129CE">
          <w:rPr>
            <w:rStyle w:val="Hipercze"/>
            <w:noProof/>
          </w:rPr>
          <w:noBreakHyphen/>
          <w:t>15</w:t>
        </w:r>
        <w:r>
          <w:rPr>
            <w:rFonts w:asciiTheme="minorHAnsi" w:eastAsiaTheme="minorEastAsia" w:hAnsiTheme="minorHAnsi" w:cstheme="minorBidi"/>
            <w:noProof/>
            <w:sz w:val="22"/>
            <w:lang w:eastAsia="pl-PL"/>
          </w:rPr>
          <w:tab/>
        </w:r>
        <w:r w:rsidRPr="00C129CE">
          <w:rPr>
            <w:rStyle w:val="Hipercze"/>
            <w:noProof/>
          </w:rPr>
          <w:t>Podział działań w zestawie dla jcwp RW na obszarze dorzecza Pregoły</w:t>
        </w:r>
        <w:r>
          <w:rPr>
            <w:noProof/>
            <w:webHidden/>
          </w:rPr>
          <w:tab/>
        </w:r>
        <w:r>
          <w:rPr>
            <w:noProof/>
            <w:webHidden/>
          </w:rPr>
          <w:fldChar w:fldCharType="begin"/>
        </w:r>
        <w:r>
          <w:rPr>
            <w:noProof/>
            <w:webHidden/>
          </w:rPr>
          <w:instrText xml:space="preserve"> PAGEREF _Toc68727130 \h </w:instrText>
        </w:r>
        <w:r>
          <w:rPr>
            <w:noProof/>
            <w:webHidden/>
          </w:rPr>
        </w:r>
        <w:r>
          <w:rPr>
            <w:noProof/>
            <w:webHidden/>
          </w:rPr>
          <w:fldChar w:fldCharType="separate"/>
        </w:r>
        <w:r>
          <w:rPr>
            <w:noProof/>
            <w:webHidden/>
          </w:rPr>
          <w:t>201</w:t>
        </w:r>
        <w:r>
          <w:rPr>
            <w:noProof/>
            <w:webHidden/>
          </w:rPr>
          <w:fldChar w:fldCharType="end"/>
        </w:r>
      </w:hyperlink>
    </w:p>
    <w:p w14:paraId="3A829BC8" w14:textId="328D69B2" w:rsidR="006C4947" w:rsidRDefault="006C4947">
      <w:pPr>
        <w:pStyle w:val="Spisilustracji"/>
        <w:rPr>
          <w:rFonts w:asciiTheme="minorHAnsi" w:eastAsiaTheme="minorEastAsia" w:hAnsiTheme="minorHAnsi" w:cstheme="minorBidi"/>
          <w:noProof/>
          <w:sz w:val="22"/>
          <w:lang w:eastAsia="pl-PL"/>
        </w:rPr>
      </w:pPr>
      <w:hyperlink w:anchor="_Toc68727131" w:history="1">
        <w:r w:rsidRPr="00C129CE">
          <w:rPr>
            <w:rStyle w:val="Hipercze"/>
            <w:noProof/>
          </w:rPr>
          <w:t>Wykres 12</w:t>
        </w:r>
        <w:r w:rsidRPr="00C129CE">
          <w:rPr>
            <w:rStyle w:val="Hipercze"/>
            <w:noProof/>
          </w:rPr>
          <w:noBreakHyphen/>
          <w:t>16</w:t>
        </w:r>
        <w:r>
          <w:rPr>
            <w:rFonts w:asciiTheme="minorHAnsi" w:eastAsiaTheme="minorEastAsia" w:hAnsiTheme="minorHAnsi" w:cstheme="minorBidi"/>
            <w:noProof/>
            <w:sz w:val="22"/>
            <w:lang w:eastAsia="pl-PL"/>
          </w:rPr>
          <w:tab/>
        </w:r>
        <w:r w:rsidRPr="00C129CE">
          <w:rPr>
            <w:rStyle w:val="Hipercze"/>
            <w:noProof/>
          </w:rPr>
          <w:t>Udział jcwp LW z przypisanymi zestawami działań w regionie wodnym obszaru dorzecza Pregoły</w:t>
        </w:r>
        <w:r>
          <w:rPr>
            <w:noProof/>
            <w:webHidden/>
          </w:rPr>
          <w:tab/>
        </w:r>
        <w:r>
          <w:rPr>
            <w:noProof/>
            <w:webHidden/>
          </w:rPr>
          <w:fldChar w:fldCharType="begin"/>
        </w:r>
        <w:r>
          <w:rPr>
            <w:noProof/>
            <w:webHidden/>
          </w:rPr>
          <w:instrText xml:space="preserve"> PAGEREF _Toc68727131 \h </w:instrText>
        </w:r>
        <w:r>
          <w:rPr>
            <w:noProof/>
            <w:webHidden/>
          </w:rPr>
        </w:r>
        <w:r>
          <w:rPr>
            <w:noProof/>
            <w:webHidden/>
          </w:rPr>
          <w:fldChar w:fldCharType="separate"/>
        </w:r>
        <w:r>
          <w:rPr>
            <w:noProof/>
            <w:webHidden/>
          </w:rPr>
          <w:t>203</w:t>
        </w:r>
        <w:r>
          <w:rPr>
            <w:noProof/>
            <w:webHidden/>
          </w:rPr>
          <w:fldChar w:fldCharType="end"/>
        </w:r>
      </w:hyperlink>
    </w:p>
    <w:p w14:paraId="3F9F162E" w14:textId="4190625A" w:rsidR="006C4947" w:rsidRDefault="006C4947">
      <w:pPr>
        <w:pStyle w:val="Spisilustracji"/>
        <w:rPr>
          <w:rFonts w:asciiTheme="minorHAnsi" w:eastAsiaTheme="minorEastAsia" w:hAnsiTheme="minorHAnsi" w:cstheme="minorBidi"/>
          <w:noProof/>
          <w:sz w:val="22"/>
          <w:lang w:eastAsia="pl-PL"/>
        </w:rPr>
      </w:pPr>
      <w:hyperlink w:anchor="_Toc68727132" w:history="1">
        <w:r w:rsidRPr="00C129CE">
          <w:rPr>
            <w:rStyle w:val="Hipercze"/>
            <w:noProof/>
          </w:rPr>
          <w:t>Wykres 12</w:t>
        </w:r>
        <w:r w:rsidRPr="00C129CE">
          <w:rPr>
            <w:rStyle w:val="Hipercze"/>
            <w:noProof/>
          </w:rPr>
          <w:noBreakHyphen/>
          <w:t>14</w:t>
        </w:r>
        <w:r>
          <w:rPr>
            <w:rFonts w:asciiTheme="minorHAnsi" w:eastAsiaTheme="minorEastAsia" w:hAnsiTheme="minorHAnsi" w:cstheme="minorBidi"/>
            <w:noProof/>
            <w:sz w:val="22"/>
            <w:lang w:eastAsia="pl-PL"/>
          </w:rPr>
          <w:tab/>
        </w:r>
        <w:r w:rsidRPr="00C129CE">
          <w:rPr>
            <w:rStyle w:val="Hipercze"/>
            <w:noProof/>
          </w:rPr>
          <w:t>Podział działań w zestawie dla jcwp LW dla obszaru dorzecza Pregoły</w:t>
        </w:r>
        <w:r>
          <w:rPr>
            <w:noProof/>
            <w:webHidden/>
          </w:rPr>
          <w:tab/>
        </w:r>
        <w:r>
          <w:rPr>
            <w:noProof/>
            <w:webHidden/>
          </w:rPr>
          <w:fldChar w:fldCharType="begin"/>
        </w:r>
        <w:r>
          <w:rPr>
            <w:noProof/>
            <w:webHidden/>
          </w:rPr>
          <w:instrText xml:space="preserve"> PAGEREF _Toc68727132 \h </w:instrText>
        </w:r>
        <w:r>
          <w:rPr>
            <w:noProof/>
            <w:webHidden/>
          </w:rPr>
        </w:r>
        <w:r>
          <w:rPr>
            <w:noProof/>
            <w:webHidden/>
          </w:rPr>
          <w:fldChar w:fldCharType="separate"/>
        </w:r>
        <w:r>
          <w:rPr>
            <w:noProof/>
            <w:webHidden/>
          </w:rPr>
          <w:t>204</w:t>
        </w:r>
        <w:r>
          <w:rPr>
            <w:noProof/>
            <w:webHidden/>
          </w:rPr>
          <w:fldChar w:fldCharType="end"/>
        </w:r>
      </w:hyperlink>
    </w:p>
    <w:p w14:paraId="5522CA56" w14:textId="32ACEA75" w:rsidR="006C4947" w:rsidRDefault="006C4947">
      <w:pPr>
        <w:pStyle w:val="Spisilustracji"/>
        <w:rPr>
          <w:rFonts w:asciiTheme="minorHAnsi" w:eastAsiaTheme="minorEastAsia" w:hAnsiTheme="minorHAnsi" w:cstheme="minorBidi"/>
          <w:noProof/>
          <w:sz w:val="22"/>
          <w:lang w:eastAsia="pl-PL"/>
        </w:rPr>
      </w:pPr>
      <w:hyperlink w:anchor="_Toc68727133" w:history="1">
        <w:r w:rsidRPr="00C129CE">
          <w:rPr>
            <w:rStyle w:val="Hipercze"/>
            <w:noProof/>
          </w:rPr>
          <w:t>Wykres 12</w:t>
        </w:r>
        <w:r w:rsidRPr="00C129CE">
          <w:rPr>
            <w:rStyle w:val="Hipercze"/>
            <w:noProof/>
          </w:rPr>
          <w:noBreakHyphen/>
          <w:t>18</w:t>
        </w:r>
        <w:r>
          <w:rPr>
            <w:rFonts w:asciiTheme="minorHAnsi" w:eastAsiaTheme="minorEastAsia" w:hAnsiTheme="minorHAnsi" w:cstheme="minorBidi"/>
            <w:noProof/>
            <w:sz w:val="22"/>
            <w:lang w:eastAsia="pl-PL"/>
          </w:rPr>
          <w:tab/>
        </w:r>
        <w:r w:rsidRPr="00C129CE">
          <w:rPr>
            <w:rStyle w:val="Hipercze"/>
            <w:noProof/>
          </w:rPr>
          <w:t>Udział jcwpd z przypisanymi zestawami działań w regionie wodnym obszaru dorzecza Pregoły</w:t>
        </w:r>
        <w:r>
          <w:rPr>
            <w:noProof/>
            <w:webHidden/>
          </w:rPr>
          <w:tab/>
        </w:r>
        <w:r>
          <w:rPr>
            <w:noProof/>
            <w:webHidden/>
          </w:rPr>
          <w:fldChar w:fldCharType="begin"/>
        </w:r>
        <w:r>
          <w:rPr>
            <w:noProof/>
            <w:webHidden/>
          </w:rPr>
          <w:instrText xml:space="preserve"> PAGEREF _Toc68727133 \h </w:instrText>
        </w:r>
        <w:r>
          <w:rPr>
            <w:noProof/>
            <w:webHidden/>
          </w:rPr>
        </w:r>
        <w:r>
          <w:rPr>
            <w:noProof/>
            <w:webHidden/>
          </w:rPr>
          <w:fldChar w:fldCharType="separate"/>
        </w:r>
        <w:r>
          <w:rPr>
            <w:noProof/>
            <w:webHidden/>
          </w:rPr>
          <w:t>205</w:t>
        </w:r>
        <w:r>
          <w:rPr>
            <w:noProof/>
            <w:webHidden/>
          </w:rPr>
          <w:fldChar w:fldCharType="end"/>
        </w:r>
      </w:hyperlink>
    </w:p>
    <w:p w14:paraId="32B9271A" w14:textId="796C0C16" w:rsidR="006C4947" w:rsidRDefault="006C4947">
      <w:pPr>
        <w:pStyle w:val="Spisilustracji"/>
        <w:rPr>
          <w:rFonts w:asciiTheme="minorHAnsi" w:eastAsiaTheme="minorEastAsia" w:hAnsiTheme="minorHAnsi" w:cstheme="minorBidi"/>
          <w:noProof/>
          <w:sz w:val="22"/>
          <w:lang w:eastAsia="pl-PL"/>
        </w:rPr>
      </w:pPr>
      <w:hyperlink w:anchor="_Toc68727134" w:history="1">
        <w:r w:rsidRPr="00C129CE">
          <w:rPr>
            <w:rStyle w:val="Hipercze"/>
            <w:noProof/>
          </w:rPr>
          <w:t>Wykres 12</w:t>
        </w:r>
        <w:r w:rsidRPr="00C129CE">
          <w:rPr>
            <w:rStyle w:val="Hipercze"/>
            <w:noProof/>
          </w:rPr>
          <w:noBreakHyphen/>
          <w:t>19</w:t>
        </w:r>
        <w:r>
          <w:rPr>
            <w:rFonts w:asciiTheme="minorHAnsi" w:eastAsiaTheme="minorEastAsia" w:hAnsiTheme="minorHAnsi" w:cstheme="minorBidi"/>
            <w:noProof/>
            <w:sz w:val="22"/>
            <w:lang w:eastAsia="pl-PL"/>
          </w:rPr>
          <w:tab/>
        </w:r>
        <w:r w:rsidRPr="00C129CE">
          <w:rPr>
            <w:rStyle w:val="Hipercze"/>
            <w:noProof/>
            <w:shd w:val="clear" w:color="auto" w:fill="FFFFFF"/>
          </w:rPr>
          <w:t>Podział działań w zestawie dla jcwpd na </w:t>
        </w:r>
        <w:r w:rsidRPr="00C129CE">
          <w:rPr>
            <w:rStyle w:val="Hipercze"/>
            <w:noProof/>
          </w:rPr>
          <w:t>obszarze dorzecza Pregoły</w:t>
        </w:r>
        <w:r>
          <w:rPr>
            <w:noProof/>
            <w:webHidden/>
          </w:rPr>
          <w:tab/>
        </w:r>
        <w:r>
          <w:rPr>
            <w:noProof/>
            <w:webHidden/>
          </w:rPr>
          <w:fldChar w:fldCharType="begin"/>
        </w:r>
        <w:r>
          <w:rPr>
            <w:noProof/>
            <w:webHidden/>
          </w:rPr>
          <w:instrText xml:space="preserve"> PAGEREF _Toc68727134 \h </w:instrText>
        </w:r>
        <w:r>
          <w:rPr>
            <w:noProof/>
            <w:webHidden/>
          </w:rPr>
        </w:r>
        <w:r>
          <w:rPr>
            <w:noProof/>
            <w:webHidden/>
          </w:rPr>
          <w:fldChar w:fldCharType="separate"/>
        </w:r>
        <w:r>
          <w:rPr>
            <w:noProof/>
            <w:webHidden/>
          </w:rPr>
          <w:t>206</w:t>
        </w:r>
        <w:r>
          <w:rPr>
            <w:noProof/>
            <w:webHidden/>
          </w:rPr>
          <w:fldChar w:fldCharType="end"/>
        </w:r>
      </w:hyperlink>
    </w:p>
    <w:p w14:paraId="041DCC78" w14:textId="4B52CB9A" w:rsidR="006C4947" w:rsidRDefault="006C4947">
      <w:pPr>
        <w:pStyle w:val="Spisilustracji"/>
        <w:rPr>
          <w:rFonts w:asciiTheme="minorHAnsi" w:eastAsiaTheme="minorEastAsia" w:hAnsiTheme="minorHAnsi" w:cstheme="minorBidi"/>
          <w:noProof/>
          <w:sz w:val="22"/>
          <w:lang w:eastAsia="pl-PL"/>
        </w:rPr>
      </w:pPr>
      <w:hyperlink w:anchor="_Toc68727135" w:history="1">
        <w:r w:rsidRPr="00C129CE">
          <w:rPr>
            <w:rStyle w:val="Hipercze"/>
            <w:noProof/>
          </w:rPr>
          <w:t>Wykres 13</w:t>
        </w:r>
        <w:r w:rsidRPr="00C129CE">
          <w:rPr>
            <w:rStyle w:val="Hipercze"/>
            <w:noProof/>
          </w:rPr>
          <w:noBreakHyphen/>
          <w:t>1</w:t>
        </w:r>
        <w:r>
          <w:rPr>
            <w:rFonts w:asciiTheme="minorHAnsi" w:eastAsiaTheme="minorEastAsia" w:hAnsiTheme="minorHAnsi" w:cstheme="minorBidi"/>
            <w:noProof/>
            <w:sz w:val="22"/>
            <w:lang w:eastAsia="pl-PL"/>
          </w:rPr>
          <w:tab/>
        </w:r>
        <w:r w:rsidRPr="00C129CE">
          <w:rPr>
            <w:rStyle w:val="Hipercze"/>
            <w:noProof/>
          </w:rPr>
          <w:t>Stan realizacji działań z grupy działania organizacyjno-prawne - jcwpd</w:t>
        </w:r>
        <w:r>
          <w:rPr>
            <w:noProof/>
            <w:webHidden/>
          </w:rPr>
          <w:tab/>
        </w:r>
        <w:r>
          <w:rPr>
            <w:noProof/>
            <w:webHidden/>
          </w:rPr>
          <w:fldChar w:fldCharType="begin"/>
        </w:r>
        <w:r>
          <w:rPr>
            <w:noProof/>
            <w:webHidden/>
          </w:rPr>
          <w:instrText xml:space="preserve"> PAGEREF _Toc68727135 \h </w:instrText>
        </w:r>
        <w:r>
          <w:rPr>
            <w:noProof/>
            <w:webHidden/>
          </w:rPr>
        </w:r>
        <w:r>
          <w:rPr>
            <w:noProof/>
            <w:webHidden/>
          </w:rPr>
          <w:fldChar w:fldCharType="separate"/>
        </w:r>
        <w:r>
          <w:rPr>
            <w:noProof/>
            <w:webHidden/>
          </w:rPr>
          <w:t>217</w:t>
        </w:r>
        <w:r>
          <w:rPr>
            <w:noProof/>
            <w:webHidden/>
          </w:rPr>
          <w:fldChar w:fldCharType="end"/>
        </w:r>
      </w:hyperlink>
    </w:p>
    <w:p w14:paraId="0639B7AB" w14:textId="0AABC069" w:rsidR="006C4947" w:rsidRDefault="006C4947">
      <w:pPr>
        <w:pStyle w:val="Spisilustracji"/>
        <w:rPr>
          <w:rFonts w:asciiTheme="minorHAnsi" w:eastAsiaTheme="minorEastAsia" w:hAnsiTheme="minorHAnsi" w:cstheme="minorBidi"/>
          <w:noProof/>
          <w:sz w:val="22"/>
          <w:lang w:eastAsia="pl-PL"/>
        </w:rPr>
      </w:pPr>
      <w:hyperlink w:anchor="_Toc68727136" w:history="1">
        <w:r w:rsidRPr="00C129CE">
          <w:rPr>
            <w:rStyle w:val="Hipercze"/>
            <w:noProof/>
          </w:rPr>
          <w:t>Wykres 13</w:t>
        </w:r>
        <w:r w:rsidRPr="00C129CE">
          <w:rPr>
            <w:rStyle w:val="Hipercze"/>
            <w:noProof/>
          </w:rPr>
          <w:noBreakHyphen/>
          <w:t>2</w:t>
        </w:r>
        <w:r>
          <w:rPr>
            <w:rFonts w:asciiTheme="minorHAnsi" w:eastAsiaTheme="minorEastAsia" w:hAnsiTheme="minorHAnsi" w:cstheme="minorBidi"/>
            <w:noProof/>
            <w:sz w:val="22"/>
            <w:lang w:eastAsia="pl-PL"/>
          </w:rPr>
          <w:tab/>
        </w:r>
        <w:r w:rsidRPr="00C129CE">
          <w:rPr>
            <w:rStyle w:val="Hipercze"/>
            <w:noProof/>
          </w:rPr>
          <w:t>Udział poszczególnych typów pozwoleń wodnoprawnych w ogólnej liczbie pozwoleń obowiązujących w okresie 2022-2027 na obszarze dorzecza Pregoły</w:t>
        </w:r>
        <w:r>
          <w:rPr>
            <w:noProof/>
            <w:webHidden/>
          </w:rPr>
          <w:tab/>
        </w:r>
        <w:r>
          <w:rPr>
            <w:noProof/>
            <w:webHidden/>
          </w:rPr>
          <w:fldChar w:fldCharType="begin"/>
        </w:r>
        <w:r>
          <w:rPr>
            <w:noProof/>
            <w:webHidden/>
          </w:rPr>
          <w:instrText xml:space="preserve"> PAGEREF _Toc68727136 \h </w:instrText>
        </w:r>
        <w:r>
          <w:rPr>
            <w:noProof/>
            <w:webHidden/>
          </w:rPr>
        </w:r>
        <w:r>
          <w:rPr>
            <w:noProof/>
            <w:webHidden/>
          </w:rPr>
          <w:fldChar w:fldCharType="separate"/>
        </w:r>
        <w:r>
          <w:rPr>
            <w:noProof/>
            <w:webHidden/>
          </w:rPr>
          <w:t>221</w:t>
        </w:r>
        <w:r>
          <w:rPr>
            <w:noProof/>
            <w:webHidden/>
          </w:rPr>
          <w:fldChar w:fldCharType="end"/>
        </w:r>
      </w:hyperlink>
    </w:p>
    <w:p w14:paraId="6F47C4B4" w14:textId="3521EC55" w:rsidR="006C4947" w:rsidRDefault="006C4947">
      <w:pPr>
        <w:pStyle w:val="Spisilustracji"/>
        <w:rPr>
          <w:rFonts w:asciiTheme="minorHAnsi" w:eastAsiaTheme="minorEastAsia" w:hAnsiTheme="minorHAnsi" w:cstheme="minorBidi"/>
          <w:noProof/>
          <w:sz w:val="22"/>
          <w:lang w:eastAsia="pl-PL"/>
        </w:rPr>
      </w:pPr>
      <w:hyperlink w:anchor="_Toc68727137" w:history="1">
        <w:r w:rsidRPr="00C129CE">
          <w:rPr>
            <w:rStyle w:val="Hipercze"/>
            <w:noProof/>
          </w:rPr>
          <w:t>Wykres 13</w:t>
        </w:r>
        <w:r w:rsidRPr="00C129CE">
          <w:rPr>
            <w:rStyle w:val="Hipercze"/>
            <w:noProof/>
          </w:rPr>
          <w:noBreakHyphen/>
          <w:t>3</w:t>
        </w:r>
        <w:r>
          <w:rPr>
            <w:rFonts w:asciiTheme="minorHAnsi" w:eastAsiaTheme="minorEastAsia" w:hAnsiTheme="minorHAnsi" w:cstheme="minorBidi"/>
            <w:noProof/>
            <w:sz w:val="22"/>
            <w:lang w:eastAsia="pl-PL"/>
          </w:rPr>
          <w:tab/>
        </w:r>
        <w:r w:rsidRPr="00C129CE">
          <w:rPr>
            <w:rStyle w:val="Hipercze"/>
            <w:noProof/>
          </w:rPr>
          <w:t>Liczba podjętych interwencji w podziale na kategorie wg PUW - poszczególne RZGW WP, rok 2018</w:t>
        </w:r>
        <w:r>
          <w:rPr>
            <w:noProof/>
            <w:webHidden/>
          </w:rPr>
          <w:tab/>
        </w:r>
        <w:r>
          <w:rPr>
            <w:noProof/>
            <w:webHidden/>
          </w:rPr>
          <w:fldChar w:fldCharType="begin"/>
        </w:r>
        <w:r>
          <w:rPr>
            <w:noProof/>
            <w:webHidden/>
          </w:rPr>
          <w:instrText xml:space="preserve"> PAGEREF _Toc68727137 \h </w:instrText>
        </w:r>
        <w:r>
          <w:rPr>
            <w:noProof/>
            <w:webHidden/>
          </w:rPr>
        </w:r>
        <w:r>
          <w:rPr>
            <w:noProof/>
            <w:webHidden/>
          </w:rPr>
          <w:fldChar w:fldCharType="separate"/>
        </w:r>
        <w:r>
          <w:rPr>
            <w:noProof/>
            <w:webHidden/>
          </w:rPr>
          <w:t>251</w:t>
        </w:r>
        <w:r>
          <w:rPr>
            <w:noProof/>
            <w:webHidden/>
          </w:rPr>
          <w:fldChar w:fldCharType="end"/>
        </w:r>
      </w:hyperlink>
    </w:p>
    <w:p w14:paraId="2F522654" w14:textId="48B4752E" w:rsidR="006C4947" w:rsidRDefault="006C4947">
      <w:pPr>
        <w:pStyle w:val="Spisilustracji"/>
        <w:rPr>
          <w:rFonts w:asciiTheme="minorHAnsi" w:eastAsiaTheme="minorEastAsia" w:hAnsiTheme="minorHAnsi" w:cstheme="minorBidi"/>
          <w:noProof/>
          <w:sz w:val="22"/>
          <w:lang w:eastAsia="pl-PL"/>
        </w:rPr>
      </w:pPr>
      <w:hyperlink w:anchor="_Toc68727138" w:history="1">
        <w:r w:rsidRPr="00C129CE">
          <w:rPr>
            <w:rStyle w:val="Hipercze"/>
            <w:noProof/>
          </w:rPr>
          <w:t>Wykres 13</w:t>
        </w:r>
        <w:r w:rsidRPr="00C129CE">
          <w:rPr>
            <w:rStyle w:val="Hipercze"/>
            <w:noProof/>
          </w:rPr>
          <w:noBreakHyphen/>
          <w:t>4</w:t>
        </w:r>
        <w:r>
          <w:rPr>
            <w:rFonts w:asciiTheme="minorHAnsi" w:eastAsiaTheme="minorEastAsia" w:hAnsiTheme="minorHAnsi" w:cstheme="minorBidi"/>
            <w:noProof/>
            <w:sz w:val="22"/>
            <w:lang w:eastAsia="pl-PL"/>
          </w:rPr>
          <w:tab/>
        </w:r>
        <w:r w:rsidRPr="00C129CE">
          <w:rPr>
            <w:rStyle w:val="Hipercze"/>
            <w:noProof/>
          </w:rPr>
          <w:t>Liczba podjętych interwencji w podziale na kategorie wg PUW - poszczególne RZGW WP, rok 2019</w:t>
        </w:r>
        <w:r>
          <w:rPr>
            <w:noProof/>
            <w:webHidden/>
          </w:rPr>
          <w:tab/>
        </w:r>
        <w:r>
          <w:rPr>
            <w:noProof/>
            <w:webHidden/>
          </w:rPr>
          <w:fldChar w:fldCharType="begin"/>
        </w:r>
        <w:r>
          <w:rPr>
            <w:noProof/>
            <w:webHidden/>
          </w:rPr>
          <w:instrText xml:space="preserve"> PAGEREF _Toc68727138 \h </w:instrText>
        </w:r>
        <w:r>
          <w:rPr>
            <w:noProof/>
            <w:webHidden/>
          </w:rPr>
        </w:r>
        <w:r>
          <w:rPr>
            <w:noProof/>
            <w:webHidden/>
          </w:rPr>
          <w:fldChar w:fldCharType="separate"/>
        </w:r>
        <w:r>
          <w:rPr>
            <w:noProof/>
            <w:webHidden/>
          </w:rPr>
          <w:t>252</w:t>
        </w:r>
        <w:r>
          <w:rPr>
            <w:noProof/>
            <w:webHidden/>
          </w:rPr>
          <w:fldChar w:fldCharType="end"/>
        </w:r>
      </w:hyperlink>
    </w:p>
    <w:p w14:paraId="3C9B5E06" w14:textId="7D951E95" w:rsidR="00BC4C89" w:rsidRDefault="00B32CFD" w:rsidP="006229CC">
      <w:r>
        <w:fldChar w:fldCharType="end"/>
      </w:r>
    </w:p>
    <w:p w14:paraId="630060D0" w14:textId="19C1D880" w:rsidR="00102BB0" w:rsidRPr="00AA0CAB" w:rsidRDefault="00BC4C89" w:rsidP="00F713C1">
      <w:pPr>
        <w:pStyle w:val="Tytuspisu"/>
        <w:rPr>
          <w:lang w:val="pl-PL"/>
        </w:rPr>
      </w:pPr>
      <w:r w:rsidRPr="00AA0CAB">
        <w:rPr>
          <w:lang w:val="pl-PL"/>
        </w:rPr>
        <w:br w:type="column"/>
      </w:r>
      <w:r w:rsidR="00102BB0" w:rsidRPr="00AA0CAB">
        <w:rPr>
          <w:lang w:val="pl-PL"/>
        </w:rPr>
        <w:t xml:space="preserve">Wykaz skrótów stosowanych w planie gospodarowania wodami na obszarze dorzecza </w:t>
      </w:r>
      <w:r w:rsidR="00847E7B" w:rsidRPr="00AA0CAB">
        <w:rPr>
          <w:lang w:val="pl-PL"/>
        </w:rPr>
        <w:t>Pregoły</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205"/>
        <w:gridCol w:w="6840"/>
      </w:tblGrid>
      <w:tr w:rsidR="008018DF" w:rsidRPr="008018DF" w14:paraId="75A9F4E4" w14:textId="77777777" w:rsidTr="6AD7A4C5">
        <w:trPr>
          <w:trHeight w:val="330"/>
          <w:tblHeader/>
        </w:trPr>
        <w:tc>
          <w:tcPr>
            <w:tcW w:w="2205"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E8C321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bookmarkStart w:id="5" w:name="_Hlk67450474"/>
            <w:r w:rsidRPr="008018DF">
              <w:rPr>
                <w:rFonts w:eastAsia="Times New Roman" w:cs="Calibri"/>
                <w:b/>
                <w:bCs/>
                <w:color w:val="000000"/>
                <w:sz w:val="18"/>
                <w:szCs w:val="18"/>
                <w:lang w:eastAsia="pl-PL"/>
              </w:rPr>
              <w:t>Skrót</w:t>
            </w:r>
            <w:r w:rsidRPr="008018DF">
              <w:rPr>
                <w:rFonts w:eastAsia="Times New Roman" w:cs="Calibri"/>
                <w:color w:val="000000"/>
                <w:sz w:val="18"/>
                <w:szCs w:val="18"/>
                <w:lang w:eastAsia="pl-PL"/>
              </w:rPr>
              <w:t> </w:t>
            </w:r>
          </w:p>
        </w:tc>
        <w:tc>
          <w:tcPr>
            <w:tcW w:w="6840" w:type="dxa"/>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136A722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Rozwinięcie</w:t>
            </w:r>
            <w:r w:rsidRPr="008018DF">
              <w:rPr>
                <w:rFonts w:eastAsia="Times New Roman" w:cs="Calibri"/>
                <w:color w:val="000000"/>
                <w:sz w:val="18"/>
                <w:szCs w:val="18"/>
                <w:lang w:eastAsia="pl-PL"/>
              </w:rPr>
              <w:t> </w:t>
            </w:r>
          </w:p>
        </w:tc>
      </w:tr>
      <w:tr w:rsidR="008018DF" w:rsidRPr="008018DF" w14:paraId="7C6BCDC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424CDE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aPGW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2FC198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Aktualizacja Planów gospodarowania wodami na obszarach dorzeczy (2016) </w:t>
            </w:r>
          </w:p>
        </w:tc>
      </w:tr>
      <w:tr w:rsidR="008018DF" w:rsidRPr="008018DF" w14:paraId="0CEE73B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EC2D3B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aPWŚK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340EDC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Aktualizacja Programu Wodno-Środowiskowego Kraju </w:t>
            </w:r>
          </w:p>
        </w:tc>
      </w:tr>
      <w:tr w:rsidR="008018DF" w:rsidRPr="008018DF" w14:paraId="32D718D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2D8E79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aPZRP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639CF6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Aktualizacja Planów zarządzania ryzykiem powodziowym (2021) </w:t>
            </w:r>
          </w:p>
        </w:tc>
      </w:tr>
      <w:tr w:rsidR="008018DF" w:rsidRPr="008018DF" w14:paraId="54DE00A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0E1735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ARiMR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413562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Agencja Restrukturyzacji i Modernizacji Rolnictwa </w:t>
            </w:r>
          </w:p>
        </w:tc>
      </w:tr>
      <w:tr w:rsidR="008018DF" w:rsidRPr="008018DF" w14:paraId="4D82D6C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3CCA33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B/C</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C9F7CC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Stosunek korzyści (B) do kosztów (C) </w:t>
            </w:r>
          </w:p>
        </w:tc>
      </w:tr>
      <w:tr w:rsidR="008018DF" w:rsidRPr="008018DF" w14:paraId="1A87873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F766D2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baza HYMO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D4566D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Baza danych elementów hydromorfologicznych  </w:t>
            </w:r>
          </w:p>
        </w:tc>
      </w:tr>
      <w:tr w:rsidR="008018DF" w:rsidRPr="008018DF" w14:paraId="474A0CA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C5A667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BTX</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319291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Lotne węglowodory aromatyczne </w:t>
            </w:r>
          </w:p>
        </w:tc>
      </w:tr>
      <w:tr w:rsidR="008018DF" w:rsidRPr="008018DF" w14:paraId="4BCC5EB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ED35BF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BZT</w:t>
            </w:r>
            <w:r w:rsidRPr="008018DF">
              <w:rPr>
                <w:rFonts w:eastAsia="Times New Roman" w:cs="Calibri"/>
                <w:b/>
                <w:bCs/>
                <w:color w:val="000000"/>
                <w:sz w:val="14"/>
                <w:szCs w:val="14"/>
                <w:vertAlign w:val="subscript"/>
                <w:lang w:eastAsia="pl-PL"/>
              </w:rPr>
              <w:t>5</w:t>
            </w:r>
            <w:r w:rsidRPr="008018DF">
              <w:rPr>
                <w:rFonts w:eastAsia="Times New Roman" w:cs="Calibri"/>
                <w:color w:val="000000"/>
                <w:sz w:val="14"/>
                <w:szCs w:val="14"/>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D7B3C7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Pięciodobowe biochemiczne zapotrzebowanie tlenu </w:t>
            </w:r>
          </w:p>
        </w:tc>
      </w:tr>
      <w:tr w:rsidR="008018DF" w:rsidRPr="00CE57D6" w14:paraId="34C27B0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A59EA5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CDCIR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67F17D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val="en-US" w:eastAsia="pl-PL"/>
              </w:rPr>
            </w:pPr>
            <w:r w:rsidRPr="008018DF">
              <w:rPr>
                <w:rFonts w:eastAsia="Times New Roman" w:cs="Calibri"/>
                <w:color w:val="000000"/>
                <w:sz w:val="18"/>
                <w:szCs w:val="18"/>
                <w:lang w:eastAsia="pl-PL"/>
              </w:rPr>
              <w:t xml:space="preserve">Wspólnotowe Centrum Dokumentacji Zagrożeń Przemysłowych (z ang. </w:t>
            </w:r>
            <w:r w:rsidRPr="008018DF">
              <w:rPr>
                <w:rFonts w:eastAsia="Times New Roman" w:cs="Calibri"/>
                <w:i/>
                <w:iCs/>
                <w:color w:val="000000"/>
                <w:sz w:val="18"/>
                <w:szCs w:val="18"/>
                <w:lang w:val="en-US" w:eastAsia="pl-PL"/>
              </w:rPr>
              <w:t>Community Documentation Centre on Industrial Risks</w:t>
            </w:r>
            <w:r w:rsidRPr="008018DF">
              <w:rPr>
                <w:rFonts w:eastAsia="Times New Roman" w:cs="Calibri"/>
                <w:color w:val="000000"/>
                <w:sz w:val="18"/>
                <w:szCs w:val="18"/>
                <w:lang w:val="en-US" w:eastAsia="pl-PL"/>
              </w:rPr>
              <w:t>) </w:t>
            </w:r>
          </w:p>
        </w:tc>
      </w:tr>
      <w:tr w:rsidR="008018DF" w:rsidRPr="008018DF" w14:paraId="5297527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3F6B94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ChZT-Cr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B2E8453"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Chemiczne zapotrzebowanie tlenu metodą dichromianową </w:t>
            </w:r>
          </w:p>
        </w:tc>
      </w:tr>
      <w:tr w:rsidR="008018DF" w:rsidRPr="00CE57D6" w14:paraId="204B68E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242C7A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CIS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6F1AB7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val="en-US" w:eastAsia="pl-PL"/>
              </w:rPr>
            </w:pPr>
            <w:r w:rsidRPr="008018DF">
              <w:rPr>
                <w:rFonts w:eastAsia="Times New Roman" w:cs="Calibri"/>
                <w:color w:val="000000"/>
                <w:sz w:val="18"/>
                <w:szCs w:val="18"/>
                <w:lang w:val="en-US" w:eastAsia="pl-PL"/>
              </w:rPr>
              <w:t>Wspólna strategia wdrażania Ramowej Dyrektywy Wodnej (Common Implementation Strategy for the Water Framework Directive) </w:t>
            </w:r>
          </w:p>
        </w:tc>
      </w:tr>
      <w:tr w:rsidR="008018DF" w:rsidRPr="008018DF" w14:paraId="7D0D603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804C8C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CRFOP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A983A9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Centralny Rejestr Form Ochrony Przyrody </w:t>
            </w:r>
          </w:p>
        </w:tc>
      </w:tr>
      <w:tr w:rsidR="008018DF" w:rsidRPr="008018DF" w14:paraId="4298575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5310D4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DPE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5D6200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Dolna granica potencjału ekologicznego </w:t>
            </w:r>
          </w:p>
        </w:tc>
      </w:tr>
      <w:tr w:rsidR="008018DF" w:rsidRPr="008018DF" w14:paraId="4D4B310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5C269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DSE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F410AE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Dolna granica stanu ekologicznego </w:t>
            </w:r>
          </w:p>
        </w:tc>
      </w:tr>
      <w:tr w:rsidR="008018DF" w:rsidRPr="008018DF" w14:paraId="1BCA369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8A4CAD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5063FC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Dyrektywa 2006/118/WE Parlamentu Europejskiego i Rady z dnia 12 grudnia 2006 r. w sprawie ochrony wód podziemnych przed zanieczyszczeniem i pogorszeniem ich stanu (Dz.Urz. UE L. 372/19 z dnia 27 grudnia 2006 r.) oraz Dyrektywa Komisji 2014/80/UE z dnia 20 czerwca 2014 r. zmieniająca załącznik II do dyrektywy 2006/118/WE Parlamentu Europejskiego i Rady w sprawie ochrony wód podziemnych przed zanieczyszczeniem i pogorszeniem ich stanu (Dz.Urz. UE L. 182/52 z dnia 21.12.2018 r.) </w:t>
            </w:r>
          </w:p>
        </w:tc>
      </w:tr>
      <w:tr w:rsidR="008018DF" w:rsidRPr="008018DF" w14:paraId="3535CC7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79D5BF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Dyrektywa Azotanowa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ADE823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Dyrektywa Rady z dnia 12 grudnia 1991 r.  dotycząca ochrony wód przed zanieczyszczeniami powodowanymi przez azotany pochodzenia rolniczego 91/676/EWG (Dz.Urz. UE L. 1991.375.1 z dnia 31 grudnia 1991 r.) </w:t>
            </w:r>
          </w:p>
        </w:tc>
      </w:tr>
      <w:tr w:rsidR="008018DF" w:rsidRPr="008018DF" w14:paraId="29A13BD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BF11D2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Dyrektywa dot. jakości wody do spożycia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BF88F6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Dyrektywa Rady 98/83/WE w sprawie jakości wody przeznaczonej do spożycia przez ludzi (Dz.Urz. UE L. 330/32)</w:t>
            </w:r>
            <w:r w:rsidRPr="008018DF">
              <w:rPr>
                <w:rFonts w:ascii="Times New Roman" w:eastAsia="Times New Roman" w:hAnsi="Times New Roman"/>
                <w:color w:val="000000"/>
                <w:sz w:val="18"/>
                <w:szCs w:val="18"/>
                <w:lang w:eastAsia="pl-PL"/>
              </w:rPr>
              <w:t xml:space="preserve"> </w:t>
            </w:r>
            <w:r w:rsidRPr="008018DF">
              <w:rPr>
                <w:rFonts w:eastAsia="Times New Roman" w:cs="Calibri"/>
                <w:sz w:val="18"/>
                <w:szCs w:val="18"/>
                <w:lang w:eastAsia="pl-PL"/>
              </w:rPr>
              <w:t> </w:t>
            </w:r>
            <w:r w:rsidRPr="008018DF">
              <w:rPr>
                <w:rFonts w:eastAsia="Times New Roman" w:cs="Calibri"/>
                <w:sz w:val="18"/>
                <w:szCs w:val="18"/>
                <w:lang w:eastAsia="pl-PL"/>
              </w:rPr>
              <w:br/>
            </w:r>
            <w:r w:rsidRPr="008018DF">
              <w:rPr>
                <w:rFonts w:eastAsia="Times New Roman" w:cs="Calibri"/>
                <w:color w:val="000000"/>
                <w:sz w:val="18"/>
                <w:szCs w:val="18"/>
                <w:lang w:eastAsia="pl-PL"/>
              </w:rPr>
              <w:t>Dyrektywa Parlamentu Europejskiego i Rady (UE) 2020/2184 z dnia 16 grudnia 2020 r. w sprawie jakości wody przeznaczonej do spożycia przez ludzi (wersja przekształcona) (Tekst mający znaczenie dla EOG) (Dz.Urz. UE L. 435/1 z dnia 23.12.2020 r.) </w:t>
            </w:r>
          </w:p>
        </w:tc>
      </w:tr>
      <w:tr w:rsidR="008018DF" w:rsidRPr="008018DF" w14:paraId="11B9E30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981FC3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Dz.U.</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AB520D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Dziennik Ustaw </w:t>
            </w:r>
          </w:p>
        </w:tc>
      </w:tr>
      <w:tr w:rsidR="008018DF" w:rsidRPr="008018DF" w14:paraId="1116CDE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3472E0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Dz.Urz. UE L</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CBD9C0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Dziennik Urzędowy Unii Europejskiej, seria L (Legislacja) </w:t>
            </w:r>
          </w:p>
        </w:tc>
      </w:tr>
      <w:tr w:rsidR="0094049B" w:rsidRPr="008018DF" w14:paraId="2521920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tcPr>
          <w:p w14:paraId="3011C358" w14:textId="49E3A2B1" w:rsidR="0094049B" w:rsidRPr="008018DF" w:rsidRDefault="0094049B" w:rsidP="0094049B">
            <w:pPr>
              <w:spacing w:before="100" w:beforeAutospacing="1" w:after="100" w:afterAutospacing="1"/>
              <w:jc w:val="left"/>
              <w:textAlignment w:val="baseline"/>
              <w:rPr>
                <w:rFonts w:eastAsia="Times New Roman" w:cs="Calibri"/>
                <w:b/>
                <w:bCs/>
                <w:color w:val="000000"/>
                <w:sz w:val="18"/>
                <w:szCs w:val="18"/>
                <w:lang w:eastAsia="pl-PL"/>
              </w:rPr>
            </w:pPr>
            <w:r>
              <w:rPr>
                <w:rFonts w:eastAsia="Times New Roman" w:cs="Calibri"/>
                <w:b/>
                <w:bCs/>
                <w:sz w:val="18"/>
                <w:szCs w:val="18"/>
                <w:lang w:eastAsia="pl-PL"/>
              </w:rPr>
              <w:t>EFI+PL</w:t>
            </w:r>
          </w:p>
        </w:tc>
        <w:tc>
          <w:tcPr>
            <w:tcW w:w="6840" w:type="dxa"/>
            <w:tcBorders>
              <w:top w:val="nil"/>
              <w:left w:val="nil"/>
              <w:bottom w:val="single" w:sz="6" w:space="0" w:color="auto"/>
              <w:right w:val="single" w:sz="6" w:space="0" w:color="auto"/>
            </w:tcBorders>
            <w:shd w:val="clear" w:color="auto" w:fill="auto"/>
            <w:vAlign w:val="center"/>
          </w:tcPr>
          <w:p w14:paraId="347FC7D2" w14:textId="46D791A6" w:rsidR="0094049B" w:rsidRPr="008018DF" w:rsidRDefault="0094049B" w:rsidP="0094049B">
            <w:pPr>
              <w:spacing w:before="0" w:after="0"/>
              <w:jc w:val="left"/>
              <w:textAlignment w:val="baseline"/>
              <w:rPr>
                <w:rFonts w:eastAsia="Times New Roman" w:cs="Calibri"/>
                <w:color w:val="000000"/>
                <w:sz w:val="18"/>
                <w:szCs w:val="18"/>
                <w:lang w:eastAsia="pl-PL"/>
              </w:rPr>
            </w:pPr>
            <w:r>
              <w:rPr>
                <w:rFonts w:eastAsia="Times New Roman" w:cs="Calibri"/>
                <w:sz w:val="18"/>
                <w:szCs w:val="18"/>
                <w:lang w:eastAsia="pl-PL"/>
              </w:rPr>
              <w:t>W</w:t>
            </w:r>
            <w:r w:rsidRPr="008841A1">
              <w:rPr>
                <w:rFonts w:eastAsia="Times New Roman" w:cs="Calibri"/>
                <w:sz w:val="18"/>
                <w:szCs w:val="18"/>
                <w:lang w:eastAsia="pl-PL"/>
              </w:rPr>
              <w:t>ielometryczny wskaźnik do oceny stanu/potencjału ekologicznego rzek</w:t>
            </w:r>
            <w:r>
              <w:rPr>
                <w:rFonts w:eastAsia="Times New Roman" w:cs="Calibri"/>
                <w:sz w:val="18"/>
                <w:szCs w:val="18"/>
                <w:lang w:eastAsia="pl-PL"/>
              </w:rPr>
              <w:t xml:space="preserve"> </w:t>
            </w:r>
            <w:r w:rsidRPr="008841A1">
              <w:rPr>
                <w:rFonts w:eastAsia="Times New Roman" w:cs="Calibri"/>
                <w:sz w:val="18"/>
                <w:szCs w:val="18"/>
                <w:lang w:eastAsia="pl-PL"/>
              </w:rPr>
              <w:t>w oparciu o ichtiofaunę stosowany w PMŚ w Polsce</w:t>
            </w:r>
          </w:p>
        </w:tc>
      </w:tr>
      <w:tr w:rsidR="008018DF" w:rsidRPr="008018DF" w14:paraId="7B6E9DB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2E69E7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EFRROW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459285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Europejski Fundusz Rolny na rzecz Rozwoju Obszarów Wiejskich </w:t>
            </w:r>
          </w:p>
        </w:tc>
      </w:tr>
      <w:tr w:rsidR="008018DF" w:rsidRPr="008018DF" w14:paraId="4CDDE17A"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DA6B56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ELZPd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F8A049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Ekosystemy lądowe zależne od wód podziemnych </w:t>
            </w:r>
          </w:p>
        </w:tc>
      </w:tr>
      <w:tr w:rsidR="008018DF" w:rsidRPr="008018DF" w14:paraId="4BA74C8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71FE50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ENPVE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DA12F7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Ekonomiczna stopa zwrotu inwestycji </w:t>
            </w:r>
          </w:p>
        </w:tc>
      </w:tr>
      <w:tr w:rsidR="008018DF" w:rsidRPr="008018DF" w14:paraId="33C60CB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C300F3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EPRTR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AC49CF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Rejestr Uwalniania i Transferu Zanieczyszczeń </w:t>
            </w:r>
          </w:p>
        </w:tc>
      </w:tr>
      <w:tr w:rsidR="008018DF" w:rsidRPr="008018DF" w14:paraId="393C09A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FE38F2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EQS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7F83CA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 xml:space="preserve">Środowiskowe normy jakości (z ang. </w:t>
            </w:r>
            <w:r w:rsidRPr="008018DF">
              <w:rPr>
                <w:rFonts w:eastAsia="Times New Roman" w:cs="Calibri"/>
                <w:i/>
                <w:iCs/>
                <w:color w:val="000000"/>
                <w:sz w:val="18"/>
                <w:szCs w:val="18"/>
                <w:lang w:eastAsia="pl-PL"/>
              </w:rPr>
              <w:t>environmental quality standards</w:t>
            </w:r>
            <w:r w:rsidRPr="008018DF">
              <w:rPr>
                <w:rFonts w:eastAsia="Times New Roman" w:cs="Calibri"/>
                <w:color w:val="000000"/>
                <w:sz w:val="18"/>
                <w:szCs w:val="18"/>
                <w:lang w:eastAsia="pl-PL"/>
              </w:rPr>
              <w:t>) </w:t>
            </w:r>
          </w:p>
        </w:tc>
      </w:tr>
      <w:tr w:rsidR="008018DF" w:rsidRPr="008018DF" w14:paraId="5DCC962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F4AC82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EUT</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2ED1F0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Obszary wrażliwe na eutrofizację wywołaną zanieczyszczeniami pochodzącymi ze źródeł komunalnych, rozumianą jako wzbogacanie wód biogenami, w szczególności związkami azotu lub fosforu, powodującymi przyspieszony wzrost glonów oraz wyższych form </w:t>
            </w:r>
          </w:p>
        </w:tc>
      </w:tr>
      <w:tr w:rsidR="008018DF" w:rsidRPr="008018DF" w14:paraId="178DF93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CAA2A7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FLORA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72D151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oceny fitoplanktonu i fitobentosu </w:t>
            </w:r>
          </w:p>
        </w:tc>
      </w:tr>
      <w:tr w:rsidR="008018DF" w:rsidRPr="008018DF" w14:paraId="4927434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C9F0DF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FS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CE8C70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Fundusz Spójności </w:t>
            </w:r>
          </w:p>
        </w:tc>
      </w:tr>
      <w:tr w:rsidR="008018DF" w:rsidRPr="008018DF" w14:paraId="04F51E2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24C294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GDOŚ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ED8244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Generalna Dyrekcja Ochrony Środowiska </w:t>
            </w:r>
          </w:p>
        </w:tc>
      </w:tr>
      <w:tr w:rsidR="008018DF" w:rsidRPr="008018DF" w14:paraId="07A10C6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A918A0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GIOŚ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C69885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Główny Inspektorat Ochrony Środowiska </w:t>
            </w:r>
          </w:p>
        </w:tc>
      </w:tr>
      <w:tr w:rsidR="008018DF" w:rsidRPr="008018DF" w14:paraId="6AD07EF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864F91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GRŚ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4B40FD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Główne rodzaje środków </w:t>
            </w:r>
          </w:p>
        </w:tc>
      </w:tr>
      <w:tr w:rsidR="008018DF" w:rsidRPr="008018DF" w14:paraId="37BF93D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BA313E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GUPW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A4081C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Główne użytkowe poziomy wodonośne </w:t>
            </w:r>
          </w:p>
        </w:tc>
      </w:tr>
      <w:tr w:rsidR="008018DF" w:rsidRPr="008018DF" w14:paraId="06B4464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B97BC8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GUS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72878F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Główny Urząd Statystyczny </w:t>
            </w:r>
          </w:p>
        </w:tc>
      </w:tr>
      <w:tr w:rsidR="008018DF" w:rsidRPr="008018DF" w14:paraId="543462A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CF83F3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GZWP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A9E411A"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Główne zbiorniki wód podziemnych </w:t>
            </w:r>
          </w:p>
        </w:tc>
      </w:tr>
      <w:tr w:rsidR="008018DF" w:rsidRPr="008018DF" w14:paraId="77CDB26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8B9833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HIR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FEB0FE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Hydromorfologiczny indeks rzeczny </w:t>
            </w:r>
          </w:p>
        </w:tc>
      </w:tr>
      <w:tr w:rsidR="00446CCD" w:rsidRPr="008018DF" w14:paraId="0431796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tcPr>
          <w:p w14:paraId="3B88A209" w14:textId="70D897BC" w:rsidR="00446CCD" w:rsidRPr="008018DF" w:rsidRDefault="00446CCD" w:rsidP="00446CCD">
            <w:pPr>
              <w:spacing w:before="100" w:beforeAutospacing="1" w:after="100" w:afterAutospacing="1"/>
              <w:jc w:val="left"/>
              <w:textAlignment w:val="baseline"/>
              <w:rPr>
                <w:rFonts w:eastAsia="Times New Roman" w:cs="Calibri"/>
                <w:b/>
                <w:bCs/>
                <w:color w:val="000000"/>
                <w:sz w:val="18"/>
                <w:szCs w:val="18"/>
                <w:lang w:eastAsia="pl-PL"/>
              </w:rPr>
            </w:pPr>
            <w:r>
              <w:rPr>
                <w:rFonts w:eastAsia="Times New Roman" w:cs="Calibri"/>
                <w:b/>
                <w:bCs/>
                <w:sz w:val="18"/>
                <w:szCs w:val="18"/>
                <w:lang w:eastAsia="pl-PL"/>
              </w:rPr>
              <w:t>IBI_PL</w:t>
            </w:r>
          </w:p>
        </w:tc>
        <w:tc>
          <w:tcPr>
            <w:tcW w:w="6840" w:type="dxa"/>
            <w:tcBorders>
              <w:top w:val="nil"/>
              <w:left w:val="nil"/>
              <w:bottom w:val="single" w:sz="6" w:space="0" w:color="auto"/>
              <w:right w:val="single" w:sz="6" w:space="0" w:color="auto"/>
            </w:tcBorders>
            <w:shd w:val="clear" w:color="auto" w:fill="auto"/>
            <w:vAlign w:val="center"/>
          </w:tcPr>
          <w:p w14:paraId="03BCFC8E" w14:textId="7EDBE55E" w:rsidR="00446CCD" w:rsidRPr="008018DF" w:rsidRDefault="00446CCD" w:rsidP="00446CCD">
            <w:pPr>
              <w:spacing w:before="0" w:after="0"/>
              <w:jc w:val="left"/>
              <w:textAlignment w:val="baseline"/>
              <w:rPr>
                <w:rFonts w:eastAsia="Times New Roman" w:cs="Calibri"/>
                <w:color w:val="000000"/>
                <w:sz w:val="18"/>
                <w:szCs w:val="18"/>
                <w:lang w:eastAsia="pl-PL"/>
              </w:rPr>
            </w:pPr>
            <w:r>
              <w:rPr>
                <w:rFonts w:eastAsia="Times New Roman" w:cs="Calibri"/>
                <w:sz w:val="18"/>
                <w:szCs w:val="18"/>
                <w:lang w:eastAsia="pl-PL"/>
              </w:rPr>
              <w:t>W</w:t>
            </w:r>
            <w:r w:rsidRPr="00F623D8">
              <w:rPr>
                <w:rFonts w:eastAsia="Times New Roman" w:cs="Calibri"/>
                <w:sz w:val="18"/>
                <w:szCs w:val="18"/>
                <w:lang w:eastAsia="pl-PL"/>
              </w:rPr>
              <w:t>ielometryczny wskaźnik do oceny stanu/potencjału ekologicznego rzek</w:t>
            </w:r>
            <w:r>
              <w:rPr>
                <w:rFonts w:eastAsia="Times New Roman" w:cs="Calibri"/>
                <w:sz w:val="18"/>
                <w:szCs w:val="18"/>
                <w:lang w:eastAsia="pl-PL"/>
              </w:rPr>
              <w:t xml:space="preserve"> </w:t>
            </w:r>
            <w:r w:rsidRPr="00F623D8">
              <w:rPr>
                <w:rFonts w:eastAsia="Times New Roman" w:cs="Calibri"/>
                <w:sz w:val="18"/>
                <w:szCs w:val="18"/>
                <w:lang w:eastAsia="pl-PL"/>
              </w:rPr>
              <w:t>w oparciu o ichtiofaunę stosowany w PMŚ w Polsce</w:t>
            </w:r>
          </w:p>
        </w:tc>
      </w:tr>
      <w:tr w:rsidR="008018DF" w:rsidRPr="008018DF" w14:paraId="609E12A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942477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EBCEB5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20 lipca 1991 r. o Inspekcji Ochrony Środowiska (tekst jednolity Dz.U. z 2020 r.  poz. 995 z późn. zm.) </w:t>
            </w:r>
          </w:p>
        </w:tc>
      </w:tr>
      <w:tr w:rsidR="008018DF" w:rsidRPr="008018DF" w14:paraId="5B160F1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B3F19D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IFPL</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ECF204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oceny fitoplanktonu i fitobentosu </w:t>
            </w:r>
          </w:p>
        </w:tc>
      </w:tr>
      <w:tr w:rsidR="008018DF" w:rsidRPr="008018DF" w14:paraId="6973988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84DFA9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IIaPGW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2942C4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Druga aktualizacja Planów gospodarowania wodami na obszarach dorzeczy (2021) </w:t>
            </w:r>
          </w:p>
        </w:tc>
      </w:tr>
      <w:tr w:rsidR="008018DF" w:rsidRPr="008018DF" w14:paraId="43CC3F4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2AE583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IMGW-PIB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57C120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Instytut Meteorologii i Gospodarki Wodnej - Państwowy Instytut Badawczy </w:t>
            </w:r>
          </w:p>
        </w:tc>
      </w:tr>
      <w:tr w:rsidR="008018DF" w:rsidRPr="008018DF" w14:paraId="297CC8B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DA565F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D46357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oceny fitobentosu </w:t>
            </w:r>
          </w:p>
        </w:tc>
      </w:tr>
      <w:tr w:rsidR="008018DF" w:rsidRPr="008018DF" w14:paraId="76EBFCA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32C720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IOŚ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B1EC803"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Inspekcja Ochrony Środowiska </w:t>
            </w:r>
          </w:p>
        </w:tc>
      </w:tr>
      <w:tr w:rsidR="008018DF" w:rsidRPr="008018DF" w14:paraId="5C04190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64832D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AD22C8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w:t>
            </w:r>
          </w:p>
        </w:tc>
      </w:tr>
      <w:tr w:rsidR="008018DF" w:rsidRPr="008018DF" w14:paraId="737F7AC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44017E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9E1B8E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w:t>
            </w:r>
          </w:p>
        </w:tc>
      </w:tr>
      <w:tr w:rsidR="008018DF" w:rsidRPr="008018DF" w14:paraId="47FB2EDA"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C958CE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 CW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04BD37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przybrzeżnych (IIaPGW odnosi się do jcwp w nowym układzie planistycznym) </w:t>
            </w:r>
          </w:p>
        </w:tc>
      </w:tr>
      <w:tr w:rsidR="008018DF" w:rsidRPr="008018DF" w14:paraId="67AC9B0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A413FC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 LW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437B1C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jeziornych (IIaPGW odnosi się do jcwp w nowym układzie planistycznym) </w:t>
            </w:r>
          </w:p>
        </w:tc>
      </w:tr>
      <w:tr w:rsidR="008018DF" w:rsidRPr="008018DF" w14:paraId="7D62AF7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3C5278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 RW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D8B204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rzecznych (IIaPGW odnosi się do jcwp w nowym układzie planistycznym) </w:t>
            </w:r>
          </w:p>
        </w:tc>
      </w:tr>
      <w:tr w:rsidR="008018DF" w:rsidRPr="008018DF" w14:paraId="06DE0A5A"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DF165D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 RWr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0DD5A4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zbiornikowych (IIaPGW odnosi się do jcwp w nowym układzie planistycznym) </w:t>
            </w:r>
          </w:p>
        </w:tc>
      </w:tr>
      <w:tr w:rsidR="008018DF" w:rsidRPr="008018DF" w14:paraId="3B6239A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F3FD20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 TW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E68F3E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powierzchniowych przejściowych (IIaPGW odnosi się do jcwp w nowym układzie planistycznym) </w:t>
            </w:r>
          </w:p>
        </w:tc>
      </w:tr>
      <w:tr w:rsidR="008018DF" w:rsidRPr="008018DF" w14:paraId="4EE551E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24A160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F3CE9E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podziemnych </w:t>
            </w:r>
          </w:p>
        </w:tc>
      </w:tr>
      <w:tr w:rsidR="008018DF" w:rsidRPr="008018DF" w14:paraId="1315468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E84CE3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jcwpd (GW)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7E8A52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Oznaczenie zestawu działań dla jednolitych części wód podziemnych </w:t>
            </w:r>
          </w:p>
        </w:tc>
      </w:tr>
      <w:tr w:rsidR="008018DF" w:rsidRPr="008018DF" w14:paraId="6407951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23E7B3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20990E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14 czerwca 1960 r. Kodeks postępowania administracyjnego (tekst jednolity Dz.U. z 2020 r.  poz. 1219 z późn. zm.) </w:t>
            </w:r>
          </w:p>
        </w:tc>
      </w:tr>
      <w:tr w:rsidR="008018DF" w:rsidRPr="008018DF" w14:paraId="2830647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1EEE07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4269BB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Komisja Europejska </w:t>
            </w:r>
          </w:p>
        </w:tc>
      </w:tr>
      <w:tr w:rsidR="008018DF" w:rsidRPr="008018DF" w14:paraId="1801F20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38B10C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KPEiK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90FA38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Plan na Rzecz Energii i Klimatu na lata 2021-2030 </w:t>
            </w:r>
          </w:p>
        </w:tc>
      </w:tr>
      <w:tr w:rsidR="008018DF" w:rsidRPr="008018DF" w14:paraId="04A4D88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DADB00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KPGO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B4802E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plan gospodarki odpadami </w:t>
            </w:r>
          </w:p>
        </w:tc>
      </w:tr>
      <w:tr w:rsidR="008018DF" w:rsidRPr="008018DF" w14:paraId="7CB927B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314514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KPOŚK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D7E98C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Program Oczyszczania Ścieków Komunalnych </w:t>
            </w:r>
          </w:p>
        </w:tc>
      </w:tr>
      <w:tr w:rsidR="008018DF" w:rsidRPr="008018DF" w14:paraId="11120FA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636AF9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KPOWM</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AFC032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Program Ochrony Wód Morskich </w:t>
            </w:r>
          </w:p>
        </w:tc>
      </w:tr>
      <w:tr w:rsidR="008018DF" w:rsidRPr="008018DF" w14:paraId="7B5127D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CEFC97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KPRWP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60FE85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Program Renaturyzacji Wód Powierzchniowych </w:t>
            </w:r>
          </w:p>
        </w:tc>
      </w:tr>
      <w:tr w:rsidR="008018DF" w:rsidRPr="008018DF" w14:paraId="3160DAE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3728C4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KPZK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C7CF8C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Plan Zarządzania Kryzysowego </w:t>
            </w:r>
          </w:p>
        </w:tc>
      </w:tr>
      <w:tr w:rsidR="008018DF" w:rsidRPr="008018DF" w14:paraId="10F0DDF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BBAF6B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KPZL</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E97645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Program Zwiększania Lesistości </w:t>
            </w:r>
          </w:p>
        </w:tc>
      </w:tr>
      <w:tr w:rsidR="008018DF" w:rsidRPr="008018DF" w14:paraId="3582B89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380BC9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KSRR 2030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CCF3DC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Krajowa Strategia Rozwoju Regionalnego 2030 </w:t>
            </w:r>
          </w:p>
        </w:tc>
      </w:tr>
      <w:tr w:rsidR="008018DF" w:rsidRPr="00CE57D6" w14:paraId="1E8C86E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2F1427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KTM</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C8FAA7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val="en-US" w:eastAsia="pl-PL"/>
              </w:rPr>
            </w:pPr>
            <w:r w:rsidRPr="008018DF">
              <w:rPr>
                <w:rFonts w:eastAsia="Times New Roman" w:cs="Calibri"/>
                <w:color w:val="000000"/>
                <w:sz w:val="18"/>
                <w:szCs w:val="18"/>
                <w:lang w:val="en-US" w:eastAsia="pl-PL"/>
              </w:rPr>
              <w:t>Typ działania (Key Types of Measures); Annex 8q: List of Relevant KTM (KTM_Enum) Final Draft v4 WFD Reporting Guidance 2022 - 30.04.2020) </w:t>
            </w:r>
          </w:p>
        </w:tc>
      </w:tr>
      <w:tr w:rsidR="008018DF" w:rsidRPr="008018DF" w14:paraId="2E6C30D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02031A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KZGW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E1E609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Zarząd Gospodarki Wodnej </w:t>
            </w:r>
          </w:p>
        </w:tc>
      </w:tr>
      <w:tr w:rsidR="008018DF" w:rsidRPr="008018DF" w14:paraId="4A38EFB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79958A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LCh</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0E9F3C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val="en-US" w:eastAsia="pl-PL"/>
              </w:rPr>
              <w:t>Laboratorium Chemiczne PIG-PIB</w:t>
            </w:r>
            <w:r w:rsidRPr="008018DF">
              <w:rPr>
                <w:rFonts w:eastAsia="Times New Roman" w:cs="Calibri"/>
                <w:color w:val="000000"/>
                <w:sz w:val="18"/>
                <w:szCs w:val="18"/>
                <w:lang w:eastAsia="pl-PL"/>
              </w:rPr>
              <w:t> </w:t>
            </w:r>
          </w:p>
        </w:tc>
      </w:tr>
      <w:tr w:rsidR="00574398" w:rsidRPr="008018DF" w14:paraId="2795F926"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tcPr>
          <w:p w14:paraId="7FAEE0D6" w14:textId="48D6073F" w:rsidR="00574398" w:rsidRPr="008018DF" w:rsidRDefault="007C3DF2" w:rsidP="008018DF">
            <w:pPr>
              <w:spacing w:before="100" w:beforeAutospacing="1" w:after="100" w:afterAutospacing="1"/>
              <w:jc w:val="left"/>
              <w:textAlignment w:val="baseline"/>
              <w:rPr>
                <w:rFonts w:eastAsia="Times New Roman" w:cs="Calibri"/>
                <w:b/>
                <w:bCs/>
                <w:color w:val="000000"/>
                <w:sz w:val="18"/>
                <w:szCs w:val="18"/>
                <w:lang w:eastAsia="pl-PL"/>
              </w:rPr>
            </w:pPr>
            <w:r>
              <w:rPr>
                <w:rFonts w:eastAsia="Times New Roman" w:cs="Calibri"/>
                <w:b/>
                <w:bCs/>
                <w:color w:val="000000"/>
                <w:sz w:val="18"/>
                <w:szCs w:val="18"/>
                <w:lang w:eastAsia="pl-PL"/>
              </w:rPr>
              <w:t>m</w:t>
            </w:r>
            <w:r w:rsidR="00574398">
              <w:rPr>
                <w:rFonts w:eastAsia="Times New Roman" w:cs="Calibri"/>
                <w:b/>
                <w:bCs/>
                <w:color w:val="000000"/>
                <w:sz w:val="18"/>
                <w:szCs w:val="18"/>
                <w:lang w:eastAsia="pl-PL"/>
              </w:rPr>
              <w:t xml:space="preserve"> </w:t>
            </w:r>
            <w:r>
              <w:rPr>
                <w:rFonts w:eastAsia="Times New Roman" w:cs="Calibri"/>
                <w:b/>
                <w:bCs/>
                <w:color w:val="000000"/>
                <w:sz w:val="18"/>
                <w:szCs w:val="18"/>
                <w:lang w:eastAsia="pl-PL"/>
              </w:rPr>
              <w:t>p.p.t.</w:t>
            </w:r>
          </w:p>
        </w:tc>
        <w:tc>
          <w:tcPr>
            <w:tcW w:w="6840" w:type="dxa"/>
            <w:tcBorders>
              <w:top w:val="nil"/>
              <w:left w:val="nil"/>
              <w:bottom w:val="single" w:sz="6" w:space="0" w:color="auto"/>
              <w:right w:val="single" w:sz="6" w:space="0" w:color="auto"/>
            </w:tcBorders>
            <w:shd w:val="clear" w:color="auto" w:fill="auto"/>
            <w:vAlign w:val="center"/>
          </w:tcPr>
          <w:p w14:paraId="72F47769" w14:textId="03328ED3" w:rsidR="00574398" w:rsidRPr="008018DF" w:rsidRDefault="007C3DF2" w:rsidP="008018DF">
            <w:pPr>
              <w:spacing w:before="100" w:beforeAutospacing="1" w:after="100" w:afterAutospacing="1"/>
              <w:textAlignment w:val="baseline"/>
              <w:rPr>
                <w:rFonts w:eastAsia="Times New Roman" w:cs="Calibri"/>
                <w:color w:val="000000"/>
                <w:sz w:val="18"/>
                <w:szCs w:val="18"/>
                <w:lang w:val="en-US" w:eastAsia="pl-PL"/>
              </w:rPr>
            </w:pPr>
            <w:r>
              <w:rPr>
                <w:rFonts w:eastAsia="Times New Roman" w:cs="Calibri"/>
                <w:color w:val="000000"/>
                <w:sz w:val="18"/>
                <w:szCs w:val="18"/>
                <w:lang w:val="en-US" w:eastAsia="pl-PL"/>
              </w:rPr>
              <w:t>Metry poniżej poziomu terenu</w:t>
            </w:r>
          </w:p>
        </w:tc>
      </w:tr>
      <w:tr w:rsidR="008018DF" w:rsidRPr="008018DF" w14:paraId="6F15AFB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C95F3F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MAHB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FBE357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Biuro ds. Zagrożeń Poważnymi Awariami (z ang. Major Accident Hazard Bureau), funkcjonujące w strukturach UE </w:t>
            </w:r>
          </w:p>
        </w:tc>
      </w:tr>
      <w:tr w:rsidR="008018DF" w:rsidRPr="008018DF" w14:paraId="4AF0BDA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E02834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MARS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1740501" w14:textId="450BE31C"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 xml:space="preserve">System zgłaszania poważnych awarii (z ang. </w:t>
            </w:r>
            <w:r w:rsidRPr="008018DF">
              <w:rPr>
                <w:rFonts w:eastAsia="Times New Roman" w:cs="Calibri"/>
                <w:i/>
                <w:iCs/>
                <w:color w:val="000000"/>
                <w:sz w:val="18"/>
                <w:szCs w:val="18"/>
                <w:lang w:eastAsia="pl-PL"/>
              </w:rPr>
              <w:t>Major - Accident Reporting System</w:t>
            </w:r>
            <w:r w:rsidRPr="008018DF">
              <w:rPr>
                <w:rFonts w:eastAsia="Times New Roman" w:cs="Calibri"/>
                <w:color w:val="000000"/>
                <w:sz w:val="18"/>
                <w:szCs w:val="18"/>
                <w:lang w:eastAsia="pl-PL"/>
              </w:rPr>
              <w:t>) </w:t>
            </w:r>
          </w:p>
        </w:tc>
      </w:tr>
      <w:tr w:rsidR="008018DF" w:rsidRPr="008018DF" w14:paraId="71602CB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0A84B5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35E3D3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Monitoring badawczy </w:t>
            </w:r>
          </w:p>
        </w:tc>
      </w:tr>
      <w:tr w:rsidR="008018DF" w:rsidRPr="008018DF" w14:paraId="4B338DC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19F72D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D059BB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Monitoring diagnostyczny </w:t>
            </w:r>
          </w:p>
        </w:tc>
      </w:tr>
      <w:tr w:rsidR="008018DF" w:rsidRPr="008018DF" w14:paraId="385191B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3D1E98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MI</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6F88D4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Ministerstwo Infrastruktury </w:t>
            </w:r>
          </w:p>
        </w:tc>
      </w:tr>
      <w:tr w:rsidR="003421BE" w:rsidRPr="008018DF" w14:paraId="1DC73EA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tcPr>
          <w:p w14:paraId="6E4878CF" w14:textId="7F2152BD" w:rsidR="003421BE" w:rsidRPr="008018DF" w:rsidRDefault="003421BE" w:rsidP="003421BE">
            <w:pPr>
              <w:spacing w:before="100" w:beforeAutospacing="1" w:after="100" w:afterAutospacing="1"/>
              <w:jc w:val="left"/>
              <w:textAlignment w:val="baseline"/>
              <w:rPr>
                <w:rFonts w:eastAsia="Times New Roman" w:cs="Calibri"/>
                <w:b/>
                <w:bCs/>
                <w:color w:val="000000"/>
                <w:sz w:val="18"/>
                <w:szCs w:val="18"/>
                <w:lang w:eastAsia="pl-PL"/>
              </w:rPr>
            </w:pPr>
            <w:r>
              <w:rPr>
                <w:rFonts w:eastAsia="Times New Roman" w:cs="Calibri"/>
                <w:b/>
                <w:bCs/>
                <w:sz w:val="18"/>
                <w:szCs w:val="18"/>
                <w:lang w:eastAsia="pl-PL"/>
              </w:rPr>
              <w:t>MIR</w:t>
            </w:r>
          </w:p>
        </w:tc>
        <w:tc>
          <w:tcPr>
            <w:tcW w:w="6840" w:type="dxa"/>
            <w:tcBorders>
              <w:top w:val="nil"/>
              <w:left w:val="nil"/>
              <w:bottom w:val="single" w:sz="6" w:space="0" w:color="auto"/>
              <w:right w:val="single" w:sz="6" w:space="0" w:color="auto"/>
            </w:tcBorders>
            <w:shd w:val="clear" w:color="auto" w:fill="auto"/>
            <w:vAlign w:val="center"/>
          </w:tcPr>
          <w:p w14:paraId="6D4F7EFA" w14:textId="3C700E07" w:rsidR="003421BE" w:rsidRPr="008018DF" w:rsidRDefault="003421BE" w:rsidP="003421BE">
            <w:pPr>
              <w:spacing w:before="100" w:beforeAutospacing="1" w:after="100" w:afterAutospacing="1"/>
              <w:textAlignment w:val="baseline"/>
              <w:rPr>
                <w:rFonts w:eastAsia="Times New Roman" w:cs="Calibri"/>
                <w:color w:val="000000"/>
                <w:sz w:val="18"/>
                <w:szCs w:val="18"/>
                <w:lang w:eastAsia="pl-PL"/>
              </w:rPr>
            </w:pPr>
            <w:r w:rsidRPr="003E75AF">
              <w:rPr>
                <w:rFonts w:eastAsia="Times New Roman" w:cs="Calibri"/>
                <w:sz w:val="18"/>
                <w:szCs w:val="18"/>
                <w:lang w:eastAsia="pl-PL"/>
              </w:rPr>
              <w:t>Makrofitowy Indeks Rzeczny</w:t>
            </w:r>
          </w:p>
        </w:tc>
      </w:tr>
      <w:tr w:rsidR="008018DF" w:rsidRPr="008018DF" w14:paraId="37DFD78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C503C7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MKiŚ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D2BE43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Ministerstwo Klimatu i Środowiska </w:t>
            </w:r>
          </w:p>
        </w:tc>
      </w:tr>
      <w:tr w:rsidR="000011E2" w:rsidRPr="008018DF" w14:paraId="6BA4688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tcPr>
          <w:p w14:paraId="24488594" w14:textId="4DB3FA75" w:rsidR="000011E2" w:rsidRPr="008018DF" w:rsidRDefault="000011E2" w:rsidP="000011E2">
            <w:pPr>
              <w:spacing w:before="100" w:beforeAutospacing="1" w:after="100" w:afterAutospacing="1"/>
              <w:jc w:val="left"/>
              <w:textAlignment w:val="baseline"/>
              <w:rPr>
                <w:rFonts w:eastAsia="Times New Roman" w:cs="Calibri"/>
                <w:b/>
                <w:bCs/>
                <w:color w:val="000000"/>
                <w:sz w:val="18"/>
                <w:szCs w:val="18"/>
                <w:lang w:eastAsia="pl-PL"/>
              </w:rPr>
            </w:pPr>
            <w:r>
              <w:rPr>
                <w:rFonts w:eastAsia="Times New Roman" w:cs="Calibri"/>
                <w:b/>
                <w:bCs/>
                <w:sz w:val="18"/>
                <w:szCs w:val="18"/>
                <w:lang w:eastAsia="pl-PL"/>
              </w:rPr>
              <w:t>MMI_PL</w:t>
            </w:r>
          </w:p>
        </w:tc>
        <w:tc>
          <w:tcPr>
            <w:tcW w:w="6840" w:type="dxa"/>
            <w:tcBorders>
              <w:top w:val="nil"/>
              <w:left w:val="nil"/>
              <w:bottom w:val="single" w:sz="6" w:space="0" w:color="auto"/>
              <w:right w:val="single" w:sz="6" w:space="0" w:color="auto"/>
            </w:tcBorders>
            <w:shd w:val="clear" w:color="auto" w:fill="auto"/>
            <w:vAlign w:val="center"/>
          </w:tcPr>
          <w:p w14:paraId="0D3955FC" w14:textId="0C9C316D" w:rsidR="000011E2" w:rsidRPr="008018DF" w:rsidRDefault="000011E2" w:rsidP="000011E2">
            <w:pPr>
              <w:spacing w:before="100" w:beforeAutospacing="1" w:after="100" w:afterAutospacing="1"/>
              <w:textAlignment w:val="baseline"/>
              <w:rPr>
                <w:rFonts w:eastAsia="Times New Roman" w:cs="Calibri"/>
                <w:color w:val="000000"/>
                <w:sz w:val="18"/>
                <w:szCs w:val="18"/>
                <w:lang w:eastAsia="pl-PL"/>
              </w:rPr>
            </w:pPr>
            <w:r w:rsidRPr="00C42860">
              <w:rPr>
                <w:rFonts w:eastAsia="Times New Roman" w:cs="Calibri"/>
                <w:sz w:val="18"/>
                <w:szCs w:val="18"/>
                <w:lang w:eastAsia="pl-PL"/>
              </w:rPr>
              <w:t>Wielometryczny Wskaźnik Stanu Ekologicznego Rzek</w:t>
            </w:r>
          </w:p>
        </w:tc>
      </w:tr>
      <w:tr w:rsidR="008018DF" w:rsidRPr="008018DF" w14:paraId="2B05E1F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60B020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F58C18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Monitoring operacyjny </w:t>
            </w:r>
          </w:p>
        </w:tc>
      </w:tr>
      <w:tr w:rsidR="008018DF" w:rsidRPr="008018DF" w14:paraId="72C2724A"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C5CFB5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MPA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623495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Plany adaptacji do zmian klimatu w miastach powyżej 100 tys. mieszkańców - Miejskie plany adaptacji do zmian klimatu </w:t>
            </w:r>
          </w:p>
        </w:tc>
      </w:tr>
      <w:tr w:rsidR="008018DF" w:rsidRPr="008018DF" w14:paraId="5130A4F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8A7643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MPHP10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8BD4C9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Mapa Podziału Hydrograficznego Polski w skali referencyjnej 1:10 000 </w:t>
            </w:r>
          </w:p>
        </w:tc>
      </w:tr>
      <w:tr w:rsidR="008018DF" w:rsidRPr="008018DF" w14:paraId="01A5AE2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23626B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MRG2</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279470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Kompleksowy projekt adaptacji lasów i leśnictwa do zmian klimatu - mała retencja oraz przeciwdziałanie erozji wodnej na terenach nizinnych </w:t>
            </w:r>
          </w:p>
        </w:tc>
      </w:tr>
      <w:tr w:rsidR="008018DF" w:rsidRPr="008018DF" w14:paraId="54CF83C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C160DB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MRN2</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51A162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Kompleksowy projekt adaptacji lasów i leśnictwa do zmian klimatu - mała retencja oraz przeciwdziałanie erozji wodnej na terenach górskich </w:t>
            </w:r>
          </w:p>
        </w:tc>
      </w:tr>
      <w:tr w:rsidR="008018DF" w:rsidRPr="008018DF" w14:paraId="11ECDF2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7FEF49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AFAC88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Ministerstwo Środowiska (obecnie Ministerstwo Klimatu i Środowiska) </w:t>
            </w:r>
          </w:p>
        </w:tc>
      </w:tr>
      <w:tr w:rsidR="008018DF" w:rsidRPr="008018DF" w14:paraId="0A742D8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739C6C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E8B20C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Monitoring Wód Podziemnych </w:t>
            </w:r>
          </w:p>
        </w:tc>
      </w:tr>
      <w:tr w:rsidR="008018DF" w:rsidRPr="008018DF" w14:paraId="3EBDF0A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60394B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MZB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26C45C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oceny makrobezkręgowców </w:t>
            </w:r>
          </w:p>
        </w:tc>
      </w:tr>
      <w:tr w:rsidR="008018DF" w:rsidRPr="008018DF" w14:paraId="120872A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7C73A2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NAT</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10D9B3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Naturalna część wód </w:t>
            </w:r>
          </w:p>
        </w:tc>
      </w:tr>
      <w:tr w:rsidR="008018DF" w:rsidRPr="008018DF" w14:paraId="60DACDB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23838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NFOŚiGW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279AC7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Narodowy Fundusz Ochrony Środowiska i Gospodarki Wodnej </w:t>
            </w:r>
          </w:p>
        </w:tc>
      </w:tr>
      <w:tr w:rsidR="008018DF" w:rsidRPr="008018DF" w14:paraId="7C184B2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513AA7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NGO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E7EA8A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Organizacja pozarządowa (Non-government organization) </w:t>
            </w:r>
          </w:p>
        </w:tc>
      </w:tr>
      <w:tr w:rsidR="008018DF" w:rsidRPr="008018DF" w14:paraId="65792C1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B08247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NW 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26C72B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Nadzór Wodny Wody Polskie </w:t>
            </w:r>
          </w:p>
        </w:tc>
      </w:tr>
      <w:tr w:rsidR="008018DF" w:rsidRPr="008018DF" w14:paraId="51BEC75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49C8FB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542763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Obszary Priorytetowe </w:t>
            </w:r>
          </w:p>
        </w:tc>
      </w:tr>
      <w:tr w:rsidR="008018DF" w:rsidRPr="008018DF" w14:paraId="50810FA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EF1615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OPZ</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D311F0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Grupa Robocza OPZ, ds. ochrony wód granicznych przed zanieczyszczeniem  </w:t>
            </w:r>
          </w:p>
        </w:tc>
      </w:tr>
      <w:tr w:rsidR="008018DF" w:rsidRPr="008018DF" w14:paraId="53D7599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241B8D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OSO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E5D7ED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Obszar specjalnej ochrony ptaków </w:t>
            </w:r>
          </w:p>
        </w:tc>
      </w:tr>
      <w:tr w:rsidR="008018DF" w:rsidRPr="008018DF" w14:paraId="746849E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795E1A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OWO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BFDD88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Ogólny węgiel organiczny </w:t>
            </w:r>
          </w:p>
        </w:tc>
      </w:tr>
      <w:tr w:rsidR="008018DF" w:rsidRPr="008018DF" w14:paraId="7C0E76B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FE7BF6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OWR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8A63A1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Obszary Wymagające Renaturyzacji </w:t>
            </w:r>
          </w:p>
        </w:tc>
      </w:tr>
      <w:tr w:rsidR="008018DF" w:rsidRPr="008018DF" w14:paraId="7376401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1EE255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OZE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81AB3F3"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Odnawialne źródło energii </w:t>
            </w:r>
          </w:p>
        </w:tc>
      </w:tr>
      <w:tr w:rsidR="008018DF" w:rsidRPr="008018DF" w14:paraId="6F16F53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A86029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p.o.ś. | Prawo ochrony środowiska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21DDF9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27 kwietnia 2001 r. Prawo ochrony środowiska (tekst jednolity Dz.U. z 2020 r.  poz. 1219 z późn. zm.) </w:t>
            </w:r>
          </w:p>
        </w:tc>
      </w:tr>
      <w:tr w:rsidR="008018DF" w:rsidRPr="008018DF" w14:paraId="57B81EB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ECB72D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PCA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E016CC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Polskie Centrum Akredytacji </w:t>
            </w:r>
          </w:p>
        </w:tc>
      </w:tr>
      <w:tr w:rsidR="008018DF" w:rsidRPr="008018DF" w14:paraId="44BEECB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D7EF9F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B486E5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Potencjał ekologiczny </w:t>
            </w:r>
          </w:p>
        </w:tc>
      </w:tr>
      <w:tr w:rsidR="008018DF" w:rsidRPr="008018DF" w14:paraId="65F093D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B8CA0F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PEJ</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D0723A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Program polskiej energetyki jądrowej </w:t>
            </w:r>
          </w:p>
        </w:tc>
      </w:tr>
      <w:tr w:rsidR="008018DF" w:rsidRPr="008018DF" w14:paraId="5E5DEC0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965745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PEP2030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42C9BB3"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Polityka ekologiczna państwa 2030 - strategia rozwoju w obszarze środowiska i gospodarki wodnej </w:t>
            </w:r>
          </w:p>
        </w:tc>
      </w:tr>
      <w:tr w:rsidR="008018DF" w:rsidRPr="008018DF" w14:paraId="62DC7C2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435C09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PEP2040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D2AED4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Polityka energetyczna Polski do 2040 r. - strategia rozwoju sektora paliwowo-energetycznego  </w:t>
            </w:r>
          </w:p>
        </w:tc>
      </w:tr>
      <w:tr w:rsidR="008018DF" w:rsidRPr="008018DF" w14:paraId="0FE0A05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F93BE1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PGW | Plan gospodarowania wodami</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1F0044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 gospodarowania wodami na obszarze dorzeczy </w:t>
            </w:r>
          </w:p>
        </w:tc>
      </w:tr>
      <w:tr w:rsidR="008018DF" w:rsidRPr="008018DF" w14:paraId="286E97C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773D1D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PGW 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14613B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Państwowe Gospodarstwo Wodne Wody Polskie </w:t>
            </w:r>
          </w:p>
        </w:tc>
      </w:tr>
      <w:tr w:rsidR="008018DF" w:rsidRPr="008018DF" w14:paraId="659C435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5C0F6A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PIG-PIB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6C3EE5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Państwowy Instytut Geologiczny - Państwowy Instytut Badawczy </w:t>
            </w:r>
          </w:p>
        </w:tc>
      </w:tr>
      <w:tr w:rsidR="008018DF" w:rsidRPr="008018DF" w14:paraId="23F7A67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1E7B0C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PMPL</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0756D8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Pełny indeks fitoplanktonowy dla polskich jezior </w:t>
            </w:r>
          </w:p>
        </w:tc>
      </w:tr>
      <w:tr w:rsidR="008018DF" w:rsidRPr="008018DF" w14:paraId="6B10297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EBA0C9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PMŚ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281727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Państwowy Monitoring Środowiska </w:t>
            </w:r>
          </w:p>
        </w:tc>
      </w:tr>
      <w:tr w:rsidR="008018DF" w:rsidRPr="008018DF" w14:paraId="05E62A4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612F6D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POIiŚ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095979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Program Operacyjny Infrastruktura i Środowisko </w:t>
            </w:r>
          </w:p>
        </w:tc>
      </w:tr>
      <w:tr w:rsidR="008018DF" w:rsidRPr="008018DF" w14:paraId="26BED58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F0507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PPH2</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34AC6F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dotyczący budowli piętrzących </w:t>
            </w:r>
          </w:p>
        </w:tc>
      </w:tr>
      <w:tr w:rsidR="008018DF" w:rsidRPr="008018DF" w14:paraId="41576B9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2119A6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Ppk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85DCB9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Punkt pomiarowo-kontrolny monitoringu GIOŚ </w:t>
            </w:r>
          </w:p>
        </w:tc>
      </w:tr>
      <w:tr w:rsidR="008018DF" w:rsidRPr="008018DF" w14:paraId="2B54F49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1C68E3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PPSS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949B29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 Przeciwdziałania Skutkom Suszy </w:t>
            </w:r>
          </w:p>
        </w:tc>
      </w:tr>
      <w:tr w:rsidR="008018DF" w:rsidRPr="008018DF" w14:paraId="04D6E0F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538255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pr.w. |Prawo wodne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5FE38D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20 lipca 2017 r. - Prawo wodne (tekst jednolity Dz.U. z 2020 r.  poz. 310 z późn. zm.) </w:t>
            </w:r>
          </w:p>
        </w:tc>
      </w:tr>
      <w:tr w:rsidR="008018DF" w:rsidRPr="008018DF" w14:paraId="56B0AAA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281A6F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Prognoza OOŚ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2F045C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Prognoza oddziaływania na środowisko </w:t>
            </w:r>
          </w:p>
        </w:tc>
      </w:tr>
      <w:tr w:rsidR="008018DF" w:rsidRPr="008018DF" w14:paraId="30F15ED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2904CB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PRR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4DD181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Program przeciwdziałania niedoborowi wody na lata 2021-2027 z perspektywą do 2030 r. (zwany Programem Rozwoju Retencji) </w:t>
            </w:r>
          </w:p>
        </w:tc>
      </w:tr>
      <w:tr w:rsidR="008018DF" w:rsidRPr="008018DF" w14:paraId="3C7CF11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6CFC14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PRTR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B35DD7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Krajowy Rejestr Uwalniania i Transferu Zanieczyszczeń </w:t>
            </w:r>
          </w:p>
        </w:tc>
      </w:tr>
      <w:tr w:rsidR="008018DF" w:rsidRPr="008018DF" w14:paraId="04F37C3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039222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PSH</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ADFC0C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Państwowa Służba Hydrogeologiczna </w:t>
            </w:r>
          </w:p>
        </w:tc>
      </w:tr>
      <w:tr w:rsidR="008018DF" w:rsidRPr="008018DF" w14:paraId="188643D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BF22A3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PUW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44A7C0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 Utrzymania Wód </w:t>
            </w:r>
          </w:p>
        </w:tc>
      </w:tr>
      <w:tr w:rsidR="008018DF" w:rsidRPr="008018DF" w14:paraId="138B98DA"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1E624C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PZO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51E395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Plany Zadań Ochronnych (obszarów Natura 2000) </w:t>
            </w:r>
          </w:p>
        </w:tc>
      </w:tr>
      <w:tr w:rsidR="008018DF" w:rsidRPr="008018DF" w14:paraId="13095BC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D73A48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PZRP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87BDE3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Plany Zarządzania Ryzykiem Powodziowym </w:t>
            </w:r>
          </w:p>
        </w:tc>
      </w:tr>
      <w:tr w:rsidR="008018DF" w:rsidRPr="008018DF" w14:paraId="7E1F6C2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12625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r.kl.jcwp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153924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 z późn. zm.) </w:t>
            </w:r>
          </w:p>
        </w:tc>
      </w:tr>
      <w:tr w:rsidR="008018DF" w:rsidRPr="008018DF" w14:paraId="189E034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68432F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r.kl.jcwpd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8A4E2C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Gospodarki Morskiej i Żeglugi Śródlądowej z dnia 11 października 2019 r. w sprawie kryteriów i sposobu oceny stanu jednolitych części wód podziemnych (Dz.U. z 2019 r.  poz. 2148) </w:t>
            </w:r>
          </w:p>
        </w:tc>
      </w:tr>
      <w:tr w:rsidR="008018DF" w:rsidRPr="008018DF" w14:paraId="3AE7D49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0F19497"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r.m.jcw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EDE22B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Gospodarki Morskiej i Żeglugi Śródlądowej z dnia 9 października 2019 r. w sprawie form i sposobu prowadzenia monitoringu jednolitych części wód powierzchniowych i jednolitych części wód podziemnych (Dz.U. z 2019 r.  poz. 2147 z późn. zm.) </w:t>
            </w:r>
          </w:p>
        </w:tc>
      </w:tr>
      <w:tr w:rsidR="008018DF" w:rsidRPr="008018DF" w14:paraId="0DFA98A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AD2F2E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r.p.g.w.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9BC75A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Rady Ministrów z dnia 4 października 2019 r. w sprawie szczegółowego zakresu opracowywania planów gospodarowania wodami na obszarach dorzeczy (Dz.U. z 2019 r.  poz. 2150) </w:t>
            </w:r>
          </w:p>
        </w:tc>
      </w:tr>
      <w:tr w:rsidR="008018DF" w:rsidRPr="008018DF" w14:paraId="29CB486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1BF2AB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RDOŚ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DD6857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Regionalna Dyrekcja Ochrony Środowiska </w:t>
            </w:r>
          </w:p>
        </w:tc>
      </w:tr>
      <w:tr w:rsidR="008018DF" w:rsidRPr="008018DF" w14:paraId="14B29FC6"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6A4676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RDSM</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C200D8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Dyrektywa Parlamentu Europejskiego i Rady 2008/56/WE z dnia 17 czerwca 2008 r. ustanawiająca ramy działań Wspólnoty w dziedzinie polityki środowiska morskiego (Ramowa Dyrektywa w sprawie Strategii Morskiej) </w:t>
            </w:r>
          </w:p>
        </w:tc>
      </w:tr>
      <w:tr w:rsidR="008018DF" w:rsidRPr="008018DF" w14:paraId="0DDF9F7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3A8323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RDW | Ramowa Dyrektywa Wodna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69B462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Dyrektywa Parlamentu Europejskiego i Rady 2000/60/WE z dnia 23 października 2020 r. ustanawiająca ramy wspólnotowego działania w dziedzinie polityki wodnej (Dz.Urz. UE L 327, s. 1 ze zm.) </w:t>
            </w:r>
          </w:p>
        </w:tc>
      </w:tr>
      <w:tr w:rsidR="008018DF" w:rsidRPr="008018DF" w14:paraId="5041548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6F5426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RHS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A01C07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Metoda oceny hydromorfologicznej rzek (River Habitat Survey) </w:t>
            </w:r>
          </w:p>
        </w:tc>
      </w:tr>
      <w:tr w:rsidR="008018DF" w:rsidRPr="008018DF" w14:paraId="5A898F3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55544F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RK</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3449EB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przeznaczona do celów rekreacyjnych, w tym kąpieliskowych </w:t>
            </w:r>
          </w:p>
        </w:tc>
      </w:tr>
      <w:tr w:rsidR="008018DF" w:rsidRPr="008018DF" w14:paraId="096A1A8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A4949A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RZGW 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89AE5A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Regionalny Zarząd Gospodarki Wodnej Wody Polskie </w:t>
            </w:r>
          </w:p>
        </w:tc>
      </w:tr>
      <w:tr w:rsidR="008018DF" w:rsidRPr="008018DF" w14:paraId="326E4053"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688907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s.pr.w.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01B4D3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18 lipca 2001 r. - Prawo wodne (tekst jednolity Dz.U. z 2017 r.  poz. 1121 z późn. zm.) Akt uchylony </w:t>
            </w:r>
          </w:p>
        </w:tc>
      </w:tr>
      <w:tr w:rsidR="008018DF" w:rsidRPr="008018DF" w14:paraId="31B4276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AA687F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 (2009)</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1BB18D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20 sierpnia 2008 r. w sprawie sposobu klasyfikacji stanu jednolitych części wód powierzchniowych (Dz.U. z 2008 r. nr 162 poz. 1008). Akt uchylony. </w:t>
            </w:r>
          </w:p>
        </w:tc>
      </w:tr>
      <w:tr w:rsidR="008018DF" w:rsidRPr="008018DF" w14:paraId="41E9894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759533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 (2011)</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8DB58C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9 listopada 2011 r. w sprawie sposobu klasyfikacji stanu jednolitych części wód powierzchniowych oraz środowiskowych norm jakości dla substancji priorytetowych (Dz.U. z 2011 r. nr 257 poz. 1545). Akt uchylony. </w:t>
            </w:r>
          </w:p>
        </w:tc>
      </w:tr>
      <w:tr w:rsidR="008018DF" w:rsidRPr="008018DF" w14:paraId="6B45D7A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7456C5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 (2014)</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D5970B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22 października 2014 r. w sprawie sposobu klasyfikacji stanu jednolitych części wód powierzchniowych oraz środowiskowych norm jakości dla substancji priorytetowych (Dz.U. z 2014 r.  poz. 1482). Akt uchylony. </w:t>
            </w:r>
          </w:p>
        </w:tc>
      </w:tr>
      <w:tr w:rsidR="008018DF" w:rsidRPr="008018DF" w14:paraId="0C34AC0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16FCE8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 (2016)</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9520FCA"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21 lipca 2016 r. w sprawie sposobu klasyfikacji stanu jednolitych części wód powierzchniowych oraz środowiskowych norm jakości dla substancji priorytetowych (Dz.U. z 2016 r.  poz. 1187). Akt uchylony. </w:t>
            </w:r>
          </w:p>
        </w:tc>
      </w:tr>
      <w:tr w:rsidR="008018DF" w:rsidRPr="008018DF" w14:paraId="44F7647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BB739E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s.r.kl.s.e.p. (2009)</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F34BB0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22 lipca 2009 r. w sprawie klasyfikacji stanu ekologicznego, potencjału ekologicznego i stanu chemicznego jednolitych części wód powierzchniowych (Dz.U. z 2009 nr 122 poz. 1018). Akt uchylony. </w:t>
            </w:r>
          </w:p>
        </w:tc>
      </w:tr>
      <w:tr w:rsidR="008018DF" w:rsidRPr="008018DF" w14:paraId="5B42D4F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1D6052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s.r.kl.s.e.p. (2011)</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A91179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9 listopada 2011 r. w sprawie klasyfikacji stanu ekologicznego, potencjału ekologicznego i stanu chemicznego jednolitych części wód powierzchniowych (Dz.U. z 2011 r. nr 258 poz. 1549). Akt uchylony. </w:t>
            </w:r>
          </w:p>
        </w:tc>
      </w:tr>
      <w:tr w:rsidR="008018DF" w:rsidRPr="008018DF" w14:paraId="2E29560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DF020A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s.r.m. (2009)</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0209CB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13 maja 2009 r. w sprawie form i sposobu prowadzenia monitoringu jednolitych części wód powierzchniowych i podziemnych (Dz.U. z 2009 r. nr 81 poz. 685). Akt uchylony. </w:t>
            </w:r>
          </w:p>
        </w:tc>
      </w:tr>
      <w:tr w:rsidR="008018DF" w:rsidRPr="008018DF" w14:paraId="4E31D8D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2D6F97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s.r.m. (2011)</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C2DA57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15 listopada 2011 r. w sprawie form i sposobu prowadzenia monitoringu jednolitych części wód powierzchniowych i podziemnych (Dz.U. z 2011 r. nr 258 poz. 1550). Akt uchylony. </w:t>
            </w:r>
          </w:p>
        </w:tc>
      </w:tr>
      <w:tr w:rsidR="008018DF" w:rsidRPr="008018DF" w14:paraId="5DA600E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59992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s.r.m. jcw (2016)</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D562A6A"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Rozporządzenie Ministra Środowiska z dnia 19 lipca 2016 r. w sprawie form i sposobu prowadzenia monitoringu jednolitych części wód powierzchniowych i podziemnych (Dz.U. z 2016 r.  poz. 1178). Akt uchylony. </w:t>
            </w:r>
          </w:p>
        </w:tc>
      </w:tr>
      <w:tr w:rsidR="008018DF" w:rsidRPr="008018DF" w14:paraId="189E623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47D299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SCW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0B2060A"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Sztuczna część wód </w:t>
            </w:r>
          </w:p>
        </w:tc>
      </w:tr>
      <w:tr w:rsidR="008018DF" w:rsidRPr="008018DF" w14:paraId="18AFB43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F2B5EE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SDF</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DE4AC3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Standardowy formularz opisu obszaru Natura 2000 (Standard Data Form) </w:t>
            </w:r>
          </w:p>
        </w:tc>
      </w:tr>
      <w:tr w:rsidR="008018DF" w:rsidRPr="008018DF" w14:paraId="3BF4864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7A0791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252578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Stan ekologiczny </w:t>
            </w:r>
          </w:p>
        </w:tc>
      </w:tr>
      <w:tr w:rsidR="008018DF" w:rsidRPr="008018DF" w14:paraId="14315A7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ED0EA8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SiG</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FC2EE0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Obszary przeznaczone do ochrony siedlisk lub gatunków, o których mowa w przepisach ustawy z dnia 16 kwietnia 2004 r. o ochronie przyrody, dla których utrzymanie lub poprawa stanu wód jest ważnym czynnikiem w ich ochronie </w:t>
            </w:r>
          </w:p>
        </w:tc>
      </w:tr>
      <w:tr w:rsidR="008018DF" w:rsidRPr="008018DF" w14:paraId="780D3F9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468EA6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SiNP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7F5B42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Strategia „Sprawne i Nowoczesne Państwo 2030” </w:t>
            </w:r>
          </w:p>
        </w:tc>
      </w:tr>
      <w:tr w:rsidR="008018DF" w:rsidRPr="008018DF" w14:paraId="49BAFA0C"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F4D74A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SNO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97FDFD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Stan niski ostrzegawczy </w:t>
            </w:r>
          </w:p>
        </w:tc>
      </w:tr>
      <w:tr w:rsidR="008018DF" w:rsidRPr="008018DF" w14:paraId="6AA33B8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517680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SOBWP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DFE2A23"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Sieć obserwacyjno-badawcza wód podziemnych </w:t>
            </w:r>
          </w:p>
        </w:tc>
      </w:tr>
      <w:tr w:rsidR="008018DF" w:rsidRPr="008018DF" w14:paraId="7FBD3C6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32FC0CD"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SON</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A043DA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Społeczna Odpowiedzialność Nauki </w:t>
            </w:r>
          </w:p>
        </w:tc>
      </w:tr>
      <w:tr w:rsidR="008018DF" w:rsidRPr="008018DF" w14:paraId="7794600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9C413DE"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SOO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23ADF4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Specjalny obszar ochrony siedlisk Natura 2000 </w:t>
            </w:r>
          </w:p>
        </w:tc>
      </w:tr>
      <w:tr w:rsidR="008018DF" w:rsidRPr="008018DF" w14:paraId="336EE66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23530C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SOOŚ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D9D37B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Strategiczna ocena oddziaływania na środowisko </w:t>
            </w:r>
          </w:p>
        </w:tc>
      </w:tr>
      <w:tr w:rsidR="008018DF" w:rsidRPr="008018DF" w14:paraId="505F8C3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08AF55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SP 2030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DF2A2E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Strategia produktywności 2030 </w:t>
            </w:r>
          </w:p>
        </w:tc>
      </w:tr>
      <w:tr w:rsidR="008018DF" w:rsidRPr="008018DF" w14:paraId="2D0A8DF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C94260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SPA 2020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A84A06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Strategiczny plan adaptacji dla sektorów i obszarów wrażliwych na zmiany klimatu do 2020 r. z perspektywą do 2030 r. </w:t>
            </w:r>
          </w:p>
        </w:tc>
      </w:tr>
      <w:tr w:rsidR="008018DF" w:rsidRPr="008018DF" w14:paraId="03145D4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8F55B4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SRKS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7BB9A1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Strategia Rozwoju Kapitału Społecznego (współdziałanie, kultura, kreatywność) 2030 </w:t>
            </w:r>
          </w:p>
        </w:tc>
      </w:tr>
      <w:tr w:rsidR="008018DF" w:rsidRPr="008018DF" w14:paraId="645ED26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F4A066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SRT 2030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5E3EF4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Strategia Zrównoważonego Rozwoju Transportu do 2030 r. </w:t>
            </w:r>
          </w:p>
        </w:tc>
      </w:tr>
      <w:tr w:rsidR="008018DF" w:rsidRPr="008018DF" w14:paraId="1B42791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4B9A27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SSNMQ</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0997C4E"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Przepływ średni z najniższych miesięcznych w wieloleciu </w:t>
            </w:r>
          </w:p>
        </w:tc>
      </w:tr>
      <w:tr w:rsidR="008018DF" w:rsidRPr="008018DF" w14:paraId="48F3FFF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02CC03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SZCW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FD63D2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Silnie zmieniona część wód </w:t>
            </w:r>
          </w:p>
        </w:tc>
      </w:tr>
      <w:tr w:rsidR="008018DF" w:rsidRPr="008018DF" w14:paraId="005D51F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3B0876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SZRWRiR 2030</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647ED0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Strategia zrównoważonego rozwoju wsi, rolnictwa i rybactwa 2030 </w:t>
            </w:r>
          </w:p>
        </w:tc>
      </w:tr>
      <w:tr w:rsidR="008018DF" w:rsidRPr="008018DF" w14:paraId="47CA165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171DD5C2"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śdw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E9E3E5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Śródlądowa droga wodna </w:t>
            </w:r>
          </w:p>
        </w:tc>
      </w:tr>
      <w:tr w:rsidR="008018DF" w:rsidRPr="008018DF" w14:paraId="3FE5DA46"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EC783A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TWG</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711C60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 xml:space="preserve">Techniczna Grupa Robocza (z ang. </w:t>
            </w:r>
            <w:r w:rsidRPr="008018DF">
              <w:rPr>
                <w:rFonts w:eastAsia="Times New Roman" w:cs="Calibri"/>
                <w:i/>
                <w:iCs/>
                <w:color w:val="000000"/>
                <w:sz w:val="18"/>
                <w:szCs w:val="18"/>
                <w:lang w:eastAsia="pl-PL"/>
              </w:rPr>
              <w:t>Technical Working Group</w:t>
            </w:r>
            <w:r w:rsidRPr="008018DF">
              <w:rPr>
                <w:rFonts w:eastAsia="Times New Roman" w:cs="Calibri"/>
                <w:color w:val="000000"/>
                <w:sz w:val="18"/>
                <w:szCs w:val="18"/>
                <w:lang w:eastAsia="pl-PL"/>
              </w:rPr>
              <w:t>) </w:t>
            </w:r>
          </w:p>
        </w:tc>
      </w:tr>
      <w:tr w:rsidR="008018DF" w:rsidRPr="008018DF" w14:paraId="0F542CC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FF374F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u.i.o.ś.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9DAF0C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3 października 2008 r. o udostępnianiu informacji o środowisku i jego ochronie, udziale społeczeństwa w ochronie środowiska oraz o ocenach oddziaływania na środowisko (Dz.U. z 2008 r. nr 199 poz. 1227 z późn. zm.) </w:t>
            </w:r>
          </w:p>
        </w:tc>
      </w:tr>
      <w:tr w:rsidR="008018DF" w:rsidRPr="008018DF" w14:paraId="0B92327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B45CADF"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u.o.o.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F848FED"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14 grudnia 2012 r. o odpadach (tekst jednolity Dz.U. z 2020 r.  poz. 797 z późn. zm.) </w:t>
            </w:r>
          </w:p>
        </w:tc>
      </w:tr>
      <w:tr w:rsidR="008018DF" w:rsidRPr="008018DF" w14:paraId="16C0CDC4"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2A5ED8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u.o.p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294EFD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16 kwietnia 2004 r. o ochronie przyrody (tekst jednolity Dz.U. z 2020 r.  poz. 55 z późn. zm.) </w:t>
            </w:r>
          </w:p>
        </w:tc>
      </w:tr>
      <w:tr w:rsidR="008018DF" w:rsidRPr="008018DF" w14:paraId="0C036D6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DA2A27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u.p.i.s.</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33F3C9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14 marca 1985 r. o Państwowej Inspekcji Sanitarnej (tekst jednolity Dz.U. z 2021 r. poz. 195) </w:t>
            </w:r>
          </w:p>
        </w:tc>
      </w:tr>
      <w:tr w:rsidR="008018DF" w:rsidRPr="008018DF" w14:paraId="29B72121"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A88E361"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u.p.i.z.p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087EDB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27 marca 2003 r. o planowaniu i zagospodarowaniu przestrzennym (tekst jednolity Dz.U. z 2020 r.  poz. 293 z późn. zm.)  </w:t>
            </w:r>
          </w:p>
        </w:tc>
      </w:tr>
      <w:tr w:rsidR="008018DF" w:rsidRPr="008018DF" w14:paraId="0EAA89C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17EC9E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u.s.g. | Ustawa o samorządzie gminnym</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8137CE1"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8 marca 1990 r. o samorządzie gminnym (tekst jednolity Dz.U. z 2020 r.  poz. 713 z późn. zm.) </w:t>
            </w:r>
          </w:p>
        </w:tc>
      </w:tr>
      <w:tr w:rsidR="008018DF" w:rsidRPr="008018DF" w14:paraId="54E739F6"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F752A94"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u.z.z.w.o.ś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CEF56F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Ustawa z dnia 7 czerwca 2001 r. o zbiorowym zaopatrzeniu w wodę i zbiorowym odprowadzaniu ścieków (tekst jednolity Dz.U. z 2020 r.  poz. 2028)  </w:t>
            </w:r>
          </w:p>
        </w:tc>
      </w:tr>
      <w:tr w:rsidR="008018DF" w:rsidRPr="008018DF" w14:paraId="1B0282E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5A7671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UE</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22B87B8"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Unia Europejska </w:t>
            </w:r>
          </w:p>
        </w:tc>
      </w:tr>
      <w:tr w:rsidR="008018DF" w:rsidRPr="008018DF" w14:paraId="12AE487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A6572D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WFOŚiGW</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0F3C3E0"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Wojewódzki Fundusz Ochrony Środowiska i Gospodarki Wodnej </w:t>
            </w:r>
          </w:p>
        </w:tc>
      </w:tr>
      <w:tr w:rsidR="008018DF" w:rsidRPr="008018DF" w14:paraId="10627F82"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31D9EEB"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WIOŚ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26679FB"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Wojewódzki Inspektorat Ochrony Środowiska </w:t>
            </w:r>
          </w:p>
        </w:tc>
      </w:tr>
      <w:tr w:rsidR="008018DF" w:rsidRPr="008018DF" w14:paraId="36F17C70"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DC2523A"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Wip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12D9572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istotności presji w danej jcwpd </w:t>
            </w:r>
          </w:p>
        </w:tc>
      </w:tr>
      <w:tr w:rsidR="008018DF" w:rsidRPr="008018DF" w14:paraId="25659CFE"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93FA58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Wpd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9BE523C"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prawdopodobieństwa występowania deficytu wody na cele zaopatrzenia ludności w wodę </w:t>
            </w:r>
          </w:p>
        </w:tc>
      </w:tr>
      <w:tr w:rsidR="008018DF" w:rsidRPr="008018DF" w14:paraId="084E4F37"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464483E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WPGO</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D8527A2"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Wojewódzkie plany gospodarki odpadami </w:t>
            </w:r>
          </w:p>
        </w:tc>
      </w:tr>
      <w:tr w:rsidR="008018DF" w:rsidRPr="008018DF" w14:paraId="74BCB796"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3F41B0E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WPR</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562C18B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Wspólna polityka rolna </w:t>
            </w:r>
          </w:p>
        </w:tc>
      </w:tr>
      <w:tr w:rsidR="008018DF" w:rsidRPr="008018DF" w14:paraId="10C2438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6DBDB8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WPRyb</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B824C9F"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Wspólna polityka rybołówstwa </w:t>
            </w:r>
          </w:p>
        </w:tc>
      </w:tr>
      <w:tr w:rsidR="008018DF" w:rsidRPr="008018DF" w14:paraId="4A419B2F"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7A59519"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WskWp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65587A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Wskaźnik zmiany ekosystemu </w:t>
            </w:r>
          </w:p>
        </w:tc>
      </w:tr>
      <w:tr w:rsidR="008018DF" w:rsidRPr="008018DF" w14:paraId="1C50F5AB"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51EB369C"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WTP</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479AE506"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Skłonności do ponoszenia wydatków </w:t>
            </w:r>
          </w:p>
        </w:tc>
      </w:tr>
      <w:tr w:rsidR="008018DF" w:rsidRPr="008018DF" w14:paraId="4FA84545"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68ED5678"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WWA</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741B200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Wielopierścieniowe węglowodory aromatyczne </w:t>
            </w:r>
          </w:p>
        </w:tc>
      </w:tr>
      <w:tr w:rsidR="008018DF" w:rsidRPr="008018DF" w14:paraId="12BAFF18"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5763FD0"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ZD</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247AB694"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Zasoby dyspozycyjne </w:t>
            </w:r>
          </w:p>
        </w:tc>
      </w:tr>
      <w:tr w:rsidR="008018DF" w:rsidRPr="008018DF" w14:paraId="0CBE0769"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2AD8FF75"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ZDG</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61CCE6C5"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Zasoby dostępne do zagospodarowania </w:t>
            </w:r>
          </w:p>
        </w:tc>
      </w:tr>
      <w:tr w:rsidR="008018DF" w:rsidRPr="008018DF" w14:paraId="7C84D4F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712EF393"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ZL</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31434397"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Jednolita część wód przeznaczona do poboru wody na potrzeby zaopatrzenia ludności w wodę przeznaczoną do spożycia przez ludzi </w:t>
            </w:r>
          </w:p>
        </w:tc>
      </w:tr>
      <w:tr w:rsidR="008018DF" w:rsidRPr="008018DF" w14:paraId="4771ECBD" w14:textId="77777777" w:rsidTr="008018DF">
        <w:trPr>
          <w:trHeight w:val="330"/>
        </w:trPr>
        <w:tc>
          <w:tcPr>
            <w:tcW w:w="2205" w:type="dxa"/>
            <w:tcBorders>
              <w:top w:val="nil"/>
              <w:left w:val="single" w:sz="6" w:space="0" w:color="auto"/>
              <w:bottom w:val="single" w:sz="6" w:space="0" w:color="auto"/>
              <w:right w:val="single" w:sz="6" w:space="0" w:color="auto"/>
            </w:tcBorders>
            <w:shd w:val="clear" w:color="auto" w:fill="auto"/>
            <w:vAlign w:val="center"/>
            <w:hideMark/>
          </w:tcPr>
          <w:p w14:paraId="0EEBE5A6" w14:textId="77777777" w:rsidR="008018DF" w:rsidRPr="008018DF" w:rsidRDefault="008018DF" w:rsidP="008018DF">
            <w:pPr>
              <w:spacing w:before="100" w:beforeAutospacing="1" w:after="100" w:afterAutospacing="1"/>
              <w:jc w:val="left"/>
              <w:textAlignment w:val="baseline"/>
              <w:rPr>
                <w:rFonts w:ascii="Times New Roman" w:eastAsia="Times New Roman" w:hAnsi="Times New Roman"/>
                <w:sz w:val="24"/>
                <w:szCs w:val="24"/>
                <w:lang w:eastAsia="pl-PL"/>
              </w:rPr>
            </w:pPr>
            <w:r w:rsidRPr="008018DF">
              <w:rPr>
                <w:rFonts w:eastAsia="Times New Roman" w:cs="Calibri"/>
                <w:b/>
                <w:bCs/>
                <w:color w:val="000000"/>
                <w:sz w:val="18"/>
                <w:szCs w:val="18"/>
                <w:lang w:eastAsia="pl-PL"/>
              </w:rPr>
              <w:t>ZPPŚ</w:t>
            </w:r>
            <w:r w:rsidRPr="008018DF">
              <w:rPr>
                <w:rFonts w:eastAsia="Times New Roman" w:cs="Calibri"/>
                <w:color w:val="000000"/>
                <w:sz w:val="18"/>
                <w:szCs w:val="18"/>
                <w:lang w:eastAsia="pl-PL"/>
              </w:rPr>
              <w:t> </w:t>
            </w:r>
          </w:p>
        </w:tc>
        <w:tc>
          <w:tcPr>
            <w:tcW w:w="6840" w:type="dxa"/>
            <w:tcBorders>
              <w:top w:val="nil"/>
              <w:left w:val="nil"/>
              <w:bottom w:val="single" w:sz="6" w:space="0" w:color="auto"/>
              <w:right w:val="single" w:sz="6" w:space="0" w:color="auto"/>
            </w:tcBorders>
            <w:shd w:val="clear" w:color="auto" w:fill="auto"/>
            <w:vAlign w:val="center"/>
            <w:hideMark/>
          </w:tcPr>
          <w:p w14:paraId="0AD5CEF9" w14:textId="77777777" w:rsidR="008018DF" w:rsidRPr="008018DF" w:rsidRDefault="008018DF" w:rsidP="008018DF">
            <w:pPr>
              <w:spacing w:before="100" w:beforeAutospacing="1" w:after="100" w:afterAutospacing="1"/>
              <w:textAlignment w:val="baseline"/>
              <w:rPr>
                <w:rFonts w:ascii="Times New Roman" w:eastAsia="Times New Roman" w:hAnsi="Times New Roman"/>
                <w:sz w:val="24"/>
                <w:szCs w:val="24"/>
                <w:lang w:eastAsia="pl-PL"/>
              </w:rPr>
            </w:pPr>
            <w:r w:rsidRPr="008018DF">
              <w:rPr>
                <w:rFonts w:eastAsia="Times New Roman" w:cs="Calibri"/>
                <w:color w:val="000000"/>
                <w:sz w:val="18"/>
                <w:szCs w:val="18"/>
                <w:lang w:eastAsia="pl-PL"/>
              </w:rPr>
              <w:t>Zespół Poboru Próbek Środowiskowych PIG-PIB </w:t>
            </w:r>
          </w:p>
        </w:tc>
      </w:tr>
      <w:bookmarkEnd w:id="5"/>
    </w:tbl>
    <w:p w14:paraId="02175A00" w14:textId="3043EA14" w:rsidR="6AD7A4C5" w:rsidRDefault="6AD7A4C5"/>
    <w:p w14:paraId="3D356E54" w14:textId="7AD47C11" w:rsidR="00102BB0" w:rsidRPr="00AA0CAB" w:rsidRDefault="00102BB0" w:rsidP="00F713C1">
      <w:pPr>
        <w:pStyle w:val="Tytuspisu"/>
        <w:rPr>
          <w:lang w:val="pl-PL"/>
        </w:rPr>
      </w:pPr>
      <w:r w:rsidRPr="00AA0CAB">
        <w:rPr>
          <w:lang w:val="pl-PL"/>
        </w:rPr>
        <w:br w:type="column"/>
        <w:t>Wykaz kluczowych pojęć (terminologia) stosowanych w planie gospodarowania wodami</w:t>
      </w:r>
      <w:r w:rsidR="00847E7B" w:rsidRPr="00AA0CAB">
        <w:rPr>
          <w:lang w:val="pl-PL"/>
        </w:rPr>
        <w:t xml:space="preserve"> na obszarze dorzecza Pregoły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9"/>
        <w:gridCol w:w="6023"/>
      </w:tblGrid>
      <w:tr w:rsidR="00102BB0" w:rsidRPr="00102BB0" w14:paraId="1C0471D1" w14:textId="77777777" w:rsidTr="00661A84">
        <w:trPr>
          <w:cantSplit/>
          <w:trHeight w:val="340"/>
          <w:tblHeader/>
        </w:trPr>
        <w:tc>
          <w:tcPr>
            <w:tcW w:w="1677" w:type="pct"/>
            <w:shd w:val="clear" w:color="auto" w:fill="BFBFBF" w:themeFill="background1" w:themeFillShade="BF"/>
            <w:vAlign w:val="center"/>
          </w:tcPr>
          <w:p w14:paraId="45D65592" w14:textId="77777777" w:rsidR="00102BB0" w:rsidRPr="00661A84" w:rsidRDefault="00102BB0" w:rsidP="00A42AB2">
            <w:pPr>
              <w:spacing w:before="40" w:after="40"/>
              <w:jc w:val="left"/>
              <w:rPr>
                <w:rFonts w:asciiTheme="minorHAnsi" w:hAnsiTheme="minorHAnsi" w:cstheme="minorHAnsi"/>
                <w:b/>
                <w:bCs/>
                <w:sz w:val="18"/>
                <w:szCs w:val="18"/>
              </w:rPr>
            </w:pPr>
            <w:r w:rsidRPr="00661A84">
              <w:rPr>
                <w:rFonts w:asciiTheme="minorHAnsi" w:hAnsiTheme="minorHAnsi" w:cstheme="minorHAnsi"/>
                <w:b/>
                <w:bCs/>
                <w:sz w:val="18"/>
                <w:szCs w:val="18"/>
              </w:rPr>
              <w:t>Stosowane pojęcie - terminologia</w:t>
            </w:r>
          </w:p>
        </w:tc>
        <w:tc>
          <w:tcPr>
            <w:tcW w:w="3323" w:type="pct"/>
            <w:shd w:val="clear" w:color="auto" w:fill="BFBFBF" w:themeFill="background1" w:themeFillShade="BF"/>
            <w:vAlign w:val="center"/>
          </w:tcPr>
          <w:p w14:paraId="4A9D9FB3" w14:textId="77777777" w:rsidR="00102BB0" w:rsidRPr="00661A84" w:rsidRDefault="00102BB0" w:rsidP="004D25A2">
            <w:pPr>
              <w:spacing w:before="40" w:after="40"/>
              <w:jc w:val="center"/>
              <w:rPr>
                <w:rFonts w:asciiTheme="minorHAnsi" w:hAnsiTheme="minorHAnsi" w:cstheme="minorHAnsi"/>
                <w:b/>
                <w:bCs/>
                <w:sz w:val="18"/>
                <w:szCs w:val="18"/>
              </w:rPr>
            </w:pPr>
            <w:r w:rsidRPr="00661A84">
              <w:rPr>
                <w:rFonts w:asciiTheme="minorHAnsi" w:hAnsiTheme="minorHAnsi" w:cstheme="minorHAnsi"/>
                <w:b/>
                <w:bCs/>
                <w:sz w:val="18"/>
                <w:szCs w:val="18"/>
              </w:rPr>
              <w:t>Rozwinięcie</w:t>
            </w:r>
          </w:p>
        </w:tc>
      </w:tr>
      <w:tr w:rsidR="00102BB0" w:rsidRPr="00102BB0" w14:paraId="3DBEA598" w14:textId="77777777" w:rsidTr="00661A84">
        <w:trPr>
          <w:cantSplit/>
          <w:trHeight w:val="340"/>
        </w:trPr>
        <w:tc>
          <w:tcPr>
            <w:tcW w:w="1677" w:type="pct"/>
            <w:shd w:val="clear" w:color="auto" w:fill="auto"/>
            <w:vAlign w:val="center"/>
          </w:tcPr>
          <w:p w14:paraId="74BB9DF9"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Opracowanie i przyjęcie PGW</w:t>
            </w:r>
          </w:p>
        </w:tc>
        <w:tc>
          <w:tcPr>
            <w:tcW w:w="3323" w:type="pct"/>
            <w:vAlign w:val="center"/>
          </w:tcPr>
          <w:p w14:paraId="5CA8407B"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2011</w:t>
            </w:r>
          </w:p>
        </w:tc>
      </w:tr>
      <w:tr w:rsidR="00102BB0" w:rsidRPr="00102BB0" w14:paraId="33AA24E4" w14:textId="77777777" w:rsidTr="00661A84">
        <w:trPr>
          <w:cantSplit/>
          <w:trHeight w:val="340"/>
        </w:trPr>
        <w:tc>
          <w:tcPr>
            <w:tcW w:w="1677" w:type="pct"/>
            <w:shd w:val="clear" w:color="auto" w:fill="auto"/>
            <w:vAlign w:val="center"/>
          </w:tcPr>
          <w:p w14:paraId="55E39C2C"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II cykl planistyczny</w:t>
            </w:r>
          </w:p>
        </w:tc>
        <w:tc>
          <w:tcPr>
            <w:tcW w:w="3323" w:type="pct"/>
            <w:vAlign w:val="center"/>
          </w:tcPr>
          <w:p w14:paraId="17EB29AA"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2010-2015 (PGW)</w:t>
            </w:r>
          </w:p>
        </w:tc>
      </w:tr>
      <w:tr w:rsidR="00102BB0" w:rsidRPr="00102BB0" w14:paraId="436C7943" w14:textId="77777777" w:rsidTr="00661A84">
        <w:trPr>
          <w:cantSplit/>
          <w:trHeight w:val="340"/>
        </w:trPr>
        <w:tc>
          <w:tcPr>
            <w:tcW w:w="1677" w:type="pct"/>
            <w:shd w:val="clear" w:color="auto" w:fill="auto"/>
            <w:vAlign w:val="center"/>
          </w:tcPr>
          <w:p w14:paraId="21561945"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Opracowanie i przyjęcie aPGW</w:t>
            </w:r>
          </w:p>
        </w:tc>
        <w:tc>
          <w:tcPr>
            <w:tcW w:w="3323" w:type="pct"/>
            <w:vAlign w:val="center"/>
          </w:tcPr>
          <w:p w14:paraId="7F1428C1"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2016</w:t>
            </w:r>
          </w:p>
        </w:tc>
      </w:tr>
      <w:tr w:rsidR="00102BB0" w:rsidRPr="00102BB0" w14:paraId="54E0E074" w14:textId="77777777" w:rsidTr="00661A84">
        <w:trPr>
          <w:cantSplit/>
          <w:trHeight w:val="340"/>
        </w:trPr>
        <w:tc>
          <w:tcPr>
            <w:tcW w:w="1677" w:type="pct"/>
            <w:shd w:val="clear" w:color="auto" w:fill="auto"/>
            <w:vAlign w:val="center"/>
          </w:tcPr>
          <w:p w14:paraId="3374D0A3"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III cykl planistyczny</w:t>
            </w:r>
          </w:p>
        </w:tc>
        <w:tc>
          <w:tcPr>
            <w:tcW w:w="3323" w:type="pct"/>
            <w:vAlign w:val="center"/>
          </w:tcPr>
          <w:p w14:paraId="2374DA21"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2016-2021 (aPGW)</w:t>
            </w:r>
          </w:p>
        </w:tc>
      </w:tr>
      <w:tr w:rsidR="00102BB0" w:rsidRPr="00102BB0" w14:paraId="5DC10141" w14:textId="77777777" w:rsidTr="00661A84">
        <w:trPr>
          <w:cantSplit/>
          <w:trHeight w:val="340"/>
        </w:trPr>
        <w:tc>
          <w:tcPr>
            <w:tcW w:w="1677" w:type="pct"/>
            <w:shd w:val="clear" w:color="auto" w:fill="auto"/>
            <w:vAlign w:val="center"/>
          </w:tcPr>
          <w:p w14:paraId="520FB262"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Opracowanie i przyjęcie IIaPGW</w:t>
            </w:r>
          </w:p>
        </w:tc>
        <w:tc>
          <w:tcPr>
            <w:tcW w:w="3323" w:type="pct"/>
            <w:vAlign w:val="center"/>
          </w:tcPr>
          <w:p w14:paraId="3F3B3730"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2021</w:t>
            </w:r>
          </w:p>
        </w:tc>
      </w:tr>
      <w:tr w:rsidR="00102BB0" w:rsidRPr="00102BB0" w14:paraId="1B65D567" w14:textId="77777777" w:rsidTr="00661A84">
        <w:trPr>
          <w:cantSplit/>
          <w:trHeight w:val="340"/>
        </w:trPr>
        <w:tc>
          <w:tcPr>
            <w:tcW w:w="1677" w:type="pct"/>
            <w:shd w:val="clear" w:color="auto" w:fill="auto"/>
            <w:vAlign w:val="center"/>
          </w:tcPr>
          <w:p w14:paraId="505A0C21"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IV cykl planistyczny</w:t>
            </w:r>
          </w:p>
        </w:tc>
        <w:tc>
          <w:tcPr>
            <w:tcW w:w="3323" w:type="pct"/>
            <w:vAlign w:val="center"/>
          </w:tcPr>
          <w:p w14:paraId="29902EF2"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2022-2027 (IIaPGW)</w:t>
            </w:r>
          </w:p>
        </w:tc>
      </w:tr>
      <w:tr w:rsidR="00102BB0" w:rsidRPr="00102BB0" w14:paraId="493B0AD5" w14:textId="77777777" w:rsidTr="00661A84">
        <w:trPr>
          <w:cantSplit/>
          <w:trHeight w:val="340"/>
        </w:trPr>
        <w:tc>
          <w:tcPr>
            <w:tcW w:w="1677" w:type="pct"/>
            <w:shd w:val="clear" w:color="auto" w:fill="auto"/>
            <w:vAlign w:val="center"/>
          </w:tcPr>
          <w:p w14:paraId="2CB8A1F1"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jcwp w starym układzie planistycznym / jcwp (aPGW)</w:t>
            </w:r>
          </w:p>
        </w:tc>
        <w:tc>
          <w:tcPr>
            <w:tcW w:w="3323" w:type="pct"/>
            <w:shd w:val="clear" w:color="auto" w:fill="FFFFFF" w:themeFill="background1"/>
            <w:vAlign w:val="center"/>
          </w:tcPr>
          <w:p w14:paraId="42296601"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podział na jednolite części wód powierzchniowych funkcjonujący w układzie planistycznym obowiązującym w III cyklu planistycznym 2016-2021, zgodnie z aPGW 2016</w:t>
            </w:r>
          </w:p>
        </w:tc>
      </w:tr>
      <w:tr w:rsidR="00102BB0" w:rsidRPr="00102BB0" w14:paraId="77DF097D" w14:textId="77777777" w:rsidTr="00661A84">
        <w:trPr>
          <w:cantSplit/>
          <w:trHeight w:val="340"/>
        </w:trPr>
        <w:tc>
          <w:tcPr>
            <w:tcW w:w="1677" w:type="pct"/>
            <w:shd w:val="clear" w:color="auto" w:fill="auto"/>
            <w:vAlign w:val="center"/>
          </w:tcPr>
          <w:p w14:paraId="791B5861"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jcwp w nowym układzie planistycznym / jcwp (IIaPGW)</w:t>
            </w:r>
          </w:p>
        </w:tc>
        <w:tc>
          <w:tcPr>
            <w:tcW w:w="3323" w:type="pct"/>
            <w:shd w:val="clear" w:color="auto" w:fill="FFFFFF" w:themeFill="background1"/>
            <w:vAlign w:val="center"/>
          </w:tcPr>
          <w:p w14:paraId="291A7AA0"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podział na jednolite części wód powierzchniowych funkcjonujący w układzie planistycznym obowiązującym w IV cyklu planistycznym 2022-2027, zgodnie z IIaPGW 2022</w:t>
            </w:r>
          </w:p>
        </w:tc>
      </w:tr>
      <w:tr w:rsidR="00102BB0" w:rsidRPr="00102BB0" w14:paraId="7C85A41C" w14:textId="77777777" w:rsidTr="00661A84">
        <w:trPr>
          <w:cantSplit/>
          <w:trHeight w:val="340"/>
        </w:trPr>
        <w:tc>
          <w:tcPr>
            <w:tcW w:w="1677" w:type="pct"/>
            <w:shd w:val="clear" w:color="auto" w:fill="auto"/>
            <w:vAlign w:val="center"/>
          </w:tcPr>
          <w:p w14:paraId="427BF78C"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ppk 2016-2021</w:t>
            </w:r>
          </w:p>
        </w:tc>
        <w:tc>
          <w:tcPr>
            <w:tcW w:w="3323" w:type="pct"/>
            <w:shd w:val="clear" w:color="auto" w:fill="FFFFFF" w:themeFill="background1"/>
            <w:vAlign w:val="center"/>
          </w:tcPr>
          <w:p w14:paraId="28D48882"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reprezentatywne punkty pomiarowo-kontrolne jcwp dla III cyklu planistycznego 2016-2021</w:t>
            </w:r>
          </w:p>
        </w:tc>
      </w:tr>
      <w:tr w:rsidR="00102BB0" w:rsidRPr="00102BB0" w14:paraId="1740C149" w14:textId="77777777" w:rsidTr="00661A84">
        <w:trPr>
          <w:cantSplit/>
          <w:trHeight w:val="340"/>
        </w:trPr>
        <w:tc>
          <w:tcPr>
            <w:tcW w:w="1677" w:type="pct"/>
            <w:shd w:val="clear" w:color="auto" w:fill="auto"/>
            <w:vAlign w:val="center"/>
          </w:tcPr>
          <w:p w14:paraId="2DF5D1EA"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ppk w nowym układzie planistycznym</w:t>
            </w:r>
          </w:p>
        </w:tc>
        <w:tc>
          <w:tcPr>
            <w:tcW w:w="3323" w:type="pct"/>
            <w:shd w:val="clear" w:color="auto" w:fill="FFFFFF" w:themeFill="background1"/>
            <w:vAlign w:val="center"/>
          </w:tcPr>
          <w:p w14:paraId="4A82CEB5"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punkty pomiarowo-kontrolne jcwp wskazane przez GIOŚ na etapie przygotowywania do opracowania IIaPGW, jako odpowiednie dla prowadzenia analiz w nowym układzie planistycznym - niereprezentatywne</w:t>
            </w:r>
          </w:p>
        </w:tc>
      </w:tr>
      <w:tr w:rsidR="00102BB0" w:rsidRPr="00102BB0" w14:paraId="30F832D7" w14:textId="77777777" w:rsidTr="00661A84">
        <w:trPr>
          <w:cantSplit/>
          <w:trHeight w:val="340"/>
        </w:trPr>
        <w:tc>
          <w:tcPr>
            <w:tcW w:w="1677" w:type="pct"/>
            <w:shd w:val="clear" w:color="auto" w:fill="auto"/>
            <w:vAlign w:val="center"/>
          </w:tcPr>
          <w:p w14:paraId="2A43C498"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ppk reprezentatywne 2022-2027</w:t>
            </w:r>
          </w:p>
        </w:tc>
        <w:tc>
          <w:tcPr>
            <w:tcW w:w="3323" w:type="pct"/>
            <w:shd w:val="clear" w:color="auto" w:fill="FFFFFF" w:themeFill="background1"/>
            <w:vAlign w:val="center"/>
          </w:tcPr>
          <w:p w14:paraId="04D9C21B"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reprezentatywne punkty pomiarowo-kontrolne jcwp dla IV cyklu planistycznego 2022-2027</w:t>
            </w:r>
          </w:p>
        </w:tc>
      </w:tr>
      <w:tr w:rsidR="00102BB0" w:rsidRPr="00102BB0" w14:paraId="3F4F7097" w14:textId="77777777" w:rsidTr="00661A84">
        <w:trPr>
          <w:cantSplit/>
          <w:trHeight w:val="340"/>
        </w:trPr>
        <w:tc>
          <w:tcPr>
            <w:tcW w:w="1677" w:type="pct"/>
            <w:shd w:val="clear" w:color="auto" w:fill="auto"/>
            <w:vAlign w:val="center"/>
          </w:tcPr>
          <w:p w14:paraId="3CC34250"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Cele środowiskowe</w:t>
            </w:r>
          </w:p>
        </w:tc>
        <w:tc>
          <w:tcPr>
            <w:tcW w:w="3323" w:type="pct"/>
            <w:vAlign w:val="center"/>
          </w:tcPr>
          <w:p w14:paraId="29D3D998"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art. 56, 57, 59, 61 ustawy pr.w.</w:t>
            </w:r>
          </w:p>
        </w:tc>
      </w:tr>
      <w:tr w:rsidR="00102BB0" w:rsidRPr="00102BB0" w14:paraId="38906318" w14:textId="77777777" w:rsidTr="00661A84">
        <w:trPr>
          <w:cantSplit/>
          <w:trHeight w:val="340"/>
        </w:trPr>
        <w:tc>
          <w:tcPr>
            <w:tcW w:w="1677" w:type="pct"/>
            <w:shd w:val="clear" w:color="auto" w:fill="auto"/>
            <w:vAlign w:val="center"/>
          </w:tcPr>
          <w:p w14:paraId="659F188F"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Działania podstawowe</w:t>
            </w:r>
          </w:p>
        </w:tc>
        <w:tc>
          <w:tcPr>
            <w:tcW w:w="3323" w:type="pct"/>
            <w:vAlign w:val="center"/>
          </w:tcPr>
          <w:p w14:paraId="237E1FA3"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zgodnie z definicją zawartą w art. 324 ust. 2 ustawy pr.w.</w:t>
            </w:r>
          </w:p>
        </w:tc>
      </w:tr>
      <w:tr w:rsidR="00102BB0" w:rsidRPr="00102BB0" w14:paraId="1B61F470" w14:textId="77777777" w:rsidTr="00661A84">
        <w:trPr>
          <w:cantSplit/>
          <w:trHeight w:val="340"/>
        </w:trPr>
        <w:tc>
          <w:tcPr>
            <w:tcW w:w="1677" w:type="pct"/>
            <w:shd w:val="clear" w:color="auto" w:fill="auto"/>
            <w:vAlign w:val="center"/>
          </w:tcPr>
          <w:p w14:paraId="16365003"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Działania uzupełniające</w:t>
            </w:r>
          </w:p>
        </w:tc>
        <w:tc>
          <w:tcPr>
            <w:tcW w:w="3323" w:type="pct"/>
            <w:vAlign w:val="center"/>
          </w:tcPr>
          <w:p w14:paraId="3CA830B9"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zgodnie z definicją zawartą w art. 324 ust. 4 ustawy pr.w.</w:t>
            </w:r>
          </w:p>
        </w:tc>
      </w:tr>
      <w:tr w:rsidR="00102BB0" w:rsidRPr="00102BB0" w14:paraId="013B934D" w14:textId="77777777" w:rsidTr="00661A84">
        <w:trPr>
          <w:cantSplit/>
          <w:trHeight w:val="340"/>
        </w:trPr>
        <w:tc>
          <w:tcPr>
            <w:tcW w:w="1677" w:type="pct"/>
            <w:shd w:val="clear" w:color="auto" w:fill="auto"/>
            <w:vAlign w:val="center"/>
          </w:tcPr>
          <w:p w14:paraId="17EB2E41"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Koszty środowiskowe</w:t>
            </w:r>
          </w:p>
        </w:tc>
        <w:tc>
          <w:tcPr>
            <w:tcW w:w="3323" w:type="pct"/>
            <w:vAlign w:val="center"/>
          </w:tcPr>
          <w:p w14:paraId="345A249E"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rozumie się przez to wartość materialną strat w środowisku powodowanych przez korzystanie z wód (art. 16 pkt 24 ustawy pr.w.)</w:t>
            </w:r>
          </w:p>
        </w:tc>
      </w:tr>
      <w:tr w:rsidR="00102BB0" w:rsidRPr="00102BB0" w14:paraId="5F4CC1C3" w14:textId="77777777" w:rsidTr="00661A84">
        <w:trPr>
          <w:cantSplit/>
          <w:trHeight w:val="340"/>
        </w:trPr>
        <w:tc>
          <w:tcPr>
            <w:tcW w:w="1677" w:type="pct"/>
            <w:shd w:val="clear" w:color="auto" w:fill="auto"/>
            <w:vAlign w:val="center"/>
          </w:tcPr>
          <w:p w14:paraId="658E928A"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Koszty zasobowe</w:t>
            </w:r>
          </w:p>
        </w:tc>
        <w:tc>
          <w:tcPr>
            <w:tcW w:w="3323" w:type="pct"/>
            <w:vAlign w:val="center"/>
          </w:tcPr>
          <w:p w14:paraId="2998A05C"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rozumie się przez to wartość utraconych korzyści, które mogłyby być osiągnięte, gdyby zasoby wodne i ich zdolność do samoodtwarzania nie były zmniejszane przez podmioty aktualnie je użytkujące (art. 16 pkt 25 ustawy pr.w.)</w:t>
            </w:r>
          </w:p>
        </w:tc>
      </w:tr>
      <w:tr w:rsidR="00102BB0" w:rsidRPr="00102BB0" w14:paraId="7D7C1FDA" w14:textId="77777777" w:rsidTr="00661A84">
        <w:trPr>
          <w:cantSplit/>
          <w:trHeight w:val="340"/>
        </w:trPr>
        <w:tc>
          <w:tcPr>
            <w:tcW w:w="1677" w:type="pct"/>
            <w:shd w:val="clear" w:color="auto" w:fill="auto"/>
            <w:vAlign w:val="center"/>
          </w:tcPr>
          <w:p w14:paraId="1EB2359A"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Metodyka referencyjna</w:t>
            </w:r>
          </w:p>
        </w:tc>
        <w:tc>
          <w:tcPr>
            <w:tcW w:w="3323" w:type="pct"/>
            <w:vAlign w:val="center"/>
          </w:tcPr>
          <w:p w14:paraId="35BF0DAB"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metoda pomiarów lub badań, która może obejmować w szczególności sposób poboru próbek, sposób interpretacji uzyskanych danych, a także metodyki modelowania rozprzestrzeniania substancji oraz energii w środowisku (wg Prawa ochrony środowiska)</w:t>
            </w:r>
          </w:p>
        </w:tc>
      </w:tr>
      <w:tr w:rsidR="00102BB0" w:rsidRPr="00102BB0" w14:paraId="112B6693" w14:textId="77777777" w:rsidTr="00661A84">
        <w:trPr>
          <w:cantSplit/>
          <w:trHeight w:val="340"/>
        </w:trPr>
        <w:tc>
          <w:tcPr>
            <w:tcW w:w="1677" w:type="pct"/>
            <w:shd w:val="clear" w:color="auto" w:fill="auto"/>
            <w:vAlign w:val="center"/>
          </w:tcPr>
          <w:p w14:paraId="1DDEDA05"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Najefektywniejsza ekonomicznie kombinacja działań</w:t>
            </w:r>
          </w:p>
        </w:tc>
        <w:tc>
          <w:tcPr>
            <w:tcW w:w="3323" w:type="pct"/>
            <w:vAlign w:val="center"/>
          </w:tcPr>
          <w:p w14:paraId="095EB3FB" w14:textId="027C56B2"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określonym przez §5 ust. 1 pkt 2 r.p.g.w.</w:t>
            </w:r>
          </w:p>
        </w:tc>
      </w:tr>
      <w:tr w:rsidR="00102BB0" w:rsidRPr="00102BB0" w14:paraId="2D3B1F8E" w14:textId="77777777" w:rsidTr="00661A84">
        <w:trPr>
          <w:cantSplit/>
          <w:trHeight w:val="340"/>
        </w:trPr>
        <w:tc>
          <w:tcPr>
            <w:tcW w:w="1677" w:type="pct"/>
            <w:shd w:val="clear" w:color="auto" w:fill="auto"/>
            <w:vAlign w:val="center"/>
          </w:tcPr>
          <w:p w14:paraId="490AC655"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Obszary chronione</w:t>
            </w:r>
          </w:p>
        </w:tc>
        <w:tc>
          <w:tcPr>
            <w:tcW w:w="3323" w:type="pct"/>
            <w:vAlign w:val="center"/>
          </w:tcPr>
          <w:p w14:paraId="3D6775CF"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określonym przez art. 16 pkt 32 ustawy pr.w.:</w:t>
            </w:r>
          </w:p>
          <w:p w14:paraId="451F5240"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a) jcw przeznaczone do poboru wody na potrzeby zaopatrzenia ludności w wodę przeznaczoną do spożycia przez ludzi,</w:t>
            </w:r>
          </w:p>
          <w:p w14:paraId="5DA34919"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b) jcw przeznaczone do celów rekreacyjnych, w tym kąpieliskowych,</w:t>
            </w:r>
          </w:p>
          <w:p w14:paraId="5C383AD8"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c) 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p w14:paraId="7436467C"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d) obszary przeznaczone do ochrony siedlisk lub gatunków, o których mowa w przepisach </w:t>
            </w:r>
            <w:hyperlink r:id="rId19" w:history="1">
              <w:r w:rsidRPr="003F4A95">
                <w:rPr>
                  <w:sz w:val="18"/>
                  <w:szCs w:val="18"/>
                </w:rPr>
                <w:t>ustawy</w:t>
              </w:r>
            </w:hyperlink>
            <w:r w:rsidRPr="00661A84">
              <w:rPr>
                <w:rFonts w:asciiTheme="minorHAnsi" w:hAnsiTheme="minorHAnsi" w:cstheme="minorHAnsi"/>
                <w:sz w:val="18"/>
                <w:szCs w:val="18"/>
              </w:rPr>
              <w:t> z dnia 16 kwietnia 2004 r. o ochronie przyrody, dla których utrzymanie lub poprawa stanu wód jest ważnym czynnikiem w ich ochronie,</w:t>
            </w:r>
          </w:p>
          <w:p w14:paraId="613AF0F7"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e) obszary przeznaczone do ochrony gatunków zwierząt wodnych o znaczeniu gospodarczym.</w:t>
            </w:r>
          </w:p>
        </w:tc>
      </w:tr>
      <w:tr w:rsidR="00102BB0" w:rsidRPr="00102BB0" w14:paraId="79CFC01D" w14:textId="77777777" w:rsidTr="00661A84">
        <w:trPr>
          <w:cantSplit/>
          <w:trHeight w:val="340"/>
        </w:trPr>
        <w:tc>
          <w:tcPr>
            <w:tcW w:w="1677" w:type="pct"/>
            <w:shd w:val="clear" w:color="auto" w:fill="auto"/>
            <w:vAlign w:val="center"/>
          </w:tcPr>
          <w:p w14:paraId="50364CAC" w14:textId="77777777" w:rsidR="00102BB0" w:rsidRPr="00A42AB2" w:rsidRDefault="00102BB0" w:rsidP="004F0693">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potencjał ekologiczny</w:t>
            </w:r>
          </w:p>
        </w:tc>
        <w:tc>
          <w:tcPr>
            <w:tcW w:w="3323" w:type="pct"/>
            <w:vAlign w:val="center"/>
          </w:tcPr>
          <w:p w14:paraId="4E284444"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 xml:space="preserve">potencjał silnie zmienionych jednolitych części wód powierzchniowych lub sztucznych jednolitych części wód powierzchniowych, który na podstawie klasyfikacji potencjału ekologicznego tych wód, dokonanej z uwzględnieniem definicji klasyfikacji tego potencjału określonej w przepisach wydanych na podstawie art. 53 ust. 4 ustawy pr.w. jest określony jako dobry (art. 16 pkt 6 ustawy pr.w.) </w:t>
            </w:r>
          </w:p>
        </w:tc>
      </w:tr>
      <w:tr w:rsidR="00102BB0" w:rsidRPr="00102BB0" w14:paraId="59EF0071" w14:textId="77777777" w:rsidTr="00661A84">
        <w:trPr>
          <w:cantSplit/>
          <w:trHeight w:val="340"/>
        </w:trPr>
        <w:tc>
          <w:tcPr>
            <w:tcW w:w="1677" w:type="pct"/>
            <w:shd w:val="clear" w:color="auto" w:fill="auto"/>
            <w:vAlign w:val="center"/>
          </w:tcPr>
          <w:p w14:paraId="320A0974" w14:textId="77777777" w:rsidR="00102BB0" w:rsidRPr="00A42AB2" w:rsidRDefault="00102BB0" w:rsidP="004F0693">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Rejestr wykazów obszarów chronionych</w:t>
            </w:r>
          </w:p>
        </w:tc>
        <w:tc>
          <w:tcPr>
            <w:tcW w:w="3323" w:type="pct"/>
            <w:shd w:val="clear" w:color="auto" w:fill="FFFFFF" w:themeFill="background1"/>
            <w:vAlign w:val="center"/>
          </w:tcPr>
          <w:p w14:paraId="461976CA"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określonym przez art. 317 ust. 1 pkt 5 i art. 317 ust. 4 ustawy pr.w.</w:t>
            </w:r>
          </w:p>
        </w:tc>
      </w:tr>
      <w:tr w:rsidR="00102BB0" w:rsidRPr="00102BB0" w14:paraId="3D792E6F" w14:textId="77777777" w:rsidTr="00661A84">
        <w:trPr>
          <w:cantSplit/>
          <w:trHeight w:val="340"/>
        </w:trPr>
        <w:tc>
          <w:tcPr>
            <w:tcW w:w="1677" w:type="pct"/>
            <w:shd w:val="clear" w:color="auto" w:fill="auto"/>
            <w:vAlign w:val="center"/>
          </w:tcPr>
          <w:p w14:paraId="40F0DFD1" w14:textId="77777777" w:rsidR="00102BB0" w:rsidRPr="00A42AB2" w:rsidRDefault="00102BB0" w:rsidP="004F0693">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ilościowy wód podziemnych</w:t>
            </w:r>
          </w:p>
        </w:tc>
        <w:tc>
          <w:tcPr>
            <w:tcW w:w="3323" w:type="pct"/>
            <w:shd w:val="clear" w:color="auto" w:fill="FFFFFF" w:themeFill="background1"/>
            <w:vAlign w:val="center"/>
          </w:tcPr>
          <w:p w14:paraId="73C73CEC"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stan jednolitych części wód podziemnych, który na podstawie oceny stanu ilościowego tych wód, dokonanej z uwzględnieniem definicji klasyfikacji tego stanu, jest określony jako dobry (art. 16 pkt 10 ustawy pr.w.);</w:t>
            </w:r>
          </w:p>
        </w:tc>
      </w:tr>
      <w:tr w:rsidR="00102BB0" w:rsidRPr="00102BB0" w14:paraId="3747C37F" w14:textId="77777777" w:rsidTr="00661A84">
        <w:trPr>
          <w:cantSplit/>
          <w:trHeight w:val="340"/>
        </w:trPr>
        <w:tc>
          <w:tcPr>
            <w:tcW w:w="1677" w:type="pct"/>
            <w:shd w:val="clear" w:color="auto" w:fill="auto"/>
            <w:vAlign w:val="center"/>
          </w:tcPr>
          <w:p w14:paraId="6CF7262C" w14:textId="77777777" w:rsidR="00102BB0" w:rsidRPr="00A42AB2" w:rsidRDefault="00102BB0" w:rsidP="004F0693">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chemiczny wód podziemnych</w:t>
            </w:r>
          </w:p>
        </w:tc>
        <w:tc>
          <w:tcPr>
            <w:tcW w:w="3323" w:type="pct"/>
            <w:shd w:val="clear" w:color="auto" w:fill="FFFFFF" w:themeFill="background1"/>
            <w:vAlign w:val="center"/>
          </w:tcPr>
          <w:p w14:paraId="60805B9F"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stan chemiczny jcwpd, który na podstawie oceny stanu chemicznego tych wód, dokonanej z uwzględnieniem definicji klasyfikacji tego stanu, jest określony jako dobry (art. 16 pkt 7 ustawy pr.w.);</w:t>
            </w:r>
          </w:p>
        </w:tc>
      </w:tr>
      <w:tr w:rsidR="00102BB0" w:rsidRPr="00102BB0" w14:paraId="50470D43" w14:textId="77777777" w:rsidTr="00661A84">
        <w:trPr>
          <w:cantSplit/>
          <w:trHeight w:val="340"/>
        </w:trPr>
        <w:tc>
          <w:tcPr>
            <w:tcW w:w="1677" w:type="pct"/>
            <w:shd w:val="clear" w:color="auto" w:fill="auto"/>
            <w:vAlign w:val="center"/>
          </w:tcPr>
          <w:p w14:paraId="5723A5B8"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ekologiczny</w:t>
            </w:r>
          </w:p>
        </w:tc>
        <w:tc>
          <w:tcPr>
            <w:tcW w:w="3323" w:type="pct"/>
            <w:shd w:val="clear" w:color="auto" w:fill="FFFFFF" w:themeFill="background1"/>
            <w:vAlign w:val="center"/>
          </w:tcPr>
          <w:p w14:paraId="0D9961BB"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 xml:space="preserve">stan jcw innych niż silnie zmienione jednolite części wód powierzchniowych lub sztuczne jednolite części wód powierzchniowych, który na podstawie klasyfikacji stanu ekologicznego tych wód, dokonanej z uwzględnieniem definicji klasyfikacji tego stanu określonej w przepisach wydanych na podstawie art. 53 ust. 4 ustawy pr.w., jest określony jako dobry (art. 16 pkt 9 ustawy pr.w.) </w:t>
            </w:r>
          </w:p>
        </w:tc>
      </w:tr>
      <w:tr w:rsidR="00102BB0" w:rsidRPr="00102BB0" w14:paraId="4A88A17F" w14:textId="77777777" w:rsidTr="00661A84">
        <w:trPr>
          <w:cantSplit/>
          <w:trHeight w:val="340"/>
        </w:trPr>
        <w:tc>
          <w:tcPr>
            <w:tcW w:w="1677" w:type="pct"/>
            <w:shd w:val="clear" w:color="auto" w:fill="auto"/>
            <w:vAlign w:val="center"/>
          </w:tcPr>
          <w:p w14:paraId="50D4A45F"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wód podziemnych</w:t>
            </w:r>
          </w:p>
        </w:tc>
        <w:tc>
          <w:tcPr>
            <w:tcW w:w="3323" w:type="pct"/>
            <w:shd w:val="clear" w:color="auto" w:fill="FFFFFF" w:themeFill="background1"/>
            <w:vAlign w:val="center"/>
          </w:tcPr>
          <w:p w14:paraId="08B2B2F9"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 xml:space="preserve">stan jcwpd, w którym stan ilościowy wód podziemnych oraz stan chemiczny tych wód są określone co najmniej jako dobre (art. 16 pkt 11 ustawy pr.w.) </w:t>
            </w:r>
          </w:p>
        </w:tc>
      </w:tr>
      <w:tr w:rsidR="00102BB0" w:rsidRPr="00102BB0" w14:paraId="7F3C57AE" w14:textId="77777777" w:rsidTr="00661A84">
        <w:trPr>
          <w:cantSplit/>
          <w:trHeight w:val="340"/>
        </w:trPr>
        <w:tc>
          <w:tcPr>
            <w:tcW w:w="1677" w:type="pct"/>
            <w:shd w:val="clear" w:color="auto" w:fill="auto"/>
            <w:vAlign w:val="center"/>
          </w:tcPr>
          <w:p w14:paraId="76A850F6"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wód powierzchniowych</w:t>
            </w:r>
          </w:p>
        </w:tc>
        <w:tc>
          <w:tcPr>
            <w:tcW w:w="3323" w:type="pct"/>
            <w:shd w:val="clear" w:color="auto" w:fill="FFFFFF" w:themeFill="background1"/>
            <w:vAlign w:val="center"/>
          </w:tcPr>
          <w:p w14:paraId="3236E6AD"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 xml:space="preserve">stan jcwp charakteryzujący się dobrym stanem chemicznym wód powierzchniowych oraz co najmniej dobrym stanem ekologicznym lub co najmniej dobrym potencjałem ekologicznym (art. 16 pkt 12 ustawy pr.w.) </w:t>
            </w:r>
          </w:p>
        </w:tc>
      </w:tr>
      <w:tr w:rsidR="00102BB0" w:rsidRPr="00102BB0" w14:paraId="0586AAE5" w14:textId="77777777" w:rsidTr="00661A84">
        <w:trPr>
          <w:cantSplit/>
          <w:trHeight w:val="340"/>
        </w:trPr>
        <w:tc>
          <w:tcPr>
            <w:tcW w:w="1677" w:type="pct"/>
            <w:shd w:val="clear" w:color="auto" w:fill="auto"/>
            <w:vAlign w:val="center"/>
          </w:tcPr>
          <w:p w14:paraId="48FCB070"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Dobry stan chemiczny wód powierzchniowych</w:t>
            </w:r>
          </w:p>
        </w:tc>
        <w:tc>
          <w:tcPr>
            <w:tcW w:w="3323" w:type="pct"/>
            <w:shd w:val="clear" w:color="auto" w:fill="FFFFFF" w:themeFill="background1"/>
            <w:vAlign w:val="center"/>
          </w:tcPr>
          <w:p w14:paraId="210986D7"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stan chemiczny jcwp, który na podstawie klasyfikacji stanu chemicznego tych wód, dokonanej z uwzględnieniem definicji klasyfikacji tego stanu, jest określony jako dobry (art. 16 pkt 8 ustawy pr.w.)</w:t>
            </w:r>
          </w:p>
        </w:tc>
      </w:tr>
      <w:tr w:rsidR="00102BB0" w:rsidRPr="00102BB0" w14:paraId="2576025A" w14:textId="77777777" w:rsidTr="00661A84">
        <w:trPr>
          <w:cantSplit/>
          <w:trHeight w:val="340"/>
        </w:trPr>
        <w:tc>
          <w:tcPr>
            <w:tcW w:w="1677" w:type="pct"/>
            <w:shd w:val="clear" w:color="auto" w:fill="auto"/>
            <w:vAlign w:val="center"/>
          </w:tcPr>
          <w:p w14:paraId="1A56BCEE"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Substancje priorytetowe</w:t>
            </w:r>
          </w:p>
        </w:tc>
        <w:tc>
          <w:tcPr>
            <w:tcW w:w="3323" w:type="pct"/>
            <w:shd w:val="clear" w:color="auto" w:fill="FFFFFF" w:themeFill="background1"/>
            <w:vAlign w:val="center"/>
          </w:tcPr>
          <w:p w14:paraId="0C9AB09C"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substancje zanieczyszczające szczególnie niebezpieczne dla środowiska wodnego ujęte w Rozporządzeniu Ministra Gospodarki Morskiej i Żeglugi Śródlądowej z dnia 1 marca 2019 r. w sprawie wykazu substancji priorytetowych (Dz.U. z 2019 r. poz. 528)</w:t>
            </w:r>
          </w:p>
        </w:tc>
      </w:tr>
      <w:tr w:rsidR="00102BB0" w:rsidRPr="00102BB0" w14:paraId="28E37B7A" w14:textId="77777777" w:rsidTr="00661A84">
        <w:trPr>
          <w:cantSplit/>
          <w:trHeight w:val="340"/>
        </w:trPr>
        <w:tc>
          <w:tcPr>
            <w:tcW w:w="1677" w:type="pct"/>
            <w:shd w:val="clear" w:color="auto" w:fill="auto"/>
            <w:vAlign w:val="center"/>
          </w:tcPr>
          <w:p w14:paraId="3B44FA95"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Typy abiotyczne rzek</w:t>
            </w:r>
          </w:p>
        </w:tc>
        <w:tc>
          <w:tcPr>
            <w:tcW w:w="3323" w:type="pct"/>
            <w:shd w:val="clear" w:color="auto" w:fill="FFFFFF" w:themeFill="background1"/>
            <w:vAlign w:val="center"/>
          </w:tcPr>
          <w:p w14:paraId="604DEF55"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zał. 6 do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w:t>
            </w:r>
          </w:p>
        </w:tc>
      </w:tr>
      <w:tr w:rsidR="00102BB0" w:rsidRPr="00102BB0" w14:paraId="1D844C41" w14:textId="77777777" w:rsidTr="00661A84">
        <w:trPr>
          <w:cantSplit/>
          <w:trHeight w:val="340"/>
        </w:trPr>
        <w:tc>
          <w:tcPr>
            <w:tcW w:w="1677" w:type="pct"/>
            <w:shd w:val="clear" w:color="auto" w:fill="auto"/>
            <w:vAlign w:val="center"/>
          </w:tcPr>
          <w:p w14:paraId="3A04CADE"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Typ wód powierzchniowych, potencjał ekologiczny, stan ekologiczny, elementy biologiczne, klasa stanu ekologicznego wód, klasa potencjału ekologicznego wód</w:t>
            </w:r>
          </w:p>
        </w:tc>
        <w:tc>
          <w:tcPr>
            <w:tcW w:w="3323" w:type="pct"/>
            <w:shd w:val="clear" w:color="auto" w:fill="FFFFFF" w:themeFill="background1"/>
            <w:vAlign w:val="center"/>
          </w:tcPr>
          <w:p w14:paraId="64E76E6E"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w:t>
            </w:r>
          </w:p>
        </w:tc>
      </w:tr>
      <w:tr w:rsidR="00102BB0" w:rsidRPr="00102BB0" w14:paraId="6EBBBFE5" w14:textId="77777777" w:rsidTr="00661A84">
        <w:trPr>
          <w:cantSplit/>
          <w:trHeight w:val="340"/>
        </w:trPr>
        <w:tc>
          <w:tcPr>
            <w:tcW w:w="1677" w:type="pct"/>
            <w:shd w:val="clear" w:color="auto" w:fill="auto"/>
            <w:vAlign w:val="center"/>
          </w:tcPr>
          <w:p w14:paraId="776E085E"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Utrzymywanie wód, kategorie prac utrzymaniowych</w:t>
            </w:r>
          </w:p>
        </w:tc>
        <w:tc>
          <w:tcPr>
            <w:tcW w:w="3323" w:type="pct"/>
            <w:vAlign w:val="center"/>
          </w:tcPr>
          <w:p w14:paraId="5343E52D"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art. 227 ustawy pr.w.</w:t>
            </w:r>
          </w:p>
        </w:tc>
      </w:tr>
      <w:tr w:rsidR="00102BB0" w:rsidRPr="00102BB0" w14:paraId="2EA49023" w14:textId="77777777" w:rsidTr="00661A84">
        <w:trPr>
          <w:cantSplit/>
          <w:trHeight w:val="340"/>
        </w:trPr>
        <w:tc>
          <w:tcPr>
            <w:tcW w:w="1677" w:type="pct"/>
            <w:shd w:val="clear" w:color="auto" w:fill="auto"/>
            <w:vAlign w:val="center"/>
          </w:tcPr>
          <w:p w14:paraId="33BD9826"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Wykaz inwestycji</w:t>
            </w:r>
          </w:p>
        </w:tc>
        <w:tc>
          <w:tcPr>
            <w:tcW w:w="3323" w:type="pct"/>
            <w:vAlign w:val="center"/>
          </w:tcPr>
          <w:p w14:paraId="0B82A946"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wykaz planowanych inwestycji lub działań mogących wpłynąć na możliwość osiągnięcia celów środowiskowych, o których mowa w art. 56, art. 57, art. 59 oraz w art. 61 ustawy pr.w., zgodnie z definicją przewidzianą art. 435 ustawy pr.w.</w:t>
            </w:r>
          </w:p>
        </w:tc>
      </w:tr>
      <w:tr w:rsidR="00102BB0" w:rsidRPr="00102BB0" w14:paraId="44C54985" w14:textId="77777777" w:rsidTr="00661A84">
        <w:trPr>
          <w:cantSplit/>
          <w:trHeight w:val="340"/>
        </w:trPr>
        <w:tc>
          <w:tcPr>
            <w:tcW w:w="1677" w:type="pct"/>
            <w:shd w:val="clear" w:color="auto" w:fill="auto"/>
            <w:vAlign w:val="center"/>
          </w:tcPr>
          <w:p w14:paraId="7A3A60E8"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Zanieczyszczenie</w:t>
            </w:r>
          </w:p>
        </w:tc>
        <w:tc>
          <w:tcPr>
            <w:tcW w:w="3323" w:type="pct"/>
            <w:vAlign w:val="center"/>
          </w:tcPr>
          <w:p w14:paraId="2CA4AE73"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rozumie się przez to emisję, która może być szkodliwa dla zdrowia ludzi lub stanu środowiska, może powodować szkodę w dobrach materialnych, może pogarszać walory estetyczne środowiska lub może kolidować z innymi, uzasadnionymi sposobami korzystania ze środowiska, zgodnie z definicją przewidzianą art. 3 pkt 49 ustawy p.o.ś.</w:t>
            </w:r>
          </w:p>
        </w:tc>
      </w:tr>
      <w:tr w:rsidR="00102BB0" w:rsidRPr="00102BB0" w14:paraId="7FFC0E5B" w14:textId="77777777" w:rsidTr="00661A84">
        <w:trPr>
          <w:cantSplit/>
          <w:trHeight w:val="340"/>
        </w:trPr>
        <w:tc>
          <w:tcPr>
            <w:tcW w:w="1677" w:type="pct"/>
            <w:shd w:val="clear" w:color="auto" w:fill="auto"/>
            <w:vAlign w:val="center"/>
          </w:tcPr>
          <w:p w14:paraId="5FA241B1"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Zestaw działań</w:t>
            </w:r>
          </w:p>
        </w:tc>
        <w:tc>
          <w:tcPr>
            <w:tcW w:w="3323" w:type="pct"/>
            <w:vAlign w:val="center"/>
          </w:tcPr>
          <w:p w14:paraId="6EBEFCFD"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 xml:space="preserve">zbiór wszystkich działań planowanych do wdrożenia we wszystkich jcw, służący osiąganiu ustanawianych celów środowiskowych obejmuje zestaw działań, o których mowa w art. 324 ust.1 ustawy pr.w., z uwzględnieniem sposobów osiągania ustanawianych celów środowiskowych, oraz informacje o działaniach, o których mowa w art. 159 ust. 1 i 3 ustawy pr.w. (§2 ust. 1 pkt 12 r.p.g.w.). </w:t>
            </w:r>
          </w:p>
          <w:p w14:paraId="2FFC6003"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Zestaw działań - program działań wg RDW.</w:t>
            </w:r>
          </w:p>
        </w:tc>
      </w:tr>
      <w:tr w:rsidR="00102BB0" w:rsidRPr="00102BB0" w14:paraId="47C3F943" w14:textId="77777777" w:rsidTr="00661A84">
        <w:trPr>
          <w:cantSplit/>
          <w:trHeight w:val="340"/>
        </w:trPr>
        <w:tc>
          <w:tcPr>
            <w:tcW w:w="1677" w:type="pct"/>
            <w:shd w:val="clear" w:color="auto" w:fill="auto"/>
            <w:vAlign w:val="center"/>
          </w:tcPr>
          <w:p w14:paraId="03BFACE7" w14:textId="77777777" w:rsidR="00102BB0" w:rsidRPr="00A42AB2" w:rsidRDefault="00102BB0" w:rsidP="004D25A2">
            <w:pPr>
              <w:spacing w:before="40" w:after="40"/>
              <w:jc w:val="left"/>
              <w:rPr>
                <w:rFonts w:asciiTheme="minorHAnsi" w:hAnsiTheme="minorHAnsi" w:cstheme="minorHAnsi"/>
                <w:b/>
                <w:sz w:val="18"/>
                <w:szCs w:val="18"/>
              </w:rPr>
            </w:pPr>
            <w:r w:rsidRPr="00A42AB2">
              <w:rPr>
                <w:rFonts w:asciiTheme="minorHAnsi" w:hAnsiTheme="minorHAnsi" w:cstheme="minorHAnsi"/>
                <w:b/>
                <w:sz w:val="18"/>
                <w:szCs w:val="18"/>
              </w:rPr>
              <w:t>Zwrot kosztów usług wodnych</w:t>
            </w:r>
          </w:p>
        </w:tc>
        <w:tc>
          <w:tcPr>
            <w:tcW w:w="3323" w:type="pct"/>
            <w:vAlign w:val="center"/>
          </w:tcPr>
          <w:p w14:paraId="6B58C67F" w14:textId="77777777" w:rsidR="00102BB0" w:rsidRPr="00661A84" w:rsidRDefault="00102BB0" w:rsidP="004D25A2">
            <w:pPr>
              <w:spacing w:before="40" w:after="40"/>
              <w:jc w:val="left"/>
              <w:rPr>
                <w:rFonts w:asciiTheme="minorHAnsi" w:hAnsiTheme="minorHAnsi" w:cstheme="minorHAnsi"/>
                <w:sz w:val="18"/>
                <w:szCs w:val="18"/>
              </w:rPr>
            </w:pPr>
            <w:r w:rsidRPr="00661A84">
              <w:rPr>
                <w:rFonts w:asciiTheme="minorHAnsi" w:hAnsiTheme="minorHAnsi" w:cstheme="minorHAnsi"/>
                <w:sz w:val="18"/>
                <w:szCs w:val="18"/>
              </w:rPr>
              <w:t>w rozumieniu określonym ustawą pr.w. ; zgodnie z art. 9 ust. 3 ustawy pr.w. gospodarowanie wodami opiera się na zasadzie zwrotu kosztów usług wodnych, uwzględniających koszty środowiskowe i koszty zasobowe oraz analizę ekonomiczną</w:t>
            </w:r>
          </w:p>
        </w:tc>
      </w:tr>
    </w:tbl>
    <w:p w14:paraId="36204848" w14:textId="66525562" w:rsidR="6AD7A4C5" w:rsidRDefault="6AD7A4C5"/>
    <w:p w14:paraId="6C1F6596" w14:textId="77777777" w:rsidR="008E59B7" w:rsidRPr="0099345C" w:rsidRDefault="008E59B7" w:rsidP="00EA234C">
      <w:pPr>
        <w:suppressAutoHyphens/>
        <w:rPr>
          <w:highlight w:val="yellow"/>
        </w:rPr>
        <w:sectPr w:rsidR="008E59B7" w:rsidRPr="0099345C" w:rsidSect="00FE7F92">
          <w:pgSz w:w="11906" w:h="16838"/>
          <w:pgMar w:top="1417" w:right="1417" w:bottom="1417" w:left="1417" w:header="708" w:footer="708" w:gutter="0"/>
          <w:cols w:space="708"/>
          <w:docGrid w:linePitch="360"/>
        </w:sectPr>
      </w:pPr>
    </w:p>
    <w:p w14:paraId="0B892E3F" w14:textId="019E1878" w:rsidR="008E59B7" w:rsidRPr="00B50FFD" w:rsidRDefault="008E59B7" w:rsidP="00C308BE">
      <w:pPr>
        <w:pStyle w:val="Nagwek1"/>
      </w:pPr>
      <w:bookmarkStart w:id="6" w:name="_Ref21946801"/>
      <w:bookmarkStart w:id="7" w:name="_Toc41490131"/>
      <w:bookmarkStart w:id="8" w:name="_Toc46317393"/>
      <w:bookmarkStart w:id="9" w:name="_Toc68726830"/>
      <w:r w:rsidRPr="00B50FFD">
        <w:t>W</w:t>
      </w:r>
      <w:bookmarkEnd w:id="6"/>
      <w:bookmarkEnd w:id="7"/>
      <w:bookmarkEnd w:id="8"/>
      <w:r w:rsidR="00755EAA" w:rsidRPr="00B50FFD">
        <w:t>prowadzenie</w:t>
      </w:r>
      <w:bookmarkEnd w:id="9"/>
    </w:p>
    <w:p w14:paraId="3189AFF9" w14:textId="05F24DC6" w:rsidR="007C10D5" w:rsidRPr="008F3591" w:rsidRDefault="007C10D5" w:rsidP="00A565BC">
      <w:pPr>
        <w:rPr>
          <w:lang w:eastAsia="pl-PL"/>
        </w:rPr>
      </w:pPr>
      <w:r w:rsidRPr="008F3591">
        <w:rPr>
          <w:lang w:eastAsia="pl-PL"/>
        </w:rPr>
        <w:t xml:space="preserve">Projekt IIaPGW dla obszaru dorzecza </w:t>
      </w:r>
      <w:r w:rsidR="00AF6121" w:rsidRPr="008F3591">
        <w:rPr>
          <w:lang w:eastAsia="pl-PL"/>
        </w:rPr>
        <w:t>Pregoły</w:t>
      </w:r>
      <w:r w:rsidRPr="008F3591">
        <w:rPr>
          <w:lang w:eastAsia="pl-PL"/>
        </w:rPr>
        <w:t xml:space="preserve"> stanowi wypełnienie zobowiązań wynikających z post</w:t>
      </w:r>
      <w:r w:rsidR="00B15070">
        <w:rPr>
          <w:lang w:eastAsia="pl-PL"/>
        </w:rPr>
        <w:t>a</w:t>
      </w:r>
      <w:r w:rsidRPr="008F3591">
        <w:rPr>
          <w:lang w:eastAsia="pl-PL"/>
        </w:rPr>
        <w:t xml:space="preserve">nowień Ramowej Dyrektywy Wodnej 2000/60/WE (dalej RDW) z dnia 23 października 2000 r. ustanawiającej ramy wspólnotowego działania w dziedzinie polityki wodnej oraz ustawy z dnia 20 lipca 2017 r. Prawo wodne (Dz.U. 2020 poz. 310 z późn. zm.; dalej </w:t>
      </w:r>
      <w:r w:rsidR="00822135">
        <w:rPr>
          <w:lang w:eastAsia="pl-PL"/>
        </w:rPr>
        <w:t xml:space="preserve">ustawa </w:t>
      </w:r>
      <w:r w:rsidRPr="008F3591">
        <w:rPr>
          <w:lang w:eastAsia="pl-PL"/>
        </w:rPr>
        <w:t xml:space="preserve">pr.w.) w zakresie cyklicznej (sześcioletniej) aktualizacji planów gospodarowania wodami. Jednocześnie dokument umożliwia wypełnienie zobowiązań raportowych Polski do KE. </w:t>
      </w:r>
    </w:p>
    <w:p w14:paraId="0A30B954" w14:textId="798374F1" w:rsidR="007C10D5" w:rsidRPr="008F3591" w:rsidRDefault="007C10D5" w:rsidP="00A565BC">
      <w:r w:rsidRPr="008F3591">
        <w:t xml:space="preserve">Zgodnie z RDW 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analizę ekonomiczną korzystania z wód). Program działań (zgodnie z ustawą pr.w. </w:t>
      </w:r>
      <w:r w:rsidR="00BB0E3B">
        <w:t>-</w:t>
      </w:r>
      <w:r w:rsidRPr="008F3591">
        <w:t xml:space="preserve"> zestaw działań) powinien być ukierunkowany na osiągnięcie celów środowiskowych dla wód powierzchniowych, podziemnych i obszarów chronionych. </w:t>
      </w:r>
    </w:p>
    <w:p w14:paraId="34FA5D57" w14:textId="64C9819C" w:rsidR="007C10D5" w:rsidRPr="008F3591" w:rsidRDefault="007C10D5" w:rsidP="00A565BC">
      <w:pPr>
        <w:rPr>
          <w:lang w:eastAsia="pl-PL"/>
        </w:rPr>
      </w:pPr>
      <w:r w:rsidRPr="008F3591">
        <w:rPr>
          <w:lang w:eastAsia="pl-PL"/>
        </w:rPr>
        <w:t xml:space="preserve">Niniejszy projekt IIaPGW dla obszaru dorzecza </w:t>
      </w:r>
      <w:r w:rsidR="00AF6121" w:rsidRPr="008F3591">
        <w:rPr>
          <w:lang w:eastAsia="pl-PL"/>
        </w:rPr>
        <w:t>Pregoły</w:t>
      </w:r>
      <w:r w:rsidRPr="008F3591">
        <w:rPr>
          <w:lang w:eastAsia="pl-PL"/>
        </w:rPr>
        <w:t xml:space="preserve"> jest głównym dokumentem planistycznym w zakresie gospodarowania wodami w </w:t>
      </w:r>
      <w:r w:rsidR="00474ABF">
        <w:rPr>
          <w:lang w:eastAsia="pl-PL"/>
        </w:rPr>
        <w:t xml:space="preserve">obszarze </w:t>
      </w:r>
      <w:r w:rsidRPr="008F3591">
        <w:rPr>
          <w:lang w:eastAsia="pl-PL"/>
        </w:rPr>
        <w:t>t</w:t>
      </w:r>
      <w:r w:rsidR="00474ABF">
        <w:rPr>
          <w:lang w:eastAsia="pl-PL"/>
        </w:rPr>
        <w:t>ego</w:t>
      </w:r>
      <w:r w:rsidRPr="008F3591">
        <w:rPr>
          <w:lang w:eastAsia="pl-PL"/>
        </w:rPr>
        <w:t xml:space="preserve"> dorzecz</w:t>
      </w:r>
      <w:r w:rsidR="00474ABF">
        <w:rPr>
          <w:lang w:eastAsia="pl-PL"/>
        </w:rPr>
        <w:t>a</w:t>
      </w:r>
      <w:r w:rsidRPr="008F3591">
        <w:rPr>
          <w:lang w:eastAsia="pl-PL"/>
        </w:rPr>
        <w:t>. Stanowi on podstawę do</w:t>
      </w:r>
      <w:r w:rsidR="00CE57D6">
        <w:rPr>
          <w:lang w:eastAsia="pl-PL"/>
        </w:rPr>
        <w:t> </w:t>
      </w:r>
      <w:r w:rsidRPr="008F3591">
        <w:rPr>
          <w:lang w:eastAsia="pl-PL"/>
        </w:rPr>
        <w:t>podejmowania decyzji kształtujących stan zasobów wodnych na obszarze dorzecza i zasady gospodarowania nimi. Służy także koordynowaniu działań mających na celu osiągnięcie lub utrzymanie co najmniej dobrego stanu wód oraz ekosystemów od wód zależnych, poprawę stanu zasobów wodnych, poprawę możliwości korzystania z wód, zmniejszenie ilości wprowadzanych do wód lub do ziemi substancji mogących negatywnie oddziaływać na wody, poprawę ochrony przeciwpowodziowej oraz przeciwdziałanie skutkom suszy.</w:t>
      </w:r>
    </w:p>
    <w:p w14:paraId="03DBB358" w14:textId="072A4EA4" w:rsidR="007C10D5" w:rsidRPr="008F3591" w:rsidRDefault="007C10D5" w:rsidP="00A565BC">
      <w:r w:rsidRPr="008F3591">
        <w:t>Cały proces opracowania IIaPGW prowadzony jest przez PGW</w:t>
      </w:r>
      <w:r w:rsidR="001B1731">
        <w:t xml:space="preserve"> </w:t>
      </w:r>
      <w:r w:rsidRPr="008F3591">
        <w:t xml:space="preserve">WP poprzez realizację szeregu prac, których wyniki docelowo są wykorzystane w IIaPGW. </w:t>
      </w:r>
    </w:p>
    <w:p w14:paraId="0FFB2A53" w14:textId="2370DE72" w:rsidR="007C10D5" w:rsidRPr="008F3591" w:rsidRDefault="007C10D5" w:rsidP="00A565BC">
      <w:pPr>
        <w:rPr>
          <w:lang w:eastAsia="pl-PL"/>
        </w:rPr>
      </w:pPr>
      <w:r w:rsidRPr="008F3591">
        <w:t xml:space="preserve">Niniejszy projekt IIaPGW dla obszaru dorzecza </w:t>
      </w:r>
      <w:r w:rsidR="00AF6121" w:rsidRPr="008F3591">
        <w:rPr>
          <w:lang w:eastAsia="pl-PL"/>
        </w:rPr>
        <w:t xml:space="preserve">Pregoły </w:t>
      </w:r>
      <w:r w:rsidRPr="008F3591">
        <w:t>i zawiera w</w:t>
      </w:r>
      <w:r w:rsidRPr="008F3591">
        <w:rPr>
          <w:lang w:eastAsia="pl-PL"/>
        </w:rPr>
        <w:t>szystkie elementy wymagane art.</w:t>
      </w:r>
      <w:r w:rsidR="00A565BC">
        <w:rPr>
          <w:lang w:eastAsia="pl-PL"/>
        </w:rPr>
        <w:t xml:space="preserve"> </w:t>
      </w:r>
      <w:r w:rsidRPr="008F3591">
        <w:rPr>
          <w:lang w:eastAsia="pl-PL"/>
        </w:rPr>
        <w:t>318 ustawy pr.w. i r.p.g.w.</w:t>
      </w:r>
    </w:p>
    <w:p w14:paraId="31937C7B" w14:textId="7B4924F0" w:rsidR="007C10D5" w:rsidRDefault="007C10D5" w:rsidP="00A565BC">
      <w:r w:rsidRPr="008F3591">
        <w:t>Plany gospodarowania wodami przedstawiają wynik procesu powiązanych działań realizowanych dla uzyskania pełnego obrazu stanu jcw i postępu w osiąganiu celów środowiskowych</w:t>
      </w:r>
      <w:r>
        <w:t>.</w:t>
      </w:r>
    </w:p>
    <w:p w14:paraId="401B0060" w14:textId="77777777" w:rsidR="00CE57D6" w:rsidRDefault="00CE57D6" w:rsidP="00A565BC"/>
    <w:p w14:paraId="021B5BB8" w14:textId="10598B29" w:rsidR="007C10D5" w:rsidRDefault="00173652" w:rsidP="007C10D5">
      <w:pPr>
        <w:jc w:val="center"/>
      </w:pPr>
      <w:r>
        <w:rPr>
          <w:noProof/>
        </w:rPr>
        <w:drawing>
          <wp:inline distT="0" distB="0" distL="0" distR="0" wp14:anchorId="563C4FCD" wp14:editId="69E3CF56">
            <wp:extent cx="4566595" cy="2700000"/>
            <wp:effectExtent l="0" t="0" r="5715" b="5715"/>
            <wp:docPr id="1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rotWithShape="1">
                    <a:blip r:embed="rId20">
                      <a:extLst>
                        <a:ext uri="{28A0092B-C50C-407E-A947-70E740481C1C}">
                          <a14:useLocalDpi xmlns:a14="http://schemas.microsoft.com/office/drawing/2010/main" val="0"/>
                        </a:ext>
                      </a:extLst>
                    </a:blip>
                    <a:srcRect l="9473" t="13792" r="21001" b="14982"/>
                    <a:stretch/>
                  </pic:blipFill>
                  <pic:spPr bwMode="auto">
                    <a:xfrm>
                      <a:off x="0" y="0"/>
                      <a:ext cx="4566595"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342344" w14:textId="6F3D2436" w:rsidR="007C10D5" w:rsidRDefault="00572709" w:rsidP="006802BB">
      <w:pPr>
        <w:pStyle w:val="Rysunek"/>
      </w:pPr>
      <w:bookmarkStart w:id="10" w:name="_Toc68727071"/>
      <w:r>
        <w:t xml:space="preserve">Rysunek </w:t>
      </w:r>
      <w:fldSimple w:instr=" STYLEREF 1 \s ">
        <w:r w:rsidR="00860BC1">
          <w:rPr>
            <w:noProof/>
          </w:rPr>
          <w:t>1</w:t>
        </w:r>
      </w:fldSimple>
      <w:r w:rsidR="00860BC1">
        <w:noBreakHyphen/>
      </w:r>
      <w:fldSimple w:instr=" SEQ Rysunek \* ARABIC \s 1 ">
        <w:r w:rsidR="00860BC1">
          <w:rPr>
            <w:noProof/>
          </w:rPr>
          <w:t>1</w:t>
        </w:r>
      </w:fldSimple>
      <w:r>
        <w:tab/>
      </w:r>
      <w:r w:rsidRPr="00900D6D">
        <w:t>Relacje głównych zagadnień planu gospodarowania wodami</w:t>
      </w:r>
      <w:bookmarkEnd w:id="10"/>
    </w:p>
    <w:p w14:paraId="7CFC74DF" w14:textId="16617336" w:rsidR="000D52FF" w:rsidRDefault="000D52FF" w:rsidP="000D52FF">
      <w:pPr>
        <w:pStyle w:val="rdo0"/>
      </w:pPr>
      <w:bookmarkStart w:id="11" w:name="_Hlk66110109"/>
      <w:r w:rsidRPr="002D0D68">
        <w:t xml:space="preserve">Źródło: opracowanie </w:t>
      </w:r>
      <w:r w:rsidR="005B3051">
        <w:t>własne</w:t>
      </w:r>
    </w:p>
    <w:bookmarkEnd w:id="11"/>
    <w:p w14:paraId="69CEBCAF" w14:textId="57C8D59E" w:rsidR="007C10D5" w:rsidRPr="008F3591" w:rsidRDefault="007C10D5" w:rsidP="007C10D5">
      <w:pPr>
        <w:suppressAutoHyphens/>
        <w:rPr>
          <w:lang w:eastAsia="pl-PL"/>
        </w:rPr>
      </w:pPr>
      <w:r w:rsidRPr="008F3591">
        <w:rPr>
          <w:lang w:eastAsia="pl-PL"/>
        </w:rPr>
        <w:t xml:space="preserve">Niniejszy projekt IIaPGW dla obszaru dorzecza </w:t>
      </w:r>
      <w:r w:rsidR="00AF6121" w:rsidRPr="008F3591">
        <w:rPr>
          <w:lang w:eastAsia="pl-PL"/>
        </w:rPr>
        <w:t>Pregoły</w:t>
      </w:r>
      <w:r w:rsidRPr="008F3591">
        <w:rPr>
          <w:lang w:eastAsia="pl-PL"/>
        </w:rPr>
        <w:t xml:space="preserve"> poza wskazaniem kierunków działania w okresie kolejnych 6 lat, ma również za zadanie przedstawienie danych i informacji stanowiących podsumowanie aktualnego na koniec III cyklu planistycznego stopnia osiągnięcia celów środowiskowych jcw, ekosystemów od wód zależnych oraz obszarów chronionych. W dokumencie tym znajduje się również podsumowanie prac i działań podjętych w ostatnim cyklu planistycznym wraz z określeniem warunków wyjściowych dla nowego, aktualnego cyklu planistycznego.</w:t>
      </w:r>
    </w:p>
    <w:p w14:paraId="3B2975D1" w14:textId="055626CF" w:rsidR="007C10D5" w:rsidRPr="008F3591" w:rsidRDefault="007C10D5" w:rsidP="007C10D5">
      <w:pPr>
        <w:suppressAutoHyphens/>
        <w:rPr>
          <w:lang w:eastAsia="pl-PL"/>
        </w:rPr>
      </w:pPr>
      <w:r w:rsidRPr="008F3591">
        <w:rPr>
          <w:lang w:eastAsia="pl-PL"/>
        </w:rPr>
        <w:t xml:space="preserve">Priorytetem IIaPGW dla obszaru dorzecza </w:t>
      </w:r>
      <w:r w:rsidR="00AF6121" w:rsidRPr="008F3591">
        <w:rPr>
          <w:lang w:eastAsia="pl-PL"/>
        </w:rPr>
        <w:t xml:space="preserve">Pregoły </w:t>
      </w:r>
      <w:r w:rsidRPr="008F3591">
        <w:rPr>
          <w:lang w:eastAsia="pl-PL"/>
        </w:rPr>
        <w:t xml:space="preserve">i jest stworzenie w ekosystemach wodnych i od wód zależnych warunków, określonych w RDW, sprzyjających osiągnięciu celów środowiskowych wyznaczonych dla poszczególnych jcw oraz dla obszarów chronionych. Efekt procesu osiągania celów środowiskowych nie został dotychczas w pełni uzyskany. Determinuje to konieczność szczegółowego przeanalizowania przyczyn braku zakładanego postępu w osiąganiu celów środowiskowych oraz przygotowania zaktualizowanego zestawu działań naprawczych dających realną szansę na osiągnięcie celów środowiskowych do roku 2027 </w:t>
      </w:r>
      <w:r w:rsidRPr="008F3591">
        <w:rPr>
          <w:rFonts w:cs="Calibri"/>
        </w:rPr>
        <w:t>dla tych jcw, dla których nadal nie stwierdzono oczekiwanego stanu</w:t>
      </w:r>
      <w:r w:rsidRPr="008F3591">
        <w:rPr>
          <w:lang w:eastAsia="pl-PL"/>
        </w:rPr>
        <w:t xml:space="preserve">. Zestaw działań </w:t>
      </w:r>
      <w:r w:rsidRPr="008F3591">
        <w:rPr>
          <w:rFonts w:cs="Calibri"/>
        </w:rPr>
        <w:t xml:space="preserve">IIaPGW zawiera również działania zmierzające do utrzymania dobrego stanu w tych jcw, które stan ten osiągnęły. </w:t>
      </w:r>
      <w:r w:rsidRPr="008F3591">
        <w:rPr>
          <w:lang w:eastAsia="pl-PL"/>
        </w:rPr>
        <w:t xml:space="preserve">W przypadku jcw, dla których został wykazany brak możliwości </w:t>
      </w:r>
      <w:r w:rsidR="00A41DBE">
        <w:rPr>
          <w:lang w:eastAsia="pl-PL"/>
        </w:rPr>
        <w:t>osiągnięcia</w:t>
      </w:r>
      <w:r w:rsidR="00A41DBE" w:rsidRPr="008F3591">
        <w:rPr>
          <w:lang w:eastAsia="pl-PL"/>
        </w:rPr>
        <w:t xml:space="preserve"> </w:t>
      </w:r>
      <w:r w:rsidRPr="008F3591">
        <w:rPr>
          <w:lang w:eastAsia="pl-PL"/>
        </w:rPr>
        <w:t xml:space="preserve">celów środowiskowych, przy jednoczesnym spełnianiu przesłanek dla przyznania odstępstw, przygotowane zostały szczegółowe uzasadnienia odstępstw </w:t>
      </w:r>
      <w:r w:rsidRPr="008F3591">
        <w:rPr>
          <w:rFonts w:cs="Calibri"/>
        </w:rPr>
        <w:t>w zakresie konieczności osiągnięcia celu środowiskowego</w:t>
      </w:r>
      <w:r w:rsidRPr="008F3591">
        <w:rPr>
          <w:lang w:eastAsia="pl-PL"/>
        </w:rPr>
        <w:t xml:space="preserve"> wymaganych zapisami RDW. </w:t>
      </w:r>
    </w:p>
    <w:p w14:paraId="4099B083" w14:textId="705ECE0C" w:rsidR="007C10D5" w:rsidRDefault="007C10D5" w:rsidP="007C10D5">
      <w:pPr>
        <w:suppressAutoHyphens/>
        <w:rPr>
          <w:lang w:eastAsia="pl-PL"/>
        </w:rPr>
      </w:pPr>
      <w:r w:rsidRPr="008F3591">
        <w:rPr>
          <w:lang w:eastAsia="pl-PL"/>
        </w:rPr>
        <w:t xml:space="preserve">W projekcie IIaPGW dla obszaru dorzecza </w:t>
      </w:r>
      <w:r w:rsidR="00AF6121" w:rsidRPr="008F3591">
        <w:rPr>
          <w:lang w:eastAsia="pl-PL"/>
        </w:rPr>
        <w:t>Pregoły</w:t>
      </w:r>
      <w:r w:rsidRPr="008F3591">
        <w:rPr>
          <w:lang w:eastAsia="pl-PL"/>
        </w:rPr>
        <w:t xml:space="preserve"> zawarto również wykaz inwestycji, które mogą doprowadzić do nieosiągnięcia założonych celów środowiskowych, spełniających jednak warunki dopuszczające zastosowanie odstępstwa na podstawie art. 4 ust. 7 RDW.</w:t>
      </w:r>
    </w:p>
    <w:p w14:paraId="63156668" w14:textId="59363F17" w:rsidR="007C10D5" w:rsidRDefault="007C10D5" w:rsidP="007C10D5">
      <w:pPr>
        <w:suppressAutoHyphens/>
        <w:autoSpaceDE w:val="0"/>
        <w:autoSpaceDN w:val="0"/>
        <w:adjustRightInd w:val="0"/>
        <w:rPr>
          <w:rFonts w:asciiTheme="minorHAnsi" w:eastAsiaTheme="minorEastAsia" w:hAnsiTheme="minorHAnsi" w:cstheme="minorBidi"/>
          <w:color w:val="000000"/>
        </w:rPr>
      </w:pPr>
      <w:bookmarkStart w:id="12" w:name="_Toc55856427"/>
      <w:r w:rsidRPr="720ADE3F">
        <w:rPr>
          <w:rFonts w:asciiTheme="minorHAnsi" w:eastAsiaTheme="minorEastAsia" w:hAnsiTheme="minorHAnsi" w:cstheme="minorBidi"/>
          <w:color w:val="000000" w:themeColor="text1"/>
        </w:rPr>
        <w:t>Przygotowany projekt planu gospodarowania wodami jest podawany do publicznej wiadomości na zasadach i w trybie określonych w przepisach u</w:t>
      </w:r>
      <w:r w:rsidR="008315EC">
        <w:rPr>
          <w:rFonts w:asciiTheme="minorHAnsi" w:eastAsiaTheme="minorEastAsia" w:hAnsiTheme="minorHAnsi" w:cstheme="minorBidi"/>
          <w:color w:val="000000" w:themeColor="text1"/>
        </w:rPr>
        <w:t xml:space="preserve">stawy </w:t>
      </w:r>
      <w:r w:rsidRPr="720ADE3F">
        <w:rPr>
          <w:rFonts w:asciiTheme="minorHAnsi" w:eastAsiaTheme="minorEastAsia" w:hAnsiTheme="minorHAnsi" w:cstheme="minorBidi"/>
          <w:color w:val="000000" w:themeColor="text1"/>
        </w:rPr>
        <w:t>u.i.o.ś., aby w okresie 6-miesięcznych konsultacji sp</w:t>
      </w:r>
      <w:r>
        <w:rPr>
          <w:rFonts w:asciiTheme="minorHAnsi" w:eastAsiaTheme="minorEastAsia" w:hAnsiTheme="minorHAnsi" w:cstheme="minorBidi"/>
          <w:color w:val="000000" w:themeColor="text1"/>
        </w:rPr>
        <w:t>o</w:t>
      </w:r>
      <w:r w:rsidRPr="720ADE3F">
        <w:rPr>
          <w:rFonts w:asciiTheme="minorHAnsi" w:eastAsiaTheme="minorEastAsia" w:hAnsiTheme="minorHAnsi" w:cstheme="minorBidi"/>
          <w:color w:val="000000" w:themeColor="text1"/>
        </w:rPr>
        <w:t xml:space="preserve">łecznych zainteresowane strony </w:t>
      </w:r>
      <w:r w:rsidR="000631D3">
        <w:rPr>
          <w:rFonts w:asciiTheme="minorHAnsi" w:eastAsiaTheme="minorEastAsia" w:hAnsiTheme="minorHAnsi" w:cstheme="minorBidi"/>
          <w:color w:val="000000" w:themeColor="text1"/>
        </w:rPr>
        <w:t xml:space="preserve">mogły </w:t>
      </w:r>
      <w:r w:rsidRPr="720ADE3F">
        <w:rPr>
          <w:rFonts w:asciiTheme="minorHAnsi" w:eastAsiaTheme="minorEastAsia" w:hAnsiTheme="minorHAnsi" w:cstheme="minorBidi"/>
          <w:color w:val="000000" w:themeColor="text1"/>
        </w:rPr>
        <w:t>zgłaszać uwagi do ustaleń zawartych w tym dokumencie.</w:t>
      </w:r>
      <w:r>
        <w:rPr>
          <w:rFonts w:asciiTheme="minorHAnsi" w:eastAsiaTheme="minorEastAsia" w:hAnsiTheme="minorHAnsi" w:cstheme="minorBidi"/>
          <w:color w:val="000000" w:themeColor="text1"/>
        </w:rPr>
        <w:t xml:space="preserve"> </w:t>
      </w:r>
    </w:p>
    <w:p w14:paraId="4706954C" w14:textId="4D8C27D2" w:rsidR="007C10D5" w:rsidRDefault="007C10D5" w:rsidP="007C10D5">
      <w:pPr>
        <w:suppressAutoHyphens/>
        <w:autoSpaceDE w:val="0"/>
        <w:autoSpaceDN w:val="0"/>
        <w:adjustRightInd w:val="0"/>
        <w:ind w:right="107"/>
        <w:rPr>
          <w:rFonts w:asciiTheme="minorHAnsi" w:eastAsiaTheme="minorEastAsia" w:hAnsiTheme="minorHAnsi" w:cstheme="minorBidi"/>
          <w:color w:val="000000"/>
        </w:rPr>
      </w:pPr>
      <w:r w:rsidRPr="2306F4E4">
        <w:rPr>
          <w:rFonts w:asciiTheme="minorHAnsi" w:eastAsiaTheme="minorEastAsia" w:hAnsiTheme="minorHAnsi" w:cstheme="minorBidi"/>
          <w:color w:val="000000" w:themeColor="text1"/>
        </w:rPr>
        <w:t xml:space="preserve">Cały proces konsultacji społecznych ma na celu włączenie wszystkich zainteresowanych stron </w:t>
      </w:r>
      <w:r w:rsidRPr="00FD5C66">
        <w:t>w</w:t>
      </w:r>
      <w:r w:rsidR="00FD5C66">
        <w:t> </w:t>
      </w:r>
      <w:r w:rsidRPr="00FD5C66">
        <w:t>proces</w:t>
      </w:r>
      <w:r w:rsidRPr="2306F4E4">
        <w:rPr>
          <w:rFonts w:asciiTheme="minorHAnsi" w:eastAsiaTheme="minorEastAsia" w:hAnsiTheme="minorHAnsi" w:cstheme="minorBidi"/>
          <w:color w:val="000000" w:themeColor="text1"/>
        </w:rPr>
        <w:t xml:space="preserve"> </w:t>
      </w:r>
      <w:r w:rsidR="00B63E4A">
        <w:rPr>
          <w:rFonts w:asciiTheme="minorHAnsi" w:eastAsiaTheme="minorEastAsia" w:hAnsiTheme="minorHAnsi" w:cstheme="minorBidi"/>
          <w:color w:val="000000" w:themeColor="text1"/>
        </w:rPr>
        <w:t xml:space="preserve">opracowania </w:t>
      </w:r>
      <w:r w:rsidRPr="2306F4E4">
        <w:rPr>
          <w:rFonts w:asciiTheme="minorHAnsi" w:eastAsiaTheme="minorEastAsia" w:hAnsiTheme="minorHAnsi" w:cstheme="minorBidi"/>
          <w:color w:val="000000" w:themeColor="text1"/>
        </w:rPr>
        <w:t>IIaPGW, tak aby stanowił on podstawę podejmowania decyzji kształtujących stan zasobów wodnych i zasad gospodarowania nimi w przyszłości.</w:t>
      </w:r>
      <w:bookmarkEnd w:id="12"/>
    </w:p>
    <w:p w14:paraId="47845E39" w14:textId="4F8AE085" w:rsidR="00325721" w:rsidRDefault="003B16E0" w:rsidP="00C308BE">
      <w:pPr>
        <w:pStyle w:val="Nagwek1"/>
      </w:pPr>
      <w:bookmarkStart w:id="13" w:name="_Hlk21898247"/>
      <w:bookmarkEnd w:id="4"/>
      <w:r>
        <w:br w:type="column"/>
      </w:r>
      <w:bookmarkStart w:id="14" w:name="_Toc68726831"/>
      <w:r w:rsidR="00325721">
        <w:t>Struktura dokumentu</w:t>
      </w:r>
      <w:bookmarkEnd w:id="14"/>
    </w:p>
    <w:p w14:paraId="238DE036" w14:textId="77777777" w:rsidR="000655C7" w:rsidRDefault="000655C7" w:rsidP="000655C7">
      <w:pPr>
        <w:suppressAutoHyphens/>
        <w:rPr>
          <w:lang w:eastAsia="pl-PL"/>
        </w:rPr>
      </w:pPr>
      <w:r w:rsidRPr="00657E82">
        <w:rPr>
          <w:lang w:eastAsia="pl-PL"/>
        </w:rPr>
        <w:t>Zakres informacji prezentowanych w planie gospodarowania wodami</w:t>
      </w:r>
      <w:r>
        <w:rPr>
          <w:lang w:eastAsia="pl-PL"/>
        </w:rPr>
        <w:t xml:space="preserve">, w tym w niniejszym projekcie IIaPGW </w:t>
      </w:r>
      <w:r w:rsidRPr="00657E82">
        <w:rPr>
          <w:lang w:eastAsia="pl-PL"/>
        </w:rPr>
        <w:t xml:space="preserve">określony jest ustawą pr.w. i r.p.g.w, które wskazują zagadnienia konieczne do uwzględnienia w </w:t>
      </w:r>
      <w:r>
        <w:rPr>
          <w:lang w:eastAsia="pl-PL"/>
        </w:rPr>
        <w:t>tego typu</w:t>
      </w:r>
      <w:r w:rsidRPr="00657E82">
        <w:rPr>
          <w:lang w:eastAsia="pl-PL"/>
        </w:rPr>
        <w:t xml:space="preserve"> dokumen</w:t>
      </w:r>
      <w:r>
        <w:rPr>
          <w:lang w:eastAsia="pl-PL"/>
        </w:rPr>
        <w:t>cie.</w:t>
      </w:r>
    </w:p>
    <w:p w14:paraId="14DF2B65" w14:textId="665057D2" w:rsidR="000655C7" w:rsidRDefault="000655C7" w:rsidP="000655C7">
      <w:pPr>
        <w:suppressAutoHyphens/>
        <w:rPr>
          <w:lang w:eastAsia="pl-PL"/>
        </w:rPr>
      </w:pPr>
      <w:r w:rsidRPr="00657E82">
        <w:rPr>
          <w:lang w:eastAsia="pl-PL"/>
        </w:rPr>
        <w:t>Dla umożliwienia identyfikacji poszczególnych rozdziałów</w:t>
      </w:r>
      <w:r w:rsidRPr="00476FB1">
        <w:rPr>
          <w:lang w:eastAsia="pl-PL"/>
        </w:rPr>
        <w:t xml:space="preserve"> </w:t>
      </w:r>
      <w:r w:rsidRPr="00657E82">
        <w:rPr>
          <w:lang w:eastAsia="pl-PL"/>
        </w:rPr>
        <w:t>IIaPGW</w:t>
      </w:r>
      <w:r>
        <w:rPr>
          <w:lang w:eastAsia="pl-PL"/>
        </w:rPr>
        <w:t>,</w:t>
      </w:r>
      <w:r w:rsidRPr="00657E82">
        <w:rPr>
          <w:lang w:eastAsia="pl-PL"/>
        </w:rPr>
        <w:t xml:space="preserve"> w których zaprezentowan</w:t>
      </w:r>
      <w:r>
        <w:rPr>
          <w:lang w:eastAsia="pl-PL"/>
        </w:rPr>
        <w:t>o</w:t>
      </w:r>
      <w:r w:rsidRPr="00657E82">
        <w:rPr>
          <w:lang w:eastAsia="pl-PL"/>
        </w:rPr>
        <w:t xml:space="preserve"> </w:t>
      </w:r>
      <w:r>
        <w:rPr>
          <w:lang w:eastAsia="pl-PL"/>
        </w:rPr>
        <w:t xml:space="preserve">wymagane prawem </w:t>
      </w:r>
      <w:r w:rsidRPr="00657E82">
        <w:rPr>
          <w:lang w:eastAsia="pl-PL"/>
        </w:rPr>
        <w:t>informacje</w:t>
      </w:r>
      <w:r>
        <w:rPr>
          <w:lang w:eastAsia="pl-PL"/>
        </w:rPr>
        <w:t>,</w:t>
      </w:r>
      <w:r w:rsidRPr="00657E82">
        <w:rPr>
          <w:lang w:eastAsia="pl-PL"/>
        </w:rPr>
        <w:t xml:space="preserve"> zostało</w:t>
      </w:r>
      <w:r>
        <w:rPr>
          <w:lang w:eastAsia="pl-PL"/>
        </w:rPr>
        <w:t xml:space="preserve"> </w:t>
      </w:r>
      <w:r w:rsidRPr="00657E82">
        <w:rPr>
          <w:lang w:eastAsia="pl-PL"/>
        </w:rPr>
        <w:t xml:space="preserve">przygotowane </w:t>
      </w:r>
      <w:r w:rsidRPr="0017799E">
        <w:rPr>
          <w:lang w:eastAsia="pl-PL"/>
        </w:rPr>
        <w:t>zestawienie (</w:t>
      </w:r>
      <w:r w:rsidR="004A1B76" w:rsidRPr="0017799E">
        <w:rPr>
          <w:lang w:eastAsia="pl-PL"/>
        </w:rPr>
        <w:t>t</w:t>
      </w:r>
      <w:r w:rsidRPr="0017799E">
        <w:rPr>
          <w:lang w:eastAsia="pl-PL"/>
        </w:rPr>
        <w:t>abela 2-1) wskazujące</w:t>
      </w:r>
      <w:r w:rsidRPr="00657E82">
        <w:rPr>
          <w:lang w:eastAsia="pl-PL"/>
        </w:rPr>
        <w:t xml:space="preserve"> rozdział</w:t>
      </w:r>
      <w:r>
        <w:rPr>
          <w:lang w:eastAsia="pl-PL"/>
        </w:rPr>
        <w:t>/podrozdział,</w:t>
      </w:r>
      <w:r w:rsidRPr="00657E82">
        <w:rPr>
          <w:lang w:eastAsia="pl-PL"/>
        </w:rPr>
        <w:t xml:space="preserve"> w którym znajduje się odniesienie do danego art. ustawy pr.w. lub par. r.p.g.w.</w:t>
      </w:r>
    </w:p>
    <w:p w14:paraId="53DFC248" w14:textId="4D568E67" w:rsidR="000655C7" w:rsidRPr="000A332C" w:rsidRDefault="00397699" w:rsidP="006802BB">
      <w:pPr>
        <w:pStyle w:val="Tabela"/>
      </w:pPr>
      <w:bookmarkStart w:id="15" w:name="_Toc66050532"/>
      <w:bookmarkStart w:id="16" w:name="_Toc68726945"/>
      <w:r>
        <w:t xml:space="preserve">Tabela </w:t>
      </w:r>
      <w:fldSimple w:instr=" STYLEREF 1 \s ">
        <w:r w:rsidR="007B4050">
          <w:rPr>
            <w:noProof/>
          </w:rPr>
          <w:t>2</w:t>
        </w:r>
      </w:fldSimple>
      <w:r w:rsidR="007B4050">
        <w:noBreakHyphen/>
      </w:r>
      <w:fldSimple w:instr=" SEQ Tabela \* ARABIC \s 1 ">
        <w:r w:rsidR="007B4050">
          <w:rPr>
            <w:noProof/>
          </w:rPr>
          <w:t>1</w:t>
        </w:r>
      </w:fldSimple>
      <w:r>
        <w:tab/>
      </w:r>
      <w:r w:rsidRPr="005F4A59">
        <w:t>Zestawienie poszczególnych zagadnień prezentowanych w IIaPGW w odniesieniu do zakresu wskazanego w ustawie pr.w. i r.p.</w:t>
      </w:r>
      <w:r w:rsidRPr="000A332C">
        <w:t>g.w</w:t>
      </w:r>
      <w:bookmarkEnd w:id="15"/>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232"/>
        <w:gridCol w:w="3089"/>
        <w:gridCol w:w="3065"/>
      </w:tblGrid>
      <w:tr w:rsidR="000D6397" w:rsidRPr="00AD5B4D" w14:paraId="45528F21" w14:textId="77777777" w:rsidTr="00982AC0">
        <w:trPr>
          <w:trHeight w:val="454"/>
          <w:tblHeader/>
        </w:trPr>
        <w:tc>
          <w:tcPr>
            <w:tcW w:w="349" w:type="pct"/>
            <w:shd w:val="clear" w:color="auto" w:fill="BFBFBF" w:themeFill="background1" w:themeFillShade="BF"/>
            <w:vAlign w:val="center"/>
            <w:hideMark/>
          </w:tcPr>
          <w:p w14:paraId="48BA6822" w14:textId="77777777" w:rsidR="000D6397" w:rsidRPr="000D7177" w:rsidRDefault="000D6397" w:rsidP="00982AC0">
            <w:pPr>
              <w:pStyle w:val="Teksttabelinaglowek"/>
            </w:pPr>
            <w:bookmarkStart w:id="17" w:name="_Hlk67325225"/>
            <w:r w:rsidRPr="000D7177">
              <w:t>Lp.</w:t>
            </w:r>
          </w:p>
        </w:tc>
        <w:tc>
          <w:tcPr>
            <w:tcW w:w="1238" w:type="pct"/>
            <w:shd w:val="clear" w:color="auto" w:fill="BFBFBF" w:themeFill="background1" w:themeFillShade="BF"/>
            <w:vAlign w:val="center"/>
          </w:tcPr>
          <w:p w14:paraId="3239CF19" w14:textId="77777777" w:rsidR="000D6397" w:rsidRPr="000D7177" w:rsidRDefault="000D6397" w:rsidP="00982AC0">
            <w:pPr>
              <w:pStyle w:val="Teksttabelinaglowek"/>
            </w:pPr>
            <w:r w:rsidRPr="000D7177">
              <w:t>Rozdział planu gospodarowania wodami</w:t>
            </w:r>
          </w:p>
        </w:tc>
        <w:tc>
          <w:tcPr>
            <w:tcW w:w="1713" w:type="pct"/>
            <w:shd w:val="clear" w:color="auto" w:fill="BFBFBF" w:themeFill="background1" w:themeFillShade="BF"/>
            <w:vAlign w:val="center"/>
            <w:hideMark/>
          </w:tcPr>
          <w:p w14:paraId="6ECAB763" w14:textId="77777777" w:rsidR="000D6397" w:rsidRPr="000D7177" w:rsidRDefault="000D6397" w:rsidP="00982AC0">
            <w:pPr>
              <w:pStyle w:val="Teksttabelinaglowek"/>
            </w:pPr>
            <w:r>
              <w:t>R</w:t>
            </w:r>
            <w:r w:rsidRPr="000D7177">
              <w:t>ozporządzeni</w:t>
            </w:r>
            <w:r>
              <w:t>e</w:t>
            </w:r>
            <w:r w:rsidRPr="000D7177">
              <w:t xml:space="preserve"> w sprawie zakresu planu gospodarowania wodami</w:t>
            </w:r>
          </w:p>
        </w:tc>
        <w:tc>
          <w:tcPr>
            <w:tcW w:w="1700" w:type="pct"/>
            <w:shd w:val="clear" w:color="auto" w:fill="BFBFBF" w:themeFill="background1" w:themeFillShade="BF"/>
            <w:vAlign w:val="center"/>
            <w:hideMark/>
          </w:tcPr>
          <w:p w14:paraId="71EA51D7" w14:textId="77777777" w:rsidR="000D6397" w:rsidRPr="000D7177" w:rsidRDefault="000D6397" w:rsidP="00982AC0">
            <w:pPr>
              <w:pStyle w:val="Teksttabelinaglowek"/>
            </w:pPr>
            <w:r>
              <w:t>U</w:t>
            </w:r>
            <w:r w:rsidRPr="000D7177">
              <w:t>staw</w:t>
            </w:r>
            <w:r>
              <w:t>a</w:t>
            </w:r>
            <w:r w:rsidRPr="000D7177">
              <w:t xml:space="preserve"> Prawo wodne</w:t>
            </w:r>
          </w:p>
        </w:tc>
      </w:tr>
      <w:tr w:rsidR="000D6397" w:rsidRPr="00AD5B4D" w14:paraId="775A7E33" w14:textId="77777777" w:rsidTr="00982AC0">
        <w:trPr>
          <w:trHeight w:val="454"/>
        </w:trPr>
        <w:tc>
          <w:tcPr>
            <w:tcW w:w="349" w:type="pct"/>
            <w:vAlign w:val="center"/>
            <w:hideMark/>
          </w:tcPr>
          <w:p w14:paraId="0B49BFBB" w14:textId="77777777" w:rsidR="000D6397" w:rsidRPr="00AD5B4D" w:rsidRDefault="000D6397" w:rsidP="00F707D0">
            <w:pPr>
              <w:pStyle w:val="Teksttabelisrodek"/>
              <w:ind w:left="-120"/>
            </w:pPr>
            <w:r w:rsidRPr="00AD5B4D">
              <w:t>1</w:t>
            </w:r>
            <w:r>
              <w:t>.</w:t>
            </w:r>
          </w:p>
        </w:tc>
        <w:tc>
          <w:tcPr>
            <w:tcW w:w="1238" w:type="pct"/>
            <w:vAlign w:val="center"/>
          </w:tcPr>
          <w:p w14:paraId="274D1B23" w14:textId="77777777" w:rsidR="000D6397" w:rsidRPr="00AD5B4D" w:rsidRDefault="000D6397" w:rsidP="00CE57D6">
            <w:pPr>
              <w:pStyle w:val="Teksttabelisrodek"/>
              <w:jc w:val="both"/>
            </w:pPr>
            <w:r w:rsidRPr="00AD5B4D">
              <w:t>Rozdział 3</w:t>
            </w:r>
          </w:p>
        </w:tc>
        <w:tc>
          <w:tcPr>
            <w:tcW w:w="1713" w:type="pct"/>
            <w:vAlign w:val="center"/>
            <w:hideMark/>
          </w:tcPr>
          <w:p w14:paraId="5416DC04" w14:textId="77777777" w:rsidR="000D6397" w:rsidRPr="00AD5B4D" w:rsidRDefault="000D6397" w:rsidP="00CE57D6">
            <w:pPr>
              <w:pStyle w:val="Teksttabelisrodek"/>
              <w:jc w:val="both"/>
            </w:pPr>
            <w:r w:rsidRPr="00AD5B4D">
              <w:t>§2 ust. 1 pkt 1a - 1d r.p.g.w.</w:t>
            </w:r>
          </w:p>
        </w:tc>
        <w:tc>
          <w:tcPr>
            <w:tcW w:w="1700" w:type="pct"/>
            <w:vAlign w:val="center"/>
            <w:hideMark/>
          </w:tcPr>
          <w:p w14:paraId="0C03582D" w14:textId="77777777" w:rsidR="000D6397" w:rsidRPr="00AD5B4D" w:rsidRDefault="000D6397" w:rsidP="00CE57D6">
            <w:pPr>
              <w:pStyle w:val="Teksttabelisrodek"/>
              <w:jc w:val="both"/>
            </w:pPr>
            <w:r w:rsidRPr="00AD5B4D">
              <w:t>art. 318 ust. 1 pkt 1 pr.w.</w:t>
            </w:r>
          </w:p>
        </w:tc>
      </w:tr>
      <w:tr w:rsidR="000D6397" w:rsidRPr="00AD5B4D" w14:paraId="3B928679" w14:textId="77777777" w:rsidTr="00982AC0">
        <w:trPr>
          <w:trHeight w:val="454"/>
        </w:trPr>
        <w:tc>
          <w:tcPr>
            <w:tcW w:w="349" w:type="pct"/>
            <w:vAlign w:val="center"/>
            <w:hideMark/>
          </w:tcPr>
          <w:p w14:paraId="65A87225" w14:textId="77777777" w:rsidR="000D6397" w:rsidRPr="00AD5B4D" w:rsidRDefault="000D6397" w:rsidP="00F707D0">
            <w:pPr>
              <w:pStyle w:val="Teksttabelisrodek"/>
              <w:ind w:left="-120"/>
            </w:pPr>
            <w:r w:rsidRPr="00AD5B4D">
              <w:t>2</w:t>
            </w:r>
            <w:r>
              <w:t>.</w:t>
            </w:r>
          </w:p>
        </w:tc>
        <w:tc>
          <w:tcPr>
            <w:tcW w:w="1238" w:type="pct"/>
            <w:vAlign w:val="center"/>
          </w:tcPr>
          <w:p w14:paraId="0A2FECF5" w14:textId="77777777" w:rsidR="000D6397" w:rsidRPr="00AD5B4D" w:rsidRDefault="000D6397" w:rsidP="00CE57D6">
            <w:pPr>
              <w:pStyle w:val="Teksttabelisrodek"/>
              <w:jc w:val="both"/>
            </w:pPr>
            <w:r w:rsidRPr="00AD5B4D">
              <w:t>Rozdział 7</w:t>
            </w:r>
          </w:p>
        </w:tc>
        <w:tc>
          <w:tcPr>
            <w:tcW w:w="1713" w:type="pct"/>
            <w:vAlign w:val="center"/>
            <w:hideMark/>
          </w:tcPr>
          <w:p w14:paraId="6BA21B9D" w14:textId="77777777" w:rsidR="000D6397" w:rsidRPr="00AD5B4D" w:rsidRDefault="000D6397" w:rsidP="00CE57D6">
            <w:pPr>
              <w:pStyle w:val="Teksttabelisrodek"/>
              <w:jc w:val="both"/>
            </w:pPr>
            <w:r w:rsidRPr="00AD5B4D">
              <w:t>§2 ust. 1 pkt 39 r.p.g.w.</w:t>
            </w:r>
          </w:p>
          <w:p w14:paraId="450A411C" w14:textId="77777777" w:rsidR="000D6397" w:rsidRPr="00AD5B4D" w:rsidRDefault="000D6397" w:rsidP="00CE57D6">
            <w:pPr>
              <w:pStyle w:val="Teksttabelisrodek"/>
              <w:jc w:val="both"/>
            </w:pPr>
            <w:r w:rsidRPr="00AD5B4D">
              <w:t>§3 r.p.g.w.</w:t>
            </w:r>
          </w:p>
        </w:tc>
        <w:tc>
          <w:tcPr>
            <w:tcW w:w="1700" w:type="pct"/>
            <w:vAlign w:val="center"/>
            <w:hideMark/>
          </w:tcPr>
          <w:p w14:paraId="35709861" w14:textId="77777777" w:rsidR="000D6397" w:rsidRPr="00AD5B4D" w:rsidRDefault="000D6397" w:rsidP="00CE57D6">
            <w:pPr>
              <w:pStyle w:val="Teksttabelisrodek"/>
              <w:jc w:val="both"/>
            </w:pPr>
            <w:r w:rsidRPr="00AD5B4D">
              <w:t>art. 318 ust. 1 pkt 2 pr.w.</w:t>
            </w:r>
          </w:p>
        </w:tc>
      </w:tr>
      <w:tr w:rsidR="000D6397" w:rsidRPr="00AD5B4D" w14:paraId="40460AE7" w14:textId="77777777" w:rsidTr="00982AC0">
        <w:trPr>
          <w:trHeight w:val="454"/>
        </w:trPr>
        <w:tc>
          <w:tcPr>
            <w:tcW w:w="349" w:type="pct"/>
            <w:vAlign w:val="center"/>
            <w:hideMark/>
          </w:tcPr>
          <w:p w14:paraId="7F3DA380" w14:textId="77777777" w:rsidR="000D6397" w:rsidRPr="00AD5B4D" w:rsidRDefault="000D6397" w:rsidP="00F707D0">
            <w:pPr>
              <w:pStyle w:val="Teksttabelisrodek"/>
              <w:ind w:left="-120"/>
            </w:pPr>
            <w:r w:rsidRPr="00AD5B4D">
              <w:t>3</w:t>
            </w:r>
            <w:r>
              <w:t>.</w:t>
            </w:r>
          </w:p>
        </w:tc>
        <w:tc>
          <w:tcPr>
            <w:tcW w:w="1238" w:type="pct"/>
            <w:vAlign w:val="center"/>
          </w:tcPr>
          <w:p w14:paraId="7AB653A4" w14:textId="77777777" w:rsidR="000D6397" w:rsidRPr="00AD5B4D" w:rsidRDefault="000D6397" w:rsidP="00CE57D6">
            <w:pPr>
              <w:pStyle w:val="Teksttabelisrodek"/>
              <w:jc w:val="both"/>
            </w:pPr>
            <w:r w:rsidRPr="00AD5B4D">
              <w:t>Rozdział 3</w:t>
            </w:r>
          </w:p>
        </w:tc>
        <w:tc>
          <w:tcPr>
            <w:tcW w:w="1713" w:type="pct"/>
            <w:vAlign w:val="center"/>
            <w:hideMark/>
          </w:tcPr>
          <w:p w14:paraId="3FB3BB61" w14:textId="77777777" w:rsidR="000D6397" w:rsidRPr="00AB48A7" w:rsidRDefault="000D6397" w:rsidP="00CE57D6">
            <w:pPr>
              <w:pStyle w:val="Teksttabelisrodek"/>
              <w:jc w:val="both"/>
              <w:rPr>
                <w:lang w:val="de-DE"/>
              </w:rPr>
            </w:pPr>
            <w:r w:rsidRPr="00AB48A7">
              <w:rPr>
                <w:lang w:val="de-DE"/>
              </w:rPr>
              <w:t>§2 ust. 1 pkt 1e r.p.g.w.</w:t>
            </w:r>
          </w:p>
        </w:tc>
        <w:tc>
          <w:tcPr>
            <w:tcW w:w="1700" w:type="pct"/>
            <w:vAlign w:val="center"/>
            <w:hideMark/>
          </w:tcPr>
          <w:p w14:paraId="6D285B5E" w14:textId="77777777" w:rsidR="000D6397" w:rsidRPr="00AD5B4D" w:rsidRDefault="000D6397" w:rsidP="00CE57D6">
            <w:pPr>
              <w:pStyle w:val="Teksttabelisrodek"/>
              <w:jc w:val="both"/>
            </w:pPr>
            <w:r w:rsidRPr="00AD5B4D">
              <w:t>art. 318 ust. 1 pkt 3 pr.w.</w:t>
            </w:r>
          </w:p>
        </w:tc>
      </w:tr>
      <w:tr w:rsidR="000D6397" w:rsidRPr="00AD5B4D" w14:paraId="57260E17" w14:textId="77777777" w:rsidTr="00982AC0">
        <w:trPr>
          <w:trHeight w:val="454"/>
        </w:trPr>
        <w:tc>
          <w:tcPr>
            <w:tcW w:w="349" w:type="pct"/>
            <w:vAlign w:val="center"/>
            <w:hideMark/>
          </w:tcPr>
          <w:p w14:paraId="5A1D0D2B" w14:textId="77777777" w:rsidR="000D6397" w:rsidRPr="00AD5B4D" w:rsidRDefault="000D6397" w:rsidP="00F707D0">
            <w:pPr>
              <w:pStyle w:val="Teksttabelisrodek"/>
              <w:ind w:left="-120"/>
            </w:pPr>
            <w:r w:rsidRPr="00AD5B4D">
              <w:t>4</w:t>
            </w:r>
            <w:r>
              <w:t>.</w:t>
            </w:r>
          </w:p>
        </w:tc>
        <w:tc>
          <w:tcPr>
            <w:tcW w:w="1238" w:type="pct"/>
            <w:vAlign w:val="center"/>
          </w:tcPr>
          <w:p w14:paraId="278F0EE1" w14:textId="77777777" w:rsidR="000D6397" w:rsidRPr="00AD5B4D" w:rsidRDefault="000D6397" w:rsidP="00CE57D6">
            <w:pPr>
              <w:pStyle w:val="Teksttabelisrodek"/>
              <w:jc w:val="both"/>
            </w:pPr>
            <w:r w:rsidRPr="00AD5B4D">
              <w:t>Rozdział 5.1</w:t>
            </w:r>
          </w:p>
        </w:tc>
        <w:tc>
          <w:tcPr>
            <w:tcW w:w="1713" w:type="pct"/>
            <w:vAlign w:val="center"/>
            <w:hideMark/>
          </w:tcPr>
          <w:p w14:paraId="363A8290" w14:textId="7688A980" w:rsidR="000D6397" w:rsidRPr="00D44061" w:rsidRDefault="000D6397" w:rsidP="00CE57D6">
            <w:pPr>
              <w:pStyle w:val="Teksttabelisrodek"/>
              <w:jc w:val="both"/>
              <w:rPr>
                <w:lang w:val="en-US"/>
              </w:rPr>
            </w:pPr>
            <w:r w:rsidRPr="00D44061">
              <w:rPr>
                <w:lang w:val="en-US"/>
              </w:rPr>
              <w:t xml:space="preserve">§2 ust. 1 pkt 2, </w:t>
            </w:r>
            <w:r w:rsidR="00D25208" w:rsidRPr="00A3348E">
              <w:rPr>
                <w:lang w:val="en-US"/>
              </w:rPr>
              <w:t>3a</w:t>
            </w:r>
            <w:r>
              <w:rPr>
                <w:lang w:val="en-US"/>
              </w:rPr>
              <w:t>, 6, 7</w:t>
            </w:r>
            <w:r w:rsidRPr="00D44061">
              <w:rPr>
                <w:lang w:val="en-US"/>
              </w:rPr>
              <w:t> r.p.g.w.</w:t>
            </w:r>
          </w:p>
        </w:tc>
        <w:tc>
          <w:tcPr>
            <w:tcW w:w="1700" w:type="pct"/>
            <w:vAlign w:val="center"/>
            <w:hideMark/>
          </w:tcPr>
          <w:p w14:paraId="7DAFAA52" w14:textId="77777777" w:rsidR="000D6397" w:rsidRPr="00AD5B4D" w:rsidRDefault="000D6397" w:rsidP="00CE57D6">
            <w:pPr>
              <w:pStyle w:val="Teksttabelisrodek"/>
              <w:jc w:val="both"/>
            </w:pPr>
            <w:r w:rsidRPr="00AD5B4D">
              <w:t>art. 318 ust. 1 pkt 4 pr.w.</w:t>
            </w:r>
          </w:p>
        </w:tc>
      </w:tr>
      <w:tr w:rsidR="000D6397" w:rsidRPr="00AD5B4D" w14:paraId="12D7BFE8" w14:textId="77777777" w:rsidTr="00982AC0">
        <w:trPr>
          <w:trHeight w:val="454"/>
        </w:trPr>
        <w:tc>
          <w:tcPr>
            <w:tcW w:w="349" w:type="pct"/>
            <w:vAlign w:val="center"/>
            <w:hideMark/>
          </w:tcPr>
          <w:p w14:paraId="69F75D66" w14:textId="77777777" w:rsidR="000D6397" w:rsidRPr="00AD5B4D" w:rsidRDefault="000D6397" w:rsidP="00F707D0">
            <w:pPr>
              <w:pStyle w:val="Teksttabelisrodek"/>
              <w:ind w:left="-120"/>
            </w:pPr>
            <w:r w:rsidRPr="00AD5B4D">
              <w:t>5</w:t>
            </w:r>
            <w:r>
              <w:t>.</w:t>
            </w:r>
          </w:p>
        </w:tc>
        <w:tc>
          <w:tcPr>
            <w:tcW w:w="1238" w:type="pct"/>
            <w:vAlign w:val="center"/>
          </w:tcPr>
          <w:p w14:paraId="51C6F21D" w14:textId="77777777" w:rsidR="000D6397" w:rsidRPr="00AD5B4D" w:rsidRDefault="000D6397" w:rsidP="00CE57D6">
            <w:pPr>
              <w:pStyle w:val="Teksttabelisrodek"/>
              <w:jc w:val="both"/>
            </w:pPr>
            <w:r w:rsidRPr="00AD5B4D">
              <w:t>Rozdział 5.2</w:t>
            </w:r>
          </w:p>
        </w:tc>
        <w:tc>
          <w:tcPr>
            <w:tcW w:w="1713" w:type="pct"/>
            <w:vAlign w:val="center"/>
            <w:hideMark/>
          </w:tcPr>
          <w:p w14:paraId="58431721" w14:textId="77777777" w:rsidR="000D6397" w:rsidRPr="00E06FD2" w:rsidRDefault="000D6397" w:rsidP="00CE57D6">
            <w:pPr>
              <w:pStyle w:val="Teksttabelisrodek"/>
              <w:jc w:val="both"/>
            </w:pPr>
            <w:r w:rsidRPr="00D44061">
              <w:t xml:space="preserve">§2 ust. 1 pkt 2, 3 b, 4, 5, 6, 7, 8, 9, </w:t>
            </w:r>
            <w:r w:rsidRPr="00E06FD2">
              <w:t>10 r.p.g.w.</w:t>
            </w:r>
          </w:p>
        </w:tc>
        <w:tc>
          <w:tcPr>
            <w:tcW w:w="1700" w:type="pct"/>
            <w:vAlign w:val="center"/>
            <w:hideMark/>
          </w:tcPr>
          <w:p w14:paraId="20DB299A" w14:textId="77777777" w:rsidR="000D6397" w:rsidRPr="00AD5B4D" w:rsidRDefault="000D6397" w:rsidP="00CE57D6">
            <w:pPr>
              <w:pStyle w:val="Teksttabelisrodek"/>
              <w:jc w:val="both"/>
            </w:pPr>
            <w:r w:rsidRPr="00AD5B4D">
              <w:t>art. 318 ust. 1 pkt 4 pr.w.</w:t>
            </w:r>
          </w:p>
        </w:tc>
      </w:tr>
      <w:tr w:rsidR="000D6397" w:rsidRPr="00AD5B4D" w14:paraId="67761727" w14:textId="77777777" w:rsidTr="00982AC0">
        <w:trPr>
          <w:trHeight w:val="454"/>
        </w:trPr>
        <w:tc>
          <w:tcPr>
            <w:tcW w:w="349" w:type="pct"/>
            <w:vAlign w:val="center"/>
            <w:hideMark/>
          </w:tcPr>
          <w:p w14:paraId="79E9DB47" w14:textId="77777777" w:rsidR="000D6397" w:rsidRPr="00AD5B4D" w:rsidRDefault="000D6397" w:rsidP="00F707D0">
            <w:pPr>
              <w:pStyle w:val="Teksttabelisrodek"/>
              <w:ind w:left="-120"/>
            </w:pPr>
            <w:r w:rsidRPr="00AD5B4D">
              <w:t>6</w:t>
            </w:r>
            <w:r>
              <w:t>.</w:t>
            </w:r>
          </w:p>
        </w:tc>
        <w:tc>
          <w:tcPr>
            <w:tcW w:w="1238" w:type="pct"/>
            <w:vAlign w:val="center"/>
          </w:tcPr>
          <w:p w14:paraId="1B8E353F" w14:textId="77777777" w:rsidR="000D6397" w:rsidRPr="00AD5B4D" w:rsidRDefault="000D6397" w:rsidP="00CE57D6">
            <w:pPr>
              <w:pStyle w:val="Teksttabelisrodek"/>
              <w:jc w:val="both"/>
            </w:pPr>
            <w:r w:rsidRPr="00AD5B4D">
              <w:t>Rozdział 8</w:t>
            </w:r>
          </w:p>
        </w:tc>
        <w:tc>
          <w:tcPr>
            <w:tcW w:w="1713" w:type="pct"/>
            <w:vAlign w:val="center"/>
            <w:hideMark/>
          </w:tcPr>
          <w:p w14:paraId="399D6E81" w14:textId="77777777" w:rsidR="000D6397" w:rsidRPr="00AD5B4D" w:rsidRDefault="000D6397" w:rsidP="00CE57D6">
            <w:pPr>
              <w:pStyle w:val="Teksttabelisrodek"/>
              <w:jc w:val="both"/>
            </w:pPr>
            <w:r w:rsidRPr="00AD5B4D">
              <w:t>§2 ust. 1 pkt 11 r.p.g.w.</w:t>
            </w:r>
          </w:p>
          <w:p w14:paraId="67A522AD" w14:textId="77777777" w:rsidR="000D6397" w:rsidRPr="00AD5B4D" w:rsidRDefault="000D6397" w:rsidP="00CE57D6">
            <w:pPr>
              <w:pStyle w:val="Teksttabelisrodek"/>
              <w:jc w:val="both"/>
            </w:pPr>
            <w:r w:rsidRPr="00AD5B4D">
              <w:t>§4 r.p.g.w.</w:t>
            </w:r>
          </w:p>
        </w:tc>
        <w:tc>
          <w:tcPr>
            <w:tcW w:w="1700" w:type="pct"/>
            <w:vAlign w:val="center"/>
            <w:hideMark/>
          </w:tcPr>
          <w:p w14:paraId="4530428E" w14:textId="77777777" w:rsidR="000D6397" w:rsidRPr="00AD5B4D" w:rsidRDefault="000D6397" w:rsidP="00CE57D6">
            <w:pPr>
              <w:pStyle w:val="Teksttabelisrodek"/>
              <w:jc w:val="both"/>
            </w:pPr>
            <w:r w:rsidRPr="00AD5B4D">
              <w:t>art. 318 ust. 1 pkt 5 pr.w.</w:t>
            </w:r>
          </w:p>
        </w:tc>
      </w:tr>
      <w:tr w:rsidR="000D6397" w:rsidRPr="00AD5B4D" w14:paraId="70A67D29" w14:textId="77777777" w:rsidTr="00982AC0">
        <w:trPr>
          <w:trHeight w:val="454"/>
        </w:trPr>
        <w:tc>
          <w:tcPr>
            <w:tcW w:w="349" w:type="pct"/>
            <w:vAlign w:val="center"/>
            <w:hideMark/>
          </w:tcPr>
          <w:p w14:paraId="38631DA4" w14:textId="77777777" w:rsidR="000D6397" w:rsidRPr="00AD5B4D" w:rsidRDefault="000D6397" w:rsidP="00F707D0">
            <w:pPr>
              <w:pStyle w:val="Teksttabelisrodek"/>
              <w:ind w:left="-120"/>
            </w:pPr>
            <w:r w:rsidRPr="00AD5B4D">
              <w:t>7</w:t>
            </w:r>
            <w:r>
              <w:t>.</w:t>
            </w:r>
          </w:p>
        </w:tc>
        <w:tc>
          <w:tcPr>
            <w:tcW w:w="1238" w:type="pct"/>
            <w:vAlign w:val="center"/>
          </w:tcPr>
          <w:p w14:paraId="4D74FAB0" w14:textId="77777777" w:rsidR="000D6397" w:rsidRPr="00AD5B4D" w:rsidRDefault="000D6397" w:rsidP="00CE57D6">
            <w:pPr>
              <w:pStyle w:val="Teksttabelisrodek"/>
              <w:jc w:val="both"/>
            </w:pPr>
            <w:r w:rsidRPr="00AD5B4D">
              <w:t>Rozdział 11</w:t>
            </w:r>
          </w:p>
        </w:tc>
        <w:tc>
          <w:tcPr>
            <w:tcW w:w="1713" w:type="pct"/>
            <w:vAlign w:val="center"/>
            <w:hideMark/>
          </w:tcPr>
          <w:p w14:paraId="1BC2112D" w14:textId="77777777" w:rsidR="000D6397" w:rsidRPr="00AD5B4D" w:rsidRDefault="000D6397" w:rsidP="00CE57D6">
            <w:pPr>
              <w:pStyle w:val="Teksttabelisrodek"/>
              <w:jc w:val="both"/>
            </w:pPr>
            <w:r w:rsidRPr="00AD5B4D">
              <w:t>§2 ust. 1 pkt 40 r.p.g.w.</w:t>
            </w:r>
          </w:p>
          <w:p w14:paraId="7F1999A6" w14:textId="77777777" w:rsidR="000D6397" w:rsidRPr="00AD5B4D" w:rsidRDefault="000D6397" w:rsidP="00CE57D6">
            <w:pPr>
              <w:pStyle w:val="Teksttabelisrodek"/>
              <w:jc w:val="both"/>
            </w:pPr>
            <w:r w:rsidRPr="00AD5B4D">
              <w:t>§5 r.p.g.w.</w:t>
            </w:r>
          </w:p>
        </w:tc>
        <w:tc>
          <w:tcPr>
            <w:tcW w:w="1700" w:type="pct"/>
            <w:vAlign w:val="center"/>
            <w:hideMark/>
          </w:tcPr>
          <w:p w14:paraId="14287F40" w14:textId="77777777" w:rsidR="000D6397" w:rsidRPr="00AD5B4D" w:rsidRDefault="000D6397" w:rsidP="00CE57D6">
            <w:pPr>
              <w:pStyle w:val="Teksttabelisrodek"/>
              <w:jc w:val="both"/>
            </w:pPr>
            <w:r w:rsidRPr="00AD5B4D">
              <w:t>art. 318 ust. 1 pkt 6 pr.w.</w:t>
            </w:r>
          </w:p>
        </w:tc>
      </w:tr>
      <w:tr w:rsidR="000D6397" w:rsidRPr="00AD5B4D" w14:paraId="70B9F8ED" w14:textId="77777777" w:rsidTr="00982AC0">
        <w:trPr>
          <w:trHeight w:val="454"/>
        </w:trPr>
        <w:tc>
          <w:tcPr>
            <w:tcW w:w="349" w:type="pct"/>
            <w:vAlign w:val="center"/>
            <w:hideMark/>
          </w:tcPr>
          <w:p w14:paraId="3E1C6F9A" w14:textId="77777777" w:rsidR="000D6397" w:rsidRPr="00AD5B4D" w:rsidRDefault="000D6397" w:rsidP="00F707D0">
            <w:pPr>
              <w:pStyle w:val="Teksttabelisrodek"/>
              <w:ind w:left="-120"/>
            </w:pPr>
            <w:r w:rsidRPr="00AD5B4D">
              <w:t>8</w:t>
            </w:r>
            <w:r>
              <w:t>.</w:t>
            </w:r>
          </w:p>
        </w:tc>
        <w:tc>
          <w:tcPr>
            <w:tcW w:w="1238" w:type="pct"/>
            <w:vAlign w:val="center"/>
          </w:tcPr>
          <w:p w14:paraId="63F23B63" w14:textId="77777777" w:rsidR="000D6397" w:rsidRPr="00AD5B4D" w:rsidRDefault="000D6397" w:rsidP="00CE57D6">
            <w:pPr>
              <w:pStyle w:val="Teksttabelisrodek"/>
              <w:jc w:val="both"/>
            </w:pPr>
            <w:r w:rsidRPr="00AD5B4D">
              <w:t>Rozdział 12</w:t>
            </w:r>
          </w:p>
        </w:tc>
        <w:tc>
          <w:tcPr>
            <w:tcW w:w="1713" w:type="pct"/>
            <w:vAlign w:val="center"/>
            <w:hideMark/>
          </w:tcPr>
          <w:p w14:paraId="5EDD3A00" w14:textId="77777777" w:rsidR="000D6397" w:rsidRPr="00AD5B4D" w:rsidRDefault="000D6397" w:rsidP="00CE57D6">
            <w:pPr>
              <w:pStyle w:val="Teksttabelisrodek"/>
              <w:jc w:val="both"/>
            </w:pPr>
            <w:r w:rsidRPr="00AD5B4D">
              <w:t>§2 ust. 1 pkt 12 r.p.g.w.</w:t>
            </w:r>
          </w:p>
        </w:tc>
        <w:tc>
          <w:tcPr>
            <w:tcW w:w="1700" w:type="pct"/>
            <w:vAlign w:val="center"/>
            <w:hideMark/>
          </w:tcPr>
          <w:p w14:paraId="6807078F" w14:textId="77777777" w:rsidR="000D6397" w:rsidRPr="00AD5B4D" w:rsidRDefault="000D6397" w:rsidP="00CE57D6">
            <w:pPr>
              <w:pStyle w:val="Teksttabelisrodek"/>
              <w:jc w:val="both"/>
            </w:pPr>
            <w:r w:rsidRPr="00AD5B4D">
              <w:t>art. 318 ust. 1 pkt 7 pr.w.</w:t>
            </w:r>
          </w:p>
        </w:tc>
      </w:tr>
      <w:tr w:rsidR="000D6397" w:rsidRPr="00AD5B4D" w14:paraId="361BD535" w14:textId="77777777" w:rsidTr="00982AC0">
        <w:trPr>
          <w:trHeight w:val="454"/>
        </w:trPr>
        <w:tc>
          <w:tcPr>
            <w:tcW w:w="349" w:type="pct"/>
            <w:vAlign w:val="center"/>
            <w:hideMark/>
          </w:tcPr>
          <w:p w14:paraId="298F7F3B" w14:textId="77777777" w:rsidR="000D6397" w:rsidRPr="00AD5B4D" w:rsidRDefault="000D6397" w:rsidP="00F707D0">
            <w:pPr>
              <w:pStyle w:val="Teksttabelisrodek"/>
              <w:ind w:left="-120"/>
            </w:pPr>
            <w:r w:rsidRPr="00AD5B4D">
              <w:t>9</w:t>
            </w:r>
            <w:r>
              <w:t>.</w:t>
            </w:r>
          </w:p>
        </w:tc>
        <w:tc>
          <w:tcPr>
            <w:tcW w:w="1238" w:type="pct"/>
            <w:vAlign w:val="center"/>
          </w:tcPr>
          <w:p w14:paraId="0110B9E7" w14:textId="77777777" w:rsidR="000D6397" w:rsidRPr="00AD5B4D" w:rsidRDefault="000D6397" w:rsidP="00CE57D6">
            <w:pPr>
              <w:pStyle w:val="Teksttabelisrodek"/>
              <w:jc w:val="both"/>
            </w:pPr>
            <w:r w:rsidRPr="00AD5B4D">
              <w:t>Rozdział 13.1</w:t>
            </w:r>
          </w:p>
        </w:tc>
        <w:tc>
          <w:tcPr>
            <w:tcW w:w="1713" w:type="pct"/>
            <w:vAlign w:val="center"/>
            <w:hideMark/>
          </w:tcPr>
          <w:p w14:paraId="79B8809F" w14:textId="77777777" w:rsidR="000D6397" w:rsidRPr="00AD5B4D" w:rsidRDefault="000D6397" w:rsidP="00CE57D6">
            <w:pPr>
              <w:pStyle w:val="Teksttabelisrodek"/>
              <w:jc w:val="both"/>
            </w:pPr>
            <w:r w:rsidRPr="00AD5B4D">
              <w:t>§2 ust. 1 pkt 14 r.p.g.w.</w:t>
            </w:r>
          </w:p>
        </w:tc>
        <w:tc>
          <w:tcPr>
            <w:tcW w:w="1700" w:type="pct"/>
            <w:vAlign w:val="center"/>
            <w:hideMark/>
          </w:tcPr>
          <w:p w14:paraId="362B4C53" w14:textId="77777777" w:rsidR="000D6397" w:rsidRPr="00AD5B4D" w:rsidRDefault="000D6397" w:rsidP="00CE57D6">
            <w:pPr>
              <w:pStyle w:val="Teksttabelisrodek"/>
              <w:jc w:val="both"/>
            </w:pPr>
            <w:r w:rsidRPr="00AD5B4D">
              <w:t>art. 318 ust. 1 pkt 8 pr.w.</w:t>
            </w:r>
          </w:p>
        </w:tc>
      </w:tr>
      <w:tr w:rsidR="000D6397" w:rsidRPr="00AD5B4D" w14:paraId="693FDE1C" w14:textId="77777777" w:rsidTr="00982AC0">
        <w:trPr>
          <w:trHeight w:val="454"/>
        </w:trPr>
        <w:tc>
          <w:tcPr>
            <w:tcW w:w="349" w:type="pct"/>
            <w:vAlign w:val="center"/>
            <w:hideMark/>
          </w:tcPr>
          <w:p w14:paraId="64CF2FEA" w14:textId="77777777" w:rsidR="000D6397" w:rsidRPr="00AD5B4D" w:rsidRDefault="000D6397" w:rsidP="00F707D0">
            <w:pPr>
              <w:pStyle w:val="Teksttabelisrodek"/>
              <w:ind w:left="-120"/>
            </w:pPr>
            <w:r w:rsidRPr="00AD5B4D">
              <w:t>10</w:t>
            </w:r>
            <w:r>
              <w:t>.</w:t>
            </w:r>
          </w:p>
        </w:tc>
        <w:tc>
          <w:tcPr>
            <w:tcW w:w="1238" w:type="pct"/>
            <w:vAlign w:val="center"/>
          </w:tcPr>
          <w:p w14:paraId="7B6DFFCB" w14:textId="77777777" w:rsidR="000D6397" w:rsidRPr="00AD5B4D" w:rsidRDefault="000D6397" w:rsidP="00CE57D6">
            <w:pPr>
              <w:pStyle w:val="Teksttabelisrodek"/>
              <w:jc w:val="both"/>
            </w:pPr>
            <w:r w:rsidRPr="00AD5B4D">
              <w:t>Rozdział 13.2</w:t>
            </w:r>
          </w:p>
        </w:tc>
        <w:tc>
          <w:tcPr>
            <w:tcW w:w="1713" w:type="pct"/>
            <w:vAlign w:val="center"/>
            <w:hideMark/>
          </w:tcPr>
          <w:p w14:paraId="45FAFC24" w14:textId="574C369F" w:rsidR="000D6397" w:rsidRPr="00AD5B4D" w:rsidRDefault="000D6397" w:rsidP="00CE57D6">
            <w:pPr>
              <w:pStyle w:val="Teksttabelisrodek"/>
              <w:jc w:val="both"/>
            </w:pPr>
            <w:r w:rsidRPr="00AD5B4D">
              <w:t>§2 ust. 1 pkt </w:t>
            </w:r>
            <w:r w:rsidR="00713EF7" w:rsidRPr="00A3348E">
              <w:t>15</w:t>
            </w:r>
            <w:r w:rsidR="00713EF7">
              <w:t>b, 15</w:t>
            </w:r>
            <w:r w:rsidR="00713EF7" w:rsidRPr="00A3348E">
              <w:t>c</w:t>
            </w:r>
            <w:r w:rsidRPr="00AD5B4D">
              <w:t> r.p.g.w.</w:t>
            </w:r>
          </w:p>
        </w:tc>
        <w:tc>
          <w:tcPr>
            <w:tcW w:w="1700" w:type="pct"/>
            <w:vAlign w:val="center"/>
            <w:hideMark/>
          </w:tcPr>
          <w:p w14:paraId="48A7D269" w14:textId="77777777" w:rsidR="000D6397" w:rsidRPr="00AD5B4D" w:rsidRDefault="000D6397" w:rsidP="00CE57D6">
            <w:pPr>
              <w:pStyle w:val="Teksttabelisrodek"/>
              <w:jc w:val="both"/>
            </w:pPr>
            <w:r w:rsidRPr="00AD5B4D">
              <w:t>art. 318 ust. 1 pkt 9 pr.w.</w:t>
            </w:r>
          </w:p>
        </w:tc>
      </w:tr>
      <w:tr w:rsidR="000D6397" w:rsidRPr="00AD5B4D" w14:paraId="5D46D8A4" w14:textId="77777777" w:rsidTr="00982AC0">
        <w:trPr>
          <w:trHeight w:val="454"/>
        </w:trPr>
        <w:tc>
          <w:tcPr>
            <w:tcW w:w="349" w:type="pct"/>
            <w:vAlign w:val="center"/>
            <w:hideMark/>
          </w:tcPr>
          <w:p w14:paraId="5238BB73" w14:textId="77777777" w:rsidR="000D6397" w:rsidRPr="00AD5B4D" w:rsidRDefault="000D6397" w:rsidP="00F707D0">
            <w:pPr>
              <w:pStyle w:val="Teksttabelisrodek"/>
              <w:ind w:left="-120"/>
            </w:pPr>
            <w:r w:rsidRPr="00AD5B4D">
              <w:t>11</w:t>
            </w:r>
            <w:r>
              <w:t>.</w:t>
            </w:r>
          </w:p>
        </w:tc>
        <w:tc>
          <w:tcPr>
            <w:tcW w:w="1238" w:type="pct"/>
            <w:vAlign w:val="center"/>
          </w:tcPr>
          <w:p w14:paraId="657C1E77" w14:textId="77777777" w:rsidR="000D6397" w:rsidRPr="00AD5B4D" w:rsidRDefault="000D6397" w:rsidP="00CE57D6">
            <w:pPr>
              <w:pStyle w:val="Teksttabelisrodek"/>
              <w:jc w:val="both"/>
            </w:pPr>
            <w:r w:rsidRPr="00AD5B4D">
              <w:t>Rozdział 13.3</w:t>
            </w:r>
          </w:p>
        </w:tc>
        <w:tc>
          <w:tcPr>
            <w:tcW w:w="1713" w:type="pct"/>
            <w:vAlign w:val="center"/>
            <w:hideMark/>
          </w:tcPr>
          <w:p w14:paraId="65A9A673" w14:textId="77777777" w:rsidR="000D6397" w:rsidRPr="00AD5B4D" w:rsidRDefault="000D6397" w:rsidP="00CE57D6">
            <w:pPr>
              <w:pStyle w:val="Teksttabelisrodek"/>
              <w:jc w:val="both"/>
            </w:pPr>
            <w:r w:rsidRPr="00AD5B4D">
              <w:t>§2 ust. 1 pkt 16 r.p.g.w.</w:t>
            </w:r>
          </w:p>
        </w:tc>
        <w:tc>
          <w:tcPr>
            <w:tcW w:w="1700" w:type="pct"/>
            <w:vAlign w:val="center"/>
            <w:hideMark/>
          </w:tcPr>
          <w:p w14:paraId="38638735" w14:textId="77777777" w:rsidR="000D6397" w:rsidRPr="00AD5B4D" w:rsidRDefault="000D6397" w:rsidP="00CE57D6">
            <w:pPr>
              <w:pStyle w:val="Teksttabelisrodek"/>
              <w:jc w:val="both"/>
            </w:pPr>
            <w:r w:rsidRPr="00AD5B4D">
              <w:t>art. 318 ust. 1 pkt 10 pr.w.</w:t>
            </w:r>
          </w:p>
        </w:tc>
      </w:tr>
      <w:tr w:rsidR="000D6397" w:rsidRPr="00AD5B4D" w14:paraId="7A812456" w14:textId="77777777" w:rsidTr="00982AC0">
        <w:trPr>
          <w:trHeight w:val="454"/>
        </w:trPr>
        <w:tc>
          <w:tcPr>
            <w:tcW w:w="349" w:type="pct"/>
            <w:vAlign w:val="center"/>
            <w:hideMark/>
          </w:tcPr>
          <w:p w14:paraId="01F1E3FF" w14:textId="77777777" w:rsidR="000D6397" w:rsidRPr="00AD5B4D" w:rsidRDefault="000D6397" w:rsidP="00F707D0">
            <w:pPr>
              <w:pStyle w:val="Teksttabelisrodek"/>
              <w:ind w:left="-120"/>
            </w:pPr>
            <w:r w:rsidRPr="00AD5B4D">
              <w:t>12</w:t>
            </w:r>
            <w:r>
              <w:t>.</w:t>
            </w:r>
          </w:p>
        </w:tc>
        <w:tc>
          <w:tcPr>
            <w:tcW w:w="1238" w:type="pct"/>
            <w:vAlign w:val="center"/>
          </w:tcPr>
          <w:p w14:paraId="37C46E00" w14:textId="77777777" w:rsidR="000D6397" w:rsidRPr="00AD5B4D" w:rsidRDefault="000D6397" w:rsidP="00CE57D6">
            <w:pPr>
              <w:pStyle w:val="Teksttabelisrodek"/>
              <w:jc w:val="both"/>
            </w:pPr>
            <w:r w:rsidRPr="00AD5B4D">
              <w:t>Rozdział 13.4</w:t>
            </w:r>
          </w:p>
        </w:tc>
        <w:tc>
          <w:tcPr>
            <w:tcW w:w="1713" w:type="pct"/>
            <w:vAlign w:val="center"/>
            <w:hideMark/>
          </w:tcPr>
          <w:p w14:paraId="05BCD0F8" w14:textId="77777777" w:rsidR="000D6397" w:rsidRPr="00AD5B4D" w:rsidRDefault="000D6397" w:rsidP="00CE57D6">
            <w:pPr>
              <w:pStyle w:val="Teksttabelisrodek"/>
              <w:jc w:val="both"/>
            </w:pPr>
            <w:r w:rsidRPr="00AD5B4D">
              <w:t>§2 ust. 1 pkt 17 r.p.g.w.</w:t>
            </w:r>
          </w:p>
        </w:tc>
        <w:tc>
          <w:tcPr>
            <w:tcW w:w="1700" w:type="pct"/>
            <w:vAlign w:val="center"/>
            <w:hideMark/>
          </w:tcPr>
          <w:p w14:paraId="37A971D7" w14:textId="77777777" w:rsidR="000D6397" w:rsidRPr="00AD5B4D" w:rsidRDefault="000D6397" w:rsidP="00CE57D6">
            <w:pPr>
              <w:pStyle w:val="Teksttabelisrodek"/>
              <w:jc w:val="both"/>
            </w:pPr>
            <w:r w:rsidRPr="00AD5B4D">
              <w:t>art. 318 ust. 1 pkt 11 pr.w.</w:t>
            </w:r>
          </w:p>
        </w:tc>
      </w:tr>
      <w:tr w:rsidR="000D6397" w:rsidRPr="00AD5B4D" w14:paraId="7776C4B6" w14:textId="77777777" w:rsidTr="00982AC0">
        <w:trPr>
          <w:trHeight w:val="454"/>
        </w:trPr>
        <w:tc>
          <w:tcPr>
            <w:tcW w:w="349" w:type="pct"/>
            <w:vAlign w:val="center"/>
            <w:hideMark/>
          </w:tcPr>
          <w:p w14:paraId="475BF246" w14:textId="77777777" w:rsidR="000D6397" w:rsidRPr="00AD5B4D" w:rsidRDefault="000D6397" w:rsidP="00F707D0">
            <w:pPr>
              <w:pStyle w:val="Teksttabelisrodek"/>
              <w:ind w:left="-120"/>
            </w:pPr>
            <w:r w:rsidRPr="00AD5B4D">
              <w:t>13</w:t>
            </w:r>
            <w:r>
              <w:t>.</w:t>
            </w:r>
          </w:p>
        </w:tc>
        <w:tc>
          <w:tcPr>
            <w:tcW w:w="1238" w:type="pct"/>
            <w:vAlign w:val="center"/>
          </w:tcPr>
          <w:p w14:paraId="2D6A4B29" w14:textId="77777777" w:rsidR="000D6397" w:rsidRPr="00AD5B4D" w:rsidRDefault="000D6397" w:rsidP="00CE57D6">
            <w:pPr>
              <w:pStyle w:val="Teksttabelisrodek"/>
              <w:jc w:val="both"/>
            </w:pPr>
            <w:r w:rsidRPr="00AD5B4D">
              <w:t>Rozdział 13.5</w:t>
            </w:r>
          </w:p>
        </w:tc>
        <w:tc>
          <w:tcPr>
            <w:tcW w:w="1713" w:type="pct"/>
            <w:vAlign w:val="center"/>
            <w:hideMark/>
          </w:tcPr>
          <w:p w14:paraId="61D234AA" w14:textId="77777777" w:rsidR="000D6397" w:rsidRPr="00AD5B4D" w:rsidRDefault="000D6397" w:rsidP="00CE57D6">
            <w:pPr>
              <w:pStyle w:val="Teksttabelisrodek"/>
              <w:jc w:val="both"/>
            </w:pPr>
            <w:r w:rsidRPr="00AD5B4D">
              <w:t>§2 ust. 1 pkt 18 r.p.g.w.</w:t>
            </w:r>
          </w:p>
        </w:tc>
        <w:tc>
          <w:tcPr>
            <w:tcW w:w="1700" w:type="pct"/>
            <w:vAlign w:val="center"/>
            <w:hideMark/>
          </w:tcPr>
          <w:p w14:paraId="583B569E" w14:textId="77777777" w:rsidR="000D6397" w:rsidRPr="00AD5B4D" w:rsidRDefault="000D6397" w:rsidP="00CE57D6">
            <w:pPr>
              <w:pStyle w:val="Teksttabelisrodek"/>
              <w:jc w:val="both"/>
            </w:pPr>
            <w:r w:rsidRPr="00AD5B4D">
              <w:t>art. 318 ust. 1 pkt 12 pr.w.</w:t>
            </w:r>
          </w:p>
        </w:tc>
      </w:tr>
      <w:tr w:rsidR="000D6397" w:rsidRPr="00AD5B4D" w14:paraId="441FD656" w14:textId="77777777" w:rsidTr="00982AC0">
        <w:trPr>
          <w:trHeight w:val="454"/>
        </w:trPr>
        <w:tc>
          <w:tcPr>
            <w:tcW w:w="349" w:type="pct"/>
            <w:vAlign w:val="center"/>
            <w:hideMark/>
          </w:tcPr>
          <w:p w14:paraId="226567BD" w14:textId="77777777" w:rsidR="000D6397" w:rsidRPr="00AD5B4D" w:rsidRDefault="000D6397" w:rsidP="00F707D0">
            <w:pPr>
              <w:pStyle w:val="Teksttabelisrodek"/>
              <w:ind w:left="-120"/>
            </w:pPr>
            <w:r w:rsidRPr="00AD5B4D">
              <w:t>14</w:t>
            </w:r>
            <w:r>
              <w:t>.</w:t>
            </w:r>
          </w:p>
        </w:tc>
        <w:tc>
          <w:tcPr>
            <w:tcW w:w="1238" w:type="pct"/>
            <w:vAlign w:val="center"/>
          </w:tcPr>
          <w:p w14:paraId="27498D9C" w14:textId="77777777" w:rsidR="000D6397" w:rsidRPr="00AD5B4D" w:rsidRDefault="000D6397" w:rsidP="00CE57D6">
            <w:pPr>
              <w:pStyle w:val="Teksttabelisrodek"/>
              <w:jc w:val="both"/>
            </w:pPr>
            <w:r w:rsidRPr="00AD5B4D">
              <w:t>Rozdział 13.6</w:t>
            </w:r>
          </w:p>
        </w:tc>
        <w:tc>
          <w:tcPr>
            <w:tcW w:w="1713" w:type="pct"/>
            <w:vAlign w:val="center"/>
            <w:hideMark/>
          </w:tcPr>
          <w:p w14:paraId="4BCA6C3E" w14:textId="77777777" w:rsidR="000D6397" w:rsidRPr="00AD5B4D" w:rsidRDefault="000D6397" w:rsidP="00CE57D6">
            <w:pPr>
              <w:pStyle w:val="Teksttabelisrodek"/>
              <w:jc w:val="both"/>
            </w:pPr>
            <w:r w:rsidRPr="00AD5B4D">
              <w:t>§2 ust. 1 pkt 19 r.p.g.w.</w:t>
            </w:r>
          </w:p>
        </w:tc>
        <w:tc>
          <w:tcPr>
            <w:tcW w:w="1700" w:type="pct"/>
            <w:vAlign w:val="center"/>
            <w:hideMark/>
          </w:tcPr>
          <w:p w14:paraId="2FA766CF" w14:textId="77777777" w:rsidR="000D6397" w:rsidRPr="00AD5B4D" w:rsidRDefault="000D6397" w:rsidP="00CE57D6">
            <w:pPr>
              <w:pStyle w:val="Teksttabelisrodek"/>
              <w:jc w:val="both"/>
            </w:pPr>
            <w:r w:rsidRPr="00AD5B4D">
              <w:t>art. 318 ust. 1 pkt 13 pr.w.</w:t>
            </w:r>
          </w:p>
        </w:tc>
      </w:tr>
      <w:tr w:rsidR="000D6397" w:rsidRPr="00AD5B4D" w14:paraId="56C36E7B" w14:textId="77777777" w:rsidTr="00982AC0">
        <w:trPr>
          <w:trHeight w:val="454"/>
        </w:trPr>
        <w:tc>
          <w:tcPr>
            <w:tcW w:w="349" w:type="pct"/>
            <w:vAlign w:val="center"/>
            <w:hideMark/>
          </w:tcPr>
          <w:p w14:paraId="146E717E" w14:textId="77777777" w:rsidR="000D6397" w:rsidRPr="00AD5B4D" w:rsidRDefault="000D6397" w:rsidP="00F707D0">
            <w:pPr>
              <w:pStyle w:val="Teksttabelisrodek"/>
              <w:ind w:left="-120"/>
            </w:pPr>
            <w:r w:rsidRPr="00AD5B4D">
              <w:t>15</w:t>
            </w:r>
            <w:r>
              <w:t>.</w:t>
            </w:r>
          </w:p>
        </w:tc>
        <w:tc>
          <w:tcPr>
            <w:tcW w:w="1238" w:type="pct"/>
            <w:vAlign w:val="center"/>
          </w:tcPr>
          <w:p w14:paraId="6C04B6DA" w14:textId="77777777" w:rsidR="000D6397" w:rsidRPr="00AD5B4D" w:rsidRDefault="000D6397" w:rsidP="00CE57D6">
            <w:pPr>
              <w:pStyle w:val="Teksttabelisrodek"/>
              <w:jc w:val="both"/>
            </w:pPr>
            <w:r w:rsidRPr="00AD5B4D">
              <w:t>Rozdział 13.7</w:t>
            </w:r>
          </w:p>
        </w:tc>
        <w:tc>
          <w:tcPr>
            <w:tcW w:w="1713" w:type="pct"/>
            <w:vAlign w:val="center"/>
            <w:hideMark/>
          </w:tcPr>
          <w:p w14:paraId="0BE7BF5C" w14:textId="77777777" w:rsidR="000D6397" w:rsidRPr="00AD5B4D" w:rsidRDefault="000D6397" w:rsidP="00CE57D6">
            <w:pPr>
              <w:pStyle w:val="Teksttabelisrodek"/>
              <w:jc w:val="both"/>
            </w:pPr>
            <w:r w:rsidRPr="00AD5B4D">
              <w:t>§2 ust. 1 pkt 20 r.p.g.w.</w:t>
            </w:r>
          </w:p>
        </w:tc>
        <w:tc>
          <w:tcPr>
            <w:tcW w:w="1700" w:type="pct"/>
            <w:vAlign w:val="center"/>
            <w:hideMark/>
          </w:tcPr>
          <w:p w14:paraId="54A4F121" w14:textId="77777777" w:rsidR="000D6397" w:rsidRPr="00AD5B4D" w:rsidRDefault="000D6397" w:rsidP="00CE57D6">
            <w:pPr>
              <w:pStyle w:val="Teksttabelisrodek"/>
              <w:jc w:val="both"/>
            </w:pPr>
            <w:r w:rsidRPr="00AD5B4D">
              <w:t>art. 318 ust. 1 pkt 14 pr.w.</w:t>
            </w:r>
          </w:p>
        </w:tc>
      </w:tr>
      <w:tr w:rsidR="000D6397" w:rsidRPr="00AD5B4D" w14:paraId="14FA693C" w14:textId="77777777" w:rsidTr="00982AC0">
        <w:trPr>
          <w:trHeight w:val="454"/>
        </w:trPr>
        <w:tc>
          <w:tcPr>
            <w:tcW w:w="349" w:type="pct"/>
            <w:vAlign w:val="center"/>
            <w:hideMark/>
          </w:tcPr>
          <w:p w14:paraId="22724950" w14:textId="77777777" w:rsidR="000D6397" w:rsidRPr="00AD5B4D" w:rsidRDefault="000D6397" w:rsidP="00F707D0">
            <w:pPr>
              <w:pStyle w:val="Teksttabelisrodek"/>
              <w:ind w:left="-120"/>
            </w:pPr>
            <w:r w:rsidRPr="00AD5B4D">
              <w:t>16</w:t>
            </w:r>
            <w:r>
              <w:t>.</w:t>
            </w:r>
          </w:p>
        </w:tc>
        <w:tc>
          <w:tcPr>
            <w:tcW w:w="1238" w:type="pct"/>
            <w:vAlign w:val="center"/>
          </w:tcPr>
          <w:p w14:paraId="157359BB" w14:textId="77777777" w:rsidR="000D6397" w:rsidRPr="00AD5B4D" w:rsidRDefault="000D6397" w:rsidP="00CE57D6">
            <w:pPr>
              <w:pStyle w:val="Teksttabelisrodek"/>
              <w:jc w:val="both"/>
            </w:pPr>
            <w:r w:rsidRPr="00AD5B4D">
              <w:t>Rozdział 13.8</w:t>
            </w:r>
          </w:p>
        </w:tc>
        <w:tc>
          <w:tcPr>
            <w:tcW w:w="1713" w:type="pct"/>
            <w:vAlign w:val="center"/>
            <w:hideMark/>
          </w:tcPr>
          <w:p w14:paraId="05462258" w14:textId="77777777" w:rsidR="000D6397" w:rsidRPr="00AD5B4D" w:rsidRDefault="000D6397" w:rsidP="00CE57D6">
            <w:pPr>
              <w:pStyle w:val="Teksttabelisrodek"/>
              <w:jc w:val="both"/>
            </w:pPr>
            <w:r w:rsidRPr="00AD5B4D">
              <w:t>§2 ust. 1 pkt 21 r.p.g.w.</w:t>
            </w:r>
          </w:p>
        </w:tc>
        <w:tc>
          <w:tcPr>
            <w:tcW w:w="1700" w:type="pct"/>
            <w:vAlign w:val="center"/>
            <w:hideMark/>
          </w:tcPr>
          <w:p w14:paraId="6EA0416A" w14:textId="77777777" w:rsidR="000D6397" w:rsidRPr="00AD5B4D" w:rsidRDefault="000D6397" w:rsidP="00CE57D6">
            <w:pPr>
              <w:pStyle w:val="Teksttabelisrodek"/>
              <w:jc w:val="both"/>
            </w:pPr>
            <w:r w:rsidRPr="00AD5B4D">
              <w:t>art. 318 ust. 1 pkt 15 pr.w.</w:t>
            </w:r>
          </w:p>
        </w:tc>
      </w:tr>
      <w:tr w:rsidR="000D6397" w:rsidRPr="00AD5B4D" w14:paraId="718C47EE" w14:textId="77777777" w:rsidTr="00982AC0">
        <w:trPr>
          <w:trHeight w:val="454"/>
        </w:trPr>
        <w:tc>
          <w:tcPr>
            <w:tcW w:w="349" w:type="pct"/>
            <w:vAlign w:val="center"/>
            <w:hideMark/>
          </w:tcPr>
          <w:p w14:paraId="65A3E1A9" w14:textId="77777777" w:rsidR="000D6397" w:rsidRPr="00AD5B4D" w:rsidRDefault="000D6397" w:rsidP="00F707D0">
            <w:pPr>
              <w:pStyle w:val="Teksttabelisrodek"/>
              <w:ind w:left="-120"/>
            </w:pPr>
            <w:r w:rsidRPr="00AD5B4D">
              <w:t>17</w:t>
            </w:r>
            <w:r>
              <w:t>.</w:t>
            </w:r>
          </w:p>
        </w:tc>
        <w:tc>
          <w:tcPr>
            <w:tcW w:w="1238" w:type="pct"/>
            <w:vAlign w:val="center"/>
          </w:tcPr>
          <w:p w14:paraId="5B14F971" w14:textId="77777777" w:rsidR="000D6397" w:rsidRPr="00AD5B4D" w:rsidRDefault="000D6397" w:rsidP="00CE57D6">
            <w:pPr>
              <w:pStyle w:val="Teksttabelisrodek"/>
              <w:jc w:val="both"/>
            </w:pPr>
            <w:r w:rsidRPr="00AD5B4D">
              <w:t>Rozdział 13.9</w:t>
            </w:r>
          </w:p>
        </w:tc>
        <w:tc>
          <w:tcPr>
            <w:tcW w:w="1713" w:type="pct"/>
            <w:vAlign w:val="center"/>
            <w:hideMark/>
          </w:tcPr>
          <w:p w14:paraId="4EB25737" w14:textId="77777777" w:rsidR="000D6397" w:rsidRPr="00AD5B4D" w:rsidRDefault="000D6397" w:rsidP="00CE57D6">
            <w:pPr>
              <w:pStyle w:val="Teksttabelisrodek"/>
              <w:jc w:val="both"/>
            </w:pPr>
            <w:r w:rsidRPr="00AD5B4D">
              <w:t>§2 ust. 1 pkt 15</w:t>
            </w:r>
            <w:r>
              <w:t> a</w:t>
            </w:r>
            <w:r w:rsidRPr="00AD5B4D">
              <w:t> r.p.g.w.</w:t>
            </w:r>
          </w:p>
        </w:tc>
        <w:tc>
          <w:tcPr>
            <w:tcW w:w="1700" w:type="pct"/>
            <w:vAlign w:val="center"/>
            <w:hideMark/>
          </w:tcPr>
          <w:p w14:paraId="2AC8B9CA" w14:textId="77777777" w:rsidR="000D6397" w:rsidRPr="00AD5B4D" w:rsidRDefault="000D6397" w:rsidP="00CE57D6">
            <w:pPr>
              <w:pStyle w:val="Teksttabelisrodek"/>
              <w:jc w:val="both"/>
            </w:pPr>
            <w:r w:rsidRPr="00AD5B4D">
              <w:t>art. 318 ust. 1 pkt 16 pr.w.</w:t>
            </w:r>
          </w:p>
        </w:tc>
      </w:tr>
      <w:tr w:rsidR="000D6397" w:rsidRPr="00AD5B4D" w14:paraId="66F38D85" w14:textId="77777777" w:rsidTr="00982AC0">
        <w:trPr>
          <w:trHeight w:val="454"/>
        </w:trPr>
        <w:tc>
          <w:tcPr>
            <w:tcW w:w="349" w:type="pct"/>
            <w:vAlign w:val="center"/>
            <w:hideMark/>
          </w:tcPr>
          <w:p w14:paraId="2DB07597" w14:textId="77777777" w:rsidR="000D6397" w:rsidRPr="00AD5B4D" w:rsidRDefault="000D6397" w:rsidP="00F707D0">
            <w:pPr>
              <w:pStyle w:val="Teksttabelisrodek"/>
              <w:ind w:left="-120"/>
            </w:pPr>
            <w:r w:rsidRPr="00AD5B4D">
              <w:t>18</w:t>
            </w:r>
            <w:r>
              <w:t>.</w:t>
            </w:r>
          </w:p>
        </w:tc>
        <w:tc>
          <w:tcPr>
            <w:tcW w:w="1238" w:type="pct"/>
            <w:vAlign w:val="center"/>
          </w:tcPr>
          <w:p w14:paraId="659BECB5" w14:textId="77777777" w:rsidR="000D6397" w:rsidRPr="00AD5B4D" w:rsidRDefault="000D6397" w:rsidP="00CE57D6">
            <w:pPr>
              <w:pStyle w:val="Teksttabelisrodek"/>
              <w:jc w:val="both"/>
            </w:pPr>
            <w:r w:rsidRPr="00AD5B4D">
              <w:t>Rozdział 13.10</w:t>
            </w:r>
          </w:p>
        </w:tc>
        <w:tc>
          <w:tcPr>
            <w:tcW w:w="1713" w:type="pct"/>
            <w:vAlign w:val="center"/>
            <w:hideMark/>
          </w:tcPr>
          <w:p w14:paraId="29D4C734" w14:textId="77777777" w:rsidR="000D6397" w:rsidRPr="00AD5B4D" w:rsidRDefault="000D6397" w:rsidP="00CE57D6">
            <w:pPr>
              <w:pStyle w:val="Teksttabelisrodek"/>
              <w:jc w:val="both"/>
            </w:pPr>
            <w:r w:rsidRPr="00AD5B4D">
              <w:t>§2 ust. 1 pkt 22, 25, 26 r.p.g.w.</w:t>
            </w:r>
          </w:p>
        </w:tc>
        <w:tc>
          <w:tcPr>
            <w:tcW w:w="1700" w:type="pct"/>
            <w:vAlign w:val="center"/>
            <w:hideMark/>
          </w:tcPr>
          <w:p w14:paraId="62EADB7F" w14:textId="77777777" w:rsidR="000D6397" w:rsidRPr="00AD5B4D" w:rsidRDefault="000D6397" w:rsidP="00CE57D6">
            <w:pPr>
              <w:pStyle w:val="Teksttabelisrodek"/>
              <w:jc w:val="both"/>
            </w:pPr>
            <w:r w:rsidRPr="00AD5B4D">
              <w:t>art. 318 ust. 1 pkt 17 pr.w.</w:t>
            </w:r>
          </w:p>
        </w:tc>
      </w:tr>
      <w:tr w:rsidR="000D6397" w:rsidRPr="00AD5B4D" w14:paraId="77D0B7CD" w14:textId="77777777" w:rsidTr="00982AC0">
        <w:trPr>
          <w:trHeight w:val="454"/>
        </w:trPr>
        <w:tc>
          <w:tcPr>
            <w:tcW w:w="349" w:type="pct"/>
            <w:vAlign w:val="center"/>
            <w:hideMark/>
          </w:tcPr>
          <w:p w14:paraId="28892739" w14:textId="77777777" w:rsidR="000D6397" w:rsidRPr="00AD5B4D" w:rsidRDefault="000D6397" w:rsidP="00F707D0">
            <w:pPr>
              <w:pStyle w:val="Teksttabelisrodek"/>
              <w:ind w:left="-120"/>
            </w:pPr>
            <w:r w:rsidRPr="00AD5B4D">
              <w:t>19</w:t>
            </w:r>
            <w:r>
              <w:t>.</w:t>
            </w:r>
          </w:p>
        </w:tc>
        <w:tc>
          <w:tcPr>
            <w:tcW w:w="1238" w:type="pct"/>
            <w:vAlign w:val="center"/>
          </w:tcPr>
          <w:p w14:paraId="30B26B82" w14:textId="77777777" w:rsidR="000D6397" w:rsidRPr="00AD5B4D" w:rsidRDefault="000D6397" w:rsidP="00CE57D6">
            <w:pPr>
              <w:pStyle w:val="Teksttabelisrodek"/>
              <w:jc w:val="both"/>
            </w:pPr>
            <w:r w:rsidRPr="00AD5B4D">
              <w:t>Rozdział 19</w:t>
            </w:r>
          </w:p>
        </w:tc>
        <w:tc>
          <w:tcPr>
            <w:tcW w:w="1713" w:type="pct"/>
            <w:vAlign w:val="center"/>
            <w:hideMark/>
          </w:tcPr>
          <w:p w14:paraId="47D31DBD" w14:textId="77777777" w:rsidR="000D6397" w:rsidRPr="00AD5B4D" w:rsidRDefault="000D6397" w:rsidP="00CE57D6">
            <w:pPr>
              <w:pStyle w:val="Teksttabelisrodek"/>
              <w:jc w:val="both"/>
            </w:pPr>
            <w:r w:rsidRPr="00AD5B4D">
              <w:t>§2 ust. 1 pkt 27 r.p.g.w.</w:t>
            </w:r>
          </w:p>
        </w:tc>
        <w:tc>
          <w:tcPr>
            <w:tcW w:w="1700" w:type="pct"/>
            <w:vAlign w:val="center"/>
            <w:hideMark/>
          </w:tcPr>
          <w:p w14:paraId="0928A864" w14:textId="77777777" w:rsidR="000D6397" w:rsidRPr="00AD5B4D" w:rsidRDefault="000D6397" w:rsidP="00CE57D6">
            <w:pPr>
              <w:pStyle w:val="Teksttabelisrodek"/>
              <w:jc w:val="both"/>
            </w:pPr>
            <w:r w:rsidRPr="00AD5B4D">
              <w:t>art. 318 ust. 1 pkt 18 pr.w.</w:t>
            </w:r>
          </w:p>
        </w:tc>
      </w:tr>
      <w:tr w:rsidR="000D6397" w:rsidRPr="00AD5B4D" w14:paraId="532E071F" w14:textId="77777777" w:rsidTr="00982AC0">
        <w:trPr>
          <w:trHeight w:val="454"/>
        </w:trPr>
        <w:tc>
          <w:tcPr>
            <w:tcW w:w="349" w:type="pct"/>
            <w:vAlign w:val="center"/>
            <w:hideMark/>
          </w:tcPr>
          <w:p w14:paraId="1D282B83" w14:textId="77777777" w:rsidR="000D6397" w:rsidRPr="00AD5B4D" w:rsidRDefault="000D6397" w:rsidP="00F707D0">
            <w:pPr>
              <w:pStyle w:val="Teksttabelisrodek"/>
              <w:ind w:left="-120"/>
            </w:pPr>
            <w:r w:rsidRPr="00AD5B4D">
              <w:t>20</w:t>
            </w:r>
            <w:r>
              <w:t>.</w:t>
            </w:r>
          </w:p>
        </w:tc>
        <w:tc>
          <w:tcPr>
            <w:tcW w:w="1238" w:type="pct"/>
            <w:vAlign w:val="center"/>
          </w:tcPr>
          <w:p w14:paraId="2919F3C5" w14:textId="77777777" w:rsidR="000D6397" w:rsidRPr="00AD5B4D" w:rsidRDefault="000D6397" w:rsidP="00CE57D6">
            <w:pPr>
              <w:pStyle w:val="Teksttabelisrodek"/>
              <w:jc w:val="both"/>
            </w:pPr>
            <w:r w:rsidRPr="00AD5B4D">
              <w:t>Rozdział 20</w:t>
            </w:r>
          </w:p>
        </w:tc>
        <w:tc>
          <w:tcPr>
            <w:tcW w:w="1713" w:type="pct"/>
            <w:vAlign w:val="center"/>
            <w:hideMark/>
          </w:tcPr>
          <w:p w14:paraId="63A9825D" w14:textId="77777777" w:rsidR="000D6397" w:rsidRPr="00AD5B4D" w:rsidRDefault="000D6397" w:rsidP="00CE57D6">
            <w:pPr>
              <w:pStyle w:val="Teksttabelisrodek"/>
              <w:jc w:val="both"/>
            </w:pPr>
            <w:r w:rsidRPr="00AD5B4D">
              <w:t>§2 ust. 1 pkt 28 r.p.g.w.</w:t>
            </w:r>
          </w:p>
        </w:tc>
        <w:tc>
          <w:tcPr>
            <w:tcW w:w="1700" w:type="pct"/>
            <w:vAlign w:val="center"/>
            <w:hideMark/>
          </w:tcPr>
          <w:p w14:paraId="78FB13A8" w14:textId="77777777" w:rsidR="000D6397" w:rsidRPr="00AD5B4D" w:rsidRDefault="000D6397" w:rsidP="00CE57D6">
            <w:pPr>
              <w:pStyle w:val="Teksttabelisrodek"/>
              <w:jc w:val="both"/>
            </w:pPr>
            <w:r w:rsidRPr="00AD5B4D">
              <w:t>art. 318 ust. 1 pkt 19 pr.w.</w:t>
            </w:r>
          </w:p>
        </w:tc>
      </w:tr>
      <w:tr w:rsidR="000D6397" w:rsidRPr="00AD5B4D" w14:paraId="34C103ED" w14:textId="77777777" w:rsidTr="00982AC0">
        <w:trPr>
          <w:trHeight w:val="454"/>
        </w:trPr>
        <w:tc>
          <w:tcPr>
            <w:tcW w:w="349" w:type="pct"/>
            <w:vAlign w:val="center"/>
            <w:hideMark/>
          </w:tcPr>
          <w:p w14:paraId="27D40A1A" w14:textId="77777777" w:rsidR="000D6397" w:rsidRPr="00AD5B4D" w:rsidRDefault="000D6397" w:rsidP="00F707D0">
            <w:pPr>
              <w:pStyle w:val="Teksttabelisrodek"/>
              <w:ind w:left="-120"/>
            </w:pPr>
            <w:r w:rsidRPr="00AD5B4D">
              <w:t>21</w:t>
            </w:r>
            <w:r>
              <w:t>.</w:t>
            </w:r>
          </w:p>
        </w:tc>
        <w:tc>
          <w:tcPr>
            <w:tcW w:w="1238" w:type="pct"/>
            <w:vAlign w:val="center"/>
          </w:tcPr>
          <w:p w14:paraId="0C94591F" w14:textId="77777777" w:rsidR="000D6397" w:rsidRPr="00AD5B4D" w:rsidRDefault="000D6397" w:rsidP="00CE57D6">
            <w:pPr>
              <w:pStyle w:val="Teksttabelisrodek"/>
              <w:jc w:val="both"/>
            </w:pPr>
            <w:r w:rsidRPr="00AD5B4D">
              <w:t>Rozdział 21</w:t>
            </w:r>
          </w:p>
        </w:tc>
        <w:tc>
          <w:tcPr>
            <w:tcW w:w="1713" w:type="pct"/>
            <w:vAlign w:val="center"/>
            <w:hideMark/>
          </w:tcPr>
          <w:p w14:paraId="322BAD4A" w14:textId="77777777" w:rsidR="000D6397" w:rsidRPr="00AD5B4D" w:rsidRDefault="000D6397" w:rsidP="00CE57D6">
            <w:pPr>
              <w:pStyle w:val="Teksttabelisrodek"/>
              <w:jc w:val="both"/>
            </w:pPr>
            <w:r w:rsidRPr="00AD5B4D">
              <w:t>§2 ust. 1 pkt 29 r.p.g.w.</w:t>
            </w:r>
          </w:p>
        </w:tc>
        <w:tc>
          <w:tcPr>
            <w:tcW w:w="1700" w:type="pct"/>
            <w:vAlign w:val="center"/>
            <w:hideMark/>
          </w:tcPr>
          <w:p w14:paraId="50A3BE1B" w14:textId="77777777" w:rsidR="000D6397" w:rsidRPr="00AD5B4D" w:rsidRDefault="000D6397" w:rsidP="00CE57D6">
            <w:pPr>
              <w:pStyle w:val="Teksttabelisrodek"/>
              <w:jc w:val="both"/>
            </w:pPr>
            <w:r w:rsidRPr="00AD5B4D">
              <w:t>art. 318 ust. 1 pkt 20 pr.w.</w:t>
            </w:r>
          </w:p>
        </w:tc>
      </w:tr>
      <w:tr w:rsidR="000D6397" w:rsidRPr="00AD5B4D" w14:paraId="418B1D43" w14:textId="77777777" w:rsidTr="00982AC0">
        <w:trPr>
          <w:trHeight w:val="454"/>
        </w:trPr>
        <w:tc>
          <w:tcPr>
            <w:tcW w:w="349" w:type="pct"/>
            <w:vAlign w:val="center"/>
            <w:hideMark/>
          </w:tcPr>
          <w:p w14:paraId="6BC06713" w14:textId="77777777" w:rsidR="000D6397" w:rsidRPr="00AD5B4D" w:rsidRDefault="000D6397" w:rsidP="00F707D0">
            <w:pPr>
              <w:pStyle w:val="Teksttabelisrodek"/>
              <w:ind w:left="-120"/>
            </w:pPr>
            <w:r w:rsidRPr="00AD5B4D">
              <w:t>22</w:t>
            </w:r>
            <w:r>
              <w:t>.</w:t>
            </w:r>
          </w:p>
        </w:tc>
        <w:tc>
          <w:tcPr>
            <w:tcW w:w="1238" w:type="pct"/>
            <w:vAlign w:val="center"/>
          </w:tcPr>
          <w:p w14:paraId="4F3F24C9" w14:textId="77777777" w:rsidR="000D6397" w:rsidRPr="00AD5B4D" w:rsidRDefault="000D6397" w:rsidP="00CE57D6">
            <w:pPr>
              <w:pStyle w:val="Teksttabelisrodek"/>
              <w:jc w:val="both"/>
            </w:pPr>
            <w:r w:rsidRPr="00AD5B4D">
              <w:t>Rozdział 23</w:t>
            </w:r>
          </w:p>
        </w:tc>
        <w:tc>
          <w:tcPr>
            <w:tcW w:w="1713" w:type="pct"/>
            <w:vAlign w:val="center"/>
            <w:hideMark/>
          </w:tcPr>
          <w:p w14:paraId="4473079D" w14:textId="77777777" w:rsidR="000D6397" w:rsidRPr="00AD5B4D" w:rsidRDefault="000D6397" w:rsidP="00CE57D6">
            <w:pPr>
              <w:pStyle w:val="Teksttabelisrodek"/>
              <w:jc w:val="both"/>
            </w:pPr>
            <w:r w:rsidRPr="00AD5B4D">
              <w:t>§2 ust. 1 pkt 30 r.p.g.w.</w:t>
            </w:r>
          </w:p>
        </w:tc>
        <w:tc>
          <w:tcPr>
            <w:tcW w:w="1700" w:type="pct"/>
            <w:vAlign w:val="center"/>
            <w:hideMark/>
          </w:tcPr>
          <w:p w14:paraId="0BF7EEA6" w14:textId="77777777" w:rsidR="000D6397" w:rsidRPr="00AD5B4D" w:rsidRDefault="000D6397" w:rsidP="00CE57D6">
            <w:pPr>
              <w:pStyle w:val="Teksttabelisrodek"/>
              <w:jc w:val="both"/>
            </w:pPr>
            <w:r w:rsidRPr="00AD5B4D">
              <w:t>art. 318 ust. 1 pkt 21 pr.w.</w:t>
            </w:r>
          </w:p>
        </w:tc>
      </w:tr>
      <w:tr w:rsidR="000D6397" w:rsidRPr="00AD5B4D" w14:paraId="1C0ED6D7" w14:textId="77777777" w:rsidTr="00982AC0">
        <w:trPr>
          <w:trHeight w:val="454"/>
        </w:trPr>
        <w:tc>
          <w:tcPr>
            <w:tcW w:w="349" w:type="pct"/>
            <w:vAlign w:val="center"/>
            <w:hideMark/>
          </w:tcPr>
          <w:p w14:paraId="10EE6DB5" w14:textId="77777777" w:rsidR="000D6397" w:rsidRPr="00AD5B4D" w:rsidRDefault="000D6397" w:rsidP="00F707D0">
            <w:pPr>
              <w:pStyle w:val="Teksttabelisrodek"/>
              <w:ind w:left="-120"/>
            </w:pPr>
            <w:r w:rsidRPr="00AD5B4D">
              <w:t>23</w:t>
            </w:r>
            <w:r>
              <w:t>.</w:t>
            </w:r>
          </w:p>
        </w:tc>
        <w:tc>
          <w:tcPr>
            <w:tcW w:w="1238" w:type="pct"/>
            <w:vAlign w:val="center"/>
          </w:tcPr>
          <w:p w14:paraId="25F36E7B" w14:textId="77777777" w:rsidR="000D6397" w:rsidRPr="00AD5B4D" w:rsidRDefault="000D6397" w:rsidP="00CE57D6">
            <w:pPr>
              <w:pStyle w:val="Teksttabelisrodek"/>
              <w:jc w:val="both"/>
            </w:pPr>
            <w:r w:rsidRPr="00AD5B4D">
              <w:t>Rozdział 16</w:t>
            </w:r>
          </w:p>
        </w:tc>
        <w:tc>
          <w:tcPr>
            <w:tcW w:w="1713" w:type="pct"/>
            <w:vAlign w:val="center"/>
            <w:hideMark/>
          </w:tcPr>
          <w:p w14:paraId="06E2213B" w14:textId="77777777" w:rsidR="000D6397" w:rsidRPr="00AD5B4D" w:rsidRDefault="000D6397" w:rsidP="00CE57D6">
            <w:pPr>
              <w:pStyle w:val="Teksttabelisrodek"/>
              <w:jc w:val="both"/>
            </w:pPr>
            <w:r w:rsidRPr="00AD5B4D">
              <w:t>§2 ust. 1 pkt 31 r.p.g.w.</w:t>
            </w:r>
          </w:p>
        </w:tc>
        <w:tc>
          <w:tcPr>
            <w:tcW w:w="1700" w:type="pct"/>
            <w:vAlign w:val="center"/>
            <w:hideMark/>
          </w:tcPr>
          <w:p w14:paraId="2C217EEB" w14:textId="77777777" w:rsidR="000D6397" w:rsidRPr="00AD5B4D" w:rsidRDefault="000D6397" w:rsidP="00CE57D6">
            <w:pPr>
              <w:pStyle w:val="Teksttabelisrodek"/>
              <w:jc w:val="both"/>
            </w:pPr>
            <w:r w:rsidRPr="00AD5B4D">
              <w:t>art. 318 ust. 1 pkt 22 pr.w.</w:t>
            </w:r>
          </w:p>
        </w:tc>
      </w:tr>
      <w:tr w:rsidR="000D6397" w:rsidRPr="00AD5B4D" w14:paraId="520172A2" w14:textId="77777777" w:rsidTr="00982AC0">
        <w:trPr>
          <w:trHeight w:val="454"/>
        </w:trPr>
        <w:tc>
          <w:tcPr>
            <w:tcW w:w="349" w:type="pct"/>
            <w:vAlign w:val="center"/>
            <w:hideMark/>
          </w:tcPr>
          <w:p w14:paraId="0054A4F1" w14:textId="77777777" w:rsidR="000D6397" w:rsidRPr="00AD5B4D" w:rsidRDefault="000D6397" w:rsidP="00F707D0">
            <w:pPr>
              <w:pStyle w:val="Teksttabelisrodek"/>
              <w:ind w:left="-120"/>
            </w:pPr>
            <w:r w:rsidRPr="00AD5B4D">
              <w:t>24</w:t>
            </w:r>
            <w:r>
              <w:t>.</w:t>
            </w:r>
          </w:p>
        </w:tc>
        <w:tc>
          <w:tcPr>
            <w:tcW w:w="1238" w:type="pct"/>
            <w:vAlign w:val="center"/>
          </w:tcPr>
          <w:p w14:paraId="4A4852D2" w14:textId="77777777" w:rsidR="000D6397" w:rsidRPr="00AD5B4D" w:rsidRDefault="000D6397" w:rsidP="00CE57D6">
            <w:pPr>
              <w:pStyle w:val="Teksttabelisrodek"/>
              <w:jc w:val="both"/>
            </w:pPr>
            <w:r w:rsidRPr="00AD5B4D">
              <w:t>Rozdział 14</w:t>
            </w:r>
          </w:p>
        </w:tc>
        <w:tc>
          <w:tcPr>
            <w:tcW w:w="1713" w:type="pct"/>
            <w:vAlign w:val="center"/>
            <w:hideMark/>
          </w:tcPr>
          <w:p w14:paraId="539E0EA4" w14:textId="77777777" w:rsidR="000D6397" w:rsidRPr="00AD5B4D" w:rsidRDefault="000D6397" w:rsidP="00CE57D6">
            <w:pPr>
              <w:pStyle w:val="Teksttabelisrodek"/>
              <w:jc w:val="both"/>
            </w:pPr>
            <w:r w:rsidRPr="00AD5B4D">
              <w:t>§2 ust. 1 pkt 23 r.p.g.w.</w:t>
            </w:r>
          </w:p>
        </w:tc>
        <w:tc>
          <w:tcPr>
            <w:tcW w:w="1700" w:type="pct"/>
            <w:vAlign w:val="center"/>
            <w:hideMark/>
          </w:tcPr>
          <w:p w14:paraId="71A49553" w14:textId="77777777" w:rsidR="000D6397" w:rsidRPr="00AD5B4D" w:rsidRDefault="000D6397" w:rsidP="00CE57D6">
            <w:pPr>
              <w:pStyle w:val="Teksttabelisrodek"/>
              <w:jc w:val="both"/>
            </w:pPr>
            <w:r w:rsidRPr="00AD5B4D">
              <w:t>art. 318 ust. 1 pkt 23 pr.w.</w:t>
            </w:r>
          </w:p>
        </w:tc>
      </w:tr>
      <w:tr w:rsidR="000D6397" w:rsidRPr="00AD5B4D" w14:paraId="6944E9D9" w14:textId="77777777" w:rsidTr="00982AC0">
        <w:trPr>
          <w:trHeight w:val="454"/>
        </w:trPr>
        <w:tc>
          <w:tcPr>
            <w:tcW w:w="349" w:type="pct"/>
            <w:vAlign w:val="center"/>
            <w:hideMark/>
          </w:tcPr>
          <w:p w14:paraId="1C9796D5" w14:textId="77777777" w:rsidR="000D6397" w:rsidRPr="00AD5B4D" w:rsidRDefault="000D6397" w:rsidP="00F707D0">
            <w:pPr>
              <w:pStyle w:val="Teksttabelisrodek"/>
              <w:ind w:left="-120"/>
            </w:pPr>
            <w:r w:rsidRPr="00AD5B4D">
              <w:t>25</w:t>
            </w:r>
            <w:r>
              <w:t>.</w:t>
            </w:r>
          </w:p>
        </w:tc>
        <w:tc>
          <w:tcPr>
            <w:tcW w:w="1238" w:type="pct"/>
            <w:vAlign w:val="center"/>
          </w:tcPr>
          <w:p w14:paraId="7E822505" w14:textId="77777777" w:rsidR="000D6397" w:rsidRPr="00AD5B4D" w:rsidRDefault="000D6397" w:rsidP="00CE57D6">
            <w:pPr>
              <w:pStyle w:val="Teksttabelisrodek"/>
              <w:jc w:val="both"/>
            </w:pPr>
            <w:r w:rsidRPr="00AD5B4D">
              <w:t>Rozdział 15</w:t>
            </w:r>
          </w:p>
        </w:tc>
        <w:tc>
          <w:tcPr>
            <w:tcW w:w="1713" w:type="pct"/>
            <w:vAlign w:val="center"/>
            <w:hideMark/>
          </w:tcPr>
          <w:p w14:paraId="61D32122" w14:textId="77777777" w:rsidR="000D6397" w:rsidRPr="00AD5B4D" w:rsidRDefault="000D6397" w:rsidP="00CE57D6">
            <w:pPr>
              <w:pStyle w:val="Teksttabelisrodek"/>
              <w:jc w:val="both"/>
            </w:pPr>
            <w:r w:rsidRPr="00AD5B4D">
              <w:t>§2 ust. 1 pkt 24 r.p.g.w.</w:t>
            </w:r>
          </w:p>
        </w:tc>
        <w:tc>
          <w:tcPr>
            <w:tcW w:w="1700" w:type="pct"/>
            <w:vAlign w:val="center"/>
            <w:hideMark/>
          </w:tcPr>
          <w:p w14:paraId="7BAAF9FA" w14:textId="77777777" w:rsidR="000D6397" w:rsidRPr="00AD5B4D" w:rsidRDefault="000D6397" w:rsidP="00CE57D6">
            <w:pPr>
              <w:pStyle w:val="Teksttabelisrodek"/>
              <w:jc w:val="both"/>
            </w:pPr>
            <w:r w:rsidRPr="00AD5B4D">
              <w:t>art. 318 ust. 1 pkt 24 pr.w.</w:t>
            </w:r>
          </w:p>
        </w:tc>
      </w:tr>
      <w:tr w:rsidR="000D6397" w:rsidRPr="00AD5B4D" w14:paraId="3B3EF903" w14:textId="77777777" w:rsidTr="00982AC0">
        <w:trPr>
          <w:trHeight w:val="454"/>
        </w:trPr>
        <w:tc>
          <w:tcPr>
            <w:tcW w:w="349" w:type="pct"/>
            <w:vAlign w:val="center"/>
            <w:hideMark/>
          </w:tcPr>
          <w:p w14:paraId="13CC17C1" w14:textId="77777777" w:rsidR="000D6397" w:rsidRPr="00AD5B4D" w:rsidRDefault="000D6397" w:rsidP="00F707D0">
            <w:pPr>
              <w:pStyle w:val="Teksttabelisrodek"/>
              <w:ind w:left="-120"/>
            </w:pPr>
            <w:r w:rsidRPr="00AD5B4D">
              <w:t>26</w:t>
            </w:r>
            <w:r>
              <w:t>.</w:t>
            </w:r>
          </w:p>
        </w:tc>
        <w:tc>
          <w:tcPr>
            <w:tcW w:w="1238" w:type="pct"/>
            <w:vAlign w:val="center"/>
          </w:tcPr>
          <w:p w14:paraId="17B80C80" w14:textId="77777777" w:rsidR="000D6397" w:rsidRPr="00AD5B4D" w:rsidRDefault="000D6397" w:rsidP="00CE57D6">
            <w:pPr>
              <w:pStyle w:val="Teksttabelisrodek"/>
              <w:jc w:val="both"/>
            </w:pPr>
            <w:r w:rsidRPr="00AD5B4D">
              <w:t>Rozdział 17</w:t>
            </w:r>
          </w:p>
        </w:tc>
        <w:tc>
          <w:tcPr>
            <w:tcW w:w="1713" w:type="pct"/>
            <w:vAlign w:val="center"/>
            <w:hideMark/>
          </w:tcPr>
          <w:p w14:paraId="0AC4459F" w14:textId="77777777" w:rsidR="000D6397" w:rsidRPr="00AD5B4D" w:rsidRDefault="000D6397" w:rsidP="00CE57D6">
            <w:pPr>
              <w:pStyle w:val="Teksttabelisrodek"/>
              <w:jc w:val="both"/>
            </w:pPr>
            <w:r w:rsidRPr="00AD5B4D">
              <w:t>§2 ust. 1 pkt 32 r.p.g.w.</w:t>
            </w:r>
          </w:p>
        </w:tc>
        <w:tc>
          <w:tcPr>
            <w:tcW w:w="1700" w:type="pct"/>
            <w:vAlign w:val="center"/>
            <w:hideMark/>
          </w:tcPr>
          <w:p w14:paraId="26AFA44E" w14:textId="77777777" w:rsidR="000D6397" w:rsidRPr="00AD5B4D" w:rsidRDefault="000D6397" w:rsidP="00CE57D6">
            <w:pPr>
              <w:pStyle w:val="Teksttabelisrodek"/>
              <w:jc w:val="both"/>
            </w:pPr>
            <w:r w:rsidRPr="00AD5B4D">
              <w:t>art. 318 ust. 2 pkt 1 pr.w.</w:t>
            </w:r>
          </w:p>
        </w:tc>
      </w:tr>
      <w:tr w:rsidR="000D6397" w:rsidRPr="00AD5B4D" w14:paraId="28AEB8F6" w14:textId="77777777" w:rsidTr="00982AC0">
        <w:trPr>
          <w:trHeight w:val="454"/>
        </w:trPr>
        <w:tc>
          <w:tcPr>
            <w:tcW w:w="349" w:type="pct"/>
            <w:vAlign w:val="center"/>
            <w:hideMark/>
          </w:tcPr>
          <w:p w14:paraId="79E3B629" w14:textId="77777777" w:rsidR="000D6397" w:rsidRPr="00AD5B4D" w:rsidRDefault="000D6397" w:rsidP="00F707D0">
            <w:pPr>
              <w:pStyle w:val="Teksttabelisrodek"/>
              <w:ind w:left="-120"/>
            </w:pPr>
            <w:r w:rsidRPr="00AD5B4D">
              <w:t>27</w:t>
            </w:r>
            <w:r>
              <w:t>.</w:t>
            </w:r>
          </w:p>
        </w:tc>
        <w:tc>
          <w:tcPr>
            <w:tcW w:w="1238" w:type="pct"/>
            <w:vAlign w:val="center"/>
          </w:tcPr>
          <w:p w14:paraId="2FD04D70" w14:textId="77777777" w:rsidR="000D6397" w:rsidRPr="00AD5B4D" w:rsidRDefault="000D6397" w:rsidP="00CE57D6">
            <w:pPr>
              <w:pStyle w:val="Teksttabelisrodek"/>
              <w:jc w:val="both"/>
            </w:pPr>
            <w:r w:rsidRPr="00AD5B4D">
              <w:t>Rozdział 18</w:t>
            </w:r>
          </w:p>
        </w:tc>
        <w:tc>
          <w:tcPr>
            <w:tcW w:w="1713" w:type="pct"/>
            <w:vAlign w:val="center"/>
            <w:hideMark/>
          </w:tcPr>
          <w:p w14:paraId="653795FB" w14:textId="77777777" w:rsidR="000D6397" w:rsidRPr="00AD5B4D" w:rsidRDefault="000D6397" w:rsidP="00CE57D6">
            <w:pPr>
              <w:pStyle w:val="Teksttabelisrodek"/>
              <w:jc w:val="both"/>
            </w:pPr>
            <w:r w:rsidRPr="00AD5B4D">
              <w:t>§2 ust. 1 pkt 33 r.p.g.w.</w:t>
            </w:r>
          </w:p>
        </w:tc>
        <w:tc>
          <w:tcPr>
            <w:tcW w:w="1700" w:type="pct"/>
            <w:vAlign w:val="center"/>
            <w:hideMark/>
          </w:tcPr>
          <w:p w14:paraId="2081A54A" w14:textId="77777777" w:rsidR="000D6397" w:rsidRPr="00AD5B4D" w:rsidRDefault="000D6397" w:rsidP="00CE57D6">
            <w:pPr>
              <w:pStyle w:val="Teksttabelisrodek"/>
              <w:jc w:val="both"/>
            </w:pPr>
            <w:r w:rsidRPr="00AD5B4D">
              <w:t>art. 318 ust. 2 pkt 2 pr.w.</w:t>
            </w:r>
          </w:p>
        </w:tc>
      </w:tr>
      <w:tr w:rsidR="000D6397" w:rsidRPr="00AD5B4D" w14:paraId="00769C40" w14:textId="77777777" w:rsidTr="00982AC0">
        <w:trPr>
          <w:trHeight w:val="454"/>
        </w:trPr>
        <w:tc>
          <w:tcPr>
            <w:tcW w:w="349" w:type="pct"/>
            <w:vAlign w:val="center"/>
            <w:hideMark/>
          </w:tcPr>
          <w:p w14:paraId="51FA8E3B" w14:textId="77777777" w:rsidR="000D6397" w:rsidRPr="00AD5B4D" w:rsidRDefault="000D6397" w:rsidP="00F707D0">
            <w:pPr>
              <w:pStyle w:val="Teksttabelisrodek"/>
              <w:ind w:left="-120"/>
            </w:pPr>
            <w:r w:rsidRPr="00AD5B4D">
              <w:t>28</w:t>
            </w:r>
            <w:r>
              <w:t>.</w:t>
            </w:r>
          </w:p>
        </w:tc>
        <w:tc>
          <w:tcPr>
            <w:tcW w:w="1238" w:type="pct"/>
            <w:vAlign w:val="center"/>
          </w:tcPr>
          <w:p w14:paraId="142F579C" w14:textId="77777777" w:rsidR="000D6397" w:rsidRPr="00AD5B4D" w:rsidRDefault="000D6397" w:rsidP="00CE57D6">
            <w:pPr>
              <w:pStyle w:val="Teksttabelisrodek"/>
              <w:jc w:val="both"/>
            </w:pPr>
            <w:r w:rsidRPr="00AD5B4D">
              <w:t>Rozdział 23</w:t>
            </w:r>
          </w:p>
        </w:tc>
        <w:tc>
          <w:tcPr>
            <w:tcW w:w="1713" w:type="pct"/>
            <w:vAlign w:val="center"/>
            <w:hideMark/>
          </w:tcPr>
          <w:p w14:paraId="7740BDE8" w14:textId="77777777" w:rsidR="000D6397" w:rsidRPr="00AD5B4D" w:rsidRDefault="000D6397" w:rsidP="00CE57D6">
            <w:pPr>
              <w:pStyle w:val="Teksttabelisrodek"/>
              <w:jc w:val="both"/>
            </w:pPr>
            <w:r w:rsidRPr="00AD5B4D">
              <w:t>§2 ust. 1 pkt 34 r.p.g.w.</w:t>
            </w:r>
          </w:p>
        </w:tc>
        <w:tc>
          <w:tcPr>
            <w:tcW w:w="1700" w:type="pct"/>
            <w:vAlign w:val="center"/>
            <w:hideMark/>
          </w:tcPr>
          <w:p w14:paraId="09C25D01" w14:textId="77777777" w:rsidR="000D6397" w:rsidRPr="00AD5B4D" w:rsidRDefault="000D6397" w:rsidP="00CE57D6">
            <w:pPr>
              <w:pStyle w:val="Teksttabelisrodek"/>
              <w:jc w:val="both"/>
            </w:pPr>
            <w:r w:rsidRPr="00AD5B4D">
              <w:t>art. 318 ust. 6 pkt 1 pr.w.</w:t>
            </w:r>
          </w:p>
        </w:tc>
      </w:tr>
      <w:tr w:rsidR="000D6397" w:rsidRPr="00AD5B4D" w14:paraId="34D6E38E" w14:textId="77777777" w:rsidTr="00982AC0">
        <w:trPr>
          <w:trHeight w:val="454"/>
        </w:trPr>
        <w:tc>
          <w:tcPr>
            <w:tcW w:w="349" w:type="pct"/>
            <w:vAlign w:val="center"/>
            <w:hideMark/>
          </w:tcPr>
          <w:p w14:paraId="6154EF28" w14:textId="77777777" w:rsidR="000D6397" w:rsidRPr="00AD5B4D" w:rsidRDefault="000D6397" w:rsidP="00F707D0">
            <w:pPr>
              <w:pStyle w:val="Teksttabelisrodek"/>
              <w:ind w:left="-120"/>
            </w:pPr>
            <w:r w:rsidRPr="00AD5B4D">
              <w:t>29</w:t>
            </w:r>
            <w:r>
              <w:t>.</w:t>
            </w:r>
          </w:p>
        </w:tc>
        <w:tc>
          <w:tcPr>
            <w:tcW w:w="1238" w:type="pct"/>
            <w:vAlign w:val="center"/>
          </w:tcPr>
          <w:p w14:paraId="1267BC4F" w14:textId="77777777" w:rsidR="000D6397" w:rsidRPr="00AD5B4D" w:rsidRDefault="000D6397" w:rsidP="00CE57D6">
            <w:pPr>
              <w:pStyle w:val="Teksttabelisrodek"/>
              <w:jc w:val="both"/>
            </w:pPr>
            <w:r w:rsidRPr="00AD5B4D">
              <w:t>Rozdział 9</w:t>
            </w:r>
          </w:p>
        </w:tc>
        <w:tc>
          <w:tcPr>
            <w:tcW w:w="1713" w:type="pct"/>
            <w:vAlign w:val="center"/>
            <w:hideMark/>
          </w:tcPr>
          <w:p w14:paraId="30AFDB6C" w14:textId="77777777" w:rsidR="000D6397" w:rsidRPr="00AD5B4D" w:rsidRDefault="000D6397" w:rsidP="00CE57D6">
            <w:pPr>
              <w:pStyle w:val="Teksttabelisrodek"/>
              <w:jc w:val="both"/>
            </w:pPr>
            <w:r w:rsidRPr="00AD5B4D">
              <w:t>§2 ust. 1 pkt 35 r.p.g.w.</w:t>
            </w:r>
          </w:p>
        </w:tc>
        <w:tc>
          <w:tcPr>
            <w:tcW w:w="1700" w:type="pct"/>
            <w:vAlign w:val="center"/>
            <w:hideMark/>
          </w:tcPr>
          <w:p w14:paraId="658184F7" w14:textId="77777777" w:rsidR="000D6397" w:rsidRPr="00AD5B4D" w:rsidRDefault="000D6397" w:rsidP="00CE57D6">
            <w:pPr>
              <w:pStyle w:val="Teksttabelisrodek"/>
              <w:jc w:val="both"/>
            </w:pPr>
            <w:r w:rsidRPr="00AD5B4D">
              <w:t>art. 318 ust. 6 pkt 2 pr.w.</w:t>
            </w:r>
          </w:p>
        </w:tc>
      </w:tr>
      <w:tr w:rsidR="000D6397" w:rsidRPr="00AD5B4D" w14:paraId="6D3E01B7" w14:textId="77777777" w:rsidTr="00982AC0">
        <w:trPr>
          <w:trHeight w:val="454"/>
        </w:trPr>
        <w:tc>
          <w:tcPr>
            <w:tcW w:w="349" w:type="pct"/>
            <w:vAlign w:val="center"/>
            <w:hideMark/>
          </w:tcPr>
          <w:p w14:paraId="32E480AC" w14:textId="77777777" w:rsidR="000D6397" w:rsidRPr="00AD5B4D" w:rsidRDefault="000D6397" w:rsidP="00F707D0">
            <w:pPr>
              <w:pStyle w:val="Teksttabelisrodek"/>
              <w:ind w:left="-120"/>
            </w:pPr>
            <w:r w:rsidRPr="00AD5B4D">
              <w:t>30</w:t>
            </w:r>
            <w:r>
              <w:t>.</w:t>
            </w:r>
          </w:p>
        </w:tc>
        <w:tc>
          <w:tcPr>
            <w:tcW w:w="1238" w:type="pct"/>
            <w:vAlign w:val="center"/>
          </w:tcPr>
          <w:p w14:paraId="03292845" w14:textId="77777777" w:rsidR="000D6397" w:rsidRPr="00AD5B4D" w:rsidRDefault="000D6397" w:rsidP="00CE57D6">
            <w:pPr>
              <w:pStyle w:val="Teksttabelisrodek"/>
              <w:jc w:val="both"/>
            </w:pPr>
            <w:r w:rsidRPr="00AD5B4D">
              <w:t>Rozdział 10.1</w:t>
            </w:r>
          </w:p>
        </w:tc>
        <w:tc>
          <w:tcPr>
            <w:tcW w:w="1713" w:type="pct"/>
            <w:vAlign w:val="center"/>
            <w:hideMark/>
          </w:tcPr>
          <w:p w14:paraId="5CFA941D" w14:textId="77777777" w:rsidR="000D6397" w:rsidRPr="00AD5B4D" w:rsidRDefault="000D6397" w:rsidP="00CE57D6">
            <w:pPr>
              <w:pStyle w:val="Teksttabelisrodek"/>
              <w:jc w:val="both"/>
            </w:pPr>
            <w:r w:rsidRPr="00AD5B4D">
              <w:t>§2 ust. 1 pkt 38 r.p.g.w.</w:t>
            </w:r>
          </w:p>
        </w:tc>
        <w:tc>
          <w:tcPr>
            <w:tcW w:w="1700" w:type="pct"/>
            <w:vAlign w:val="center"/>
            <w:hideMark/>
          </w:tcPr>
          <w:p w14:paraId="14110D75" w14:textId="77777777" w:rsidR="000D6397" w:rsidRPr="00AD5B4D" w:rsidRDefault="000D6397" w:rsidP="00CE57D6">
            <w:pPr>
              <w:pStyle w:val="Teksttabelisrodek"/>
              <w:jc w:val="both"/>
            </w:pPr>
            <w:r w:rsidRPr="00AD5B4D">
              <w:t>art. 318 ust. 6 pkt 3 pr.w.</w:t>
            </w:r>
          </w:p>
        </w:tc>
      </w:tr>
      <w:tr w:rsidR="000D6397" w:rsidRPr="00AD5B4D" w14:paraId="3F68ED5D" w14:textId="77777777" w:rsidTr="00982AC0">
        <w:trPr>
          <w:trHeight w:val="454"/>
        </w:trPr>
        <w:tc>
          <w:tcPr>
            <w:tcW w:w="349" w:type="pct"/>
            <w:vAlign w:val="center"/>
            <w:hideMark/>
          </w:tcPr>
          <w:p w14:paraId="7ED4BCDE" w14:textId="77777777" w:rsidR="000D6397" w:rsidRPr="00AD5B4D" w:rsidRDefault="000D6397" w:rsidP="00F707D0">
            <w:pPr>
              <w:pStyle w:val="Teksttabelisrodek"/>
              <w:ind w:left="-120"/>
            </w:pPr>
            <w:r w:rsidRPr="00AD5B4D">
              <w:t>31</w:t>
            </w:r>
            <w:r>
              <w:t>.</w:t>
            </w:r>
          </w:p>
        </w:tc>
        <w:tc>
          <w:tcPr>
            <w:tcW w:w="1238" w:type="pct"/>
            <w:vAlign w:val="center"/>
          </w:tcPr>
          <w:p w14:paraId="425E865C" w14:textId="77777777" w:rsidR="000D6397" w:rsidRPr="00AD5B4D" w:rsidRDefault="000D6397" w:rsidP="00CE57D6">
            <w:pPr>
              <w:pStyle w:val="Teksttabelisrodek"/>
              <w:jc w:val="both"/>
            </w:pPr>
            <w:r w:rsidRPr="00AD5B4D">
              <w:t>Rozdział 10.2</w:t>
            </w:r>
          </w:p>
        </w:tc>
        <w:tc>
          <w:tcPr>
            <w:tcW w:w="1713" w:type="pct"/>
            <w:vAlign w:val="center"/>
            <w:hideMark/>
          </w:tcPr>
          <w:p w14:paraId="3F555F0C" w14:textId="77777777" w:rsidR="000D6397" w:rsidRPr="00AD5B4D" w:rsidRDefault="000D6397" w:rsidP="00CE57D6">
            <w:pPr>
              <w:pStyle w:val="Teksttabelisrodek"/>
              <w:jc w:val="both"/>
            </w:pPr>
            <w:r w:rsidRPr="00AD5B4D">
              <w:t>§2 ust. 1 pkt 36 r.p.g.w.</w:t>
            </w:r>
          </w:p>
        </w:tc>
        <w:tc>
          <w:tcPr>
            <w:tcW w:w="1700" w:type="pct"/>
            <w:vAlign w:val="center"/>
            <w:hideMark/>
          </w:tcPr>
          <w:p w14:paraId="492C3137" w14:textId="77777777" w:rsidR="000D6397" w:rsidRPr="00AD5B4D" w:rsidRDefault="000D6397" w:rsidP="00CE57D6">
            <w:pPr>
              <w:pStyle w:val="Teksttabelisrodek"/>
              <w:jc w:val="both"/>
            </w:pPr>
            <w:r w:rsidRPr="00AD5B4D">
              <w:t>art. 318 ust. 6 pkt 3 pr.w.</w:t>
            </w:r>
          </w:p>
        </w:tc>
      </w:tr>
      <w:tr w:rsidR="000D6397" w:rsidRPr="00AD5B4D" w14:paraId="2FCD8E92" w14:textId="77777777" w:rsidTr="00982AC0">
        <w:trPr>
          <w:trHeight w:val="454"/>
        </w:trPr>
        <w:tc>
          <w:tcPr>
            <w:tcW w:w="349" w:type="pct"/>
            <w:vAlign w:val="center"/>
            <w:hideMark/>
          </w:tcPr>
          <w:p w14:paraId="3766CF38" w14:textId="77777777" w:rsidR="000D6397" w:rsidRPr="00AD5B4D" w:rsidRDefault="000D6397" w:rsidP="00F707D0">
            <w:pPr>
              <w:pStyle w:val="Teksttabelisrodek"/>
              <w:ind w:left="-120"/>
            </w:pPr>
            <w:r w:rsidRPr="00AD5B4D">
              <w:t>32</w:t>
            </w:r>
            <w:r>
              <w:t>.</w:t>
            </w:r>
          </w:p>
        </w:tc>
        <w:tc>
          <w:tcPr>
            <w:tcW w:w="1238" w:type="pct"/>
            <w:vAlign w:val="center"/>
          </w:tcPr>
          <w:p w14:paraId="7E28674A" w14:textId="77777777" w:rsidR="000D6397" w:rsidRPr="00AD5B4D" w:rsidRDefault="000D6397" w:rsidP="00CE57D6">
            <w:pPr>
              <w:pStyle w:val="Teksttabelisrodek"/>
              <w:jc w:val="both"/>
            </w:pPr>
            <w:r w:rsidRPr="00AD5B4D">
              <w:t>Rozdział 10.3</w:t>
            </w:r>
          </w:p>
        </w:tc>
        <w:tc>
          <w:tcPr>
            <w:tcW w:w="1713" w:type="pct"/>
            <w:vAlign w:val="center"/>
            <w:hideMark/>
          </w:tcPr>
          <w:p w14:paraId="6F0F7AD1" w14:textId="77777777" w:rsidR="000D6397" w:rsidRPr="00AD5B4D" w:rsidRDefault="000D6397" w:rsidP="00CE57D6">
            <w:pPr>
              <w:pStyle w:val="Teksttabelisrodek"/>
              <w:jc w:val="both"/>
            </w:pPr>
            <w:r w:rsidRPr="00AD5B4D">
              <w:t>§2 ust. 1 pkt 37 r.p.g.w.</w:t>
            </w:r>
          </w:p>
        </w:tc>
        <w:tc>
          <w:tcPr>
            <w:tcW w:w="1700" w:type="pct"/>
            <w:vAlign w:val="center"/>
            <w:hideMark/>
          </w:tcPr>
          <w:p w14:paraId="3FE7845C" w14:textId="77777777" w:rsidR="000D6397" w:rsidRPr="00AD5B4D" w:rsidRDefault="000D6397" w:rsidP="00CE57D6">
            <w:pPr>
              <w:pStyle w:val="Teksttabelisrodek"/>
              <w:jc w:val="both"/>
            </w:pPr>
            <w:r w:rsidRPr="00AD5B4D">
              <w:t>art. 318 ust. 6 pkt 3 pr.w.</w:t>
            </w:r>
          </w:p>
        </w:tc>
      </w:tr>
      <w:tr w:rsidR="000D6397" w:rsidRPr="00AD5B4D" w14:paraId="0C404AC7" w14:textId="77777777" w:rsidTr="00982AC0">
        <w:trPr>
          <w:trHeight w:val="454"/>
        </w:trPr>
        <w:tc>
          <w:tcPr>
            <w:tcW w:w="349" w:type="pct"/>
            <w:vAlign w:val="center"/>
            <w:hideMark/>
          </w:tcPr>
          <w:p w14:paraId="7BE34603" w14:textId="77777777" w:rsidR="000D6397" w:rsidRPr="00AD5B4D" w:rsidRDefault="000D6397" w:rsidP="00F707D0">
            <w:pPr>
              <w:pStyle w:val="Teksttabelisrodek"/>
              <w:ind w:left="-120"/>
            </w:pPr>
            <w:r w:rsidRPr="00AD5B4D">
              <w:t>33</w:t>
            </w:r>
            <w:r>
              <w:t>.</w:t>
            </w:r>
          </w:p>
        </w:tc>
        <w:tc>
          <w:tcPr>
            <w:tcW w:w="1238" w:type="pct"/>
            <w:vAlign w:val="center"/>
          </w:tcPr>
          <w:p w14:paraId="5901CC29" w14:textId="77777777" w:rsidR="000D6397" w:rsidRPr="00AD5B4D" w:rsidRDefault="000D6397" w:rsidP="00CE57D6">
            <w:pPr>
              <w:pStyle w:val="Teksttabelisrodek"/>
              <w:jc w:val="both"/>
            </w:pPr>
            <w:r w:rsidRPr="00AD5B4D">
              <w:t>Rozdział 6</w:t>
            </w:r>
          </w:p>
        </w:tc>
        <w:tc>
          <w:tcPr>
            <w:tcW w:w="1713" w:type="pct"/>
            <w:vAlign w:val="center"/>
            <w:hideMark/>
          </w:tcPr>
          <w:p w14:paraId="35023077" w14:textId="77777777" w:rsidR="000D6397" w:rsidRPr="00AD5B4D" w:rsidRDefault="000D6397" w:rsidP="00CE57D6">
            <w:pPr>
              <w:pStyle w:val="Teksttabelisrodek"/>
              <w:jc w:val="both"/>
            </w:pPr>
            <w:r w:rsidRPr="00AD5B4D">
              <w:t>-</w:t>
            </w:r>
          </w:p>
        </w:tc>
        <w:tc>
          <w:tcPr>
            <w:tcW w:w="1700" w:type="pct"/>
            <w:vAlign w:val="center"/>
            <w:hideMark/>
          </w:tcPr>
          <w:p w14:paraId="300A0A77" w14:textId="77777777" w:rsidR="000D6397" w:rsidRPr="00AD5B4D" w:rsidRDefault="000D6397" w:rsidP="00CE57D6">
            <w:pPr>
              <w:pStyle w:val="Teksttabelisrodek"/>
              <w:jc w:val="both"/>
            </w:pPr>
            <w:r w:rsidRPr="00AD5B4D">
              <w:t>art. 114 pr.w.</w:t>
            </w:r>
            <w:r>
              <w:t xml:space="preserve"> oraz art. 317 ust. 1 pkt 8 pr.w.</w:t>
            </w:r>
          </w:p>
        </w:tc>
      </w:tr>
      <w:tr w:rsidR="000D6397" w:rsidRPr="00AD5B4D" w14:paraId="5B1E4687" w14:textId="77777777" w:rsidTr="00982AC0">
        <w:trPr>
          <w:trHeight w:val="454"/>
        </w:trPr>
        <w:tc>
          <w:tcPr>
            <w:tcW w:w="349" w:type="pct"/>
            <w:vAlign w:val="center"/>
            <w:hideMark/>
          </w:tcPr>
          <w:p w14:paraId="19817C14" w14:textId="77777777" w:rsidR="000D6397" w:rsidRPr="00AD5B4D" w:rsidRDefault="000D6397" w:rsidP="00F707D0">
            <w:pPr>
              <w:pStyle w:val="Teksttabelisrodek"/>
              <w:ind w:left="-120"/>
            </w:pPr>
            <w:r w:rsidRPr="00AD5B4D">
              <w:t>34</w:t>
            </w:r>
            <w:r>
              <w:t>.</w:t>
            </w:r>
          </w:p>
        </w:tc>
        <w:tc>
          <w:tcPr>
            <w:tcW w:w="1238" w:type="pct"/>
            <w:vAlign w:val="center"/>
          </w:tcPr>
          <w:p w14:paraId="1781BF32" w14:textId="77777777" w:rsidR="000D6397" w:rsidRPr="00AD5B4D" w:rsidRDefault="000D6397" w:rsidP="00CE57D6">
            <w:pPr>
              <w:pStyle w:val="Teksttabelisrodek"/>
              <w:jc w:val="both"/>
            </w:pPr>
            <w:r w:rsidRPr="00AD5B4D">
              <w:t>Rozdział 4</w:t>
            </w:r>
          </w:p>
        </w:tc>
        <w:tc>
          <w:tcPr>
            <w:tcW w:w="1713" w:type="pct"/>
            <w:vAlign w:val="center"/>
            <w:hideMark/>
          </w:tcPr>
          <w:p w14:paraId="67908FEB" w14:textId="77777777" w:rsidR="000D6397" w:rsidRPr="00AD5B4D" w:rsidRDefault="000D6397" w:rsidP="00CE57D6">
            <w:pPr>
              <w:pStyle w:val="Teksttabelisrodek"/>
              <w:jc w:val="both"/>
            </w:pPr>
            <w:r w:rsidRPr="00AD5B4D">
              <w:t>§2 ust. 1 pkt 13 r.p.g.w.</w:t>
            </w:r>
          </w:p>
        </w:tc>
        <w:tc>
          <w:tcPr>
            <w:tcW w:w="1700" w:type="pct"/>
            <w:vAlign w:val="center"/>
            <w:hideMark/>
          </w:tcPr>
          <w:p w14:paraId="2FEE1166" w14:textId="77777777" w:rsidR="000D6397" w:rsidRPr="00AD5B4D" w:rsidRDefault="000D6397" w:rsidP="00CE57D6">
            <w:pPr>
              <w:pStyle w:val="Teksttabelisrodek"/>
              <w:jc w:val="both"/>
            </w:pPr>
            <w:r w:rsidRPr="00AD5B4D">
              <w:t>-</w:t>
            </w:r>
          </w:p>
        </w:tc>
      </w:tr>
    </w:tbl>
    <w:bookmarkEnd w:id="17"/>
    <w:p w14:paraId="39455A1B" w14:textId="77777777" w:rsidR="005B3051" w:rsidRDefault="005B3051" w:rsidP="005B3051">
      <w:pPr>
        <w:pStyle w:val="rdo0"/>
      </w:pPr>
      <w:r w:rsidRPr="002D0D68">
        <w:t xml:space="preserve">Źródło: opracowanie </w:t>
      </w:r>
      <w:r>
        <w:t>własne</w:t>
      </w:r>
    </w:p>
    <w:p w14:paraId="558F62C0" w14:textId="3D7267B2" w:rsidR="000655C7" w:rsidRPr="00B63EA7" w:rsidRDefault="000655C7" w:rsidP="000655C7">
      <w:pPr>
        <w:suppressAutoHyphens/>
        <w:rPr>
          <w:lang w:eastAsia="pl-PL"/>
        </w:rPr>
      </w:pPr>
      <w:r w:rsidRPr="00B63EA7">
        <w:rPr>
          <w:lang w:eastAsia="pl-PL"/>
        </w:rPr>
        <w:t>Dla zachowania czytelności</w:t>
      </w:r>
      <w:r>
        <w:rPr>
          <w:lang w:eastAsia="pl-PL"/>
        </w:rPr>
        <w:t xml:space="preserve"> dokumentu zastosowano następującą strukturę: </w:t>
      </w:r>
    </w:p>
    <w:p w14:paraId="78CC4A85" w14:textId="77777777" w:rsidR="000655C7" w:rsidRPr="00F06393" w:rsidRDefault="000655C7" w:rsidP="00F06393">
      <w:pPr>
        <w:pStyle w:val="Akapitzlist"/>
      </w:pPr>
      <w:r w:rsidRPr="00F06393">
        <w:t>część główna dokumentu - prezentująca w sposób opisowy poszczególne zagadnienia na poziomie obszaru dorzecza oraz poszczególnych regionów wodnych. Wszelkie zestawienia tabelaryczne oraz zobrazowania mapowe znajdują się w załącznikach;</w:t>
      </w:r>
    </w:p>
    <w:p w14:paraId="5053CA4D" w14:textId="0CA92A77" w:rsidR="000655C7" w:rsidRPr="00F06393" w:rsidRDefault="000655C7" w:rsidP="00F06393">
      <w:pPr>
        <w:pStyle w:val="Akapitzlist"/>
      </w:pPr>
      <w:r w:rsidRPr="00F06393">
        <w:t xml:space="preserve">załączniki IIaPGW </w:t>
      </w:r>
      <w:r w:rsidR="00BB0E3B" w:rsidRPr="00F06393">
        <w:t>-</w:t>
      </w:r>
      <w:r w:rsidRPr="00F06393">
        <w:t xml:space="preserve"> stanowiące integralną część IIaPGW, prezentujące w sposób szczegółowy dane zagadnienia zaprezentowane w części głównej, w tym załącznik nr 1: zestawienie główne zawierające zbiorcze zestawienie danych charakteryzujących każdą jcw obszaru dorzecza w</w:t>
      </w:r>
      <w:r w:rsidR="00CE57D6">
        <w:t> </w:t>
      </w:r>
      <w:r w:rsidRPr="00F06393">
        <w:t>zakresie zagadnień objętych planem gospodarowania wodami;</w:t>
      </w:r>
    </w:p>
    <w:p w14:paraId="3984BAB9" w14:textId="2B38A397" w:rsidR="000655C7" w:rsidRPr="00F06393" w:rsidRDefault="000655C7" w:rsidP="00F06393">
      <w:pPr>
        <w:pStyle w:val="Akapitzlist"/>
      </w:pPr>
      <w:r w:rsidRPr="00F06393">
        <w:t>załączniki graficzne prezentujące zobrazowania mapowe zagadnień przedstawianych w</w:t>
      </w:r>
      <w:r w:rsidR="00EF3738" w:rsidRPr="00F06393">
        <w:t> </w:t>
      </w:r>
      <w:r w:rsidRPr="00F06393">
        <w:t>części głównej IIaPGW.</w:t>
      </w:r>
    </w:p>
    <w:p w14:paraId="6A99355E" w14:textId="77777777" w:rsidR="000655C7" w:rsidRDefault="000655C7" w:rsidP="000655C7">
      <w:pPr>
        <w:suppressAutoHyphens/>
        <w:autoSpaceDE w:val="0"/>
        <w:autoSpaceDN w:val="0"/>
        <w:adjustRightInd w:val="0"/>
        <w:jc w:val="center"/>
        <w:rPr>
          <w:rFonts w:cs="Calibri"/>
          <w:color w:val="000000"/>
          <w:lang w:eastAsia="pl-PL"/>
        </w:rPr>
      </w:pPr>
      <w:r>
        <w:rPr>
          <w:noProof/>
        </w:rPr>
        <w:drawing>
          <wp:inline distT="0" distB="0" distL="0" distR="0" wp14:anchorId="079442B4" wp14:editId="6FBA2D93">
            <wp:extent cx="3614468" cy="3133932"/>
            <wp:effectExtent l="0" t="0" r="508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21">
                      <a:extLst>
                        <a:ext uri="{28A0092B-C50C-407E-A947-70E740481C1C}">
                          <a14:useLocalDpi xmlns:a14="http://schemas.microsoft.com/office/drawing/2010/main" val="0"/>
                        </a:ext>
                      </a:extLst>
                    </a:blip>
                    <a:stretch>
                      <a:fillRect/>
                    </a:stretch>
                  </pic:blipFill>
                  <pic:spPr>
                    <a:xfrm>
                      <a:off x="0" y="0"/>
                      <a:ext cx="3635904" cy="3152518"/>
                    </a:xfrm>
                    <a:prstGeom prst="rect">
                      <a:avLst/>
                    </a:prstGeom>
                  </pic:spPr>
                </pic:pic>
              </a:graphicData>
            </a:graphic>
          </wp:inline>
        </w:drawing>
      </w:r>
    </w:p>
    <w:p w14:paraId="12A13AA8" w14:textId="5DD1210A" w:rsidR="000655C7" w:rsidRDefault="00397699" w:rsidP="006802BB">
      <w:pPr>
        <w:pStyle w:val="Rysunek"/>
        <w:rPr>
          <w:rFonts w:cs="Calibri"/>
          <w:color w:val="000000"/>
          <w:lang w:eastAsia="pl-PL"/>
        </w:rPr>
      </w:pPr>
      <w:bookmarkStart w:id="18" w:name="_Toc68727072"/>
      <w:r>
        <w:t xml:space="preserve">Rysunek </w:t>
      </w:r>
      <w:fldSimple w:instr=" STYLEREF 1 \s ">
        <w:r w:rsidR="00860BC1">
          <w:rPr>
            <w:noProof/>
          </w:rPr>
          <w:t>2</w:t>
        </w:r>
      </w:fldSimple>
      <w:r w:rsidR="00860BC1">
        <w:noBreakHyphen/>
      </w:r>
      <w:fldSimple w:instr=" SEQ Rysunek \* ARABIC \s 1 ">
        <w:r w:rsidR="00860BC1">
          <w:rPr>
            <w:noProof/>
          </w:rPr>
          <w:t>1</w:t>
        </w:r>
      </w:fldSimple>
      <w:r>
        <w:tab/>
      </w:r>
      <w:r w:rsidRPr="005F4A59">
        <w:t>Struktura dokumentu IIaPGW</w:t>
      </w:r>
      <w:bookmarkEnd w:id="18"/>
    </w:p>
    <w:p w14:paraId="349E9986" w14:textId="77777777" w:rsidR="005B3051" w:rsidRDefault="005B3051" w:rsidP="005B3051">
      <w:pPr>
        <w:pStyle w:val="rdo0"/>
      </w:pPr>
      <w:r w:rsidRPr="002D0D68">
        <w:t xml:space="preserve">Źródło: opracowanie </w:t>
      </w:r>
      <w:r>
        <w:t>własne</w:t>
      </w:r>
    </w:p>
    <w:p w14:paraId="06CD286B" w14:textId="77777777" w:rsidR="000655C7" w:rsidRDefault="000655C7" w:rsidP="000655C7">
      <w:pPr>
        <w:autoSpaceDE w:val="0"/>
        <w:autoSpaceDN w:val="0"/>
        <w:adjustRightInd w:val="0"/>
      </w:pPr>
      <w:r>
        <w:t>Kolejne rozdziały prowadzą przez poszczególne elementy IIaPGW wraz z podsumowaniem wszelkich zmian dokonanych w okresie objętym aPGW (2016-2021).</w:t>
      </w:r>
    </w:p>
    <w:p w14:paraId="1DB2525D" w14:textId="77777777" w:rsidR="00DA243A" w:rsidRPr="00DA243A" w:rsidRDefault="00DA243A" w:rsidP="00DA243A"/>
    <w:p w14:paraId="61FD2EF5" w14:textId="77777777" w:rsidR="00D20527" w:rsidRDefault="00D20527" w:rsidP="00EA234C">
      <w:pPr>
        <w:suppressAutoHyphens/>
        <w:spacing w:before="0" w:after="160" w:line="259" w:lineRule="auto"/>
        <w:jc w:val="left"/>
      </w:pPr>
      <w:r>
        <w:br w:type="page"/>
      </w:r>
    </w:p>
    <w:p w14:paraId="4999951D" w14:textId="51268386" w:rsidR="00A279FD" w:rsidRDefault="0019470B" w:rsidP="00B50FFD">
      <w:pPr>
        <w:pStyle w:val="Nagwek1"/>
      </w:pPr>
      <w:bookmarkStart w:id="19" w:name="_Toc49245814"/>
      <w:bookmarkStart w:id="20" w:name="_Toc68726832"/>
      <w:r w:rsidRPr="001A7C0B">
        <w:t>Ogólny opis cech charakterystycznych obszaru dorzecza</w:t>
      </w:r>
      <w:r w:rsidR="00AF6038">
        <w:t xml:space="preserve"> wraz</w:t>
      </w:r>
      <w:r w:rsidR="00B50FFD">
        <w:t> </w:t>
      </w:r>
      <w:r w:rsidR="00AF6038">
        <w:t>z</w:t>
      </w:r>
      <w:r w:rsidR="00B50FFD">
        <w:t> </w:t>
      </w:r>
      <w:r w:rsidR="00AF6038">
        <w:t>wykazem obszarów chronionych</w:t>
      </w:r>
      <w:bookmarkEnd w:id="20"/>
    </w:p>
    <w:p w14:paraId="51B3BBB6" w14:textId="6B1ACDCB" w:rsidR="00483E3A" w:rsidRPr="00272981" w:rsidRDefault="00483E3A" w:rsidP="00483E3A">
      <w:pPr>
        <w:widowControl w:val="0"/>
        <w:autoSpaceDE w:val="0"/>
        <w:autoSpaceDN w:val="0"/>
        <w:adjustRightInd w:val="0"/>
        <w:ind w:right="54"/>
        <w:rPr>
          <w:rFonts w:asciiTheme="minorHAnsi" w:eastAsiaTheme="minorEastAsia" w:hAnsiTheme="minorHAnsi" w:cstheme="minorBidi"/>
          <w:color w:val="000000"/>
        </w:rPr>
      </w:pPr>
      <w:bookmarkStart w:id="21" w:name="_Hlk64976846"/>
      <w:r w:rsidRPr="469468AC">
        <w:rPr>
          <w:rFonts w:asciiTheme="minorHAnsi" w:eastAsiaTheme="minorEastAsia" w:hAnsiTheme="minorHAnsi" w:cstheme="minorBidi"/>
          <w:color w:val="000000"/>
        </w:rPr>
        <w:t xml:space="preserve">Obszar dorzecza </w:t>
      </w:r>
      <w:r>
        <w:rPr>
          <w:rFonts w:asciiTheme="minorHAnsi" w:eastAsiaTheme="minorEastAsia" w:hAnsiTheme="minorHAnsi" w:cstheme="minorBidi"/>
          <w:color w:val="000000"/>
        </w:rPr>
        <w:t>Pregoły</w:t>
      </w:r>
      <w:r w:rsidRPr="469468AC">
        <w:rPr>
          <w:rFonts w:asciiTheme="minorHAnsi" w:eastAsiaTheme="minorEastAsia" w:hAnsiTheme="minorHAnsi" w:cstheme="minorBidi"/>
          <w:color w:val="000000"/>
        </w:rPr>
        <w:t xml:space="preserve"> jest jednym z dziewięciu obszarów dorzeczy w granicach Polski, </w:t>
      </w:r>
      <w:r w:rsidRPr="00303ADB">
        <w:rPr>
          <w:rFonts w:asciiTheme="minorHAnsi" w:eastAsiaTheme="minorEastAsia" w:hAnsiTheme="minorHAnsi" w:cstheme="minorBidi"/>
          <w:color w:val="000000"/>
        </w:rPr>
        <w:t>a zarazem trzecim pod względem wielkości.</w:t>
      </w:r>
      <w:r w:rsidRPr="469468AC">
        <w:rPr>
          <w:rFonts w:asciiTheme="minorHAnsi" w:eastAsiaTheme="minorEastAsia" w:hAnsiTheme="minorHAnsi" w:cstheme="minorBidi"/>
          <w:color w:val="000000"/>
        </w:rPr>
        <w:t xml:space="preserve"> Zajmuje</w:t>
      </w:r>
      <w:bookmarkEnd w:id="21"/>
      <w:r>
        <w:rPr>
          <w:rFonts w:asciiTheme="minorHAnsi" w:eastAsiaTheme="minorEastAsia" w:hAnsiTheme="minorHAnsi" w:cstheme="minorBidi"/>
          <w:color w:val="000000"/>
        </w:rPr>
        <w:t xml:space="preserve"> </w:t>
      </w:r>
      <w:r>
        <w:rPr>
          <w:rFonts w:asciiTheme="minorHAnsi" w:eastAsiaTheme="minorEastAsia" w:hAnsiTheme="minorHAnsi" w:cstheme="minorBidi"/>
          <w:color w:val="000000" w:themeColor="text1"/>
        </w:rPr>
        <w:t xml:space="preserve">północno-wschodnią część </w:t>
      </w:r>
      <w:r w:rsidRPr="469468AC">
        <w:rPr>
          <w:rFonts w:asciiTheme="minorHAnsi" w:eastAsiaTheme="minorEastAsia" w:hAnsiTheme="minorHAnsi" w:cstheme="minorBidi"/>
          <w:color w:val="000000"/>
        </w:rPr>
        <w:t xml:space="preserve">kraju, a jego powierzchnia wynosi około </w:t>
      </w:r>
      <w:r>
        <w:rPr>
          <w:rFonts w:asciiTheme="minorHAnsi" w:eastAsiaTheme="minorEastAsia" w:hAnsiTheme="minorHAnsi" w:cstheme="minorBidi"/>
          <w:color w:val="000000"/>
        </w:rPr>
        <w:t>7 521,7</w:t>
      </w:r>
      <w:r w:rsidRPr="469468AC">
        <w:rPr>
          <w:rFonts w:asciiTheme="minorHAnsi" w:eastAsiaTheme="minorEastAsia" w:hAnsiTheme="minorHAnsi" w:cstheme="minorBidi"/>
          <w:color w:val="000000"/>
        </w:rPr>
        <w:t xml:space="preserve"> km</w:t>
      </w:r>
      <w:r w:rsidRPr="469468AC">
        <w:rPr>
          <w:rFonts w:asciiTheme="minorHAnsi" w:eastAsiaTheme="minorEastAsia" w:hAnsiTheme="minorHAnsi" w:cstheme="minorBidi"/>
          <w:color w:val="000000"/>
          <w:position w:val="3"/>
          <w:vertAlign w:val="superscript"/>
        </w:rPr>
        <w:t>2</w:t>
      </w:r>
      <w:r w:rsidRPr="469468AC">
        <w:rPr>
          <w:rFonts w:asciiTheme="minorHAnsi" w:eastAsiaTheme="minorEastAsia" w:hAnsiTheme="minorHAnsi" w:cstheme="minorBidi"/>
          <w:color w:val="000000"/>
        </w:rPr>
        <w:t xml:space="preserve">, co stanowi około </w:t>
      </w:r>
      <w:r>
        <w:rPr>
          <w:rFonts w:asciiTheme="minorHAnsi" w:eastAsiaTheme="minorEastAsia" w:hAnsiTheme="minorHAnsi" w:cstheme="minorBidi"/>
          <w:color w:val="000000"/>
        </w:rPr>
        <w:t>2,5</w:t>
      </w:r>
      <w:r w:rsidRPr="469468AC">
        <w:rPr>
          <w:rFonts w:asciiTheme="minorHAnsi" w:eastAsiaTheme="minorEastAsia" w:hAnsiTheme="minorHAnsi" w:cstheme="minorBidi"/>
          <w:color w:val="000000"/>
        </w:rPr>
        <w:t xml:space="preserve">% powierzchni kraju. </w:t>
      </w:r>
      <w:r>
        <w:rPr>
          <w:rFonts w:asciiTheme="minorHAnsi" w:eastAsiaTheme="minorEastAsia" w:hAnsiTheme="minorHAnsi" w:cstheme="minorBidi"/>
          <w:color w:val="000000"/>
        </w:rPr>
        <w:t xml:space="preserve">Główną rzeką obszaru dorzecza jest rzeka Pregoła, która stanowi najdłuższą rzekę obwodu kalingradzkiego </w:t>
      </w:r>
      <w:r w:rsidR="00B72CAA" w:rsidRPr="00B72CAA">
        <w:rPr>
          <w:rFonts w:asciiTheme="minorHAnsi" w:eastAsiaTheme="minorEastAsia" w:hAnsiTheme="minorHAnsi" w:cstheme="minorBidi"/>
          <w:color w:val="000000"/>
        </w:rPr>
        <w:t>należ</w:t>
      </w:r>
      <w:r w:rsidR="00B72CAA">
        <w:rPr>
          <w:rFonts w:asciiTheme="minorHAnsi" w:eastAsiaTheme="minorEastAsia" w:hAnsiTheme="minorHAnsi" w:cstheme="minorBidi"/>
          <w:color w:val="000000"/>
        </w:rPr>
        <w:t>ą</w:t>
      </w:r>
      <w:r w:rsidR="00B72CAA" w:rsidRPr="00B72CAA">
        <w:rPr>
          <w:rFonts w:asciiTheme="minorHAnsi" w:eastAsiaTheme="minorEastAsia" w:hAnsiTheme="minorHAnsi" w:cstheme="minorBidi"/>
          <w:color w:val="000000"/>
        </w:rPr>
        <w:t>cego do Federac</w:t>
      </w:r>
      <w:r w:rsidR="00B72CAA">
        <w:rPr>
          <w:rFonts w:asciiTheme="minorHAnsi" w:eastAsiaTheme="minorEastAsia" w:hAnsiTheme="minorHAnsi" w:cstheme="minorBidi"/>
          <w:color w:val="000000"/>
        </w:rPr>
        <w:t>j</w:t>
      </w:r>
      <w:r w:rsidR="00B72CAA" w:rsidRPr="00B72CAA">
        <w:rPr>
          <w:rFonts w:asciiTheme="minorHAnsi" w:eastAsiaTheme="minorEastAsia" w:hAnsiTheme="minorHAnsi" w:cstheme="minorBidi"/>
          <w:color w:val="000000"/>
        </w:rPr>
        <w:t xml:space="preserve">i Rosyjskiej </w:t>
      </w:r>
      <w:r>
        <w:rPr>
          <w:rFonts w:asciiTheme="minorHAnsi" w:eastAsiaTheme="minorEastAsia" w:hAnsiTheme="minorHAnsi" w:cstheme="minorBidi"/>
          <w:color w:val="000000"/>
        </w:rPr>
        <w:t xml:space="preserve">oraz w całości przepływa przez jego obszar. </w:t>
      </w:r>
      <w:r w:rsidR="00B72CAA" w:rsidRPr="00B72CAA">
        <w:rPr>
          <w:rFonts w:asciiTheme="minorHAnsi" w:eastAsiaTheme="minorEastAsia" w:hAnsiTheme="minorHAnsi" w:cstheme="minorBidi"/>
          <w:color w:val="000000" w:themeColor="text1"/>
        </w:rPr>
        <w:t>Obszar Dorzecza Pregoły w Polsce r</w:t>
      </w:r>
      <w:r w:rsidRPr="00B72CAA">
        <w:rPr>
          <w:rFonts w:asciiTheme="minorHAnsi" w:eastAsiaTheme="minorEastAsia" w:hAnsiTheme="minorHAnsi" w:cstheme="minorBidi"/>
          <w:color w:val="000000" w:themeColor="text1"/>
        </w:rPr>
        <w:t xml:space="preserve">eprezentowany jest przez </w:t>
      </w:r>
      <w:r w:rsidR="00B72CAA" w:rsidRPr="00B72CAA">
        <w:rPr>
          <w:rFonts w:asciiTheme="minorHAnsi" w:eastAsiaTheme="minorEastAsia" w:hAnsiTheme="minorHAnsi" w:cstheme="minorBidi"/>
          <w:color w:val="000000" w:themeColor="text1"/>
        </w:rPr>
        <w:t>re</w:t>
      </w:r>
      <w:r w:rsidR="00B72CAA">
        <w:rPr>
          <w:rFonts w:asciiTheme="minorHAnsi" w:eastAsiaTheme="minorEastAsia" w:hAnsiTheme="minorHAnsi" w:cstheme="minorBidi"/>
          <w:color w:val="000000" w:themeColor="text1"/>
        </w:rPr>
        <w:t>gi</w:t>
      </w:r>
      <w:r w:rsidR="00B72CAA" w:rsidRPr="00B72CAA">
        <w:rPr>
          <w:rFonts w:asciiTheme="minorHAnsi" w:eastAsiaTheme="minorEastAsia" w:hAnsiTheme="minorHAnsi" w:cstheme="minorBidi"/>
          <w:color w:val="000000" w:themeColor="text1"/>
        </w:rPr>
        <w:t xml:space="preserve">on </w:t>
      </w:r>
      <w:r w:rsidRPr="00B72CAA">
        <w:rPr>
          <w:rFonts w:asciiTheme="minorHAnsi" w:eastAsiaTheme="minorEastAsia" w:hAnsiTheme="minorHAnsi" w:cstheme="minorBidi"/>
          <w:color w:val="000000" w:themeColor="text1"/>
        </w:rPr>
        <w:t>wodny Łyny i Węgorapy</w:t>
      </w:r>
      <w:r w:rsidR="005217B8">
        <w:rPr>
          <w:rFonts w:asciiTheme="minorHAnsi" w:eastAsiaTheme="minorEastAsia" w:hAnsiTheme="minorHAnsi" w:cstheme="minorBidi"/>
          <w:color w:val="000000" w:themeColor="text1"/>
        </w:rPr>
        <w:t xml:space="preserve"> (RZGW Białystok)</w:t>
      </w:r>
      <w:r w:rsidR="00C42958">
        <w:rPr>
          <w:rStyle w:val="Odwoanieprzypisudolnego"/>
          <w:rFonts w:asciiTheme="minorHAnsi" w:eastAsiaTheme="minorEastAsia" w:hAnsiTheme="minorHAnsi"/>
          <w:color w:val="000000" w:themeColor="text1"/>
        </w:rPr>
        <w:footnoteReference w:id="2"/>
      </w:r>
      <w:r w:rsidRPr="00B72CAA">
        <w:rPr>
          <w:rFonts w:asciiTheme="minorHAnsi" w:eastAsiaTheme="minorEastAsia" w:hAnsiTheme="minorHAnsi" w:cstheme="minorBidi"/>
          <w:color w:val="000000" w:themeColor="text1"/>
        </w:rPr>
        <w:t>. Do głównych rzek w</w:t>
      </w:r>
      <w:r w:rsidR="005217B8">
        <w:rPr>
          <w:rFonts w:asciiTheme="minorHAnsi" w:eastAsiaTheme="minorEastAsia" w:hAnsiTheme="minorHAnsi" w:cstheme="minorBidi"/>
          <w:color w:val="000000" w:themeColor="text1"/>
        </w:rPr>
        <w:t> </w:t>
      </w:r>
      <w:r w:rsidRPr="00B72CAA">
        <w:rPr>
          <w:rFonts w:asciiTheme="minorHAnsi" w:eastAsiaTheme="minorEastAsia" w:hAnsiTheme="minorHAnsi" w:cstheme="minorBidi"/>
          <w:color w:val="000000" w:themeColor="text1"/>
        </w:rPr>
        <w:t>regionie</w:t>
      </w:r>
      <w:r>
        <w:rPr>
          <w:rFonts w:asciiTheme="minorHAnsi" w:eastAsiaTheme="minorEastAsia" w:hAnsiTheme="minorHAnsi" w:cstheme="minorBidi"/>
          <w:color w:val="000000"/>
        </w:rPr>
        <w:t xml:space="preserve"> zalicza się </w:t>
      </w:r>
      <w:r w:rsidR="00B72CAA">
        <w:rPr>
          <w:rFonts w:asciiTheme="minorHAnsi" w:eastAsiaTheme="minorEastAsia" w:hAnsiTheme="minorHAnsi" w:cstheme="minorBidi"/>
          <w:color w:val="000000"/>
        </w:rPr>
        <w:t xml:space="preserve">Łynę </w:t>
      </w:r>
      <w:r>
        <w:rPr>
          <w:rFonts w:asciiTheme="minorHAnsi" w:eastAsiaTheme="minorEastAsia" w:hAnsiTheme="minorHAnsi" w:cstheme="minorBidi"/>
          <w:color w:val="000000"/>
        </w:rPr>
        <w:t xml:space="preserve">oraz </w:t>
      </w:r>
      <w:r w:rsidR="00B72CAA">
        <w:rPr>
          <w:rFonts w:asciiTheme="minorHAnsi" w:eastAsiaTheme="minorEastAsia" w:hAnsiTheme="minorHAnsi" w:cstheme="minorBidi"/>
          <w:color w:val="000000"/>
        </w:rPr>
        <w:t>Węgorapę (dopływ II rzędu)</w:t>
      </w:r>
      <w:r>
        <w:rPr>
          <w:rFonts w:asciiTheme="minorHAnsi" w:eastAsiaTheme="minorEastAsia" w:hAnsiTheme="minorHAnsi" w:cstheme="minorBidi"/>
          <w:color w:val="000000"/>
        </w:rPr>
        <w:t>. Wśród pozostałych istotnych cieków w</w:t>
      </w:r>
      <w:r w:rsidR="005217B8">
        <w:rPr>
          <w:rFonts w:asciiTheme="minorHAnsi" w:eastAsiaTheme="minorEastAsia" w:hAnsiTheme="minorHAnsi" w:cstheme="minorBidi"/>
          <w:color w:val="000000"/>
        </w:rPr>
        <w:t> </w:t>
      </w:r>
      <w:r w:rsidR="00B72CAA">
        <w:rPr>
          <w:rFonts w:asciiTheme="minorHAnsi" w:eastAsiaTheme="minorEastAsia" w:hAnsiTheme="minorHAnsi" w:cstheme="minorBidi"/>
          <w:color w:val="000000"/>
        </w:rPr>
        <w:t>regionie należy wymienić</w:t>
      </w:r>
      <w:r>
        <w:rPr>
          <w:rFonts w:asciiTheme="minorHAnsi" w:eastAsiaTheme="minorEastAsia" w:hAnsiTheme="minorHAnsi" w:cstheme="minorBidi"/>
          <w:color w:val="000000"/>
        </w:rPr>
        <w:t xml:space="preserve">: </w:t>
      </w:r>
      <w:r w:rsidR="00B72CAA">
        <w:rPr>
          <w:rFonts w:asciiTheme="minorHAnsi" w:eastAsiaTheme="minorEastAsia" w:hAnsiTheme="minorHAnsi" w:cstheme="minorBidi"/>
          <w:color w:val="000000"/>
        </w:rPr>
        <w:t>Gołdapę</w:t>
      </w:r>
      <w:r>
        <w:rPr>
          <w:rFonts w:asciiTheme="minorHAnsi" w:eastAsiaTheme="minorEastAsia" w:hAnsiTheme="minorHAnsi" w:cstheme="minorBidi"/>
          <w:color w:val="000000"/>
        </w:rPr>
        <w:t>, Guber, Wadąg</w:t>
      </w:r>
      <w:r w:rsidR="00B72CAA">
        <w:rPr>
          <w:rFonts w:asciiTheme="minorHAnsi" w:eastAsiaTheme="minorEastAsia" w:hAnsiTheme="minorHAnsi" w:cstheme="minorBidi"/>
          <w:color w:val="000000"/>
        </w:rPr>
        <w:t xml:space="preserve"> (dopływ III rzędu) </w:t>
      </w:r>
      <w:r>
        <w:rPr>
          <w:rFonts w:asciiTheme="minorHAnsi" w:eastAsiaTheme="minorEastAsia" w:hAnsiTheme="minorHAnsi" w:cstheme="minorBidi"/>
          <w:color w:val="000000"/>
        </w:rPr>
        <w:t xml:space="preserve">oraz </w:t>
      </w:r>
      <w:r w:rsidR="00B72CAA">
        <w:rPr>
          <w:rFonts w:asciiTheme="minorHAnsi" w:eastAsiaTheme="minorEastAsia" w:hAnsiTheme="minorHAnsi" w:cstheme="minorBidi"/>
          <w:color w:val="000000"/>
        </w:rPr>
        <w:t xml:space="preserve">Dejnę </w:t>
      </w:r>
      <w:r w:rsidRPr="1F320FCB">
        <w:rPr>
          <w:rFonts w:asciiTheme="minorHAnsi" w:eastAsiaTheme="minorEastAsia" w:hAnsiTheme="minorHAnsi" w:cstheme="minorBidi"/>
          <w:color w:val="000000"/>
        </w:rPr>
        <w:t>i</w:t>
      </w:r>
      <w:r w:rsidR="00FD0B7E">
        <w:rPr>
          <w:rFonts w:asciiTheme="minorHAnsi" w:eastAsiaTheme="minorEastAsia" w:hAnsiTheme="minorHAnsi" w:cstheme="minorBidi"/>
          <w:color w:val="000000"/>
        </w:rPr>
        <w:t> </w:t>
      </w:r>
      <w:r w:rsidRPr="1F320FCB">
        <w:rPr>
          <w:rFonts w:asciiTheme="minorHAnsi" w:eastAsiaTheme="minorEastAsia" w:hAnsiTheme="minorHAnsi" w:cstheme="minorBidi"/>
          <w:color w:val="000000"/>
        </w:rPr>
        <w:t>Sajn</w:t>
      </w:r>
      <w:r w:rsidR="00B72CAA">
        <w:rPr>
          <w:rFonts w:asciiTheme="minorHAnsi" w:eastAsiaTheme="minorEastAsia" w:hAnsiTheme="minorHAnsi" w:cstheme="minorBidi"/>
          <w:color w:val="000000"/>
        </w:rPr>
        <w:t>ę (dopływ IV rzędu)</w:t>
      </w:r>
      <w:r w:rsidRPr="1F320FCB">
        <w:rPr>
          <w:rFonts w:asciiTheme="minorHAnsi" w:eastAsiaTheme="minorEastAsia" w:hAnsiTheme="minorHAnsi" w:cstheme="minorBidi"/>
          <w:color w:val="000000"/>
        </w:rPr>
        <w:t>.</w:t>
      </w:r>
      <w:r>
        <w:rPr>
          <w:rFonts w:asciiTheme="minorHAnsi" w:eastAsiaTheme="minorEastAsia" w:hAnsiTheme="minorHAnsi" w:cstheme="minorBidi"/>
          <w:color w:val="000000"/>
        </w:rPr>
        <w:t xml:space="preserve"> </w:t>
      </w:r>
      <w:r w:rsidRPr="469468AC">
        <w:rPr>
          <w:rFonts w:asciiTheme="minorHAnsi" w:eastAsiaTheme="minorEastAsia" w:hAnsiTheme="minorHAnsi" w:cstheme="minorBidi"/>
          <w:color w:val="000000" w:themeColor="text1"/>
        </w:rPr>
        <w:t xml:space="preserve">Pod względem administracyjnym obszar dorzecza </w:t>
      </w:r>
      <w:r>
        <w:rPr>
          <w:rFonts w:asciiTheme="minorHAnsi" w:eastAsiaTheme="minorEastAsia" w:hAnsiTheme="minorHAnsi" w:cstheme="minorBidi"/>
          <w:color w:val="000000" w:themeColor="text1"/>
        </w:rPr>
        <w:t>Pregoły jest położony w północnej i</w:t>
      </w:r>
      <w:r w:rsidR="00FD0B7E">
        <w:rPr>
          <w:rFonts w:asciiTheme="minorHAnsi" w:eastAsiaTheme="minorEastAsia" w:hAnsiTheme="minorHAnsi" w:cstheme="minorBidi"/>
          <w:color w:val="000000" w:themeColor="text1"/>
        </w:rPr>
        <w:t> </w:t>
      </w:r>
      <w:r>
        <w:rPr>
          <w:rFonts w:asciiTheme="minorHAnsi" w:eastAsiaTheme="minorEastAsia" w:hAnsiTheme="minorHAnsi" w:cstheme="minorBidi"/>
          <w:color w:val="000000" w:themeColor="text1"/>
        </w:rPr>
        <w:t xml:space="preserve">centralnej części województwa warmińsko-mazurskiego oraz w północnej części województwa podlaskiego. </w:t>
      </w:r>
      <w:r w:rsidRPr="469468AC">
        <w:rPr>
          <w:rFonts w:asciiTheme="minorHAnsi" w:eastAsiaTheme="minorEastAsia" w:hAnsiTheme="minorHAnsi" w:cstheme="minorBidi"/>
          <w:color w:val="000000" w:themeColor="text1"/>
        </w:rPr>
        <w:t xml:space="preserve">Źródła rzeki </w:t>
      </w:r>
      <w:r>
        <w:rPr>
          <w:rFonts w:asciiTheme="minorHAnsi" w:eastAsiaTheme="minorEastAsia" w:hAnsiTheme="minorHAnsi" w:cstheme="minorBidi"/>
          <w:color w:val="000000" w:themeColor="text1"/>
        </w:rPr>
        <w:t xml:space="preserve">Łyna </w:t>
      </w:r>
      <w:r w:rsidRPr="469468AC">
        <w:rPr>
          <w:rFonts w:asciiTheme="minorHAnsi" w:eastAsiaTheme="minorEastAsia" w:hAnsiTheme="minorHAnsi" w:cstheme="minorBidi"/>
          <w:color w:val="000000" w:themeColor="text1"/>
        </w:rPr>
        <w:t>znajdują się w</w:t>
      </w:r>
      <w:r>
        <w:rPr>
          <w:rFonts w:asciiTheme="minorHAnsi" w:eastAsiaTheme="minorEastAsia" w:hAnsiTheme="minorHAnsi" w:cstheme="minorBidi"/>
          <w:color w:val="000000" w:themeColor="text1"/>
        </w:rPr>
        <w:t xml:space="preserve"> miejscowości Łyna a Węgorapa wypływa z jeziora Mamry</w:t>
      </w:r>
      <w:r w:rsidRPr="469468AC">
        <w:rPr>
          <w:rFonts w:asciiTheme="minorHAnsi" w:eastAsiaTheme="minorEastAsia" w:hAnsiTheme="minorHAnsi" w:cstheme="minorBidi"/>
          <w:color w:val="000000" w:themeColor="text1"/>
        </w:rPr>
        <w:t xml:space="preserve">. </w:t>
      </w:r>
      <w:r>
        <w:rPr>
          <w:rFonts w:asciiTheme="minorHAnsi" w:eastAsiaTheme="minorEastAsia" w:hAnsiTheme="minorHAnsi" w:cstheme="minorBidi"/>
          <w:color w:val="000000" w:themeColor="text1"/>
        </w:rPr>
        <w:t xml:space="preserve">Rzeka Pregoła </w:t>
      </w:r>
      <w:r w:rsidRPr="469468AC">
        <w:rPr>
          <w:rFonts w:asciiTheme="minorHAnsi" w:eastAsiaTheme="minorEastAsia" w:hAnsiTheme="minorHAnsi" w:cstheme="minorBidi"/>
          <w:color w:val="000000" w:themeColor="text1"/>
        </w:rPr>
        <w:t xml:space="preserve">uchodzi </w:t>
      </w:r>
      <w:r>
        <w:rPr>
          <w:rFonts w:asciiTheme="minorHAnsi" w:eastAsiaTheme="minorEastAsia" w:hAnsiTheme="minorHAnsi" w:cstheme="minorBidi"/>
          <w:color w:val="000000" w:themeColor="text1"/>
        </w:rPr>
        <w:t xml:space="preserve">bezpośrednio </w:t>
      </w:r>
      <w:r w:rsidRPr="469468AC">
        <w:rPr>
          <w:rFonts w:asciiTheme="minorHAnsi" w:eastAsiaTheme="minorEastAsia" w:hAnsiTheme="minorHAnsi" w:cstheme="minorBidi"/>
          <w:color w:val="000000" w:themeColor="text1"/>
        </w:rPr>
        <w:t xml:space="preserve">do </w:t>
      </w:r>
      <w:r>
        <w:rPr>
          <w:rFonts w:asciiTheme="minorHAnsi" w:eastAsiaTheme="minorEastAsia" w:hAnsiTheme="minorHAnsi" w:cstheme="minorBidi"/>
          <w:color w:val="000000" w:themeColor="text1"/>
        </w:rPr>
        <w:t>Zalewu Wiślanego</w:t>
      </w:r>
      <w:r w:rsidRPr="469468AC">
        <w:rPr>
          <w:rFonts w:asciiTheme="minorHAnsi" w:eastAsiaTheme="minorEastAsia" w:hAnsiTheme="minorHAnsi" w:cstheme="minorBidi"/>
          <w:color w:val="000000" w:themeColor="text1"/>
        </w:rPr>
        <w:t>.</w:t>
      </w:r>
    </w:p>
    <w:p w14:paraId="7735115A" w14:textId="3F6E1956" w:rsidR="00483E3A" w:rsidRPr="0017799E" w:rsidRDefault="00483E3A" w:rsidP="009A291C">
      <w:pPr>
        <w:widowControl w:val="0"/>
        <w:autoSpaceDE w:val="0"/>
        <w:autoSpaceDN w:val="0"/>
        <w:adjustRightInd w:val="0"/>
        <w:ind w:right="55"/>
        <w:rPr>
          <w:rFonts w:asciiTheme="minorHAnsi" w:eastAsiaTheme="minorEastAsia" w:hAnsiTheme="minorHAnsi" w:cstheme="minorBidi"/>
          <w:color w:val="000000" w:themeColor="text1"/>
        </w:rPr>
      </w:pPr>
      <w:r w:rsidRPr="1F320FCB">
        <w:rPr>
          <w:rFonts w:asciiTheme="minorHAnsi" w:eastAsiaTheme="minorEastAsia" w:hAnsiTheme="minorHAnsi" w:cstheme="minorBidi"/>
          <w:color w:val="000000" w:themeColor="text1"/>
        </w:rPr>
        <w:t>Do największych jezior na obszarze dorzecza należą: Dargin, Mamry, Kisajno, Dobskie, Łańskie.</w:t>
      </w:r>
      <w:r w:rsidR="00C67DCA">
        <w:rPr>
          <w:rFonts w:asciiTheme="minorHAnsi" w:eastAsiaTheme="minorEastAsia" w:hAnsiTheme="minorHAnsi" w:cstheme="minorBidi"/>
          <w:color w:val="000000" w:themeColor="text1"/>
        </w:rPr>
        <w:t xml:space="preserve"> </w:t>
      </w:r>
      <w:r w:rsidRPr="1F320FCB">
        <w:rPr>
          <w:rFonts w:asciiTheme="minorHAnsi" w:eastAsiaTheme="minorEastAsia" w:hAnsiTheme="minorHAnsi" w:cstheme="minorBidi"/>
          <w:color w:val="000000" w:themeColor="text1"/>
        </w:rPr>
        <w:t>Ze</w:t>
      </w:r>
      <w:r w:rsidR="005217B8">
        <w:rPr>
          <w:rFonts w:asciiTheme="minorHAnsi" w:eastAsiaTheme="minorEastAsia" w:hAnsiTheme="minorHAnsi" w:cstheme="minorBidi"/>
          <w:color w:val="000000" w:themeColor="text1"/>
        </w:rPr>
        <w:t> </w:t>
      </w:r>
      <w:r w:rsidRPr="1F320FCB">
        <w:rPr>
          <w:rFonts w:asciiTheme="minorHAnsi" w:eastAsiaTheme="minorEastAsia" w:hAnsiTheme="minorHAnsi" w:cstheme="minorBidi"/>
          <w:color w:val="000000" w:themeColor="text1"/>
        </w:rPr>
        <w:t xml:space="preserve">względu na młodoglacjalny charakter rzeźby terenu </w:t>
      </w:r>
      <w:r w:rsidRPr="0017799E">
        <w:rPr>
          <w:rFonts w:asciiTheme="minorHAnsi" w:eastAsiaTheme="minorEastAsia" w:hAnsiTheme="minorHAnsi" w:cstheme="minorBidi"/>
          <w:color w:val="000000" w:themeColor="text1"/>
        </w:rPr>
        <w:t xml:space="preserve">występują w obszarze dorzecza również liczne obszary bezodpływowe, które obejmują głównie zlewnie jezior. </w:t>
      </w:r>
    </w:p>
    <w:p w14:paraId="29FB001E" w14:textId="3BDE9ADF" w:rsidR="00017401" w:rsidRDefault="00483E3A" w:rsidP="00CE57D6">
      <w:pPr>
        <w:rPr>
          <w:noProof/>
        </w:rPr>
      </w:pPr>
      <w:r w:rsidRPr="0017799E">
        <w:t xml:space="preserve">Graficzne odwzorowanie granic obszaru dorzecza Pregoły zostało przedstawione na rysunku </w:t>
      </w:r>
      <w:r w:rsidR="004A1B76" w:rsidRPr="0017799E">
        <w:t>3-</w:t>
      </w:r>
      <w:r w:rsidRPr="0017799E">
        <w:t xml:space="preserve">1, ogólny opis obszaru dorzecza Pregoły zawarto w tabeli </w:t>
      </w:r>
      <w:r w:rsidR="004A1B76" w:rsidRPr="0017799E">
        <w:t>3-</w:t>
      </w:r>
      <w:r w:rsidRPr="0017799E">
        <w:t>1.</w:t>
      </w:r>
    </w:p>
    <w:p w14:paraId="65E82949" w14:textId="73AA7E04" w:rsidR="000A332C" w:rsidRPr="009A291C" w:rsidRDefault="7E6CDD26" w:rsidP="000A332C">
      <w:pPr>
        <w:widowControl w:val="0"/>
        <w:autoSpaceDE w:val="0"/>
        <w:autoSpaceDN w:val="0"/>
        <w:adjustRightInd w:val="0"/>
        <w:jc w:val="center"/>
        <w:rPr>
          <w:rFonts w:asciiTheme="minorHAnsi" w:eastAsiaTheme="minorEastAsia" w:hAnsiTheme="minorHAnsi" w:cstheme="minorBidi"/>
          <w:color w:val="000000" w:themeColor="text1"/>
        </w:rPr>
      </w:pPr>
      <w:r>
        <w:rPr>
          <w:noProof/>
        </w:rPr>
        <w:drawing>
          <wp:inline distT="0" distB="0" distL="0" distR="0" wp14:anchorId="432927AD" wp14:editId="0B9C1DAE">
            <wp:extent cx="5009641" cy="7667998"/>
            <wp:effectExtent l="0" t="0" r="635" b="9525"/>
            <wp:docPr id="1866059328" name="Obraz 186605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6059328"/>
                    <pic:cNvPicPr/>
                  </pic:nvPicPr>
                  <pic:blipFill>
                    <a:blip r:embed="rId22">
                      <a:extLst>
                        <a:ext uri="{28A0092B-C50C-407E-A947-70E740481C1C}">
                          <a14:useLocalDpi xmlns:a14="http://schemas.microsoft.com/office/drawing/2010/main" val="0"/>
                        </a:ext>
                      </a:extLst>
                    </a:blip>
                    <a:stretch>
                      <a:fillRect/>
                    </a:stretch>
                  </pic:blipFill>
                  <pic:spPr>
                    <a:xfrm>
                      <a:off x="0" y="0"/>
                      <a:ext cx="5009641" cy="7667998"/>
                    </a:xfrm>
                    <a:prstGeom prst="rect">
                      <a:avLst/>
                    </a:prstGeom>
                  </pic:spPr>
                </pic:pic>
              </a:graphicData>
            </a:graphic>
          </wp:inline>
        </w:drawing>
      </w:r>
    </w:p>
    <w:p w14:paraId="5764B49D" w14:textId="250DCDCD" w:rsidR="00483E3A" w:rsidRPr="00303ADB" w:rsidRDefault="00017401" w:rsidP="006802BB">
      <w:pPr>
        <w:pStyle w:val="Rysunek"/>
        <w:rPr>
          <w:rFonts w:asciiTheme="minorHAnsi" w:eastAsiaTheme="minorHAnsi" w:hAnsiTheme="minorHAnsi" w:cstheme="minorHAnsi"/>
        </w:rPr>
      </w:pPr>
      <w:bookmarkStart w:id="22" w:name="_Toc68727073"/>
      <w:r>
        <w:t xml:space="preserve">Rysunek </w:t>
      </w:r>
      <w:fldSimple w:instr=" STYLEREF 1 \s ">
        <w:r w:rsidR="00860BC1">
          <w:rPr>
            <w:noProof/>
          </w:rPr>
          <w:t>3</w:t>
        </w:r>
      </w:fldSimple>
      <w:r w:rsidR="00860BC1">
        <w:noBreakHyphen/>
      </w:r>
      <w:fldSimple w:instr=" SEQ Rysunek \* ARABIC \s 1 ">
        <w:r w:rsidR="00860BC1">
          <w:rPr>
            <w:noProof/>
          </w:rPr>
          <w:t>1</w:t>
        </w:r>
      </w:fldSimple>
      <w:r w:rsidR="001B1731">
        <w:tab/>
      </w:r>
      <w:r w:rsidR="00672603" w:rsidRPr="007F0320">
        <w:t>Graficzne odwzorowanie granic obszaru dorzecza Pregoły</w:t>
      </w:r>
      <w:bookmarkEnd w:id="22"/>
    </w:p>
    <w:p w14:paraId="235DB73C" w14:textId="2C543729" w:rsidR="00483E3A" w:rsidRPr="004A1DE4" w:rsidRDefault="00483E3A" w:rsidP="0041381F">
      <w:pPr>
        <w:pStyle w:val="rdo0"/>
        <w:rPr>
          <w:i w:val="0"/>
          <w:iCs w:val="0"/>
          <w:sz w:val="20"/>
          <w:szCs w:val="20"/>
          <w:lang w:eastAsia="zh-CN"/>
        </w:rPr>
        <w:sectPr w:rsidR="00483E3A" w:rsidRPr="004A1DE4" w:rsidSect="00840CCD">
          <w:headerReference w:type="even" r:id="rId23"/>
          <w:footerReference w:type="default" r:id="rId24"/>
          <w:headerReference w:type="first" r:id="rId25"/>
          <w:pgSz w:w="11906" w:h="16838"/>
          <w:pgMar w:top="1440" w:right="1440" w:bottom="1440" w:left="1440" w:header="708" w:footer="708" w:gutter="0"/>
          <w:cols w:space="708"/>
          <w:docGrid w:linePitch="360"/>
        </w:sectPr>
      </w:pPr>
      <w:r w:rsidRPr="004A1DE4">
        <w:rPr>
          <w:lang w:eastAsia="zh-CN"/>
        </w:rPr>
        <w:t xml:space="preserve">Źródło: </w:t>
      </w:r>
      <w:r w:rsidR="004D25A2">
        <w:rPr>
          <w:lang w:eastAsia="zh-CN"/>
        </w:rPr>
        <w:t xml:space="preserve">opracowanie </w:t>
      </w:r>
      <w:r w:rsidR="005B3051">
        <w:rPr>
          <w:lang w:eastAsia="zh-CN"/>
        </w:rPr>
        <w:t>własne</w:t>
      </w:r>
    </w:p>
    <w:p w14:paraId="0127333C" w14:textId="2455E691" w:rsidR="00672603" w:rsidRDefault="00672603" w:rsidP="006802BB">
      <w:pPr>
        <w:pStyle w:val="Tabela"/>
      </w:pPr>
      <w:bookmarkStart w:id="23" w:name="_Hlk67460272"/>
      <w:bookmarkStart w:id="24" w:name="_Toc68726946"/>
      <w:r>
        <w:t xml:space="preserve">Tabela </w:t>
      </w:r>
      <w:fldSimple w:instr=" STYLEREF 1 \s ">
        <w:r w:rsidR="007B4050">
          <w:rPr>
            <w:noProof/>
          </w:rPr>
          <w:t>3</w:t>
        </w:r>
      </w:fldSimple>
      <w:r w:rsidR="007B4050">
        <w:noBreakHyphen/>
      </w:r>
      <w:fldSimple w:instr=" SEQ Tabela \* ARABIC \s 1 ">
        <w:r w:rsidR="007B4050">
          <w:rPr>
            <w:noProof/>
          </w:rPr>
          <w:t>1</w:t>
        </w:r>
      </w:fldSimple>
      <w:r>
        <w:tab/>
        <w:t>O</w:t>
      </w:r>
      <w:r w:rsidRPr="00CE53D6">
        <w:t xml:space="preserve">gólny opis obszaru dorzecza </w:t>
      </w:r>
      <w:r>
        <w:t>Pregoły</w:t>
      </w:r>
      <w:bookmarkEnd w:id="24"/>
    </w:p>
    <w:tbl>
      <w:tblPr>
        <w:tblStyle w:val="Tabela-Siatka"/>
        <w:tblW w:w="0" w:type="auto"/>
        <w:tblLook w:val="04A0" w:firstRow="1" w:lastRow="0" w:firstColumn="1" w:lastColumn="0" w:noHBand="0" w:noVBand="1"/>
      </w:tblPr>
      <w:tblGrid>
        <w:gridCol w:w="2972"/>
        <w:gridCol w:w="6044"/>
      </w:tblGrid>
      <w:tr w:rsidR="00483E3A" w:rsidRPr="00ED1A62" w14:paraId="5EC8035D" w14:textId="77777777" w:rsidTr="003F4A95">
        <w:tc>
          <w:tcPr>
            <w:tcW w:w="2972" w:type="dxa"/>
            <w:shd w:val="clear" w:color="auto" w:fill="BFBFBF" w:themeFill="background1" w:themeFillShade="BF"/>
            <w:vAlign w:val="center"/>
          </w:tcPr>
          <w:bookmarkEnd w:id="23"/>
          <w:p w14:paraId="2B2A25DB" w14:textId="77777777" w:rsidR="00483E3A" w:rsidRPr="001D4B6E" w:rsidRDefault="00483E3A" w:rsidP="00163164">
            <w:pPr>
              <w:pStyle w:val="Teksttabelinaglowek"/>
              <w:jc w:val="left"/>
            </w:pPr>
            <w:r w:rsidRPr="001D4B6E">
              <w:t>Nazwa obszaru dorzecza</w:t>
            </w:r>
          </w:p>
        </w:tc>
        <w:tc>
          <w:tcPr>
            <w:tcW w:w="6044" w:type="dxa"/>
            <w:vAlign w:val="center"/>
          </w:tcPr>
          <w:p w14:paraId="0AFB1E59" w14:textId="77777777" w:rsidR="00483E3A" w:rsidRPr="00ED1A62" w:rsidRDefault="00483E3A" w:rsidP="00840CCD">
            <w:pPr>
              <w:tabs>
                <w:tab w:val="left" w:pos="1134"/>
              </w:tabs>
              <w:rPr>
                <w:rFonts w:asciiTheme="minorHAnsi" w:hAnsiTheme="minorHAnsi" w:cstheme="minorHAnsi"/>
                <w:b/>
                <w:bCs/>
                <w:sz w:val="20"/>
                <w:szCs w:val="20"/>
              </w:rPr>
            </w:pPr>
            <w:r w:rsidRPr="00ED1A62">
              <w:rPr>
                <w:rFonts w:asciiTheme="minorHAnsi" w:hAnsiTheme="minorHAnsi" w:cstheme="minorHAnsi"/>
                <w:b/>
                <w:bCs/>
                <w:sz w:val="20"/>
                <w:szCs w:val="20"/>
              </w:rPr>
              <w:t xml:space="preserve">Obszar dorzecza </w:t>
            </w:r>
            <w:r>
              <w:rPr>
                <w:rFonts w:asciiTheme="minorHAnsi" w:hAnsiTheme="minorHAnsi" w:cstheme="minorHAnsi"/>
                <w:b/>
                <w:bCs/>
                <w:sz w:val="20"/>
                <w:szCs w:val="20"/>
              </w:rPr>
              <w:t>Pregoły</w:t>
            </w:r>
          </w:p>
        </w:tc>
      </w:tr>
      <w:tr w:rsidR="00483E3A" w:rsidRPr="00ED1A62" w14:paraId="1BD96791" w14:textId="77777777" w:rsidTr="003F4A95">
        <w:tc>
          <w:tcPr>
            <w:tcW w:w="2972" w:type="dxa"/>
            <w:shd w:val="clear" w:color="auto" w:fill="BFBFBF" w:themeFill="background1" w:themeFillShade="BF"/>
            <w:vAlign w:val="center"/>
          </w:tcPr>
          <w:p w14:paraId="3A35E81E" w14:textId="77777777" w:rsidR="00483E3A" w:rsidRPr="00ED1A62" w:rsidRDefault="00483E3A" w:rsidP="00163164">
            <w:pPr>
              <w:pStyle w:val="Teksttabelinaglowek"/>
              <w:jc w:val="left"/>
            </w:pPr>
            <w:r w:rsidRPr="00ED1A62">
              <w:t>Powierzchnia obszaru dorzecza</w:t>
            </w:r>
          </w:p>
        </w:tc>
        <w:tc>
          <w:tcPr>
            <w:tcW w:w="6044" w:type="dxa"/>
            <w:vAlign w:val="center"/>
          </w:tcPr>
          <w:p w14:paraId="41169EDD" w14:textId="7DF8E1A5" w:rsidR="00483E3A" w:rsidRPr="00ED1A62" w:rsidRDefault="00483E3A" w:rsidP="00840CCD">
            <w:pPr>
              <w:tabs>
                <w:tab w:val="left" w:pos="1134"/>
              </w:tabs>
              <w:rPr>
                <w:rFonts w:asciiTheme="minorHAnsi" w:hAnsiTheme="minorHAnsi" w:cstheme="minorHAnsi"/>
                <w:sz w:val="20"/>
                <w:szCs w:val="20"/>
              </w:rPr>
            </w:pPr>
            <w:r>
              <w:rPr>
                <w:rFonts w:asciiTheme="minorHAnsi" w:hAnsiTheme="minorHAnsi" w:cstheme="minorHAnsi"/>
                <w:sz w:val="20"/>
                <w:szCs w:val="20"/>
              </w:rPr>
              <w:t xml:space="preserve">7 521,7 </w:t>
            </w:r>
            <w:r w:rsidRPr="00ED1A62">
              <w:rPr>
                <w:rFonts w:asciiTheme="minorHAnsi" w:hAnsiTheme="minorHAnsi" w:cstheme="minorHAnsi"/>
                <w:sz w:val="20"/>
                <w:szCs w:val="20"/>
              </w:rPr>
              <w:t>km</w:t>
            </w:r>
            <w:r w:rsidRPr="00ED1A62">
              <w:rPr>
                <w:rFonts w:asciiTheme="minorHAnsi" w:hAnsiTheme="minorHAnsi" w:cstheme="minorHAnsi"/>
                <w:sz w:val="20"/>
                <w:szCs w:val="20"/>
                <w:vertAlign w:val="superscript"/>
              </w:rPr>
              <w:t>2</w:t>
            </w:r>
            <w:r>
              <w:rPr>
                <w:rFonts w:asciiTheme="minorHAnsi" w:hAnsiTheme="minorHAnsi" w:cstheme="minorHAnsi"/>
                <w:sz w:val="20"/>
                <w:szCs w:val="20"/>
                <w:vertAlign w:val="superscript"/>
              </w:rPr>
              <w:t xml:space="preserve"> </w:t>
            </w:r>
          </w:p>
        </w:tc>
      </w:tr>
      <w:tr w:rsidR="00483E3A" w:rsidRPr="00ED1A62" w14:paraId="68D5E72F" w14:textId="77777777" w:rsidTr="003F4A95">
        <w:tc>
          <w:tcPr>
            <w:tcW w:w="2972" w:type="dxa"/>
            <w:shd w:val="clear" w:color="auto" w:fill="BFBFBF" w:themeFill="background1" w:themeFillShade="BF"/>
            <w:vAlign w:val="center"/>
          </w:tcPr>
          <w:p w14:paraId="7E66F300" w14:textId="77777777" w:rsidR="00483E3A" w:rsidRPr="00ED1A62" w:rsidRDefault="00483E3A" w:rsidP="00163164">
            <w:pPr>
              <w:pStyle w:val="Teksttabelinaglowek"/>
              <w:jc w:val="left"/>
            </w:pPr>
            <w:r w:rsidRPr="00ED1A62">
              <w:t>Długość cieku głównego</w:t>
            </w:r>
          </w:p>
        </w:tc>
        <w:tc>
          <w:tcPr>
            <w:tcW w:w="6044" w:type="dxa"/>
            <w:vAlign w:val="center"/>
          </w:tcPr>
          <w:p w14:paraId="4E853239" w14:textId="45F7B312" w:rsidR="00483E3A" w:rsidRPr="004E7268" w:rsidRDefault="00AD0121" w:rsidP="004E7268">
            <w:pPr>
              <w:tabs>
                <w:tab w:val="left" w:pos="1134"/>
                <w:tab w:val="right" w:pos="1843"/>
              </w:tabs>
              <w:spacing w:before="40" w:after="40"/>
              <w:rPr>
                <w:rFonts w:cs="Calibri"/>
                <w:color w:val="000000" w:themeColor="text1"/>
                <w:sz w:val="20"/>
                <w:szCs w:val="20"/>
              </w:rPr>
            </w:pPr>
            <w:r>
              <w:rPr>
                <w:rFonts w:asciiTheme="minorHAnsi" w:eastAsiaTheme="minorHAnsi" w:hAnsiTheme="minorHAnsi" w:cstheme="minorHAnsi"/>
                <w:color w:val="000000"/>
                <w:sz w:val="20"/>
                <w:szCs w:val="20"/>
              </w:rPr>
              <w:t xml:space="preserve">Pregoła - </w:t>
            </w:r>
            <w:r w:rsidR="00483E3A">
              <w:rPr>
                <w:rFonts w:asciiTheme="minorHAnsi" w:eastAsiaTheme="minorHAnsi" w:hAnsiTheme="minorHAnsi" w:cstheme="minorHAnsi"/>
                <w:color w:val="000000"/>
                <w:sz w:val="20"/>
                <w:szCs w:val="20"/>
              </w:rPr>
              <w:t>123</w:t>
            </w:r>
            <w:r w:rsidR="00483E3A" w:rsidRPr="00ED1A62">
              <w:rPr>
                <w:rFonts w:asciiTheme="minorHAnsi" w:eastAsiaTheme="minorHAnsi" w:hAnsiTheme="minorHAnsi" w:cstheme="minorHAnsi"/>
                <w:color w:val="000000"/>
                <w:sz w:val="20"/>
                <w:szCs w:val="20"/>
              </w:rPr>
              <w:t xml:space="preserve"> </w:t>
            </w:r>
            <w:r w:rsidR="00483E3A" w:rsidRPr="004E7268">
              <w:rPr>
                <w:rFonts w:cs="Calibri"/>
                <w:color w:val="000000" w:themeColor="text1"/>
                <w:sz w:val="20"/>
                <w:szCs w:val="20"/>
              </w:rPr>
              <w:t xml:space="preserve">km </w:t>
            </w:r>
          </w:p>
          <w:p w14:paraId="63D8CC3A" w14:textId="1B56B476" w:rsidR="00483E3A" w:rsidRDefault="00483E3A" w:rsidP="004E7268">
            <w:pPr>
              <w:tabs>
                <w:tab w:val="left" w:pos="1134"/>
                <w:tab w:val="right" w:pos="1843"/>
              </w:tabs>
              <w:spacing w:before="40" w:after="40"/>
              <w:rPr>
                <w:rFonts w:asciiTheme="minorHAnsi" w:eastAsiaTheme="minorHAnsi" w:hAnsiTheme="minorHAnsi" w:cstheme="minorHAnsi"/>
                <w:color w:val="000000"/>
                <w:sz w:val="20"/>
                <w:szCs w:val="20"/>
              </w:rPr>
            </w:pPr>
            <w:r w:rsidRPr="004E7268">
              <w:rPr>
                <w:rFonts w:cs="Calibri"/>
                <w:color w:val="000000" w:themeColor="text1"/>
                <w:sz w:val="20"/>
                <w:szCs w:val="20"/>
              </w:rPr>
              <w:t>Łyna</w:t>
            </w:r>
            <w:r>
              <w:rPr>
                <w:rFonts w:asciiTheme="minorHAnsi" w:eastAsiaTheme="minorHAnsi" w:hAnsiTheme="minorHAnsi" w:cstheme="minorHAnsi"/>
                <w:color w:val="000000"/>
                <w:sz w:val="20"/>
                <w:szCs w:val="20"/>
              </w:rPr>
              <w:t xml:space="preserve"> </w:t>
            </w:r>
            <w:r w:rsidR="00AD0121">
              <w:rPr>
                <w:rFonts w:asciiTheme="minorHAnsi" w:eastAsiaTheme="minorHAnsi" w:hAnsiTheme="minorHAnsi" w:cstheme="minorHAnsi"/>
                <w:color w:val="000000"/>
                <w:sz w:val="20"/>
                <w:szCs w:val="20"/>
              </w:rPr>
              <w:t xml:space="preserve">- </w:t>
            </w:r>
            <w:r>
              <w:rPr>
                <w:rFonts w:asciiTheme="minorHAnsi" w:eastAsiaTheme="minorHAnsi" w:hAnsiTheme="minorHAnsi" w:cstheme="minorHAnsi"/>
                <w:color w:val="000000"/>
                <w:sz w:val="20"/>
                <w:szCs w:val="20"/>
              </w:rPr>
              <w:t xml:space="preserve">208 km (w granicach Polski) </w:t>
            </w:r>
          </w:p>
          <w:p w14:paraId="66E48BD9" w14:textId="42316F86" w:rsidR="004E7268" w:rsidRPr="003F5FD1" w:rsidRDefault="00AD0121" w:rsidP="00AD0121">
            <w:pPr>
              <w:tabs>
                <w:tab w:val="left" w:pos="1134"/>
                <w:tab w:val="right" w:pos="1843"/>
              </w:tabs>
              <w:spacing w:before="40" w:after="40"/>
              <w:rPr>
                <w:rFonts w:asciiTheme="minorHAnsi" w:eastAsiaTheme="minorHAnsi" w:hAnsiTheme="minorHAnsi" w:cstheme="minorHAnsi"/>
                <w:color w:val="000000"/>
                <w:sz w:val="20"/>
                <w:szCs w:val="20"/>
              </w:rPr>
            </w:pPr>
            <w:r>
              <w:rPr>
                <w:rFonts w:asciiTheme="minorHAnsi" w:eastAsiaTheme="minorHAnsi" w:hAnsiTheme="minorHAnsi" w:cstheme="minorHAnsi"/>
                <w:color w:val="000000"/>
                <w:sz w:val="20"/>
                <w:szCs w:val="20"/>
              </w:rPr>
              <w:t xml:space="preserve">Węgorapa </w:t>
            </w:r>
            <w:r w:rsidR="006C4947">
              <w:rPr>
                <w:rFonts w:asciiTheme="minorHAnsi" w:eastAsiaTheme="minorHAnsi" w:hAnsiTheme="minorHAnsi" w:cstheme="minorHAnsi"/>
                <w:color w:val="000000"/>
                <w:sz w:val="20"/>
                <w:szCs w:val="20"/>
              </w:rPr>
              <w:t>-</w:t>
            </w:r>
            <w:r>
              <w:rPr>
                <w:rFonts w:asciiTheme="minorHAnsi" w:eastAsiaTheme="minorHAnsi" w:hAnsiTheme="minorHAnsi" w:cstheme="minorHAnsi"/>
                <w:color w:val="000000"/>
                <w:sz w:val="20"/>
                <w:szCs w:val="20"/>
              </w:rPr>
              <w:t xml:space="preserve"> 68 km (w granicach Polski)</w:t>
            </w:r>
          </w:p>
        </w:tc>
      </w:tr>
      <w:tr w:rsidR="00483E3A" w:rsidRPr="00ED1A62" w14:paraId="5F28B9B6" w14:textId="77777777" w:rsidTr="003F4A95">
        <w:tc>
          <w:tcPr>
            <w:tcW w:w="2972" w:type="dxa"/>
            <w:shd w:val="clear" w:color="auto" w:fill="BFBFBF" w:themeFill="background1" w:themeFillShade="BF"/>
            <w:vAlign w:val="center"/>
          </w:tcPr>
          <w:p w14:paraId="7112F0BB" w14:textId="77777777" w:rsidR="00483E3A" w:rsidRPr="00ED1A62" w:rsidRDefault="00483E3A" w:rsidP="00163164">
            <w:pPr>
              <w:pStyle w:val="Teksttabelinaglowek"/>
              <w:jc w:val="left"/>
            </w:pPr>
            <w:r w:rsidRPr="00ED1A62">
              <w:t>Długość cieków istotnych (ciek lub kilka cieków, dla którego lub których wyznaczono jcwp)</w:t>
            </w:r>
          </w:p>
        </w:tc>
        <w:tc>
          <w:tcPr>
            <w:tcW w:w="6044" w:type="dxa"/>
            <w:vAlign w:val="center"/>
          </w:tcPr>
          <w:p w14:paraId="7EAA1D08" w14:textId="77777777" w:rsidR="00483E3A" w:rsidRPr="00ED1A62" w:rsidRDefault="00483E3A" w:rsidP="00840CCD">
            <w:pPr>
              <w:widowControl w:val="0"/>
              <w:autoSpaceDE w:val="0"/>
              <w:autoSpaceDN w:val="0"/>
              <w:adjustRightInd w:val="0"/>
              <w:spacing w:line="334" w:lineRule="auto"/>
              <w:rPr>
                <w:rFonts w:asciiTheme="minorHAnsi" w:hAnsiTheme="minorHAnsi" w:cstheme="minorHAnsi"/>
                <w:b/>
                <w:bCs/>
                <w:sz w:val="20"/>
                <w:szCs w:val="20"/>
              </w:rPr>
            </w:pPr>
            <w:r>
              <w:rPr>
                <w:rFonts w:asciiTheme="minorHAnsi" w:eastAsiaTheme="minorHAnsi" w:hAnsiTheme="minorHAnsi" w:cstheme="minorHAnsi"/>
                <w:color w:val="000000"/>
                <w:sz w:val="20"/>
                <w:szCs w:val="20"/>
              </w:rPr>
              <w:t xml:space="preserve">2 938,06 </w:t>
            </w:r>
            <w:r w:rsidRPr="00ED1A62">
              <w:rPr>
                <w:rFonts w:asciiTheme="minorHAnsi" w:eastAsiaTheme="minorHAnsi" w:hAnsiTheme="minorHAnsi" w:cstheme="minorHAnsi"/>
                <w:color w:val="000000"/>
                <w:sz w:val="20"/>
                <w:szCs w:val="20"/>
              </w:rPr>
              <w:t>km</w:t>
            </w:r>
          </w:p>
        </w:tc>
      </w:tr>
      <w:tr w:rsidR="00483E3A" w:rsidRPr="00ED1A62" w14:paraId="64BF2B8C" w14:textId="77777777" w:rsidTr="003F4A95">
        <w:tc>
          <w:tcPr>
            <w:tcW w:w="2972" w:type="dxa"/>
            <w:shd w:val="clear" w:color="auto" w:fill="BFBFBF" w:themeFill="background1" w:themeFillShade="BF"/>
            <w:vAlign w:val="center"/>
          </w:tcPr>
          <w:p w14:paraId="3869540F" w14:textId="77777777" w:rsidR="00483E3A" w:rsidRPr="00ED1A62" w:rsidRDefault="00483E3A" w:rsidP="00163164">
            <w:pPr>
              <w:pStyle w:val="Teksttabelinaglowek"/>
              <w:jc w:val="left"/>
            </w:pPr>
            <w:r w:rsidRPr="00ED1A62">
              <w:t>Główne dopływy</w:t>
            </w:r>
          </w:p>
        </w:tc>
        <w:tc>
          <w:tcPr>
            <w:tcW w:w="6044" w:type="dxa"/>
            <w:vAlign w:val="center"/>
          </w:tcPr>
          <w:p w14:paraId="3BCA8E3A" w14:textId="77777777" w:rsidR="00483E3A" w:rsidRPr="00ED1A62" w:rsidRDefault="00483E3A" w:rsidP="00840CCD">
            <w:pPr>
              <w:widowControl w:val="0"/>
              <w:autoSpaceDE w:val="0"/>
              <w:autoSpaceDN w:val="0"/>
              <w:adjustRightInd w:val="0"/>
              <w:spacing w:before="60" w:after="60"/>
              <w:rPr>
                <w:rFonts w:asciiTheme="minorHAnsi" w:eastAsiaTheme="minorHAnsi" w:hAnsiTheme="minorHAnsi" w:cstheme="minorHAnsi"/>
                <w:color w:val="000000"/>
                <w:sz w:val="20"/>
                <w:szCs w:val="20"/>
              </w:rPr>
            </w:pPr>
            <w:r w:rsidRPr="000B52F1">
              <w:rPr>
                <w:rFonts w:asciiTheme="minorHAnsi" w:eastAsiaTheme="minorHAnsi" w:hAnsiTheme="minorHAnsi" w:cstheme="minorHAnsi"/>
                <w:color w:val="000000"/>
                <w:sz w:val="20"/>
                <w:szCs w:val="20"/>
              </w:rPr>
              <w:t>Łyna, Guber, Gołdapa, Wadąg, Sajna</w:t>
            </w:r>
          </w:p>
        </w:tc>
      </w:tr>
      <w:tr w:rsidR="00483E3A" w:rsidRPr="00ED1A62" w14:paraId="7FFE64F1" w14:textId="77777777" w:rsidTr="003F4A95">
        <w:tc>
          <w:tcPr>
            <w:tcW w:w="2972" w:type="dxa"/>
            <w:shd w:val="clear" w:color="auto" w:fill="BFBFBF" w:themeFill="background1" w:themeFillShade="BF"/>
            <w:vAlign w:val="center"/>
          </w:tcPr>
          <w:p w14:paraId="14F689F4" w14:textId="77777777" w:rsidR="00483E3A" w:rsidRPr="00ED1A62" w:rsidRDefault="00483E3A" w:rsidP="00163164">
            <w:pPr>
              <w:pStyle w:val="Teksttabelinaglowek"/>
              <w:jc w:val="left"/>
            </w:pPr>
            <w:r w:rsidRPr="00ED1A62">
              <w:t>Regiony wodne</w:t>
            </w:r>
          </w:p>
        </w:tc>
        <w:tc>
          <w:tcPr>
            <w:tcW w:w="6044" w:type="dxa"/>
            <w:vAlign w:val="center"/>
          </w:tcPr>
          <w:p w14:paraId="5117254A" w14:textId="77777777" w:rsidR="00483E3A" w:rsidRPr="00494857" w:rsidRDefault="00483E3A" w:rsidP="00840CCD">
            <w:pPr>
              <w:widowControl w:val="0"/>
              <w:autoSpaceDE w:val="0"/>
              <w:autoSpaceDN w:val="0"/>
              <w:adjustRightInd w:val="0"/>
              <w:spacing w:before="60" w:after="60"/>
              <w:ind w:right="57"/>
              <w:rPr>
                <w:rFonts w:asciiTheme="minorHAnsi" w:eastAsiaTheme="minorHAnsi" w:hAnsiTheme="minorHAnsi" w:cstheme="minorHAnsi"/>
                <w:color w:val="000000"/>
                <w:sz w:val="20"/>
                <w:szCs w:val="20"/>
              </w:rPr>
            </w:pPr>
            <w:r w:rsidRPr="00494857">
              <w:rPr>
                <w:rFonts w:asciiTheme="minorHAnsi" w:eastAsiaTheme="minorHAnsi" w:hAnsiTheme="minorHAnsi" w:cstheme="minorHAnsi"/>
                <w:color w:val="000000"/>
                <w:sz w:val="20"/>
                <w:szCs w:val="20"/>
              </w:rPr>
              <w:t xml:space="preserve">region wodny </w:t>
            </w:r>
            <w:r>
              <w:rPr>
                <w:rFonts w:asciiTheme="minorHAnsi" w:eastAsiaTheme="minorHAnsi" w:hAnsiTheme="minorHAnsi" w:cstheme="minorHAnsi"/>
                <w:color w:val="000000"/>
                <w:sz w:val="20"/>
                <w:szCs w:val="20"/>
              </w:rPr>
              <w:t>Łyny i Węgorapy</w:t>
            </w:r>
          </w:p>
        </w:tc>
      </w:tr>
      <w:tr w:rsidR="00483E3A" w:rsidRPr="00ED1A62" w14:paraId="3CD7D674" w14:textId="77777777" w:rsidTr="003F4A95">
        <w:tc>
          <w:tcPr>
            <w:tcW w:w="2972" w:type="dxa"/>
            <w:shd w:val="clear" w:color="auto" w:fill="BFBFBF" w:themeFill="background1" w:themeFillShade="BF"/>
            <w:vAlign w:val="center"/>
          </w:tcPr>
          <w:p w14:paraId="5D736251" w14:textId="77777777" w:rsidR="00483E3A" w:rsidRPr="00ED1A62" w:rsidRDefault="00483E3A" w:rsidP="00163164">
            <w:pPr>
              <w:pStyle w:val="Teksttabelinaglowek"/>
              <w:jc w:val="left"/>
            </w:pPr>
            <w:r w:rsidRPr="00ED1A62">
              <w:t>Liczba jcw</w:t>
            </w:r>
          </w:p>
        </w:tc>
        <w:tc>
          <w:tcPr>
            <w:tcW w:w="6044" w:type="dxa"/>
            <w:vAlign w:val="center"/>
          </w:tcPr>
          <w:p w14:paraId="2E8FA581" w14:textId="5972A78F" w:rsidR="00483E3A" w:rsidRPr="004F1CC4" w:rsidRDefault="00483E3A" w:rsidP="00B8416D">
            <w:pPr>
              <w:tabs>
                <w:tab w:val="left" w:pos="1256"/>
                <w:tab w:val="right" w:pos="1843"/>
              </w:tabs>
              <w:spacing w:before="40" w:after="40"/>
              <w:rPr>
                <w:rFonts w:asciiTheme="minorHAnsi" w:hAnsiTheme="minorHAnsi" w:cstheme="minorHAnsi"/>
                <w:b/>
                <w:bCs/>
                <w:sz w:val="20"/>
                <w:szCs w:val="20"/>
              </w:rPr>
            </w:pPr>
            <w:r w:rsidRPr="469468AC">
              <w:rPr>
                <w:rFonts w:asciiTheme="minorHAnsi" w:hAnsiTheme="minorHAnsi" w:cstheme="minorBidi"/>
                <w:b/>
                <w:bCs/>
                <w:sz w:val="20"/>
                <w:szCs w:val="20"/>
              </w:rPr>
              <w:t>Jcwp RW:</w:t>
            </w:r>
            <w:r w:rsidR="00672603">
              <w:rPr>
                <w:rFonts w:asciiTheme="minorHAnsi" w:hAnsiTheme="minorHAnsi" w:cstheme="minorBidi"/>
                <w:b/>
                <w:bCs/>
                <w:sz w:val="20"/>
                <w:szCs w:val="20"/>
              </w:rPr>
              <w:tab/>
            </w:r>
            <w:r w:rsidRPr="00532382">
              <w:rPr>
                <w:rFonts w:cs="Calibri"/>
                <w:color w:val="000000" w:themeColor="text1"/>
                <w:sz w:val="20"/>
                <w:szCs w:val="20"/>
              </w:rPr>
              <w:t>82</w:t>
            </w:r>
          </w:p>
          <w:p w14:paraId="57CD04CD" w14:textId="0F39456E" w:rsidR="00483E3A" w:rsidRDefault="00483E3A" w:rsidP="00B8416D">
            <w:pPr>
              <w:tabs>
                <w:tab w:val="left" w:pos="1256"/>
                <w:tab w:val="right" w:pos="1843"/>
              </w:tabs>
              <w:spacing w:before="40" w:after="40"/>
              <w:rPr>
                <w:rFonts w:asciiTheme="minorHAnsi" w:hAnsiTheme="minorHAnsi" w:cstheme="minorHAnsi"/>
                <w:b/>
                <w:bCs/>
                <w:sz w:val="20"/>
                <w:szCs w:val="20"/>
              </w:rPr>
            </w:pPr>
            <w:r w:rsidRPr="00ED1A62">
              <w:rPr>
                <w:rFonts w:asciiTheme="minorHAnsi" w:hAnsiTheme="minorHAnsi" w:cstheme="minorHAnsi"/>
                <w:b/>
                <w:bCs/>
                <w:sz w:val="20"/>
                <w:szCs w:val="20"/>
              </w:rPr>
              <w:t>Jcwp LW:</w:t>
            </w:r>
            <w:r w:rsidRPr="00ED1A62">
              <w:rPr>
                <w:rFonts w:asciiTheme="minorHAnsi" w:hAnsiTheme="minorHAnsi" w:cstheme="minorHAnsi"/>
                <w:b/>
                <w:bCs/>
                <w:sz w:val="20"/>
                <w:szCs w:val="20"/>
              </w:rPr>
              <w:tab/>
            </w:r>
            <w:r w:rsidRPr="004F1CC4">
              <w:rPr>
                <w:rFonts w:asciiTheme="minorHAnsi" w:hAnsiTheme="minorHAnsi" w:cstheme="minorHAnsi"/>
                <w:sz w:val="20"/>
                <w:szCs w:val="20"/>
              </w:rPr>
              <w:t>105</w:t>
            </w:r>
          </w:p>
          <w:p w14:paraId="6F3E1C7D" w14:textId="67605F4C" w:rsidR="00483E3A" w:rsidRPr="00340F7B" w:rsidRDefault="00483E3A" w:rsidP="00B8416D">
            <w:pPr>
              <w:tabs>
                <w:tab w:val="left" w:pos="1256"/>
                <w:tab w:val="right" w:pos="1843"/>
              </w:tabs>
              <w:spacing w:before="40" w:after="40"/>
              <w:rPr>
                <w:rFonts w:asciiTheme="minorHAnsi" w:hAnsiTheme="minorHAnsi" w:cstheme="minorBidi"/>
                <w:sz w:val="20"/>
                <w:szCs w:val="20"/>
              </w:rPr>
            </w:pPr>
            <w:r w:rsidRPr="4ADDDD0A">
              <w:rPr>
                <w:rFonts w:asciiTheme="minorHAnsi" w:hAnsiTheme="minorHAnsi" w:cstheme="minorBidi"/>
                <w:b/>
                <w:bCs/>
                <w:sz w:val="20"/>
                <w:szCs w:val="20"/>
              </w:rPr>
              <w:t>Jcwpd:</w:t>
            </w:r>
            <w:r w:rsidR="00672603">
              <w:rPr>
                <w:rFonts w:asciiTheme="minorHAnsi" w:hAnsiTheme="minorHAnsi" w:cstheme="minorBidi"/>
                <w:b/>
                <w:bCs/>
                <w:sz w:val="20"/>
                <w:szCs w:val="20"/>
              </w:rPr>
              <w:tab/>
            </w:r>
            <w:r w:rsidRPr="4ADDDD0A">
              <w:rPr>
                <w:rFonts w:asciiTheme="minorHAnsi" w:hAnsiTheme="minorHAnsi" w:cstheme="minorBidi"/>
                <w:sz w:val="20"/>
                <w:szCs w:val="20"/>
              </w:rPr>
              <w:t>2</w:t>
            </w:r>
          </w:p>
        </w:tc>
      </w:tr>
      <w:tr w:rsidR="00483E3A" w:rsidRPr="00ED1A62" w14:paraId="63411ECF" w14:textId="77777777" w:rsidTr="003F4A95">
        <w:tc>
          <w:tcPr>
            <w:tcW w:w="2972" w:type="dxa"/>
            <w:shd w:val="clear" w:color="auto" w:fill="BFBFBF" w:themeFill="background1" w:themeFillShade="BF"/>
            <w:vAlign w:val="center"/>
          </w:tcPr>
          <w:p w14:paraId="3F4B0179" w14:textId="77777777" w:rsidR="00483E3A" w:rsidRPr="00ED1A62" w:rsidRDefault="00483E3A" w:rsidP="00163164">
            <w:pPr>
              <w:pStyle w:val="Teksttabelinaglowek"/>
              <w:jc w:val="left"/>
            </w:pPr>
            <w:r w:rsidRPr="00ED1A62">
              <w:t>Liczba obszarów chronionych</w:t>
            </w:r>
          </w:p>
        </w:tc>
        <w:tc>
          <w:tcPr>
            <w:tcW w:w="6044" w:type="dxa"/>
            <w:vAlign w:val="center"/>
          </w:tcPr>
          <w:p w14:paraId="3B8456EC" w14:textId="77777777" w:rsidR="00483E3A" w:rsidRPr="008F3E9A" w:rsidRDefault="00483E3A" w:rsidP="00840CCD">
            <w:pPr>
              <w:widowControl w:val="0"/>
              <w:autoSpaceDE w:val="0"/>
              <w:autoSpaceDN w:val="0"/>
              <w:adjustRightInd w:val="0"/>
              <w:spacing w:before="60" w:after="60"/>
              <w:ind w:right="57"/>
              <w:rPr>
                <w:rFonts w:asciiTheme="minorHAnsi" w:eastAsiaTheme="minorHAnsi" w:hAnsiTheme="minorHAnsi" w:cstheme="minorHAnsi"/>
                <w:color w:val="000000"/>
                <w:sz w:val="20"/>
                <w:szCs w:val="20"/>
              </w:rPr>
            </w:pPr>
            <w:r w:rsidRPr="008F3E9A">
              <w:rPr>
                <w:rFonts w:asciiTheme="minorHAnsi" w:eastAsiaTheme="minorHAnsi" w:hAnsiTheme="minorHAnsi" w:cstheme="minorHAnsi"/>
                <w:color w:val="000000"/>
                <w:sz w:val="20"/>
                <w:szCs w:val="20"/>
              </w:rPr>
              <w:t>Obszary chronione w rozumieniu art. 16 pkt 32 ustawy pr.w.:</w:t>
            </w:r>
          </w:p>
          <w:p w14:paraId="5F077F03" w14:textId="77777777" w:rsidR="00483E3A" w:rsidRPr="003F4A95" w:rsidRDefault="00483E3A" w:rsidP="00AA3506">
            <w:pPr>
              <w:pStyle w:val="Akapitzlist"/>
              <w:numPr>
                <w:ilvl w:val="0"/>
                <w:numId w:val="58"/>
              </w:numPr>
              <w:rPr>
                <w:color w:val="000000"/>
                <w:sz w:val="20"/>
                <w:szCs w:val="20"/>
              </w:rPr>
            </w:pPr>
            <w:r w:rsidRPr="003F4A95">
              <w:rPr>
                <w:sz w:val="20"/>
                <w:szCs w:val="20"/>
              </w:rPr>
              <w:t>jcw przeznaczone do poboru wody na potrzeby zaopatrzenia ludności w wodę przeznaczoną do spożycia przez ludzi (dalej ZL;)</w:t>
            </w:r>
          </w:p>
          <w:p w14:paraId="3DA089C8" w14:textId="77777777" w:rsidR="00483E3A" w:rsidRPr="003F4A95" w:rsidRDefault="00483E3A" w:rsidP="00AA3506">
            <w:pPr>
              <w:pStyle w:val="Akapitzlist"/>
              <w:numPr>
                <w:ilvl w:val="0"/>
                <w:numId w:val="58"/>
              </w:numPr>
              <w:rPr>
                <w:color w:val="000000"/>
                <w:sz w:val="20"/>
                <w:szCs w:val="20"/>
              </w:rPr>
            </w:pPr>
            <w:r w:rsidRPr="003F4A95">
              <w:rPr>
                <w:sz w:val="20"/>
                <w:szCs w:val="20"/>
              </w:rPr>
              <w:t>jcw przeznaczone do celów rekreacyjnych, w tym kąpieliskowych (dalej RK);</w:t>
            </w:r>
          </w:p>
          <w:p w14:paraId="52D28284" w14:textId="14BDEE1B" w:rsidR="00483E3A" w:rsidRPr="003F4A95" w:rsidRDefault="00483E3A" w:rsidP="00AA3506">
            <w:pPr>
              <w:pStyle w:val="Akapitzlist"/>
              <w:numPr>
                <w:ilvl w:val="0"/>
                <w:numId w:val="58"/>
              </w:numPr>
              <w:rPr>
                <w:sz w:val="20"/>
                <w:szCs w:val="20"/>
              </w:rPr>
            </w:pPr>
            <w:r w:rsidRPr="003F4A95">
              <w:rPr>
                <w:sz w:val="20"/>
                <w:szCs w:val="20"/>
              </w:rPr>
              <w:t xml:space="preserve">obszary wrażliwe na eutrofizację wywołaną zanieczyszczeniami pochodzącymi ze źródeł komunalnych, rozumianą jako wzbogacanie wód biogenami, w szczególności związkami azotu lub fosforu, powodującymi przyspieszony wzrost glonów oraz wyższych form </w:t>
            </w:r>
            <w:r w:rsidR="00012376" w:rsidRPr="00012376">
              <w:rPr>
                <w:sz w:val="20"/>
                <w:szCs w:val="20"/>
              </w:rPr>
              <w:t>życia roślinnego, w wyniku którego następują niepożądane zakłócenia biologicznych stosunków w środowisku wodnym oraz pogorszenie jakości tych wód</w:t>
            </w:r>
            <w:r w:rsidR="00012376">
              <w:rPr>
                <w:sz w:val="20"/>
                <w:szCs w:val="20"/>
              </w:rPr>
              <w:t xml:space="preserve"> (</w:t>
            </w:r>
            <w:r w:rsidRPr="003F4A95">
              <w:rPr>
                <w:sz w:val="20"/>
                <w:szCs w:val="20"/>
              </w:rPr>
              <w:t xml:space="preserve">dalej </w:t>
            </w:r>
            <w:r w:rsidRPr="003F4A95">
              <w:rPr>
                <w:b/>
                <w:bCs/>
                <w:sz w:val="20"/>
                <w:szCs w:val="20"/>
              </w:rPr>
              <w:t>EUT</w:t>
            </w:r>
            <w:r w:rsidRPr="003F4A95">
              <w:rPr>
                <w:sz w:val="20"/>
                <w:szCs w:val="20"/>
              </w:rPr>
              <w:t>);</w:t>
            </w:r>
          </w:p>
          <w:p w14:paraId="70E5D904" w14:textId="726A4433" w:rsidR="00483E3A" w:rsidRPr="003F4A95" w:rsidRDefault="00483E3A" w:rsidP="00AA3506">
            <w:pPr>
              <w:pStyle w:val="Akapitzlist"/>
              <w:numPr>
                <w:ilvl w:val="0"/>
                <w:numId w:val="58"/>
              </w:numPr>
              <w:rPr>
                <w:color w:val="000000"/>
                <w:sz w:val="20"/>
                <w:szCs w:val="20"/>
              </w:rPr>
            </w:pPr>
            <w:r w:rsidRPr="003F4A95">
              <w:rPr>
                <w:sz w:val="20"/>
                <w:szCs w:val="20"/>
              </w:rPr>
              <w:t>obszary przeznaczone do ochrony siedlisk lub gatunków,  o których mowa w przepisach </w:t>
            </w:r>
            <w:hyperlink r:id="rId26">
              <w:r w:rsidRPr="003F4A95">
                <w:rPr>
                  <w:sz w:val="20"/>
                  <w:szCs w:val="20"/>
                </w:rPr>
                <w:t>ustawy</w:t>
              </w:r>
            </w:hyperlink>
            <w:r w:rsidRPr="003F4A95">
              <w:rPr>
                <w:sz w:val="20"/>
                <w:szCs w:val="20"/>
              </w:rPr>
              <w:t xml:space="preserve"> z dnia 16 kwietnia 2004 r. o ochronie przyrody, dla których utrzymanie lub poprawa stanu wód jest ważnym czynnikiem w ich ochronie (dalej </w:t>
            </w:r>
            <w:r w:rsidRPr="003F4A95">
              <w:rPr>
                <w:b/>
                <w:sz w:val="20"/>
                <w:szCs w:val="20"/>
              </w:rPr>
              <w:t>SiG</w:t>
            </w:r>
            <w:r w:rsidRPr="003F4A95">
              <w:rPr>
                <w:sz w:val="20"/>
                <w:szCs w:val="20"/>
              </w:rPr>
              <w:t>);</w:t>
            </w:r>
          </w:p>
          <w:p w14:paraId="3CC37134" w14:textId="22A7178F" w:rsidR="00483E3A" w:rsidRPr="003F4A95" w:rsidRDefault="00483E3A" w:rsidP="00AA3506">
            <w:pPr>
              <w:pStyle w:val="Akapitzlist"/>
              <w:numPr>
                <w:ilvl w:val="0"/>
                <w:numId w:val="58"/>
              </w:numPr>
              <w:rPr>
                <w:color w:val="000000"/>
                <w:sz w:val="20"/>
                <w:szCs w:val="20"/>
              </w:rPr>
            </w:pPr>
            <w:r w:rsidRPr="003F4A95">
              <w:rPr>
                <w:sz w:val="20"/>
                <w:szCs w:val="20"/>
              </w:rPr>
              <w:t xml:space="preserve">obszary przeznaczone do ochrony gatunków zwierząt wodnych o znaczeniu gospodarczym; życia roślinnego, w wyniku którego następują niepożądane zakłócenia biologicznych stosunków w środowisku wodnym oraz pogorszenie jakości tych wód </w:t>
            </w:r>
            <w:r w:rsidR="006C4947">
              <w:rPr>
                <w:sz w:val="20"/>
                <w:szCs w:val="20"/>
              </w:rPr>
              <w:t>-</w:t>
            </w:r>
            <w:r w:rsidRPr="003F4A95">
              <w:rPr>
                <w:sz w:val="20"/>
                <w:szCs w:val="20"/>
              </w:rPr>
              <w:t xml:space="preserve"> brak wyznaczonych obszarów.</w:t>
            </w:r>
          </w:p>
          <w:p w14:paraId="50AD66EF" w14:textId="3F74189A" w:rsidR="00483E3A" w:rsidRPr="00ED1A62" w:rsidRDefault="00483E3A" w:rsidP="00672603">
            <w:pPr>
              <w:tabs>
                <w:tab w:val="left" w:pos="1167"/>
                <w:tab w:val="right" w:pos="2268"/>
              </w:tabs>
              <w:spacing w:before="60" w:after="60"/>
              <w:rPr>
                <w:rFonts w:asciiTheme="minorHAnsi" w:hAnsiTheme="minorHAnsi" w:cstheme="minorBidi"/>
                <w:b/>
                <w:bCs/>
                <w:sz w:val="20"/>
                <w:szCs w:val="20"/>
              </w:rPr>
            </w:pPr>
            <w:r w:rsidRPr="469468AC">
              <w:rPr>
                <w:rFonts w:asciiTheme="minorHAnsi" w:hAnsiTheme="minorHAnsi" w:cstheme="minorBidi"/>
                <w:b/>
                <w:bCs/>
                <w:sz w:val="20"/>
                <w:szCs w:val="20"/>
              </w:rPr>
              <w:t>ZL:</w:t>
            </w:r>
            <w:r w:rsidR="00672603">
              <w:rPr>
                <w:rFonts w:asciiTheme="minorHAnsi" w:hAnsiTheme="minorHAnsi" w:cstheme="minorBidi"/>
                <w:b/>
                <w:bCs/>
                <w:sz w:val="20"/>
                <w:szCs w:val="20"/>
              </w:rPr>
              <w:tab/>
            </w:r>
            <w:r w:rsidRPr="006B1C95">
              <w:rPr>
                <w:rFonts w:asciiTheme="minorHAnsi" w:hAnsiTheme="minorHAnsi" w:cstheme="minorBidi"/>
                <w:sz w:val="20"/>
                <w:szCs w:val="20"/>
              </w:rPr>
              <w:t>2 jcwpd</w:t>
            </w:r>
          </w:p>
          <w:p w14:paraId="2752B5AB" w14:textId="387AF45C" w:rsidR="00483E3A" w:rsidRPr="00ED1A62" w:rsidRDefault="00483E3A" w:rsidP="00672603">
            <w:pPr>
              <w:widowControl w:val="0"/>
              <w:tabs>
                <w:tab w:val="left" w:pos="1134"/>
                <w:tab w:val="left" w:pos="1167"/>
                <w:tab w:val="right" w:pos="2268"/>
              </w:tabs>
              <w:autoSpaceDE w:val="0"/>
              <w:autoSpaceDN w:val="0"/>
              <w:adjustRightInd w:val="0"/>
              <w:spacing w:before="60" w:after="60"/>
              <w:ind w:right="126"/>
              <w:rPr>
                <w:rFonts w:asciiTheme="minorHAnsi" w:eastAsiaTheme="minorHAnsi" w:hAnsiTheme="minorHAnsi" w:cstheme="minorHAnsi"/>
                <w:b/>
                <w:bCs/>
                <w:color w:val="000000"/>
                <w:sz w:val="20"/>
                <w:szCs w:val="20"/>
              </w:rPr>
            </w:pPr>
            <w:r w:rsidRPr="00ED1A62">
              <w:rPr>
                <w:rFonts w:asciiTheme="minorHAnsi" w:eastAsiaTheme="minorHAnsi" w:hAnsiTheme="minorHAnsi" w:cstheme="minorHAnsi"/>
                <w:b/>
                <w:bCs/>
                <w:color w:val="000000"/>
                <w:sz w:val="20"/>
                <w:szCs w:val="20"/>
              </w:rPr>
              <w:t>RK:</w:t>
            </w:r>
            <w:r w:rsidR="00672603">
              <w:rPr>
                <w:rFonts w:asciiTheme="minorHAnsi" w:eastAsiaTheme="minorHAnsi" w:hAnsiTheme="minorHAnsi" w:cstheme="minorHAnsi"/>
                <w:b/>
                <w:bCs/>
                <w:color w:val="000000"/>
                <w:sz w:val="20"/>
                <w:szCs w:val="20"/>
              </w:rPr>
              <w:tab/>
            </w:r>
            <w:r>
              <w:rPr>
                <w:rFonts w:asciiTheme="minorHAnsi" w:eastAsiaTheme="minorHAnsi" w:hAnsiTheme="minorHAnsi" w:cstheme="minorHAnsi"/>
                <w:color w:val="000000"/>
                <w:sz w:val="20"/>
                <w:szCs w:val="20"/>
              </w:rPr>
              <w:t>23</w:t>
            </w:r>
            <w:r w:rsidRPr="009350A6">
              <w:rPr>
                <w:rFonts w:asciiTheme="minorHAnsi" w:eastAsiaTheme="minorHAnsi" w:hAnsiTheme="minorHAnsi" w:cstheme="minorHAnsi"/>
                <w:color w:val="000000"/>
                <w:sz w:val="20"/>
                <w:szCs w:val="20"/>
              </w:rPr>
              <w:t xml:space="preserve"> jcwp</w:t>
            </w:r>
          </w:p>
          <w:p w14:paraId="2B10289B" w14:textId="42587995" w:rsidR="00483E3A" w:rsidRPr="00ED1A62" w:rsidRDefault="00483E3A" w:rsidP="00672603">
            <w:pPr>
              <w:widowControl w:val="0"/>
              <w:tabs>
                <w:tab w:val="left" w:pos="1134"/>
                <w:tab w:val="left" w:pos="1167"/>
                <w:tab w:val="right" w:pos="2268"/>
              </w:tabs>
              <w:autoSpaceDE w:val="0"/>
              <w:autoSpaceDN w:val="0"/>
              <w:adjustRightInd w:val="0"/>
              <w:spacing w:before="60" w:after="60"/>
              <w:ind w:right="126"/>
              <w:rPr>
                <w:rFonts w:asciiTheme="minorHAnsi" w:eastAsiaTheme="minorHAnsi" w:hAnsiTheme="minorHAnsi" w:cstheme="minorHAnsi"/>
                <w:b/>
                <w:bCs/>
                <w:color w:val="000000"/>
                <w:sz w:val="20"/>
                <w:szCs w:val="20"/>
              </w:rPr>
            </w:pPr>
            <w:r w:rsidRPr="00ED1A62">
              <w:rPr>
                <w:rFonts w:asciiTheme="minorHAnsi" w:eastAsiaTheme="minorHAnsi" w:hAnsiTheme="minorHAnsi" w:cstheme="minorHAnsi"/>
                <w:b/>
                <w:bCs/>
                <w:color w:val="000000"/>
                <w:sz w:val="20"/>
                <w:szCs w:val="20"/>
              </w:rPr>
              <w:t>SiG</w:t>
            </w:r>
            <w:r w:rsidRPr="00ED1822">
              <w:rPr>
                <w:rFonts w:asciiTheme="minorHAnsi" w:eastAsiaTheme="minorHAnsi" w:hAnsiTheme="minorHAnsi" w:cstheme="minorHAnsi"/>
                <w:b/>
                <w:bCs/>
                <w:color w:val="000000"/>
                <w:sz w:val="20"/>
                <w:szCs w:val="20"/>
              </w:rPr>
              <w:t>:</w:t>
            </w:r>
            <w:r w:rsidR="00672603">
              <w:rPr>
                <w:rFonts w:asciiTheme="minorHAnsi" w:eastAsiaTheme="minorHAnsi" w:hAnsiTheme="minorHAnsi" w:cstheme="minorHAnsi"/>
                <w:b/>
                <w:bCs/>
                <w:color w:val="000000"/>
                <w:sz w:val="20"/>
                <w:szCs w:val="20"/>
              </w:rPr>
              <w:tab/>
            </w:r>
            <w:r w:rsidR="000064B2">
              <w:rPr>
                <w:rFonts w:asciiTheme="minorHAnsi" w:eastAsiaTheme="minorHAnsi" w:hAnsiTheme="minorHAnsi" w:cstheme="minorHAnsi"/>
                <w:color w:val="000000"/>
                <w:sz w:val="20"/>
                <w:szCs w:val="20"/>
                <w:shd w:val="clear" w:color="auto" w:fill="FFFFFF" w:themeFill="background1"/>
              </w:rPr>
              <w:t>171</w:t>
            </w:r>
            <w:r w:rsidR="000064B2" w:rsidRPr="00ED1822">
              <w:rPr>
                <w:rFonts w:asciiTheme="minorHAnsi" w:eastAsiaTheme="minorHAnsi" w:hAnsiTheme="minorHAnsi" w:cstheme="minorHAnsi"/>
                <w:color w:val="000000"/>
                <w:sz w:val="20"/>
                <w:szCs w:val="20"/>
              </w:rPr>
              <w:t xml:space="preserve"> </w:t>
            </w:r>
            <w:r w:rsidRPr="00ED1822">
              <w:rPr>
                <w:rFonts w:asciiTheme="minorHAnsi" w:eastAsiaTheme="minorHAnsi" w:hAnsiTheme="minorHAnsi" w:cstheme="minorHAnsi"/>
                <w:color w:val="000000"/>
                <w:sz w:val="20"/>
                <w:szCs w:val="20"/>
              </w:rPr>
              <w:t>jcwp</w:t>
            </w:r>
          </w:p>
          <w:p w14:paraId="25F280BA" w14:textId="573D2644" w:rsidR="00483E3A" w:rsidRPr="00ED1A62" w:rsidRDefault="00483E3A" w:rsidP="00672603">
            <w:pPr>
              <w:tabs>
                <w:tab w:val="left" w:pos="1134"/>
                <w:tab w:val="left" w:pos="1167"/>
                <w:tab w:val="right" w:pos="1843"/>
                <w:tab w:val="right" w:pos="2268"/>
              </w:tabs>
              <w:spacing w:before="60" w:after="60"/>
              <w:rPr>
                <w:rFonts w:asciiTheme="minorHAnsi" w:hAnsiTheme="minorHAnsi" w:cstheme="minorBidi"/>
                <w:sz w:val="20"/>
                <w:szCs w:val="20"/>
              </w:rPr>
            </w:pPr>
            <w:r w:rsidRPr="00932E11">
              <w:rPr>
                <w:rFonts w:asciiTheme="minorHAnsi" w:eastAsiaTheme="minorEastAsia" w:hAnsiTheme="minorHAnsi" w:cstheme="minorBidi"/>
                <w:b/>
                <w:color w:val="000000" w:themeColor="text1"/>
                <w:sz w:val="20"/>
                <w:szCs w:val="20"/>
              </w:rPr>
              <w:t>EUT:</w:t>
            </w:r>
            <w:r w:rsidR="00672603">
              <w:rPr>
                <w:rFonts w:asciiTheme="minorHAnsi" w:eastAsiaTheme="minorEastAsia" w:hAnsiTheme="minorHAnsi" w:cstheme="minorBidi"/>
                <w:b/>
                <w:color w:val="000000" w:themeColor="text1"/>
                <w:sz w:val="20"/>
                <w:szCs w:val="20"/>
              </w:rPr>
              <w:tab/>
            </w:r>
            <w:r w:rsidR="00B72CAA">
              <w:rPr>
                <w:rFonts w:asciiTheme="minorHAnsi" w:eastAsiaTheme="minorEastAsia" w:hAnsiTheme="minorHAnsi" w:cstheme="minorBidi"/>
                <w:color w:val="000000" w:themeColor="text1"/>
                <w:sz w:val="20"/>
                <w:szCs w:val="20"/>
              </w:rPr>
              <w:t>187</w:t>
            </w:r>
            <w:r w:rsidR="00B72CAA" w:rsidRPr="00932E11">
              <w:rPr>
                <w:rFonts w:asciiTheme="minorHAnsi" w:eastAsiaTheme="minorEastAsia" w:hAnsiTheme="minorHAnsi" w:cstheme="minorBidi"/>
                <w:color w:val="000000" w:themeColor="text1"/>
                <w:sz w:val="20"/>
                <w:szCs w:val="20"/>
              </w:rPr>
              <w:t xml:space="preserve"> </w:t>
            </w:r>
            <w:r w:rsidRPr="00932E11">
              <w:rPr>
                <w:rFonts w:asciiTheme="minorHAnsi" w:eastAsiaTheme="minorEastAsia" w:hAnsiTheme="minorHAnsi" w:cstheme="minorBidi"/>
                <w:color w:val="000000" w:themeColor="text1"/>
                <w:sz w:val="20"/>
                <w:szCs w:val="20"/>
              </w:rPr>
              <w:t>jcwp</w:t>
            </w:r>
          </w:p>
        </w:tc>
      </w:tr>
      <w:tr w:rsidR="00483E3A" w:rsidRPr="00ED1A62" w14:paraId="6F766F6C" w14:textId="77777777" w:rsidTr="003F4A95">
        <w:tc>
          <w:tcPr>
            <w:tcW w:w="2972" w:type="dxa"/>
            <w:shd w:val="clear" w:color="auto" w:fill="BFBFBF" w:themeFill="background1" w:themeFillShade="BF"/>
            <w:vAlign w:val="center"/>
          </w:tcPr>
          <w:p w14:paraId="5447D0BA" w14:textId="77777777" w:rsidR="00483E3A" w:rsidRPr="00ED1A62" w:rsidRDefault="00483E3A" w:rsidP="00163164">
            <w:pPr>
              <w:pStyle w:val="Teksttabelinaglowek"/>
              <w:jc w:val="left"/>
            </w:pPr>
            <w:r w:rsidRPr="00ED1A62">
              <w:t>Liczba jcw zagrożonych nieosiągnięciem celów środowiskowych</w:t>
            </w:r>
          </w:p>
        </w:tc>
        <w:tc>
          <w:tcPr>
            <w:tcW w:w="6044" w:type="dxa"/>
            <w:vAlign w:val="center"/>
          </w:tcPr>
          <w:p w14:paraId="621F4E21" w14:textId="77777777" w:rsidR="00483E3A" w:rsidRPr="00ED1A62" w:rsidRDefault="00483E3A" w:rsidP="00840CCD">
            <w:pPr>
              <w:tabs>
                <w:tab w:val="left" w:pos="1134"/>
                <w:tab w:val="right" w:pos="1843"/>
              </w:tabs>
              <w:spacing w:before="40" w:after="40"/>
              <w:rPr>
                <w:rFonts w:cs="Calibri"/>
                <w:color w:val="000000"/>
                <w:sz w:val="20"/>
                <w:szCs w:val="20"/>
              </w:rPr>
            </w:pPr>
            <w:r w:rsidRPr="469468AC">
              <w:rPr>
                <w:rFonts w:asciiTheme="minorHAnsi" w:hAnsiTheme="minorHAnsi" w:cstheme="minorBidi"/>
                <w:b/>
                <w:bCs/>
                <w:sz w:val="20"/>
                <w:szCs w:val="20"/>
              </w:rPr>
              <w:t>Jcwp RW:</w:t>
            </w:r>
            <w:r>
              <w:tab/>
            </w:r>
            <w:r>
              <w:rPr>
                <w:rFonts w:cs="Calibri"/>
                <w:color w:val="000000" w:themeColor="text1"/>
                <w:sz w:val="20"/>
                <w:szCs w:val="20"/>
              </w:rPr>
              <w:t>77</w:t>
            </w:r>
            <w:r w:rsidRPr="469468AC">
              <w:rPr>
                <w:rFonts w:cs="Calibri"/>
                <w:color w:val="000000" w:themeColor="text1"/>
                <w:sz w:val="20"/>
                <w:szCs w:val="20"/>
              </w:rPr>
              <w:t xml:space="preserve"> jcwp RW, tj. </w:t>
            </w:r>
            <w:r w:rsidRPr="009B480F">
              <w:rPr>
                <w:rFonts w:cs="Calibri"/>
                <w:color w:val="000000" w:themeColor="text1"/>
                <w:sz w:val="20"/>
                <w:szCs w:val="20"/>
              </w:rPr>
              <w:t>94</w:t>
            </w:r>
            <w:r w:rsidRPr="469468AC">
              <w:rPr>
                <w:rFonts w:cs="Calibri"/>
                <w:color w:val="000000" w:themeColor="text1"/>
                <w:sz w:val="20"/>
                <w:szCs w:val="20"/>
              </w:rPr>
              <w:t xml:space="preserve">% w obszarze dorzecza </w:t>
            </w:r>
            <w:r>
              <w:rPr>
                <w:rFonts w:cs="Calibri"/>
                <w:color w:val="000000" w:themeColor="text1"/>
                <w:sz w:val="20"/>
                <w:szCs w:val="20"/>
              </w:rPr>
              <w:t>Pregoły</w:t>
            </w:r>
            <w:r w:rsidRPr="00ED1A62">
              <w:rPr>
                <w:rFonts w:asciiTheme="minorHAnsi" w:hAnsiTheme="minorHAnsi" w:cstheme="minorHAnsi"/>
                <w:b/>
                <w:bCs/>
                <w:sz w:val="20"/>
                <w:szCs w:val="20"/>
              </w:rPr>
              <w:tab/>
            </w:r>
          </w:p>
          <w:p w14:paraId="66052AAB" w14:textId="77777777" w:rsidR="00483E3A" w:rsidRDefault="00483E3A" w:rsidP="00840CCD">
            <w:pPr>
              <w:tabs>
                <w:tab w:val="left" w:pos="1134"/>
                <w:tab w:val="right" w:pos="1843"/>
              </w:tabs>
              <w:spacing w:before="40" w:after="40"/>
              <w:rPr>
                <w:rFonts w:asciiTheme="minorHAnsi" w:hAnsiTheme="minorHAnsi" w:cstheme="minorHAnsi"/>
                <w:sz w:val="20"/>
                <w:szCs w:val="20"/>
              </w:rPr>
            </w:pPr>
            <w:r w:rsidRPr="00ED1A62">
              <w:rPr>
                <w:rFonts w:asciiTheme="minorHAnsi" w:hAnsiTheme="minorHAnsi" w:cstheme="minorHAnsi"/>
                <w:b/>
                <w:bCs/>
                <w:sz w:val="20"/>
                <w:szCs w:val="20"/>
              </w:rPr>
              <w:t>Jcwp LW:</w:t>
            </w:r>
            <w:r w:rsidRPr="00ED1A62">
              <w:rPr>
                <w:rFonts w:asciiTheme="minorHAnsi" w:hAnsiTheme="minorHAnsi" w:cstheme="minorHAnsi"/>
                <w:b/>
                <w:bCs/>
                <w:sz w:val="20"/>
                <w:szCs w:val="20"/>
              </w:rPr>
              <w:tab/>
            </w:r>
            <w:r w:rsidRPr="00ED1A62">
              <w:rPr>
                <w:rFonts w:asciiTheme="minorHAnsi" w:hAnsiTheme="minorHAnsi" w:cstheme="minorHAnsi"/>
                <w:b/>
                <w:bCs/>
                <w:sz w:val="20"/>
                <w:szCs w:val="20"/>
              </w:rPr>
              <w:tab/>
            </w:r>
            <w:r>
              <w:rPr>
                <w:rFonts w:asciiTheme="minorHAnsi" w:hAnsiTheme="minorHAnsi" w:cstheme="minorHAnsi"/>
                <w:sz w:val="20"/>
                <w:szCs w:val="20"/>
              </w:rPr>
              <w:t xml:space="preserve">50 </w:t>
            </w:r>
            <w:r w:rsidRPr="00ED1A62">
              <w:rPr>
                <w:rFonts w:asciiTheme="minorHAnsi" w:hAnsiTheme="minorHAnsi" w:cstheme="minorHAnsi"/>
                <w:sz w:val="20"/>
                <w:szCs w:val="20"/>
              </w:rPr>
              <w:t xml:space="preserve">jcwp LW, tj. </w:t>
            </w:r>
            <w:r>
              <w:rPr>
                <w:rFonts w:asciiTheme="minorHAnsi" w:hAnsiTheme="minorHAnsi" w:cstheme="minorHAnsi"/>
                <w:sz w:val="20"/>
                <w:szCs w:val="20"/>
              </w:rPr>
              <w:t>48</w:t>
            </w:r>
            <w:r w:rsidRPr="00ED1A62">
              <w:rPr>
                <w:rFonts w:asciiTheme="minorHAnsi" w:hAnsiTheme="minorHAnsi" w:cstheme="minorHAnsi"/>
                <w:sz w:val="20"/>
                <w:szCs w:val="20"/>
              </w:rPr>
              <w:t xml:space="preserve">% w obszarze dorzecza </w:t>
            </w:r>
            <w:r>
              <w:rPr>
                <w:rFonts w:asciiTheme="minorHAnsi" w:hAnsiTheme="minorHAnsi" w:cstheme="minorHAnsi"/>
                <w:sz w:val="20"/>
                <w:szCs w:val="20"/>
              </w:rPr>
              <w:t>Pregoły</w:t>
            </w:r>
          </w:p>
          <w:p w14:paraId="6F42C46D" w14:textId="16FFC054" w:rsidR="00483E3A" w:rsidRPr="00BD6B80" w:rsidRDefault="00483E3A" w:rsidP="0089626F">
            <w:pPr>
              <w:tabs>
                <w:tab w:val="left" w:pos="1134"/>
                <w:tab w:val="right" w:pos="1843"/>
              </w:tabs>
              <w:spacing w:before="40" w:after="40"/>
              <w:rPr>
                <w:rFonts w:asciiTheme="minorHAnsi" w:hAnsiTheme="minorHAnsi" w:cstheme="minorHAnsi"/>
                <w:sz w:val="20"/>
                <w:szCs w:val="20"/>
              </w:rPr>
            </w:pPr>
            <w:r w:rsidRPr="4ADDDD0A">
              <w:rPr>
                <w:rFonts w:asciiTheme="minorHAnsi" w:hAnsiTheme="minorHAnsi" w:cstheme="minorBidi"/>
                <w:b/>
                <w:bCs/>
                <w:sz w:val="20"/>
                <w:szCs w:val="20"/>
              </w:rPr>
              <w:t>Jcwpd:</w:t>
            </w:r>
            <w:r w:rsidR="0089626F">
              <w:t xml:space="preserve"> </w:t>
            </w:r>
            <w:r w:rsidR="0089626F">
              <w:tab/>
            </w:r>
            <w:r w:rsidRPr="00B223B4">
              <w:rPr>
                <w:rFonts w:asciiTheme="minorHAnsi" w:hAnsiTheme="minorHAnsi" w:cstheme="minorBidi"/>
                <w:sz w:val="20"/>
                <w:szCs w:val="20"/>
              </w:rPr>
              <w:t>brak</w:t>
            </w:r>
          </w:p>
        </w:tc>
      </w:tr>
      <w:tr w:rsidR="00483E3A" w:rsidRPr="00ED1A62" w14:paraId="4EF33C4B" w14:textId="77777777" w:rsidTr="003F4A95">
        <w:tc>
          <w:tcPr>
            <w:tcW w:w="2972" w:type="dxa"/>
            <w:shd w:val="clear" w:color="auto" w:fill="BFBFBF" w:themeFill="background1" w:themeFillShade="BF"/>
            <w:vAlign w:val="center"/>
          </w:tcPr>
          <w:p w14:paraId="2D9D7CBE" w14:textId="77777777" w:rsidR="00483E3A" w:rsidRPr="00ED1A62" w:rsidRDefault="00483E3A" w:rsidP="00163164">
            <w:pPr>
              <w:pStyle w:val="Teksttabelinaglowek"/>
              <w:jc w:val="left"/>
            </w:pPr>
            <w:r w:rsidRPr="00ED1A62">
              <w:t>Główne sposoby użytkowania wód</w:t>
            </w:r>
          </w:p>
        </w:tc>
        <w:tc>
          <w:tcPr>
            <w:tcW w:w="6044" w:type="dxa"/>
            <w:vAlign w:val="center"/>
          </w:tcPr>
          <w:p w14:paraId="0DC75E44" w14:textId="0FD6760B" w:rsidR="00483E3A" w:rsidRPr="003F4A95" w:rsidRDefault="004D25A2" w:rsidP="00AA3506">
            <w:pPr>
              <w:pStyle w:val="Akapitzlist"/>
              <w:numPr>
                <w:ilvl w:val="0"/>
                <w:numId w:val="58"/>
              </w:numPr>
              <w:rPr>
                <w:color w:val="000000"/>
                <w:sz w:val="20"/>
                <w:szCs w:val="20"/>
              </w:rPr>
            </w:pPr>
            <w:r w:rsidRPr="003F4A95">
              <w:rPr>
                <w:sz w:val="20"/>
                <w:szCs w:val="20"/>
              </w:rPr>
              <w:t>p</w:t>
            </w:r>
            <w:r w:rsidR="00483E3A" w:rsidRPr="003F4A95">
              <w:rPr>
                <w:sz w:val="20"/>
                <w:szCs w:val="20"/>
              </w:rPr>
              <w:t>obór wody na cele komunalne, przemysłowe;</w:t>
            </w:r>
          </w:p>
          <w:p w14:paraId="347816FE" w14:textId="77777777" w:rsidR="00483E3A" w:rsidRPr="003F4A95" w:rsidRDefault="00483E3A" w:rsidP="00AA3506">
            <w:pPr>
              <w:pStyle w:val="Akapitzlist"/>
              <w:numPr>
                <w:ilvl w:val="0"/>
                <w:numId w:val="58"/>
              </w:numPr>
              <w:rPr>
                <w:sz w:val="20"/>
                <w:szCs w:val="20"/>
              </w:rPr>
            </w:pPr>
            <w:r w:rsidRPr="003F4A95">
              <w:rPr>
                <w:sz w:val="20"/>
                <w:szCs w:val="20"/>
              </w:rPr>
              <w:t>nawodnienia i zasilanie stawów rybnych;</w:t>
            </w:r>
          </w:p>
          <w:p w14:paraId="7E16E244" w14:textId="77777777" w:rsidR="00483E3A" w:rsidRPr="00ED1A62" w:rsidRDefault="00483E3A" w:rsidP="00AA3506">
            <w:pPr>
              <w:pStyle w:val="Akapitzlist"/>
              <w:numPr>
                <w:ilvl w:val="0"/>
                <w:numId w:val="58"/>
              </w:numPr>
            </w:pPr>
            <w:r w:rsidRPr="003F4A95">
              <w:rPr>
                <w:sz w:val="20"/>
                <w:szCs w:val="20"/>
              </w:rPr>
              <w:t>turystyka i rekreacja.</w:t>
            </w:r>
          </w:p>
        </w:tc>
      </w:tr>
      <w:tr w:rsidR="00483E3A" w:rsidRPr="00ED1A62" w14:paraId="4B65B708" w14:textId="77777777" w:rsidTr="003F4A95">
        <w:tc>
          <w:tcPr>
            <w:tcW w:w="2972" w:type="dxa"/>
            <w:shd w:val="clear" w:color="auto" w:fill="BFBFBF" w:themeFill="background1" w:themeFillShade="BF"/>
            <w:vAlign w:val="center"/>
          </w:tcPr>
          <w:p w14:paraId="645CF12B" w14:textId="77777777" w:rsidR="00483E3A" w:rsidRPr="00ED1A62" w:rsidRDefault="00483E3A" w:rsidP="00163164">
            <w:pPr>
              <w:pStyle w:val="Teksttabelinaglowek"/>
              <w:jc w:val="left"/>
            </w:pPr>
            <w:r w:rsidRPr="00ED1A62">
              <w:t>Zidentyfikowane presje znaczące</w:t>
            </w:r>
          </w:p>
        </w:tc>
        <w:tc>
          <w:tcPr>
            <w:tcW w:w="6044" w:type="dxa"/>
            <w:vAlign w:val="center"/>
          </w:tcPr>
          <w:p w14:paraId="5C9CFC59" w14:textId="32DFE7C4" w:rsidR="00483E3A" w:rsidRPr="003F4A95" w:rsidRDefault="004D25A2" w:rsidP="00AA3506">
            <w:pPr>
              <w:pStyle w:val="Akapitzlist"/>
              <w:numPr>
                <w:ilvl w:val="0"/>
                <w:numId w:val="58"/>
              </w:numPr>
              <w:rPr>
                <w:sz w:val="20"/>
                <w:szCs w:val="20"/>
              </w:rPr>
            </w:pPr>
            <w:r w:rsidRPr="003F4A95">
              <w:rPr>
                <w:sz w:val="20"/>
                <w:szCs w:val="20"/>
              </w:rPr>
              <w:t>z</w:t>
            </w:r>
            <w:r w:rsidR="00483E3A" w:rsidRPr="003F4A95">
              <w:rPr>
                <w:sz w:val="20"/>
                <w:szCs w:val="20"/>
              </w:rPr>
              <w:t>rzuty ścieków komunalnych i przemysłowych; zrzuty wód opadowych; zrzuty ze stawów rybnych (presje fizykochemiczne, chemiczne);</w:t>
            </w:r>
          </w:p>
          <w:p w14:paraId="0D89DA98" w14:textId="77777777" w:rsidR="00483E3A" w:rsidRPr="003F4A95" w:rsidRDefault="00483E3A" w:rsidP="00AA3506">
            <w:pPr>
              <w:pStyle w:val="Akapitzlist"/>
              <w:numPr>
                <w:ilvl w:val="0"/>
                <w:numId w:val="58"/>
              </w:numPr>
              <w:rPr>
                <w:sz w:val="20"/>
                <w:szCs w:val="20"/>
              </w:rPr>
            </w:pPr>
            <w:r w:rsidRPr="003F4A95">
              <w:rPr>
                <w:sz w:val="20"/>
                <w:szCs w:val="20"/>
              </w:rPr>
              <w:t>zanieczyszczenia obszarowe, głównie z terenów rolniczych (presje fizykochemiczne);</w:t>
            </w:r>
          </w:p>
          <w:p w14:paraId="7C93C126" w14:textId="77777777" w:rsidR="00483E3A" w:rsidRPr="00ED1A62" w:rsidRDefault="00483E3A" w:rsidP="00AA3506">
            <w:pPr>
              <w:pStyle w:val="Akapitzlist"/>
              <w:numPr>
                <w:ilvl w:val="0"/>
                <w:numId w:val="58"/>
              </w:numPr>
            </w:pPr>
            <w:r w:rsidRPr="003F4A95">
              <w:rPr>
                <w:sz w:val="20"/>
                <w:szCs w:val="20"/>
              </w:rPr>
              <w:t>pobory wód na różne cele.</w:t>
            </w:r>
          </w:p>
        </w:tc>
      </w:tr>
    </w:tbl>
    <w:p w14:paraId="182B7ADC" w14:textId="075E6017" w:rsidR="00483E3A" w:rsidRPr="004A1DE4" w:rsidRDefault="00483E3A" w:rsidP="0041381F">
      <w:pPr>
        <w:pStyle w:val="rdo0"/>
        <w:rPr>
          <w:i w:val="0"/>
          <w:iCs w:val="0"/>
          <w:sz w:val="20"/>
          <w:szCs w:val="20"/>
          <w:lang w:eastAsia="zh-CN"/>
        </w:rPr>
      </w:pPr>
      <w:r w:rsidRPr="004A1DE4">
        <w:rPr>
          <w:lang w:eastAsia="zh-CN"/>
        </w:rPr>
        <w:t xml:space="preserve">Źródło: </w:t>
      </w:r>
      <w:r w:rsidR="004D25A2">
        <w:rPr>
          <w:lang w:eastAsia="zh-CN"/>
        </w:rPr>
        <w:t xml:space="preserve">opracowanie </w:t>
      </w:r>
      <w:r w:rsidR="005B3051">
        <w:rPr>
          <w:lang w:eastAsia="zh-CN"/>
        </w:rPr>
        <w:t>własne</w:t>
      </w:r>
    </w:p>
    <w:p w14:paraId="5E6BFFA5" w14:textId="7B27B715" w:rsidR="00483E3A" w:rsidRDefault="00483E3A" w:rsidP="00483E3A">
      <w:pPr>
        <w:rPr>
          <w:rFonts w:cs="Calibri"/>
          <w:color w:val="000000"/>
        </w:rPr>
      </w:pPr>
      <w:r w:rsidRPr="001C3AF6">
        <w:rPr>
          <w:rFonts w:cs="Calibri"/>
          <w:color w:val="000000"/>
        </w:rPr>
        <w:t xml:space="preserve">Region wodny </w:t>
      </w:r>
      <w:r>
        <w:rPr>
          <w:rFonts w:cs="Calibri"/>
          <w:color w:val="000000"/>
        </w:rPr>
        <w:t>Łyny i Węgorapy</w:t>
      </w:r>
      <w:r w:rsidRPr="001C3AF6">
        <w:rPr>
          <w:rFonts w:cs="Calibri"/>
          <w:color w:val="000000"/>
        </w:rPr>
        <w:t xml:space="preserve"> znajduje się w obrębie </w:t>
      </w:r>
      <w:r>
        <w:rPr>
          <w:rFonts w:cs="Calibri"/>
          <w:color w:val="000000"/>
        </w:rPr>
        <w:t>dwóch</w:t>
      </w:r>
      <w:r w:rsidRPr="001C3AF6">
        <w:rPr>
          <w:rFonts w:cs="Calibri"/>
          <w:color w:val="000000"/>
        </w:rPr>
        <w:t xml:space="preserve"> </w:t>
      </w:r>
      <w:r w:rsidRPr="0017799E">
        <w:rPr>
          <w:rFonts w:cs="Calibri"/>
          <w:color w:val="000000"/>
        </w:rPr>
        <w:t>ekoregionów</w:t>
      </w:r>
      <w:r w:rsidR="00325C95" w:rsidRPr="0017799E">
        <w:rPr>
          <w:rFonts w:cs="Calibri"/>
          <w:color w:val="000000"/>
        </w:rPr>
        <w:t xml:space="preserve"> (wykres 3-1)</w:t>
      </w:r>
      <w:r w:rsidRPr="0017799E">
        <w:rPr>
          <w:rFonts w:cs="Calibri"/>
          <w:color w:val="000000"/>
        </w:rPr>
        <w:t>. Są to: Równiny Wschodnie (99,7 %); Region Bałtycki (0,3 %).</w:t>
      </w:r>
    </w:p>
    <w:p w14:paraId="10397E72" w14:textId="77777777" w:rsidR="009E0A13" w:rsidRDefault="005B65AD" w:rsidP="009E0A13">
      <w:pPr>
        <w:keepNext/>
        <w:spacing w:after="160" w:line="259" w:lineRule="auto"/>
        <w:jc w:val="center"/>
      </w:pPr>
      <w:r>
        <w:rPr>
          <w:noProof/>
        </w:rPr>
        <w:drawing>
          <wp:inline distT="0" distB="0" distL="0" distR="0" wp14:anchorId="18048A84" wp14:editId="0D2F7C93">
            <wp:extent cx="4049486" cy="2055495"/>
            <wp:effectExtent l="0" t="0" r="8255" b="1905"/>
            <wp:docPr id="27" name="Wykres 27">
              <a:extLst xmlns:a="http://schemas.openxmlformats.org/drawingml/2006/main">
                <a:ext uri="{FF2B5EF4-FFF2-40B4-BE49-F238E27FC236}">
                  <a16:creationId xmlns:a16="http://schemas.microsoft.com/office/drawing/2014/main" id="{6665F8FC-4F14-47CF-9701-E0A390A9FE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03B3774" w14:textId="53C7A6D8" w:rsidR="00483E3A" w:rsidRDefault="009E0A13" w:rsidP="006802BB">
      <w:pPr>
        <w:pStyle w:val="Wykres"/>
        <w:rPr>
          <w:rFonts w:cs="Calibri"/>
          <w:color w:val="000000"/>
        </w:rPr>
      </w:pPr>
      <w:bookmarkStart w:id="25" w:name="_Toc68727079"/>
      <w:r>
        <w:t xml:space="preserve">Wykres </w:t>
      </w:r>
      <w:fldSimple w:instr=" STYLEREF 1 \s ">
        <w:r w:rsidR="00EF3FD3">
          <w:rPr>
            <w:noProof/>
          </w:rPr>
          <w:t>3</w:t>
        </w:r>
      </w:fldSimple>
      <w:r w:rsidR="00EF3FD3">
        <w:noBreakHyphen/>
      </w:r>
      <w:fldSimple w:instr=" SEQ Wykres \* ARABIC \s 1 ">
        <w:r w:rsidR="00EF3FD3">
          <w:rPr>
            <w:noProof/>
          </w:rPr>
          <w:t>1</w:t>
        </w:r>
      </w:fldSimple>
      <w:r>
        <w:tab/>
      </w:r>
      <w:r w:rsidRPr="007F0320">
        <w:t>Udział poszczególnych ekoregionów w obrębie dorzecza Pregoły</w:t>
      </w:r>
      <w:bookmarkEnd w:id="25"/>
    </w:p>
    <w:p w14:paraId="5375F0FF" w14:textId="605BD75B" w:rsidR="00483E3A" w:rsidRPr="005B65AD" w:rsidRDefault="00483E3A" w:rsidP="00483E3A">
      <w:pPr>
        <w:jc w:val="right"/>
        <w:rPr>
          <w:rFonts w:asciiTheme="minorHAnsi" w:hAnsiTheme="minorHAnsi" w:cstheme="minorHAnsi"/>
          <w:i/>
          <w:color w:val="003399"/>
          <w:sz w:val="18"/>
          <w:szCs w:val="18"/>
          <w:lang w:eastAsia="zh-CN"/>
        </w:rPr>
      </w:pPr>
      <w:r w:rsidRPr="005B65AD">
        <w:rPr>
          <w:rFonts w:asciiTheme="minorHAnsi" w:hAnsiTheme="minorHAnsi" w:cstheme="minorHAnsi"/>
          <w:i/>
          <w:color w:val="003399"/>
          <w:sz w:val="18"/>
          <w:szCs w:val="18"/>
          <w:lang w:eastAsia="zh-CN"/>
        </w:rPr>
        <w:t>Źródło:</w:t>
      </w:r>
      <w:r w:rsidR="003D372B">
        <w:rPr>
          <w:rFonts w:asciiTheme="minorHAnsi" w:hAnsiTheme="minorHAnsi" w:cstheme="minorHAnsi"/>
          <w:i/>
          <w:color w:val="003399"/>
          <w:sz w:val="18"/>
          <w:szCs w:val="18"/>
          <w:lang w:eastAsia="zh-CN"/>
        </w:rPr>
        <w:t xml:space="preserve"> opracowanie</w:t>
      </w:r>
      <w:r w:rsidRPr="005B65AD">
        <w:rPr>
          <w:rFonts w:asciiTheme="minorHAnsi" w:hAnsiTheme="minorHAnsi" w:cstheme="minorHAnsi"/>
          <w:i/>
          <w:color w:val="003399"/>
          <w:sz w:val="18"/>
          <w:szCs w:val="18"/>
          <w:lang w:eastAsia="zh-CN"/>
        </w:rPr>
        <w:t xml:space="preserve"> </w:t>
      </w:r>
      <w:r w:rsidR="005B3051">
        <w:rPr>
          <w:rFonts w:asciiTheme="minorHAnsi" w:hAnsiTheme="minorHAnsi" w:cstheme="minorHAnsi"/>
          <w:i/>
          <w:color w:val="003399"/>
          <w:sz w:val="18"/>
          <w:szCs w:val="18"/>
          <w:lang w:eastAsia="zh-CN"/>
        </w:rPr>
        <w:t>własne</w:t>
      </w:r>
    </w:p>
    <w:p w14:paraId="6EAB3F33" w14:textId="11A8977F" w:rsidR="00483E3A" w:rsidRDefault="00483E3A" w:rsidP="00483E3A">
      <w:pPr>
        <w:widowControl w:val="0"/>
        <w:autoSpaceDE w:val="0"/>
        <w:autoSpaceDN w:val="0"/>
        <w:adjustRightInd w:val="0"/>
        <w:ind w:right="55"/>
        <w:rPr>
          <w:rFonts w:asciiTheme="minorHAnsi" w:eastAsiaTheme="minorHAnsi" w:hAnsiTheme="minorHAnsi" w:cstheme="minorHAnsi"/>
          <w:color w:val="000000"/>
        </w:rPr>
      </w:pPr>
      <w:r w:rsidRPr="4B45E3C0">
        <w:rPr>
          <w:rFonts w:asciiTheme="minorHAnsi" w:eastAsiaTheme="minorEastAsia" w:hAnsiTheme="minorHAnsi" w:cstheme="minorBidi"/>
          <w:color w:val="000000"/>
        </w:rPr>
        <w:t>Na podstawie danych Corine Land Cover</w:t>
      </w:r>
      <w:r w:rsidRPr="4B45E3C0">
        <w:rPr>
          <w:rStyle w:val="Odwoanieprzypisudolnego"/>
          <w:rFonts w:asciiTheme="minorHAnsi" w:eastAsiaTheme="minorEastAsia" w:hAnsiTheme="minorHAnsi" w:cstheme="minorBidi"/>
          <w:color w:val="000000"/>
        </w:rPr>
        <w:footnoteReference w:id="3"/>
      </w:r>
      <w:r w:rsidRPr="4B45E3C0">
        <w:rPr>
          <w:rFonts w:asciiTheme="minorHAnsi" w:eastAsiaTheme="minorEastAsia" w:hAnsiTheme="minorHAnsi" w:cstheme="minorBidi"/>
          <w:color w:val="000000"/>
        </w:rPr>
        <w:t xml:space="preserve"> można stwierdzić, iż największy udział w powierzchni regionu mają użytki rolne </w:t>
      </w:r>
      <w:r w:rsidR="006C4947">
        <w:rPr>
          <w:rFonts w:asciiTheme="minorHAnsi" w:eastAsiaTheme="minorEastAsia" w:hAnsiTheme="minorHAnsi" w:cstheme="minorBidi"/>
          <w:color w:val="000000"/>
        </w:rPr>
        <w:t>-</w:t>
      </w:r>
      <w:r w:rsidRPr="4B45E3C0">
        <w:rPr>
          <w:rFonts w:asciiTheme="minorHAnsi" w:eastAsiaTheme="minorEastAsia" w:hAnsiTheme="minorHAnsi" w:cstheme="minorBidi"/>
          <w:color w:val="000000"/>
        </w:rPr>
        <w:t xml:space="preserve"> około </w:t>
      </w:r>
      <w:r>
        <w:rPr>
          <w:rFonts w:asciiTheme="minorHAnsi" w:eastAsiaTheme="minorEastAsia" w:hAnsiTheme="minorHAnsi" w:cstheme="minorBidi"/>
          <w:color w:val="000000"/>
        </w:rPr>
        <w:t>63,6</w:t>
      </w:r>
      <w:r w:rsidRPr="4B45E3C0">
        <w:rPr>
          <w:rFonts w:asciiTheme="minorHAnsi" w:eastAsiaTheme="minorEastAsia" w:hAnsiTheme="minorHAnsi" w:cstheme="minorBidi"/>
          <w:color w:val="000000"/>
        </w:rPr>
        <w:t xml:space="preserve">%, dalej lasy </w:t>
      </w:r>
      <w:r w:rsidR="006C4947">
        <w:rPr>
          <w:rFonts w:asciiTheme="minorHAnsi" w:eastAsiaTheme="minorEastAsia" w:hAnsiTheme="minorHAnsi" w:cstheme="minorBidi"/>
          <w:color w:val="000000"/>
        </w:rPr>
        <w:t>-</w:t>
      </w:r>
      <w:r w:rsidRPr="4B45E3C0">
        <w:rPr>
          <w:rFonts w:asciiTheme="minorHAnsi" w:eastAsiaTheme="minorEastAsia" w:hAnsiTheme="minorHAnsi" w:cstheme="minorBidi"/>
          <w:color w:val="000000"/>
        </w:rPr>
        <w:t xml:space="preserve"> około </w:t>
      </w:r>
      <w:r>
        <w:rPr>
          <w:rFonts w:asciiTheme="minorHAnsi" w:eastAsiaTheme="minorEastAsia" w:hAnsiTheme="minorHAnsi" w:cstheme="minorBidi"/>
          <w:color w:val="000000"/>
        </w:rPr>
        <w:t>27,3</w:t>
      </w:r>
      <w:r w:rsidRPr="4B45E3C0">
        <w:rPr>
          <w:rFonts w:asciiTheme="minorHAnsi" w:eastAsiaTheme="minorEastAsia" w:hAnsiTheme="minorHAnsi" w:cstheme="minorBidi"/>
          <w:color w:val="000000"/>
        </w:rPr>
        <w:t xml:space="preserve">% a tereny przekształcone antropogeniczne </w:t>
      </w:r>
      <w:r w:rsidR="006C4947">
        <w:rPr>
          <w:rFonts w:asciiTheme="minorHAnsi" w:eastAsiaTheme="minorEastAsia" w:hAnsiTheme="minorHAnsi" w:cstheme="minorBidi"/>
          <w:color w:val="000000"/>
        </w:rPr>
        <w:t>-</w:t>
      </w:r>
      <w:r w:rsidRPr="4B45E3C0">
        <w:rPr>
          <w:rFonts w:asciiTheme="minorHAnsi" w:eastAsiaTheme="minorEastAsia" w:hAnsiTheme="minorHAnsi" w:cstheme="minorBidi"/>
          <w:color w:val="000000"/>
        </w:rPr>
        <w:t xml:space="preserve"> około 2</w:t>
      </w:r>
      <w:r>
        <w:rPr>
          <w:rFonts w:asciiTheme="minorHAnsi" w:eastAsiaTheme="minorEastAsia" w:hAnsiTheme="minorHAnsi" w:cstheme="minorBidi"/>
          <w:color w:val="000000"/>
        </w:rPr>
        <w:t>,8</w:t>
      </w:r>
      <w:r w:rsidRPr="4B45E3C0">
        <w:rPr>
          <w:rFonts w:asciiTheme="minorHAnsi" w:eastAsiaTheme="minorEastAsia" w:hAnsiTheme="minorHAnsi" w:cstheme="minorBidi"/>
          <w:color w:val="000000"/>
        </w:rPr>
        <w:t>%.</w:t>
      </w:r>
      <w:r>
        <w:rPr>
          <w:rFonts w:asciiTheme="minorHAnsi" w:eastAsiaTheme="minorEastAsia" w:hAnsiTheme="minorHAnsi" w:cstheme="minorBidi"/>
          <w:color w:val="000000"/>
        </w:rPr>
        <w:t xml:space="preserve"> </w:t>
      </w:r>
      <w:r>
        <w:rPr>
          <w:rFonts w:asciiTheme="minorHAnsi" w:eastAsiaTheme="minorHAnsi" w:hAnsiTheme="minorHAnsi" w:cstheme="minorHAnsi"/>
          <w:color w:val="000000"/>
        </w:rPr>
        <w:t xml:space="preserve">Tereny pozostałe zajmują około 6,3 </w:t>
      </w:r>
      <w:r w:rsidRPr="0017799E">
        <w:rPr>
          <w:rFonts w:asciiTheme="minorHAnsi" w:eastAsiaTheme="minorHAnsi" w:hAnsiTheme="minorHAnsi" w:cstheme="minorHAnsi"/>
          <w:color w:val="000000"/>
        </w:rPr>
        <w:t>%</w:t>
      </w:r>
      <w:r w:rsidR="00CC1DEF" w:rsidRPr="0017799E">
        <w:rPr>
          <w:rFonts w:asciiTheme="minorHAnsi" w:eastAsiaTheme="minorHAnsi" w:hAnsiTheme="minorHAnsi" w:cstheme="minorHAnsi"/>
          <w:color w:val="000000"/>
        </w:rPr>
        <w:t xml:space="preserve"> (wykres 3-2)</w:t>
      </w:r>
      <w:r w:rsidRPr="0017799E">
        <w:rPr>
          <w:rFonts w:asciiTheme="minorHAnsi" w:eastAsiaTheme="minorHAnsi" w:hAnsiTheme="minorHAnsi" w:cstheme="minorHAnsi"/>
          <w:color w:val="000000"/>
        </w:rPr>
        <w:t>.</w:t>
      </w:r>
      <w:r>
        <w:rPr>
          <w:rFonts w:asciiTheme="minorHAnsi" w:eastAsiaTheme="minorHAnsi" w:hAnsiTheme="minorHAnsi" w:cstheme="minorHAnsi"/>
          <w:color w:val="000000"/>
        </w:rPr>
        <w:t xml:space="preserve"> </w:t>
      </w:r>
    </w:p>
    <w:p w14:paraId="3AA47C31" w14:textId="0A655807" w:rsidR="00483E3A" w:rsidRDefault="00AF4C52" w:rsidP="00483E3A">
      <w:pPr>
        <w:widowControl w:val="0"/>
        <w:autoSpaceDE w:val="0"/>
        <w:autoSpaceDN w:val="0"/>
        <w:adjustRightInd w:val="0"/>
        <w:ind w:right="55"/>
        <w:jc w:val="center"/>
        <w:rPr>
          <w:rFonts w:asciiTheme="minorHAnsi" w:eastAsiaTheme="minorHAnsi" w:hAnsiTheme="minorHAnsi" w:cstheme="minorHAnsi"/>
          <w:color w:val="000000"/>
        </w:rPr>
      </w:pPr>
      <w:r>
        <w:rPr>
          <w:noProof/>
        </w:rPr>
        <w:drawing>
          <wp:inline distT="0" distB="0" distL="0" distR="0" wp14:anchorId="6CEECA73" wp14:editId="1FD989AD">
            <wp:extent cx="4326161" cy="2857499"/>
            <wp:effectExtent l="0" t="0" r="17780" b="635"/>
            <wp:docPr id="233" name="Chart 233">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33D3698" w14:textId="7E26ED7A" w:rsidR="00483E3A" w:rsidRPr="009E0A13" w:rsidRDefault="00483E3A" w:rsidP="006802BB">
      <w:pPr>
        <w:pStyle w:val="Wykres"/>
      </w:pPr>
      <w:bookmarkStart w:id="26" w:name="_Toc68727080"/>
      <w:r w:rsidRPr="009E0A13">
        <w:t xml:space="preserve">Wykres </w:t>
      </w:r>
      <w:fldSimple w:instr=" STYLEREF 1 \s ">
        <w:r w:rsidR="00EF3FD3">
          <w:rPr>
            <w:noProof/>
          </w:rPr>
          <w:t>3</w:t>
        </w:r>
      </w:fldSimple>
      <w:r w:rsidR="00EF3FD3">
        <w:noBreakHyphen/>
      </w:r>
      <w:fldSimple w:instr=" SEQ Wykres \* ARABIC \s 1 ">
        <w:r w:rsidR="00EF3FD3">
          <w:rPr>
            <w:noProof/>
          </w:rPr>
          <w:t>2</w:t>
        </w:r>
      </w:fldSimple>
      <w:r w:rsidRPr="009E0A13">
        <w:tab/>
        <w:t>Udział poszczególnych form zagospodarowania terenu regionu wodnego Łyny i Węgorapy</w:t>
      </w:r>
      <w:bookmarkEnd w:id="26"/>
      <w:r w:rsidRPr="009E0A13">
        <w:t xml:space="preserve"> </w:t>
      </w:r>
    </w:p>
    <w:p w14:paraId="6E645A67" w14:textId="55CCDD37" w:rsidR="00483E3A" w:rsidRPr="005B65AD" w:rsidRDefault="00483E3A" w:rsidP="00483E3A">
      <w:pPr>
        <w:jc w:val="right"/>
        <w:rPr>
          <w:rFonts w:asciiTheme="minorHAnsi" w:hAnsiTheme="minorHAnsi" w:cstheme="minorHAnsi"/>
          <w:i/>
          <w:color w:val="003399"/>
          <w:sz w:val="18"/>
          <w:szCs w:val="18"/>
          <w:lang w:eastAsia="zh-CN"/>
        </w:rPr>
      </w:pPr>
      <w:r w:rsidRPr="005B65AD">
        <w:rPr>
          <w:rFonts w:asciiTheme="minorHAnsi" w:hAnsiTheme="minorHAnsi" w:cstheme="minorHAnsi"/>
          <w:i/>
          <w:color w:val="003399"/>
          <w:sz w:val="18"/>
          <w:szCs w:val="18"/>
          <w:lang w:eastAsia="zh-CN"/>
        </w:rPr>
        <w:t xml:space="preserve">Źródło: </w:t>
      </w:r>
      <w:r w:rsidR="003D372B">
        <w:rPr>
          <w:rFonts w:asciiTheme="minorHAnsi" w:hAnsiTheme="minorHAnsi" w:cstheme="minorHAnsi"/>
          <w:i/>
          <w:color w:val="003399"/>
          <w:sz w:val="18"/>
          <w:szCs w:val="18"/>
          <w:lang w:eastAsia="zh-CN"/>
        </w:rPr>
        <w:t xml:space="preserve">opracowanie </w:t>
      </w:r>
      <w:r w:rsidR="005B3051">
        <w:rPr>
          <w:rFonts w:asciiTheme="minorHAnsi" w:hAnsiTheme="minorHAnsi" w:cstheme="minorHAnsi"/>
          <w:i/>
          <w:color w:val="003399"/>
          <w:sz w:val="18"/>
          <w:szCs w:val="18"/>
          <w:lang w:eastAsia="zh-CN"/>
        </w:rPr>
        <w:t>własne</w:t>
      </w:r>
      <w:r w:rsidRPr="005B65AD">
        <w:rPr>
          <w:rFonts w:asciiTheme="minorHAnsi" w:hAnsiTheme="minorHAnsi" w:cstheme="minorHAnsi"/>
          <w:i/>
          <w:color w:val="003399"/>
          <w:sz w:val="18"/>
          <w:szCs w:val="18"/>
          <w:lang w:eastAsia="zh-CN"/>
        </w:rPr>
        <w:t xml:space="preserve"> na podstawie danych CLC 2018</w:t>
      </w:r>
    </w:p>
    <w:p w14:paraId="1AED24EB" w14:textId="64640E24" w:rsidR="00483E3A" w:rsidRPr="00E84595" w:rsidRDefault="00483E3A" w:rsidP="00483E3A">
      <w:pPr>
        <w:widowControl w:val="0"/>
        <w:autoSpaceDE w:val="0"/>
        <w:autoSpaceDN w:val="0"/>
        <w:adjustRightInd w:val="0"/>
        <w:ind w:right="55"/>
        <w:rPr>
          <w:rFonts w:asciiTheme="minorHAnsi" w:eastAsiaTheme="minorEastAsia" w:hAnsiTheme="minorHAnsi" w:cstheme="minorBidi"/>
          <w:color w:val="000000"/>
        </w:rPr>
      </w:pPr>
      <w:r>
        <w:rPr>
          <w:rFonts w:asciiTheme="minorHAnsi" w:eastAsiaTheme="minorEastAsia" w:hAnsiTheme="minorHAnsi" w:cstheme="minorBidi"/>
          <w:color w:val="000000"/>
        </w:rPr>
        <w:t>Tereny zurbanizowane znajdują się głównie w obszarze największych miast w re</w:t>
      </w:r>
      <w:r w:rsidR="00A77379">
        <w:rPr>
          <w:rFonts w:asciiTheme="minorHAnsi" w:eastAsiaTheme="minorEastAsia" w:hAnsiTheme="minorHAnsi" w:cstheme="minorBidi"/>
          <w:color w:val="000000"/>
        </w:rPr>
        <w:t>gi</w:t>
      </w:r>
      <w:r>
        <w:rPr>
          <w:rFonts w:asciiTheme="minorHAnsi" w:eastAsiaTheme="minorEastAsia" w:hAnsiTheme="minorHAnsi" w:cstheme="minorBidi"/>
          <w:color w:val="000000"/>
        </w:rPr>
        <w:t>onie Łyny i</w:t>
      </w:r>
      <w:r w:rsidR="00A77379">
        <w:rPr>
          <w:rFonts w:asciiTheme="minorHAnsi" w:eastAsiaTheme="minorEastAsia" w:hAnsiTheme="minorHAnsi" w:cstheme="minorBidi"/>
          <w:color w:val="000000"/>
        </w:rPr>
        <w:t> </w:t>
      </w:r>
      <w:r>
        <w:rPr>
          <w:rFonts w:asciiTheme="minorHAnsi" w:eastAsiaTheme="minorEastAsia" w:hAnsiTheme="minorHAnsi" w:cstheme="minorBidi"/>
          <w:color w:val="000000"/>
        </w:rPr>
        <w:t>Węgorapy: Olsztyna, Kętrzyna, Mrągowa i Bartoszyc. Najwięcej przedsiębiorstw jest związan</w:t>
      </w:r>
      <w:r w:rsidR="00832AAD">
        <w:rPr>
          <w:rFonts w:asciiTheme="minorHAnsi" w:eastAsiaTheme="minorEastAsia" w:hAnsiTheme="minorHAnsi" w:cstheme="minorBidi"/>
          <w:color w:val="000000"/>
        </w:rPr>
        <w:t>ych</w:t>
      </w:r>
      <w:r>
        <w:rPr>
          <w:rFonts w:asciiTheme="minorHAnsi" w:eastAsiaTheme="minorEastAsia" w:hAnsiTheme="minorHAnsi" w:cstheme="minorBidi"/>
          <w:color w:val="000000"/>
        </w:rPr>
        <w:t xml:space="preserve"> z dziedziną handlu hurtowego i detalicznego, usług, w budownictwie oraz przetwórstwie przemysłowym.</w:t>
      </w:r>
    </w:p>
    <w:p w14:paraId="16AE1CD2" w14:textId="22184CF5" w:rsidR="00483E3A" w:rsidRPr="00B50FFD" w:rsidRDefault="00483E3A" w:rsidP="00B50FFD">
      <w:pPr>
        <w:pStyle w:val="Nagwek2"/>
      </w:pPr>
      <w:bookmarkStart w:id="27" w:name="_Toc68726833"/>
      <w:r w:rsidRPr="00B50FFD">
        <w:rPr>
          <w:rStyle w:val="Nagwek2Znak"/>
          <w:b/>
        </w:rPr>
        <w:t>Wykaz jcwp wraz z podaniem ich typów i ustalonych warunków referencyjnych oraz statusu</w:t>
      </w:r>
      <w:bookmarkEnd w:id="27"/>
    </w:p>
    <w:p w14:paraId="309468C6" w14:textId="7FFE9D1C"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 xml:space="preserve">Plany gospodarowania wodami, zgodnie z art. 318 ust. 1 pkt 1 </w:t>
      </w:r>
      <w:r w:rsidR="00BE45D0">
        <w:rPr>
          <w:rFonts w:asciiTheme="minorHAnsi" w:eastAsiaTheme="minorHAnsi" w:hAnsiTheme="minorHAnsi"/>
          <w:color w:val="000000"/>
        </w:rPr>
        <w:t xml:space="preserve">lit. a </w:t>
      </w:r>
      <w:r>
        <w:rPr>
          <w:rFonts w:asciiTheme="minorHAnsi" w:eastAsiaTheme="minorHAnsi" w:hAnsiTheme="minorHAnsi"/>
          <w:color w:val="000000"/>
        </w:rPr>
        <w:t>ustawy pr.w. zawierają wykaz jcwp wraz z podaniem ich typów i ustalonych warunków referencyjnych oraz statusu. W obszarze dorzecza Pregoły wykaz jcwp obejmuje dwie kategorie jcwp tj. RW</w:t>
      </w:r>
      <w:r w:rsidR="004D25A2">
        <w:rPr>
          <w:rFonts w:asciiTheme="minorHAnsi" w:eastAsiaTheme="minorHAnsi" w:hAnsiTheme="minorHAnsi"/>
          <w:color w:val="000000"/>
        </w:rPr>
        <w:t xml:space="preserve"> i</w:t>
      </w:r>
      <w:r w:rsidRPr="003C3300">
        <w:rPr>
          <w:rFonts w:asciiTheme="minorHAnsi" w:eastAsiaTheme="minorHAnsi" w:hAnsiTheme="minorHAnsi"/>
          <w:color w:val="000000"/>
        </w:rPr>
        <w:t xml:space="preserve"> </w:t>
      </w:r>
      <w:r>
        <w:rPr>
          <w:rFonts w:asciiTheme="minorHAnsi" w:eastAsiaTheme="minorHAnsi" w:hAnsiTheme="minorHAnsi"/>
          <w:color w:val="000000"/>
        </w:rPr>
        <w:t xml:space="preserve">LW. </w:t>
      </w:r>
    </w:p>
    <w:p w14:paraId="48844E85" w14:textId="77777777" w:rsidR="00483E3A" w:rsidRPr="0066368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 xml:space="preserve">W związku z dokonanymi w III cyklu planistycznym </w:t>
      </w:r>
      <w:r w:rsidRPr="0066368A">
        <w:rPr>
          <w:rFonts w:asciiTheme="minorHAnsi" w:eastAsiaTheme="minorHAnsi" w:hAnsiTheme="minorHAnsi"/>
          <w:color w:val="000000"/>
        </w:rPr>
        <w:t>(2016-2021)</w:t>
      </w:r>
      <w:r>
        <w:rPr>
          <w:rFonts w:asciiTheme="minorHAnsi" w:eastAsiaTheme="minorHAnsi" w:hAnsiTheme="minorHAnsi"/>
          <w:color w:val="000000"/>
        </w:rPr>
        <w:t xml:space="preserve"> zmianami dotyczącymi </w:t>
      </w:r>
      <w:r w:rsidRPr="0066368A">
        <w:rPr>
          <w:rFonts w:asciiTheme="minorHAnsi" w:eastAsiaTheme="minorHAnsi" w:hAnsiTheme="minorHAnsi"/>
          <w:color w:val="000000"/>
        </w:rPr>
        <w:t>gospodarowania wodami</w:t>
      </w:r>
      <w:r>
        <w:rPr>
          <w:rFonts w:asciiTheme="minorHAnsi" w:eastAsiaTheme="minorHAnsi" w:hAnsiTheme="minorHAnsi"/>
          <w:color w:val="000000"/>
        </w:rPr>
        <w:t>, modyfikacjom uległy również wykazy jcwp. Wprowadzone w tym obszarze zmiany dotyczyły:</w:t>
      </w:r>
    </w:p>
    <w:p w14:paraId="16C50EF3" w14:textId="28C85C66" w:rsidR="00483E3A" w:rsidRDefault="00483E3A" w:rsidP="00AA3506">
      <w:pPr>
        <w:pStyle w:val="Akapitzlist"/>
        <w:numPr>
          <w:ilvl w:val="0"/>
          <w:numId w:val="59"/>
        </w:numPr>
      </w:pPr>
      <w:r>
        <w:t xml:space="preserve">weryfikacji i aktualizacji jednostek planistycznych </w:t>
      </w:r>
      <w:r w:rsidR="006C4947">
        <w:t>-</w:t>
      </w:r>
      <w:r>
        <w:t xml:space="preserve"> zmiany dokonane w wyniku realizacji projektów: </w:t>
      </w:r>
      <w:r w:rsidRPr="00F05DBD">
        <w:t>Aktualizacja wykazu JCWP i SCWP dla potrzeb kolejnej aktualizacji planów w latach 2015-2021 wraz z weryfikacją typów wód części wód</w:t>
      </w:r>
      <w:r w:rsidRPr="002D1BDC">
        <w:t xml:space="preserve"> (2015), </w:t>
      </w:r>
      <w:r w:rsidRPr="00F05DBD">
        <w:t>Analiza i aktualizacja jednostek do planowania z uwzględnieniem MPHP10</w:t>
      </w:r>
      <w:r w:rsidRPr="002D1BDC">
        <w:t xml:space="preserve"> (2017)</w:t>
      </w:r>
      <w:r>
        <w:t>;</w:t>
      </w:r>
    </w:p>
    <w:p w14:paraId="20DB3075" w14:textId="77777777" w:rsidR="00483E3A" w:rsidRDefault="00483E3A" w:rsidP="00AA3506">
      <w:pPr>
        <w:pStyle w:val="Akapitzlist"/>
        <w:numPr>
          <w:ilvl w:val="0"/>
          <w:numId w:val="59"/>
        </w:numPr>
      </w:pPr>
      <w:r>
        <w:t>p</w:t>
      </w:r>
      <w:r w:rsidRPr="002D1BDC">
        <w:t>rzegląd</w:t>
      </w:r>
      <w:r>
        <w:t>u</w:t>
      </w:r>
      <w:r w:rsidRPr="002D1BDC">
        <w:t xml:space="preserve"> i weryfikacj</w:t>
      </w:r>
      <w:r>
        <w:t>i</w:t>
      </w:r>
      <w:r w:rsidRPr="002D1BDC">
        <w:t xml:space="preserve"> metodyk wyznaczania silnie zmienionych i</w:t>
      </w:r>
      <w:r>
        <w:t> </w:t>
      </w:r>
      <w:r w:rsidRPr="002D1BDC">
        <w:t>sztucznych części wód powierzchniowych wraz ze wstępnym i ostatecznym wyznaczeniem (2019)</w:t>
      </w:r>
      <w:r>
        <w:t>;</w:t>
      </w:r>
    </w:p>
    <w:p w14:paraId="13DECA7A" w14:textId="350C0BBF" w:rsidR="00483E3A" w:rsidRDefault="00483E3A" w:rsidP="00AA3506">
      <w:pPr>
        <w:pStyle w:val="Akapitzlist"/>
        <w:numPr>
          <w:ilvl w:val="0"/>
          <w:numId w:val="59"/>
        </w:numPr>
      </w:pPr>
      <w:r>
        <w:t>zmiany</w:t>
      </w:r>
      <w:r w:rsidDel="00C379FE">
        <w:t xml:space="preserve"> </w:t>
      </w:r>
      <w:r>
        <w:t xml:space="preserve">rejestru obszarów chronionych  </w:t>
      </w:r>
      <w:r w:rsidR="006C4947">
        <w:t>-</w:t>
      </w:r>
      <w:r>
        <w:t xml:space="preserve">  zmiana wprowadzona ustawą pr.w.</w:t>
      </w:r>
    </w:p>
    <w:p w14:paraId="650A7938" w14:textId="77777777" w:rsidR="00483E3A" w:rsidRDefault="00483E3A" w:rsidP="00483E3A">
      <w:pPr>
        <w:widowControl w:val="0"/>
        <w:autoSpaceDE w:val="0"/>
        <w:autoSpaceDN w:val="0"/>
        <w:adjustRightInd w:val="0"/>
        <w:ind w:right="57"/>
        <w:rPr>
          <w:rFonts w:asciiTheme="minorHAnsi" w:eastAsiaTheme="minorEastAsia" w:hAnsiTheme="minorHAnsi"/>
          <w:color w:val="000000"/>
        </w:rPr>
      </w:pPr>
      <w:r w:rsidRPr="4E0B3E6E">
        <w:rPr>
          <w:rFonts w:asciiTheme="minorHAnsi" w:eastAsiaTheme="minorEastAsia" w:hAnsiTheme="minorHAnsi"/>
          <w:color w:val="000000" w:themeColor="text1"/>
        </w:rPr>
        <w:t>W wyniku dokonanych zmian w Polsce łącznie wyznaczonych zostało 3116 jcwp RW, 1068 jcwp LW,</w:t>
      </w:r>
      <w:r>
        <w:br/>
      </w:r>
      <w:r w:rsidRPr="4E0B3E6E">
        <w:rPr>
          <w:rFonts w:asciiTheme="minorHAnsi" w:eastAsiaTheme="minorEastAsia" w:hAnsiTheme="minorHAnsi"/>
          <w:color w:val="000000" w:themeColor="text1"/>
        </w:rPr>
        <w:t>4 jcwp CW, 7 jcwp TW oraz 45 jcwp RWr. Zgodnie z aPGW w okresie 2016-2021 wyznaczonych było 4586 jcwp RW (uwzględniających jcwp RWr), 1044 jcwp LW, 10 jcwp CW i 9 jcwp TW.</w:t>
      </w:r>
      <w:r>
        <w:rPr>
          <w:rFonts w:asciiTheme="minorHAnsi" w:eastAsiaTheme="minorEastAsia" w:hAnsiTheme="minorHAnsi"/>
          <w:color w:val="000000" w:themeColor="text1"/>
        </w:rPr>
        <w:t xml:space="preserve"> W przypadku obszaru dorzecza Pregoły również nastąpiły zmiany w liczbie jcwp.</w:t>
      </w:r>
      <w:r>
        <w:rPr>
          <w:rStyle w:val="Odwoanieprzypisudolnego"/>
          <w:rFonts w:asciiTheme="minorHAnsi" w:eastAsiaTheme="minorEastAsia" w:hAnsiTheme="minorHAnsi"/>
          <w:color w:val="000000" w:themeColor="text1"/>
        </w:rPr>
        <w:footnoteReference w:id="4"/>
      </w:r>
    </w:p>
    <w:p w14:paraId="5DD93D72" w14:textId="2003A043"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 xml:space="preserve">Wykaz jcwp występujących </w:t>
      </w:r>
      <w:r w:rsidRPr="003C3300">
        <w:rPr>
          <w:rFonts w:asciiTheme="minorHAnsi" w:eastAsiaTheme="minorHAnsi" w:hAnsiTheme="minorHAnsi"/>
          <w:color w:val="000000"/>
        </w:rPr>
        <w:t xml:space="preserve">na obszarze dorzecza </w:t>
      </w:r>
      <w:r>
        <w:rPr>
          <w:rFonts w:asciiTheme="minorHAnsi" w:eastAsiaTheme="minorHAnsi" w:hAnsiTheme="minorHAnsi"/>
          <w:color w:val="000000"/>
        </w:rPr>
        <w:t xml:space="preserve">Pregoły </w:t>
      </w:r>
      <w:r w:rsidRPr="0017799E">
        <w:rPr>
          <w:rFonts w:asciiTheme="minorHAnsi" w:eastAsiaTheme="minorHAnsi" w:hAnsiTheme="minorHAnsi"/>
          <w:color w:val="000000"/>
        </w:rPr>
        <w:t>przedstawiono w załączniku nr 1, który</w:t>
      </w:r>
      <w:r>
        <w:rPr>
          <w:rFonts w:asciiTheme="minorHAnsi" w:eastAsiaTheme="minorHAnsi" w:hAnsiTheme="minorHAnsi"/>
          <w:color w:val="000000"/>
        </w:rPr>
        <w:t xml:space="preserve"> przedstawia szczegółowe informacje o poszczególnych jcw. Położenie i granice jcwp w obszarze dorzecza Pregoły prezentuje mapa </w:t>
      </w:r>
      <w:r w:rsidRPr="0017799E">
        <w:rPr>
          <w:rFonts w:asciiTheme="minorHAnsi" w:eastAsiaTheme="minorHAnsi" w:hAnsiTheme="minorHAnsi"/>
          <w:color w:val="000000"/>
        </w:rPr>
        <w:t>stanowiąc</w:t>
      </w:r>
      <w:r w:rsidR="004D25A2">
        <w:rPr>
          <w:rFonts w:asciiTheme="minorHAnsi" w:eastAsiaTheme="minorHAnsi" w:hAnsiTheme="minorHAnsi"/>
          <w:color w:val="000000"/>
        </w:rPr>
        <w:t>a</w:t>
      </w:r>
      <w:r w:rsidRPr="0017799E">
        <w:rPr>
          <w:rFonts w:asciiTheme="minorHAnsi" w:eastAsiaTheme="minorHAnsi" w:hAnsiTheme="minorHAnsi"/>
          <w:color w:val="000000"/>
        </w:rPr>
        <w:t xml:space="preserve"> załącznik graficzny nr 1 do</w:t>
      </w:r>
      <w:r>
        <w:rPr>
          <w:rFonts w:asciiTheme="minorHAnsi" w:eastAsiaTheme="minorHAnsi" w:hAnsiTheme="minorHAnsi"/>
          <w:color w:val="000000"/>
        </w:rPr>
        <w:t xml:space="preserve"> planu gospodarowania wodami.</w:t>
      </w:r>
    </w:p>
    <w:p w14:paraId="72173207" w14:textId="5D40F837"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Liczbę jcwp w poszczególnych regionach wodnych określa poniższa tabela</w:t>
      </w:r>
      <w:r w:rsidR="00117039">
        <w:rPr>
          <w:rFonts w:asciiTheme="minorHAnsi" w:eastAsiaTheme="minorHAnsi" w:hAnsiTheme="minorHAnsi"/>
          <w:color w:val="000000"/>
        </w:rPr>
        <w:t xml:space="preserve"> 3-2</w:t>
      </w:r>
      <w:r>
        <w:rPr>
          <w:rFonts w:asciiTheme="minorHAnsi" w:eastAsiaTheme="minorHAnsi" w:hAnsiTheme="minorHAnsi"/>
          <w:color w:val="000000"/>
        </w:rPr>
        <w:t>.</w:t>
      </w:r>
    </w:p>
    <w:p w14:paraId="41CD48A1" w14:textId="21114DC3" w:rsidR="00B8416D" w:rsidRPr="00322E99" w:rsidRDefault="00B8416D" w:rsidP="006802BB">
      <w:pPr>
        <w:pStyle w:val="Legenda"/>
      </w:pPr>
      <w:bookmarkStart w:id="28" w:name="_Toc68726947"/>
      <w:r w:rsidRPr="00322E99">
        <w:t xml:space="preserve">Tabela </w:t>
      </w:r>
      <w:fldSimple w:instr=" STYLEREF 1 \s ">
        <w:r w:rsidR="007B4050">
          <w:rPr>
            <w:noProof/>
          </w:rPr>
          <w:t>3</w:t>
        </w:r>
      </w:fldSimple>
      <w:r w:rsidR="007B4050">
        <w:noBreakHyphen/>
      </w:r>
      <w:fldSimple w:instr=" SEQ Tabela \* ARABIC \s 1 ">
        <w:r w:rsidR="007B4050">
          <w:rPr>
            <w:noProof/>
          </w:rPr>
          <w:t>2</w:t>
        </w:r>
      </w:fldSimple>
      <w:r w:rsidRPr="00322E99">
        <w:t xml:space="preserve"> </w:t>
      </w:r>
      <w:r w:rsidRPr="00322E99">
        <w:tab/>
        <w:t>Zestawienie jcwp na obszarze dorzecza Pregoły</w:t>
      </w:r>
      <w:bookmarkEnd w:id="28"/>
    </w:p>
    <w:tbl>
      <w:tblPr>
        <w:tblStyle w:val="Tabela-Siatka"/>
        <w:tblW w:w="0" w:type="auto"/>
        <w:jc w:val="center"/>
        <w:tblLayout w:type="fixed"/>
        <w:tblLook w:val="04A0" w:firstRow="1" w:lastRow="0" w:firstColumn="1" w:lastColumn="0" w:noHBand="0" w:noVBand="1"/>
      </w:tblPr>
      <w:tblGrid>
        <w:gridCol w:w="2689"/>
        <w:gridCol w:w="1264"/>
        <w:gridCol w:w="1142"/>
      </w:tblGrid>
      <w:tr w:rsidR="00483E3A" w:rsidRPr="00C01542" w14:paraId="15425D5B" w14:textId="77777777" w:rsidTr="003F4A95">
        <w:trPr>
          <w:tblHeader/>
          <w:jc w:val="center"/>
        </w:trPr>
        <w:tc>
          <w:tcPr>
            <w:tcW w:w="2689" w:type="dxa"/>
            <w:vMerge w:val="restart"/>
            <w:shd w:val="clear" w:color="auto" w:fill="BFBFBF" w:themeFill="background1" w:themeFillShade="BF"/>
            <w:vAlign w:val="center"/>
          </w:tcPr>
          <w:p w14:paraId="02FBDF73" w14:textId="77777777" w:rsidR="00483E3A" w:rsidRPr="00C01542" w:rsidRDefault="00483E3A" w:rsidP="00840CCD">
            <w:pPr>
              <w:widowControl w:val="0"/>
              <w:autoSpaceDE w:val="0"/>
              <w:autoSpaceDN w:val="0"/>
              <w:adjustRightInd w:val="0"/>
              <w:ind w:right="57"/>
              <w:rPr>
                <w:rFonts w:asciiTheme="minorHAnsi" w:eastAsiaTheme="minorHAnsi" w:hAnsiTheme="minorHAnsi"/>
                <w:b/>
                <w:bCs/>
                <w:sz w:val="20"/>
                <w:szCs w:val="20"/>
              </w:rPr>
            </w:pPr>
            <w:r w:rsidRPr="00C01542">
              <w:rPr>
                <w:rFonts w:asciiTheme="minorHAnsi" w:eastAsiaTheme="minorHAnsi" w:hAnsiTheme="minorHAnsi"/>
                <w:b/>
                <w:bCs/>
                <w:sz w:val="20"/>
                <w:szCs w:val="20"/>
              </w:rPr>
              <w:t>Region wodny</w:t>
            </w:r>
          </w:p>
        </w:tc>
        <w:tc>
          <w:tcPr>
            <w:tcW w:w="2406" w:type="dxa"/>
            <w:gridSpan w:val="2"/>
            <w:tcBorders>
              <w:right w:val="single" w:sz="4" w:space="0" w:color="auto"/>
            </w:tcBorders>
            <w:shd w:val="clear" w:color="auto" w:fill="BFBFBF" w:themeFill="background1" w:themeFillShade="BF"/>
          </w:tcPr>
          <w:p w14:paraId="13B80271" w14:textId="77777777" w:rsidR="00483E3A" w:rsidRPr="00C01542" w:rsidRDefault="00483E3A" w:rsidP="00840CCD">
            <w:pPr>
              <w:widowControl w:val="0"/>
              <w:autoSpaceDE w:val="0"/>
              <w:autoSpaceDN w:val="0"/>
              <w:adjustRightInd w:val="0"/>
              <w:ind w:right="57"/>
              <w:jc w:val="center"/>
              <w:rPr>
                <w:rFonts w:asciiTheme="minorHAnsi" w:eastAsiaTheme="minorHAnsi" w:hAnsiTheme="minorHAnsi"/>
                <w:b/>
                <w:bCs/>
                <w:color w:val="FFFFFF" w:themeColor="background1"/>
                <w:sz w:val="20"/>
                <w:szCs w:val="20"/>
              </w:rPr>
            </w:pPr>
            <w:r w:rsidRPr="00C01542">
              <w:rPr>
                <w:rFonts w:asciiTheme="minorHAnsi" w:eastAsiaTheme="minorHAnsi" w:hAnsiTheme="minorHAnsi"/>
                <w:b/>
                <w:bCs/>
                <w:sz w:val="20"/>
                <w:szCs w:val="20"/>
              </w:rPr>
              <w:t>Liczba jcwp</w:t>
            </w:r>
          </w:p>
        </w:tc>
      </w:tr>
      <w:tr w:rsidR="00483E3A" w:rsidRPr="00C01542" w14:paraId="6889995E" w14:textId="77777777" w:rsidTr="7DD07ACE">
        <w:trPr>
          <w:tblHeader/>
          <w:jc w:val="center"/>
        </w:trPr>
        <w:tc>
          <w:tcPr>
            <w:tcW w:w="2689" w:type="dxa"/>
            <w:vMerge/>
          </w:tcPr>
          <w:p w14:paraId="2E042E4C" w14:textId="77777777" w:rsidR="00483E3A" w:rsidRPr="00C01542" w:rsidRDefault="00483E3A" w:rsidP="00840CCD">
            <w:pPr>
              <w:widowControl w:val="0"/>
              <w:autoSpaceDE w:val="0"/>
              <w:autoSpaceDN w:val="0"/>
              <w:adjustRightInd w:val="0"/>
              <w:ind w:right="57"/>
              <w:rPr>
                <w:rFonts w:asciiTheme="minorHAnsi" w:eastAsiaTheme="minorHAnsi" w:hAnsiTheme="minorHAnsi"/>
                <w:b/>
                <w:bCs/>
                <w:sz w:val="20"/>
                <w:szCs w:val="20"/>
              </w:rPr>
            </w:pPr>
          </w:p>
        </w:tc>
        <w:tc>
          <w:tcPr>
            <w:tcW w:w="1264" w:type="dxa"/>
            <w:tcBorders>
              <w:right w:val="single" w:sz="4" w:space="0" w:color="auto"/>
            </w:tcBorders>
            <w:shd w:val="clear" w:color="auto" w:fill="BFBFBF" w:themeFill="background1" w:themeFillShade="BF"/>
          </w:tcPr>
          <w:p w14:paraId="7170E2F6" w14:textId="77777777" w:rsidR="00483E3A" w:rsidRPr="00C01542"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C01542">
              <w:rPr>
                <w:rFonts w:asciiTheme="minorHAnsi" w:eastAsiaTheme="minorHAnsi" w:hAnsiTheme="minorHAnsi"/>
                <w:color w:val="000000"/>
                <w:sz w:val="20"/>
                <w:szCs w:val="20"/>
              </w:rPr>
              <w:t>RW</w:t>
            </w:r>
          </w:p>
        </w:tc>
        <w:tc>
          <w:tcPr>
            <w:tcW w:w="1142" w:type="dxa"/>
            <w:tcBorders>
              <w:left w:val="single" w:sz="4" w:space="0" w:color="auto"/>
              <w:right w:val="single" w:sz="4" w:space="0" w:color="auto"/>
            </w:tcBorders>
            <w:shd w:val="clear" w:color="auto" w:fill="BFBFBF" w:themeFill="background1" w:themeFillShade="BF"/>
          </w:tcPr>
          <w:p w14:paraId="12BFF0E7" w14:textId="77777777" w:rsidR="00483E3A" w:rsidRPr="00C01542"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C01542">
              <w:rPr>
                <w:rFonts w:asciiTheme="minorHAnsi" w:eastAsiaTheme="minorHAnsi" w:hAnsiTheme="minorHAnsi"/>
                <w:color w:val="000000"/>
                <w:sz w:val="20"/>
                <w:szCs w:val="20"/>
              </w:rPr>
              <w:t>LW</w:t>
            </w:r>
          </w:p>
        </w:tc>
      </w:tr>
      <w:tr w:rsidR="00483E3A" w:rsidRPr="00C01542" w14:paraId="6BD3E23C" w14:textId="77777777" w:rsidTr="00163164">
        <w:trPr>
          <w:jc w:val="center"/>
        </w:trPr>
        <w:tc>
          <w:tcPr>
            <w:tcW w:w="2689" w:type="dxa"/>
            <w:shd w:val="clear" w:color="auto" w:fill="auto"/>
          </w:tcPr>
          <w:p w14:paraId="01CDA7FC" w14:textId="77777777" w:rsidR="00483E3A" w:rsidRPr="00C01542" w:rsidRDefault="00483E3A" w:rsidP="00840CCD">
            <w:pPr>
              <w:widowControl w:val="0"/>
              <w:autoSpaceDE w:val="0"/>
              <w:autoSpaceDN w:val="0"/>
              <w:adjustRightInd w:val="0"/>
              <w:ind w:right="57"/>
              <w:rPr>
                <w:rFonts w:asciiTheme="minorHAnsi" w:eastAsiaTheme="minorHAnsi" w:hAnsiTheme="minorHAnsi"/>
                <w:b/>
                <w:bCs/>
                <w:sz w:val="20"/>
                <w:szCs w:val="20"/>
              </w:rPr>
            </w:pPr>
            <w:r>
              <w:rPr>
                <w:rFonts w:asciiTheme="minorHAnsi" w:eastAsiaTheme="minorHAnsi" w:hAnsiTheme="minorHAnsi"/>
                <w:b/>
                <w:bCs/>
                <w:sz w:val="20"/>
                <w:szCs w:val="20"/>
              </w:rPr>
              <w:t>Łyny i Węgorapy</w:t>
            </w:r>
          </w:p>
        </w:tc>
        <w:tc>
          <w:tcPr>
            <w:tcW w:w="1264" w:type="dxa"/>
            <w:shd w:val="clear" w:color="auto" w:fill="auto"/>
          </w:tcPr>
          <w:p w14:paraId="49B21330" w14:textId="77777777" w:rsidR="00483E3A" w:rsidRPr="00C01542" w:rsidRDefault="00483E3A" w:rsidP="00840CCD">
            <w:pPr>
              <w:widowControl w:val="0"/>
              <w:autoSpaceDE w:val="0"/>
              <w:autoSpaceDN w:val="0"/>
              <w:adjustRightInd w:val="0"/>
              <w:ind w:right="57"/>
              <w:jc w:val="center"/>
              <w:rPr>
                <w:rFonts w:asciiTheme="minorHAnsi" w:eastAsiaTheme="minorEastAsia" w:hAnsiTheme="minorHAnsi"/>
                <w:color w:val="000000"/>
                <w:sz w:val="20"/>
                <w:szCs w:val="20"/>
              </w:rPr>
            </w:pPr>
            <w:r>
              <w:rPr>
                <w:rFonts w:asciiTheme="minorHAnsi" w:eastAsiaTheme="minorEastAsia" w:hAnsiTheme="minorHAnsi"/>
                <w:color w:val="000000" w:themeColor="text1"/>
                <w:sz w:val="20"/>
                <w:szCs w:val="20"/>
              </w:rPr>
              <w:t>82</w:t>
            </w:r>
          </w:p>
        </w:tc>
        <w:tc>
          <w:tcPr>
            <w:tcW w:w="1142" w:type="dxa"/>
            <w:shd w:val="clear" w:color="auto" w:fill="auto"/>
          </w:tcPr>
          <w:p w14:paraId="4F96EB76" w14:textId="77777777" w:rsidR="00483E3A" w:rsidRPr="00C01542"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Pr>
                <w:rFonts w:asciiTheme="minorHAnsi" w:eastAsiaTheme="minorHAnsi" w:hAnsiTheme="minorHAnsi"/>
                <w:color w:val="000000"/>
                <w:sz w:val="20"/>
                <w:szCs w:val="20"/>
              </w:rPr>
              <w:t>105</w:t>
            </w:r>
          </w:p>
        </w:tc>
      </w:tr>
      <w:tr w:rsidR="00483E3A" w:rsidRPr="00C01542" w14:paraId="3E174C6C" w14:textId="77777777" w:rsidTr="003F4A95">
        <w:trPr>
          <w:jc w:val="center"/>
        </w:trPr>
        <w:tc>
          <w:tcPr>
            <w:tcW w:w="2689" w:type="dxa"/>
            <w:shd w:val="clear" w:color="auto" w:fill="BFBFBF" w:themeFill="background1" w:themeFillShade="BF"/>
          </w:tcPr>
          <w:p w14:paraId="3A9B05DE" w14:textId="2E2A4FD7" w:rsidR="00483E3A" w:rsidRPr="00C01542" w:rsidRDefault="00483E3A" w:rsidP="00840CCD">
            <w:pPr>
              <w:widowControl w:val="0"/>
              <w:autoSpaceDE w:val="0"/>
              <w:autoSpaceDN w:val="0"/>
              <w:adjustRightInd w:val="0"/>
              <w:ind w:right="57"/>
              <w:rPr>
                <w:rFonts w:asciiTheme="minorHAnsi" w:eastAsiaTheme="minorHAnsi" w:hAnsiTheme="minorHAnsi"/>
                <w:b/>
                <w:bCs/>
                <w:sz w:val="20"/>
                <w:szCs w:val="20"/>
              </w:rPr>
            </w:pPr>
            <w:r w:rsidRPr="00C01542">
              <w:rPr>
                <w:rFonts w:asciiTheme="minorHAnsi" w:eastAsiaTheme="minorHAnsi" w:hAnsiTheme="minorHAnsi"/>
                <w:b/>
                <w:bCs/>
                <w:sz w:val="20"/>
                <w:szCs w:val="20"/>
              </w:rPr>
              <w:t>Łącznie w obszarze dorzecza</w:t>
            </w:r>
          </w:p>
        </w:tc>
        <w:tc>
          <w:tcPr>
            <w:tcW w:w="1264" w:type="dxa"/>
            <w:shd w:val="clear" w:color="auto" w:fill="BFBFBF" w:themeFill="background1" w:themeFillShade="BF"/>
            <w:vAlign w:val="center"/>
          </w:tcPr>
          <w:p w14:paraId="683CE90B" w14:textId="77777777" w:rsidR="00483E3A" w:rsidRPr="00C01542" w:rsidRDefault="00483E3A" w:rsidP="00DF1FFC">
            <w:pPr>
              <w:widowControl w:val="0"/>
              <w:autoSpaceDE w:val="0"/>
              <w:autoSpaceDN w:val="0"/>
              <w:adjustRightInd w:val="0"/>
              <w:ind w:right="57"/>
              <w:jc w:val="center"/>
              <w:rPr>
                <w:rFonts w:asciiTheme="minorHAnsi" w:eastAsiaTheme="minorEastAsia" w:hAnsiTheme="minorHAnsi"/>
                <w:b/>
                <w:bCs/>
                <w:sz w:val="20"/>
                <w:szCs w:val="20"/>
              </w:rPr>
            </w:pPr>
            <w:r>
              <w:rPr>
                <w:rFonts w:asciiTheme="minorHAnsi" w:eastAsiaTheme="minorEastAsia" w:hAnsiTheme="minorHAnsi"/>
                <w:b/>
                <w:bCs/>
                <w:sz w:val="20"/>
                <w:szCs w:val="20"/>
              </w:rPr>
              <w:t>82</w:t>
            </w:r>
          </w:p>
        </w:tc>
        <w:tc>
          <w:tcPr>
            <w:tcW w:w="1142" w:type="dxa"/>
            <w:shd w:val="clear" w:color="auto" w:fill="BFBFBF" w:themeFill="background1" w:themeFillShade="BF"/>
            <w:vAlign w:val="center"/>
          </w:tcPr>
          <w:p w14:paraId="03C52B35" w14:textId="77777777" w:rsidR="00483E3A" w:rsidRPr="00C01542" w:rsidRDefault="00483E3A" w:rsidP="00DF1FFC">
            <w:pPr>
              <w:widowControl w:val="0"/>
              <w:autoSpaceDE w:val="0"/>
              <w:autoSpaceDN w:val="0"/>
              <w:adjustRightInd w:val="0"/>
              <w:ind w:right="57"/>
              <w:jc w:val="center"/>
              <w:rPr>
                <w:rFonts w:asciiTheme="minorHAnsi" w:eastAsiaTheme="minorEastAsia" w:hAnsiTheme="minorHAnsi"/>
                <w:b/>
                <w:bCs/>
                <w:sz w:val="20"/>
                <w:szCs w:val="20"/>
              </w:rPr>
            </w:pPr>
            <w:r>
              <w:rPr>
                <w:rFonts w:asciiTheme="minorHAnsi" w:eastAsiaTheme="minorEastAsia" w:hAnsiTheme="minorHAnsi"/>
                <w:b/>
                <w:bCs/>
                <w:sz w:val="20"/>
                <w:szCs w:val="20"/>
              </w:rPr>
              <w:t>105</w:t>
            </w:r>
          </w:p>
        </w:tc>
      </w:tr>
    </w:tbl>
    <w:p w14:paraId="6A86C503" w14:textId="2ED3EEE7" w:rsidR="00483E3A" w:rsidRPr="00F40C65" w:rsidRDefault="00483E3A" w:rsidP="00B50FFD">
      <w:pPr>
        <w:pStyle w:val="rdo0"/>
        <w:rPr>
          <w:lang w:eastAsia="zh-CN"/>
        </w:rPr>
      </w:pPr>
      <w:r w:rsidRPr="00F40C65">
        <w:rPr>
          <w:lang w:eastAsia="zh-CN"/>
        </w:rPr>
        <w:t xml:space="preserve">Źródło: </w:t>
      </w:r>
      <w:r w:rsidR="00315C3D">
        <w:rPr>
          <w:lang w:eastAsia="zh-CN"/>
        </w:rPr>
        <w:t xml:space="preserve">opracowanie </w:t>
      </w:r>
      <w:r w:rsidR="005B3051">
        <w:rPr>
          <w:lang w:eastAsia="zh-CN"/>
        </w:rPr>
        <w:t>własne</w:t>
      </w:r>
    </w:p>
    <w:p w14:paraId="4F40FDC6" w14:textId="30F4A767"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Obszar dorzecza Pregoły charakteryzuje się występowaniem w re</w:t>
      </w:r>
      <w:r w:rsidR="004A6682">
        <w:rPr>
          <w:rFonts w:asciiTheme="minorHAnsi" w:eastAsiaTheme="minorHAnsi" w:hAnsiTheme="minorHAnsi"/>
          <w:color w:val="000000"/>
        </w:rPr>
        <w:t>gi</w:t>
      </w:r>
      <w:r>
        <w:rPr>
          <w:rFonts w:asciiTheme="minorHAnsi" w:eastAsiaTheme="minorHAnsi" w:hAnsiTheme="minorHAnsi"/>
          <w:color w:val="000000"/>
        </w:rPr>
        <w:t xml:space="preserve">onie wodnym Łyny i Węgorapy jcwp RW oraz LW. </w:t>
      </w:r>
    </w:p>
    <w:p w14:paraId="0B546E2C" w14:textId="65B706EA" w:rsidR="00483E3A" w:rsidRDefault="00483E3A" w:rsidP="00B50FFD">
      <w:pPr>
        <w:keepNext/>
        <w:autoSpaceDE w:val="0"/>
        <w:autoSpaceDN w:val="0"/>
        <w:adjustRightInd w:val="0"/>
        <w:ind w:right="57"/>
        <w:rPr>
          <w:noProof/>
        </w:rPr>
      </w:pPr>
      <w:r>
        <w:rPr>
          <w:rFonts w:asciiTheme="minorHAnsi" w:eastAsiaTheme="minorHAnsi" w:hAnsiTheme="minorHAnsi"/>
          <w:color w:val="000000"/>
        </w:rPr>
        <w:t>Udział jcwp danej kategorii w regionie wodnym w ogólnej liczbie jcwp na obszarze dorzecza Pregoły prezentuje poniższy wykres</w:t>
      </w:r>
      <w:r w:rsidR="004735E8">
        <w:rPr>
          <w:rFonts w:asciiTheme="minorHAnsi" w:eastAsiaTheme="minorHAnsi" w:hAnsiTheme="minorHAnsi"/>
          <w:color w:val="000000"/>
        </w:rPr>
        <w:t xml:space="preserve"> 3-3</w:t>
      </w:r>
      <w:r>
        <w:rPr>
          <w:rFonts w:asciiTheme="minorHAnsi" w:eastAsiaTheme="minorHAnsi" w:hAnsiTheme="minorHAnsi"/>
          <w:color w:val="000000"/>
        </w:rPr>
        <w:t>.</w:t>
      </w:r>
    </w:p>
    <w:p w14:paraId="41134E46" w14:textId="77317067" w:rsidR="00483E3A" w:rsidRDefault="004434AB" w:rsidP="004735E8">
      <w:pPr>
        <w:widowControl w:val="0"/>
        <w:autoSpaceDE w:val="0"/>
        <w:autoSpaceDN w:val="0"/>
        <w:adjustRightInd w:val="0"/>
        <w:ind w:right="57"/>
        <w:jc w:val="center"/>
        <w:rPr>
          <w:rFonts w:asciiTheme="minorHAnsi" w:eastAsiaTheme="minorHAnsi" w:hAnsiTheme="minorHAnsi"/>
          <w:color w:val="000000"/>
        </w:rPr>
      </w:pPr>
      <w:r>
        <w:rPr>
          <w:noProof/>
        </w:rPr>
        <w:drawing>
          <wp:inline distT="0" distB="0" distL="0" distR="0" wp14:anchorId="6673CAE7" wp14:editId="0ECBF1C7">
            <wp:extent cx="4615952" cy="2412501"/>
            <wp:effectExtent l="0" t="0" r="13335" b="6985"/>
            <wp:docPr id="224" name="Wykres 224">
              <a:extLst xmlns:a="http://schemas.openxmlformats.org/drawingml/2006/main">
                <a:ext uri="{FF2B5EF4-FFF2-40B4-BE49-F238E27FC236}">
                  <a16:creationId xmlns:a16="http://schemas.microsoft.com/office/drawing/2014/main" id="{8F6BBC3B-7CDA-49E3-A71E-ACCBCCDA5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AEA76D" w14:textId="1630798E" w:rsidR="00483E3A" w:rsidRDefault="00483E3A" w:rsidP="003F4A95">
      <w:pPr>
        <w:pStyle w:val="Wykres"/>
        <w:rPr>
          <w:i/>
        </w:rPr>
      </w:pPr>
      <w:bookmarkStart w:id="29" w:name="_Toc68727081"/>
      <w:r w:rsidRPr="4B45E3C0">
        <w:t xml:space="preserve">Wykres </w:t>
      </w:r>
      <w:fldSimple w:instr=" STYLEREF 1 \s ">
        <w:r w:rsidR="00EF3FD3">
          <w:rPr>
            <w:noProof/>
          </w:rPr>
          <w:t>3</w:t>
        </w:r>
      </w:fldSimple>
      <w:r w:rsidR="00EF3FD3">
        <w:noBreakHyphen/>
      </w:r>
      <w:fldSimple w:instr=" SEQ Wykres \* ARABIC \s 1 ">
        <w:r w:rsidR="00EF3FD3">
          <w:rPr>
            <w:noProof/>
          </w:rPr>
          <w:t>3</w:t>
        </w:r>
      </w:fldSimple>
      <w:r>
        <w:tab/>
      </w:r>
      <w:r w:rsidRPr="00F40C65">
        <w:t>Udział jcwp RW i LW regionu wodnego w ogólnej liczbie jcwp obszaru dorzecza Pregoły</w:t>
      </w:r>
      <w:bookmarkEnd w:id="29"/>
      <w:r w:rsidRPr="4B45E3C0">
        <w:t xml:space="preserve"> </w:t>
      </w:r>
    </w:p>
    <w:p w14:paraId="7359CBD3" w14:textId="6C10EC36" w:rsidR="00483E3A" w:rsidRPr="00F40C65" w:rsidRDefault="00483E3A" w:rsidP="00B50FFD">
      <w:pPr>
        <w:pStyle w:val="rdo0"/>
        <w:rPr>
          <w:lang w:eastAsia="zh-CN"/>
        </w:rPr>
      </w:pPr>
      <w:r w:rsidRPr="00F40C65">
        <w:rPr>
          <w:lang w:eastAsia="zh-CN"/>
        </w:rPr>
        <w:t xml:space="preserve">Źródło: </w:t>
      </w:r>
      <w:r w:rsidR="00315C3D">
        <w:rPr>
          <w:lang w:eastAsia="zh-CN"/>
        </w:rPr>
        <w:t xml:space="preserve">opracowanie </w:t>
      </w:r>
      <w:r w:rsidR="005B3051">
        <w:rPr>
          <w:lang w:eastAsia="zh-CN"/>
        </w:rPr>
        <w:t>własne</w:t>
      </w:r>
    </w:p>
    <w:p w14:paraId="56ED4594" w14:textId="56839D3F" w:rsidR="00483E3A" w:rsidRPr="00A524F2" w:rsidRDefault="00483E3A" w:rsidP="00B50FFD">
      <w:pPr>
        <w:pStyle w:val="Nagwek3"/>
      </w:pPr>
      <w:bookmarkStart w:id="30" w:name="_Toc68726834"/>
      <w:r w:rsidRPr="00A524F2">
        <w:t>Typologia jcwp</w:t>
      </w:r>
      <w:bookmarkEnd w:id="30"/>
    </w:p>
    <w:p w14:paraId="67931634" w14:textId="77777777" w:rsidR="00483E3A" w:rsidRDefault="00483E3A" w:rsidP="00483E3A">
      <w:pPr>
        <w:widowControl w:val="0"/>
        <w:autoSpaceDE w:val="0"/>
        <w:autoSpaceDN w:val="0"/>
        <w:adjustRightInd w:val="0"/>
        <w:spacing w:before="123" w:line="243" w:lineRule="auto"/>
        <w:ind w:right="103"/>
        <w:rPr>
          <w:rFonts w:asciiTheme="minorHAnsi" w:eastAsiaTheme="minorHAnsi" w:hAnsiTheme="minorHAnsi"/>
          <w:color w:val="000000"/>
        </w:rPr>
      </w:pPr>
      <w:r w:rsidRPr="00196916">
        <w:rPr>
          <w:rFonts w:asciiTheme="minorHAnsi" w:eastAsiaTheme="minorHAnsi" w:hAnsiTheme="minorHAnsi"/>
          <w:color w:val="000000"/>
        </w:rPr>
        <w:t>Typologia abiotyczna jednolitych części wód powierzchniowych stanowi system klasyfikacji wód powierzchniowych opracowany zgodnie z załącznikiem II RDW</w:t>
      </w:r>
      <w:r>
        <w:rPr>
          <w:rFonts w:asciiTheme="minorHAnsi" w:eastAsiaTheme="minorHAnsi" w:hAnsiTheme="minorHAnsi"/>
          <w:color w:val="000000"/>
        </w:rPr>
        <w:t xml:space="preserve">, będąc </w:t>
      </w:r>
      <w:r w:rsidRPr="00196916">
        <w:rPr>
          <w:rFonts w:asciiTheme="minorHAnsi" w:eastAsiaTheme="minorHAnsi" w:hAnsiTheme="minorHAnsi"/>
          <w:color w:val="000000"/>
        </w:rPr>
        <w:t xml:space="preserve">podstawowym krokiem na drodze do ustalenia oceny i klasyfikacji stanu ekologicznego wód. </w:t>
      </w:r>
    </w:p>
    <w:p w14:paraId="10C7C81F" w14:textId="7C7B2AD8" w:rsidR="00483E3A" w:rsidRPr="00196916" w:rsidRDefault="00483E3A" w:rsidP="00483E3A">
      <w:pPr>
        <w:widowControl w:val="0"/>
        <w:autoSpaceDE w:val="0"/>
        <w:autoSpaceDN w:val="0"/>
        <w:adjustRightInd w:val="0"/>
        <w:spacing w:before="123" w:line="243" w:lineRule="auto"/>
        <w:ind w:right="103"/>
        <w:rPr>
          <w:rFonts w:asciiTheme="minorHAnsi" w:eastAsiaTheme="minorHAnsi" w:hAnsiTheme="minorHAnsi"/>
          <w:color w:val="000000"/>
        </w:rPr>
      </w:pPr>
      <w:r w:rsidRPr="00196916">
        <w:rPr>
          <w:rFonts w:asciiTheme="minorHAnsi" w:eastAsiaTheme="minorHAnsi" w:hAnsiTheme="minorHAnsi"/>
          <w:color w:val="000000"/>
        </w:rPr>
        <w:t>Ze względu na różnorodność naturalnych warunków środowiskowych, które mają wpływ na występowanie organizmów</w:t>
      </w:r>
      <w:r w:rsidRPr="000955C5">
        <w:rPr>
          <w:rFonts w:asciiTheme="minorHAnsi" w:eastAsiaTheme="minorHAnsi" w:hAnsiTheme="minorHAnsi"/>
          <w:color w:val="000000"/>
        </w:rPr>
        <w:t xml:space="preserve"> wodnych, konieczne jest wydzielenie różnych typów wód, które w</w:t>
      </w:r>
      <w:r w:rsidR="00315C3D">
        <w:rPr>
          <w:rFonts w:asciiTheme="minorHAnsi" w:eastAsiaTheme="minorHAnsi" w:hAnsiTheme="minorHAnsi"/>
          <w:color w:val="000000"/>
        </w:rPr>
        <w:t> </w:t>
      </w:r>
      <w:r w:rsidRPr="000955C5">
        <w:rPr>
          <w:rFonts w:asciiTheme="minorHAnsi" w:eastAsiaTheme="minorHAnsi" w:hAnsiTheme="minorHAnsi"/>
          <w:color w:val="000000"/>
        </w:rPr>
        <w:t>warunkach niezakłóconych działalnością człowieka charakteryzują się odrębnymi cechami biologicznymi i będą stanowić wzorzec do określenia stopnia odchylenia przy ocenie stanu ekologicznego wód. Warunki środowiskowe wynikają z takich czynników jak między innymi: położenie geograficzne, wysokość bezwzględna, geologia i hydromorfologia terenu</w:t>
      </w:r>
      <w:r w:rsidRPr="00196916">
        <w:rPr>
          <w:rFonts w:asciiTheme="minorHAnsi" w:eastAsiaTheme="minorHAnsi" w:hAnsiTheme="minorHAnsi"/>
          <w:color w:val="000000"/>
        </w:rPr>
        <w:t>.</w:t>
      </w:r>
    </w:p>
    <w:p w14:paraId="5B551112" w14:textId="5ECD3078" w:rsidR="00483E3A" w:rsidRDefault="00483E3A" w:rsidP="00483E3A">
      <w:pPr>
        <w:widowControl w:val="0"/>
        <w:autoSpaceDE w:val="0"/>
        <w:autoSpaceDN w:val="0"/>
        <w:adjustRightInd w:val="0"/>
        <w:spacing w:before="122"/>
        <w:ind w:right="99"/>
        <w:rPr>
          <w:rFonts w:asciiTheme="minorHAnsi" w:eastAsiaTheme="minorHAnsi" w:hAnsiTheme="minorHAnsi"/>
          <w:color w:val="000000"/>
        </w:rPr>
      </w:pPr>
      <w:r w:rsidRPr="00196916">
        <w:rPr>
          <w:rFonts w:asciiTheme="minorHAnsi" w:eastAsiaTheme="minorHAnsi" w:hAnsiTheme="minorHAnsi"/>
          <w:color w:val="000000"/>
        </w:rPr>
        <w:t xml:space="preserve">Pierwsza typologia abiotyczna dla jcwp w Polsce została określona w ramach pracy pn. </w:t>
      </w:r>
      <w:r w:rsidRPr="00196916">
        <w:rPr>
          <w:rFonts w:asciiTheme="minorHAnsi" w:eastAsiaTheme="minorHAnsi" w:hAnsiTheme="minorHAnsi"/>
          <w:i/>
          <w:iCs/>
          <w:color w:val="000000"/>
        </w:rPr>
        <w:t>Typologia wód powierzchniowych i wyznaczenie części wód powierzchniowych i podziemnych zgodnie z wymogami Ramowej Dyrektywy Wodnej 2000/60/WE</w:t>
      </w:r>
      <w:r>
        <w:rPr>
          <w:rStyle w:val="Odwoanieprzypisudolnego"/>
          <w:rFonts w:asciiTheme="minorHAnsi" w:eastAsiaTheme="minorHAnsi" w:hAnsiTheme="minorHAnsi"/>
          <w:i/>
          <w:iCs/>
          <w:color w:val="000000"/>
        </w:rPr>
        <w:footnoteReference w:id="5"/>
      </w:r>
      <w:r w:rsidRPr="00196916">
        <w:rPr>
          <w:rFonts w:asciiTheme="minorHAnsi" w:eastAsiaTheme="minorHAnsi" w:hAnsiTheme="minorHAnsi"/>
          <w:color w:val="000000"/>
        </w:rPr>
        <w:t xml:space="preserve">. Zgodnie z tym opracowaniem, w Polsce wyznaczono 26 typów jcwp </w:t>
      </w:r>
      <w:r>
        <w:rPr>
          <w:rFonts w:asciiTheme="minorHAnsi" w:eastAsiaTheme="minorHAnsi" w:hAnsiTheme="minorHAnsi"/>
          <w:color w:val="000000"/>
        </w:rPr>
        <w:t>RW</w:t>
      </w:r>
      <w:r w:rsidRPr="00196916">
        <w:rPr>
          <w:rFonts w:asciiTheme="minorHAnsi" w:eastAsiaTheme="minorHAnsi" w:hAnsiTheme="minorHAnsi"/>
          <w:color w:val="000000"/>
        </w:rPr>
        <w:t xml:space="preserve"> (oraz typ nieokreślony </w:t>
      </w:r>
      <w:r w:rsidR="006C4947">
        <w:rPr>
          <w:rFonts w:asciiTheme="minorHAnsi" w:eastAsiaTheme="minorHAnsi" w:hAnsiTheme="minorHAnsi"/>
          <w:color w:val="000000"/>
        </w:rPr>
        <w:t>-</w:t>
      </w:r>
      <w:r w:rsidRPr="00196916">
        <w:rPr>
          <w:rFonts w:asciiTheme="minorHAnsi" w:eastAsiaTheme="minorHAnsi" w:hAnsiTheme="minorHAnsi"/>
          <w:color w:val="000000"/>
        </w:rPr>
        <w:t xml:space="preserve"> „0”), 13 typów jcwp </w:t>
      </w:r>
      <w:r>
        <w:rPr>
          <w:rFonts w:asciiTheme="minorHAnsi" w:eastAsiaTheme="minorHAnsi" w:hAnsiTheme="minorHAnsi"/>
          <w:color w:val="000000"/>
        </w:rPr>
        <w:t>LW</w:t>
      </w:r>
      <w:r w:rsidRPr="00196916">
        <w:rPr>
          <w:rFonts w:asciiTheme="minorHAnsi" w:eastAsiaTheme="minorHAnsi" w:hAnsiTheme="minorHAnsi"/>
          <w:color w:val="000000"/>
        </w:rPr>
        <w:t xml:space="preserve">, 5 typów jcwp </w:t>
      </w:r>
      <w:r>
        <w:rPr>
          <w:rFonts w:asciiTheme="minorHAnsi" w:eastAsiaTheme="minorHAnsi" w:hAnsiTheme="minorHAnsi"/>
          <w:color w:val="000000"/>
        </w:rPr>
        <w:t xml:space="preserve">TW </w:t>
      </w:r>
      <w:r w:rsidRPr="00196916">
        <w:rPr>
          <w:rFonts w:asciiTheme="minorHAnsi" w:eastAsiaTheme="minorHAnsi" w:hAnsiTheme="minorHAnsi"/>
          <w:color w:val="000000"/>
        </w:rPr>
        <w:t xml:space="preserve">oraz 3 typy jcwp </w:t>
      </w:r>
      <w:r>
        <w:rPr>
          <w:rFonts w:asciiTheme="minorHAnsi" w:eastAsiaTheme="minorHAnsi" w:hAnsiTheme="minorHAnsi"/>
          <w:color w:val="000000"/>
        </w:rPr>
        <w:t>CW</w:t>
      </w:r>
      <w:r w:rsidRPr="00196916">
        <w:rPr>
          <w:rFonts w:asciiTheme="minorHAnsi" w:eastAsiaTheme="minorHAnsi" w:hAnsiTheme="minorHAnsi"/>
          <w:color w:val="000000"/>
        </w:rPr>
        <w:t xml:space="preserve">. Ww. typologia została przyjęta w ramach rozporządzeń w sprawie planów gospodarowania wodami na obszarach dorzeczy w Polsce. </w:t>
      </w:r>
    </w:p>
    <w:p w14:paraId="697CC823" w14:textId="77777777" w:rsidR="00483E3A" w:rsidRPr="00196916" w:rsidRDefault="00483E3A" w:rsidP="00483E3A">
      <w:pPr>
        <w:widowControl w:val="0"/>
        <w:autoSpaceDE w:val="0"/>
        <w:autoSpaceDN w:val="0"/>
        <w:adjustRightInd w:val="0"/>
        <w:spacing w:before="122"/>
        <w:ind w:right="99"/>
        <w:rPr>
          <w:rFonts w:asciiTheme="minorHAnsi" w:eastAsiaTheme="minorEastAsia" w:hAnsiTheme="minorHAnsi"/>
          <w:color w:val="000000"/>
        </w:rPr>
      </w:pPr>
      <w:r w:rsidRPr="4E0B3E6E">
        <w:rPr>
          <w:rFonts w:asciiTheme="minorHAnsi" w:eastAsiaTheme="minorEastAsia" w:hAnsiTheme="minorHAnsi"/>
          <w:color w:val="000000"/>
        </w:rPr>
        <w:t xml:space="preserve">W ramach </w:t>
      </w:r>
      <w:r w:rsidRPr="4E0B3E6E">
        <w:rPr>
          <w:rFonts w:asciiTheme="minorHAnsi" w:eastAsiaTheme="minorEastAsia" w:hAnsiTheme="minorHAnsi"/>
          <w:i/>
          <w:iCs/>
          <w:color w:val="000000"/>
        </w:rPr>
        <w:t>Aktualizacji wykazu JCWP i SCWP dla potrzeb kolejnej aktualizacji planów w latach 2015-2021 wraz z weryfikacją typów wód części wód</w:t>
      </w:r>
      <w:r w:rsidRPr="4E0B3E6E">
        <w:rPr>
          <w:rStyle w:val="Odwoanieprzypisudolnego"/>
          <w:rFonts w:asciiTheme="minorHAnsi" w:eastAsiaTheme="minorEastAsia" w:hAnsiTheme="minorHAnsi"/>
          <w:color w:val="000000"/>
        </w:rPr>
        <w:footnoteReference w:id="6"/>
      </w:r>
      <w:r w:rsidRPr="4E0B3E6E">
        <w:rPr>
          <w:rFonts w:asciiTheme="minorHAnsi" w:eastAsiaTheme="minorEastAsia" w:hAnsiTheme="minorHAnsi"/>
          <w:color w:val="000000"/>
        </w:rPr>
        <w:t xml:space="preserve">, przeprowadzono weryfikację granic jcwp oraz typów wód powierzchniowych. W wyniku realizacji pracy, wydzielono w Polsce 20 typów jcwp </w:t>
      </w:r>
      <w:r>
        <w:rPr>
          <w:rFonts w:asciiTheme="minorHAnsi" w:eastAsiaTheme="minorEastAsia" w:hAnsiTheme="minorHAnsi"/>
          <w:color w:val="000000"/>
        </w:rPr>
        <w:t>RW</w:t>
      </w:r>
      <w:r w:rsidRPr="4E0B3E6E">
        <w:rPr>
          <w:rFonts w:asciiTheme="minorHAnsi" w:eastAsiaTheme="minorEastAsia" w:hAnsiTheme="minorHAnsi"/>
          <w:color w:val="000000"/>
        </w:rPr>
        <w:t xml:space="preserve">, 7 typów jcwp </w:t>
      </w:r>
      <w:r>
        <w:rPr>
          <w:rFonts w:asciiTheme="minorHAnsi" w:eastAsiaTheme="minorEastAsia" w:hAnsiTheme="minorHAnsi"/>
          <w:color w:val="000000"/>
        </w:rPr>
        <w:t>LW</w:t>
      </w:r>
      <w:r w:rsidRPr="4E0B3E6E">
        <w:rPr>
          <w:rFonts w:asciiTheme="minorHAnsi" w:eastAsiaTheme="minorEastAsia" w:hAnsiTheme="minorHAnsi"/>
          <w:color w:val="000000"/>
        </w:rPr>
        <w:t xml:space="preserve">, 2 typy jcwp </w:t>
      </w:r>
      <w:r>
        <w:rPr>
          <w:rFonts w:asciiTheme="minorHAnsi" w:eastAsiaTheme="minorEastAsia" w:hAnsiTheme="minorHAnsi"/>
          <w:color w:val="000000"/>
        </w:rPr>
        <w:t>TW</w:t>
      </w:r>
      <w:r w:rsidRPr="4E0B3E6E">
        <w:rPr>
          <w:rFonts w:asciiTheme="minorHAnsi" w:eastAsiaTheme="minorEastAsia" w:hAnsiTheme="minorHAnsi"/>
          <w:color w:val="000000"/>
        </w:rPr>
        <w:t xml:space="preserve">, 5 typów jcwp </w:t>
      </w:r>
      <w:r>
        <w:rPr>
          <w:rFonts w:asciiTheme="minorHAnsi" w:eastAsiaTheme="minorEastAsia" w:hAnsiTheme="minorHAnsi"/>
          <w:color w:val="000000"/>
        </w:rPr>
        <w:t>CW</w:t>
      </w:r>
      <w:r w:rsidRPr="4E0B3E6E">
        <w:rPr>
          <w:rFonts w:asciiTheme="minorHAnsi" w:eastAsiaTheme="minorEastAsia" w:hAnsiTheme="minorHAnsi"/>
          <w:color w:val="000000"/>
        </w:rPr>
        <w:t xml:space="preserve"> oraz 3 typy jcwp </w:t>
      </w:r>
      <w:r>
        <w:rPr>
          <w:rFonts w:asciiTheme="minorHAnsi" w:eastAsiaTheme="minorEastAsia" w:hAnsiTheme="minorHAnsi"/>
          <w:color w:val="000000"/>
        </w:rPr>
        <w:t>RWr</w:t>
      </w:r>
      <w:r w:rsidRPr="4E0B3E6E">
        <w:rPr>
          <w:rFonts w:asciiTheme="minorHAnsi" w:eastAsiaTheme="minorEastAsia" w:hAnsiTheme="minorHAnsi"/>
          <w:color w:val="000000"/>
        </w:rPr>
        <w:t>. Aktualna typologia jcw stanowi Załącznik nr 6 r.kl.jcwp.</w:t>
      </w:r>
      <w:r>
        <w:rPr>
          <w:rStyle w:val="Odwoanieprzypisudolnego"/>
          <w:rFonts w:asciiTheme="minorHAnsi" w:eastAsiaTheme="minorEastAsia" w:hAnsiTheme="minorHAnsi"/>
          <w:color w:val="000000"/>
        </w:rPr>
        <w:footnoteReference w:id="7"/>
      </w:r>
    </w:p>
    <w:p w14:paraId="7316D66E" w14:textId="0DA9E632" w:rsidR="00483E3A" w:rsidRPr="000955C5" w:rsidRDefault="00483E3A" w:rsidP="00483E3A">
      <w:pPr>
        <w:widowControl w:val="0"/>
        <w:autoSpaceDE w:val="0"/>
        <w:autoSpaceDN w:val="0"/>
        <w:adjustRightInd w:val="0"/>
        <w:ind w:right="55"/>
        <w:rPr>
          <w:rFonts w:asciiTheme="minorHAnsi" w:eastAsiaTheme="minorEastAsia" w:hAnsiTheme="minorHAnsi"/>
          <w:color w:val="000000"/>
        </w:rPr>
      </w:pPr>
      <w:r w:rsidRPr="1F796E96">
        <w:rPr>
          <w:rFonts w:asciiTheme="minorHAnsi" w:eastAsiaTheme="minorEastAsia" w:hAnsiTheme="minorHAnsi"/>
          <w:color w:val="000000" w:themeColor="text1"/>
        </w:rPr>
        <w:t xml:space="preserve">Typy dla jcwp na obszarze dorzecza </w:t>
      </w:r>
      <w:r>
        <w:rPr>
          <w:rFonts w:asciiTheme="minorHAnsi" w:eastAsiaTheme="minorEastAsia" w:hAnsiTheme="minorHAnsi"/>
          <w:color w:val="000000" w:themeColor="text1"/>
        </w:rPr>
        <w:t>Pregoły</w:t>
      </w:r>
      <w:r w:rsidRPr="1F796E96">
        <w:rPr>
          <w:rFonts w:asciiTheme="minorHAnsi" w:eastAsiaTheme="minorEastAsia" w:hAnsiTheme="minorHAnsi"/>
          <w:color w:val="000000" w:themeColor="text1"/>
        </w:rPr>
        <w:t xml:space="preserve"> przedstawiono w poniższych tabelach </w:t>
      </w:r>
      <w:r w:rsidR="00BF6B8D">
        <w:rPr>
          <w:rFonts w:asciiTheme="minorHAnsi" w:eastAsiaTheme="minorEastAsia" w:hAnsiTheme="minorHAnsi"/>
          <w:color w:val="000000" w:themeColor="text1"/>
        </w:rPr>
        <w:t xml:space="preserve">3-3 i 3-4 </w:t>
      </w:r>
      <w:r w:rsidRPr="1F796E96">
        <w:rPr>
          <w:rFonts w:asciiTheme="minorHAnsi" w:eastAsiaTheme="minorEastAsia" w:hAnsiTheme="minorHAnsi"/>
          <w:color w:val="000000" w:themeColor="text1"/>
        </w:rPr>
        <w:t>wraz</w:t>
      </w:r>
      <w:r w:rsidR="00B8416D">
        <w:rPr>
          <w:rFonts w:asciiTheme="minorHAnsi" w:eastAsiaTheme="minorEastAsia" w:hAnsiTheme="minorHAnsi"/>
          <w:color w:val="000000" w:themeColor="text1"/>
        </w:rPr>
        <w:br/>
      </w:r>
      <w:r w:rsidRPr="1F796E96">
        <w:rPr>
          <w:rFonts w:asciiTheme="minorHAnsi" w:eastAsiaTheme="minorEastAsia" w:hAnsiTheme="minorHAnsi"/>
          <w:color w:val="000000" w:themeColor="text1"/>
        </w:rPr>
        <w:t xml:space="preserve">z procentowym udziałem poszczególnych typów jcwp w ogólnej liczbie jcwp danej kategorii, zaprezentowanym na wykresach </w:t>
      </w:r>
      <w:r w:rsidR="009A4B36">
        <w:rPr>
          <w:rFonts w:asciiTheme="minorHAnsi" w:eastAsiaTheme="minorEastAsia" w:hAnsiTheme="minorHAnsi"/>
          <w:color w:val="000000" w:themeColor="text1"/>
        </w:rPr>
        <w:t xml:space="preserve">3-4 i 3-5 </w:t>
      </w:r>
      <w:r w:rsidRPr="0017799E">
        <w:rPr>
          <w:rFonts w:asciiTheme="minorHAnsi" w:eastAsiaTheme="minorEastAsia" w:hAnsiTheme="minorHAnsi"/>
          <w:color w:val="000000" w:themeColor="text1"/>
        </w:rPr>
        <w:t>poniżej tabel. Ekoregiony na obszarze dorzecza Pregoły wraz</w:t>
      </w:r>
      <w:r w:rsidR="00B8416D" w:rsidRPr="0017799E">
        <w:rPr>
          <w:rFonts w:asciiTheme="minorHAnsi" w:eastAsiaTheme="minorEastAsia" w:hAnsiTheme="minorHAnsi"/>
          <w:color w:val="000000" w:themeColor="text1"/>
        </w:rPr>
        <w:br/>
      </w:r>
      <w:r w:rsidRPr="0017799E">
        <w:rPr>
          <w:rFonts w:asciiTheme="minorHAnsi" w:eastAsiaTheme="minorEastAsia" w:hAnsiTheme="minorHAnsi"/>
          <w:color w:val="000000" w:themeColor="text1"/>
        </w:rPr>
        <w:t>z typami poszczególnych kategorii jcw przedstawi</w:t>
      </w:r>
      <w:r w:rsidR="00553125" w:rsidRPr="0017799E">
        <w:rPr>
          <w:rFonts w:asciiTheme="minorHAnsi" w:eastAsiaTheme="minorEastAsia" w:hAnsiTheme="minorHAnsi"/>
          <w:color w:val="000000" w:themeColor="text1"/>
        </w:rPr>
        <w:t>o</w:t>
      </w:r>
      <w:r w:rsidRPr="0017799E">
        <w:rPr>
          <w:rFonts w:asciiTheme="minorHAnsi" w:eastAsiaTheme="minorEastAsia" w:hAnsiTheme="minorHAnsi"/>
          <w:color w:val="000000" w:themeColor="text1"/>
        </w:rPr>
        <w:t xml:space="preserve">no na załączniku graficznym </w:t>
      </w:r>
      <w:r w:rsidR="00315C3D">
        <w:rPr>
          <w:rFonts w:asciiTheme="minorHAnsi" w:eastAsiaTheme="minorEastAsia" w:hAnsiTheme="minorHAnsi"/>
          <w:color w:val="000000" w:themeColor="text1"/>
        </w:rPr>
        <w:t xml:space="preserve">nr </w:t>
      </w:r>
      <w:r w:rsidRPr="0017799E">
        <w:rPr>
          <w:rFonts w:asciiTheme="minorHAnsi" w:eastAsiaTheme="minorEastAsia" w:hAnsiTheme="minorHAnsi"/>
          <w:color w:val="000000" w:themeColor="text1"/>
        </w:rPr>
        <w:t>2.</w:t>
      </w:r>
      <w:r w:rsidR="00932E9E">
        <w:rPr>
          <w:rFonts w:asciiTheme="minorHAnsi" w:eastAsiaTheme="minorEastAsia" w:hAnsiTheme="minorHAnsi"/>
          <w:color w:val="000000" w:themeColor="text1"/>
        </w:rPr>
        <w:t>1 i 2.2</w:t>
      </w:r>
      <w:r w:rsidRPr="0017799E">
        <w:rPr>
          <w:rFonts w:asciiTheme="minorHAnsi" w:eastAsiaTheme="minorEastAsia" w:hAnsiTheme="minorHAnsi"/>
          <w:color w:val="000000" w:themeColor="text1"/>
        </w:rPr>
        <w:t>.</w:t>
      </w:r>
    </w:p>
    <w:p w14:paraId="3410EFF8" w14:textId="661DD9AC" w:rsidR="004A1B76" w:rsidRDefault="004A1B76" w:rsidP="006802BB">
      <w:pPr>
        <w:pStyle w:val="Legenda"/>
      </w:pPr>
      <w:bookmarkStart w:id="31" w:name="_Toc68726948"/>
      <w:r>
        <w:t xml:space="preserve">Tabela </w:t>
      </w:r>
      <w:fldSimple w:instr=" STYLEREF 1 \s ">
        <w:r w:rsidR="007B4050">
          <w:rPr>
            <w:noProof/>
          </w:rPr>
          <w:t>3</w:t>
        </w:r>
      </w:fldSimple>
      <w:r w:rsidR="007B4050">
        <w:noBreakHyphen/>
      </w:r>
      <w:fldSimple w:instr=" SEQ Tabela \* ARABIC \s 1 ">
        <w:r w:rsidR="007B4050">
          <w:rPr>
            <w:noProof/>
          </w:rPr>
          <w:t>3</w:t>
        </w:r>
      </w:fldSimple>
      <w:r>
        <w:tab/>
      </w:r>
      <w:r w:rsidRPr="004434AB">
        <w:t>Typy jcwp RW na obszarze dorzecza Pregoły</w:t>
      </w:r>
      <w:bookmarkEnd w:id="31"/>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6040"/>
        <w:gridCol w:w="1380"/>
      </w:tblGrid>
      <w:tr w:rsidR="00483E3A" w:rsidRPr="00D40F66" w14:paraId="0834F1D4" w14:textId="77777777" w:rsidTr="00840CCD">
        <w:trPr>
          <w:trHeight w:val="576"/>
        </w:trPr>
        <w:tc>
          <w:tcPr>
            <w:tcW w:w="1720" w:type="dxa"/>
            <w:shd w:val="clear" w:color="auto" w:fill="BFBFBF" w:themeFill="background1" w:themeFillShade="BF"/>
            <w:noWrap/>
            <w:vAlign w:val="center"/>
            <w:hideMark/>
          </w:tcPr>
          <w:p w14:paraId="7C292952" w14:textId="77777777" w:rsidR="00483E3A" w:rsidRPr="00D40F66" w:rsidRDefault="00483E3A" w:rsidP="00163164">
            <w:pPr>
              <w:jc w:val="center"/>
              <w:rPr>
                <w:rFonts w:asciiTheme="minorHAnsi" w:hAnsiTheme="minorHAnsi"/>
                <w:b/>
                <w:bCs/>
                <w:sz w:val="20"/>
                <w:szCs w:val="20"/>
              </w:rPr>
            </w:pPr>
            <w:r w:rsidRPr="00D40F66">
              <w:rPr>
                <w:rFonts w:asciiTheme="minorHAnsi" w:hAnsiTheme="minorHAnsi"/>
                <w:b/>
                <w:bCs/>
                <w:sz w:val="20"/>
                <w:szCs w:val="20"/>
              </w:rPr>
              <w:t>Kod typu jcwp RW</w:t>
            </w:r>
          </w:p>
        </w:tc>
        <w:tc>
          <w:tcPr>
            <w:tcW w:w="6040" w:type="dxa"/>
            <w:shd w:val="clear" w:color="auto" w:fill="BFBFBF" w:themeFill="background1" w:themeFillShade="BF"/>
            <w:vAlign w:val="center"/>
            <w:hideMark/>
          </w:tcPr>
          <w:p w14:paraId="52232028" w14:textId="77777777" w:rsidR="00483E3A" w:rsidRPr="00D40F66" w:rsidRDefault="00483E3A" w:rsidP="00163164">
            <w:pPr>
              <w:jc w:val="center"/>
              <w:rPr>
                <w:rFonts w:asciiTheme="minorHAnsi" w:hAnsiTheme="minorHAnsi"/>
                <w:b/>
                <w:bCs/>
                <w:sz w:val="20"/>
                <w:szCs w:val="20"/>
              </w:rPr>
            </w:pPr>
            <w:r w:rsidRPr="00D40F66">
              <w:rPr>
                <w:rFonts w:asciiTheme="minorHAnsi" w:hAnsiTheme="minorHAnsi"/>
                <w:b/>
                <w:bCs/>
                <w:sz w:val="20"/>
                <w:szCs w:val="20"/>
              </w:rPr>
              <w:t>Nazwa typu</w:t>
            </w:r>
          </w:p>
        </w:tc>
        <w:tc>
          <w:tcPr>
            <w:tcW w:w="1380" w:type="dxa"/>
            <w:shd w:val="clear" w:color="auto" w:fill="BFBFBF" w:themeFill="background1" w:themeFillShade="BF"/>
            <w:vAlign w:val="center"/>
            <w:hideMark/>
          </w:tcPr>
          <w:p w14:paraId="289571A1" w14:textId="77777777" w:rsidR="00483E3A" w:rsidRPr="00A26F45" w:rsidRDefault="00483E3A" w:rsidP="00163164">
            <w:pPr>
              <w:jc w:val="center"/>
              <w:rPr>
                <w:rFonts w:asciiTheme="minorHAnsi" w:hAnsiTheme="minorHAnsi"/>
                <w:b/>
                <w:bCs/>
                <w:sz w:val="20"/>
                <w:szCs w:val="20"/>
              </w:rPr>
            </w:pPr>
            <w:r w:rsidRPr="00A26F45">
              <w:rPr>
                <w:rFonts w:asciiTheme="minorHAnsi" w:hAnsiTheme="minorHAnsi"/>
                <w:b/>
                <w:bCs/>
                <w:sz w:val="20"/>
                <w:szCs w:val="20"/>
              </w:rPr>
              <w:t>Liczba jcwp danego typu</w:t>
            </w:r>
          </w:p>
        </w:tc>
      </w:tr>
      <w:tr w:rsidR="00483E3A" w:rsidRPr="00D40F66" w14:paraId="2FC6631E" w14:textId="77777777" w:rsidTr="00840CCD">
        <w:trPr>
          <w:trHeight w:val="288"/>
        </w:trPr>
        <w:tc>
          <w:tcPr>
            <w:tcW w:w="1720" w:type="dxa"/>
            <w:shd w:val="clear" w:color="auto" w:fill="BFBFBF" w:themeFill="background1" w:themeFillShade="BF"/>
            <w:noWrap/>
            <w:vAlign w:val="bottom"/>
            <w:hideMark/>
          </w:tcPr>
          <w:p w14:paraId="722DF84D" w14:textId="77777777" w:rsidR="00483E3A" w:rsidRPr="00D40F66" w:rsidRDefault="00483E3A" w:rsidP="00840CCD">
            <w:pPr>
              <w:rPr>
                <w:rFonts w:asciiTheme="minorHAnsi" w:hAnsiTheme="minorHAnsi"/>
                <w:b/>
                <w:bCs/>
                <w:color w:val="000000"/>
                <w:sz w:val="20"/>
                <w:szCs w:val="20"/>
              </w:rPr>
            </w:pPr>
            <w:r w:rsidRPr="00D40F66">
              <w:rPr>
                <w:rFonts w:asciiTheme="minorHAnsi" w:hAnsiTheme="minorHAnsi"/>
                <w:b/>
                <w:bCs/>
                <w:color w:val="000000"/>
                <w:sz w:val="20"/>
                <w:szCs w:val="20"/>
              </w:rPr>
              <w:t>PN</w:t>
            </w:r>
          </w:p>
        </w:tc>
        <w:tc>
          <w:tcPr>
            <w:tcW w:w="6040" w:type="dxa"/>
            <w:shd w:val="clear" w:color="auto" w:fill="auto"/>
            <w:vAlign w:val="bottom"/>
            <w:hideMark/>
          </w:tcPr>
          <w:p w14:paraId="689B9B34" w14:textId="77777777" w:rsidR="00483E3A" w:rsidRPr="00D40F66" w:rsidRDefault="00483E3A" w:rsidP="00840CCD">
            <w:pPr>
              <w:rPr>
                <w:rFonts w:asciiTheme="minorHAnsi" w:hAnsiTheme="minorHAnsi"/>
                <w:color w:val="000000"/>
                <w:sz w:val="20"/>
                <w:szCs w:val="20"/>
              </w:rPr>
            </w:pPr>
            <w:r w:rsidRPr="00D40F66">
              <w:rPr>
                <w:rFonts w:asciiTheme="minorHAnsi" w:hAnsiTheme="minorHAnsi"/>
                <w:color w:val="000000"/>
                <w:sz w:val="20"/>
                <w:szCs w:val="20"/>
              </w:rPr>
              <w:t>Potok lub strumień nizinny</w:t>
            </w:r>
          </w:p>
        </w:tc>
        <w:tc>
          <w:tcPr>
            <w:tcW w:w="1380" w:type="dxa"/>
            <w:shd w:val="clear" w:color="auto" w:fill="auto"/>
            <w:noWrap/>
            <w:vAlign w:val="bottom"/>
          </w:tcPr>
          <w:p w14:paraId="349E1633" w14:textId="77777777" w:rsidR="00483E3A" w:rsidRPr="00A26F45" w:rsidRDefault="00483E3A" w:rsidP="00840CCD">
            <w:pPr>
              <w:jc w:val="center"/>
              <w:rPr>
                <w:rFonts w:asciiTheme="minorHAnsi" w:hAnsiTheme="minorHAnsi"/>
                <w:color w:val="000000"/>
                <w:sz w:val="20"/>
                <w:szCs w:val="20"/>
              </w:rPr>
            </w:pPr>
            <w:r>
              <w:rPr>
                <w:rFonts w:asciiTheme="minorHAnsi" w:hAnsiTheme="minorHAnsi"/>
                <w:color w:val="000000"/>
                <w:sz w:val="20"/>
                <w:szCs w:val="20"/>
              </w:rPr>
              <w:t>38</w:t>
            </w:r>
          </w:p>
        </w:tc>
      </w:tr>
      <w:tr w:rsidR="00483E3A" w:rsidRPr="00D40F66" w14:paraId="4E6E2617" w14:textId="77777777" w:rsidTr="00840CCD">
        <w:trPr>
          <w:trHeight w:val="288"/>
        </w:trPr>
        <w:tc>
          <w:tcPr>
            <w:tcW w:w="1720" w:type="dxa"/>
            <w:shd w:val="clear" w:color="auto" w:fill="BFBFBF" w:themeFill="background1" w:themeFillShade="BF"/>
            <w:noWrap/>
            <w:vAlign w:val="bottom"/>
            <w:hideMark/>
          </w:tcPr>
          <w:p w14:paraId="68D53F67" w14:textId="77777777" w:rsidR="00483E3A" w:rsidRPr="00D40F66" w:rsidRDefault="00483E3A" w:rsidP="00840CCD">
            <w:pPr>
              <w:rPr>
                <w:rFonts w:asciiTheme="minorHAnsi" w:hAnsiTheme="minorHAnsi"/>
                <w:b/>
                <w:bCs/>
                <w:color w:val="000000"/>
                <w:sz w:val="20"/>
                <w:szCs w:val="20"/>
              </w:rPr>
            </w:pPr>
            <w:r w:rsidRPr="00D40F66">
              <w:rPr>
                <w:rFonts w:asciiTheme="minorHAnsi" w:hAnsiTheme="minorHAnsi"/>
                <w:b/>
                <w:bCs/>
                <w:color w:val="000000"/>
                <w:sz w:val="20"/>
                <w:szCs w:val="20"/>
              </w:rPr>
              <w:t>PNp</w:t>
            </w:r>
          </w:p>
        </w:tc>
        <w:tc>
          <w:tcPr>
            <w:tcW w:w="6040" w:type="dxa"/>
            <w:shd w:val="clear" w:color="auto" w:fill="auto"/>
            <w:vAlign w:val="bottom"/>
            <w:hideMark/>
          </w:tcPr>
          <w:p w14:paraId="57EE3386" w14:textId="77777777" w:rsidR="00483E3A" w:rsidRPr="00D40F66" w:rsidRDefault="00483E3A" w:rsidP="00840CCD">
            <w:pPr>
              <w:rPr>
                <w:rFonts w:asciiTheme="minorHAnsi" w:hAnsiTheme="minorHAnsi"/>
                <w:color w:val="000000"/>
                <w:sz w:val="20"/>
                <w:szCs w:val="20"/>
              </w:rPr>
            </w:pPr>
            <w:r w:rsidRPr="00D40F66">
              <w:rPr>
                <w:rFonts w:asciiTheme="minorHAnsi" w:hAnsiTheme="minorHAnsi"/>
                <w:color w:val="000000"/>
                <w:sz w:val="20"/>
                <w:szCs w:val="20"/>
              </w:rPr>
              <w:t xml:space="preserve">Potok lub strumień nizinny piaszczysty </w:t>
            </w:r>
          </w:p>
        </w:tc>
        <w:tc>
          <w:tcPr>
            <w:tcW w:w="1380" w:type="dxa"/>
            <w:shd w:val="clear" w:color="auto" w:fill="auto"/>
            <w:noWrap/>
            <w:vAlign w:val="bottom"/>
          </w:tcPr>
          <w:p w14:paraId="683B851A" w14:textId="77777777" w:rsidR="00483E3A" w:rsidRPr="00A26F45" w:rsidRDefault="00483E3A" w:rsidP="00840CCD">
            <w:pPr>
              <w:jc w:val="center"/>
              <w:rPr>
                <w:rFonts w:asciiTheme="minorHAnsi" w:hAnsiTheme="minorHAnsi"/>
                <w:color w:val="000000"/>
                <w:sz w:val="20"/>
                <w:szCs w:val="20"/>
              </w:rPr>
            </w:pPr>
            <w:r>
              <w:rPr>
                <w:rFonts w:asciiTheme="minorHAnsi" w:hAnsiTheme="minorHAnsi"/>
                <w:color w:val="000000"/>
                <w:sz w:val="20"/>
                <w:szCs w:val="20"/>
              </w:rPr>
              <w:t>22</w:t>
            </w:r>
          </w:p>
        </w:tc>
      </w:tr>
      <w:tr w:rsidR="00483E3A" w:rsidRPr="00D40F66" w14:paraId="7F31C9AB" w14:textId="77777777" w:rsidTr="00840CCD">
        <w:trPr>
          <w:trHeight w:val="288"/>
        </w:trPr>
        <w:tc>
          <w:tcPr>
            <w:tcW w:w="1720" w:type="dxa"/>
            <w:shd w:val="clear" w:color="auto" w:fill="BFBFBF" w:themeFill="background1" w:themeFillShade="BF"/>
            <w:noWrap/>
            <w:vAlign w:val="bottom"/>
            <w:hideMark/>
          </w:tcPr>
          <w:p w14:paraId="72B80C8E" w14:textId="77777777" w:rsidR="00483E3A" w:rsidRPr="00D40F66" w:rsidRDefault="00483E3A" w:rsidP="00840CCD">
            <w:pPr>
              <w:rPr>
                <w:rFonts w:asciiTheme="minorHAnsi" w:hAnsiTheme="minorHAnsi"/>
                <w:b/>
                <w:bCs/>
                <w:color w:val="000000"/>
                <w:sz w:val="20"/>
                <w:szCs w:val="20"/>
              </w:rPr>
            </w:pPr>
            <w:r w:rsidRPr="00D40F66">
              <w:rPr>
                <w:rFonts w:asciiTheme="minorHAnsi" w:hAnsiTheme="minorHAnsi"/>
                <w:b/>
                <w:bCs/>
                <w:color w:val="000000"/>
                <w:sz w:val="20"/>
                <w:szCs w:val="20"/>
              </w:rPr>
              <w:t>RzN</w:t>
            </w:r>
          </w:p>
        </w:tc>
        <w:tc>
          <w:tcPr>
            <w:tcW w:w="6040" w:type="dxa"/>
            <w:shd w:val="clear" w:color="auto" w:fill="auto"/>
            <w:vAlign w:val="bottom"/>
            <w:hideMark/>
          </w:tcPr>
          <w:p w14:paraId="19C69960" w14:textId="77777777" w:rsidR="00483E3A" w:rsidRPr="00D40F66" w:rsidRDefault="00483E3A" w:rsidP="00840CCD">
            <w:pPr>
              <w:rPr>
                <w:rFonts w:asciiTheme="minorHAnsi" w:hAnsiTheme="minorHAnsi"/>
                <w:color w:val="000000"/>
                <w:sz w:val="20"/>
                <w:szCs w:val="20"/>
              </w:rPr>
            </w:pPr>
            <w:r w:rsidRPr="00D40F66">
              <w:rPr>
                <w:rFonts w:asciiTheme="minorHAnsi" w:hAnsiTheme="minorHAnsi"/>
                <w:color w:val="000000"/>
                <w:sz w:val="20"/>
                <w:szCs w:val="20"/>
              </w:rPr>
              <w:t>Rzeka nizinna</w:t>
            </w:r>
          </w:p>
        </w:tc>
        <w:tc>
          <w:tcPr>
            <w:tcW w:w="1380" w:type="dxa"/>
            <w:shd w:val="clear" w:color="auto" w:fill="auto"/>
            <w:noWrap/>
            <w:vAlign w:val="bottom"/>
          </w:tcPr>
          <w:p w14:paraId="72F6C007" w14:textId="77777777" w:rsidR="00483E3A" w:rsidRPr="00A26F45" w:rsidRDefault="00483E3A" w:rsidP="00840CCD">
            <w:pPr>
              <w:jc w:val="center"/>
              <w:rPr>
                <w:rFonts w:asciiTheme="minorHAnsi" w:hAnsiTheme="minorHAnsi"/>
                <w:color w:val="000000"/>
                <w:sz w:val="20"/>
                <w:szCs w:val="20"/>
              </w:rPr>
            </w:pPr>
            <w:r>
              <w:rPr>
                <w:rFonts w:asciiTheme="minorHAnsi" w:hAnsiTheme="minorHAnsi"/>
                <w:color w:val="000000"/>
                <w:sz w:val="20"/>
                <w:szCs w:val="20"/>
              </w:rPr>
              <w:t>14</w:t>
            </w:r>
          </w:p>
        </w:tc>
      </w:tr>
      <w:tr w:rsidR="00483E3A" w:rsidRPr="00D40F66" w14:paraId="45D9DBCC" w14:textId="77777777" w:rsidTr="00840CCD">
        <w:trPr>
          <w:trHeight w:val="288"/>
        </w:trPr>
        <w:tc>
          <w:tcPr>
            <w:tcW w:w="1720" w:type="dxa"/>
            <w:shd w:val="clear" w:color="auto" w:fill="BFBFBF" w:themeFill="background1" w:themeFillShade="BF"/>
            <w:noWrap/>
            <w:vAlign w:val="bottom"/>
            <w:hideMark/>
          </w:tcPr>
          <w:p w14:paraId="3412B283" w14:textId="77777777" w:rsidR="00483E3A" w:rsidRPr="00D40F66" w:rsidRDefault="00483E3A" w:rsidP="00840CCD">
            <w:pPr>
              <w:rPr>
                <w:rFonts w:asciiTheme="minorHAnsi" w:hAnsiTheme="minorHAnsi"/>
                <w:b/>
                <w:bCs/>
                <w:color w:val="000000"/>
                <w:sz w:val="20"/>
                <w:szCs w:val="20"/>
              </w:rPr>
            </w:pPr>
            <w:r w:rsidRPr="00D40F66">
              <w:rPr>
                <w:rFonts w:asciiTheme="minorHAnsi" w:hAnsiTheme="minorHAnsi"/>
                <w:b/>
                <w:bCs/>
                <w:color w:val="000000"/>
                <w:sz w:val="20"/>
                <w:szCs w:val="20"/>
              </w:rPr>
              <w:t>Rz_org</w:t>
            </w:r>
          </w:p>
        </w:tc>
        <w:tc>
          <w:tcPr>
            <w:tcW w:w="6040" w:type="dxa"/>
            <w:shd w:val="clear" w:color="auto" w:fill="auto"/>
            <w:vAlign w:val="bottom"/>
            <w:hideMark/>
          </w:tcPr>
          <w:p w14:paraId="4C571C23" w14:textId="77777777" w:rsidR="00483E3A" w:rsidRPr="00D40F66" w:rsidRDefault="00483E3A" w:rsidP="00840CCD">
            <w:pPr>
              <w:rPr>
                <w:rFonts w:asciiTheme="minorHAnsi" w:hAnsiTheme="minorHAnsi"/>
                <w:color w:val="000000"/>
                <w:sz w:val="20"/>
                <w:szCs w:val="20"/>
              </w:rPr>
            </w:pPr>
            <w:r w:rsidRPr="00D40F66">
              <w:rPr>
                <w:rFonts w:asciiTheme="minorHAnsi" w:hAnsiTheme="minorHAnsi"/>
                <w:color w:val="000000"/>
                <w:sz w:val="20"/>
                <w:szCs w:val="20"/>
              </w:rPr>
              <w:t>Rzeka w dolinie o dużym udziale torfowisk</w:t>
            </w:r>
          </w:p>
        </w:tc>
        <w:tc>
          <w:tcPr>
            <w:tcW w:w="1380" w:type="dxa"/>
            <w:shd w:val="clear" w:color="auto" w:fill="auto"/>
            <w:noWrap/>
            <w:vAlign w:val="bottom"/>
          </w:tcPr>
          <w:p w14:paraId="44DF4EAB" w14:textId="77777777" w:rsidR="00483E3A" w:rsidRPr="00A26F45" w:rsidRDefault="00483E3A" w:rsidP="00840CCD">
            <w:pPr>
              <w:jc w:val="center"/>
              <w:rPr>
                <w:rFonts w:asciiTheme="minorHAnsi" w:hAnsiTheme="minorHAnsi"/>
                <w:color w:val="000000"/>
                <w:sz w:val="20"/>
                <w:szCs w:val="20"/>
              </w:rPr>
            </w:pPr>
            <w:r>
              <w:rPr>
                <w:rFonts w:asciiTheme="minorHAnsi" w:hAnsiTheme="minorHAnsi"/>
                <w:color w:val="000000"/>
                <w:sz w:val="20"/>
                <w:szCs w:val="20"/>
              </w:rPr>
              <w:t>2</w:t>
            </w:r>
          </w:p>
        </w:tc>
      </w:tr>
      <w:tr w:rsidR="00483E3A" w:rsidRPr="00D40F66" w14:paraId="6AD7FCD6" w14:textId="77777777" w:rsidTr="00840CCD">
        <w:trPr>
          <w:trHeight w:val="288"/>
        </w:trPr>
        <w:tc>
          <w:tcPr>
            <w:tcW w:w="1720" w:type="dxa"/>
            <w:shd w:val="clear" w:color="auto" w:fill="BFBFBF" w:themeFill="background1" w:themeFillShade="BF"/>
            <w:noWrap/>
            <w:vAlign w:val="bottom"/>
            <w:hideMark/>
          </w:tcPr>
          <w:p w14:paraId="51D20D9B" w14:textId="77777777" w:rsidR="00483E3A" w:rsidRPr="00D40F66" w:rsidRDefault="00483E3A" w:rsidP="00840CCD">
            <w:pPr>
              <w:rPr>
                <w:rFonts w:asciiTheme="minorHAnsi" w:hAnsiTheme="minorHAnsi"/>
                <w:b/>
                <w:bCs/>
                <w:color w:val="000000"/>
                <w:sz w:val="20"/>
                <w:szCs w:val="20"/>
              </w:rPr>
            </w:pPr>
            <w:r w:rsidRPr="00D40F66">
              <w:rPr>
                <w:rFonts w:asciiTheme="minorHAnsi" w:hAnsiTheme="minorHAnsi"/>
                <w:b/>
                <w:bCs/>
                <w:color w:val="000000"/>
                <w:sz w:val="20"/>
                <w:szCs w:val="20"/>
              </w:rPr>
              <w:t>R_poj</w:t>
            </w:r>
          </w:p>
        </w:tc>
        <w:tc>
          <w:tcPr>
            <w:tcW w:w="6040" w:type="dxa"/>
            <w:shd w:val="clear" w:color="auto" w:fill="auto"/>
            <w:vAlign w:val="bottom"/>
            <w:hideMark/>
          </w:tcPr>
          <w:p w14:paraId="0260CDC0" w14:textId="77777777" w:rsidR="00483E3A" w:rsidRPr="00D40F66" w:rsidRDefault="00483E3A" w:rsidP="00840CCD">
            <w:pPr>
              <w:rPr>
                <w:rFonts w:asciiTheme="minorHAnsi" w:hAnsiTheme="minorHAnsi"/>
                <w:color w:val="000000"/>
                <w:sz w:val="20"/>
                <w:szCs w:val="20"/>
              </w:rPr>
            </w:pPr>
            <w:r w:rsidRPr="00D40F66">
              <w:rPr>
                <w:rFonts w:asciiTheme="minorHAnsi" w:hAnsiTheme="minorHAnsi"/>
                <w:color w:val="000000"/>
                <w:sz w:val="20"/>
                <w:szCs w:val="20"/>
              </w:rPr>
              <w:t>Rzeka w systemie rzeczno-jeziorowym Pojezierzy</w:t>
            </w:r>
          </w:p>
        </w:tc>
        <w:tc>
          <w:tcPr>
            <w:tcW w:w="1380" w:type="dxa"/>
            <w:shd w:val="clear" w:color="auto" w:fill="auto"/>
            <w:noWrap/>
            <w:vAlign w:val="bottom"/>
          </w:tcPr>
          <w:p w14:paraId="56C1FB71" w14:textId="77777777" w:rsidR="00483E3A" w:rsidRPr="00A26F45" w:rsidRDefault="00483E3A" w:rsidP="00840CCD">
            <w:pPr>
              <w:jc w:val="center"/>
              <w:rPr>
                <w:rFonts w:asciiTheme="minorHAnsi" w:hAnsiTheme="minorHAnsi"/>
                <w:color w:val="000000"/>
                <w:sz w:val="20"/>
                <w:szCs w:val="20"/>
              </w:rPr>
            </w:pPr>
            <w:r>
              <w:rPr>
                <w:rFonts w:asciiTheme="minorHAnsi" w:hAnsiTheme="minorHAnsi"/>
                <w:color w:val="000000"/>
                <w:sz w:val="20"/>
                <w:szCs w:val="20"/>
              </w:rPr>
              <w:t>6</w:t>
            </w:r>
          </w:p>
        </w:tc>
      </w:tr>
    </w:tbl>
    <w:p w14:paraId="7B0B85F7" w14:textId="088FA226" w:rsidR="00483E3A" w:rsidRPr="004434AB" w:rsidRDefault="00483E3A" w:rsidP="00483E3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sidR="00315C3D">
        <w:rPr>
          <w:rFonts w:asciiTheme="minorHAnsi" w:hAnsiTheme="minorHAnsi" w:cstheme="minorHAnsi"/>
          <w:i/>
          <w:color w:val="003399"/>
          <w:sz w:val="18"/>
          <w:szCs w:val="18"/>
          <w:lang w:eastAsia="zh-CN"/>
        </w:rPr>
        <w:t xml:space="preserve">opracowanie </w:t>
      </w:r>
      <w:r w:rsidR="005B3051">
        <w:rPr>
          <w:rFonts w:asciiTheme="minorHAnsi" w:hAnsiTheme="minorHAnsi" w:cstheme="minorHAnsi"/>
          <w:i/>
          <w:color w:val="003399"/>
          <w:sz w:val="18"/>
          <w:szCs w:val="18"/>
          <w:lang w:eastAsia="zh-CN"/>
        </w:rPr>
        <w:t>własne</w:t>
      </w:r>
    </w:p>
    <w:p w14:paraId="2688E7A2" w14:textId="77777777" w:rsidR="003911B7" w:rsidRDefault="00483E3A" w:rsidP="003911B7">
      <w:pPr>
        <w:keepNext/>
        <w:widowControl w:val="0"/>
        <w:autoSpaceDE w:val="0"/>
        <w:autoSpaceDN w:val="0"/>
        <w:adjustRightInd w:val="0"/>
        <w:ind w:right="57"/>
        <w:jc w:val="center"/>
      </w:pPr>
      <w:r>
        <w:rPr>
          <w:noProof/>
        </w:rPr>
        <w:drawing>
          <wp:inline distT="0" distB="0" distL="0" distR="0" wp14:anchorId="3C2150F8" wp14:editId="652C107C">
            <wp:extent cx="4575175" cy="2796540"/>
            <wp:effectExtent l="0" t="0" r="15875" b="3810"/>
            <wp:docPr id="21" name="Wykres 21">
              <a:extLst xmlns:a="http://schemas.openxmlformats.org/drawingml/2006/main">
                <a:ext uri="{FF2B5EF4-FFF2-40B4-BE49-F238E27FC236}">
                  <a16:creationId xmlns:a16="http://schemas.microsoft.com/office/drawing/2014/main" id="{807FF5BB-4589-4435-9CE1-1EEF6D9D5A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1BBCD1" w14:textId="324B1AB4" w:rsidR="00483E3A" w:rsidRPr="003911B7" w:rsidRDefault="003911B7" w:rsidP="006802BB">
      <w:pPr>
        <w:pStyle w:val="Wykres"/>
      </w:pPr>
      <w:bookmarkStart w:id="32" w:name="_Toc68727082"/>
      <w:r w:rsidRPr="003911B7">
        <w:t xml:space="preserve">Wykres </w:t>
      </w:r>
      <w:fldSimple w:instr=" STYLEREF 1 \s ">
        <w:r w:rsidR="00EF3FD3">
          <w:rPr>
            <w:noProof/>
          </w:rPr>
          <w:t>3</w:t>
        </w:r>
      </w:fldSimple>
      <w:r w:rsidR="00EF3FD3">
        <w:noBreakHyphen/>
      </w:r>
      <w:fldSimple w:instr=" SEQ Wykres \* ARABIC \s 1 ">
        <w:r w:rsidR="00EF3FD3">
          <w:rPr>
            <w:noProof/>
          </w:rPr>
          <w:t>4</w:t>
        </w:r>
      </w:fldSimple>
      <w:r w:rsidRPr="003911B7">
        <w:tab/>
        <w:t>Udział jcwp RW danego typu w ogólnej liczbie jcwp RW obszaru dorzecza Pregoły</w:t>
      </w:r>
      <w:bookmarkEnd w:id="32"/>
    </w:p>
    <w:p w14:paraId="25B06B8E" w14:textId="6B999D5A" w:rsidR="00483E3A" w:rsidRDefault="00483E3A" w:rsidP="00B50FFD">
      <w:pPr>
        <w:pStyle w:val="rdo0"/>
        <w:rPr>
          <w:lang w:eastAsia="zh-CN"/>
        </w:rPr>
      </w:pPr>
      <w:r w:rsidRPr="004434AB">
        <w:rPr>
          <w:lang w:eastAsia="zh-CN"/>
        </w:rPr>
        <w:t xml:space="preserve">Źródło: </w:t>
      </w:r>
      <w:r w:rsidR="00315C3D">
        <w:rPr>
          <w:lang w:eastAsia="zh-CN"/>
        </w:rPr>
        <w:t xml:space="preserve">opracowanie </w:t>
      </w:r>
      <w:r w:rsidR="005B3051">
        <w:rPr>
          <w:lang w:eastAsia="zh-CN"/>
        </w:rPr>
        <w:t>własne</w:t>
      </w:r>
    </w:p>
    <w:p w14:paraId="117C8041" w14:textId="77777777" w:rsidR="0009504C" w:rsidRPr="00B50FFD" w:rsidRDefault="0009504C" w:rsidP="00B50FFD"/>
    <w:p w14:paraId="2CB01D32" w14:textId="2AA0DD06" w:rsidR="003911B7" w:rsidRPr="003911B7" w:rsidRDefault="003911B7" w:rsidP="003F4A95">
      <w:pPr>
        <w:pStyle w:val="Tabela"/>
      </w:pPr>
      <w:bookmarkStart w:id="33" w:name="_Toc68726949"/>
      <w:r w:rsidRPr="003911B7">
        <w:t xml:space="preserve">Tabela </w:t>
      </w:r>
      <w:fldSimple w:instr=" STYLEREF 1 \s ">
        <w:r w:rsidR="007B4050">
          <w:rPr>
            <w:noProof/>
          </w:rPr>
          <w:t>3</w:t>
        </w:r>
      </w:fldSimple>
      <w:r w:rsidR="007B4050">
        <w:noBreakHyphen/>
      </w:r>
      <w:fldSimple w:instr=" SEQ Tabela \* ARABIC \s 1 ">
        <w:r w:rsidR="007B4050">
          <w:rPr>
            <w:noProof/>
          </w:rPr>
          <w:t>4</w:t>
        </w:r>
      </w:fldSimple>
      <w:r w:rsidRPr="003911B7">
        <w:tab/>
        <w:t>Typy jcwp LW na obszarze dorzecza Pregoły</w:t>
      </w:r>
      <w:bookmarkEnd w:id="33"/>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6040"/>
        <w:gridCol w:w="1380"/>
      </w:tblGrid>
      <w:tr w:rsidR="00483E3A" w14:paraId="399A0D2F" w14:textId="77777777" w:rsidTr="00840CCD">
        <w:trPr>
          <w:trHeight w:val="552"/>
          <w:tblHeader/>
        </w:trPr>
        <w:tc>
          <w:tcPr>
            <w:tcW w:w="1720" w:type="dxa"/>
            <w:shd w:val="clear" w:color="auto" w:fill="BFBFBF" w:themeFill="background1" w:themeFillShade="BF"/>
            <w:noWrap/>
            <w:vAlign w:val="center"/>
            <w:hideMark/>
          </w:tcPr>
          <w:p w14:paraId="3284ABED" w14:textId="77777777" w:rsidR="00483E3A" w:rsidRDefault="00483E3A" w:rsidP="00163164">
            <w:pPr>
              <w:jc w:val="center"/>
              <w:rPr>
                <w:b/>
                <w:bCs/>
                <w:sz w:val="20"/>
                <w:szCs w:val="20"/>
              </w:rPr>
            </w:pPr>
            <w:r>
              <w:rPr>
                <w:b/>
                <w:bCs/>
                <w:sz w:val="20"/>
                <w:szCs w:val="20"/>
              </w:rPr>
              <w:t>Kod typu jcwp LW</w:t>
            </w:r>
          </w:p>
        </w:tc>
        <w:tc>
          <w:tcPr>
            <w:tcW w:w="6040" w:type="dxa"/>
            <w:shd w:val="clear" w:color="auto" w:fill="BFBFBF" w:themeFill="background1" w:themeFillShade="BF"/>
            <w:vAlign w:val="center"/>
            <w:hideMark/>
          </w:tcPr>
          <w:p w14:paraId="26C4778B" w14:textId="77777777" w:rsidR="00483E3A" w:rsidRDefault="00483E3A" w:rsidP="00163164">
            <w:pPr>
              <w:jc w:val="center"/>
              <w:rPr>
                <w:b/>
                <w:bCs/>
                <w:sz w:val="20"/>
                <w:szCs w:val="20"/>
              </w:rPr>
            </w:pPr>
            <w:r>
              <w:rPr>
                <w:b/>
                <w:bCs/>
                <w:sz w:val="20"/>
                <w:szCs w:val="20"/>
              </w:rPr>
              <w:t>Nazwa typu</w:t>
            </w:r>
          </w:p>
        </w:tc>
        <w:tc>
          <w:tcPr>
            <w:tcW w:w="1380" w:type="dxa"/>
            <w:shd w:val="clear" w:color="auto" w:fill="BFBFBF" w:themeFill="background1" w:themeFillShade="BF"/>
            <w:vAlign w:val="center"/>
            <w:hideMark/>
          </w:tcPr>
          <w:p w14:paraId="5A2ADE2B" w14:textId="77777777" w:rsidR="00483E3A" w:rsidRDefault="00483E3A" w:rsidP="00163164">
            <w:pPr>
              <w:jc w:val="center"/>
              <w:rPr>
                <w:b/>
                <w:bCs/>
                <w:sz w:val="20"/>
                <w:szCs w:val="20"/>
              </w:rPr>
            </w:pPr>
            <w:r>
              <w:rPr>
                <w:b/>
                <w:bCs/>
                <w:sz w:val="20"/>
                <w:szCs w:val="20"/>
              </w:rPr>
              <w:t>Liczba jcwp danego typu</w:t>
            </w:r>
          </w:p>
        </w:tc>
      </w:tr>
      <w:tr w:rsidR="00483E3A" w14:paraId="25603090" w14:textId="77777777" w:rsidTr="00840CCD">
        <w:trPr>
          <w:trHeight w:val="552"/>
        </w:trPr>
        <w:tc>
          <w:tcPr>
            <w:tcW w:w="1720" w:type="dxa"/>
            <w:shd w:val="clear" w:color="auto" w:fill="BFBFBF" w:themeFill="background1" w:themeFillShade="BF"/>
            <w:noWrap/>
            <w:vAlign w:val="bottom"/>
            <w:hideMark/>
          </w:tcPr>
          <w:p w14:paraId="65F89DB0" w14:textId="77777777" w:rsidR="00483E3A" w:rsidRPr="006242B2" w:rsidRDefault="00483E3A" w:rsidP="00840CCD">
            <w:pPr>
              <w:rPr>
                <w:b/>
                <w:bCs/>
                <w:color w:val="000000"/>
                <w:sz w:val="20"/>
                <w:szCs w:val="20"/>
              </w:rPr>
            </w:pPr>
            <w:r w:rsidRPr="006242B2">
              <w:rPr>
                <w:b/>
                <w:bCs/>
                <w:color w:val="000000"/>
                <w:sz w:val="20"/>
                <w:szCs w:val="20"/>
              </w:rPr>
              <w:t>WSm_a</w:t>
            </w:r>
          </w:p>
        </w:tc>
        <w:tc>
          <w:tcPr>
            <w:tcW w:w="6040" w:type="dxa"/>
            <w:shd w:val="clear" w:color="auto" w:fill="auto"/>
            <w:vAlign w:val="bottom"/>
            <w:hideMark/>
          </w:tcPr>
          <w:p w14:paraId="0DC64C12" w14:textId="77777777" w:rsidR="00483E3A" w:rsidRDefault="00483E3A" w:rsidP="00840CCD">
            <w:pPr>
              <w:rPr>
                <w:color w:val="000000"/>
                <w:sz w:val="20"/>
                <w:szCs w:val="20"/>
              </w:rPr>
            </w:pPr>
            <w:r>
              <w:rPr>
                <w:color w:val="000000"/>
                <w:sz w:val="20"/>
                <w:szCs w:val="20"/>
              </w:rPr>
              <w:t>Jezioro na podłożu wapiennym, o małej wartości współczynnika Schindlera, stratyfikowane</w:t>
            </w:r>
          </w:p>
        </w:tc>
        <w:tc>
          <w:tcPr>
            <w:tcW w:w="1380" w:type="dxa"/>
            <w:shd w:val="clear" w:color="auto" w:fill="auto"/>
            <w:noWrap/>
            <w:vAlign w:val="bottom"/>
            <w:hideMark/>
          </w:tcPr>
          <w:p w14:paraId="0B610DEF" w14:textId="77777777" w:rsidR="00483E3A" w:rsidRPr="007B3120" w:rsidRDefault="00483E3A" w:rsidP="00840CCD">
            <w:pPr>
              <w:jc w:val="center"/>
              <w:rPr>
                <w:color w:val="000000"/>
              </w:rPr>
            </w:pPr>
            <w:r w:rsidRPr="007B3120">
              <w:rPr>
                <w:color w:val="000000"/>
              </w:rPr>
              <w:t>3</w:t>
            </w:r>
            <w:r>
              <w:rPr>
                <w:color w:val="000000"/>
              </w:rPr>
              <w:t>1</w:t>
            </w:r>
          </w:p>
        </w:tc>
      </w:tr>
      <w:tr w:rsidR="00483E3A" w14:paraId="7DE430B3" w14:textId="77777777" w:rsidTr="00840CCD">
        <w:trPr>
          <w:trHeight w:val="552"/>
        </w:trPr>
        <w:tc>
          <w:tcPr>
            <w:tcW w:w="1720" w:type="dxa"/>
            <w:shd w:val="clear" w:color="auto" w:fill="BFBFBF" w:themeFill="background1" w:themeFillShade="BF"/>
            <w:noWrap/>
            <w:vAlign w:val="bottom"/>
            <w:hideMark/>
          </w:tcPr>
          <w:p w14:paraId="7633DAA0" w14:textId="77777777" w:rsidR="00483E3A" w:rsidRPr="006242B2" w:rsidRDefault="00483E3A" w:rsidP="00840CCD">
            <w:pPr>
              <w:rPr>
                <w:b/>
                <w:bCs/>
                <w:color w:val="000000"/>
                <w:sz w:val="20"/>
                <w:szCs w:val="20"/>
              </w:rPr>
            </w:pPr>
            <w:r w:rsidRPr="1F796E96">
              <w:rPr>
                <w:b/>
                <w:bCs/>
                <w:color w:val="000000" w:themeColor="text1"/>
                <w:sz w:val="20"/>
                <w:szCs w:val="20"/>
              </w:rPr>
              <w:t>WSm_</w:t>
            </w:r>
            <w:r>
              <w:rPr>
                <w:b/>
                <w:bCs/>
                <w:color w:val="000000" w:themeColor="text1"/>
                <w:sz w:val="20"/>
                <w:szCs w:val="20"/>
              </w:rPr>
              <w:t>b</w:t>
            </w:r>
          </w:p>
        </w:tc>
        <w:tc>
          <w:tcPr>
            <w:tcW w:w="6040" w:type="dxa"/>
            <w:shd w:val="clear" w:color="auto" w:fill="auto"/>
            <w:vAlign w:val="bottom"/>
            <w:hideMark/>
          </w:tcPr>
          <w:p w14:paraId="3E5735EB" w14:textId="77777777" w:rsidR="00483E3A" w:rsidRDefault="00483E3A" w:rsidP="00840CCD">
            <w:pPr>
              <w:rPr>
                <w:color w:val="000000"/>
                <w:sz w:val="20"/>
                <w:szCs w:val="20"/>
              </w:rPr>
            </w:pPr>
            <w:r>
              <w:rPr>
                <w:color w:val="000000"/>
                <w:sz w:val="20"/>
                <w:szCs w:val="20"/>
              </w:rPr>
              <w:t xml:space="preserve">Jezioro na podłożu wapiennym, o małej wartości współczynnika Schindlera, polimiktyczne </w:t>
            </w:r>
          </w:p>
        </w:tc>
        <w:tc>
          <w:tcPr>
            <w:tcW w:w="1380" w:type="dxa"/>
            <w:shd w:val="clear" w:color="auto" w:fill="auto"/>
            <w:noWrap/>
            <w:vAlign w:val="bottom"/>
            <w:hideMark/>
          </w:tcPr>
          <w:p w14:paraId="32BC53B6" w14:textId="77777777" w:rsidR="00483E3A" w:rsidRPr="007B3120" w:rsidRDefault="00483E3A" w:rsidP="00840CCD">
            <w:pPr>
              <w:jc w:val="center"/>
              <w:rPr>
                <w:color w:val="000000"/>
              </w:rPr>
            </w:pPr>
            <w:r w:rsidRPr="007B3120">
              <w:rPr>
                <w:color w:val="000000"/>
              </w:rPr>
              <w:t>3</w:t>
            </w:r>
          </w:p>
        </w:tc>
      </w:tr>
      <w:tr w:rsidR="00483E3A" w14:paraId="4F0B5D04" w14:textId="77777777" w:rsidTr="00840CCD">
        <w:trPr>
          <w:trHeight w:val="552"/>
        </w:trPr>
        <w:tc>
          <w:tcPr>
            <w:tcW w:w="1720" w:type="dxa"/>
            <w:shd w:val="clear" w:color="auto" w:fill="BFBFBF" w:themeFill="background1" w:themeFillShade="BF"/>
            <w:noWrap/>
            <w:vAlign w:val="bottom"/>
            <w:hideMark/>
          </w:tcPr>
          <w:p w14:paraId="362D3D16" w14:textId="77777777" w:rsidR="00483E3A" w:rsidRPr="006242B2" w:rsidRDefault="00483E3A" w:rsidP="00840CCD">
            <w:pPr>
              <w:rPr>
                <w:b/>
                <w:bCs/>
                <w:color w:val="000000"/>
                <w:sz w:val="20"/>
                <w:szCs w:val="20"/>
              </w:rPr>
            </w:pPr>
            <w:r w:rsidRPr="006242B2">
              <w:rPr>
                <w:b/>
                <w:bCs/>
                <w:color w:val="000000"/>
                <w:sz w:val="20"/>
                <w:szCs w:val="20"/>
              </w:rPr>
              <w:t>WSd_a</w:t>
            </w:r>
          </w:p>
        </w:tc>
        <w:tc>
          <w:tcPr>
            <w:tcW w:w="6040" w:type="dxa"/>
            <w:shd w:val="clear" w:color="auto" w:fill="auto"/>
            <w:vAlign w:val="bottom"/>
            <w:hideMark/>
          </w:tcPr>
          <w:p w14:paraId="008D4ACA" w14:textId="77777777" w:rsidR="00483E3A" w:rsidRDefault="00483E3A" w:rsidP="00840CCD">
            <w:pPr>
              <w:rPr>
                <w:color w:val="000000"/>
                <w:sz w:val="20"/>
                <w:szCs w:val="20"/>
              </w:rPr>
            </w:pPr>
            <w:r>
              <w:rPr>
                <w:color w:val="000000"/>
                <w:sz w:val="20"/>
                <w:szCs w:val="20"/>
              </w:rPr>
              <w:t>Jezioro na podłożu wapiennym, o dużej wartości współczynnika Schindlera, stratyfikowane</w:t>
            </w:r>
          </w:p>
        </w:tc>
        <w:tc>
          <w:tcPr>
            <w:tcW w:w="1380" w:type="dxa"/>
            <w:shd w:val="clear" w:color="auto" w:fill="auto"/>
            <w:noWrap/>
            <w:vAlign w:val="bottom"/>
            <w:hideMark/>
          </w:tcPr>
          <w:p w14:paraId="477ADA09" w14:textId="77777777" w:rsidR="00483E3A" w:rsidRPr="007B3120" w:rsidRDefault="00483E3A" w:rsidP="00840CCD">
            <w:pPr>
              <w:jc w:val="center"/>
              <w:rPr>
                <w:color w:val="000000"/>
              </w:rPr>
            </w:pPr>
            <w:r w:rsidRPr="007B3120">
              <w:rPr>
                <w:color w:val="000000"/>
              </w:rPr>
              <w:t>39</w:t>
            </w:r>
          </w:p>
        </w:tc>
      </w:tr>
      <w:tr w:rsidR="00483E3A" w14:paraId="3C9148BC" w14:textId="77777777" w:rsidTr="00840CCD">
        <w:trPr>
          <w:trHeight w:val="552"/>
        </w:trPr>
        <w:tc>
          <w:tcPr>
            <w:tcW w:w="1720" w:type="dxa"/>
            <w:shd w:val="clear" w:color="auto" w:fill="BFBFBF" w:themeFill="background1" w:themeFillShade="BF"/>
            <w:noWrap/>
            <w:vAlign w:val="bottom"/>
            <w:hideMark/>
          </w:tcPr>
          <w:p w14:paraId="01FC4E47" w14:textId="77777777" w:rsidR="00483E3A" w:rsidRPr="006242B2" w:rsidRDefault="00483E3A" w:rsidP="00840CCD">
            <w:pPr>
              <w:rPr>
                <w:b/>
                <w:bCs/>
                <w:color w:val="000000"/>
                <w:sz w:val="20"/>
                <w:szCs w:val="20"/>
              </w:rPr>
            </w:pPr>
            <w:r w:rsidRPr="006242B2">
              <w:rPr>
                <w:b/>
                <w:bCs/>
                <w:color w:val="000000"/>
                <w:sz w:val="20"/>
                <w:szCs w:val="20"/>
              </w:rPr>
              <w:t>WSd_b</w:t>
            </w:r>
          </w:p>
        </w:tc>
        <w:tc>
          <w:tcPr>
            <w:tcW w:w="6040" w:type="dxa"/>
            <w:shd w:val="clear" w:color="auto" w:fill="auto"/>
            <w:vAlign w:val="bottom"/>
            <w:hideMark/>
          </w:tcPr>
          <w:p w14:paraId="4753BBE1" w14:textId="77777777" w:rsidR="00483E3A" w:rsidRDefault="00483E3A" w:rsidP="00840CCD">
            <w:pPr>
              <w:rPr>
                <w:color w:val="000000"/>
                <w:sz w:val="20"/>
                <w:szCs w:val="20"/>
              </w:rPr>
            </w:pPr>
            <w:r>
              <w:rPr>
                <w:color w:val="000000"/>
                <w:sz w:val="20"/>
                <w:szCs w:val="20"/>
              </w:rPr>
              <w:t>Jezioro na podłożu wapiennym, o dużej wartości współczynnika Schindlera, polimiktyczne</w:t>
            </w:r>
          </w:p>
        </w:tc>
        <w:tc>
          <w:tcPr>
            <w:tcW w:w="1380" w:type="dxa"/>
            <w:shd w:val="clear" w:color="auto" w:fill="auto"/>
            <w:noWrap/>
            <w:vAlign w:val="bottom"/>
            <w:hideMark/>
          </w:tcPr>
          <w:p w14:paraId="725B8885" w14:textId="77777777" w:rsidR="00483E3A" w:rsidRPr="007B3120" w:rsidRDefault="00483E3A" w:rsidP="00840CCD">
            <w:pPr>
              <w:jc w:val="center"/>
              <w:rPr>
                <w:color w:val="000000"/>
              </w:rPr>
            </w:pPr>
            <w:r w:rsidRPr="007B3120">
              <w:rPr>
                <w:color w:val="000000"/>
              </w:rPr>
              <w:t>3</w:t>
            </w:r>
            <w:r>
              <w:rPr>
                <w:color w:val="000000"/>
              </w:rPr>
              <w:t>2</w:t>
            </w:r>
          </w:p>
        </w:tc>
      </w:tr>
    </w:tbl>
    <w:p w14:paraId="1473704B" w14:textId="1F998149" w:rsidR="00483E3A" w:rsidRPr="004434AB" w:rsidRDefault="00483E3A" w:rsidP="00483E3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sidR="00315C3D">
        <w:rPr>
          <w:rFonts w:asciiTheme="minorHAnsi" w:hAnsiTheme="minorHAnsi" w:cstheme="minorHAnsi"/>
          <w:i/>
          <w:color w:val="003399"/>
          <w:sz w:val="18"/>
          <w:szCs w:val="18"/>
          <w:lang w:eastAsia="zh-CN"/>
        </w:rPr>
        <w:t xml:space="preserve">opracowanie </w:t>
      </w:r>
      <w:r w:rsidR="005B3051">
        <w:rPr>
          <w:rFonts w:asciiTheme="minorHAnsi" w:hAnsiTheme="minorHAnsi" w:cstheme="minorHAnsi"/>
          <w:i/>
          <w:color w:val="003399"/>
          <w:sz w:val="18"/>
          <w:szCs w:val="18"/>
          <w:lang w:eastAsia="zh-CN"/>
        </w:rPr>
        <w:t>własne</w:t>
      </w:r>
    </w:p>
    <w:p w14:paraId="35503E14" w14:textId="77777777" w:rsidR="004A1B76" w:rsidRDefault="00483E3A" w:rsidP="004A1B76">
      <w:pPr>
        <w:keepNext/>
        <w:jc w:val="center"/>
      </w:pPr>
      <w:r>
        <w:rPr>
          <w:noProof/>
        </w:rPr>
        <w:drawing>
          <wp:inline distT="0" distB="0" distL="0" distR="0" wp14:anchorId="66814F71" wp14:editId="78362857">
            <wp:extent cx="4575175" cy="2796540"/>
            <wp:effectExtent l="0" t="0" r="15875" b="3810"/>
            <wp:docPr id="22" name="Wykres 22">
              <a:extLst xmlns:a="http://schemas.openxmlformats.org/drawingml/2006/main">
                <a:ext uri="{FF2B5EF4-FFF2-40B4-BE49-F238E27FC236}">
                  <a16:creationId xmlns:a16="http://schemas.microsoft.com/office/drawing/2014/main" id="{807FF5BB-4589-4435-9CE1-1EEF6D9D5A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BA798C8" w14:textId="5FD66DD5" w:rsidR="00483E3A" w:rsidRPr="002930F5" w:rsidRDefault="004A1B76" w:rsidP="006802BB">
      <w:pPr>
        <w:pStyle w:val="Wykres"/>
        <w:rPr>
          <w:rFonts w:asciiTheme="minorHAnsi" w:hAnsiTheme="minorHAnsi" w:cstheme="minorHAnsi"/>
          <w:i/>
          <w:iCs/>
          <w:color w:val="003399"/>
          <w:szCs w:val="20"/>
          <w:lang w:eastAsia="zh-CN"/>
        </w:rPr>
      </w:pPr>
      <w:bookmarkStart w:id="34" w:name="_Toc68727083"/>
      <w:r>
        <w:t xml:space="preserve">Wykres </w:t>
      </w:r>
      <w:fldSimple w:instr=" STYLEREF 1 \s ">
        <w:r w:rsidR="00EF3FD3">
          <w:rPr>
            <w:noProof/>
          </w:rPr>
          <w:t>3</w:t>
        </w:r>
      </w:fldSimple>
      <w:r w:rsidR="00EF3FD3">
        <w:noBreakHyphen/>
      </w:r>
      <w:fldSimple w:instr=" SEQ Wykres \* ARABIC \s 1 ">
        <w:r w:rsidR="00EF3FD3">
          <w:rPr>
            <w:noProof/>
          </w:rPr>
          <w:t>5</w:t>
        </w:r>
      </w:fldSimple>
      <w:r>
        <w:tab/>
      </w:r>
      <w:r w:rsidRPr="004434AB">
        <w:t>Udział jcwp LW danego typu w ogólnej liczbie jcwp LW obszaru dorzecza Pregoły</w:t>
      </w:r>
      <w:bookmarkEnd w:id="34"/>
    </w:p>
    <w:p w14:paraId="6CE5B1B8" w14:textId="43A7D693" w:rsidR="00483E3A" w:rsidRPr="004434AB" w:rsidRDefault="00483E3A" w:rsidP="004434AB">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sidR="00315C3D">
        <w:rPr>
          <w:rFonts w:asciiTheme="minorHAnsi" w:hAnsiTheme="minorHAnsi" w:cstheme="minorHAnsi"/>
          <w:i/>
          <w:color w:val="003399"/>
          <w:sz w:val="18"/>
          <w:szCs w:val="18"/>
          <w:lang w:eastAsia="zh-CN"/>
        </w:rPr>
        <w:t xml:space="preserve">opracowanie </w:t>
      </w:r>
      <w:r w:rsidR="005B3051">
        <w:rPr>
          <w:rFonts w:asciiTheme="minorHAnsi" w:hAnsiTheme="minorHAnsi" w:cstheme="minorHAnsi"/>
          <w:i/>
          <w:color w:val="003399"/>
          <w:sz w:val="18"/>
          <w:szCs w:val="18"/>
          <w:lang w:eastAsia="zh-CN"/>
        </w:rPr>
        <w:t>własne</w:t>
      </w:r>
    </w:p>
    <w:p w14:paraId="42DFC79F" w14:textId="057F2868" w:rsidR="00483E3A" w:rsidRPr="00C22FF3" w:rsidRDefault="00483E3A" w:rsidP="00B50FFD">
      <w:pPr>
        <w:pStyle w:val="Nagwek3"/>
      </w:pPr>
      <w:bookmarkStart w:id="35" w:name="_Toc68726835"/>
      <w:r>
        <w:t>Status jcwp</w:t>
      </w:r>
      <w:bookmarkEnd w:id="35"/>
    </w:p>
    <w:p w14:paraId="1DF9E845" w14:textId="4666BE5B" w:rsidR="00483E3A" w:rsidRDefault="00483E3A" w:rsidP="00967709">
      <w:pPr>
        <w:widowControl w:val="0"/>
        <w:autoSpaceDE w:val="0"/>
        <w:autoSpaceDN w:val="0"/>
        <w:adjustRightInd w:val="0"/>
        <w:ind w:right="57"/>
        <w:rPr>
          <w:rFonts w:asciiTheme="minorHAnsi" w:hAnsiTheme="minorHAnsi" w:cstheme="minorHAnsi"/>
        </w:rPr>
      </w:pPr>
      <w:r w:rsidRPr="00FC2939">
        <w:rPr>
          <w:rFonts w:asciiTheme="minorHAnsi" w:hAnsiTheme="minorHAnsi"/>
        </w:rPr>
        <w:t>Artykuł 5 RDW zobowiązuje państwa członkowskie do określenia części wód powierzchniowych, które będą używane do oceny postępów w realizacji i osiągnięcia celów środowiskowych RDW. Zgodnie</w:t>
      </w:r>
      <w:r w:rsidR="00CF433D">
        <w:rPr>
          <w:rFonts w:asciiTheme="minorHAnsi" w:hAnsiTheme="minorHAnsi"/>
        </w:rPr>
        <w:t xml:space="preserve"> </w:t>
      </w:r>
      <w:r w:rsidRPr="00FC2939">
        <w:rPr>
          <w:rFonts w:asciiTheme="minorHAnsi" w:hAnsiTheme="minorHAnsi"/>
        </w:rPr>
        <w:t>z</w:t>
      </w:r>
      <w:r w:rsidR="00CF433D">
        <w:rPr>
          <w:rFonts w:asciiTheme="minorHAnsi" w:hAnsiTheme="minorHAnsi"/>
        </w:rPr>
        <w:t> </w:t>
      </w:r>
      <w:r w:rsidRPr="00FC2939">
        <w:rPr>
          <w:rFonts w:asciiTheme="minorHAnsi" w:hAnsiTheme="minorHAnsi"/>
        </w:rPr>
        <w:t xml:space="preserve">warunkami art. 4.3 RDW </w:t>
      </w:r>
      <w:r>
        <w:rPr>
          <w:rFonts w:asciiTheme="minorHAnsi" w:hAnsiTheme="minorHAnsi"/>
        </w:rPr>
        <w:t>umożliwia</w:t>
      </w:r>
      <w:r w:rsidRPr="00FC2939">
        <w:rPr>
          <w:rFonts w:asciiTheme="minorHAnsi" w:hAnsiTheme="minorHAnsi"/>
        </w:rPr>
        <w:t xml:space="preserve"> państwom członkowskim wyznaczyć sztuczne (SCW) i silnie zmienione części wód (SZCW). W efekcie dokonanego wyznaczenia jcwp występują z określonym statusem jako: NAT </w:t>
      </w:r>
      <w:r w:rsidR="006C4947">
        <w:rPr>
          <w:rFonts w:asciiTheme="minorHAnsi" w:hAnsiTheme="minorHAnsi"/>
        </w:rPr>
        <w:t>-</w:t>
      </w:r>
      <w:r w:rsidRPr="00FC2939">
        <w:rPr>
          <w:rFonts w:asciiTheme="minorHAnsi" w:hAnsiTheme="minorHAnsi"/>
        </w:rPr>
        <w:t xml:space="preserve"> naturalna część wód, SCW </w:t>
      </w:r>
      <w:r w:rsidR="006C4947">
        <w:rPr>
          <w:rFonts w:asciiTheme="minorHAnsi" w:hAnsiTheme="minorHAnsi"/>
        </w:rPr>
        <w:t>-</w:t>
      </w:r>
      <w:r w:rsidRPr="00FC2939">
        <w:rPr>
          <w:rFonts w:asciiTheme="minorHAnsi" w:hAnsiTheme="minorHAnsi"/>
        </w:rPr>
        <w:t xml:space="preserve"> sztuczna część wód albo SZCW </w:t>
      </w:r>
      <w:r w:rsidR="006C4947">
        <w:rPr>
          <w:rFonts w:asciiTheme="minorHAnsi" w:hAnsiTheme="minorHAnsi"/>
        </w:rPr>
        <w:t>-</w:t>
      </w:r>
      <w:r w:rsidRPr="00FC2939">
        <w:rPr>
          <w:rFonts w:asciiTheme="minorHAnsi" w:hAnsiTheme="minorHAnsi"/>
        </w:rPr>
        <w:t xml:space="preserve"> silnie zmieniona część wód</w:t>
      </w:r>
      <w:r w:rsidR="008C0B70">
        <w:rPr>
          <w:rFonts w:asciiTheme="minorHAnsi" w:hAnsiTheme="minorHAnsi"/>
        </w:rPr>
        <w:t>, co zostało przedstawione w załączniku graficznym nr 3</w:t>
      </w:r>
      <w:r w:rsidRPr="00FC2939">
        <w:rPr>
          <w:rFonts w:asciiTheme="minorHAnsi" w:hAnsiTheme="minorHAnsi"/>
        </w:rPr>
        <w:t xml:space="preserve">. </w:t>
      </w:r>
      <w:r w:rsidRPr="00505FFA">
        <w:rPr>
          <w:rFonts w:asciiTheme="minorHAnsi" w:hAnsiTheme="minorHAnsi"/>
        </w:rPr>
        <w:t>Wyznaczenie jcwp jako SZCW</w:t>
      </w:r>
      <w:r w:rsidRPr="00505FFA">
        <w:rPr>
          <w:rFonts w:asciiTheme="minorHAnsi" w:hAnsiTheme="minorHAnsi" w:cstheme="minorHAnsi"/>
        </w:rPr>
        <w:t>,</w:t>
      </w:r>
      <w:r w:rsidRPr="00505FFA">
        <w:rPr>
          <w:rFonts w:asciiTheme="minorHAnsi" w:hAnsiTheme="minorHAnsi"/>
        </w:rPr>
        <w:t xml:space="preserve"> czy SCW</w:t>
      </w:r>
      <w:r w:rsidRPr="00505FFA">
        <w:rPr>
          <w:rFonts w:asciiTheme="minorHAnsi" w:hAnsiTheme="minorHAnsi" w:cstheme="minorHAnsi"/>
        </w:rPr>
        <w:t>, wynika ze zmian charakterystyk hydromorfologicznych tych jednolitych części wód spowodowanych przez sposób ich użytkowania</w:t>
      </w:r>
      <w:r w:rsidR="00CF433D">
        <w:rPr>
          <w:rFonts w:asciiTheme="minorHAnsi" w:hAnsiTheme="minorHAnsi" w:cstheme="minorHAnsi"/>
        </w:rPr>
        <w:t xml:space="preserve"> </w:t>
      </w:r>
      <w:r w:rsidRPr="00505FFA">
        <w:rPr>
          <w:rFonts w:asciiTheme="minorHAnsi" w:hAnsiTheme="minorHAnsi" w:cstheme="minorHAnsi"/>
        </w:rPr>
        <w:t>i</w:t>
      </w:r>
      <w:r w:rsidR="00CF433D">
        <w:rPr>
          <w:rFonts w:asciiTheme="minorHAnsi" w:hAnsiTheme="minorHAnsi"/>
        </w:rPr>
        <w:t> </w:t>
      </w:r>
      <w:r w:rsidRPr="00505FFA">
        <w:rPr>
          <w:rFonts w:asciiTheme="minorHAnsi" w:hAnsiTheme="minorHAnsi"/>
        </w:rPr>
        <w:t xml:space="preserve">wymaga uzasadnienia, że istnieją przesłanki do wyznaczenia jcwp jako </w:t>
      </w:r>
      <w:r w:rsidRPr="00505FFA">
        <w:rPr>
          <w:rFonts w:asciiTheme="minorHAnsi" w:hAnsiTheme="minorHAnsi" w:cstheme="minorHAnsi"/>
        </w:rPr>
        <w:t>SZCW lub SCW.</w:t>
      </w:r>
      <w:r w:rsidRPr="00505FFA">
        <w:rPr>
          <w:rFonts w:asciiTheme="minorHAnsi" w:hAnsiTheme="minorHAnsi" w:cstheme="minorHAnsi"/>
          <w:vertAlign w:val="superscript"/>
        </w:rPr>
        <w:footnoteReference w:id="8"/>
      </w:r>
    </w:p>
    <w:p w14:paraId="7437B509" w14:textId="366C56B2" w:rsidR="0062089A" w:rsidRPr="0062089A" w:rsidRDefault="0062089A" w:rsidP="00967709">
      <w:pPr>
        <w:textAlignment w:val="baseline"/>
        <w:rPr>
          <w:rFonts w:asciiTheme="minorHAnsi" w:hAnsiTheme="minorHAnsi"/>
        </w:rPr>
      </w:pPr>
      <w:r w:rsidRPr="0062089A">
        <w:rPr>
          <w:rFonts w:asciiTheme="minorHAnsi" w:hAnsiTheme="minorHAnsi"/>
        </w:rPr>
        <w:t>Wyznaczanie SZCW i SCW to procedura towarzysząca każdej aktualizacji planów gospodarowania wodami. Zgodnie z art. 4 ust. 3 RDW kraj członkowski ma prawo wyznaczyć SZCW i SCW, dla których RDW wymaga osiągnięcia dobrego potencjału ekologicznego. Potencjał ten charakteryzuje się złagodzonymi normami środowiskowymi w stosunku do dobrego stanu, wymaganego dla naturalnych części wód. Możliwość wyznaczenia części wód jako silnie zmienionych lub sztucznych dotyczy tych z</w:t>
      </w:r>
      <w:r w:rsidR="00967709">
        <w:rPr>
          <w:rFonts w:asciiTheme="minorHAnsi" w:hAnsiTheme="minorHAnsi"/>
        </w:rPr>
        <w:t> </w:t>
      </w:r>
      <w:r w:rsidRPr="0062089A">
        <w:rPr>
          <w:rFonts w:asciiTheme="minorHAnsi" w:hAnsiTheme="minorHAnsi"/>
        </w:rPr>
        <w:t>nich, dla których działania restytucyjne konieczne do osiągnięcia dobrego stanu wód mogłyby oddziaływać znacząco niekorzystnie na środowisko w szerszym znaczeniu lub na cele którym służą obecne przekształcenia (żegluga, zaopatrzenie w wodę, ochrona przeciwpowodziowa etc.) a cele te nie mogą być racjonalnie osiągnięte za pomocą innych, korzystniejszych dla środowiska, środków.   </w:t>
      </w:r>
    </w:p>
    <w:p w14:paraId="18291D19" w14:textId="77F678D0" w:rsidR="0062089A" w:rsidRPr="0062089A" w:rsidRDefault="0062089A" w:rsidP="00967709">
      <w:pPr>
        <w:textAlignment w:val="baseline"/>
        <w:rPr>
          <w:rFonts w:ascii="Times New Roman" w:eastAsia="Times New Roman" w:hAnsi="Times New Roman"/>
          <w:sz w:val="24"/>
          <w:szCs w:val="24"/>
          <w:lang w:eastAsia="pl-PL"/>
        </w:rPr>
      </w:pPr>
      <w:r w:rsidRPr="0062089A">
        <w:rPr>
          <w:rFonts w:asciiTheme="minorHAnsi" w:hAnsiTheme="minorHAnsi"/>
        </w:rPr>
        <w:t xml:space="preserve">W ramach zrealizowanej pracy </w:t>
      </w:r>
      <w:r w:rsidRPr="0062089A">
        <w:rPr>
          <w:rFonts w:asciiTheme="minorHAnsi" w:hAnsiTheme="minorHAnsi"/>
          <w:i/>
          <w:iCs/>
        </w:rPr>
        <w:t>Przegląd i weryfikacja metodyk wyznaczania silnie zmienionych i</w:t>
      </w:r>
      <w:r w:rsidR="00967709">
        <w:rPr>
          <w:rFonts w:asciiTheme="minorHAnsi" w:hAnsiTheme="minorHAnsi"/>
          <w:i/>
          <w:iCs/>
        </w:rPr>
        <w:t> </w:t>
      </w:r>
      <w:r w:rsidRPr="0062089A">
        <w:rPr>
          <w:rFonts w:asciiTheme="minorHAnsi" w:hAnsiTheme="minorHAnsi"/>
          <w:i/>
          <w:iCs/>
        </w:rPr>
        <w:t>sztucznych części wód powierzchniowych wraz ze wstępnym i ostatecznym wyznaczeniem</w:t>
      </w:r>
      <w:r w:rsidRPr="0062089A">
        <w:rPr>
          <w:rFonts w:eastAsia="Times New Roman" w:cs="Calibri"/>
          <w:shd w:val="clear" w:color="auto" w:fill="FFFF00"/>
          <w:lang w:eastAsia="pl-PL"/>
        </w:rPr>
        <w:t xml:space="preserve"> </w:t>
      </w:r>
      <w:r w:rsidRPr="0062089A">
        <w:rPr>
          <w:rFonts w:asciiTheme="minorHAnsi" w:hAnsiTheme="minorHAnsi"/>
        </w:rPr>
        <w:t>uwzględnione zostały  wytyczne wspólnej strategii wdrażania (CIS) wprowadzając do procesu wyznaczania SZCW i SCW etap screeningu, oparty o oceny stanu biologicznego. Poszczególne etapy procesu wyznaczania SZCW i SCW przedstawia poniższy schemat.</w:t>
      </w:r>
      <w:r w:rsidRPr="0062089A">
        <w:rPr>
          <w:rFonts w:eastAsia="Times New Roman" w:cs="Calibri"/>
          <w:lang w:eastAsia="pl-PL"/>
        </w:rPr>
        <w:t> </w:t>
      </w:r>
    </w:p>
    <w:p w14:paraId="4DBCD234" w14:textId="77777777" w:rsidR="0062089A" w:rsidRDefault="3E4F8966" w:rsidP="0062089A">
      <w:pPr>
        <w:keepNext/>
        <w:spacing w:before="100" w:beforeAutospacing="1" w:after="100" w:afterAutospacing="1"/>
        <w:jc w:val="center"/>
        <w:textAlignment w:val="baseline"/>
      </w:pPr>
      <w:r>
        <w:rPr>
          <w:noProof/>
        </w:rPr>
        <w:drawing>
          <wp:inline distT="0" distB="0" distL="0" distR="0" wp14:anchorId="4DA9553C" wp14:editId="02B3EB34">
            <wp:extent cx="4444409" cy="2607759"/>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4444409" cy="2607759"/>
                    </a:xfrm>
                    <a:prstGeom prst="rect">
                      <a:avLst/>
                    </a:prstGeom>
                  </pic:spPr>
                </pic:pic>
              </a:graphicData>
            </a:graphic>
          </wp:inline>
        </w:drawing>
      </w:r>
    </w:p>
    <w:p w14:paraId="5FD90236" w14:textId="1E2DCB5B" w:rsidR="0062089A" w:rsidRDefault="0062089A" w:rsidP="006802BB">
      <w:pPr>
        <w:pStyle w:val="Legenda"/>
      </w:pPr>
      <w:bookmarkStart w:id="36" w:name="_Toc68727074"/>
      <w:r>
        <w:t xml:space="preserve">Rysunek </w:t>
      </w:r>
      <w:fldSimple w:instr=" STYLEREF 1 \s ">
        <w:r w:rsidR="00860BC1">
          <w:rPr>
            <w:noProof/>
          </w:rPr>
          <w:t>3</w:t>
        </w:r>
      </w:fldSimple>
      <w:r w:rsidR="00860BC1">
        <w:noBreakHyphen/>
      </w:r>
      <w:fldSimple w:instr=" SEQ Rysunek \* ARABIC \s 1 ">
        <w:r w:rsidR="00860BC1">
          <w:rPr>
            <w:noProof/>
          </w:rPr>
          <w:t>2</w:t>
        </w:r>
      </w:fldSimple>
      <w:r w:rsidR="00910B2A">
        <w:tab/>
      </w:r>
      <w:r>
        <w:t>Etapy procesu wyznaczania silnie zmienionych i sztucznych części wód.</w:t>
      </w:r>
      <w:bookmarkEnd w:id="36"/>
    </w:p>
    <w:p w14:paraId="396012FE" w14:textId="68007B0E" w:rsidR="0062089A" w:rsidRPr="0062089A" w:rsidRDefault="0062089A" w:rsidP="00967709">
      <w:pPr>
        <w:pStyle w:val="rdo0"/>
      </w:pPr>
      <w:r w:rsidRPr="0062089A">
        <w:t xml:space="preserve">Źródło: </w:t>
      </w:r>
      <w:r w:rsidRPr="00967709">
        <w:t xml:space="preserve">opracowanie własne na podstawie </w:t>
      </w:r>
      <w:r w:rsidRPr="0062089A">
        <w:t>Ostateczn</w:t>
      </w:r>
      <w:r w:rsidRPr="00967709">
        <w:t>ej</w:t>
      </w:r>
      <w:r w:rsidRPr="0062089A">
        <w:t xml:space="preserve"> metodyk</w:t>
      </w:r>
      <w:r w:rsidR="00CE57D6">
        <w:t>i</w:t>
      </w:r>
      <w:r w:rsidRPr="0062089A">
        <w:t xml:space="preserve"> wyznaczania silnie zmienionych i sztucznych części wód powierzchniowych wraz z koncepcją określania potencjału ekologicznego, (2019) </w:t>
      </w:r>
    </w:p>
    <w:p w14:paraId="35C56C8C" w14:textId="32209040" w:rsidR="0062089A" w:rsidRPr="0062089A" w:rsidRDefault="0062089A" w:rsidP="00967709">
      <w:pPr>
        <w:textAlignment w:val="baseline"/>
        <w:rPr>
          <w:rFonts w:asciiTheme="minorHAnsi" w:hAnsiTheme="minorHAnsi"/>
        </w:rPr>
      </w:pPr>
      <w:r w:rsidRPr="0062089A">
        <w:rPr>
          <w:rFonts w:asciiTheme="minorHAnsi" w:hAnsiTheme="minorHAnsi"/>
        </w:rPr>
        <w:t>Zgodnie z metodyk</w:t>
      </w:r>
      <w:r w:rsidR="00156846">
        <w:rPr>
          <w:rFonts w:asciiTheme="minorHAnsi" w:hAnsiTheme="minorHAnsi"/>
        </w:rPr>
        <w:t>ą</w:t>
      </w:r>
      <w:r w:rsidRPr="0062089A">
        <w:rPr>
          <w:rFonts w:asciiTheme="minorHAnsi" w:hAnsiTheme="minorHAnsi"/>
        </w:rPr>
        <w:t xml:space="preserve"> wyznaczania SZCW i SCW, etap wstępnego wyznaczania opierał się o analizy wskaźnikowe. Dla jcwp RW podstawę wstępnego wyznaczenia stanowił HIR, wzorowany na River Habitat Survey. W przyjętym rozwiązaniu wykorzystana została, zmodyfikowana metoda oceny kameralnej HIR. W procesie wstępnego wyznaczania wykorzystano również część wskaźników, głównie hydrologicznych oraz statusy jcw z II cyklu planistycznego (2010-2015). Przy ocenie i</w:t>
      </w:r>
      <w:r w:rsidR="00967709">
        <w:rPr>
          <w:rFonts w:asciiTheme="minorHAnsi" w:hAnsiTheme="minorHAnsi"/>
        </w:rPr>
        <w:t> </w:t>
      </w:r>
      <w:r w:rsidRPr="0062089A">
        <w:rPr>
          <w:rFonts w:asciiTheme="minorHAnsi" w:hAnsiTheme="minorHAnsi"/>
        </w:rPr>
        <w:t>kwalifikacji jcwp LW również wykorzystano wskaźniki zmian morfologicznych i hydrologicznych podzielone na wskaźniki podstawowe i uzupełniające, pomocniczo wskaźniki biologiczne.  </w:t>
      </w:r>
    </w:p>
    <w:p w14:paraId="71E1FB44" w14:textId="77777777" w:rsidR="0062089A" w:rsidRPr="0062089A" w:rsidRDefault="0062089A" w:rsidP="00967709">
      <w:pPr>
        <w:textAlignment w:val="baseline"/>
        <w:rPr>
          <w:rFonts w:asciiTheme="minorHAnsi" w:hAnsiTheme="minorHAnsi"/>
        </w:rPr>
      </w:pPr>
      <w:r w:rsidRPr="0062089A">
        <w:rPr>
          <w:rFonts w:asciiTheme="minorHAnsi" w:hAnsiTheme="minorHAnsi"/>
        </w:rPr>
        <w:t>Wstępna kwalifikacja jcwp jako silnie zmienionych opiera się na ocenie zbiorczej opartej o grupy wskaźników. Jcwp TW i CW ocenione zostały na podstawie zdiagnozowanych w nich przekształceń morfologicznych w oparciu o zbiorczy wskaźnik zmian.   </w:t>
      </w:r>
    </w:p>
    <w:p w14:paraId="057159B1" w14:textId="77777777" w:rsidR="0062089A" w:rsidRPr="0062089A" w:rsidRDefault="0062089A" w:rsidP="00967709">
      <w:pPr>
        <w:textAlignment w:val="baseline"/>
        <w:rPr>
          <w:rFonts w:ascii="Times New Roman" w:eastAsia="Times New Roman" w:hAnsi="Times New Roman"/>
          <w:sz w:val="24"/>
          <w:szCs w:val="24"/>
          <w:lang w:eastAsia="pl-PL"/>
        </w:rPr>
      </w:pPr>
      <w:r w:rsidRPr="0062089A">
        <w:rPr>
          <w:rFonts w:asciiTheme="minorHAnsi" w:hAnsiTheme="minorHAnsi"/>
        </w:rPr>
        <w:t xml:space="preserve">Etap ostatecznego wyznaczenia silnie zmienionych i sztucznych części wód powierzchniowych opierał się, zgodnie z CIS, na testach restytucji i testach alternatyw funkcjonalnych opartych o katalogi działań renaturyzacyjnych i alternatywnych sposobów (opcji) osiągniecia celów będących przyczyną przekształceń w jcwp. W przypadku jcwp RW warianty restytucji buduje się w oparciu o symulacje możliwości poprawy wskaźnika HIR. Warianty rozwiązań w obu testach analizowane są w oparciu o ocenę wielokryterialną. Szczegółowe informacje dotyczące rozwiązań metodycznych wyznaczenia SZCW i SCW przedstawia dokument </w:t>
      </w:r>
      <w:r w:rsidRPr="0062089A">
        <w:rPr>
          <w:rFonts w:asciiTheme="minorHAnsi" w:hAnsiTheme="minorHAnsi"/>
          <w:i/>
          <w:iCs/>
        </w:rPr>
        <w:t>Ostateczna metodyka wyznaczania silnie zmienionych i sztucznych części wód powierzchniowych wraz z koncepcją określania potencjału ekologicznego.</w:t>
      </w:r>
      <w:r w:rsidRPr="0062089A">
        <w:rPr>
          <w:rFonts w:eastAsia="Times New Roman" w:cs="Calibri"/>
          <w:lang w:eastAsia="pl-PL"/>
        </w:rPr>
        <w:t> </w:t>
      </w:r>
    </w:p>
    <w:p w14:paraId="175059D0" w14:textId="3CBEC1D4"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 xml:space="preserve">Wykaz SCW i SZCW wraz z </w:t>
      </w:r>
      <w:r w:rsidRPr="00C8729D">
        <w:rPr>
          <w:rFonts w:asciiTheme="minorHAnsi" w:eastAsiaTheme="minorHAnsi" w:hAnsiTheme="minorHAnsi"/>
          <w:color w:val="000000"/>
        </w:rPr>
        <w:t xml:space="preserve">uzasadnieniem ich wyznaczenia zawiera załącznik nr </w:t>
      </w:r>
      <w:r w:rsidR="008B1A60" w:rsidRPr="00C8729D">
        <w:rPr>
          <w:rFonts w:asciiTheme="minorHAnsi" w:eastAsiaTheme="minorHAnsi" w:hAnsiTheme="minorHAnsi"/>
          <w:color w:val="000000"/>
        </w:rPr>
        <w:t>3</w:t>
      </w:r>
      <w:r w:rsidRPr="00C8729D">
        <w:rPr>
          <w:rFonts w:asciiTheme="minorHAnsi" w:eastAsiaTheme="minorHAnsi" w:hAnsiTheme="minorHAnsi"/>
          <w:color w:val="000000"/>
        </w:rPr>
        <w:t>, który przedstawia szczegółowe informacje o poszczególnych jcw. Położenie i granice jcwp w obszarze dorzecza Pregoły prezentuje mapa stanowiąca załącznik graficzny nr 1 do planu</w:t>
      </w:r>
      <w:r>
        <w:rPr>
          <w:rFonts w:asciiTheme="minorHAnsi" w:eastAsiaTheme="minorHAnsi" w:hAnsiTheme="minorHAnsi"/>
          <w:color w:val="000000"/>
        </w:rPr>
        <w:t xml:space="preserve"> gospodarowania wodami.</w:t>
      </w:r>
    </w:p>
    <w:p w14:paraId="009243A1" w14:textId="234B8F2B" w:rsidR="00962F1E"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Liczbę jcwp w poszczególnych regionach wodnych z określonym statusem opisuje poniższa tabela</w:t>
      </w:r>
      <w:r w:rsidR="00CF433D">
        <w:rPr>
          <w:rFonts w:asciiTheme="minorHAnsi" w:eastAsiaTheme="minorHAnsi" w:hAnsiTheme="minorHAnsi"/>
          <w:color w:val="000000"/>
        </w:rPr>
        <w:t xml:space="preserve"> 3- 5</w:t>
      </w:r>
      <w:r>
        <w:rPr>
          <w:rFonts w:asciiTheme="minorHAnsi" w:eastAsiaTheme="minorHAnsi" w:hAnsiTheme="minorHAnsi"/>
          <w:color w:val="000000"/>
        </w:rPr>
        <w:t>.</w:t>
      </w:r>
    </w:p>
    <w:p w14:paraId="74885CF3" w14:textId="482274AA" w:rsidR="004A1B76" w:rsidRDefault="004A1B76" w:rsidP="006802BB">
      <w:pPr>
        <w:pStyle w:val="Legenda"/>
      </w:pPr>
      <w:bookmarkStart w:id="37" w:name="_Toc68726950"/>
      <w:r>
        <w:t xml:space="preserve">Tabela </w:t>
      </w:r>
      <w:fldSimple w:instr=" STYLEREF 1 \s ">
        <w:r w:rsidR="007B4050">
          <w:rPr>
            <w:noProof/>
          </w:rPr>
          <w:t>3</w:t>
        </w:r>
      </w:fldSimple>
      <w:r w:rsidR="007B4050">
        <w:noBreakHyphen/>
      </w:r>
      <w:fldSimple w:instr=" SEQ Tabela \* ARABIC \s 1 ">
        <w:r w:rsidR="007B4050">
          <w:rPr>
            <w:noProof/>
          </w:rPr>
          <w:t>5</w:t>
        </w:r>
      </w:fldSimple>
      <w:r>
        <w:tab/>
      </w:r>
      <w:r w:rsidRPr="004434AB">
        <w:t>Zestawienie jcwp z określonym statusem na obszarze dorzecza Pregoły</w:t>
      </w:r>
      <w:bookmarkEnd w:id="37"/>
    </w:p>
    <w:tbl>
      <w:tblPr>
        <w:tblStyle w:val="Tabela-Siatka"/>
        <w:tblW w:w="9067" w:type="dxa"/>
        <w:tblLayout w:type="fixed"/>
        <w:tblLook w:val="04A0" w:firstRow="1" w:lastRow="0" w:firstColumn="1" w:lastColumn="0" w:noHBand="0" w:noVBand="1"/>
      </w:tblPr>
      <w:tblGrid>
        <w:gridCol w:w="2405"/>
        <w:gridCol w:w="1276"/>
        <w:gridCol w:w="1134"/>
        <w:gridCol w:w="1276"/>
        <w:gridCol w:w="1417"/>
        <w:gridCol w:w="1559"/>
      </w:tblGrid>
      <w:tr w:rsidR="00483E3A" w:rsidRPr="009C4801" w14:paraId="4548DBCB" w14:textId="77777777" w:rsidTr="003F4A95">
        <w:trPr>
          <w:tblHeader/>
        </w:trPr>
        <w:tc>
          <w:tcPr>
            <w:tcW w:w="2405" w:type="dxa"/>
            <w:vMerge w:val="restart"/>
            <w:shd w:val="clear" w:color="auto" w:fill="BFBFBF" w:themeFill="background1" w:themeFillShade="BF"/>
            <w:vAlign w:val="center"/>
          </w:tcPr>
          <w:p w14:paraId="57B6D3FC" w14:textId="77777777" w:rsidR="00483E3A" w:rsidRPr="009C4801" w:rsidRDefault="00483E3A" w:rsidP="00840CCD">
            <w:pPr>
              <w:widowControl w:val="0"/>
              <w:autoSpaceDE w:val="0"/>
              <w:autoSpaceDN w:val="0"/>
              <w:adjustRightInd w:val="0"/>
              <w:ind w:right="57"/>
              <w:rPr>
                <w:rFonts w:asciiTheme="minorHAnsi" w:eastAsiaTheme="minorHAnsi" w:hAnsiTheme="minorHAnsi"/>
                <w:b/>
                <w:bCs/>
                <w:sz w:val="20"/>
                <w:szCs w:val="20"/>
              </w:rPr>
            </w:pPr>
            <w:r w:rsidRPr="009C4801">
              <w:rPr>
                <w:rFonts w:asciiTheme="minorHAnsi" w:eastAsiaTheme="minorHAnsi" w:hAnsiTheme="minorHAnsi"/>
                <w:b/>
                <w:bCs/>
                <w:sz w:val="20"/>
                <w:szCs w:val="20"/>
              </w:rPr>
              <w:t>Region wodny</w:t>
            </w:r>
          </w:p>
        </w:tc>
        <w:tc>
          <w:tcPr>
            <w:tcW w:w="6662" w:type="dxa"/>
            <w:gridSpan w:val="5"/>
            <w:shd w:val="clear" w:color="auto" w:fill="BFBFBF" w:themeFill="background1" w:themeFillShade="BF"/>
          </w:tcPr>
          <w:p w14:paraId="1BEF4578" w14:textId="77777777" w:rsidR="00483E3A" w:rsidRPr="003F4A95"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sidRPr="003F4A95">
              <w:rPr>
                <w:rFonts w:asciiTheme="minorHAnsi" w:eastAsiaTheme="minorHAnsi" w:hAnsiTheme="minorHAnsi"/>
                <w:b/>
                <w:bCs/>
                <w:sz w:val="20"/>
                <w:szCs w:val="20"/>
              </w:rPr>
              <w:t>Liczba jcwp z określonym statusem</w:t>
            </w:r>
          </w:p>
        </w:tc>
      </w:tr>
      <w:tr w:rsidR="00483E3A" w:rsidRPr="009C4801" w14:paraId="45B7A212" w14:textId="77777777" w:rsidTr="003F4A95">
        <w:trPr>
          <w:tblHeader/>
        </w:trPr>
        <w:tc>
          <w:tcPr>
            <w:tcW w:w="2405" w:type="dxa"/>
            <w:vMerge/>
          </w:tcPr>
          <w:p w14:paraId="1724D45D" w14:textId="77777777" w:rsidR="00483E3A" w:rsidRPr="009C4801" w:rsidRDefault="00483E3A" w:rsidP="00840CCD">
            <w:pPr>
              <w:widowControl w:val="0"/>
              <w:autoSpaceDE w:val="0"/>
              <w:autoSpaceDN w:val="0"/>
              <w:adjustRightInd w:val="0"/>
              <w:ind w:right="57"/>
              <w:rPr>
                <w:rFonts w:asciiTheme="minorHAnsi" w:eastAsiaTheme="minorHAnsi" w:hAnsiTheme="minorHAnsi"/>
                <w:b/>
                <w:bCs/>
                <w:sz w:val="20"/>
                <w:szCs w:val="20"/>
              </w:rPr>
            </w:pPr>
          </w:p>
        </w:tc>
        <w:tc>
          <w:tcPr>
            <w:tcW w:w="3686" w:type="dxa"/>
            <w:gridSpan w:val="3"/>
            <w:shd w:val="clear" w:color="auto" w:fill="BFBFBF" w:themeFill="background1" w:themeFillShade="BF"/>
          </w:tcPr>
          <w:p w14:paraId="7AF3B08C" w14:textId="77777777" w:rsidR="00483E3A" w:rsidRPr="003F4A95" w:rsidRDefault="00483E3A" w:rsidP="00840CCD">
            <w:pPr>
              <w:widowControl w:val="0"/>
              <w:autoSpaceDE w:val="0"/>
              <w:autoSpaceDN w:val="0"/>
              <w:adjustRightInd w:val="0"/>
              <w:ind w:right="57"/>
              <w:jc w:val="center"/>
              <w:rPr>
                <w:rFonts w:asciiTheme="minorHAnsi" w:eastAsiaTheme="minorHAnsi" w:hAnsiTheme="minorHAnsi"/>
                <w:sz w:val="20"/>
                <w:szCs w:val="20"/>
              </w:rPr>
            </w:pPr>
            <w:r w:rsidRPr="003F4A95">
              <w:rPr>
                <w:rFonts w:asciiTheme="minorHAnsi" w:eastAsiaTheme="minorHAnsi" w:hAnsiTheme="minorHAnsi"/>
                <w:sz w:val="20"/>
                <w:szCs w:val="20"/>
              </w:rPr>
              <w:t>RW</w:t>
            </w:r>
          </w:p>
        </w:tc>
        <w:tc>
          <w:tcPr>
            <w:tcW w:w="2976" w:type="dxa"/>
            <w:gridSpan w:val="2"/>
            <w:shd w:val="clear" w:color="auto" w:fill="BFBFBF" w:themeFill="background1" w:themeFillShade="BF"/>
          </w:tcPr>
          <w:p w14:paraId="71C8F6F9" w14:textId="77777777" w:rsidR="00483E3A" w:rsidRPr="003F4A95" w:rsidRDefault="00483E3A" w:rsidP="00840CCD">
            <w:pPr>
              <w:widowControl w:val="0"/>
              <w:autoSpaceDE w:val="0"/>
              <w:autoSpaceDN w:val="0"/>
              <w:adjustRightInd w:val="0"/>
              <w:ind w:right="57"/>
              <w:jc w:val="center"/>
              <w:rPr>
                <w:rFonts w:asciiTheme="minorHAnsi" w:eastAsiaTheme="minorHAnsi" w:hAnsiTheme="minorHAnsi"/>
                <w:sz w:val="20"/>
                <w:szCs w:val="20"/>
              </w:rPr>
            </w:pPr>
            <w:r w:rsidRPr="003F4A95">
              <w:rPr>
                <w:rFonts w:asciiTheme="minorHAnsi" w:eastAsiaTheme="minorHAnsi" w:hAnsiTheme="minorHAnsi"/>
                <w:sz w:val="20"/>
                <w:szCs w:val="20"/>
              </w:rPr>
              <w:t>LW</w:t>
            </w:r>
          </w:p>
        </w:tc>
      </w:tr>
      <w:tr w:rsidR="00483E3A" w:rsidRPr="009C4801" w14:paraId="627F3D9E" w14:textId="77777777" w:rsidTr="004434AB">
        <w:trPr>
          <w:tblHeader/>
        </w:trPr>
        <w:tc>
          <w:tcPr>
            <w:tcW w:w="2405" w:type="dxa"/>
            <w:vMerge/>
          </w:tcPr>
          <w:p w14:paraId="30D170DF" w14:textId="77777777" w:rsidR="00483E3A" w:rsidRPr="009C4801" w:rsidRDefault="00483E3A" w:rsidP="00840CCD">
            <w:pPr>
              <w:widowControl w:val="0"/>
              <w:autoSpaceDE w:val="0"/>
              <w:autoSpaceDN w:val="0"/>
              <w:adjustRightInd w:val="0"/>
              <w:ind w:right="57"/>
              <w:rPr>
                <w:rFonts w:asciiTheme="minorHAnsi" w:eastAsiaTheme="minorHAnsi" w:hAnsiTheme="minorHAnsi"/>
                <w:b/>
                <w:bCs/>
                <w:sz w:val="20"/>
                <w:szCs w:val="20"/>
              </w:rPr>
            </w:pPr>
          </w:p>
        </w:tc>
        <w:tc>
          <w:tcPr>
            <w:tcW w:w="1276" w:type="dxa"/>
            <w:shd w:val="clear" w:color="auto" w:fill="9BBB59" w:themeFill="accent3"/>
          </w:tcPr>
          <w:p w14:paraId="6DE3D6CD"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9C4801">
              <w:rPr>
                <w:rFonts w:asciiTheme="minorHAnsi" w:eastAsiaTheme="minorHAnsi" w:hAnsiTheme="minorHAnsi"/>
                <w:color w:val="000000"/>
                <w:sz w:val="20"/>
                <w:szCs w:val="20"/>
              </w:rPr>
              <w:t>NAT</w:t>
            </w:r>
          </w:p>
        </w:tc>
        <w:tc>
          <w:tcPr>
            <w:tcW w:w="1134" w:type="dxa"/>
            <w:shd w:val="clear" w:color="auto" w:fill="D9D9D9" w:themeFill="background1" w:themeFillShade="D9"/>
          </w:tcPr>
          <w:p w14:paraId="58B474BA"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9C4801">
              <w:rPr>
                <w:rFonts w:asciiTheme="minorHAnsi" w:eastAsiaTheme="minorHAnsi" w:hAnsiTheme="minorHAnsi"/>
                <w:color w:val="000000"/>
                <w:sz w:val="20"/>
                <w:szCs w:val="20"/>
              </w:rPr>
              <w:t>SCW</w:t>
            </w:r>
          </w:p>
        </w:tc>
        <w:tc>
          <w:tcPr>
            <w:tcW w:w="1276" w:type="dxa"/>
            <w:shd w:val="clear" w:color="auto" w:fill="000000" w:themeFill="text1"/>
          </w:tcPr>
          <w:p w14:paraId="1DEEDFF6"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color w:val="FFFFFF" w:themeColor="background1"/>
                <w:sz w:val="20"/>
                <w:szCs w:val="20"/>
              </w:rPr>
            </w:pPr>
            <w:r w:rsidRPr="009C4801">
              <w:rPr>
                <w:rFonts w:asciiTheme="minorHAnsi" w:eastAsiaTheme="minorHAnsi" w:hAnsiTheme="minorHAnsi"/>
                <w:color w:val="FFFFFF" w:themeColor="background1"/>
                <w:sz w:val="20"/>
                <w:szCs w:val="20"/>
              </w:rPr>
              <w:t>SZCW</w:t>
            </w:r>
          </w:p>
        </w:tc>
        <w:tc>
          <w:tcPr>
            <w:tcW w:w="1417" w:type="dxa"/>
            <w:shd w:val="clear" w:color="auto" w:fill="9BBB59" w:themeFill="accent3"/>
          </w:tcPr>
          <w:p w14:paraId="7012926B"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147DF3">
              <w:rPr>
                <w:rFonts w:asciiTheme="minorHAnsi" w:eastAsiaTheme="minorHAnsi" w:hAnsiTheme="minorHAnsi"/>
                <w:color w:val="000000"/>
                <w:sz w:val="20"/>
                <w:szCs w:val="20"/>
              </w:rPr>
              <w:t>NAT</w:t>
            </w:r>
          </w:p>
        </w:tc>
        <w:tc>
          <w:tcPr>
            <w:tcW w:w="1559" w:type="dxa"/>
            <w:shd w:val="clear" w:color="auto" w:fill="000000" w:themeFill="text1"/>
          </w:tcPr>
          <w:p w14:paraId="1387F99A"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color w:val="FFFFFF" w:themeColor="background1"/>
                <w:sz w:val="20"/>
                <w:szCs w:val="20"/>
              </w:rPr>
            </w:pPr>
            <w:r w:rsidRPr="009C4801">
              <w:rPr>
                <w:rFonts w:asciiTheme="minorHAnsi" w:eastAsiaTheme="minorHAnsi" w:hAnsiTheme="minorHAnsi"/>
                <w:color w:val="FFFFFF" w:themeColor="background1"/>
                <w:sz w:val="20"/>
                <w:szCs w:val="20"/>
              </w:rPr>
              <w:t>SZCW</w:t>
            </w:r>
          </w:p>
        </w:tc>
      </w:tr>
      <w:tr w:rsidR="00483E3A" w:rsidRPr="009C4801" w14:paraId="65004509" w14:textId="77777777" w:rsidTr="00163164">
        <w:tc>
          <w:tcPr>
            <w:tcW w:w="2405" w:type="dxa"/>
            <w:shd w:val="clear" w:color="auto" w:fill="auto"/>
          </w:tcPr>
          <w:p w14:paraId="466BCAD6" w14:textId="77777777" w:rsidR="00483E3A" w:rsidRPr="009C4801" w:rsidRDefault="00483E3A" w:rsidP="00840CCD">
            <w:pPr>
              <w:widowControl w:val="0"/>
              <w:autoSpaceDE w:val="0"/>
              <w:autoSpaceDN w:val="0"/>
              <w:adjustRightInd w:val="0"/>
              <w:ind w:right="57"/>
              <w:rPr>
                <w:rFonts w:asciiTheme="minorHAnsi" w:eastAsiaTheme="minorHAnsi" w:hAnsiTheme="minorHAnsi"/>
                <w:b/>
                <w:bCs/>
                <w:sz w:val="20"/>
                <w:szCs w:val="20"/>
              </w:rPr>
            </w:pPr>
            <w:r>
              <w:rPr>
                <w:rFonts w:asciiTheme="minorHAnsi" w:eastAsiaTheme="minorHAnsi" w:hAnsiTheme="minorHAnsi"/>
                <w:b/>
                <w:bCs/>
                <w:sz w:val="20"/>
                <w:szCs w:val="20"/>
              </w:rPr>
              <w:t>Łyny i Węgorapy</w:t>
            </w:r>
          </w:p>
        </w:tc>
        <w:tc>
          <w:tcPr>
            <w:tcW w:w="1276" w:type="dxa"/>
            <w:shd w:val="clear" w:color="auto" w:fill="auto"/>
            <w:vAlign w:val="center"/>
          </w:tcPr>
          <w:p w14:paraId="305157EC" w14:textId="77777777" w:rsidR="00483E3A" w:rsidRPr="00E236D7" w:rsidRDefault="00483E3A" w:rsidP="00840CCD">
            <w:pPr>
              <w:widowControl w:val="0"/>
              <w:autoSpaceDE w:val="0"/>
              <w:autoSpaceDN w:val="0"/>
              <w:adjustRightInd w:val="0"/>
              <w:ind w:right="57"/>
              <w:jc w:val="center"/>
              <w:rPr>
                <w:rFonts w:asciiTheme="minorHAnsi" w:eastAsiaTheme="minorEastAsia" w:hAnsiTheme="minorHAnsi"/>
                <w:color w:val="000000"/>
                <w:sz w:val="20"/>
                <w:szCs w:val="20"/>
              </w:rPr>
            </w:pPr>
            <w:r w:rsidRPr="00E236D7">
              <w:rPr>
                <w:rFonts w:asciiTheme="minorHAnsi" w:eastAsiaTheme="minorEastAsia" w:hAnsiTheme="minorHAnsi"/>
                <w:color w:val="000000"/>
                <w:sz w:val="20"/>
                <w:szCs w:val="20"/>
              </w:rPr>
              <w:t>80</w:t>
            </w:r>
          </w:p>
        </w:tc>
        <w:tc>
          <w:tcPr>
            <w:tcW w:w="1134" w:type="dxa"/>
            <w:shd w:val="clear" w:color="auto" w:fill="auto"/>
            <w:vAlign w:val="center"/>
          </w:tcPr>
          <w:p w14:paraId="3BA6CCF4" w14:textId="77777777" w:rsidR="00483E3A" w:rsidRPr="00E236D7" w:rsidRDefault="00483E3A" w:rsidP="00840CCD">
            <w:pPr>
              <w:widowControl w:val="0"/>
              <w:autoSpaceDE w:val="0"/>
              <w:autoSpaceDN w:val="0"/>
              <w:adjustRightInd w:val="0"/>
              <w:ind w:right="57"/>
              <w:jc w:val="center"/>
              <w:rPr>
                <w:rFonts w:asciiTheme="minorHAnsi" w:eastAsiaTheme="minorEastAsia" w:hAnsiTheme="minorHAnsi"/>
                <w:color w:val="000000"/>
                <w:sz w:val="20"/>
                <w:szCs w:val="20"/>
              </w:rPr>
            </w:pPr>
            <w:r w:rsidRPr="00E236D7">
              <w:rPr>
                <w:rFonts w:asciiTheme="minorHAnsi" w:eastAsiaTheme="minorEastAsia" w:hAnsiTheme="minorHAnsi"/>
                <w:color w:val="000000"/>
                <w:sz w:val="20"/>
                <w:szCs w:val="20"/>
              </w:rPr>
              <w:t>1</w:t>
            </w:r>
          </w:p>
        </w:tc>
        <w:tc>
          <w:tcPr>
            <w:tcW w:w="1276" w:type="dxa"/>
            <w:shd w:val="clear" w:color="auto" w:fill="auto"/>
            <w:vAlign w:val="center"/>
          </w:tcPr>
          <w:p w14:paraId="09118CC7" w14:textId="77777777" w:rsidR="00483E3A" w:rsidRPr="00E236D7" w:rsidRDefault="00483E3A" w:rsidP="00840CCD">
            <w:pPr>
              <w:widowControl w:val="0"/>
              <w:autoSpaceDE w:val="0"/>
              <w:autoSpaceDN w:val="0"/>
              <w:adjustRightInd w:val="0"/>
              <w:ind w:right="57"/>
              <w:jc w:val="center"/>
              <w:rPr>
                <w:rFonts w:asciiTheme="minorHAnsi" w:eastAsiaTheme="minorEastAsia" w:hAnsiTheme="minorHAnsi"/>
                <w:color w:val="000000"/>
                <w:sz w:val="20"/>
                <w:szCs w:val="20"/>
              </w:rPr>
            </w:pPr>
            <w:r w:rsidRPr="00E236D7">
              <w:rPr>
                <w:rFonts w:asciiTheme="minorHAnsi" w:eastAsiaTheme="minorEastAsia" w:hAnsiTheme="minorHAnsi"/>
                <w:color w:val="000000"/>
                <w:sz w:val="20"/>
                <w:szCs w:val="20"/>
              </w:rPr>
              <w:t>1</w:t>
            </w:r>
          </w:p>
        </w:tc>
        <w:tc>
          <w:tcPr>
            <w:tcW w:w="1417" w:type="dxa"/>
            <w:shd w:val="clear" w:color="auto" w:fill="auto"/>
          </w:tcPr>
          <w:p w14:paraId="0152637F" w14:textId="77777777" w:rsidR="00483E3A" w:rsidRPr="00E236D7"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E236D7">
              <w:rPr>
                <w:rFonts w:asciiTheme="minorHAnsi" w:eastAsiaTheme="minorHAnsi" w:hAnsiTheme="minorHAnsi"/>
                <w:color w:val="000000"/>
                <w:sz w:val="20"/>
                <w:szCs w:val="20"/>
              </w:rPr>
              <w:t>99</w:t>
            </w:r>
          </w:p>
        </w:tc>
        <w:tc>
          <w:tcPr>
            <w:tcW w:w="1559" w:type="dxa"/>
            <w:shd w:val="clear" w:color="auto" w:fill="auto"/>
          </w:tcPr>
          <w:p w14:paraId="50BFB143" w14:textId="77777777" w:rsidR="00483E3A" w:rsidRPr="00E236D7" w:rsidRDefault="00483E3A" w:rsidP="00840CCD">
            <w:pPr>
              <w:widowControl w:val="0"/>
              <w:autoSpaceDE w:val="0"/>
              <w:autoSpaceDN w:val="0"/>
              <w:adjustRightInd w:val="0"/>
              <w:ind w:right="57"/>
              <w:jc w:val="center"/>
              <w:rPr>
                <w:rFonts w:asciiTheme="minorHAnsi" w:eastAsiaTheme="minorHAnsi" w:hAnsiTheme="minorHAnsi"/>
                <w:color w:val="000000"/>
                <w:sz w:val="20"/>
                <w:szCs w:val="20"/>
              </w:rPr>
            </w:pPr>
            <w:r w:rsidRPr="00E236D7">
              <w:rPr>
                <w:rFonts w:asciiTheme="minorHAnsi" w:eastAsiaTheme="minorHAnsi" w:hAnsiTheme="minorHAnsi"/>
                <w:color w:val="000000"/>
                <w:sz w:val="20"/>
                <w:szCs w:val="20"/>
              </w:rPr>
              <w:t>6</w:t>
            </w:r>
          </w:p>
        </w:tc>
      </w:tr>
      <w:tr w:rsidR="00483E3A" w:rsidRPr="009C4801" w14:paraId="5808AA53" w14:textId="77777777" w:rsidTr="003F4A95">
        <w:tc>
          <w:tcPr>
            <w:tcW w:w="2405" w:type="dxa"/>
            <w:shd w:val="clear" w:color="auto" w:fill="BFBFBF" w:themeFill="background1" w:themeFillShade="BF"/>
            <w:vAlign w:val="center"/>
          </w:tcPr>
          <w:p w14:paraId="56654C93" w14:textId="77777777" w:rsidR="00483E3A" w:rsidRPr="009C4801" w:rsidRDefault="00483E3A" w:rsidP="00840CCD">
            <w:pPr>
              <w:widowControl w:val="0"/>
              <w:autoSpaceDE w:val="0"/>
              <w:autoSpaceDN w:val="0"/>
              <w:adjustRightInd w:val="0"/>
              <w:ind w:right="57"/>
              <w:rPr>
                <w:rFonts w:asciiTheme="minorHAnsi" w:eastAsiaTheme="minorHAnsi" w:hAnsiTheme="minorHAnsi"/>
                <w:b/>
                <w:bCs/>
                <w:sz w:val="20"/>
                <w:szCs w:val="20"/>
              </w:rPr>
            </w:pPr>
            <w:r w:rsidRPr="009C4801">
              <w:rPr>
                <w:rFonts w:asciiTheme="minorHAnsi" w:eastAsiaTheme="minorHAnsi" w:hAnsiTheme="minorHAnsi"/>
                <w:b/>
                <w:bCs/>
                <w:sz w:val="20"/>
                <w:szCs w:val="20"/>
              </w:rPr>
              <w:t>Łącznie w obszarze dorzecza</w:t>
            </w:r>
          </w:p>
        </w:tc>
        <w:tc>
          <w:tcPr>
            <w:tcW w:w="1276" w:type="dxa"/>
            <w:shd w:val="clear" w:color="auto" w:fill="BFBFBF" w:themeFill="background1" w:themeFillShade="BF"/>
            <w:vAlign w:val="center"/>
          </w:tcPr>
          <w:p w14:paraId="0737893C"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80</w:t>
            </w:r>
          </w:p>
        </w:tc>
        <w:tc>
          <w:tcPr>
            <w:tcW w:w="1134" w:type="dxa"/>
            <w:shd w:val="clear" w:color="auto" w:fill="BFBFBF" w:themeFill="background1" w:themeFillShade="BF"/>
            <w:vAlign w:val="center"/>
          </w:tcPr>
          <w:p w14:paraId="78987080"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1</w:t>
            </w:r>
          </w:p>
        </w:tc>
        <w:tc>
          <w:tcPr>
            <w:tcW w:w="1276" w:type="dxa"/>
            <w:shd w:val="clear" w:color="auto" w:fill="BFBFBF" w:themeFill="background1" w:themeFillShade="BF"/>
            <w:vAlign w:val="center"/>
          </w:tcPr>
          <w:p w14:paraId="0B20D710"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1</w:t>
            </w:r>
          </w:p>
        </w:tc>
        <w:tc>
          <w:tcPr>
            <w:tcW w:w="1417" w:type="dxa"/>
            <w:shd w:val="clear" w:color="auto" w:fill="BFBFBF" w:themeFill="background1" w:themeFillShade="BF"/>
            <w:vAlign w:val="center"/>
          </w:tcPr>
          <w:p w14:paraId="05E73E55"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99</w:t>
            </w:r>
          </w:p>
        </w:tc>
        <w:tc>
          <w:tcPr>
            <w:tcW w:w="1559" w:type="dxa"/>
            <w:shd w:val="clear" w:color="auto" w:fill="BFBFBF" w:themeFill="background1" w:themeFillShade="BF"/>
            <w:vAlign w:val="center"/>
          </w:tcPr>
          <w:p w14:paraId="134EFB3A" w14:textId="77777777" w:rsidR="00483E3A" w:rsidRPr="009C4801" w:rsidRDefault="00483E3A" w:rsidP="00840CCD">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6</w:t>
            </w:r>
          </w:p>
        </w:tc>
      </w:tr>
    </w:tbl>
    <w:p w14:paraId="5F7B0C37" w14:textId="13F60874" w:rsidR="00483E3A" w:rsidRPr="00D2567D" w:rsidRDefault="00483E3A" w:rsidP="00483E3A">
      <w:pPr>
        <w:rPr>
          <w:rFonts w:asciiTheme="minorHAnsi" w:hAnsiTheme="minorHAnsi" w:cstheme="minorHAnsi"/>
          <w:i/>
          <w:iCs/>
          <w:sz w:val="20"/>
          <w:szCs w:val="20"/>
          <w:lang w:eastAsia="zh-CN"/>
        </w:rPr>
      </w:pPr>
      <w:r w:rsidRPr="00D2567D">
        <w:rPr>
          <w:rFonts w:asciiTheme="minorHAnsi" w:hAnsiTheme="minorHAnsi" w:cstheme="minorHAnsi"/>
          <w:i/>
          <w:iCs/>
          <w:sz w:val="20"/>
          <w:szCs w:val="20"/>
          <w:lang w:eastAsia="zh-CN"/>
        </w:rPr>
        <w:t xml:space="preserve">NAT </w:t>
      </w:r>
      <w:r w:rsidR="006C4947">
        <w:rPr>
          <w:rFonts w:asciiTheme="minorHAnsi" w:hAnsiTheme="minorHAnsi" w:cstheme="minorHAnsi"/>
          <w:i/>
          <w:iCs/>
          <w:sz w:val="20"/>
          <w:szCs w:val="20"/>
          <w:lang w:eastAsia="zh-CN"/>
        </w:rPr>
        <w:t>-</w:t>
      </w:r>
      <w:r w:rsidRPr="00D2567D">
        <w:rPr>
          <w:rFonts w:asciiTheme="minorHAnsi" w:hAnsiTheme="minorHAnsi" w:cstheme="minorHAnsi"/>
          <w:i/>
          <w:iCs/>
          <w:sz w:val="20"/>
          <w:szCs w:val="20"/>
          <w:lang w:eastAsia="zh-CN"/>
        </w:rPr>
        <w:t xml:space="preserve"> naturalna część wód; SCW </w:t>
      </w:r>
      <w:r w:rsidR="006C4947">
        <w:rPr>
          <w:rFonts w:asciiTheme="minorHAnsi" w:hAnsiTheme="minorHAnsi" w:cstheme="minorHAnsi"/>
          <w:i/>
          <w:iCs/>
          <w:sz w:val="20"/>
          <w:szCs w:val="20"/>
          <w:lang w:eastAsia="zh-CN"/>
        </w:rPr>
        <w:t>-</w:t>
      </w:r>
      <w:r w:rsidRPr="00D2567D">
        <w:rPr>
          <w:rFonts w:asciiTheme="minorHAnsi" w:hAnsiTheme="minorHAnsi" w:cstheme="minorHAnsi"/>
          <w:i/>
          <w:iCs/>
          <w:sz w:val="20"/>
          <w:szCs w:val="20"/>
          <w:lang w:eastAsia="zh-CN"/>
        </w:rPr>
        <w:t xml:space="preserve"> sztuczna część wód; SZCW </w:t>
      </w:r>
      <w:r w:rsidR="006C4947">
        <w:rPr>
          <w:rFonts w:asciiTheme="minorHAnsi" w:hAnsiTheme="minorHAnsi" w:cstheme="minorHAnsi"/>
          <w:i/>
          <w:iCs/>
          <w:sz w:val="20"/>
          <w:szCs w:val="20"/>
          <w:lang w:eastAsia="zh-CN"/>
        </w:rPr>
        <w:t>-</w:t>
      </w:r>
      <w:r w:rsidRPr="00D2567D">
        <w:rPr>
          <w:rFonts w:asciiTheme="minorHAnsi" w:hAnsiTheme="minorHAnsi" w:cstheme="minorHAnsi"/>
          <w:i/>
          <w:iCs/>
          <w:sz w:val="20"/>
          <w:szCs w:val="20"/>
          <w:lang w:eastAsia="zh-CN"/>
        </w:rPr>
        <w:t xml:space="preserve"> silnie zmieniona część wód</w:t>
      </w:r>
    </w:p>
    <w:p w14:paraId="0E908090" w14:textId="43D49BF3" w:rsidR="00483E3A" w:rsidRPr="004434AB" w:rsidRDefault="00483E3A" w:rsidP="00483E3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sidR="00907601">
        <w:rPr>
          <w:rFonts w:asciiTheme="minorHAnsi" w:hAnsiTheme="minorHAnsi" w:cstheme="minorHAnsi"/>
          <w:i/>
          <w:color w:val="003399"/>
          <w:sz w:val="18"/>
          <w:szCs w:val="18"/>
          <w:lang w:eastAsia="zh-CN"/>
        </w:rPr>
        <w:t xml:space="preserve">opracowanie </w:t>
      </w:r>
      <w:r w:rsidR="005B3051">
        <w:rPr>
          <w:rFonts w:asciiTheme="minorHAnsi" w:hAnsiTheme="minorHAnsi" w:cstheme="minorHAnsi"/>
          <w:i/>
          <w:color w:val="003399"/>
          <w:sz w:val="18"/>
          <w:szCs w:val="18"/>
          <w:lang w:eastAsia="zh-CN"/>
        </w:rPr>
        <w:t>własne</w:t>
      </w:r>
    </w:p>
    <w:p w14:paraId="58A0BAF9" w14:textId="6EEF9336"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W obszarze dorzecza Pregoły przeważają naturalne części wód. Większość jcw kategorii RW oraz LW posiadają status naturalnej części wód, mniejszość stanowią SZCW. Wśród jcwp RW wyróżnia się również SCW.</w:t>
      </w:r>
    </w:p>
    <w:p w14:paraId="2931D82C" w14:textId="74907D04" w:rsidR="00483E3A" w:rsidRDefault="00483E3A" w:rsidP="00483E3A">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 xml:space="preserve">Poniższe wykresy </w:t>
      </w:r>
      <w:r w:rsidR="002024C7">
        <w:rPr>
          <w:rFonts w:asciiTheme="minorHAnsi" w:eastAsiaTheme="minorHAnsi" w:hAnsiTheme="minorHAnsi"/>
          <w:color w:val="000000"/>
        </w:rPr>
        <w:t xml:space="preserve">3-6 i 3-7 </w:t>
      </w:r>
      <w:r>
        <w:rPr>
          <w:rFonts w:asciiTheme="minorHAnsi" w:eastAsiaTheme="minorHAnsi" w:hAnsiTheme="minorHAnsi"/>
          <w:color w:val="000000"/>
        </w:rPr>
        <w:t>prezentują udział jcwp z określonym statusem, w ogólnej liczbie jcw danej kategorii w obszarze dorzecza Pregoły.</w:t>
      </w:r>
    </w:p>
    <w:p w14:paraId="6C2EB997" w14:textId="13DB2486" w:rsidR="004A1B76" w:rsidRDefault="009D42D8" w:rsidP="004A1B76">
      <w:pPr>
        <w:keepNext/>
        <w:widowControl w:val="0"/>
        <w:autoSpaceDE w:val="0"/>
        <w:autoSpaceDN w:val="0"/>
        <w:adjustRightInd w:val="0"/>
        <w:ind w:right="57"/>
        <w:jc w:val="center"/>
      </w:pPr>
      <w:r>
        <w:rPr>
          <w:noProof/>
        </w:rPr>
        <w:drawing>
          <wp:inline distT="0" distB="0" distL="0" distR="0" wp14:anchorId="5914E5E5" wp14:editId="410707FB">
            <wp:extent cx="4410075" cy="2593975"/>
            <wp:effectExtent l="0" t="0" r="9525" b="15875"/>
            <wp:docPr id="3" name="Chart 3">
              <a:extLst xmlns:a="http://schemas.openxmlformats.org/drawingml/2006/main">
                <a:ext uri="{FF2B5EF4-FFF2-40B4-BE49-F238E27FC236}">
                  <a16:creationId xmlns:a16="http://schemas.microsoft.com/office/drawing/2014/main" id="{F771A7C7-1212-4DCA-9D82-3BAF88C88A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83ED12B" w14:textId="6D27F5CC" w:rsidR="00483E3A" w:rsidRDefault="004A1B76" w:rsidP="006802BB">
      <w:pPr>
        <w:pStyle w:val="Wykres"/>
        <w:rPr>
          <w:rFonts w:asciiTheme="minorHAnsi" w:eastAsiaTheme="minorHAnsi" w:hAnsiTheme="minorHAnsi"/>
          <w:color w:val="000000"/>
        </w:rPr>
      </w:pPr>
      <w:bookmarkStart w:id="38" w:name="_Toc68727084"/>
      <w:r>
        <w:t xml:space="preserve">Wykres </w:t>
      </w:r>
      <w:fldSimple w:instr=" STYLEREF 1 \s ">
        <w:r w:rsidR="00EF3FD3">
          <w:rPr>
            <w:noProof/>
          </w:rPr>
          <w:t>3</w:t>
        </w:r>
      </w:fldSimple>
      <w:r w:rsidR="00EF3FD3">
        <w:noBreakHyphen/>
      </w:r>
      <w:fldSimple w:instr=" SEQ Wykres \* ARABIC \s 1 ">
        <w:r w:rsidR="00EF3FD3">
          <w:rPr>
            <w:noProof/>
          </w:rPr>
          <w:t>6</w:t>
        </w:r>
      </w:fldSimple>
      <w:r>
        <w:tab/>
      </w:r>
      <w:r w:rsidRPr="00F400E6">
        <w:t>Udział jcwp RW z określonym statusem w ogólnej liczbie jcwp RW na obszarze dorzecza Pregoły</w:t>
      </w:r>
      <w:bookmarkEnd w:id="38"/>
    </w:p>
    <w:p w14:paraId="0CC9D498" w14:textId="257E5F69" w:rsidR="00483E3A" w:rsidRPr="00805605" w:rsidRDefault="00483E3A" w:rsidP="003D372B">
      <w:pPr>
        <w:pStyle w:val="rdo0"/>
        <w:rPr>
          <w:lang w:eastAsia="zh-CN"/>
        </w:rPr>
      </w:pPr>
      <w:r w:rsidRPr="00805605">
        <w:rPr>
          <w:lang w:eastAsia="zh-CN"/>
        </w:rPr>
        <w:t xml:space="preserve">Źródło: </w:t>
      </w:r>
      <w:r w:rsidR="00907601">
        <w:rPr>
          <w:lang w:eastAsia="zh-CN"/>
        </w:rPr>
        <w:t xml:space="preserve">opracowanie </w:t>
      </w:r>
      <w:r w:rsidR="005B3051">
        <w:rPr>
          <w:lang w:eastAsia="zh-CN"/>
        </w:rPr>
        <w:t>własne</w:t>
      </w:r>
    </w:p>
    <w:p w14:paraId="718B4A6C" w14:textId="77777777" w:rsidR="004A1B76" w:rsidRDefault="0009504C" w:rsidP="004A1B76">
      <w:pPr>
        <w:keepNext/>
        <w:widowControl w:val="0"/>
        <w:autoSpaceDE w:val="0"/>
        <w:autoSpaceDN w:val="0"/>
        <w:adjustRightInd w:val="0"/>
        <w:ind w:right="57"/>
        <w:jc w:val="center"/>
      </w:pPr>
      <w:r>
        <w:rPr>
          <w:noProof/>
        </w:rPr>
        <w:drawing>
          <wp:inline distT="0" distB="0" distL="0" distR="0" wp14:anchorId="672A9F67" wp14:editId="6F9D2A4B">
            <wp:extent cx="4572000" cy="2770654"/>
            <wp:effectExtent l="0" t="0" r="0" b="10795"/>
            <wp:docPr id="225" name="Wykres 225">
              <a:extLst xmlns:a="http://schemas.openxmlformats.org/drawingml/2006/main">
                <a:ext uri="{FF2B5EF4-FFF2-40B4-BE49-F238E27FC236}">
                  <a16:creationId xmlns:a16="http://schemas.microsoft.com/office/drawing/2014/main" id="{C259FC2C-A1D6-45DA-A1F0-71702B728E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136BA73" w14:textId="535350C5" w:rsidR="00483E3A" w:rsidRDefault="004A1B76" w:rsidP="006802BB">
      <w:pPr>
        <w:pStyle w:val="Wykres"/>
        <w:rPr>
          <w:rFonts w:asciiTheme="minorHAnsi" w:eastAsiaTheme="minorHAnsi" w:hAnsiTheme="minorHAnsi"/>
          <w:color w:val="000000"/>
        </w:rPr>
      </w:pPr>
      <w:bookmarkStart w:id="39" w:name="_Toc68727085"/>
      <w:r>
        <w:t xml:space="preserve">Wykres </w:t>
      </w:r>
      <w:fldSimple w:instr=" STYLEREF 1 \s ">
        <w:r w:rsidR="00EF3FD3">
          <w:rPr>
            <w:noProof/>
          </w:rPr>
          <w:t>3</w:t>
        </w:r>
      </w:fldSimple>
      <w:r w:rsidR="00EF3FD3">
        <w:noBreakHyphen/>
      </w:r>
      <w:fldSimple w:instr=" SEQ Wykres \* ARABIC \s 1 ">
        <w:r w:rsidR="00EF3FD3">
          <w:rPr>
            <w:noProof/>
          </w:rPr>
          <w:t>7</w:t>
        </w:r>
      </w:fldSimple>
      <w:r>
        <w:tab/>
      </w:r>
      <w:r w:rsidRPr="00805605">
        <w:t>Udział jcwp LW z określonym statusem w ogólnej liczbie jcwp LW na obszarze dorzecza Pregoły</w:t>
      </w:r>
      <w:bookmarkEnd w:id="39"/>
    </w:p>
    <w:p w14:paraId="7F88328D" w14:textId="09566F07" w:rsidR="00483E3A" w:rsidRPr="00805605" w:rsidRDefault="00483E3A" w:rsidP="003D372B">
      <w:pPr>
        <w:pStyle w:val="rdo0"/>
        <w:rPr>
          <w:lang w:eastAsia="zh-CN"/>
        </w:rPr>
      </w:pPr>
      <w:r w:rsidRPr="00805605">
        <w:rPr>
          <w:lang w:eastAsia="zh-CN"/>
        </w:rPr>
        <w:t xml:space="preserve">Źródło: </w:t>
      </w:r>
      <w:r w:rsidR="00907601">
        <w:rPr>
          <w:lang w:eastAsia="zh-CN"/>
        </w:rPr>
        <w:t xml:space="preserve">opracowanie </w:t>
      </w:r>
      <w:r w:rsidR="005B3051">
        <w:rPr>
          <w:lang w:eastAsia="zh-CN"/>
        </w:rPr>
        <w:t>własne</w:t>
      </w:r>
    </w:p>
    <w:p w14:paraId="61310D5D" w14:textId="507D4154" w:rsidR="00483E3A" w:rsidRDefault="00483E3A" w:rsidP="00B50FFD">
      <w:pPr>
        <w:pStyle w:val="Nagwek2"/>
      </w:pPr>
      <w:bookmarkStart w:id="40" w:name="_Toc68726836"/>
      <w:r>
        <w:t>Wykaz jcwpd</w:t>
      </w:r>
      <w:bookmarkEnd w:id="40"/>
    </w:p>
    <w:p w14:paraId="31DA80AE" w14:textId="42FD1E98" w:rsidR="00483E3A" w:rsidRPr="00DC444D" w:rsidRDefault="00483E3A" w:rsidP="00483E3A">
      <w:pPr>
        <w:widowControl w:val="0"/>
        <w:autoSpaceDE w:val="0"/>
        <w:autoSpaceDN w:val="0"/>
        <w:adjustRightInd w:val="0"/>
        <w:ind w:right="57"/>
        <w:rPr>
          <w:rFonts w:asciiTheme="minorHAnsi" w:eastAsiaTheme="minorHAnsi" w:hAnsiTheme="minorHAnsi"/>
          <w:color w:val="000000"/>
        </w:rPr>
      </w:pPr>
      <w:r w:rsidRPr="00D21855">
        <w:rPr>
          <w:rFonts w:asciiTheme="minorHAnsi" w:hAnsiTheme="minorHAnsi"/>
        </w:rPr>
        <w:t xml:space="preserve">W obrębie dorzecza </w:t>
      </w:r>
      <w:r>
        <w:rPr>
          <w:rFonts w:asciiTheme="minorHAnsi" w:hAnsiTheme="minorHAnsi"/>
        </w:rPr>
        <w:t>Pregoły</w:t>
      </w:r>
      <w:r w:rsidRPr="00D21855">
        <w:rPr>
          <w:rFonts w:asciiTheme="minorHAnsi" w:hAnsiTheme="minorHAnsi"/>
        </w:rPr>
        <w:t xml:space="preserve"> znajdują się </w:t>
      </w:r>
      <w:r w:rsidRPr="00693F36">
        <w:rPr>
          <w:rFonts w:asciiTheme="minorHAnsi" w:hAnsiTheme="minorHAnsi"/>
        </w:rPr>
        <w:t xml:space="preserve">2 jcwpd (tabela nr </w:t>
      </w:r>
      <w:r w:rsidR="004A1B76" w:rsidRPr="00693F36">
        <w:rPr>
          <w:rFonts w:asciiTheme="minorHAnsi" w:hAnsiTheme="minorHAnsi"/>
        </w:rPr>
        <w:t>3-</w:t>
      </w:r>
      <w:r w:rsidRPr="00693F36">
        <w:rPr>
          <w:rFonts w:asciiTheme="minorHAnsi" w:hAnsiTheme="minorHAnsi"/>
        </w:rPr>
        <w:t>6).</w:t>
      </w:r>
      <w:r w:rsidRPr="00693F36">
        <w:rPr>
          <w:rStyle w:val="Odwoanieprzypisudolnego"/>
          <w:rFonts w:asciiTheme="minorHAnsi" w:hAnsiTheme="minorHAnsi"/>
        </w:rPr>
        <w:footnoteReference w:id="9"/>
      </w:r>
      <w:r w:rsidRPr="00693F36">
        <w:rPr>
          <w:rFonts w:asciiTheme="minorHAnsi" w:hAnsiTheme="minorHAnsi"/>
        </w:rPr>
        <w:t xml:space="preserve"> </w:t>
      </w:r>
      <w:r w:rsidRPr="00693F36">
        <w:rPr>
          <w:rFonts w:asciiTheme="minorHAnsi" w:eastAsiaTheme="minorHAnsi" w:hAnsiTheme="minorHAnsi"/>
          <w:color w:val="000000" w:themeColor="text1"/>
        </w:rPr>
        <w:t xml:space="preserve">Zbiorcza informacja dotycząca jcwpd </w:t>
      </w:r>
      <w:r w:rsidRPr="00693F36">
        <w:rPr>
          <w:rFonts w:asciiTheme="minorHAnsi" w:eastAsiaTheme="minorHAnsi" w:hAnsiTheme="minorHAnsi"/>
          <w:color w:val="000000"/>
        </w:rPr>
        <w:t xml:space="preserve">występujących na obszarze dorzecza Pregoły przedstawiona została w załączniku nr 1, który przedstawia szczegółowe informacje o poszczególnych jcw. Położenie i granice jcwpd w obszarze dorzecza Pregoły obrazuje mapa stanowiąca załącznik graficzny nr </w:t>
      </w:r>
      <w:r w:rsidR="00785A15" w:rsidRPr="00693F36">
        <w:rPr>
          <w:rFonts w:asciiTheme="minorHAnsi" w:eastAsiaTheme="minorHAnsi" w:hAnsiTheme="minorHAnsi"/>
          <w:color w:val="000000"/>
        </w:rPr>
        <w:t>4</w:t>
      </w:r>
      <w:r w:rsidRPr="00693F36">
        <w:rPr>
          <w:rFonts w:asciiTheme="minorHAnsi" w:eastAsiaTheme="minorHAnsi" w:hAnsiTheme="minorHAnsi"/>
          <w:color w:val="000000"/>
        </w:rPr>
        <w:t xml:space="preserve"> do planu</w:t>
      </w:r>
      <w:r>
        <w:rPr>
          <w:rFonts w:asciiTheme="minorHAnsi" w:eastAsiaTheme="minorHAnsi" w:hAnsiTheme="minorHAnsi"/>
          <w:color w:val="000000"/>
        </w:rPr>
        <w:t xml:space="preserve"> gospodarowania wodami.</w:t>
      </w:r>
    </w:p>
    <w:p w14:paraId="083952D7" w14:textId="4BC4FCD8" w:rsidR="004A1B76" w:rsidRDefault="004A1B76" w:rsidP="00156846">
      <w:pPr>
        <w:pStyle w:val="Tabela"/>
      </w:pPr>
      <w:bookmarkStart w:id="41" w:name="_Toc68726951"/>
      <w:r>
        <w:t xml:space="preserve">Tabela </w:t>
      </w:r>
      <w:fldSimple w:instr=" STYLEREF 1 \s ">
        <w:r w:rsidR="007B4050">
          <w:rPr>
            <w:noProof/>
          </w:rPr>
          <w:t>3</w:t>
        </w:r>
      </w:fldSimple>
      <w:r w:rsidR="007B4050">
        <w:noBreakHyphen/>
      </w:r>
      <w:fldSimple w:instr=" SEQ Tabela \* ARABIC \s 1 ">
        <w:r w:rsidR="007B4050">
          <w:rPr>
            <w:noProof/>
          </w:rPr>
          <w:t>6</w:t>
        </w:r>
      </w:fldSimple>
      <w:r>
        <w:tab/>
      </w:r>
      <w:r w:rsidRPr="1F796E96">
        <w:t xml:space="preserve">Zestawienie jcwpd </w:t>
      </w:r>
      <w:r>
        <w:t>na</w:t>
      </w:r>
      <w:r w:rsidRPr="1F796E96">
        <w:t xml:space="preserve"> obszarze dorzecza </w:t>
      </w:r>
      <w:r>
        <w:t>Pregoły</w:t>
      </w:r>
      <w:bookmarkEnd w:id="41"/>
    </w:p>
    <w:tbl>
      <w:tblPr>
        <w:tblW w:w="9137" w:type="dxa"/>
        <w:jc w:val="center"/>
        <w:tblCellMar>
          <w:left w:w="70" w:type="dxa"/>
          <w:right w:w="70" w:type="dxa"/>
        </w:tblCellMar>
        <w:tblLook w:val="04A0" w:firstRow="1" w:lastRow="0" w:firstColumn="1" w:lastColumn="0" w:noHBand="0" w:noVBand="1"/>
      </w:tblPr>
      <w:tblGrid>
        <w:gridCol w:w="1838"/>
        <w:gridCol w:w="1843"/>
        <w:gridCol w:w="3126"/>
        <w:gridCol w:w="2330"/>
      </w:tblGrid>
      <w:tr w:rsidR="00483E3A" w:rsidRPr="009C4801" w14:paraId="7AB0B370" w14:textId="77777777" w:rsidTr="003F4A95">
        <w:trPr>
          <w:trHeight w:val="1116"/>
          <w:jc w:val="center"/>
        </w:trPr>
        <w:tc>
          <w:tcPr>
            <w:tcW w:w="183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280F3A4" w14:textId="77777777" w:rsidR="00483E3A" w:rsidRPr="009C4801" w:rsidRDefault="00483E3A" w:rsidP="00907601">
            <w:pPr>
              <w:jc w:val="center"/>
              <w:rPr>
                <w:b/>
                <w:bCs/>
                <w:color w:val="000000"/>
                <w:sz w:val="20"/>
                <w:szCs w:val="20"/>
              </w:rPr>
            </w:pPr>
            <w:bookmarkStart w:id="42" w:name="_Hlk65821377"/>
            <w:r w:rsidRPr="009C4801">
              <w:rPr>
                <w:b/>
                <w:bCs/>
                <w:color w:val="000000"/>
                <w:sz w:val="20"/>
                <w:szCs w:val="20"/>
              </w:rPr>
              <w:t>Region wodny</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80F9FE4" w14:textId="77777777" w:rsidR="00483E3A" w:rsidRPr="009C4801" w:rsidRDefault="00483E3A" w:rsidP="00907601">
            <w:pPr>
              <w:jc w:val="center"/>
              <w:rPr>
                <w:b/>
                <w:bCs/>
                <w:color w:val="000000"/>
                <w:sz w:val="20"/>
                <w:szCs w:val="20"/>
              </w:rPr>
            </w:pPr>
            <w:r w:rsidRPr="009C4801">
              <w:rPr>
                <w:b/>
                <w:bCs/>
                <w:color w:val="000000"/>
                <w:sz w:val="20"/>
                <w:szCs w:val="20"/>
              </w:rPr>
              <w:t>Liczba jcwpd</w:t>
            </w:r>
          </w:p>
        </w:tc>
        <w:tc>
          <w:tcPr>
            <w:tcW w:w="312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A75A1FB" w14:textId="77777777" w:rsidR="00483E3A" w:rsidRPr="009C4801" w:rsidRDefault="00483E3A" w:rsidP="00840CCD">
            <w:pPr>
              <w:jc w:val="center"/>
              <w:rPr>
                <w:b/>
                <w:bCs/>
                <w:color w:val="000000"/>
                <w:sz w:val="20"/>
                <w:szCs w:val="20"/>
              </w:rPr>
            </w:pPr>
            <w:r w:rsidRPr="4B45E3C0">
              <w:rPr>
                <w:b/>
                <w:bCs/>
                <w:color w:val="000000" w:themeColor="text1"/>
                <w:sz w:val="20"/>
                <w:szCs w:val="20"/>
              </w:rPr>
              <w:t>Liczba jcwpd obejmujących obszar więcej niż 1 regionu wodnego</w:t>
            </w:r>
          </w:p>
        </w:tc>
        <w:tc>
          <w:tcPr>
            <w:tcW w:w="233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9772419" w14:textId="77777777" w:rsidR="00483E3A" w:rsidRPr="4B45E3C0" w:rsidRDefault="00483E3A" w:rsidP="00840CCD">
            <w:pPr>
              <w:jc w:val="center"/>
              <w:rPr>
                <w:b/>
                <w:bCs/>
                <w:color w:val="000000" w:themeColor="text1"/>
                <w:sz w:val="20"/>
                <w:szCs w:val="20"/>
              </w:rPr>
            </w:pPr>
            <w:r>
              <w:rPr>
                <w:b/>
                <w:bCs/>
                <w:color w:val="000000"/>
                <w:sz w:val="20"/>
                <w:szCs w:val="20"/>
              </w:rPr>
              <w:t>Kod</w:t>
            </w:r>
            <w:r w:rsidRPr="009C4801">
              <w:rPr>
                <w:b/>
                <w:bCs/>
                <w:color w:val="000000"/>
                <w:sz w:val="20"/>
                <w:szCs w:val="20"/>
              </w:rPr>
              <w:t xml:space="preserve"> jcwpd</w:t>
            </w:r>
          </w:p>
        </w:tc>
      </w:tr>
      <w:tr w:rsidR="00483E3A" w:rsidRPr="009C4801" w14:paraId="445E68A1" w14:textId="77777777" w:rsidTr="003F4A95">
        <w:trPr>
          <w:trHeight w:val="30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7E0C027" w14:textId="77777777" w:rsidR="00483E3A" w:rsidRPr="009C4801" w:rsidRDefault="00483E3A" w:rsidP="00907601">
            <w:pPr>
              <w:jc w:val="center"/>
              <w:rPr>
                <w:b/>
                <w:bCs/>
                <w:color w:val="000000"/>
                <w:sz w:val="20"/>
                <w:szCs w:val="20"/>
              </w:rPr>
            </w:pPr>
            <w:r>
              <w:rPr>
                <w:b/>
                <w:bCs/>
                <w:color w:val="000000"/>
                <w:sz w:val="20"/>
                <w:szCs w:val="20"/>
              </w:rPr>
              <w:t>Łyny i Węgorapy</w:t>
            </w:r>
          </w:p>
        </w:tc>
        <w:tc>
          <w:tcPr>
            <w:tcW w:w="1843" w:type="dxa"/>
            <w:tcBorders>
              <w:top w:val="nil"/>
              <w:left w:val="nil"/>
              <w:bottom w:val="single" w:sz="4" w:space="0" w:color="auto"/>
              <w:right w:val="single" w:sz="4" w:space="0" w:color="auto"/>
            </w:tcBorders>
            <w:shd w:val="clear" w:color="auto" w:fill="auto"/>
            <w:vAlign w:val="center"/>
            <w:hideMark/>
          </w:tcPr>
          <w:p w14:paraId="34388ABC" w14:textId="77777777" w:rsidR="00483E3A" w:rsidRPr="009C4801" w:rsidRDefault="00483E3A" w:rsidP="00840CCD">
            <w:pPr>
              <w:jc w:val="center"/>
              <w:rPr>
                <w:color w:val="000000"/>
                <w:sz w:val="20"/>
                <w:szCs w:val="20"/>
              </w:rPr>
            </w:pPr>
            <w:r>
              <w:rPr>
                <w:color w:val="000000"/>
                <w:sz w:val="20"/>
                <w:szCs w:val="20"/>
              </w:rPr>
              <w:t>2</w:t>
            </w:r>
          </w:p>
        </w:tc>
        <w:tc>
          <w:tcPr>
            <w:tcW w:w="3126" w:type="dxa"/>
            <w:tcBorders>
              <w:top w:val="nil"/>
              <w:left w:val="nil"/>
              <w:bottom w:val="single" w:sz="4" w:space="0" w:color="auto"/>
              <w:right w:val="single" w:sz="4" w:space="0" w:color="auto"/>
            </w:tcBorders>
            <w:shd w:val="clear" w:color="auto" w:fill="auto"/>
            <w:vAlign w:val="center"/>
            <w:hideMark/>
          </w:tcPr>
          <w:p w14:paraId="782F1DB8" w14:textId="18E0DB21" w:rsidR="00483E3A" w:rsidRPr="009C4801" w:rsidRDefault="00483E3A" w:rsidP="00840CCD">
            <w:pPr>
              <w:jc w:val="center"/>
              <w:rPr>
                <w:color w:val="000000"/>
                <w:sz w:val="20"/>
                <w:szCs w:val="20"/>
              </w:rPr>
            </w:pPr>
            <w:r w:rsidRPr="009C4801">
              <w:rPr>
                <w:color w:val="000000"/>
                <w:sz w:val="20"/>
                <w:szCs w:val="20"/>
              </w:rPr>
              <w:t> </w:t>
            </w:r>
            <w:r w:rsidR="004934C6">
              <w:rPr>
                <w:color w:val="000000"/>
                <w:sz w:val="20"/>
                <w:szCs w:val="20"/>
              </w:rPr>
              <w:t>0</w:t>
            </w:r>
          </w:p>
        </w:tc>
        <w:tc>
          <w:tcPr>
            <w:tcW w:w="2330" w:type="dxa"/>
            <w:tcBorders>
              <w:top w:val="nil"/>
              <w:left w:val="nil"/>
              <w:bottom w:val="single" w:sz="4" w:space="0" w:color="auto"/>
              <w:right w:val="single" w:sz="4" w:space="0" w:color="auto"/>
            </w:tcBorders>
            <w:shd w:val="clear" w:color="auto" w:fill="auto"/>
          </w:tcPr>
          <w:p w14:paraId="42940A5D" w14:textId="77777777" w:rsidR="00483E3A" w:rsidRPr="009C4801" w:rsidRDefault="00483E3A" w:rsidP="00840CCD">
            <w:pPr>
              <w:jc w:val="center"/>
              <w:rPr>
                <w:color w:val="000000"/>
                <w:sz w:val="20"/>
                <w:szCs w:val="20"/>
              </w:rPr>
            </w:pPr>
            <w:r w:rsidRPr="000E1372">
              <w:rPr>
                <w:sz w:val="20"/>
                <w:szCs w:val="20"/>
              </w:rPr>
              <w:t>PLGW700020</w:t>
            </w:r>
            <w:r>
              <w:rPr>
                <w:sz w:val="20"/>
                <w:szCs w:val="20"/>
              </w:rPr>
              <w:t xml:space="preserve"> </w:t>
            </w:r>
            <w:r w:rsidRPr="000E1372">
              <w:rPr>
                <w:sz w:val="20"/>
                <w:szCs w:val="20"/>
              </w:rPr>
              <w:t>PLGW700021</w:t>
            </w:r>
            <w:r>
              <w:rPr>
                <w:sz w:val="20"/>
                <w:szCs w:val="20"/>
              </w:rPr>
              <w:t xml:space="preserve"> </w:t>
            </w:r>
          </w:p>
        </w:tc>
      </w:tr>
    </w:tbl>
    <w:bookmarkEnd w:id="42"/>
    <w:p w14:paraId="74E0AFF8" w14:textId="26BE47F8" w:rsidR="00483E3A" w:rsidRPr="008B62B4" w:rsidRDefault="00483E3A" w:rsidP="00F400E6">
      <w:pPr>
        <w:pStyle w:val="rdo0"/>
        <w:rPr>
          <w:i w:val="0"/>
          <w:iCs w:val="0"/>
          <w:sz w:val="20"/>
          <w:szCs w:val="20"/>
          <w:lang w:eastAsia="zh-CN"/>
        </w:rPr>
      </w:pPr>
      <w:r w:rsidRPr="00D40F66">
        <w:rPr>
          <w:lang w:eastAsia="zh-CN"/>
        </w:rPr>
        <w:t xml:space="preserve">Źródło: </w:t>
      </w:r>
      <w:r w:rsidR="00907601">
        <w:rPr>
          <w:lang w:eastAsia="zh-CN"/>
        </w:rPr>
        <w:t xml:space="preserve">opracowanie </w:t>
      </w:r>
      <w:r w:rsidR="005B3051">
        <w:rPr>
          <w:lang w:eastAsia="zh-CN"/>
        </w:rPr>
        <w:t>własne</w:t>
      </w:r>
    </w:p>
    <w:p w14:paraId="42328B72" w14:textId="0E8E9DF4" w:rsidR="0009504C" w:rsidRPr="00DF55BB" w:rsidRDefault="00483E3A" w:rsidP="00483E3A">
      <w:pPr>
        <w:spacing w:before="240"/>
      </w:pPr>
      <w:r>
        <w:rPr>
          <w:rFonts w:asciiTheme="minorHAnsi" w:hAnsiTheme="minorHAnsi"/>
        </w:rPr>
        <w:t xml:space="preserve">W </w:t>
      </w:r>
      <w:r w:rsidRPr="000E1372">
        <w:rPr>
          <w:rFonts w:asciiTheme="minorHAnsi" w:hAnsiTheme="minorHAnsi"/>
        </w:rPr>
        <w:t xml:space="preserve">obszarze dorzecza Pregoły </w:t>
      </w:r>
      <w:r>
        <w:rPr>
          <w:rFonts w:asciiTheme="minorHAnsi" w:hAnsiTheme="minorHAnsi"/>
        </w:rPr>
        <w:t>wody podziemne</w:t>
      </w:r>
      <w:r w:rsidRPr="000E1372">
        <w:rPr>
          <w:rFonts w:asciiTheme="minorHAnsi" w:hAnsiTheme="minorHAnsi"/>
        </w:rPr>
        <w:t xml:space="preserve"> </w:t>
      </w:r>
      <w:r>
        <w:rPr>
          <w:rFonts w:asciiTheme="minorHAnsi" w:hAnsiTheme="minorHAnsi"/>
        </w:rPr>
        <w:t>zlokalizowane są</w:t>
      </w:r>
      <w:r w:rsidRPr="000E1372">
        <w:rPr>
          <w:rFonts w:asciiTheme="minorHAnsi" w:hAnsiTheme="minorHAnsi"/>
        </w:rPr>
        <w:t xml:space="preserve"> głównie</w:t>
      </w:r>
      <w:r>
        <w:rPr>
          <w:rFonts w:asciiTheme="minorHAnsi" w:hAnsiTheme="minorHAnsi"/>
        </w:rPr>
        <w:t xml:space="preserve"> </w:t>
      </w:r>
      <w:r w:rsidRPr="000E1372">
        <w:rPr>
          <w:rFonts w:asciiTheme="minorHAnsi" w:hAnsiTheme="minorHAnsi"/>
        </w:rPr>
        <w:t>w</w:t>
      </w:r>
      <w:r>
        <w:rPr>
          <w:rFonts w:asciiTheme="minorHAnsi" w:hAnsiTheme="minorHAnsi"/>
        </w:rPr>
        <w:t xml:space="preserve"> </w:t>
      </w:r>
      <w:r w:rsidRPr="000E1372">
        <w:rPr>
          <w:rFonts w:asciiTheme="minorHAnsi" w:hAnsiTheme="minorHAnsi"/>
        </w:rPr>
        <w:t>pięt</w:t>
      </w:r>
      <w:r>
        <w:rPr>
          <w:rFonts w:asciiTheme="minorHAnsi" w:hAnsiTheme="minorHAnsi"/>
        </w:rPr>
        <w:t>rach</w:t>
      </w:r>
      <w:r w:rsidRPr="000E1372">
        <w:rPr>
          <w:rFonts w:asciiTheme="minorHAnsi" w:hAnsiTheme="minorHAnsi"/>
        </w:rPr>
        <w:t xml:space="preserve"> kredowym, neogeńsko-paleogeńskim</w:t>
      </w:r>
      <w:r>
        <w:rPr>
          <w:rFonts w:asciiTheme="minorHAnsi" w:hAnsiTheme="minorHAnsi"/>
        </w:rPr>
        <w:t xml:space="preserve"> oraz </w:t>
      </w:r>
      <w:r w:rsidRPr="000E1372">
        <w:rPr>
          <w:rFonts w:asciiTheme="minorHAnsi" w:hAnsiTheme="minorHAnsi"/>
        </w:rPr>
        <w:t xml:space="preserve">czwartorzędowym. </w:t>
      </w:r>
      <w:r>
        <w:rPr>
          <w:rFonts w:asciiTheme="minorHAnsi" w:hAnsiTheme="minorHAnsi"/>
        </w:rPr>
        <w:t>Poziom</w:t>
      </w:r>
      <w:r w:rsidRPr="000E1372">
        <w:rPr>
          <w:rFonts w:asciiTheme="minorHAnsi" w:hAnsiTheme="minorHAnsi"/>
        </w:rPr>
        <w:t xml:space="preserve"> wykorzystania zasobów wodnych jest </w:t>
      </w:r>
      <w:r>
        <w:rPr>
          <w:rFonts w:asciiTheme="minorHAnsi" w:hAnsiTheme="minorHAnsi"/>
        </w:rPr>
        <w:t>bardzo niski</w:t>
      </w:r>
      <w:r w:rsidRPr="000E1372">
        <w:rPr>
          <w:rFonts w:asciiTheme="minorHAnsi" w:hAnsiTheme="minorHAnsi"/>
        </w:rPr>
        <w:t xml:space="preserve">. Na obszarze dorzecza Pregoły </w:t>
      </w:r>
      <w:r>
        <w:rPr>
          <w:rFonts w:asciiTheme="minorHAnsi" w:hAnsiTheme="minorHAnsi"/>
        </w:rPr>
        <w:t>wyróżnia się</w:t>
      </w:r>
      <w:r w:rsidRPr="000E1372">
        <w:rPr>
          <w:rFonts w:asciiTheme="minorHAnsi" w:hAnsiTheme="minorHAnsi"/>
        </w:rPr>
        <w:t xml:space="preserve"> 8 GZWP</w:t>
      </w:r>
      <w:r>
        <w:rPr>
          <w:rFonts w:asciiTheme="minorHAnsi" w:hAnsiTheme="minorHAnsi"/>
        </w:rPr>
        <w:t xml:space="preserve"> </w:t>
      </w:r>
      <w:r w:rsidRPr="000E1372">
        <w:rPr>
          <w:rFonts w:asciiTheme="minorHAnsi" w:hAnsiTheme="minorHAnsi"/>
        </w:rPr>
        <w:t>(202, 215, 205, 206, 208, 212, 213, 214)</w:t>
      </w:r>
      <w:r>
        <w:rPr>
          <w:rFonts w:asciiTheme="minorHAnsi" w:hAnsiTheme="minorHAnsi"/>
        </w:rPr>
        <w:t xml:space="preserve"> </w:t>
      </w:r>
      <w:r w:rsidRPr="00A16F25">
        <w:rPr>
          <w:iCs/>
        </w:rPr>
        <w:t>w tym 1 o randze zbiornika lokalnego i 1 nieudokumentowany. Wszystkie zbiorniki mają porowy charakter ośrodka wodonośnego.</w:t>
      </w:r>
      <w:r>
        <w:rPr>
          <w:iCs/>
        </w:rPr>
        <w:t xml:space="preserve"> </w:t>
      </w:r>
      <w:r w:rsidRPr="00A16F25">
        <w:rPr>
          <w:iCs/>
        </w:rPr>
        <w:t>Ogólnie powierzchnia dorzecza Pregoły zajęta przez GZWP wynosi 2</w:t>
      </w:r>
      <w:r w:rsidR="00907601">
        <w:rPr>
          <w:iCs/>
        </w:rPr>
        <w:t> </w:t>
      </w:r>
      <w:r w:rsidRPr="00A16F25">
        <w:rPr>
          <w:iCs/>
        </w:rPr>
        <w:t>898,9 km</w:t>
      </w:r>
      <w:r w:rsidRPr="00A16F25">
        <w:rPr>
          <w:iCs/>
          <w:vertAlign w:val="superscript"/>
        </w:rPr>
        <w:t>2</w:t>
      </w:r>
      <w:r w:rsidRPr="00A16F25">
        <w:rPr>
          <w:iCs/>
        </w:rPr>
        <w:t xml:space="preserve">, co stanowi 38,6 % powierzchni </w:t>
      </w:r>
      <w:r w:rsidR="003714F2">
        <w:rPr>
          <w:iCs/>
        </w:rPr>
        <w:t xml:space="preserve">dorzecza </w:t>
      </w:r>
      <w:r w:rsidRPr="00A16F25">
        <w:rPr>
          <w:iCs/>
        </w:rPr>
        <w:t>w granicach Polski.</w:t>
      </w:r>
      <w:r>
        <w:rPr>
          <w:iCs/>
        </w:rPr>
        <w:t xml:space="preserve"> </w:t>
      </w:r>
    </w:p>
    <w:p w14:paraId="210DCDB1" w14:textId="1059361F" w:rsidR="00483E3A" w:rsidRDefault="00483E3A" w:rsidP="00B50FFD">
      <w:pPr>
        <w:pStyle w:val="Nagwek2"/>
      </w:pPr>
      <w:bookmarkStart w:id="43" w:name="_Toc68726837"/>
      <w:r w:rsidRPr="4E0B3E6E">
        <w:t>Wykaz obszarów chronionych, o których mowa w art. 317 ust. 4 ustawy</w:t>
      </w:r>
      <w:r w:rsidR="00CA6EBC">
        <w:t xml:space="preserve"> Prawo wodne</w:t>
      </w:r>
      <w:bookmarkEnd w:id="43"/>
    </w:p>
    <w:p w14:paraId="2998C583" w14:textId="77777777" w:rsidR="00483E3A" w:rsidRPr="00973F19" w:rsidRDefault="00483E3A" w:rsidP="00B50FFD">
      <w:pPr>
        <w:keepNext/>
        <w:autoSpaceDE w:val="0"/>
        <w:autoSpaceDN w:val="0"/>
        <w:adjustRightInd w:val="0"/>
        <w:rPr>
          <w:rFonts w:asciiTheme="minorHAnsi" w:eastAsiaTheme="minorHAnsi" w:hAnsiTheme="minorHAnsi" w:cs="Arial"/>
        </w:rPr>
      </w:pPr>
      <w:r>
        <w:rPr>
          <w:rFonts w:asciiTheme="minorHAnsi" w:eastAsiaTheme="minorHAnsi" w:hAnsiTheme="minorHAnsi" w:cs="Arial"/>
          <w:color w:val="000000"/>
        </w:rPr>
        <w:t xml:space="preserve">Zgodnie z art. 317 ust. 1 pkt 5 ustawy pr.w. jedną z dokumentacji planistycznych opracowywanych na potrzeby planów gospodarowania wodami jest rejestr wykazów obszarów chronionych. </w:t>
      </w:r>
      <w:r w:rsidRPr="00973F19">
        <w:rPr>
          <w:rFonts w:asciiTheme="minorHAnsi" w:eastAsiaTheme="minorHAnsi" w:hAnsiTheme="minorHAnsi" w:cs="Arial"/>
          <w:color w:val="000000"/>
        </w:rPr>
        <w:t>Artykuł ten obliguje do utworzenia rejestru wykazów obszarów chronionych zawierających wykazy:</w:t>
      </w:r>
    </w:p>
    <w:p w14:paraId="64DDEDA2" w14:textId="05EA5473" w:rsidR="00483E3A" w:rsidRPr="00EA7911" w:rsidRDefault="00483E3A" w:rsidP="00AA3506">
      <w:pPr>
        <w:pStyle w:val="Akapitzlist"/>
        <w:numPr>
          <w:ilvl w:val="0"/>
          <w:numId w:val="101"/>
        </w:numPr>
      </w:pPr>
      <w:r w:rsidRPr="00EA7911">
        <w:t>jednolitych części wód przeznaczonych do poboru wody na potrzeby zaopatrzenia ludności w</w:t>
      </w:r>
      <w:r w:rsidR="009420C0">
        <w:t> </w:t>
      </w:r>
      <w:r w:rsidRPr="00EA7911">
        <w:t xml:space="preserve"> wodę przeznaczoną do spożycia przez ludzi, o których mowa w art. 71</w:t>
      </w:r>
      <w:r>
        <w:t xml:space="preserve"> </w:t>
      </w:r>
      <w:r w:rsidR="00822135">
        <w:t xml:space="preserve">ustawy </w:t>
      </w:r>
      <w:r>
        <w:t>pr.w. (dalej ZL)</w:t>
      </w:r>
      <w:r w:rsidRPr="00EA7911">
        <w:t xml:space="preserve">; </w:t>
      </w:r>
    </w:p>
    <w:p w14:paraId="30F23EC9" w14:textId="77777777" w:rsidR="00483E3A" w:rsidRPr="00EA7911" w:rsidRDefault="00483E3A" w:rsidP="00AA3506">
      <w:pPr>
        <w:pStyle w:val="Akapitzlist"/>
        <w:numPr>
          <w:ilvl w:val="0"/>
          <w:numId w:val="101"/>
        </w:numPr>
      </w:pPr>
      <w:r w:rsidRPr="00EA7911">
        <w:t>jednolitych części wód przeznaczonych do celów rekreacyjnych, w tym kąpieliskowych</w:t>
      </w:r>
      <w:r>
        <w:t xml:space="preserve"> (dalej RK)</w:t>
      </w:r>
      <w:r w:rsidRPr="00EA7911">
        <w:t xml:space="preserve">; </w:t>
      </w:r>
    </w:p>
    <w:p w14:paraId="585F842D" w14:textId="77777777" w:rsidR="00483E3A" w:rsidRPr="00EA7911" w:rsidRDefault="00483E3A" w:rsidP="00AA3506">
      <w:pPr>
        <w:pStyle w:val="Akapitzlist"/>
        <w:numPr>
          <w:ilvl w:val="0"/>
          <w:numId w:val="101"/>
        </w:numPr>
      </w:pPr>
      <w:r w:rsidRPr="00EA7911">
        <w:t>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t xml:space="preserve"> (dalej EUT)</w:t>
      </w:r>
      <w:r w:rsidRPr="00EA7911">
        <w:t xml:space="preserve">; </w:t>
      </w:r>
    </w:p>
    <w:p w14:paraId="635EA669" w14:textId="77777777" w:rsidR="00483E3A" w:rsidRPr="00EA7911" w:rsidRDefault="00483E3A" w:rsidP="00AA3506">
      <w:pPr>
        <w:pStyle w:val="Akapitzlist"/>
        <w:numPr>
          <w:ilvl w:val="0"/>
          <w:numId w:val="101"/>
        </w:numPr>
      </w:pPr>
      <w:r w:rsidRPr="00EA7911">
        <w:t>obszarów przeznaczonych do ochrony siedlisk lub gatunków, o których mowa w przepisach ustawy z dnia 16 kwietnia 2004 r. o ochronie przyrody, dla których utrzymanie lub poprawa stanu wód jest ważnym czynnikiem w ich ochronie</w:t>
      </w:r>
      <w:r>
        <w:t xml:space="preserve"> (dalej SiG)</w:t>
      </w:r>
      <w:r w:rsidRPr="00EA7911">
        <w:t xml:space="preserve">; </w:t>
      </w:r>
    </w:p>
    <w:p w14:paraId="4122F1D8" w14:textId="77777777" w:rsidR="00483E3A" w:rsidRPr="00EA7911" w:rsidRDefault="00483E3A" w:rsidP="00AA3506">
      <w:pPr>
        <w:pStyle w:val="Akapitzlist"/>
        <w:numPr>
          <w:ilvl w:val="0"/>
          <w:numId w:val="101"/>
        </w:numPr>
      </w:pPr>
      <w:r w:rsidRPr="00EA7911">
        <w:t xml:space="preserve">obszarów przeznaczonych do ochrony gatunków zwierząt wodnych o znaczeniu gospodarczym. </w:t>
      </w:r>
    </w:p>
    <w:p w14:paraId="74A4D44A" w14:textId="77777777" w:rsidR="00483E3A" w:rsidRDefault="00483E3A" w:rsidP="00483E3A">
      <w:pPr>
        <w:widowControl w:val="0"/>
        <w:autoSpaceDE w:val="0"/>
        <w:autoSpaceDN w:val="0"/>
        <w:adjustRightInd w:val="0"/>
        <w:ind w:right="57"/>
        <w:rPr>
          <w:rFonts w:asciiTheme="minorHAnsi" w:eastAsiaTheme="minorHAnsi" w:hAnsiTheme="minorHAnsi" w:cs="Arial"/>
          <w:color w:val="000000"/>
        </w:rPr>
      </w:pPr>
      <w:r w:rsidRPr="00973F19">
        <w:rPr>
          <w:rFonts w:asciiTheme="minorHAnsi" w:eastAsiaTheme="minorHAnsi" w:hAnsiTheme="minorHAnsi" w:cs="Arial"/>
          <w:color w:val="000000"/>
        </w:rPr>
        <w:t>W Polsce pierwszy rejestr wykazów obszarów chronionych został sporządzony w 2003 r. Od tego czasu jest on poddawany przeglądowi i uaktualniany. Jego ostatnia aktualizacja miała miejsce w 20</w:t>
      </w:r>
      <w:r>
        <w:rPr>
          <w:rFonts w:asciiTheme="minorHAnsi" w:eastAsiaTheme="minorHAnsi" w:hAnsiTheme="minorHAnsi" w:cs="Arial"/>
          <w:color w:val="000000"/>
        </w:rPr>
        <w:t>20</w:t>
      </w:r>
      <w:r w:rsidRPr="00973F19">
        <w:rPr>
          <w:rFonts w:asciiTheme="minorHAnsi" w:eastAsiaTheme="minorHAnsi" w:hAnsiTheme="minorHAnsi" w:cs="Arial"/>
          <w:color w:val="000000"/>
        </w:rPr>
        <w:t xml:space="preserve"> r. </w:t>
      </w:r>
      <w:r>
        <w:rPr>
          <w:rStyle w:val="Odwoanieprzypisudolnego"/>
          <w:rFonts w:asciiTheme="minorHAnsi" w:eastAsiaTheme="minorHAnsi" w:hAnsiTheme="minorHAnsi" w:cs="Arial"/>
          <w:color w:val="000000"/>
        </w:rPr>
        <w:footnoteReference w:id="10"/>
      </w:r>
    </w:p>
    <w:p w14:paraId="72711F81" w14:textId="25F6B55A" w:rsidR="00483E3A" w:rsidRPr="000319DF" w:rsidRDefault="002753D5" w:rsidP="00B50FFD">
      <w:pPr>
        <w:pStyle w:val="Nagwek3"/>
      </w:pPr>
      <w:bookmarkStart w:id="44" w:name="_Toc68726838"/>
      <w:r>
        <w:t>Jcw</w:t>
      </w:r>
      <w:r w:rsidR="00483E3A" w:rsidRPr="000319DF">
        <w:t xml:space="preserve"> przeznaczon</w:t>
      </w:r>
      <w:r w:rsidR="00483E3A">
        <w:t>e</w:t>
      </w:r>
      <w:r w:rsidR="00483E3A" w:rsidRPr="000319DF">
        <w:t xml:space="preserve"> do poboru wody na potrzeby zaopatrzenia ludności w wodę przeznaczoną do spożycia przez ludzi, o których mowa w art. 71 </w:t>
      </w:r>
      <w:r w:rsidR="00822135">
        <w:t>ustawy P</w:t>
      </w:r>
      <w:r w:rsidR="00483E3A" w:rsidRPr="000319DF">
        <w:t>r</w:t>
      </w:r>
      <w:r w:rsidR="00822135">
        <w:t xml:space="preserve">awo </w:t>
      </w:r>
      <w:r w:rsidR="00483E3A" w:rsidRPr="000319DF">
        <w:t>w</w:t>
      </w:r>
      <w:r w:rsidR="00822135">
        <w:t>odne</w:t>
      </w:r>
      <w:bookmarkEnd w:id="44"/>
    </w:p>
    <w:p w14:paraId="78D2852E" w14:textId="7B22F33D" w:rsidR="00483E3A" w:rsidRDefault="00483E3A" w:rsidP="00483E3A">
      <w:pPr>
        <w:widowControl w:val="0"/>
        <w:autoSpaceDE w:val="0"/>
        <w:autoSpaceDN w:val="0"/>
        <w:adjustRightInd w:val="0"/>
        <w:ind w:right="57"/>
        <w:rPr>
          <w:rFonts w:asciiTheme="minorHAnsi" w:eastAsiaTheme="minorHAnsi" w:hAnsiTheme="minorHAnsi" w:cs="Arial"/>
          <w:color w:val="000000"/>
        </w:rPr>
      </w:pPr>
      <w:r w:rsidRPr="00907A38">
        <w:rPr>
          <w:rFonts w:asciiTheme="minorHAnsi" w:eastAsiaTheme="minorHAnsi" w:hAnsiTheme="minorHAnsi" w:cs="Arial"/>
          <w:color w:val="000000"/>
        </w:rPr>
        <w:t>Wykaz obszarów chronionych przeznaczonych do poboru wody na potrzeby zaopatrzenia ludności</w:t>
      </w:r>
      <w:r>
        <w:rPr>
          <w:rFonts w:asciiTheme="minorHAnsi" w:eastAsiaTheme="minorHAnsi" w:hAnsiTheme="minorHAnsi" w:cs="Arial"/>
          <w:color w:val="000000"/>
        </w:rPr>
        <w:t xml:space="preserve"> </w:t>
      </w:r>
      <w:r w:rsidRPr="00907A38">
        <w:rPr>
          <w:rFonts w:asciiTheme="minorHAnsi" w:eastAsiaTheme="minorHAnsi" w:hAnsiTheme="minorHAnsi" w:cs="Arial"/>
          <w:color w:val="000000"/>
        </w:rPr>
        <w:t>w</w:t>
      </w:r>
      <w:r w:rsidR="007B0D6B">
        <w:rPr>
          <w:rFonts w:asciiTheme="minorHAnsi" w:eastAsiaTheme="minorHAnsi" w:hAnsiTheme="minorHAnsi" w:cs="Arial"/>
          <w:color w:val="000000"/>
        </w:rPr>
        <w:t> </w:t>
      </w:r>
      <w:r w:rsidRPr="00907A38">
        <w:rPr>
          <w:rFonts w:asciiTheme="minorHAnsi" w:eastAsiaTheme="minorHAnsi" w:hAnsiTheme="minorHAnsi" w:cs="Arial"/>
          <w:color w:val="000000"/>
        </w:rPr>
        <w:t xml:space="preserve">wodę przeznaczoną do spożycia przez ludzi zawiera </w:t>
      </w:r>
      <w:r>
        <w:rPr>
          <w:rFonts w:asciiTheme="minorHAnsi" w:eastAsiaTheme="minorHAnsi" w:hAnsiTheme="minorHAnsi" w:cs="Arial"/>
          <w:color w:val="000000"/>
        </w:rPr>
        <w:t xml:space="preserve">łącznie w skali kraju </w:t>
      </w:r>
      <w:r w:rsidRPr="00907A38">
        <w:rPr>
          <w:rFonts w:asciiTheme="minorHAnsi" w:eastAsiaTheme="minorHAnsi" w:hAnsiTheme="minorHAnsi" w:cs="Arial"/>
          <w:color w:val="000000"/>
        </w:rPr>
        <w:t xml:space="preserve">178 </w:t>
      </w:r>
      <w:r>
        <w:rPr>
          <w:rFonts w:asciiTheme="minorHAnsi" w:eastAsiaTheme="minorHAnsi" w:hAnsiTheme="minorHAnsi" w:cs="Arial"/>
          <w:color w:val="000000"/>
        </w:rPr>
        <w:t>jcwp</w:t>
      </w:r>
      <w:r w:rsidRPr="00907A38">
        <w:rPr>
          <w:rFonts w:asciiTheme="minorHAnsi" w:eastAsiaTheme="minorHAnsi" w:hAnsiTheme="minorHAnsi" w:cs="Arial"/>
          <w:color w:val="000000"/>
        </w:rPr>
        <w:t xml:space="preserve">, z czego 1 to </w:t>
      </w:r>
      <w:r>
        <w:rPr>
          <w:rFonts w:asciiTheme="minorHAnsi" w:eastAsiaTheme="minorHAnsi" w:hAnsiTheme="minorHAnsi" w:cs="Arial"/>
          <w:color w:val="000000"/>
        </w:rPr>
        <w:t>jcwp</w:t>
      </w:r>
      <w:r w:rsidRPr="00907A38">
        <w:rPr>
          <w:rFonts w:asciiTheme="minorHAnsi" w:eastAsiaTheme="minorHAnsi" w:hAnsiTheme="minorHAnsi" w:cs="Arial"/>
          <w:color w:val="000000"/>
        </w:rPr>
        <w:t xml:space="preserve"> </w:t>
      </w:r>
      <w:r>
        <w:rPr>
          <w:rFonts w:asciiTheme="minorHAnsi" w:eastAsiaTheme="minorHAnsi" w:hAnsiTheme="minorHAnsi" w:cs="Arial"/>
          <w:color w:val="000000"/>
        </w:rPr>
        <w:t>LW</w:t>
      </w:r>
      <w:r w:rsidRPr="00907A38">
        <w:rPr>
          <w:rFonts w:asciiTheme="minorHAnsi" w:eastAsiaTheme="minorHAnsi" w:hAnsiTheme="minorHAnsi" w:cs="Arial"/>
          <w:color w:val="000000"/>
        </w:rPr>
        <w:t xml:space="preserve">, a pozostałych 177 to </w:t>
      </w:r>
      <w:r>
        <w:rPr>
          <w:rFonts w:asciiTheme="minorHAnsi" w:eastAsiaTheme="minorHAnsi" w:hAnsiTheme="minorHAnsi" w:cs="Arial"/>
          <w:color w:val="000000"/>
        </w:rPr>
        <w:t>jcwp RW</w:t>
      </w:r>
      <w:r w:rsidRPr="00907A38">
        <w:rPr>
          <w:rFonts w:asciiTheme="minorHAnsi" w:eastAsiaTheme="minorHAnsi" w:hAnsiTheme="minorHAnsi" w:cs="Arial"/>
          <w:color w:val="000000"/>
        </w:rPr>
        <w:t xml:space="preserve">, w tym 18 </w:t>
      </w:r>
      <w:r>
        <w:rPr>
          <w:rFonts w:asciiTheme="minorHAnsi" w:eastAsiaTheme="minorHAnsi" w:hAnsiTheme="minorHAnsi" w:cs="Arial"/>
          <w:color w:val="000000"/>
        </w:rPr>
        <w:t>jcwp RWr</w:t>
      </w:r>
      <w:r w:rsidRPr="00907A38">
        <w:rPr>
          <w:rFonts w:asciiTheme="minorHAnsi" w:eastAsiaTheme="minorHAnsi" w:hAnsiTheme="minorHAnsi" w:cs="Arial"/>
          <w:color w:val="000000"/>
        </w:rPr>
        <w:t>.</w:t>
      </w:r>
      <w:r>
        <w:rPr>
          <w:rFonts w:asciiTheme="minorHAnsi" w:eastAsiaTheme="minorHAnsi" w:hAnsiTheme="minorHAnsi" w:cs="Arial"/>
          <w:color w:val="000000"/>
        </w:rPr>
        <w:t xml:space="preserve"> Wszystkie jcwpd</w:t>
      </w:r>
      <w:r w:rsidRPr="00907A38">
        <w:rPr>
          <w:rFonts w:asciiTheme="minorHAnsi" w:eastAsiaTheme="minorHAnsi" w:hAnsiTheme="minorHAnsi" w:cs="Arial"/>
          <w:color w:val="000000"/>
        </w:rPr>
        <w:t xml:space="preserve"> </w:t>
      </w:r>
      <w:r>
        <w:rPr>
          <w:rFonts w:asciiTheme="minorHAnsi" w:eastAsiaTheme="minorHAnsi" w:hAnsiTheme="minorHAnsi" w:cs="Arial"/>
          <w:color w:val="000000"/>
        </w:rPr>
        <w:t xml:space="preserve">w Polsce wskazane są jako przeznaczone do </w:t>
      </w:r>
      <w:r w:rsidRPr="00907A38">
        <w:rPr>
          <w:rFonts w:asciiTheme="minorHAnsi" w:eastAsiaTheme="minorHAnsi" w:hAnsiTheme="minorHAnsi" w:cs="Arial"/>
          <w:color w:val="000000"/>
        </w:rPr>
        <w:t>poboru wody na potrzeby zaopatrzenia ludności w wodę przeznaczoną do spożycia przez ludzi</w:t>
      </w:r>
      <w:r>
        <w:rPr>
          <w:rFonts w:asciiTheme="minorHAnsi" w:eastAsiaTheme="minorHAnsi" w:hAnsiTheme="minorHAnsi" w:cs="Arial"/>
          <w:color w:val="000000"/>
        </w:rPr>
        <w:t>.</w:t>
      </w:r>
    </w:p>
    <w:p w14:paraId="3F4C3683" w14:textId="1AAF2CE6" w:rsidR="00483E3A" w:rsidRPr="000253E2" w:rsidRDefault="00483E3A" w:rsidP="00483E3A">
      <w:pPr>
        <w:widowControl w:val="0"/>
        <w:autoSpaceDE w:val="0"/>
        <w:autoSpaceDN w:val="0"/>
        <w:adjustRightInd w:val="0"/>
        <w:ind w:right="57"/>
        <w:rPr>
          <w:rFonts w:asciiTheme="minorHAnsi" w:eastAsiaTheme="minorHAnsi" w:hAnsiTheme="minorHAnsi" w:cs="Arial"/>
          <w:b/>
          <w:bCs/>
          <w:caps/>
        </w:rPr>
      </w:pPr>
      <w:r>
        <w:rPr>
          <w:rFonts w:asciiTheme="minorHAnsi" w:eastAsiaTheme="minorHAnsi" w:hAnsiTheme="minorHAnsi" w:cs="Arial"/>
          <w:color w:val="000000"/>
        </w:rPr>
        <w:t xml:space="preserve">W skali dorzecza Pregoły </w:t>
      </w:r>
      <w:r w:rsidR="00E0555D">
        <w:rPr>
          <w:rFonts w:asciiTheme="minorHAnsi" w:eastAsiaTheme="minorHAnsi" w:hAnsiTheme="minorHAnsi" w:cs="Arial"/>
          <w:color w:val="000000"/>
        </w:rPr>
        <w:t xml:space="preserve">nie występują </w:t>
      </w:r>
      <w:r w:rsidR="00E0555D" w:rsidRPr="003643FE">
        <w:rPr>
          <w:rFonts w:asciiTheme="minorHAnsi" w:eastAsiaTheme="minorHAnsi" w:hAnsiTheme="minorHAnsi" w:cs="Arial"/>
          <w:color w:val="000000"/>
        </w:rPr>
        <w:t>jcw</w:t>
      </w:r>
      <w:r w:rsidR="00E0555D">
        <w:rPr>
          <w:rFonts w:asciiTheme="minorHAnsi" w:eastAsiaTheme="minorHAnsi" w:hAnsiTheme="minorHAnsi" w:cs="Arial"/>
          <w:color w:val="000000"/>
        </w:rPr>
        <w:t>p</w:t>
      </w:r>
      <w:r w:rsidR="00E0555D" w:rsidRPr="003643FE">
        <w:rPr>
          <w:rFonts w:asciiTheme="minorHAnsi" w:eastAsiaTheme="minorHAnsi" w:hAnsiTheme="minorHAnsi" w:cs="Arial"/>
          <w:color w:val="000000"/>
        </w:rPr>
        <w:t xml:space="preserve"> uwzględnione w wykazie obszarów chronionych, jako jcw</w:t>
      </w:r>
      <w:r w:rsidR="001D1547">
        <w:rPr>
          <w:rFonts w:asciiTheme="minorHAnsi" w:eastAsiaTheme="minorHAnsi" w:hAnsiTheme="minorHAnsi" w:cs="Arial"/>
          <w:color w:val="000000"/>
        </w:rPr>
        <w:t>p</w:t>
      </w:r>
      <w:r w:rsidR="00E0555D" w:rsidRPr="003643FE">
        <w:rPr>
          <w:rFonts w:asciiTheme="minorHAnsi" w:eastAsiaTheme="minorHAnsi" w:hAnsiTheme="minorHAnsi" w:cs="Arial"/>
          <w:color w:val="000000"/>
        </w:rPr>
        <w:t xml:space="preserve"> przeznaczone do poboru wody na potrzeby zaopatrzenia ludności w wodę przeznaczoną do spożycia, o których mowa w art. 71 </w:t>
      </w:r>
      <w:r w:rsidR="00822135">
        <w:rPr>
          <w:rFonts w:asciiTheme="minorHAnsi" w:eastAsiaTheme="minorHAnsi" w:hAnsiTheme="minorHAnsi" w:cs="Arial"/>
          <w:color w:val="000000"/>
        </w:rPr>
        <w:t xml:space="preserve">ustawy </w:t>
      </w:r>
      <w:r w:rsidR="00E0555D" w:rsidRPr="003643FE">
        <w:rPr>
          <w:rFonts w:asciiTheme="minorHAnsi" w:eastAsiaTheme="minorHAnsi" w:hAnsiTheme="minorHAnsi" w:cs="Arial"/>
          <w:color w:val="000000"/>
        </w:rPr>
        <w:t>pr.</w:t>
      </w:r>
      <w:r w:rsidR="00E0555D">
        <w:rPr>
          <w:rFonts w:asciiTheme="minorHAnsi" w:eastAsiaTheme="minorHAnsi" w:hAnsiTheme="minorHAnsi" w:cs="Arial"/>
          <w:color w:val="000000"/>
        </w:rPr>
        <w:t xml:space="preserve">w. </w:t>
      </w:r>
      <w:r>
        <w:rPr>
          <w:rFonts w:asciiTheme="minorHAnsi" w:eastAsiaTheme="minorHAnsi" w:hAnsiTheme="minorHAnsi" w:cs="Arial"/>
          <w:color w:val="000000"/>
        </w:rPr>
        <w:t xml:space="preserve">Wszystkie jcwpd </w:t>
      </w:r>
      <w:r w:rsidR="00E0555D">
        <w:rPr>
          <w:rFonts w:asciiTheme="minorHAnsi" w:eastAsiaTheme="minorHAnsi" w:hAnsiTheme="minorHAnsi" w:cs="Arial"/>
          <w:color w:val="000000"/>
        </w:rPr>
        <w:t xml:space="preserve">w obszarze dorzecza Pregoły </w:t>
      </w:r>
      <w:r>
        <w:rPr>
          <w:rFonts w:asciiTheme="minorHAnsi" w:eastAsiaTheme="minorHAnsi" w:hAnsiTheme="minorHAnsi" w:cs="Arial"/>
          <w:color w:val="000000"/>
        </w:rPr>
        <w:t>są przeznaczone do poboru wody na potrzeby zaopatrzenia ludności w wodę</w:t>
      </w:r>
      <w:r w:rsidRPr="004D63B0">
        <w:rPr>
          <w:rFonts w:asciiTheme="minorHAnsi" w:eastAsiaTheme="minorHAnsi" w:hAnsiTheme="minorHAnsi" w:cs="Arial"/>
          <w:color w:val="000000"/>
        </w:rPr>
        <w:t>.</w:t>
      </w:r>
    </w:p>
    <w:p w14:paraId="69D422B8" w14:textId="182A1090" w:rsidR="00483E3A" w:rsidRDefault="00483E3A" w:rsidP="00483E3A">
      <w:pPr>
        <w:widowControl w:val="0"/>
        <w:autoSpaceDE w:val="0"/>
        <w:autoSpaceDN w:val="0"/>
        <w:adjustRightInd w:val="0"/>
        <w:rPr>
          <w:rFonts w:asciiTheme="minorHAnsi" w:eastAsiaTheme="minorHAnsi" w:hAnsiTheme="minorHAnsi"/>
          <w:color w:val="000000"/>
        </w:rPr>
      </w:pPr>
      <w:r>
        <w:rPr>
          <w:rFonts w:asciiTheme="minorHAnsi" w:eastAsiaTheme="minorHAnsi" w:hAnsiTheme="minorHAnsi"/>
          <w:color w:val="000000"/>
        </w:rPr>
        <w:t xml:space="preserve">Wykaz jcw </w:t>
      </w:r>
      <w:r w:rsidRPr="000319DF">
        <w:rPr>
          <w:rFonts w:asciiTheme="minorHAnsi" w:eastAsiaTheme="minorHAnsi" w:hAnsiTheme="minorHAnsi" w:cs="Arial"/>
          <w:color w:val="000000"/>
        </w:rPr>
        <w:t>przeznaczon</w:t>
      </w:r>
      <w:r>
        <w:rPr>
          <w:rFonts w:asciiTheme="minorHAnsi" w:eastAsiaTheme="minorHAnsi" w:hAnsiTheme="minorHAnsi" w:cs="Arial"/>
          <w:color w:val="000000"/>
        </w:rPr>
        <w:t xml:space="preserve">ych </w:t>
      </w:r>
      <w:r w:rsidRPr="000319DF">
        <w:rPr>
          <w:rFonts w:asciiTheme="minorHAnsi" w:eastAsiaTheme="minorHAnsi" w:hAnsiTheme="minorHAnsi" w:cs="Arial"/>
          <w:color w:val="000000"/>
        </w:rPr>
        <w:t xml:space="preserve">do poboru wody na potrzeby zaopatrzenia ludności w wodę przeznaczoną do spożycia przez ludzi, o których mowa w art. 71 </w:t>
      </w:r>
      <w:r w:rsidR="00822135">
        <w:rPr>
          <w:rFonts w:asciiTheme="minorHAnsi" w:eastAsiaTheme="minorHAnsi" w:hAnsiTheme="minorHAnsi" w:cs="Arial"/>
          <w:color w:val="000000"/>
        </w:rPr>
        <w:t xml:space="preserve">ustawy </w:t>
      </w:r>
      <w:r w:rsidRPr="000319DF">
        <w:rPr>
          <w:rFonts w:asciiTheme="minorHAnsi" w:eastAsiaTheme="minorHAnsi" w:hAnsiTheme="minorHAnsi" w:cs="Arial"/>
          <w:color w:val="000000"/>
        </w:rPr>
        <w:t>pr.w</w:t>
      </w:r>
      <w:r>
        <w:rPr>
          <w:rFonts w:asciiTheme="minorHAnsi" w:eastAsiaTheme="minorHAnsi" w:hAnsiTheme="minorHAnsi" w:cs="Arial"/>
          <w:color w:val="000000"/>
        </w:rPr>
        <w:t>,</w:t>
      </w:r>
      <w:r>
        <w:rPr>
          <w:rFonts w:asciiTheme="minorHAnsi" w:eastAsiaTheme="minorHAnsi" w:hAnsiTheme="minorHAnsi"/>
          <w:color w:val="000000"/>
        </w:rPr>
        <w:t xml:space="preserve"> </w:t>
      </w:r>
      <w:r w:rsidRPr="004C6D2E">
        <w:rPr>
          <w:rFonts w:asciiTheme="minorHAnsi" w:eastAsiaTheme="minorHAnsi" w:hAnsiTheme="minorHAnsi"/>
          <w:color w:val="000000"/>
        </w:rPr>
        <w:t>zawiera załącznik nr 1</w:t>
      </w:r>
      <w:r w:rsidR="004038FC" w:rsidRPr="004C6D2E">
        <w:rPr>
          <w:rFonts w:asciiTheme="minorHAnsi" w:eastAsiaTheme="minorHAnsi" w:hAnsiTheme="minorHAnsi"/>
          <w:color w:val="000000"/>
        </w:rPr>
        <w:t xml:space="preserve"> (</w:t>
      </w:r>
      <w:r w:rsidR="00706C2A" w:rsidRPr="004C6D2E">
        <w:rPr>
          <w:rFonts w:asciiTheme="minorHAnsi" w:eastAsiaTheme="minorHAnsi" w:hAnsiTheme="minorHAnsi"/>
          <w:color w:val="000000"/>
        </w:rPr>
        <w:t>Z</w:t>
      </w:r>
      <w:r w:rsidR="004038FC" w:rsidRPr="004C6D2E">
        <w:rPr>
          <w:rFonts w:asciiTheme="minorHAnsi" w:eastAsiaTheme="minorHAnsi" w:hAnsiTheme="minorHAnsi"/>
          <w:color w:val="000000"/>
        </w:rPr>
        <w:t xml:space="preserve">estawienie </w:t>
      </w:r>
      <w:r w:rsidR="00706C2A" w:rsidRPr="004C6D2E">
        <w:rPr>
          <w:rFonts w:asciiTheme="minorHAnsi" w:eastAsiaTheme="minorHAnsi" w:hAnsiTheme="minorHAnsi"/>
          <w:color w:val="000000"/>
        </w:rPr>
        <w:t>główne)</w:t>
      </w:r>
      <w:r w:rsidRPr="003C3300">
        <w:rPr>
          <w:rFonts w:asciiTheme="minorHAnsi" w:eastAsiaTheme="minorHAnsi" w:hAnsiTheme="minorHAnsi"/>
          <w:color w:val="000000"/>
        </w:rPr>
        <w:t>.</w:t>
      </w:r>
      <w:r>
        <w:rPr>
          <w:rFonts w:asciiTheme="minorHAnsi" w:eastAsiaTheme="minorHAnsi" w:hAnsiTheme="minorHAnsi"/>
          <w:color w:val="000000"/>
        </w:rPr>
        <w:t xml:space="preserve"> </w:t>
      </w:r>
    </w:p>
    <w:p w14:paraId="0D5004B0" w14:textId="6EFF3003" w:rsidR="00483E3A" w:rsidRPr="000319DF" w:rsidRDefault="002753D5" w:rsidP="00B50FFD">
      <w:pPr>
        <w:pStyle w:val="Nagwek3"/>
      </w:pPr>
      <w:bookmarkStart w:id="45" w:name="_Toc68726839"/>
      <w:r>
        <w:t>Jcw</w:t>
      </w:r>
      <w:r w:rsidR="00483E3A" w:rsidRPr="000319DF">
        <w:t xml:space="preserve"> przeznaczon</w:t>
      </w:r>
      <w:r w:rsidR="00483E3A">
        <w:t>e</w:t>
      </w:r>
      <w:r w:rsidR="00483E3A" w:rsidRPr="000319DF">
        <w:t xml:space="preserve"> </w:t>
      </w:r>
      <w:r w:rsidR="00483E3A" w:rsidRPr="008855ED">
        <w:t>do celów rekreacyjnych, w tym kąpieliskowych</w:t>
      </w:r>
      <w:bookmarkEnd w:id="45"/>
    </w:p>
    <w:p w14:paraId="51D083E4" w14:textId="3356B3CF" w:rsidR="00483E3A" w:rsidRDefault="00483E3A" w:rsidP="00483E3A">
      <w:pPr>
        <w:widowControl w:val="0"/>
        <w:autoSpaceDE w:val="0"/>
        <w:autoSpaceDN w:val="0"/>
        <w:adjustRightInd w:val="0"/>
        <w:ind w:right="57"/>
        <w:rPr>
          <w:rFonts w:asciiTheme="minorHAnsi" w:eastAsiaTheme="minorHAnsi" w:hAnsiTheme="minorHAnsi" w:cs="Arial"/>
          <w:color w:val="000000"/>
        </w:rPr>
      </w:pPr>
      <w:r w:rsidRPr="00907A38">
        <w:rPr>
          <w:rFonts w:asciiTheme="minorHAnsi" w:eastAsiaTheme="minorHAnsi" w:hAnsiTheme="minorHAnsi" w:cs="Arial"/>
          <w:color w:val="000000"/>
        </w:rPr>
        <w:t xml:space="preserve">Wykaz obszarów chronionych przeznaczonych do </w:t>
      </w:r>
      <w:r w:rsidR="009D42D8">
        <w:rPr>
          <w:rFonts w:asciiTheme="minorHAnsi" w:eastAsiaTheme="minorHAnsi" w:hAnsiTheme="minorHAnsi" w:cs="Arial"/>
          <w:color w:val="000000"/>
        </w:rPr>
        <w:t>celów rekreacyjnych</w:t>
      </w:r>
      <w:r w:rsidRPr="00907A38">
        <w:rPr>
          <w:rFonts w:asciiTheme="minorHAnsi" w:eastAsiaTheme="minorHAnsi" w:hAnsiTheme="minorHAnsi" w:cs="Arial"/>
          <w:color w:val="000000"/>
        </w:rPr>
        <w:t xml:space="preserve"> zawiera </w:t>
      </w:r>
      <w:r>
        <w:rPr>
          <w:rFonts w:asciiTheme="minorHAnsi" w:eastAsiaTheme="minorHAnsi" w:hAnsiTheme="minorHAnsi" w:cs="Arial"/>
          <w:color w:val="000000"/>
        </w:rPr>
        <w:t xml:space="preserve">łącznie w skali kraju </w:t>
      </w:r>
      <w:r w:rsidRPr="003F4A95">
        <w:rPr>
          <w:rFonts w:asciiTheme="minorHAnsi" w:eastAsiaTheme="minorHAnsi" w:hAnsiTheme="minorHAnsi" w:cs="Arial"/>
          <w:color w:val="000000"/>
        </w:rPr>
        <w:t>413</w:t>
      </w:r>
      <w:r w:rsidRPr="00907A38">
        <w:rPr>
          <w:rFonts w:asciiTheme="minorHAnsi" w:eastAsiaTheme="minorHAnsi" w:hAnsiTheme="minorHAnsi" w:cs="Arial"/>
          <w:color w:val="000000"/>
        </w:rPr>
        <w:t xml:space="preserve"> </w:t>
      </w:r>
      <w:r>
        <w:rPr>
          <w:rFonts w:asciiTheme="minorHAnsi" w:eastAsiaTheme="minorHAnsi" w:hAnsiTheme="minorHAnsi" w:cs="Arial"/>
          <w:color w:val="000000"/>
        </w:rPr>
        <w:t>jcwp</w:t>
      </w:r>
      <w:r w:rsidR="00F61AC4">
        <w:rPr>
          <w:rFonts w:asciiTheme="minorHAnsi" w:eastAsiaTheme="minorHAnsi" w:hAnsiTheme="minorHAnsi" w:cs="Arial"/>
          <w:color w:val="000000"/>
        </w:rPr>
        <w:t>,</w:t>
      </w:r>
      <w:r>
        <w:rPr>
          <w:rFonts w:asciiTheme="minorHAnsi" w:eastAsiaTheme="minorHAnsi" w:hAnsiTheme="minorHAnsi" w:cs="Arial"/>
          <w:color w:val="000000"/>
        </w:rPr>
        <w:t xml:space="preserve"> w obrębie których </w:t>
      </w:r>
      <w:r w:rsidR="009D42D8">
        <w:rPr>
          <w:rFonts w:asciiTheme="minorHAnsi" w:eastAsiaTheme="minorHAnsi" w:hAnsiTheme="minorHAnsi" w:cs="Arial"/>
          <w:color w:val="000000"/>
        </w:rPr>
        <w:t xml:space="preserve">w 2020 r. </w:t>
      </w:r>
      <w:r>
        <w:rPr>
          <w:rFonts w:asciiTheme="minorHAnsi" w:eastAsiaTheme="minorHAnsi" w:hAnsiTheme="minorHAnsi" w:cs="Arial"/>
          <w:color w:val="000000"/>
        </w:rPr>
        <w:t>zarejestrowanych zostało 717 kąpielisk.</w:t>
      </w:r>
    </w:p>
    <w:p w14:paraId="4760A542" w14:textId="203CE5AA" w:rsidR="00483E3A" w:rsidRDefault="00483E3A" w:rsidP="00483E3A">
      <w:pPr>
        <w:widowControl w:val="0"/>
        <w:autoSpaceDE w:val="0"/>
        <w:autoSpaceDN w:val="0"/>
        <w:adjustRightInd w:val="0"/>
        <w:ind w:right="57"/>
        <w:rPr>
          <w:rFonts w:asciiTheme="minorHAnsi" w:eastAsiaTheme="minorHAnsi" w:hAnsiTheme="minorHAnsi" w:cs="Arial"/>
          <w:color w:val="000000"/>
        </w:rPr>
      </w:pPr>
      <w:r>
        <w:rPr>
          <w:rFonts w:asciiTheme="minorHAnsi" w:eastAsiaTheme="minorHAnsi" w:hAnsiTheme="minorHAnsi" w:cs="Arial"/>
          <w:color w:val="000000"/>
        </w:rPr>
        <w:t xml:space="preserve">Spośród wszystkich jcwp przeznaczonych na cele rekreacyjne, w tym kąpieliskowe, na obszarze dorzecza </w:t>
      </w:r>
      <w:r w:rsidRPr="007D4AE5">
        <w:rPr>
          <w:rFonts w:asciiTheme="minorHAnsi" w:eastAsiaTheme="minorHAnsi" w:hAnsiTheme="minorHAnsi" w:cs="Arial"/>
          <w:color w:val="000000"/>
        </w:rPr>
        <w:t>Pr</w:t>
      </w:r>
      <w:r w:rsidR="00C469EC">
        <w:rPr>
          <w:rFonts w:asciiTheme="minorHAnsi" w:eastAsiaTheme="minorHAnsi" w:hAnsiTheme="minorHAnsi" w:cs="Arial"/>
          <w:color w:val="000000"/>
        </w:rPr>
        <w:t>e</w:t>
      </w:r>
      <w:r w:rsidRPr="007D4AE5">
        <w:rPr>
          <w:rFonts w:asciiTheme="minorHAnsi" w:eastAsiaTheme="minorHAnsi" w:hAnsiTheme="minorHAnsi" w:cs="Arial"/>
          <w:color w:val="000000"/>
        </w:rPr>
        <w:t>goły</w:t>
      </w:r>
      <w:r>
        <w:rPr>
          <w:rFonts w:asciiTheme="minorHAnsi" w:eastAsiaTheme="minorHAnsi" w:hAnsiTheme="minorHAnsi" w:cs="Arial"/>
          <w:color w:val="000000"/>
        </w:rPr>
        <w:t xml:space="preserve"> występuje ok.</w:t>
      </w:r>
      <w:r w:rsidRPr="00303ADB">
        <w:rPr>
          <w:rFonts w:asciiTheme="minorHAnsi" w:eastAsiaTheme="minorHAnsi" w:hAnsiTheme="minorHAnsi" w:cs="Arial"/>
          <w:color w:val="000000"/>
        </w:rPr>
        <w:t xml:space="preserve"> </w:t>
      </w:r>
      <w:r w:rsidR="00425D5D">
        <w:rPr>
          <w:rFonts w:asciiTheme="minorHAnsi" w:eastAsiaTheme="minorHAnsi" w:hAnsiTheme="minorHAnsi" w:cs="Arial"/>
          <w:color w:val="000000"/>
        </w:rPr>
        <w:t>4</w:t>
      </w:r>
      <w:r>
        <w:rPr>
          <w:rFonts w:asciiTheme="minorHAnsi" w:eastAsiaTheme="minorHAnsi" w:hAnsiTheme="minorHAnsi" w:cs="Arial"/>
          <w:color w:val="000000"/>
        </w:rPr>
        <w:t>% z nich.</w:t>
      </w:r>
    </w:p>
    <w:p w14:paraId="61B0B03D" w14:textId="77777777" w:rsidR="00483E3A" w:rsidRPr="00E0555D" w:rsidRDefault="00483E3A" w:rsidP="00483E3A">
      <w:pPr>
        <w:widowControl w:val="0"/>
        <w:autoSpaceDE w:val="0"/>
        <w:autoSpaceDN w:val="0"/>
        <w:adjustRightInd w:val="0"/>
        <w:rPr>
          <w:rFonts w:asciiTheme="minorHAnsi" w:eastAsiaTheme="minorHAnsi" w:hAnsiTheme="minorHAnsi"/>
          <w:color w:val="000000"/>
        </w:rPr>
      </w:pPr>
      <w:r>
        <w:rPr>
          <w:rFonts w:asciiTheme="minorHAnsi" w:eastAsiaTheme="minorHAnsi" w:hAnsiTheme="minorHAnsi"/>
          <w:color w:val="000000"/>
        </w:rPr>
        <w:t xml:space="preserve">Wykaz jcw </w:t>
      </w:r>
      <w:r w:rsidRPr="008855ED">
        <w:rPr>
          <w:rFonts w:asciiTheme="minorHAnsi" w:eastAsiaTheme="minorHAnsi" w:hAnsiTheme="minorHAnsi"/>
          <w:color w:val="000000"/>
        </w:rPr>
        <w:t>przeznaczonych do celów rekreacyjnych</w:t>
      </w:r>
      <w:r w:rsidRPr="00E0555D">
        <w:rPr>
          <w:rFonts w:asciiTheme="minorHAnsi" w:eastAsiaTheme="minorHAnsi" w:hAnsiTheme="minorHAnsi"/>
          <w:color w:val="000000"/>
        </w:rPr>
        <w:t>, w tym kąpieliskowych</w:t>
      </w:r>
      <w:r w:rsidRPr="00E0555D">
        <w:rPr>
          <w:rFonts w:asciiTheme="minorHAnsi" w:eastAsiaTheme="minorHAnsi" w:hAnsiTheme="minorHAnsi" w:cs="Arial"/>
          <w:color w:val="000000"/>
        </w:rPr>
        <w:t>,</w:t>
      </w:r>
      <w:r w:rsidRPr="00E0555D">
        <w:rPr>
          <w:rFonts w:asciiTheme="minorHAnsi" w:eastAsiaTheme="minorHAnsi" w:hAnsiTheme="minorHAnsi"/>
          <w:color w:val="000000"/>
        </w:rPr>
        <w:t xml:space="preserve"> zawiera załącznik nr 1, który prezentuje szczegółowe informacje o poszczególnych jcw. </w:t>
      </w:r>
    </w:p>
    <w:p w14:paraId="5265F724" w14:textId="47907B46" w:rsidR="00483E3A" w:rsidRPr="00973F19" w:rsidRDefault="00483E3A" w:rsidP="00483E3A">
      <w:pPr>
        <w:widowControl w:val="0"/>
        <w:autoSpaceDE w:val="0"/>
        <w:autoSpaceDN w:val="0"/>
        <w:adjustRightInd w:val="0"/>
        <w:rPr>
          <w:rFonts w:asciiTheme="minorHAnsi" w:eastAsiaTheme="minorHAnsi" w:hAnsiTheme="minorHAnsi"/>
          <w:b/>
          <w:bCs/>
        </w:rPr>
      </w:pPr>
      <w:r w:rsidRPr="00E0555D">
        <w:rPr>
          <w:rFonts w:asciiTheme="minorHAnsi" w:eastAsiaTheme="minorHAnsi" w:hAnsiTheme="minorHAnsi"/>
          <w:color w:val="000000"/>
        </w:rPr>
        <w:t xml:space="preserve">Lokalizację jcw </w:t>
      </w:r>
      <w:r w:rsidRPr="00E0555D">
        <w:rPr>
          <w:rFonts w:asciiTheme="minorHAnsi" w:eastAsiaTheme="minorHAnsi" w:hAnsiTheme="minorHAnsi" w:cs="Arial"/>
          <w:color w:val="000000"/>
        </w:rPr>
        <w:t>przeznaczonych do celów rekreacyjnych, w tym kąpieliskowych</w:t>
      </w:r>
      <w:r w:rsidRPr="00E0555D">
        <w:rPr>
          <w:rFonts w:asciiTheme="minorHAnsi" w:eastAsiaTheme="minorHAnsi" w:hAnsiTheme="minorHAnsi"/>
          <w:color w:val="000000"/>
        </w:rPr>
        <w:t xml:space="preserve"> na obszarze dorzecza Pregoły prezentuje mapa stanowiąca załącznik graficzny nr 5 do </w:t>
      </w:r>
      <w:r w:rsidR="009D42D8">
        <w:rPr>
          <w:rFonts w:asciiTheme="minorHAnsi" w:eastAsiaTheme="minorHAnsi" w:hAnsiTheme="minorHAnsi"/>
          <w:color w:val="000000"/>
        </w:rPr>
        <w:t>IIaPGW</w:t>
      </w:r>
      <w:r>
        <w:rPr>
          <w:rFonts w:asciiTheme="minorHAnsi" w:eastAsiaTheme="minorHAnsi" w:hAnsiTheme="minorHAnsi"/>
          <w:color w:val="000000"/>
        </w:rPr>
        <w:t>.</w:t>
      </w:r>
    </w:p>
    <w:p w14:paraId="2CC6F7E5" w14:textId="3F84573B" w:rsidR="00483E3A" w:rsidRPr="00504225" w:rsidRDefault="007B0D6B" w:rsidP="00B50FFD">
      <w:pPr>
        <w:pStyle w:val="Nagwek3"/>
      </w:pPr>
      <w:bookmarkStart w:id="46" w:name="_Toc68726840"/>
      <w:r>
        <w:t>O</w:t>
      </w:r>
      <w:r w:rsidR="00483E3A" w:rsidRPr="00504225">
        <w:t>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bookmarkEnd w:id="46"/>
    </w:p>
    <w:p w14:paraId="34276B10" w14:textId="7B78E306" w:rsidR="0007186D" w:rsidRPr="0007186D" w:rsidRDefault="00FF1170" w:rsidP="0007186D">
      <w:r w:rsidRPr="00FF1170">
        <w:t>Wszystkie jcwp w Polsce (4 240 jcwp) są uznane za obszary chronione wrażliwe na eutrofizację ze źródeł komunalnych.</w:t>
      </w:r>
      <w:r>
        <w:t xml:space="preserve"> </w:t>
      </w:r>
    </w:p>
    <w:p w14:paraId="50791A56" w14:textId="3001922B" w:rsidR="00483E3A" w:rsidRPr="000319DF" w:rsidRDefault="00483E3A" w:rsidP="00B50FFD">
      <w:pPr>
        <w:pStyle w:val="Nagwek3"/>
      </w:pPr>
      <w:bookmarkStart w:id="47" w:name="_Toc68726841"/>
      <w:r>
        <w:t>O</w:t>
      </w:r>
      <w:r w:rsidRPr="00281673">
        <w:t>bszar</w:t>
      </w:r>
      <w:r>
        <w:t>y</w:t>
      </w:r>
      <w:r w:rsidRPr="00281673">
        <w:t xml:space="preserve"> przeznaczon</w:t>
      </w:r>
      <w:r>
        <w:t xml:space="preserve">e </w:t>
      </w:r>
      <w:r w:rsidRPr="00281673">
        <w:t>do ochrony siedlisk lub gatunków, o których mowa w</w:t>
      </w:r>
      <w:r w:rsidR="001D1547">
        <w:t> </w:t>
      </w:r>
      <w:r w:rsidRPr="00281673">
        <w:t>przepisach ustawy z dnia 16 kwietnia 2004 r. o ochronie przyrody, dla których utrzymanie lub poprawa stanu wód jest ważnym czynnikiem w ich ochronie</w:t>
      </w:r>
      <w:bookmarkEnd w:id="47"/>
    </w:p>
    <w:p w14:paraId="50F43FB7" w14:textId="621167A6" w:rsidR="00483E3A" w:rsidRDefault="00483E3A" w:rsidP="00483E3A">
      <w:pPr>
        <w:widowControl w:val="0"/>
        <w:autoSpaceDE w:val="0"/>
        <w:autoSpaceDN w:val="0"/>
        <w:adjustRightInd w:val="0"/>
        <w:ind w:right="57"/>
        <w:rPr>
          <w:rFonts w:asciiTheme="minorHAnsi" w:eastAsiaTheme="minorHAnsi" w:hAnsiTheme="minorHAnsi" w:cs="Arial"/>
          <w:color w:val="000000"/>
        </w:rPr>
      </w:pPr>
      <w:r>
        <w:rPr>
          <w:rFonts w:asciiTheme="minorHAnsi" w:eastAsiaTheme="minorHAnsi" w:hAnsiTheme="minorHAnsi" w:cs="Arial"/>
          <w:color w:val="000000"/>
        </w:rPr>
        <w:t>Obszary chronione przeznaczone do ochrony siedlisk lub gatunków, włączone do wykazu obszarów</w:t>
      </w:r>
      <w:r w:rsidR="009420C0">
        <w:rPr>
          <w:rFonts w:asciiTheme="minorHAnsi" w:eastAsiaTheme="minorHAnsi" w:hAnsiTheme="minorHAnsi" w:cs="Arial"/>
          <w:color w:val="000000"/>
        </w:rPr>
        <w:t>,</w:t>
      </w:r>
      <w:r w:rsidR="003D5A32">
        <w:rPr>
          <w:rFonts w:asciiTheme="minorHAnsi" w:eastAsiaTheme="minorHAnsi" w:hAnsiTheme="minorHAnsi" w:cs="Arial"/>
          <w:color w:val="000000"/>
        </w:rPr>
        <w:t xml:space="preserve"> </w:t>
      </w:r>
      <w:r>
        <w:rPr>
          <w:rFonts w:asciiTheme="minorHAnsi" w:eastAsiaTheme="minorHAnsi" w:hAnsiTheme="minorHAnsi" w:cs="Arial"/>
          <w:color w:val="000000"/>
        </w:rPr>
        <w:t>o</w:t>
      </w:r>
      <w:r w:rsidR="003D5A32">
        <w:rPr>
          <w:rFonts w:asciiTheme="minorHAnsi" w:eastAsiaTheme="minorHAnsi" w:hAnsiTheme="minorHAnsi" w:cs="Arial"/>
          <w:color w:val="000000"/>
        </w:rPr>
        <w:t> </w:t>
      </w:r>
      <w:r>
        <w:rPr>
          <w:rFonts w:asciiTheme="minorHAnsi" w:eastAsiaTheme="minorHAnsi" w:hAnsiTheme="minorHAnsi" w:cs="Arial"/>
          <w:color w:val="000000"/>
        </w:rPr>
        <w:t xml:space="preserve">którym mowa w art. 317 ustawy pr.w., stanowią </w:t>
      </w:r>
      <w:r w:rsidRPr="007B28B4">
        <w:rPr>
          <w:rFonts w:asciiTheme="minorHAnsi" w:eastAsiaTheme="minorHAnsi" w:hAnsiTheme="minorHAnsi" w:cs="Arial"/>
          <w:color w:val="000000"/>
        </w:rPr>
        <w:t xml:space="preserve">wyłącznie obszary przeznaczone do ochrony siedlisk lub gatunków silnie związanych z wodami. Tereny te, objęte są różną formą ochrony według </w:t>
      </w:r>
      <w:r>
        <w:rPr>
          <w:rFonts w:asciiTheme="minorHAnsi" w:eastAsiaTheme="minorHAnsi" w:hAnsiTheme="minorHAnsi" w:cs="Arial"/>
          <w:color w:val="000000"/>
        </w:rPr>
        <w:t>u.o.p</w:t>
      </w:r>
      <w:r w:rsidRPr="007B28B4">
        <w:rPr>
          <w:rFonts w:asciiTheme="minorHAnsi" w:eastAsiaTheme="minorHAnsi" w:hAnsiTheme="minorHAnsi" w:cs="Arial"/>
          <w:color w:val="000000"/>
        </w:rPr>
        <w:t>. Spośród tych obszarów wyróżnia się należące do sieci Natura 2000</w:t>
      </w:r>
      <w:r>
        <w:rPr>
          <w:rFonts w:asciiTheme="minorHAnsi" w:eastAsiaTheme="minorHAnsi" w:hAnsiTheme="minorHAnsi" w:cs="Arial"/>
          <w:color w:val="000000"/>
        </w:rPr>
        <w:t xml:space="preserve">, </w:t>
      </w:r>
      <w:r w:rsidRPr="007B28B4">
        <w:rPr>
          <w:rFonts w:asciiTheme="minorHAnsi" w:eastAsiaTheme="minorHAnsi" w:hAnsiTheme="minorHAnsi" w:cs="Arial"/>
          <w:color w:val="000000"/>
        </w:rPr>
        <w:t xml:space="preserve">parki narodowe, rezerwaty przyrody, parki krajobrazowe oraz obszary chronionego krajobrazu. </w:t>
      </w:r>
    </w:p>
    <w:p w14:paraId="453D2D97" w14:textId="019144D6" w:rsidR="00483E3A" w:rsidRDefault="00483E3A" w:rsidP="00483E3A">
      <w:pPr>
        <w:widowControl w:val="0"/>
        <w:autoSpaceDE w:val="0"/>
        <w:autoSpaceDN w:val="0"/>
        <w:adjustRightInd w:val="0"/>
        <w:ind w:right="57"/>
        <w:rPr>
          <w:rFonts w:asciiTheme="minorHAnsi" w:eastAsiaTheme="minorHAnsi" w:hAnsiTheme="minorHAnsi" w:cs="Arial"/>
          <w:color w:val="000000"/>
        </w:rPr>
      </w:pPr>
      <w:r w:rsidRPr="00C2416B">
        <w:rPr>
          <w:rFonts w:asciiTheme="minorHAnsi" w:eastAsiaTheme="minorHAnsi" w:hAnsiTheme="minorHAnsi" w:cs="Arial"/>
          <w:color w:val="000000"/>
        </w:rPr>
        <w:t xml:space="preserve">Łącznie na obszarze dorzecza Pregoły </w:t>
      </w:r>
      <w:r w:rsidR="00C11F7F" w:rsidRPr="00C2416B">
        <w:rPr>
          <w:rFonts w:asciiTheme="minorHAnsi" w:eastAsiaTheme="minorHAnsi" w:hAnsiTheme="minorHAnsi" w:cs="Arial"/>
          <w:color w:val="000000"/>
        </w:rPr>
        <w:t>występuj</w:t>
      </w:r>
      <w:r w:rsidR="00C11F7F">
        <w:rPr>
          <w:rFonts w:asciiTheme="minorHAnsi" w:eastAsiaTheme="minorHAnsi" w:hAnsiTheme="minorHAnsi" w:cs="Arial"/>
          <w:color w:val="000000"/>
        </w:rPr>
        <w:t>e</w:t>
      </w:r>
      <w:r w:rsidR="00C11F7F" w:rsidRPr="00C2416B">
        <w:rPr>
          <w:rFonts w:asciiTheme="minorHAnsi" w:eastAsiaTheme="minorHAnsi" w:hAnsiTheme="minorHAnsi" w:cs="Arial"/>
          <w:color w:val="000000"/>
        </w:rPr>
        <w:t xml:space="preserve"> 13</w:t>
      </w:r>
      <w:r w:rsidR="00C11F7F">
        <w:rPr>
          <w:rFonts w:asciiTheme="minorHAnsi" w:eastAsiaTheme="minorHAnsi" w:hAnsiTheme="minorHAnsi" w:cs="Arial"/>
          <w:color w:val="000000"/>
        </w:rPr>
        <w:t>1</w:t>
      </w:r>
      <w:r w:rsidR="00C11F7F" w:rsidRPr="00C2416B">
        <w:rPr>
          <w:rFonts w:asciiTheme="minorHAnsi" w:eastAsiaTheme="minorHAnsi" w:hAnsiTheme="minorHAnsi" w:cs="Arial"/>
          <w:color w:val="000000"/>
        </w:rPr>
        <w:t xml:space="preserve"> obszar</w:t>
      </w:r>
      <w:r w:rsidR="00C11F7F">
        <w:rPr>
          <w:rFonts w:asciiTheme="minorHAnsi" w:eastAsiaTheme="minorHAnsi" w:hAnsiTheme="minorHAnsi" w:cs="Arial"/>
          <w:color w:val="000000"/>
        </w:rPr>
        <w:t>ów</w:t>
      </w:r>
      <w:r w:rsidR="00C11F7F" w:rsidRPr="00C2416B">
        <w:rPr>
          <w:rFonts w:asciiTheme="minorHAnsi" w:eastAsiaTheme="minorHAnsi" w:hAnsiTheme="minorHAnsi" w:cs="Arial"/>
          <w:color w:val="000000"/>
        </w:rPr>
        <w:t xml:space="preserve"> chronion</w:t>
      </w:r>
      <w:r w:rsidR="00C11F7F">
        <w:rPr>
          <w:rFonts w:asciiTheme="minorHAnsi" w:eastAsiaTheme="minorHAnsi" w:hAnsiTheme="minorHAnsi" w:cs="Arial"/>
          <w:color w:val="000000"/>
        </w:rPr>
        <w:t>ych</w:t>
      </w:r>
      <w:r w:rsidR="00C11F7F" w:rsidRPr="00C2416B">
        <w:rPr>
          <w:rFonts w:asciiTheme="minorHAnsi" w:eastAsiaTheme="minorHAnsi" w:hAnsiTheme="minorHAnsi" w:cs="Arial"/>
          <w:color w:val="000000"/>
        </w:rPr>
        <w:t xml:space="preserve"> włączon</w:t>
      </w:r>
      <w:r w:rsidR="00C11F7F">
        <w:rPr>
          <w:rFonts w:asciiTheme="minorHAnsi" w:eastAsiaTheme="minorHAnsi" w:hAnsiTheme="minorHAnsi" w:cs="Arial"/>
          <w:color w:val="000000"/>
        </w:rPr>
        <w:t>ych</w:t>
      </w:r>
      <w:r w:rsidR="00C11F7F" w:rsidRPr="00C2416B">
        <w:rPr>
          <w:rFonts w:asciiTheme="minorHAnsi" w:eastAsiaTheme="minorHAnsi" w:hAnsiTheme="minorHAnsi" w:cs="Arial"/>
          <w:color w:val="000000"/>
        </w:rPr>
        <w:t xml:space="preserve"> </w:t>
      </w:r>
      <w:r w:rsidRPr="00C2416B">
        <w:rPr>
          <w:rFonts w:asciiTheme="minorHAnsi" w:eastAsiaTheme="minorHAnsi" w:hAnsiTheme="minorHAnsi" w:cs="Arial"/>
          <w:color w:val="000000"/>
        </w:rPr>
        <w:t xml:space="preserve">do wykazu obszarów o którym mowa w art. 317 ustawy pr.w., w tym: parki krajobrazowe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w:t>
      </w:r>
      <w:r w:rsidR="00C11F7F">
        <w:rPr>
          <w:rFonts w:asciiTheme="minorHAnsi" w:eastAsiaTheme="minorHAnsi" w:hAnsiTheme="minorHAnsi" w:cs="Arial"/>
          <w:color w:val="000000"/>
        </w:rPr>
        <w:t>2</w:t>
      </w:r>
      <w:r w:rsidRPr="00C2416B">
        <w:rPr>
          <w:rFonts w:asciiTheme="minorHAnsi" w:eastAsiaTheme="minorHAnsi" w:hAnsiTheme="minorHAnsi" w:cs="Arial"/>
          <w:color w:val="000000"/>
        </w:rPr>
        <w:t xml:space="preserve">, rezerwaty </w:t>
      </w:r>
      <w:r>
        <w:rPr>
          <w:rFonts w:asciiTheme="minorHAnsi" w:eastAsiaTheme="minorHAnsi" w:hAnsiTheme="minorHAnsi" w:cs="Arial"/>
          <w:color w:val="000000"/>
        </w:rPr>
        <w:t xml:space="preserve">przyrody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w:t>
      </w:r>
      <w:r w:rsidR="00C11F7F" w:rsidRPr="00C2416B">
        <w:rPr>
          <w:rFonts w:asciiTheme="minorHAnsi" w:eastAsiaTheme="minorHAnsi" w:hAnsiTheme="minorHAnsi" w:cs="Arial"/>
          <w:color w:val="000000"/>
        </w:rPr>
        <w:t>3</w:t>
      </w:r>
      <w:r w:rsidR="00C11F7F">
        <w:rPr>
          <w:rFonts w:asciiTheme="minorHAnsi" w:eastAsiaTheme="minorHAnsi" w:hAnsiTheme="minorHAnsi" w:cs="Arial"/>
          <w:color w:val="000000"/>
        </w:rPr>
        <w:t>3</w:t>
      </w:r>
      <w:r w:rsidRPr="00C2416B">
        <w:rPr>
          <w:rFonts w:asciiTheme="minorHAnsi" w:eastAsiaTheme="minorHAnsi" w:hAnsiTheme="minorHAnsi" w:cs="Arial"/>
          <w:color w:val="000000"/>
        </w:rPr>
        <w:t>,</w:t>
      </w:r>
      <w:r w:rsidR="003D5A32">
        <w:rPr>
          <w:rFonts w:asciiTheme="minorHAnsi" w:eastAsiaTheme="minorHAnsi" w:hAnsiTheme="minorHAnsi" w:cs="Arial"/>
          <w:color w:val="000000"/>
        </w:rPr>
        <w:t xml:space="preserve"> </w:t>
      </w:r>
      <w:r w:rsidRPr="00C2416B">
        <w:rPr>
          <w:rFonts w:asciiTheme="minorHAnsi" w:eastAsiaTheme="minorHAnsi" w:hAnsiTheme="minorHAnsi" w:cs="Arial"/>
          <w:color w:val="000000"/>
        </w:rPr>
        <w:t xml:space="preserve">Natura 2000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w:t>
      </w:r>
      <w:r w:rsidR="003D3456">
        <w:rPr>
          <w:rFonts w:asciiTheme="minorHAnsi" w:eastAsiaTheme="minorHAnsi" w:hAnsiTheme="minorHAnsi" w:cs="Arial"/>
          <w:color w:val="000000"/>
        </w:rPr>
        <w:t>24</w:t>
      </w:r>
      <w:r w:rsidRPr="00C2416B">
        <w:rPr>
          <w:rFonts w:asciiTheme="minorHAnsi" w:eastAsiaTheme="minorHAnsi" w:hAnsiTheme="minorHAnsi" w:cs="Arial"/>
          <w:color w:val="000000"/>
        </w:rPr>
        <w:t xml:space="preserve">, , obszary chronionego krajobrazu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29,</w:t>
      </w:r>
      <w:r w:rsidRPr="00C2416B">
        <w:t xml:space="preserve"> </w:t>
      </w:r>
      <w:r w:rsidRPr="00C2416B">
        <w:rPr>
          <w:rFonts w:asciiTheme="minorHAnsi" w:eastAsiaTheme="minorHAnsi" w:hAnsiTheme="minorHAnsi" w:cs="Arial"/>
          <w:color w:val="000000"/>
        </w:rPr>
        <w:t xml:space="preserve">zespoły przyrodniczo-krajobrazowe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7, użytki ekologiczne </w:t>
      </w:r>
      <w:r w:rsidR="006C4947">
        <w:rPr>
          <w:rFonts w:asciiTheme="minorHAnsi" w:eastAsiaTheme="minorHAnsi" w:hAnsiTheme="minorHAnsi" w:cs="Arial"/>
          <w:color w:val="000000"/>
        </w:rPr>
        <w:t>-</w:t>
      </w:r>
      <w:r w:rsidRPr="00C2416B">
        <w:rPr>
          <w:rFonts w:asciiTheme="minorHAnsi" w:eastAsiaTheme="minorHAnsi" w:hAnsiTheme="minorHAnsi" w:cs="Arial"/>
          <w:color w:val="000000"/>
        </w:rPr>
        <w:t xml:space="preserve"> 33</w:t>
      </w:r>
      <w:r w:rsidR="003D3456">
        <w:rPr>
          <w:rFonts w:asciiTheme="minorHAnsi" w:eastAsiaTheme="minorHAnsi" w:hAnsiTheme="minorHAnsi" w:cs="Arial"/>
          <w:color w:val="000000"/>
        </w:rPr>
        <w:t>, pomniki przyrody - 33</w:t>
      </w:r>
      <w:r w:rsidRPr="00C2416B">
        <w:rPr>
          <w:rFonts w:asciiTheme="minorHAnsi" w:eastAsiaTheme="minorHAnsi" w:hAnsiTheme="minorHAnsi" w:cs="Arial"/>
          <w:color w:val="000000"/>
        </w:rPr>
        <w:t>.</w:t>
      </w:r>
    </w:p>
    <w:p w14:paraId="6ED5D1EA" w14:textId="6C4A55A8" w:rsidR="00F82057" w:rsidRPr="002D6624" w:rsidRDefault="00F82057" w:rsidP="00F82057">
      <w:pPr>
        <w:widowControl w:val="0"/>
        <w:autoSpaceDE w:val="0"/>
        <w:autoSpaceDN w:val="0"/>
        <w:adjustRightInd w:val="0"/>
        <w:ind w:right="57"/>
        <w:rPr>
          <w:rFonts w:asciiTheme="minorHAnsi" w:eastAsiaTheme="minorHAnsi" w:hAnsiTheme="minorHAnsi" w:cs="Arial"/>
          <w:color w:val="000000"/>
        </w:rPr>
      </w:pPr>
      <w:r w:rsidRPr="00C11F7F">
        <w:rPr>
          <w:rFonts w:asciiTheme="minorHAnsi" w:eastAsiaTheme="minorHAnsi" w:hAnsiTheme="minorHAnsi"/>
          <w:color w:val="000000"/>
        </w:rPr>
        <w:t xml:space="preserve">Liczba jcwp w obrębie których występują obszary chronione na obszarze dorzecza </w:t>
      </w:r>
      <w:r w:rsidR="0012686C">
        <w:rPr>
          <w:rFonts w:asciiTheme="minorHAnsi" w:eastAsiaTheme="minorHAnsi" w:hAnsiTheme="minorHAnsi"/>
          <w:color w:val="000000"/>
        </w:rPr>
        <w:t>Pregoły</w:t>
      </w:r>
      <w:r w:rsidRPr="00C11F7F">
        <w:rPr>
          <w:rFonts w:asciiTheme="minorHAnsi" w:eastAsiaTheme="minorHAnsi" w:hAnsiTheme="minorHAnsi"/>
          <w:color w:val="000000"/>
        </w:rPr>
        <w:t xml:space="preserve"> wynosi: </w:t>
      </w:r>
      <w:r w:rsidR="00B03554">
        <w:rPr>
          <w:rFonts w:asciiTheme="minorHAnsi" w:eastAsiaTheme="minorHAnsi" w:hAnsiTheme="minorHAnsi"/>
          <w:color w:val="000000"/>
        </w:rPr>
        <w:t>171.</w:t>
      </w:r>
    </w:p>
    <w:p w14:paraId="570AD917" w14:textId="77777777" w:rsidR="00483E3A" w:rsidRPr="005B38DF" w:rsidRDefault="00483E3A" w:rsidP="00483E3A">
      <w:pPr>
        <w:widowControl w:val="0"/>
        <w:autoSpaceDE w:val="0"/>
        <w:autoSpaceDN w:val="0"/>
        <w:adjustRightInd w:val="0"/>
        <w:rPr>
          <w:rFonts w:asciiTheme="minorHAnsi" w:eastAsiaTheme="minorHAnsi" w:hAnsiTheme="minorHAnsi" w:cs="Arial"/>
          <w:color w:val="000000"/>
        </w:rPr>
      </w:pPr>
      <w:r w:rsidRPr="0000114C">
        <w:rPr>
          <w:rFonts w:asciiTheme="minorHAnsi" w:eastAsiaTheme="minorHAnsi" w:hAnsiTheme="minorHAnsi"/>
          <w:color w:val="000000"/>
        </w:rPr>
        <w:t xml:space="preserve">Wykaz obszarów chronionych </w:t>
      </w:r>
      <w:r w:rsidRPr="0000114C">
        <w:rPr>
          <w:rFonts w:asciiTheme="minorHAnsi" w:eastAsiaTheme="minorHAnsi" w:hAnsiTheme="minorHAnsi" w:cs="Arial"/>
          <w:color w:val="000000"/>
        </w:rPr>
        <w:t>do ochrony siedlisk lub gatunków, o których mowa w przepisach ustawy z dnia 16 kwietnia 2004 r. o ochronie przyrody, dla których utrzymanie lub poprawa stanu wód jest ważnym czynnikiem w ich ochronie</w:t>
      </w:r>
      <w:r>
        <w:rPr>
          <w:rFonts w:asciiTheme="minorHAnsi" w:eastAsiaTheme="minorHAnsi" w:hAnsiTheme="minorHAnsi" w:cs="Arial"/>
          <w:b/>
          <w:bCs/>
          <w:color w:val="000000"/>
        </w:rPr>
        <w:t xml:space="preserve"> </w:t>
      </w:r>
      <w:r w:rsidRPr="005B38DF">
        <w:rPr>
          <w:rFonts w:asciiTheme="minorHAnsi" w:eastAsiaTheme="minorHAnsi" w:hAnsiTheme="minorHAnsi" w:cs="Arial"/>
          <w:color w:val="000000"/>
        </w:rPr>
        <w:t>stanowi załącznik nr 2 do planu gospodarowania wodami.</w:t>
      </w:r>
    </w:p>
    <w:p w14:paraId="56371C06" w14:textId="77777777" w:rsidR="00483E3A" w:rsidRDefault="00483E3A" w:rsidP="00483E3A">
      <w:pPr>
        <w:widowControl w:val="0"/>
        <w:autoSpaceDE w:val="0"/>
        <w:autoSpaceDN w:val="0"/>
        <w:adjustRightInd w:val="0"/>
        <w:rPr>
          <w:rFonts w:asciiTheme="minorHAnsi" w:eastAsiaTheme="minorHAnsi" w:hAnsiTheme="minorHAnsi"/>
          <w:color w:val="000000"/>
        </w:rPr>
      </w:pPr>
      <w:r w:rsidRPr="005B38DF">
        <w:rPr>
          <w:rFonts w:asciiTheme="minorHAnsi" w:eastAsiaTheme="minorHAnsi" w:hAnsiTheme="minorHAnsi" w:cs="Arial"/>
          <w:color w:val="000000"/>
        </w:rPr>
        <w:t xml:space="preserve">Wskazanie występowania obszarów dokonane jest również w </w:t>
      </w:r>
      <w:r w:rsidRPr="005B38DF">
        <w:rPr>
          <w:rFonts w:asciiTheme="minorHAnsi" w:eastAsiaTheme="minorHAnsi" w:hAnsiTheme="minorHAnsi"/>
          <w:color w:val="000000"/>
        </w:rPr>
        <w:t>załączniku nr 1, który</w:t>
      </w:r>
      <w:r>
        <w:rPr>
          <w:rFonts w:asciiTheme="minorHAnsi" w:eastAsiaTheme="minorHAnsi" w:hAnsiTheme="minorHAnsi"/>
          <w:color w:val="000000"/>
        </w:rPr>
        <w:t xml:space="preserve"> przedstawia szczegółowe informacje o poszczególnych jcw</w:t>
      </w:r>
      <w:r w:rsidRPr="003C3300">
        <w:rPr>
          <w:rFonts w:asciiTheme="minorHAnsi" w:eastAsiaTheme="minorHAnsi" w:hAnsiTheme="minorHAnsi"/>
          <w:color w:val="000000"/>
        </w:rPr>
        <w:t>.</w:t>
      </w:r>
      <w:r>
        <w:rPr>
          <w:rFonts w:asciiTheme="minorHAnsi" w:eastAsiaTheme="minorHAnsi" w:hAnsiTheme="minorHAnsi"/>
          <w:color w:val="000000"/>
        </w:rPr>
        <w:t xml:space="preserve"> </w:t>
      </w:r>
    </w:p>
    <w:p w14:paraId="1B3AF5C3" w14:textId="2E43A8D2" w:rsidR="00483E3A" w:rsidRPr="00973F19" w:rsidRDefault="00483E3A" w:rsidP="00483E3A">
      <w:pPr>
        <w:widowControl w:val="0"/>
        <w:autoSpaceDE w:val="0"/>
        <w:autoSpaceDN w:val="0"/>
        <w:adjustRightInd w:val="0"/>
        <w:rPr>
          <w:rFonts w:asciiTheme="minorHAnsi" w:eastAsiaTheme="minorHAnsi" w:hAnsiTheme="minorHAnsi"/>
          <w:b/>
          <w:bCs/>
        </w:rPr>
      </w:pPr>
      <w:r>
        <w:rPr>
          <w:rFonts w:asciiTheme="minorHAnsi" w:eastAsiaTheme="minorHAnsi" w:hAnsiTheme="minorHAnsi"/>
          <w:color w:val="000000"/>
        </w:rPr>
        <w:t xml:space="preserve">Przebieg położenia i granice obszarów chronionych prezentuje mapa </w:t>
      </w:r>
      <w:r w:rsidRPr="005B38DF">
        <w:rPr>
          <w:rFonts w:asciiTheme="minorHAnsi" w:eastAsiaTheme="minorHAnsi" w:hAnsiTheme="minorHAnsi"/>
          <w:color w:val="000000"/>
        </w:rPr>
        <w:t>stanowiąca załącznik graficzny nr</w:t>
      </w:r>
      <w:r w:rsidR="003D5A32" w:rsidRPr="005B38DF">
        <w:rPr>
          <w:rFonts w:asciiTheme="minorHAnsi" w:eastAsiaTheme="minorHAnsi" w:hAnsiTheme="minorHAnsi"/>
          <w:color w:val="000000"/>
        </w:rPr>
        <w:t> </w:t>
      </w:r>
      <w:r w:rsidRPr="005B38DF">
        <w:rPr>
          <w:rFonts w:asciiTheme="minorHAnsi" w:eastAsiaTheme="minorHAnsi" w:hAnsiTheme="minorHAnsi"/>
          <w:color w:val="000000"/>
        </w:rPr>
        <w:t>6 do planu gospodarowania wodami.</w:t>
      </w:r>
    </w:p>
    <w:p w14:paraId="3FF2FCAD" w14:textId="1989C527" w:rsidR="00483E3A" w:rsidRPr="000319DF" w:rsidRDefault="00483E3A" w:rsidP="00B50FFD">
      <w:pPr>
        <w:pStyle w:val="Nagwek3"/>
      </w:pPr>
      <w:bookmarkStart w:id="48" w:name="_Toc68726842"/>
      <w:r w:rsidRPr="005406A6">
        <w:t>Obszary przeznaczone do ochrony gatunków zwierząt wodnych o znaczeniu gospodarczym</w:t>
      </w:r>
      <w:bookmarkEnd w:id="48"/>
    </w:p>
    <w:p w14:paraId="67D45395" w14:textId="77777777" w:rsidR="00483E3A" w:rsidRDefault="00483E3A" w:rsidP="00483E3A">
      <w:pPr>
        <w:spacing w:after="160" w:line="259" w:lineRule="auto"/>
        <w:rPr>
          <w:rFonts w:asciiTheme="minorHAnsi" w:eastAsiaTheme="minorHAnsi" w:hAnsiTheme="minorHAnsi" w:cs="Arial"/>
          <w:color w:val="000000"/>
        </w:rPr>
      </w:pPr>
      <w:r>
        <w:rPr>
          <w:rFonts w:asciiTheme="minorHAnsi" w:eastAsiaTheme="minorHAnsi" w:hAnsiTheme="minorHAnsi" w:cs="Arial"/>
          <w:color w:val="000000"/>
        </w:rPr>
        <w:t xml:space="preserve">Na dzień opracowania projektu IIaPGW </w:t>
      </w:r>
      <w:r w:rsidRPr="00EA7911">
        <w:rPr>
          <w:rFonts w:asciiTheme="minorHAnsi" w:eastAsiaTheme="minorHAnsi" w:hAnsiTheme="minorHAnsi" w:cs="Arial"/>
          <w:color w:val="000000"/>
        </w:rPr>
        <w:t>obszar</w:t>
      </w:r>
      <w:r>
        <w:rPr>
          <w:rFonts w:asciiTheme="minorHAnsi" w:eastAsiaTheme="minorHAnsi" w:hAnsiTheme="minorHAnsi" w:cs="Arial"/>
          <w:color w:val="000000"/>
        </w:rPr>
        <w:t>y</w:t>
      </w:r>
      <w:r w:rsidRPr="00EA7911">
        <w:rPr>
          <w:rFonts w:asciiTheme="minorHAnsi" w:eastAsiaTheme="minorHAnsi" w:hAnsiTheme="minorHAnsi" w:cs="Arial"/>
          <w:color w:val="000000"/>
        </w:rPr>
        <w:t xml:space="preserve"> przeznaczon</w:t>
      </w:r>
      <w:r>
        <w:rPr>
          <w:rFonts w:asciiTheme="minorHAnsi" w:eastAsiaTheme="minorHAnsi" w:hAnsiTheme="minorHAnsi" w:cs="Arial"/>
          <w:color w:val="000000"/>
        </w:rPr>
        <w:t>e</w:t>
      </w:r>
      <w:r w:rsidRPr="00EA7911">
        <w:rPr>
          <w:rFonts w:asciiTheme="minorHAnsi" w:eastAsiaTheme="minorHAnsi" w:hAnsiTheme="minorHAnsi" w:cs="Arial"/>
          <w:color w:val="000000"/>
        </w:rPr>
        <w:t xml:space="preserve"> do ochrony gatunków zwierząt wodnych o znaczeniu gospodarczym</w:t>
      </w:r>
      <w:r>
        <w:rPr>
          <w:rFonts w:asciiTheme="minorHAnsi" w:eastAsiaTheme="minorHAnsi" w:hAnsiTheme="minorHAnsi" w:cs="Arial"/>
          <w:color w:val="000000"/>
        </w:rPr>
        <w:t xml:space="preserve"> nie zostały wyznaczone. </w:t>
      </w:r>
    </w:p>
    <w:p w14:paraId="6A03FAC2" w14:textId="2900CC2F" w:rsidR="008A6497" w:rsidRPr="008A6497" w:rsidRDefault="008A6497" w:rsidP="008A6497">
      <w:r>
        <w:br w:type="page"/>
      </w:r>
    </w:p>
    <w:p w14:paraId="64769242" w14:textId="37436C45" w:rsidR="005B46BB" w:rsidRDefault="005B46BB" w:rsidP="00B50FFD">
      <w:pPr>
        <w:pStyle w:val="Nagwek1"/>
      </w:pPr>
      <w:bookmarkStart w:id="49" w:name="_Toc51050198"/>
      <w:bookmarkStart w:id="50" w:name="_Toc68726843"/>
      <w:r>
        <w:t>Informacje dotyczące prognozowanych zmian klimatu</w:t>
      </w:r>
      <w:bookmarkEnd w:id="49"/>
      <w:bookmarkEnd w:id="50"/>
    </w:p>
    <w:p w14:paraId="1D4B2AFD" w14:textId="77777777" w:rsidR="00A27B5C" w:rsidRPr="003D42CB" w:rsidRDefault="00A27B5C" w:rsidP="00A27B5C">
      <w:pPr>
        <w:rPr>
          <w:rFonts w:asciiTheme="minorHAnsi" w:hAnsiTheme="minorHAnsi" w:cstheme="minorHAnsi"/>
        </w:rPr>
      </w:pPr>
      <w:r w:rsidRPr="003D42CB">
        <w:rPr>
          <w:rFonts w:asciiTheme="minorHAnsi" w:hAnsiTheme="minorHAnsi" w:cstheme="minorHAnsi"/>
        </w:rPr>
        <w:t>Zasadniczo prognozy zmian klimatu dla Polski w ujęciu regionalnym Europy Środkowej wskazują następujące zbieżne przestrzennie tendencje zmian krótkoterminowych (na najbliższe 10 lat, do</w:t>
      </w:r>
      <w:r>
        <w:rPr>
          <w:rFonts w:asciiTheme="minorHAnsi" w:hAnsiTheme="minorHAnsi" w:cstheme="minorHAnsi"/>
        </w:rPr>
        <w:t> </w:t>
      </w:r>
      <w:r w:rsidRPr="003D42CB">
        <w:rPr>
          <w:rFonts w:asciiTheme="minorHAnsi" w:hAnsiTheme="minorHAnsi" w:cstheme="minorHAnsi"/>
        </w:rPr>
        <w:t>2030</w:t>
      </w:r>
      <w:r>
        <w:rPr>
          <w:rFonts w:asciiTheme="minorHAnsi" w:hAnsiTheme="minorHAnsi" w:cstheme="minorHAnsi"/>
        </w:rPr>
        <w:t> </w:t>
      </w:r>
      <w:r w:rsidRPr="003D42CB">
        <w:rPr>
          <w:rFonts w:asciiTheme="minorHAnsi" w:hAnsiTheme="minorHAnsi" w:cstheme="minorHAnsi"/>
        </w:rPr>
        <w:t>r.) oraz długoterminowych (do końca wieku) (projekty KLIMAT 2012, KLIMADA 2013, KLIMADA 2.0, CHASE-PL 2017):</w:t>
      </w:r>
    </w:p>
    <w:p w14:paraId="67BCE9E0"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W stosunku do okresu 1970-2000 obserwowane są niekorzystne zmiany klimatu, ale ich zaawansowanie (częstość, częstotliwość oraz przyrost wartości w stosunku do danych bazowych) nie ma obecnie charakteru znacząco odmiennego od występującego w okresie 2016-2021. Istotne odczuwalne różnice prognozowane są od połowy XXI w.</w:t>
      </w:r>
    </w:p>
    <w:p w14:paraId="55651888"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Następuje powolny przyrost średniej rocznej temperatury powietrza, ale w najbliższym dziesięcioleciu zmiana ta nie będzie istotnie wyższa od obserwowanej w okresie 2016-2021.</w:t>
      </w:r>
    </w:p>
    <w:p w14:paraId="226AF14D"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Prognozowany jest wzrost liczby dni z temperaturą powyżej 25°C.</w:t>
      </w:r>
    </w:p>
    <w:p w14:paraId="7BB7CCEB"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Prognozowany jest spadek liczby dni z temperaturą poniżej 0°C; tu zmiany są relatywnie najszybsze - ocieplanie się sezonu chłodnego jest już zauważalne.</w:t>
      </w:r>
    </w:p>
    <w:p w14:paraId="553D4B2E"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Prognozowane jest stopniowe wydłużanie się czasu trwania okresu wegetacyjnego.</w:t>
      </w:r>
    </w:p>
    <w:p w14:paraId="2B7A0EA3"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Prognozowany jest wzrost częstości występowania wiatru o dużych prędkościach (trąby powietrzne, porywiste wiatry towarzyszące gwałtownym opadom atmosferycznym o charakterze konwekcyjnym).</w:t>
      </w:r>
    </w:p>
    <w:p w14:paraId="04903E6A" w14:textId="03CF9776"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 xml:space="preserve">Sumy roczne opadów nie będą znacząco odmienne od warunków historycznych okresu </w:t>
      </w:r>
      <w:r w:rsidRPr="003D42CB">
        <w:rPr>
          <w:rFonts w:asciiTheme="minorHAnsi" w:hAnsiTheme="minorHAnsi" w:cstheme="minorHAnsi"/>
        </w:rPr>
        <w:br/>
        <w:t>1970-2000</w:t>
      </w:r>
      <w:r w:rsidR="00A565BC">
        <w:rPr>
          <w:rFonts w:asciiTheme="minorHAnsi" w:hAnsiTheme="minorHAnsi" w:cstheme="minorHAnsi"/>
        </w:rPr>
        <w:t xml:space="preserve"> </w:t>
      </w:r>
      <w:r w:rsidRPr="003D42CB">
        <w:rPr>
          <w:rFonts w:asciiTheme="minorHAnsi" w:hAnsiTheme="minorHAnsi" w:cstheme="minorHAnsi"/>
        </w:rPr>
        <w:t>(przewidywany jest wzrost nie przekraczający 5% dotychczasowej średniej sumy rocznej), ale prognozowany jest przyrost letniej sumy opadów przy zmniejszaniu się opadów zimowych.</w:t>
      </w:r>
    </w:p>
    <w:p w14:paraId="2CB708A7" w14:textId="77777777" w:rsidR="00A27B5C" w:rsidRPr="003D42CB" w:rsidRDefault="00A27B5C" w:rsidP="00AA3506">
      <w:pPr>
        <w:numPr>
          <w:ilvl w:val="0"/>
          <w:numId w:val="13"/>
        </w:numPr>
        <w:ind w:left="426" w:hanging="426"/>
        <w:rPr>
          <w:rFonts w:asciiTheme="minorHAnsi" w:hAnsiTheme="minorHAnsi" w:cstheme="minorHAnsi"/>
        </w:rPr>
      </w:pPr>
      <w:r w:rsidRPr="003D42CB">
        <w:rPr>
          <w:rFonts w:asciiTheme="minorHAnsi" w:hAnsiTheme="minorHAnsi" w:cstheme="minorHAnsi"/>
        </w:rPr>
        <w:t>W konsekwencji przyrostu średniej temperatury powietrza okresu chłodnego spodziewany jest spadek liczby dni z opadami śniegu oraz czasu utrzymywania się pokrywy śnieżnej.</w:t>
      </w:r>
    </w:p>
    <w:p w14:paraId="04D3C597" w14:textId="63D72BBB" w:rsidR="00A27B5C" w:rsidRPr="0001167A" w:rsidRDefault="00A27B5C" w:rsidP="00AA3506">
      <w:pPr>
        <w:numPr>
          <w:ilvl w:val="0"/>
          <w:numId w:val="13"/>
        </w:numPr>
        <w:ind w:left="426" w:hanging="426"/>
        <w:rPr>
          <w:rFonts w:asciiTheme="minorHAnsi" w:hAnsiTheme="minorHAnsi" w:cstheme="minorHAnsi"/>
        </w:rPr>
      </w:pPr>
      <w:r w:rsidRPr="0001167A">
        <w:rPr>
          <w:rFonts w:asciiTheme="minorHAnsi" w:hAnsiTheme="minorHAnsi" w:cstheme="minorHAnsi"/>
        </w:rPr>
        <w:t>Prognozowana jest zmiana charakteru opadów - wzrost częstości występowania krótkotrwałych intensywnych opadów (opady konwekcyjne), powyżej 10 mm na dobę.</w:t>
      </w:r>
      <w:r w:rsidR="00A565BC">
        <w:rPr>
          <w:rFonts w:asciiTheme="minorHAnsi" w:hAnsiTheme="minorHAnsi" w:cstheme="minorHAnsi"/>
        </w:rPr>
        <w:t xml:space="preserve"> </w:t>
      </w:r>
      <w:r w:rsidRPr="0001167A">
        <w:rPr>
          <w:rFonts w:asciiTheme="minorHAnsi" w:hAnsiTheme="minorHAnsi" w:cstheme="minorHAnsi"/>
        </w:rPr>
        <w:t>Jednocześnie prognozy wskazują na tendencję przyrostu czasu trwania okresu wilgotnego (opady &gt;1 mm/doba)</w:t>
      </w:r>
    </w:p>
    <w:p w14:paraId="4B4FD9F1" w14:textId="77777777" w:rsidR="00A27B5C" w:rsidRPr="0001167A" w:rsidRDefault="00A27B5C" w:rsidP="00AA3506">
      <w:pPr>
        <w:numPr>
          <w:ilvl w:val="0"/>
          <w:numId w:val="13"/>
        </w:numPr>
        <w:ind w:left="426" w:hanging="426"/>
        <w:rPr>
          <w:rFonts w:asciiTheme="minorHAnsi" w:hAnsiTheme="minorHAnsi" w:cstheme="minorHAnsi"/>
        </w:rPr>
      </w:pPr>
      <w:r w:rsidRPr="0001167A">
        <w:rPr>
          <w:rFonts w:asciiTheme="minorHAnsi" w:hAnsiTheme="minorHAnsi" w:cstheme="minorHAnsi"/>
        </w:rPr>
        <w:t xml:space="preserve">Zmiana rozkładu i charakteru opadów w czasie - wzrost częstości występowania suszy atmosferycznej, a w konsekwencji prawdopodobny wzrost częstości występowania oraz przyrost czasu trwania suszy glebowej (deficyt wody w glebie), </w:t>
      </w:r>
      <w:bookmarkStart w:id="51" w:name="_Hlk61360284"/>
      <w:r w:rsidRPr="0001167A">
        <w:rPr>
          <w:rFonts w:asciiTheme="minorHAnsi" w:hAnsiTheme="minorHAnsi" w:cstheme="minorHAnsi"/>
        </w:rPr>
        <w:t>przy czym ważne jest zastrzeżenie, że prognozowana liczba dni z opadem równym i większym niż 1 mm na dobę ma tendencję do wydłużania się. Wynika z tego, że opady o niskiej dobowej sumie niezaspokajające potrzeb wodnych środowiska nie będą mieć istotnego wpływu na bilans zasobów wód</w:t>
      </w:r>
      <w:bookmarkEnd w:id="51"/>
      <w:r w:rsidRPr="0001167A">
        <w:rPr>
          <w:rFonts w:asciiTheme="minorHAnsi" w:hAnsiTheme="minorHAnsi" w:cstheme="minorHAnsi"/>
        </w:rPr>
        <w:t>.</w:t>
      </w:r>
    </w:p>
    <w:p w14:paraId="5168D335" w14:textId="77777777" w:rsidR="00A27B5C" w:rsidRPr="0001167A" w:rsidRDefault="00A27B5C" w:rsidP="00AA3506">
      <w:pPr>
        <w:numPr>
          <w:ilvl w:val="0"/>
          <w:numId w:val="13"/>
        </w:numPr>
        <w:ind w:left="426" w:hanging="426"/>
        <w:rPr>
          <w:rFonts w:asciiTheme="minorHAnsi" w:hAnsiTheme="minorHAnsi" w:cstheme="minorHAnsi"/>
        </w:rPr>
      </w:pPr>
      <w:r w:rsidRPr="0001167A">
        <w:rPr>
          <w:rFonts w:asciiTheme="minorHAnsi" w:hAnsiTheme="minorHAnsi" w:cstheme="minorHAnsi"/>
        </w:rPr>
        <w:t>Z przeprowadzonych badań PIG-PIB wynika, że zasoby wód podziemnych nie reagują deficytem na wahania warunków klimatycznych i generalną tendencję zmian klimatu</w:t>
      </w:r>
      <w:r w:rsidRPr="0001167A">
        <w:rPr>
          <w:rStyle w:val="Odwoanieprzypisudolnego"/>
          <w:rFonts w:asciiTheme="minorHAnsi" w:hAnsiTheme="minorHAnsi" w:cstheme="minorHAnsi"/>
        </w:rPr>
        <w:footnoteReference w:id="11"/>
      </w:r>
      <w:r w:rsidRPr="0001167A">
        <w:rPr>
          <w:rFonts w:asciiTheme="minorHAnsi" w:hAnsiTheme="minorHAnsi" w:cstheme="minorHAnsi"/>
        </w:rPr>
        <w:t>. W najbliższym cyklu planistycznym nie należy oczekiwać zmian zasobów dyspozycyjnych.</w:t>
      </w:r>
    </w:p>
    <w:p w14:paraId="3D7B7E3B" w14:textId="77777777" w:rsidR="00A27B5C" w:rsidRPr="003D42CB" w:rsidRDefault="00A27B5C" w:rsidP="00A27B5C">
      <w:pPr>
        <w:rPr>
          <w:rFonts w:asciiTheme="minorHAnsi" w:hAnsiTheme="minorHAnsi" w:cstheme="minorHAnsi"/>
        </w:rPr>
      </w:pPr>
      <w:r w:rsidRPr="003D42CB">
        <w:rPr>
          <w:rFonts w:asciiTheme="minorHAnsi" w:hAnsiTheme="minorHAnsi" w:cstheme="minorHAnsi"/>
        </w:rPr>
        <w:t>W prognozach średnio- i długoterminowych warunków klimatycznych w projektach KLIMADA 2.0 oraz CHASE-PL 2017 ujawniają się typowe dla warunków historycznych oraz współczesnych krótkookresowe 4-6-letnie cykle wahań parametrów klimatu (m.in. temperatury powietrza i sumy opadów). W przyszłości należy się spodziewać dużego zróżnicowania warunków pogodowych i klimatycznych rok do roku. W odróżnieniu od warunków okresu 1970-2000 prognozowana przyszłość wyraźnie wskazuje wzrost częstości warunków pogody skrajnej. Oznacza to duże zróżnicowanie warunków funkcjonowania ekosystemów wodnych i od wód zależnych, w zależności od dostępnych na bieżąco zasobów wód powierzchniowych.</w:t>
      </w:r>
    </w:p>
    <w:p w14:paraId="45A67F71" w14:textId="77777777" w:rsidR="00A27B5C" w:rsidRPr="003D42CB" w:rsidRDefault="00A27B5C" w:rsidP="00A27B5C">
      <w:pPr>
        <w:rPr>
          <w:rFonts w:asciiTheme="minorHAnsi" w:hAnsiTheme="minorHAnsi" w:cstheme="minorHAnsi"/>
        </w:rPr>
      </w:pPr>
      <w:r w:rsidRPr="003D42CB">
        <w:rPr>
          <w:rFonts w:asciiTheme="minorHAnsi" w:hAnsiTheme="minorHAnsi" w:cstheme="minorHAnsi"/>
        </w:rPr>
        <w:t>Z punktu widzenia procesów biologicznych przebiegających w wodach powierzchniowych, prognozowany przyrost średniej rocznej temperatury powietrza oraz postępujące wydłużanie okresu wegetacyjnego będzie z dużym prawdopodobieństwem mieć znaczący wpływ na procesy składowe eutrofizacji. Należy oczekiwać, że przyrost temperatury wód powierzchniowych jako konsekwencja wzrostu temperatury powietrza oraz zmiany np. w zlodzeniu (w tym zanik zlodzenia) będą wpływać na zwiększenie masy organizmów wodnych. Z kolei wysoce prawdopodobne zwiększenie parowania z wód otwartych będzie skutkować przyrostem stężeń substancji chemicznych i fizykochemicznych w wodach, w tym substancji aktywnie wpływających na przyspieszenie procesu eutrofizacji.</w:t>
      </w:r>
    </w:p>
    <w:p w14:paraId="1F73DC02" w14:textId="10B38B9C" w:rsidR="00A27B5C" w:rsidRPr="003D42CB" w:rsidRDefault="00A27B5C" w:rsidP="00A27B5C">
      <w:pPr>
        <w:rPr>
          <w:rFonts w:asciiTheme="minorHAnsi" w:hAnsiTheme="minorHAnsi" w:cstheme="minorHAnsi"/>
        </w:rPr>
      </w:pPr>
      <w:r w:rsidRPr="003D42CB">
        <w:rPr>
          <w:rFonts w:asciiTheme="minorHAnsi" w:hAnsiTheme="minorHAnsi" w:cstheme="minorHAnsi"/>
        </w:rPr>
        <w:t xml:space="preserve">Prognozy zasobów wód powierzchniowych dla obszaru dorzecza Pregoły, wykonane w ramach modelowania CHASE-PL 2017, wskazują na co najmniej brak różnicy w zasobach wód powierzchniowych per saldo dla wielolecia modelowania 2024-2050, tj. bliskiej przyszłości, oraz </w:t>
      </w:r>
      <w:r w:rsidRPr="003D42CB">
        <w:rPr>
          <w:rFonts w:asciiTheme="minorHAnsi" w:hAnsiTheme="minorHAnsi" w:cstheme="minorHAnsi"/>
        </w:rPr>
        <w:br/>
        <w:t xml:space="preserve">2074-2100, tj. dalekiej przyszłości. Wskazywana jest natomiast tendencja do przyrostu wartości przepływów średnich, co będzie wynikiem zmiany natężenia opadów. Prognozowane występowanie w przyszłości krótkich, ale intensywnych opadów będzie skutkować przyrostem liczby wezbrań, co statystycznie będzie powodować przyrost przepływu średniego. W zakresie zasobów wód podziemnych wyniki analiz wieloletniej zmienności stanów wód podziemnych w zakresie płytkiego oraz użytkowego </w:t>
      </w:r>
      <w:r w:rsidR="00AB6A68">
        <w:rPr>
          <w:rFonts w:asciiTheme="minorHAnsi" w:hAnsiTheme="minorHAnsi" w:cstheme="minorHAnsi"/>
        </w:rPr>
        <w:t>poziomu</w:t>
      </w:r>
      <w:r w:rsidR="00AB6A68" w:rsidRPr="003D42CB">
        <w:rPr>
          <w:rFonts w:asciiTheme="minorHAnsi" w:hAnsiTheme="minorHAnsi" w:cstheme="minorHAnsi"/>
        </w:rPr>
        <w:t xml:space="preserve"> </w:t>
      </w:r>
      <w:r w:rsidRPr="003D42CB">
        <w:rPr>
          <w:rFonts w:asciiTheme="minorHAnsi" w:hAnsiTheme="minorHAnsi" w:cstheme="minorHAnsi"/>
        </w:rPr>
        <w:t>wodonośnego prowadzonych przez PIG-PIB wskazują, że aktualnie zmiany klimatu nie wpływają zauważalnie na wody podziemne w bilansie zasobów dyspozycyjnych. Zmiany zasobów są wynikiem długookresowych fluktuacji oraz ich eksploatacji na cele gospodarcze. Stwierdzone naturalne fluktuacje zasobów nie wpływają na dostępność wód podziemnych dla użytkowników.</w:t>
      </w:r>
    </w:p>
    <w:p w14:paraId="3ACBF6EB" w14:textId="2A4F30F6" w:rsidR="00A27B5C" w:rsidRPr="0001167A" w:rsidRDefault="00A27B5C" w:rsidP="00A27B5C">
      <w:pPr>
        <w:rPr>
          <w:rFonts w:asciiTheme="minorHAnsi" w:hAnsiTheme="minorHAnsi" w:cstheme="minorHAnsi"/>
        </w:rPr>
      </w:pPr>
      <w:r w:rsidRPr="0001167A">
        <w:rPr>
          <w:rFonts w:asciiTheme="minorHAnsi" w:hAnsiTheme="minorHAnsi" w:cstheme="minorHAnsi"/>
        </w:rPr>
        <w:t>Obszar dorzecza Pregoły jest obszar</w:t>
      </w:r>
      <w:r w:rsidR="000D04FF">
        <w:rPr>
          <w:rFonts w:asciiTheme="minorHAnsi" w:hAnsiTheme="minorHAnsi" w:cstheme="minorHAnsi"/>
        </w:rPr>
        <w:t>em</w:t>
      </w:r>
      <w:r w:rsidRPr="0001167A">
        <w:rPr>
          <w:rFonts w:asciiTheme="minorHAnsi" w:hAnsiTheme="minorHAnsi" w:cstheme="minorHAnsi"/>
        </w:rPr>
        <w:t>, dla którego prognozuje się największy wpływ ocieplenia klimatu na funkcjonowanie środowiska przyrodniczego. Z uwagi na położenie w północnej części kraju obszar dorzecza jest eksponowany na napływ mas powietrza kontynentalnego oraz arktycznego, a cechy klimatu są łagodzone przez wpływ Bałtyku</w:t>
      </w:r>
      <w:r w:rsidRPr="0001167A">
        <w:rPr>
          <w:rFonts w:asciiTheme="minorHAnsi" w:hAnsiTheme="minorHAnsi" w:cstheme="minorHAnsi"/>
          <w:vertAlign w:val="superscript"/>
        </w:rPr>
        <w:footnoteReference w:id="12"/>
      </w:r>
      <w:r w:rsidRPr="0001167A">
        <w:rPr>
          <w:rFonts w:asciiTheme="minorHAnsi" w:hAnsiTheme="minorHAnsi" w:cstheme="minorHAnsi"/>
        </w:rPr>
        <w:t>. Brak większych obszarów osadniczych decyduje o jedynie naturalnych czynnikach kształtujących tendencję zmian klimatu.</w:t>
      </w:r>
    </w:p>
    <w:p w14:paraId="3DCC6612" w14:textId="77777777" w:rsidR="00A27B5C" w:rsidRPr="0001167A" w:rsidRDefault="00A27B5C" w:rsidP="001B10C5">
      <w:r w:rsidRPr="0001167A">
        <w:t>Stwierdzono tu istotny statystycznie wzrost temperatury powietrza: średniej rocznej oraz poszczególnych pór roku. Na obszarze dorzecza prognozowane jest zwiększenie liczby dni gorących przy zachowaniu dotychczasowych warunków występowania liczby dni zimnych. Wpływ Morza Bałtyckiego zaznacza się również w postaci wzrostu średniej rocznej sumy opadu na obszarze dorzecza w porównaniu do obszarów południowych. Prognozy stwierdzają przyrost opadów na obszarze dorzecza, niemający istotnego wpływu na czas trwania suszy atmosferycznej. Znaczącymi zagrożeniami dla gospodarki wodnej na obszarze dorzecza są stwierdzony oraz prognozowany duży przyrost średniej temperatury powietrza oraz podążające za tym prognozowane istotne wydłużenie okresu wegetacyjnego z końcem XXI w. Wzrost średniej rocznej temperatury będzie oddziaływał również na termikę wód powierzchniowych, co w długim okresie może skutkować zmianami flory i fauny rzeczno-jeziornej. Przy intensywnym wydłużaniu okresu wegetacji oraz obniżaniu zasobów wód powierzchniowych należy się spodziewać wzrostu stężenia substancji rozpuszczonych oraz zwiększenia procesu eutrofizacji, szczególnie w niewielkich, izolowanych akwenach wodnych.</w:t>
      </w:r>
    </w:p>
    <w:p w14:paraId="65748C11" w14:textId="2C0A3FF9" w:rsidR="00A27B5C" w:rsidRPr="003D42CB" w:rsidRDefault="00A27B5C" w:rsidP="001B10C5">
      <w:pPr>
        <w:rPr>
          <w:rFonts w:asciiTheme="minorHAnsi" w:eastAsia="Times New Roman" w:hAnsiTheme="minorHAnsi" w:cstheme="minorHAnsi"/>
          <w:i/>
          <w:lang w:eastAsia="pl-PL"/>
        </w:rPr>
      </w:pPr>
      <w:r w:rsidRPr="003D42CB">
        <w:rPr>
          <w:lang w:eastAsia="pl-PL"/>
        </w:rPr>
        <w:t xml:space="preserve">Podsumowanie prognozowanych zmian klimatu zestawiono w tabeli </w:t>
      </w:r>
      <w:r w:rsidR="00962F1E">
        <w:rPr>
          <w:lang w:eastAsia="pl-PL"/>
        </w:rPr>
        <w:t xml:space="preserve">4-1 </w:t>
      </w:r>
      <w:r w:rsidRPr="003D42CB">
        <w:rPr>
          <w:lang w:eastAsia="pl-PL"/>
        </w:rPr>
        <w:t>poniżej. Stwierdzono wysokie narażenie</w:t>
      </w:r>
      <w:r w:rsidRPr="0001167A">
        <w:rPr>
          <w:rFonts w:asciiTheme="minorHAnsi" w:eastAsia="Times New Roman" w:hAnsiTheme="minorHAnsi" w:cstheme="minorHAnsi"/>
          <w:vertAlign w:val="superscript"/>
          <w:lang w:eastAsia="pl-PL"/>
        </w:rPr>
        <w:footnoteReference w:id="13"/>
      </w:r>
      <w:r w:rsidRPr="003D42CB">
        <w:rPr>
          <w:rFonts w:asciiTheme="minorHAnsi" w:eastAsia="Times New Roman" w:hAnsiTheme="minorHAnsi" w:cstheme="minorHAnsi"/>
          <w:lang w:eastAsia="pl-PL"/>
        </w:rPr>
        <w:t xml:space="preserve"> na przyszłe zmiany klimatu w zakresie długości czasu trwania ekstremalnie wysokiej temperatury powietrza oraz opadów o dużym natężeniu. W obrębie obszaru dorzecza nie występują wielkopowierzchniowe obszary zurbanizowane tworzące warunki do występowania tzw. miejskiej wyspy ciepła.</w:t>
      </w:r>
    </w:p>
    <w:p w14:paraId="432E459D" w14:textId="3FE83F85" w:rsidR="00A27B5C" w:rsidRPr="0001167A" w:rsidRDefault="00A27B5C" w:rsidP="006802BB">
      <w:pPr>
        <w:pStyle w:val="Tabela"/>
        <w:rPr>
          <w:i/>
        </w:rPr>
      </w:pPr>
      <w:bookmarkStart w:id="53" w:name="_Toc68726952"/>
      <w:r w:rsidRPr="0001167A">
        <w:t xml:space="preserve">Tabela </w:t>
      </w:r>
      <w:fldSimple w:instr=" STYLEREF 1 \s ">
        <w:r w:rsidR="007B4050">
          <w:rPr>
            <w:noProof/>
          </w:rPr>
          <w:t>4</w:t>
        </w:r>
      </w:fldSimple>
      <w:r w:rsidR="007B4050">
        <w:noBreakHyphen/>
      </w:r>
      <w:fldSimple w:instr=" SEQ Tabela \* ARABIC \s 1 ">
        <w:r w:rsidR="007B4050">
          <w:rPr>
            <w:noProof/>
          </w:rPr>
          <w:t>1</w:t>
        </w:r>
      </w:fldSimple>
      <w:r w:rsidRPr="0001167A">
        <w:tab/>
        <w:t>Charakterystyka klimatyczna - obszar dorzecza Pregoły</w:t>
      </w:r>
      <w:bookmarkEnd w:id="53"/>
    </w:p>
    <w:tbl>
      <w:tblPr>
        <w:tblW w:w="5000" w:type="pct"/>
        <w:tblLayout w:type="fixed"/>
        <w:tblCellMar>
          <w:left w:w="70" w:type="dxa"/>
          <w:right w:w="70" w:type="dxa"/>
        </w:tblCellMar>
        <w:tblLook w:val="04A0" w:firstRow="1" w:lastRow="0" w:firstColumn="1" w:lastColumn="0" w:noHBand="0" w:noVBand="1"/>
      </w:tblPr>
      <w:tblGrid>
        <w:gridCol w:w="1848"/>
        <w:gridCol w:w="1202"/>
        <w:gridCol w:w="1202"/>
        <w:gridCol w:w="1203"/>
        <w:gridCol w:w="1202"/>
        <w:gridCol w:w="1202"/>
        <w:gridCol w:w="1203"/>
      </w:tblGrid>
      <w:tr w:rsidR="00A27B5C" w:rsidRPr="003D42CB" w14:paraId="0D035246" w14:textId="77777777" w:rsidTr="001B10C5">
        <w:trPr>
          <w:cantSplit/>
          <w:trHeight w:val="1585"/>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1315EEA" w14:textId="77777777" w:rsidR="00A27B5C" w:rsidRPr="001B10C5" w:rsidRDefault="00A27B5C" w:rsidP="003F4A95">
            <w:pPr>
              <w:spacing w:before="4" w:after="4"/>
              <w:jc w:val="center"/>
              <w:rPr>
                <w:rFonts w:asciiTheme="minorHAnsi" w:hAnsiTheme="minorHAnsi" w:cstheme="minorHAnsi"/>
                <w:b/>
                <w:bCs/>
                <w:sz w:val="18"/>
                <w:szCs w:val="18"/>
              </w:rPr>
            </w:pPr>
            <w:r w:rsidRPr="001B10C5">
              <w:rPr>
                <w:rFonts w:asciiTheme="minorHAnsi" w:hAnsiTheme="minorHAnsi" w:cstheme="minorHAnsi"/>
                <w:b/>
                <w:bCs/>
                <w:sz w:val="18"/>
                <w:szCs w:val="18"/>
              </w:rPr>
              <w:t>Czynnik</w:t>
            </w:r>
          </w:p>
        </w:tc>
        <w:tc>
          <w:tcPr>
            <w:tcW w:w="663"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E1330C4" w14:textId="0CF3D61E"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Skala zjawiska</w:t>
            </w:r>
            <w:r w:rsidR="00A565BC" w:rsidRPr="001B10C5">
              <w:rPr>
                <w:rFonts w:asciiTheme="minorHAnsi" w:hAnsiTheme="minorHAnsi" w:cstheme="minorHAnsi"/>
                <w:b/>
                <w:bCs/>
                <w:sz w:val="18"/>
                <w:szCs w:val="18"/>
              </w:rPr>
              <w:t xml:space="preserve"> </w:t>
            </w:r>
            <w:r w:rsidRPr="001B10C5">
              <w:rPr>
                <w:rFonts w:asciiTheme="minorHAnsi" w:hAnsiTheme="minorHAnsi" w:cstheme="minorHAnsi"/>
                <w:b/>
                <w:bCs/>
                <w:sz w:val="18"/>
                <w:szCs w:val="18"/>
              </w:rPr>
              <w:t>w bieżącym cyklu planistycznym</w:t>
            </w:r>
            <w:r w:rsidR="00A565BC" w:rsidRPr="001B10C5">
              <w:rPr>
                <w:rFonts w:asciiTheme="minorHAnsi" w:hAnsiTheme="minorHAnsi" w:cstheme="minorHAnsi"/>
                <w:sz w:val="18"/>
                <w:szCs w:val="18"/>
              </w:rPr>
              <w:t xml:space="preserve"> </w:t>
            </w:r>
          </w:p>
        </w:tc>
        <w:tc>
          <w:tcPr>
            <w:tcW w:w="66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142AF6A" w14:textId="77777777"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Dotychczasowe narażenie</w:t>
            </w:r>
          </w:p>
        </w:tc>
        <w:tc>
          <w:tcPr>
            <w:tcW w:w="664"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65031AC" w14:textId="77777777"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Zmiany klimatu do 2030 r.</w:t>
            </w:r>
          </w:p>
        </w:tc>
        <w:tc>
          <w:tcPr>
            <w:tcW w:w="66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D8E8E37" w14:textId="77777777"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 xml:space="preserve">Przyszłe narażenie </w:t>
            </w:r>
            <w:r w:rsidRPr="001B10C5">
              <w:rPr>
                <w:rFonts w:asciiTheme="minorHAnsi" w:hAnsiTheme="minorHAnsi" w:cstheme="minorHAnsi"/>
                <w:b/>
                <w:bCs/>
                <w:sz w:val="18"/>
                <w:szCs w:val="18"/>
              </w:rPr>
              <w:br/>
              <w:t>(do 2030 r.)</w:t>
            </w:r>
          </w:p>
        </w:tc>
        <w:tc>
          <w:tcPr>
            <w:tcW w:w="66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0F2CD96" w14:textId="77777777"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Zmiany klimatu do 2100 r.</w:t>
            </w:r>
          </w:p>
        </w:tc>
        <w:tc>
          <w:tcPr>
            <w:tcW w:w="66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DC5EC33" w14:textId="77777777" w:rsidR="00A27B5C" w:rsidRPr="001B10C5" w:rsidRDefault="00A27B5C" w:rsidP="00B15070">
            <w:pPr>
              <w:spacing w:before="4" w:after="4"/>
              <w:ind w:left="113" w:right="113"/>
              <w:jc w:val="left"/>
              <w:rPr>
                <w:rFonts w:asciiTheme="minorHAnsi" w:hAnsiTheme="minorHAnsi" w:cstheme="minorHAnsi"/>
                <w:b/>
                <w:bCs/>
                <w:sz w:val="18"/>
                <w:szCs w:val="18"/>
              </w:rPr>
            </w:pPr>
            <w:r w:rsidRPr="001B10C5">
              <w:rPr>
                <w:rFonts w:asciiTheme="minorHAnsi" w:hAnsiTheme="minorHAnsi" w:cstheme="minorHAnsi"/>
                <w:b/>
                <w:bCs/>
                <w:sz w:val="18"/>
                <w:szCs w:val="18"/>
              </w:rPr>
              <w:t xml:space="preserve">Przyszłe narażenie </w:t>
            </w:r>
            <w:r w:rsidRPr="001B10C5">
              <w:rPr>
                <w:rFonts w:asciiTheme="minorHAnsi" w:hAnsiTheme="minorHAnsi" w:cstheme="minorHAnsi"/>
                <w:b/>
                <w:bCs/>
                <w:sz w:val="18"/>
                <w:szCs w:val="18"/>
              </w:rPr>
              <w:br/>
              <w:t>(do 2100 r.)</w:t>
            </w:r>
          </w:p>
        </w:tc>
      </w:tr>
      <w:tr w:rsidR="00A27B5C" w:rsidRPr="003D42CB" w14:paraId="5EC2230C"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377F091"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Średnia temperatura powietrza</w:t>
            </w:r>
          </w:p>
        </w:tc>
        <w:tc>
          <w:tcPr>
            <w:tcW w:w="663" w:type="pct"/>
            <w:tcBorders>
              <w:top w:val="nil"/>
              <w:left w:val="nil"/>
              <w:bottom w:val="single" w:sz="4" w:space="0" w:color="auto"/>
              <w:right w:val="single" w:sz="4" w:space="0" w:color="auto"/>
            </w:tcBorders>
            <w:shd w:val="clear" w:color="auto" w:fill="auto"/>
            <w:noWrap/>
            <w:vAlign w:val="center"/>
            <w:hideMark/>
          </w:tcPr>
          <w:p w14:paraId="3B54B9CD"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8,4°C</w:t>
            </w:r>
          </w:p>
        </w:tc>
        <w:tc>
          <w:tcPr>
            <w:tcW w:w="663" w:type="pct"/>
            <w:tcBorders>
              <w:top w:val="nil"/>
              <w:left w:val="nil"/>
              <w:bottom w:val="single" w:sz="4" w:space="0" w:color="auto"/>
              <w:right w:val="single" w:sz="4" w:space="0" w:color="auto"/>
            </w:tcBorders>
            <w:shd w:val="clear" w:color="auto" w:fill="92D050"/>
            <w:noWrap/>
            <w:vAlign w:val="center"/>
            <w:hideMark/>
          </w:tcPr>
          <w:p w14:paraId="3C68C01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4" w:type="pct"/>
            <w:tcBorders>
              <w:top w:val="nil"/>
              <w:left w:val="nil"/>
              <w:bottom w:val="single" w:sz="4" w:space="0" w:color="auto"/>
              <w:right w:val="single" w:sz="4" w:space="0" w:color="auto"/>
            </w:tcBorders>
            <w:shd w:val="clear" w:color="auto" w:fill="auto"/>
            <w:noWrap/>
            <w:vAlign w:val="center"/>
            <w:hideMark/>
          </w:tcPr>
          <w:p w14:paraId="199F2627"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wzrost o 0,18-0,22°C</w:t>
            </w:r>
          </w:p>
        </w:tc>
        <w:tc>
          <w:tcPr>
            <w:tcW w:w="663" w:type="pct"/>
            <w:tcBorders>
              <w:top w:val="nil"/>
              <w:left w:val="nil"/>
              <w:bottom w:val="single" w:sz="4" w:space="0" w:color="auto"/>
              <w:right w:val="single" w:sz="4" w:space="0" w:color="auto"/>
            </w:tcBorders>
            <w:shd w:val="clear" w:color="auto" w:fill="92D050"/>
            <w:vAlign w:val="center"/>
            <w:hideMark/>
          </w:tcPr>
          <w:p w14:paraId="09876530"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2A418CB3"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wzrost o 1,6-1,8°C</w:t>
            </w:r>
          </w:p>
        </w:tc>
        <w:tc>
          <w:tcPr>
            <w:tcW w:w="664" w:type="pct"/>
            <w:tcBorders>
              <w:top w:val="nil"/>
              <w:left w:val="nil"/>
              <w:bottom w:val="single" w:sz="4" w:space="0" w:color="auto"/>
              <w:right w:val="single" w:sz="4" w:space="0" w:color="auto"/>
            </w:tcBorders>
            <w:shd w:val="clear" w:color="auto" w:fill="92D050"/>
            <w:noWrap/>
            <w:vAlign w:val="center"/>
            <w:hideMark/>
          </w:tcPr>
          <w:p w14:paraId="2FBF7397"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6CBED94C"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8C7703B"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 xml:space="preserve">Roczna amplituda temperatury powietrza okresu ciepłego </w:t>
            </w:r>
          </w:p>
        </w:tc>
        <w:tc>
          <w:tcPr>
            <w:tcW w:w="663" w:type="pct"/>
            <w:tcBorders>
              <w:top w:val="nil"/>
              <w:left w:val="nil"/>
              <w:bottom w:val="single" w:sz="4" w:space="0" w:color="auto"/>
              <w:right w:val="single" w:sz="4" w:space="0" w:color="auto"/>
            </w:tcBorders>
            <w:shd w:val="clear" w:color="auto" w:fill="auto"/>
            <w:noWrap/>
            <w:vAlign w:val="center"/>
            <w:hideMark/>
          </w:tcPr>
          <w:p w14:paraId="76295E59"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8,3-8,7°C</w:t>
            </w:r>
          </w:p>
        </w:tc>
        <w:tc>
          <w:tcPr>
            <w:tcW w:w="663" w:type="pct"/>
            <w:tcBorders>
              <w:top w:val="nil"/>
              <w:left w:val="nil"/>
              <w:bottom w:val="single" w:sz="4" w:space="0" w:color="auto"/>
              <w:right w:val="single" w:sz="4" w:space="0" w:color="auto"/>
            </w:tcBorders>
            <w:shd w:val="clear" w:color="auto" w:fill="FFFF00"/>
            <w:noWrap/>
            <w:vAlign w:val="center"/>
            <w:hideMark/>
          </w:tcPr>
          <w:p w14:paraId="2C157126" w14:textId="3EC298AD"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4DA2792C"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o 0,8°C</w:t>
            </w:r>
          </w:p>
        </w:tc>
        <w:tc>
          <w:tcPr>
            <w:tcW w:w="663" w:type="pct"/>
            <w:tcBorders>
              <w:top w:val="nil"/>
              <w:left w:val="nil"/>
              <w:bottom w:val="single" w:sz="4" w:space="0" w:color="auto"/>
              <w:right w:val="single" w:sz="4" w:space="0" w:color="auto"/>
            </w:tcBorders>
            <w:shd w:val="clear" w:color="auto" w:fill="92D050"/>
            <w:vAlign w:val="center"/>
            <w:hideMark/>
          </w:tcPr>
          <w:p w14:paraId="6D0F79ED"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05C57D5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o 4-5°C</w:t>
            </w:r>
          </w:p>
        </w:tc>
        <w:tc>
          <w:tcPr>
            <w:tcW w:w="664" w:type="pct"/>
            <w:tcBorders>
              <w:top w:val="nil"/>
              <w:left w:val="nil"/>
              <w:bottom w:val="single" w:sz="4" w:space="0" w:color="auto"/>
              <w:right w:val="single" w:sz="4" w:space="0" w:color="auto"/>
            </w:tcBorders>
            <w:shd w:val="clear" w:color="auto" w:fill="92D050"/>
            <w:noWrap/>
            <w:vAlign w:val="center"/>
            <w:hideMark/>
          </w:tcPr>
          <w:p w14:paraId="046689BD" w14:textId="4A67F159"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69A9C3C9"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0A316F1"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Roczna amplituda temperatury powietrza okresu chłodnego</w:t>
            </w:r>
          </w:p>
        </w:tc>
        <w:tc>
          <w:tcPr>
            <w:tcW w:w="663" w:type="pct"/>
            <w:tcBorders>
              <w:top w:val="nil"/>
              <w:left w:val="nil"/>
              <w:bottom w:val="single" w:sz="4" w:space="0" w:color="auto"/>
              <w:right w:val="single" w:sz="4" w:space="0" w:color="auto"/>
            </w:tcBorders>
            <w:shd w:val="clear" w:color="auto" w:fill="auto"/>
            <w:noWrap/>
            <w:vAlign w:val="center"/>
            <w:hideMark/>
          </w:tcPr>
          <w:p w14:paraId="3BB40FC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5,0-5,5°C</w:t>
            </w:r>
          </w:p>
        </w:tc>
        <w:tc>
          <w:tcPr>
            <w:tcW w:w="663" w:type="pct"/>
            <w:tcBorders>
              <w:top w:val="nil"/>
              <w:left w:val="nil"/>
              <w:bottom w:val="single" w:sz="4" w:space="0" w:color="auto"/>
              <w:right w:val="single" w:sz="4" w:space="0" w:color="auto"/>
            </w:tcBorders>
            <w:shd w:val="clear" w:color="auto" w:fill="92D050"/>
            <w:noWrap/>
            <w:vAlign w:val="center"/>
            <w:hideMark/>
          </w:tcPr>
          <w:p w14:paraId="05CDA18E" w14:textId="10A2CEA2"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4" w:type="pct"/>
            <w:tcBorders>
              <w:top w:val="nil"/>
              <w:left w:val="nil"/>
              <w:bottom w:val="single" w:sz="4" w:space="0" w:color="auto"/>
              <w:right w:val="single" w:sz="4" w:space="0" w:color="auto"/>
            </w:tcBorders>
            <w:shd w:val="clear" w:color="auto" w:fill="auto"/>
            <w:noWrap/>
            <w:vAlign w:val="center"/>
            <w:hideMark/>
          </w:tcPr>
          <w:p w14:paraId="3CBB85C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1°C</w:t>
            </w:r>
          </w:p>
        </w:tc>
        <w:tc>
          <w:tcPr>
            <w:tcW w:w="663" w:type="pct"/>
            <w:tcBorders>
              <w:top w:val="nil"/>
              <w:left w:val="nil"/>
              <w:bottom w:val="single" w:sz="4" w:space="0" w:color="auto"/>
              <w:right w:val="single" w:sz="4" w:space="0" w:color="auto"/>
            </w:tcBorders>
            <w:shd w:val="clear" w:color="auto" w:fill="92D050"/>
            <w:vAlign w:val="center"/>
            <w:hideMark/>
          </w:tcPr>
          <w:p w14:paraId="0107D7D2" w14:textId="50DDD486"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24EF536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1,2-1,5°C</w:t>
            </w:r>
          </w:p>
        </w:tc>
        <w:tc>
          <w:tcPr>
            <w:tcW w:w="664" w:type="pct"/>
            <w:tcBorders>
              <w:top w:val="nil"/>
              <w:left w:val="nil"/>
              <w:bottom w:val="single" w:sz="4" w:space="0" w:color="auto"/>
              <w:right w:val="single" w:sz="4" w:space="0" w:color="auto"/>
            </w:tcBorders>
            <w:shd w:val="clear" w:color="auto" w:fill="92D050"/>
            <w:noWrap/>
            <w:vAlign w:val="center"/>
            <w:hideMark/>
          </w:tcPr>
          <w:p w14:paraId="0C606906" w14:textId="692EF0F1"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7D77494E"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0C8EBD8"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Roczna suma opadów</w:t>
            </w:r>
          </w:p>
        </w:tc>
        <w:tc>
          <w:tcPr>
            <w:tcW w:w="663" w:type="pct"/>
            <w:tcBorders>
              <w:top w:val="nil"/>
              <w:left w:val="nil"/>
              <w:bottom w:val="single" w:sz="4" w:space="0" w:color="auto"/>
              <w:right w:val="single" w:sz="4" w:space="0" w:color="auto"/>
            </w:tcBorders>
            <w:shd w:val="clear" w:color="auto" w:fill="auto"/>
            <w:noWrap/>
            <w:vAlign w:val="center"/>
            <w:hideMark/>
          </w:tcPr>
          <w:p w14:paraId="270C9C5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730-740 mm/rok</w:t>
            </w:r>
          </w:p>
        </w:tc>
        <w:tc>
          <w:tcPr>
            <w:tcW w:w="663" w:type="pct"/>
            <w:tcBorders>
              <w:top w:val="nil"/>
              <w:left w:val="nil"/>
              <w:bottom w:val="single" w:sz="4" w:space="0" w:color="auto"/>
              <w:right w:val="single" w:sz="4" w:space="0" w:color="auto"/>
            </w:tcBorders>
            <w:shd w:val="clear" w:color="auto" w:fill="92D050"/>
            <w:noWrap/>
            <w:vAlign w:val="center"/>
            <w:hideMark/>
          </w:tcPr>
          <w:p w14:paraId="29D61AB5"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4" w:type="pct"/>
            <w:tcBorders>
              <w:top w:val="nil"/>
              <w:left w:val="nil"/>
              <w:bottom w:val="single" w:sz="4" w:space="0" w:color="auto"/>
              <w:right w:val="single" w:sz="4" w:space="0" w:color="auto"/>
            </w:tcBorders>
            <w:shd w:val="clear" w:color="auto" w:fill="auto"/>
            <w:noWrap/>
            <w:vAlign w:val="center"/>
            <w:hideMark/>
          </w:tcPr>
          <w:p w14:paraId="15CB639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wzrost o 11-18 mm w skali roku</w:t>
            </w:r>
          </w:p>
        </w:tc>
        <w:tc>
          <w:tcPr>
            <w:tcW w:w="663" w:type="pct"/>
            <w:tcBorders>
              <w:top w:val="nil"/>
              <w:left w:val="nil"/>
              <w:bottom w:val="single" w:sz="4" w:space="0" w:color="auto"/>
              <w:right w:val="single" w:sz="4" w:space="0" w:color="auto"/>
            </w:tcBorders>
            <w:shd w:val="clear" w:color="auto" w:fill="92D050"/>
            <w:vAlign w:val="center"/>
            <w:hideMark/>
          </w:tcPr>
          <w:p w14:paraId="36B7E5BB"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47F4FCEB"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wzrost o 31,5-46,0 mm w skali roku</w:t>
            </w:r>
          </w:p>
        </w:tc>
        <w:tc>
          <w:tcPr>
            <w:tcW w:w="664" w:type="pct"/>
            <w:tcBorders>
              <w:top w:val="nil"/>
              <w:left w:val="nil"/>
              <w:bottom w:val="single" w:sz="4" w:space="0" w:color="auto"/>
              <w:right w:val="single" w:sz="4" w:space="0" w:color="auto"/>
            </w:tcBorders>
            <w:shd w:val="clear" w:color="auto" w:fill="92D050"/>
            <w:noWrap/>
            <w:vAlign w:val="center"/>
            <w:hideMark/>
          </w:tcPr>
          <w:p w14:paraId="1C978FE0"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6590BB93"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44439BB"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Średnia prędkość wiatru</w:t>
            </w:r>
          </w:p>
        </w:tc>
        <w:tc>
          <w:tcPr>
            <w:tcW w:w="663" w:type="pct"/>
            <w:tcBorders>
              <w:top w:val="nil"/>
              <w:left w:val="nil"/>
              <w:bottom w:val="single" w:sz="4" w:space="0" w:color="auto"/>
              <w:right w:val="single" w:sz="4" w:space="0" w:color="auto"/>
            </w:tcBorders>
            <w:shd w:val="clear" w:color="auto" w:fill="auto"/>
            <w:noWrap/>
            <w:vAlign w:val="center"/>
            <w:hideMark/>
          </w:tcPr>
          <w:p w14:paraId="2867B9A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3,2-3,6 m/s</w:t>
            </w:r>
          </w:p>
        </w:tc>
        <w:tc>
          <w:tcPr>
            <w:tcW w:w="663" w:type="pct"/>
            <w:tcBorders>
              <w:top w:val="nil"/>
              <w:left w:val="nil"/>
              <w:bottom w:val="single" w:sz="4" w:space="0" w:color="auto"/>
              <w:right w:val="single" w:sz="4" w:space="0" w:color="auto"/>
            </w:tcBorders>
            <w:shd w:val="clear" w:color="auto" w:fill="92D050"/>
            <w:noWrap/>
            <w:vAlign w:val="center"/>
            <w:hideMark/>
          </w:tcPr>
          <w:p w14:paraId="2E4981F9"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4" w:type="pct"/>
            <w:tcBorders>
              <w:top w:val="nil"/>
              <w:left w:val="nil"/>
              <w:bottom w:val="single" w:sz="4" w:space="0" w:color="auto"/>
              <w:right w:val="single" w:sz="4" w:space="0" w:color="auto"/>
            </w:tcBorders>
            <w:shd w:val="clear" w:color="auto" w:fill="auto"/>
            <w:noWrap/>
            <w:vAlign w:val="center"/>
            <w:hideMark/>
          </w:tcPr>
          <w:p w14:paraId="550C0C8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średniej prędkości</w:t>
            </w:r>
          </w:p>
        </w:tc>
        <w:tc>
          <w:tcPr>
            <w:tcW w:w="663" w:type="pct"/>
            <w:tcBorders>
              <w:top w:val="nil"/>
              <w:left w:val="nil"/>
              <w:bottom w:val="single" w:sz="4" w:space="0" w:color="auto"/>
              <w:right w:val="single" w:sz="4" w:space="0" w:color="auto"/>
            </w:tcBorders>
            <w:shd w:val="clear" w:color="auto" w:fill="92D050"/>
            <w:vAlign w:val="center"/>
            <w:hideMark/>
          </w:tcPr>
          <w:p w14:paraId="4A49F73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129E57E5"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średniej prędkości</w:t>
            </w:r>
          </w:p>
        </w:tc>
        <w:tc>
          <w:tcPr>
            <w:tcW w:w="664" w:type="pct"/>
            <w:tcBorders>
              <w:top w:val="nil"/>
              <w:left w:val="nil"/>
              <w:bottom w:val="single" w:sz="4" w:space="0" w:color="auto"/>
              <w:right w:val="single" w:sz="4" w:space="0" w:color="auto"/>
            </w:tcBorders>
            <w:shd w:val="clear" w:color="auto" w:fill="92D050"/>
            <w:noWrap/>
            <w:vAlign w:val="center"/>
            <w:hideMark/>
          </w:tcPr>
          <w:p w14:paraId="5F9EAE47"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441240AD"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C78D1D0"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Sezon wegetacyjny, temperatura powyżej 10°C</w:t>
            </w:r>
          </w:p>
        </w:tc>
        <w:tc>
          <w:tcPr>
            <w:tcW w:w="663" w:type="pct"/>
            <w:tcBorders>
              <w:top w:val="nil"/>
              <w:left w:val="nil"/>
              <w:bottom w:val="single" w:sz="4" w:space="0" w:color="auto"/>
              <w:right w:val="single" w:sz="4" w:space="0" w:color="auto"/>
            </w:tcBorders>
            <w:shd w:val="clear" w:color="auto" w:fill="auto"/>
            <w:noWrap/>
            <w:vAlign w:val="center"/>
            <w:hideMark/>
          </w:tcPr>
          <w:p w14:paraId="4216097B"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195 dni w roku</w:t>
            </w:r>
          </w:p>
        </w:tc>
        <w:tc>
          <w:tcPr>
            <w:tcW w:w="663" w:type="pct"/>
            <w:tcBorders>
              <w:top w:val="nil"/>
              <w:left w:val="nil"/>
              <w:bottom w:val="single" w:sz="4" w:space="0" w:color="auto"/>
              <w:right w:val="single" w:sz="4" w:space="0" w:color="auto"/>
            </w:tcBorders>
            <w:shd w:val="clear" w:color="auto" w:fill="92D050"/>
            <w:noWrap/>
            <w:vAlign w:val="center"/>
            <w:hideMark/>
          </w:tcPr>
          <w:p w14:paraId="62768355"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4" w:type="pct"/>
            <w:tcBorders>
              <w:top w:val="nil"/>
              <w:left w:val="nil"/>
              <w:bottom w:val="single" w:sz="4" w:space="0" w:color="auto"/>
              <w:right w:val="single" w:sz="4" w:space="0" w:color="auto"/>
            </w:tcBorders>
            <w:shd w:val="clear" w:color="auto" w:fill="auto"/>
            <w:noWrap/>
            <w:vAlign w:val="center"/>
            <w:hideMark/>
          </w:tcPr>
          <w:p w14:paraId="779930F0"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wydłużenie o 4-5 dni w roku</w:t>
            </w:r>
          </w:p>
        </w:tc>
        <w:tc>
          <w:tcPr>
            <w:tcW w:w="663" w:type="pct"/>
            <w:tcBorders>
              <w:top w:val="nil"/>
              <w:left w:val="nil"/>
              <w:bottom w:val="single" w:sz="4" w:space="0" w:color="auto"/>
              <w:right w:val="single" w:sz="4" w:space="0" w:color="auto"/>
            </w:tcBorders>
            <w:shd w:val="clear" w:color="auto" w:fill="92D050"/>
            <w:vAlign w:val="center"/>
            <w:hideMark/>
          </w:tcPr>
          <w:p w14:paraId="4AF757F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0DF613B8"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wydłużenie o 26-28 dni w roku</w:t>
            </w:r>
          </w:p>
        </w:tc>
        <w:tc>
          <w:tcPr>
            <w:tcW w:w="664" w:type="pct"/>
            <w:tcBorders>
              <w:top w:val="nil"/>
              <w:left w:val="nil"/>
              <w:bottom w:val="single" w:sz="4" w:space="0" w:color="auto"/>
              <w:right w:val="single" w:sz="4" w:space="0" w:color="auto"/>
            </w:tcBorders>
            <w:shd w:val="clear" w:color="auto" w:fill="92D050"/>
            <w:noWrap/>
            <w:vAlign w:val="center"/>
            <w:hideMark/>
          </w:tcPr>
          <w:p w14:paraId="345F38C9"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63E35A73"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B47F588"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Ekstremalna temperatura dodatnia</w:t>
            </w:r>
          </w:p>
        </w:tc>
        <w:tc>
          <w:tcPr>
            <w:tcW w:w="663" w:type="pct"/>
            <w:tcBorders>
              <w:top w:val="nil"/>
              <w:left w:val="nil"/>
              <w:bottom w:val="single" w:sz="4" w:space="0" w:color="auto"/>
              <w:right w:val="single" w:sz="4" w:space="0" w:color="auto"/>
            </w:tcBorders>
            <w:shd w:val="clear" w:color="auto" w:fill="auto"/>
            <w:noWrap/>
            <w:vAlign w:val="center"/>
            <w:hideMark/>
          </w:tcPr>
          <w:p w14:paraId="62A31D39"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powyżej 25°C, ok. 29-30 dni w roku</w:t>
            </w:r>
          </w:p>
        </w:tc>
        <w:tc>
          <w:tcPr>
            <w:tcW w:w="663" w:type="pct"/>
            <w:tcBorders>
              <w:top w:val="nil"/>
              <w:left w:val="nil"/>
              <w:bottom w:val="single" w:sz="4" w:space="0" w:color="auto"/>
              <w:right w:val="single" w:sz="4" w:space="0" w:color="auto"/>
            </w:tcBorders>
            <w:shd w:val="clear" w:color="auto" w:fill="FFFF00"/>
            <w:noWrap/>
            <w:vAlign w:val="center"/>
            <w:hideMark/>
          </w:tcPr>
          <w:p w14:paraId="26A5041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239B1E9B"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2,5-3,5 dnia w roku</w:t>
            </w:r>
          </w:p>
        </w:tc>
        <w:tc>
          <w:tcPr>
            <w:tcW w:w="663" w:type="pct"/>
            <w:tcBorders>
              <w:top w:val="nil"/>
              <w:left w:val="nil"/>
              <w:bottom w:val="single" w:sz="4" w:space="0" w:color="auto"/>
              <w:right w:val="single" w:sz="4" w:space="0" w:color="auto"/>
            </w:tcBorders>
            <w:shd w:val="clear" w:color="auto" w:fill="FF0000"/>
            <w:vAlign w:val="center"/>
            <w:hideMark/>
          </w:tcPr>
          <w:p w14:paraId="10F1ECE3"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c>
          <w:tcPr>
            <w:tcW w:w="663" w:type="pct"/>
            <w:tcBorders>
              <w:top w:val="nil"/>
              <w:left w:val="nil"/>
              <w:bottom w:val="single" w:sz="4" w:space="0" w:color="auto"/>
              <w:right w:val="single" w:sz="4" w:space="0" w:color="auto"/>
            </w:tcBorders>
            <w:shd w:val="clear" w:color="auto" w:fill="auto"/>
            <w:vAlign w:val="center"/>
            <w:hideMark/>
          </w:tcPr>
          <w:p w14:paraId="2C198C5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10-12 dni w roku</w:t>
            </w:r>
          </w:p>
        </w:tc>
        <w:tc>
          <w:tcPr>
            <w:tcW w:w="664" w:type="pct"/>
            <w:tcBorders>
              <w:top w:val="nil"/>
              <w:left w:val="nil"/>
              <w:bottom w:val="single" w:sz="4" w:space="0" w:color="auto"/>
              <w:right w:val="single" w:sz="4" w:space="0" w:color="auto"/>
            </w:tcBorders>
            <w:shd w:val="clear" w:color="auto" w:fill="FF0000"/>
            <w:noWrap/>
            <w:vAlign w:val="center"/>
            <w:hideMark/>
          </w:tcPr>
          <w:p w14:paraId="6B2ACC0F"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r>
      <w:tr w:rsidR="00A27B5C" w:rsidRPr="003D42CB" w14:paraId="0FE52A55"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411E97C"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Temperatura ujemna</w:t>
            </w:r>
          </w:p>
        </w:tc>
        <w:tc>
          <w:tcPr>
            <w:tcW w:w="663" w:type="pct"/>
            <w:tcBorders>
              <w:top w:val="nil"/>
              <w:left w:val="nil"/>
              <w:bottom w:val="single" w:sz="4" w:space="0" w:color="auto"/>
              <w:right w:val="single" w:sz="4" w:space="0" w:color="auto"/>
            </w:tcBorders>
            <w:shd w:val="clear" w:color="auto" w:fill="auto"/>
            <w:noWrap/>
            <w:vAlign w:val="center"/>
            <w:hideMark/>
          </w:tcPr>
          <w:p w14:paraId="5E370F9D"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poniżej 0°C, 89-102 dni w roku</w:t>
            </w:r>
          </w:p>
        </w:tc>
        <w:tc>
          <w:tcPr>
            <w:tcW w:w="663" w:type="pct"/>
            <w:tcBorders>
              <w:top w:val="nil"/>
              <w:left w:val="nil"/>
              <w:bottom w:val="single" w:sz="4" w:space="0" w:color="auto"/>
              <w:right w:val="single" w:sz="4" w:space="0" w:color="auto"/>
            </w:tcBorders>
            <w:shd w:val="clear" w:color="auto" w:fill="FFFF00"/>
            <w:noWrap/>
            <w:vAlign w:val="center"/>
            <w:hideMark/>
          </w:tcPr>
          <w:p w14:paraId="015EE483"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30712D5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o 4-5 dni w roku</w:t>
            </w:r>
          </w:p>
        </w:tc>
        <w:tc>
          <w:tcPr>
            <w:tcW w:w="663" w:type="pct"/>
            <w:tcBorders>
              <w:top w:val="nil"/>
              <w:left w:val="nil"/>
              <w:bottom w:val="single" w:sz="4" w:space="0" w:color="auto"/>
              <w:right w:val="single" w:sz="4" w:space="0" w:color="auto"/>
            </w:tcBorders>
            <w:shd w:val="clear" w:color="auto" w:fill="92D050"/>
            <w:vAlign w:val="center"/>
            <w:hideMark/>
          </w:tcPr>
          <w:p w14:paraId="00E51B7B"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705BF77D" w14:textId="48DE4CB4"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o nawet 29 dni</w:t>
            </w:r>
          </w:p>
        </w:tc>
        <w:tc>
          <w:tcPr>
            <w:tcW w:w="664" w:type="pct"/>
            <w:tcBorders>
              <w:top w:val="nil"/>
              <w:left w:val="nil"/>
              <w:bottom w:val="single" w:sz="4" w:space="0" w:color="auto"/>
              <w:right w:val="single" w:sz="4" w:space="0" w:color="auto"/>
            </w:tcBorders>
            <w:shd w:val="clear" w:color="auto" w:fill="92D050"/>
            <w:noWrap/>
            <w:vAlign w:val="center"/>
            <w:hideMark/>
          </w:tcPr>
          <w:p w14:paraId="133268A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43C1CAA4"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595AEAE"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Liczba dni z opadem w roku</w:t>
            </w:r>
          </w:p>
        </w:tc>
        <w:tc>
          <w:tcPr>
            <w:tcW w:w="663" w:type="pct"/>
            <w:tcBorders>
              <w:top w:val="nil"/>
              <w:left w:val="nil"/>
              <w:bottom w:val="single" w:sz="4" w:space="0" w:color="auto"/>
              <w:right w:val="single" w:sz="4" w:space="0" w:color="auto"/>
            </w:tcBorders>
            <w:shd w:val="clear" w:color="auto" w:fill="auto"/>
            <w:noWrap/>
            <w:vAlign w:val="center"/>
            <w:hideMark/>
          </w:tcPr>
          <w:p w14:paraId="3A5B4511"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ok. 135-140 dni w roku</w:t>
            </w:r>
          </w:p>
        </w:tc>
        <w:tc>
          <w:tcPr>
            <w:tcW w:w="663" w:type="pct"/>
            <w:tcBorders>
              <w:top w:val="nil"/>
              <w:left w:val="nil"/>
              <w:bottom w:val="single" w:sz="4" w:space="0" w:color="auto"/>
              <w:right w:val="single" w:sz="4" w:space="0" w:color="auto"/>
            </w:tcBorders>
            <w:shd w:val="clear" w:color="auto" w:fill="FFFF00"/>
            <w:noWrap/>
            <w:vAlign w:val="center"/>
            <w:hideMark/>
          </w:tcPr>
          <w:p w14:paraId="5A7580AE" w14:textId="13317899"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68D67571"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zwiększenie o 1,1-1,5 dnia na rok</w:t>
            </w:r>
          </w:p>
        </w:tc>
        <w:tc>
          <w:tcPr>
            <w:tcW w:w="663" w:type="pct"/>
            <w:tcBorders>
              <w:top w:val="nil"/>
              <w:left w:val="nil"/>
              <w:bottom w:val="single" w:sz="4" w:space="0" w:color="auto"/>
              <w:right w:val="single" w:sz="4" w:space="0" w:color="auto"/>
            </w:tcBorders>
            <w:shd w:val="clear" w:color="auto" w:fill="FFFF00"/>
            <w:vAlign w:val="center"/>
            <w:hideMark/>
          </w:tcPr>
          <w:p w14:paraId="06644EEA" w14:textId="6BEC4BF0"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3" w:type="pct"/>
            <w:tcBorders>
              <w:top w:val="nil"/>
              <w:left w:val="nil"/>
              <w:bottom w:val="single" w:sz="4" w:space="0" w:color="auto"/>
              <w:right w:val="single" w:sz="4" w:space="0" w:color="auto"/>
            </w:tcBorders>
            <w:shd w:val="clear" w:color="auto" w:fill="auto"/>
            <w:vAlign w:val="center"/>
            <w:hideMark/>
          </w:tcPr>
          <w:p w14:paraId="513418D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zwiększenie o 1,9-2,5 dnia na rok</w:t>
            </w:r>
          </w:p>
        </w:tc>
        <w:tc>
          <w:tcPr>
            <w:tcW w:w="664" w:type="pct"/>
            <w:tcBorders>
              <w:top w:val="nil"/>
              <w:left w:val="nil"/>
              <w:bottom w:val="single" w:sz="4" w:space="0" w:color="auto"/>
              <w:right w:val="single" w:sz="4" w:space="0" w:color="auto"/>
            </w:tcBorders>
            <w:shd w:val="clear" w:color="auto" w:fill="FFFF00"/>
            <w:noWrap/>
            <w:vAlign w:val="center"/>
            <w:hideMark/>
          </w:tcPr>
          <w:p w14:paraId="56A99B90" w14:textId="632A258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r>
      <w:tr w:rsidR="00A27B5C" w:rsidRPr="003D42CB" w14:paraId="6E634FD5" w14:textId="77777777" w:rsidTr="00CE57D6">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C87BB8F"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 opad dobowy</w:t>
            </w:r>
          </w:p>
        </w:tc>
        <w:tc>
          <w:tcPr>
            <w:tcW w:w="663" w:type="pct"/>
            <w:tcBorders>
              <w:top w:val="nil"/>
              <w:left w:val="nil"/>
              <w:bottom w:val="single" w:sz="4" w:space="0" w:color="auto"/>
              <w:right w:val="single" w:sz="4" w:space="0" w:color="auto"/>
            </w:tcBorders>
            <w:shd w:val="clear" w:color="auto" w:fill="auto"/>
            <w:noWrap/>
            <w:vAlign w:val="center"/>
            <w:hideMark/>
          </w:tcPr>
          <w:p w14:paraId="7E334FD0"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ok. 2,1 mm na dobę</w:t>
            </w:r>
          </w:p>
        </w:tc>
        <w:tc>
          <w:tcPr>
            <w:tcW w:w="663" w:type="pct"/>
            <w:tcBorders>
              <w:top w:val="nil"/>
              <w:left w:val="nil"/>
              <w:bottom w:val="single" w:sz="4" w:space="0" w:color="auto"/>
              <w:right w:val="single" w:sz="4" w:space="0" w:color="auto"/>
            </w:tcBorders>
            <w:shd w:val="clear" w:color="auto" w:fill="FFFF00"/>
            <w:noWrap/>
            <w:vAlign w:val="center"/>
            <w:hideMark/>
          </w:tcPr>
          <w:p w14:paraId="1189C9F0" w14:textId="62EEA93F"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6E14BAE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2,2 mm na dobę</w:t>
            </w:r>
          </w:p>
        </w:tc>
        <w:tc>
          <w:tcPr>
            <w:tcW w:w="663" w:type="pct"/>
            <w:tcBorders>
              <w:top w:val="nil"/>
              <w:left w:val="nil"/>
              <w:bottom w:val="single" w:sz="4" w:space="0" w:color="auto"/>
              <w:right w:val="single" w:sz="4" w:space="0" w:color="auto"/>
            </w:tcBorders>
            <w:shd w:val="clear" w:color="auto" w:fill="FFFF00"/>
            <w:vAlign w:val="center"/>
            <w:hideMark/>
          </w:tcPr>
          <w:p w14:paraId="2C530B08" w14:textId="78DFC3BA"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3" w:type="pct"/>
            <w:tcBorders>
              <w:top w:val="nil"/>
              <w:left w:val="nil"/>
              <w:bottom w:val="single" w:sz="4" w:space="0" w:color="auto"/>
              <w:right w:val="single" w:sz="4" w:space="0" w:color="auto"/>
            </w:tcBorders>
            <w:shd w:val="clear" w:color="auto" w:fill="auto"/>
            <w:vAlign w:val="center"/>
            <w:hideMark/>
          </w:tcPr>
          <w:p w14:paraId="08DB06F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2,5 mm na dobę</w:t>
            </w:r>
          </w:p>
        </w:tc>
        <w:tc>
          <w:tcPr>
            <w:tcW w:w="664" w:type="pct"/>
            <w:tcBorders>
              <w:top w:val="nil"/>
              <w:left w:val="nil"/>
              <w:bottom w:val="single" w:sz="4" w:space="0" w:color="auto"/>
              <w:right w:val="single" w:sz="4" w:space="0" w:color="auto"/>
            </w:tcBorders>
            <w:shd w:val="clear" w:color="auto" w:fill="FF0000"/>
            <w:noWrap/>
            <w:vAlign w:val="center"/>
            <w:hideMark/>
          </w:tcPr>
          <w:p w14:paraId="55A6785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r>
      <w:tr w:rsidR="00A27B5C" w:rsidRPr="003D42CB" w14:paraId="68996BC3" w14:textId="77777777" w:rsidTr="00CE57D6">
        <w:trPr>
          <w:trHeight w:val="530"/>
        </w:trPr>
        <w:tc>
          <w:tcPr>
            <w:tcW w:w="10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AA15A"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Opady nawalne</w:t>
            </w:r>
          </w:p>
        </w:tc>
        <w:tc>
          <w:tcPr>
            <w:tcW w:w="663" w:type="pct"/>
            <w:tcBorders>
              <w:top w:val="nil"/>
              <w:left w:val="nil"/>
              <w:bottom w:val="single" w:sz="4" w:space="0" w:color="auto"/>
              <w:right w:val="single" w:sz="4" w:space="0" w:color="auto"/>
            </w:tcBorders>
            <w:shd w:val="clear" w:color="auto" w:fill="auto"/>
            <w:vAlign w:val="center"/>
            <w:hideMark/>
          </w:tcPr>
          <w:p w14:paraId="140CE705"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powyżej 10 mm na dobę: 16,5-15,9 dnia w roku</w:t>
            </w:r>
          </w:p>
        </w:tc>
        <w:tc>
          <w:tcPr>
            <w:tcW w:w="663" w:type="pct"/>
            <w:tcBorders>
              <w:top w:val="nil"/>
              <w:left w:val="nil"/>
              <w:bottom w:val="single" w:sz="4" w:space="0" w:color="auto"/>
              <w:right w:val="single" w:sz="4" w:space="0" w:color="auto"/>
            </w:tcBorders>
            <w:shd w:val="clear" w:color="auto" w:fill="FFFF00"/>
            <w:noWrap/>
            <w:vAlign w:val="center"/>
            <w:hideMark/>
          </w:tcPr>
          <w:p w14:paraId="4E075EE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vAlign w:val="center"/>
            <w:hideMark/>
          </w:tcPr>
          <w:p w14:paraId="0BD033E3"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0,0-0,8 dnia na rok</w:t>
            </w:r>
          </w:p>
        </w:tc>
        <w:tc>
          <w:tcPr>
            <w:tcW w:w="663" w:type="pct"/>
            <w:tcBorders>
              <w:top w:val="nil"/>
              <w:left w:val="nil"/>
              <w:bottom w:val="single" w:sz="4" w:space="0" w:color="auto"/>
              <w:right w:val="single" w:sz="4" w:space="0" w:color="auto"/>
            </w:tcBorders>
            <w:shd w:val="clear" w:color="auto" w:fill="FF0000"/>
            <w:vAlign w:val="center"/>
            <w:hideMark/>
          </w:tcPr>
          <w:p w14:paraId="4D6343E3"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c>
          <w:tcPr>
            <w:tcW w:w="663" w:type="pct"/>
            <w:tcBorders>
              <w:top w:val="nil"/>
              <w:left w:val="nil"/>
              <w:bottom w:val="single" w:sz="4" w:space="0" w:color="auto"/>
              <w:right w:val="single" w:sz="4" w:space="0" w:color="auto"/>
            </w:tcBorders>
            <w:shd w:val="clear" w:color="auto" w:fill="auto"/>
            <w:vAlign w:val="center"/>
            <w:hideMark/>
          </w:tcPr>
          <w:p w14:paraId="74302CAF"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1,3-1,7 dnia na rok</w:t>
            </w:r>
          </w:p>
        </w:tc>
        <w:tc>
          <w:tcPr>
            <w:tcW w:w="664" w:type="pct"/>
            <w:tcBorders>
              <w:top w:val="nil"/>
              <w:left w:val="nil"/>
              <w:bottom w:val="single" w:sz="4" w:space="0" w:color="auto"/>
              <w:right w:val="single" w:sz="4" w:space="0" w:color="auto"/>
            </w:tcBorders>
            <w:shd w:val="clear" w:color="auto" w:fill="FF0000"/>
            <w:noWrap/>
            <w:vAlign w:val="center"/>
            <w:hideMark/>
          </w:tcPr>
          <w:p w14:paraId="772F31E1"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r>
      <w:tr w:rsidR="00A27B5C" w:rsidRPr="003D42CB" w14:paraId="7D518014" w14:textId="77777777" w:rsidTr="00CE57D6">
        <w:trPr>
          <w:trHeight w:val="717"/>
        </w:trPr>
        <w:tc>
          <w:tcPr>
            <w:tcW w:w="1019" w:type="pct"/>
            <w:vMerge/>
            <w:tcBorders>
              <w:top w:val="single" w:sz="4" w:space="0" w:color="auto"/>
              <w:left w:val="single" w:sz="4" w:space="0" w:color="auto"/>
              <w:bottom w:val="single" w:sz="4" w:space="0" w:color="auto"/>
              <w:right w:val="single" w:sz="4" w:space="0" w:color="auto"/>
            </w:tcBorders>
            <w:vAlign w:val="center"/>
            <w:hideMark/>
          </w:tcPr>
          <w:p w14:paraId="60C80EC0" w14:textId="77777777" w:rsidR="00A27B5C" w:rsidRPr="0001167A" w:rsidRDefault="00A27B5C" w:rsidP="00B15070">
            <w:pPr>
              <w:spacing w:before="4" w:after="4"/>
              <w:jc w:val="left"/>
              <w:rPr>
                <w:rFonts w:asciiTheme="minorHAnsi" w:hAnsiTheme="minorHAnsi" w:cstheme="minorHAnsi"/>
                <w:color w:val="000000"/>
                <w:sz w:val="18"/>
                <w:szCs w:val="18"/>
              </w:rPr>
            </w:pP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ABFB4"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powyżej 20 mm na dobę: 3,0-3,3 dnia w roku</w:t>
            </w:r>
          </w:p>
        </w:tc>
        <w:tc>
          <w:tcPr>
            <w:tcW w:w="663" w:type="pct"/>
            <w:tcBorders>
              <w:top w:val="single" w:sz="4" w:space="0" w:color="auto"/>
              <w:left w:val="nil"/>
              <w:bottom w:val="single" w:sz="4" w:space="0" w:color="auto"/>
              <w:right w:val="single" w:sz="4" w:space="0" w:color="auto"/>
            </w:tcBorders>
            <w:shd w:val="clear" w:color="auto" w:fill="FFFF00"/>
            <w:noWrap/>
            <w:vAlign w:val="center"/>
            <w:hideMark/>
          </w:tcPr>
          <w:p w14:paraId="49C94211" w14:textId="3B64C1B6"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single" w:sz="4" w:space="0" w:color="auto"/>
              <w:left w:val="nil"/>
              <w:bottom w:val="single" w:sz="4" w:space="0" w:color="auto"/>
              <w:right w:val="single" w:sz="4" w:space="0" w:color="auto"/>
            </w:tcBorders>
            <w:shd w:val="clear" w:color="auto" w:fill="auto"/>
            <w:vAlign w:val="center"/>
            <w:hideMark/>
          </w:tcPr>
          <w:p w14:paraId="48F872BF"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przyrost o 0,1-0,2 dnia na rok</w:t>
            </w:r>
          </w:p>
        </w:tc>
        <w:tc>
          <w:tcPr>
            <w:tcW w:w="663" w:type="pct"/>
            <w:tcBorders>
              <w:top w:val="single" w:sz="4" w:space="0" w:color="auto"/>
              <w:left w:val="nil"/>
              <w:bottom w:val="single" w:sz="4" w:space="0" w:color="auto"/>
              <w:right w:val="single" w:sz="4" w:space="0" w:color="auto"/>
            </w:tcBorders>
            <w:shd w:val="clear" w:color="auto" w:fill="FF0000"/>
            <w:vAlign w:val="center"/>
            <w:hideMark/>
          </w:tcPr>
          <w:p w14:paraId="7E56EAC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c>
          <w:tcPr>
            <w:tcW w:w="663" w:type="pct"/>
            <w:tcBorders>
              <w:top w:val="single" w:sz="4" w:space="0" w:color="auto"/>
              <w:left w:val="nil"/>
              <w:bottom w:val="single" w:sz="4" w:space="0" w:color="auto"/>
              <w:right w:val="single" w:sz="4" w:space="0" w:color="auto"/>
            </w:tcBorders>
            <w:shd w:val="clear" w:color="auto" w:fill="auto"/>
            <w:vAlign w:val="center"/>
            <w:hideMark/>
          </w:tcPr>
          <w:p w14:paraId="677A4CA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o 0,3-0,5 dnia na rok</w:t>
            </w:r>
          </w:p>
        </w:tc>
        <w:tc>
          <w:tcPr>
            <w:tcW w:w="664" w:type="pct"/>
            <w:tcBorders>
              <w:top w:val="single" w:sz="4" w:space="0" w:color="auto"/>
              <w:left w:val="nil"/>
              <w:bottom w:val="single" w:sz="4" w:space="0" w:color="auto"/>
              <w:right w:val="single" w:sz="4" w:space="0" w:color="auto"/>
            </w:tcBorders>
            <w:shd w:val="clear" w:color="auto" w:fill="FF0000"/>
            <w:noWrap/>
            <w:vAlign w:val="center"/>
            <w:hideMark/>
          </w:tcPr>
          <w:p w14:paraId="59DC8E72"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wysokie</w:t>
            </w:r>
          </w:p>
        </w:tc>
      </w:tr>
      <w:tr w:rsidR="00A27B5C" w:rsidRPr="003D42CB" w14:paraId="26AE8A9D" w14:textId="77777777" w:rsidTr="00CE57D6">
        <w:trPr>
          <w:trHeight w:val="275"/>
        </w:trPr>
        <w:tc>
          <w:tcPr>
            <w:tcW w:w="10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B8936"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Opady i zaleganie śniegu</w:t>
            </w:r>
          </w:p>
        </w:tc>
        <w:tc>
          <w:tcPr>
            <w:tcW w:w="663" w:type="pct"/>
            <w:tcBorders>
              <w:top w:val="nil"/>
              <w:left w:val="nil"/>
              <w:bottom w:val="single" w:sz="4" w:space="0" w:color="auto"/>
              <w:right w:val="single" w:sz="4" w:space="0" w:color="auto"/>
            </w:tcBorders>
            <w:shd w:val="clear" w:color="auto" w:fill="auto"/>
            <w:vAlign w:val="center"/>
            <w:hideMark/>
          </w:tcPr>
          <w:p w14:paraId="61BB9F87"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od 50 do 60 dni rocznie z zaleganiem śniegu</w:t>
            </w:r>
          </w:p>
        </w:tc>
        <w:tc>
          <w:tcPr>
            <w:tcW w:w="663" w:type="pct"/>
            <w:tcBorders>
              <w:top w:val="nil"/>
              <w:left w:val="nil"/>
              <w:bottom w:val="single" w:sz="4" w:space="0" w:color="auto"/>
              <w:right w:val="single" w:sz="4" w:space="0" w:color="auto"/>
            </w:tcBorders>
            <w:shd w:val="clear" w:color="auto" w:fill="FFFF00"/>
            <w:noWrap/>
            <w:vAlign w:val="center"/>
            <w:hideMark/>
          </w:tcPr>
          <w:p w14:paraId="75E3DFBF"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vAlign w:val="center"/>
            <w:hideMark/>
          </w:tcPr>
          <w:p w14:paraId="420B9D32"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liczby dni zalegania śniegu</w:t>
            </w:r>
          </w:p>
        </w:tc>
        <w:tc>
          <w:tcPr>
            <w:tcW w:w="663" w:type="pct"/>
            <w:tcBorders>
              <w:top w:val="nil"/>
              <w:left w:val="nil"/>
              <w:bottom w:val="single" w:sz="4" w:space="0" w:color="auto"/>
              <w:right w:val="single" w:sz="4" w:space="0" w:color="auto"/>
            </w:tcBorders>
            <w:shd w:val="clear" w:color="auto" w:fill="92D050"/>
            <w:vAlign w:val="center"/>
            <w:hideMark/>
          </w:tcPr>
          <w:p w14:paraId="529A55EA"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c>
          <w:tcPr>
            <w:tcW w:w="663" w:type="pct"/>
            <w:tcBorders>
              <w:top w:val="nil"/>
              <w:left w:val="nil"/>
              <w:bottom w:val="single" w:sz="4" w:space="0" w:color="auto"/>
              <w:right w:val="single" w:sz="4" w:space="0" w:color="auto"/>
            </w:tcBorders>
            <w:shd w:val="clear" w:color="auto" w:fill="auto"/>
            <w:vAlign w:val="center"/>
            <w:hideMark/>
          </w:tcPr>
          <w:p w14:paraId="05DEC82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spadek liczby dni zalegania śniegu, możliwy brak pokrywy śnieżnej</w:t>
            </w:r>
          </w:p>
        </w:tc>
        <w:tc>
          <w:tcPr>
            <w:tcW w:w="664" w:type="pct"/>
            <w:tcBorders>
              <w:top w:val="nil"/>
              <w:left w:val="nil"/>
              <w:bottom w:val="single" w:sz="4" w:space="0" w:color="auto"/>
              <w:right w:val="single" w:sz="4" w:space="0" w:color="auto"/>
            </w:tcBorders>
            <w:shd w:val="clear" w:color="auto" w:fill="92D050"/>
            <w:noWrap/>
            <w:vAlign w:val="center"/>
            <w:hideMark/>
          </w:tcPr>
          <w:p w14:paraId="4EB23BD7"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niskie</w:t>
            </w:r>
          </w:p>
        </w:tc>
      </w:tr>
      <w:tr w:rsidR="00A27B5C" w:rsidRPr="003D42CB" w14:paraId="6787D88A" w14:textId="77777777" w:rsidTr="00B15070">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10864E8" w14:textId="77777777" w:rsidR="00A27B5C" w:rsidRPr="0001167A" w:rsidRDefault="00A27B5C" w:rsidP="00B15070">
            <w:pPr>
              <w:spacing w:before="4" w:after="4"/>
              <w:jc w:val="left"/>
              <w:rPr>
                <w:rFonts w:asciiTheme="minorHAnsi" w:hAnsiTheme="minorHAnsi" w:cstheme="minorHAnsi"/>
                <w:color w:val="000000"/>
                <w:sz w:val="18"/>
                <w:szCs w:val="18"/>
              </w:rPr>
            </w:pPr>
            <w:r w:rsidRPr="0001167A">
              <w:rPr>
                <w:rFonts w:asciiTheme="minorHAnsi" w:hAnsiTheme="minorHAnsi" w:cstheme="minorHAnsi"/>
                <w:color w:val="000000"/>
                <w:sz w:val="18"/>
                <w:szCs w:val="18"/>
              </w:rPr>
              <w:t>Susza</w:t>
            </w:r>
          </w:p>
        </w:tc>
        <w:tc>
          <w:tcPr>
            <w:tcW w:w="663" w:type="pct"/>
            <w:tcBorders>
              <w:top w:val="nil"/>
              <w:left w:val="nil"/>
              <w:bottom w:val="single" w:sz="4" w:space="0" w:color="auto"/>
              <w:right w:val="single" w:sz="4" w:space="0" w:color="auto"/>
            </w:tcBorders>
            <w:shd w:val="clear" w:color="auto" w:fill="auto"/>
            <w:vAlign w:val="center"/>
            <w:hideMark/>
          </w:tcPr>
          <w:p w14:paraId="0A13D0C8"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okresy suche - bez opadu przez 224-229 dni w roku</w:t>
            </w:r>
          </w:p>
        </w:tc>
        <w:tc>
          <w:tcPr>
            <w:tcW w:w="663" w:type="pct"/>
            <w:tcBorders>
              <w:top w:val="nil"/>
              <w:left w:val="nil"/>
              <w:bottom w:val="single" w:sz="4" w:space="0" w:color="auto"/>
              <w:right w:val="single" w:sz="4" w:space="0" w:color="auto"/>
            </w:tcBorders>
            <w:shd w:val="clear" w:color="auto" w:fill="FFFF00"/>
            <w:noWrap/>
            <w:vAlign w:val="center"/>
            <w:hideMark/>
          </w:tcPr>
          <w:p w14:paraId="353D3A7C"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4" w:type="pct"/>
            <w:tcBorders>
              <w:top w:val="nil"/>
              <w:left w:val="nil"/>
              <w:bottom w:val="single" w:sz="4" w:space="0" w:color="auto"/>
              <w:right w:val="single" w:sz="4" w:space="0" w:color="auto"/>
            </w:tcBorders>
            <w:shd w:val="clear" w:color="auto" w:fill="auto"/>
            <w:noWrap/>
            <w:vAlign w:val="center"/>
            <w:hideMark/>
          </w:tcPr>
          <w:p w14:paraId="08F978DF"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prawdopodobny spadek liczby dni, duża niepewność wyniku, od -1,2 do 1,6 dnia</w:t>
            </w:r>
          </w:p>
        </w:tc>
        <w:tc>
          <w:tcPr>
            <w:tcW w:w="663" w:type="pct"/>
            <w:tcBorders>
              <w:top w:val="nil"/>
              <w:left w:val="nil"/>
              <w:bottom w:val="single" w:sz="4" w:space="0" w:color="auto"/>
              <w:right w:val="single" w:sz="4" w:space="0" w:color="auto"/>
            </w:tcBorders>
            <w:shd w:val="clear" w:color="auto" w:fill="FFFF00"/>
            <w:vAlign w:val="center"/>
            <w:hideMark/>
          </w:tcPr>
          <w:p w14:paraId="659EC3F9"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c>
          <w:tcPr>
            <w:tcW w:w="663" w:type="pct"/>
            <w:tcBorders>
              <w:top w:val="nil"/>
              <w:left w:val="nil"/>
              <w:bottom w:val="single" w:sz="4" w:space="0" w:color="auto"/>
              <w:right w:val="single" w:sz="4" w:space="0" w:color="auto"/>
            </w:tcBorders>
            <w:shd w:val="clear" w:color="auto" w:fill="auto"/>
            <w:vAlign w:val="center"/>
            <w:hideMark/>
          </w:tcPr>
          <w:p w14:paraId="16D113CE"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prawdopodobny spadek liczby dni, duża niepewność wyniku, od -1,9 do 2,3 dnia</w:t>
            </w:r>
          </w:p>
        </w:tc>
        <w:tc>
          <w:tcPr>
            <w:tcW w:w="664" w:type="pct"/>
            <w:tcBorders>
              <w:top w:val="nil"/>
              <w:left w:val="nil"/>
              <w:bottom w:val="single" w:sz="4" w:space="0" w:color="auto"/>
              <w:right w:val="single" w:sz="4" w:space="0" w:color="auto"/>
            </w:tcBorders>
            <w:shd w:val="clear" w:color="auto" w:fill="FFFF00"/>
            <w:noWrap/>
            <w:vAlign w:val="center"/>
            <w:hideMark/>
          </w:tcPr>
          <w:p w14:paraId="6DF19256" w14:textId="77777777" w:rsidR="00A27B5C" w:rsidRPr="0001167A" w:rsidRDefault="00A27B5C" w:rsidP="000D04FF">
            <w:pPr>
              <w:spacing w:before="4" w:after="4"/>
              <w:jc w:val="center"/>
              <w:rPr>
                <w:rFonts w:asciiTheme="minorHAnsi" w:hAnsiTheme="minorHAnsi" w:cstheme="minorHAnsi"/>
                <w:color w:val="000000"/>
                <w:sz w:val="18"/>
                <w:szCs w:val="18"/>
              </w:rPr>
            </w:pPr>
            <w:r w:rsidRPr="0001167A">
              <w:rPr>
                <w:rFonts w:asciiTheme="minorHAnsi" w:hAnsiTheme="minorHAnsi" w:cstheme="minorHAnsi"/>
                <w:color w:val="000000"/>
                <w:sz w:val="18"/>
                <w:szCs w:val="18"/>
              </w:rPr>
              <w:t>średnie</w:t>
            </w:r>
          </w:p>
        </w:tc>
      </w:tr>
    </w:tbl>
    <w:p w14:paraId="618B042B" w14:textId="05D30752" w:rsidR="00A27B5C" w:rsidRPr="003D42CB" w:rsidRDefault="00A27B5C" w:rsidP="00442AB7">
      <w:pPr>
        <w:pStyle w:val="rdo0"/>
        <w:rPr>
          <w:i w:val="0"/>
        </w:rPr>
      </w:pPr>
      <w:r w:rsidRPr="003D42CB">
        <w:t xml:space="preserve">Źródło: opracowanie </w:t>
      </w:r>
      <w:r w:rsidR="005B3051">
        <w:t>własne</w:t>
      </w:r>
    </w:p>
    <w:p w14:paraId="3A49D0C2" w14:textId="77777777" w:rsidR="001207FF" w:rsidRPr="0001167A" w:rsidRDefault="001207FF" w:rsidP="00AA0CAB">
      <w:pPr>
        <w:pStyle w:val="Nagwek5"/>
      </w:pPr>
      <w:bookmarkStart w:id="54" w:name="_Hlk65970589"/>
      <w:r w:rsidRPr="0001167A">
        <w:t>Podsumowanie</w:t>
      </w:r>
    </w:p>
    <w:p w14:paraId="2D2BBDE3" w14:textId="70BD45B8" w:rsidR="00A27B5C" w:rsidRPr="0001167A" w:rsidRDefault="00962F1E" w:rsidP="00A27B5C">
      <w:pPr>
        <w:rPr>
          <w:rFonts w:asciiTheme="minorHAnsi" w:hAnsiTheme="minorHAnsi" w:cstheme="minorHAnsi"/>
        </w:rPr>
      </w:pPr>
      <w:r>
        <w:rPr>
          <w:rFonts w:asciiTheme="minorHAnsi" w:hAnsiTheme="minorHAnsi" w:cstheme="minorHAnsi"/>
        </w:rPr>
        <w:t xml:space="preserve">Poniższy </w:t>
      </w:r>
      <w:r w:rsidR="00A27B5C" w:rsidRPr="0001167A">
        <w:rPr>
          <w:rFonts w:asciiTheme="minorHAnsi" w:hAnsiTheme="minorHAnsi" w:cstheme="minorHAnsi"/>
        </w:rPr>
        <w:t xml:space="preserve">wykres </w:t>
      </w:r>
      <w:r>
        <w:rPr>
          <w:rFonts w:asciiTheme="minorHAnsi" w:hAnsiTheme="minorHAnsi" w:cstheme="minorHAnsi"/>
        </w:rPr>
        <w:t xml:space="preserve">4-1 </w:t>
      </w:r>
      <w:r w:rsidR="00A27B5C" w:rsidRPr="0001167A">
        <w:rPr>
          <w:rFonts w:asciiTheme="minorHAnsi" w:hAnsiTheme="minorHAnsi" w:cstheme="minorHAnsi"/>
        </w:rPr>
        <w:t>podsumowuj</w:t>
      </w:r>
      <w:r>
        <w:rPr>
          <w:rFonts w:asciiTheme="minorHAnsi" w:hAnsiTheme="minorHAnsi" w:cstheme="minorHAnsi"/>
        </w:rPr>
        <w:t>e</w:t>
      </w:r>
      <w:r w:rsidR="00A27B5C" w:rsidRPr="0001167A">
        <w:rPr>
          <w:rFonts w:asciiTheme="minorHAnsi" w:hAnsiTheme="minorHAnsi" w:cstheme="minorHAnsi"/>
        </w:rPr>
        <w:t xml:space="preserve"> prognozowane zmiany klimatu i narażenie w horyzoncie czasowym do 2100 r. dla trzech składowych klimatycznych wybranych jako najbardziej reprezentatywne parametry prognozowanych zmian klimatu, które najintensywniej wpływają na stan wód. Należą do nich: ekstremalna temperatura dodatnia, opady nawalne powyżej 10 mm na dobę</w:t>
      </w:r>
      <w:r w:rsidR="000D04FF">
        <w:rPr>
          <w:rFonts w:asciiTheme="minorHAnsi" w:hAnsiTheme="minorHAnsi" w:cstheme="minorHAnsi"/>
        </w:rPr>
        <w:t xml:space="preserve"> oraz</w:t>
      </w:r>
      <w:r w:rsidR="00A27B5C" w:rsidRPr="0001167A">
        <w:rPr>
          <w:rFonts w:asciiTheme="minorHAnsi" w:hAnsiTheme="minorHAnsi" w:cstheme="minorHAnsi"/>
        </w:rPr>
        <w:t xml:space="preserve"> susza.</w:t>
      </w:r>
    </w:p>
    <w:bookmarkEnd w:id="54"/>
    <w:p w14:paraId="61BAA25A" w14:textId="1AAC8599" w:rsidR="00A565BC" w:rsidRDefault="00AF4C52" w:rsidP="00A565BC">
      <w:pPr>
        <w:jc w:val="center"/>
      </w:pPr>
      <w:r>
        <w:rPr>
          <w:noProof/>
        </w:rPr>
        <w:drawing>
          <wp:inline distT="0" distB="0" distL="0" distR="0" wp14:anchorId="678E08E9" wp14:editId="4EF8B3AD">
            <wp:extent cx="4572000" cy="2743200"/>
            <wp:effectExtent l="0" t="0" r="0" b="0"/>
            <wp:docPr id="234" name="Chart 234">
              <a:extLst xmlns:a="http://schemas.openxmlformats.org/drawingml/2006/main">
                <a:ext uri="{FF2B5EF4-FFF2-40B4-BE49-F238E27FC236}">
                  <a16:creationId xmlns:a16="http://schemas.microsoft.com/office/drawing/2014/main" id="{CAA23B05-7DB9-41C9-867B-9004EBAD35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CB4ED2" w14:textId="0F5119B9" w:rsidR="00A27B5C" w:rsidRPr="0001167A" w:rsidRDefault="00A27B5C" w:rsidP="006802BB">
      <w:pPr>
        <w:pStyle w:val="Wykres"/>
        <w:rPr>
          <w:rFonts w:asciiTheme="minorHAnsi" w:hAnsiTheme="minorHAnsi" w:cstheme="minorHAnsi"/>
          <w:i/>
          <w:iCs/>
        </w:rPr>
      </w:pPr>
      <w:bookmarkStart w:id="55" w:name="_Hlk65970607"/>
      <w:bookmarkStart w:id="56" w:name="_Toc68727086"/>
      <w:r w:rsidRPr="004C3114">
        <w:t xml:space="preserve">Wykres </w:t>
      </w:r>
      <w:fldSimple w:instr=" STYLEREF 1 \s ">
        <w:r w:rsidR="00EF3FD3">
          <w:rPr>
            <w:noProof/>
          </w:rPr>
          <w:t>4</w:t>
        </w:r>
      </w:fldSimple>
      <w:r w:rsidR="00EF3FD3">
        <w:noBreakHyphen/>
      </w:r>
      <w:fldSimple w:instr=" SEQ Wykres \* ARABIC \s 1 ">
        <w:r w:rsidR="00EF3FD3">
          <w:rPr>
            <w:noProof/>
          </w:rPr>
          <w:t>1</w:t>
        </w:r>
      </w:fldSimple>
      <w:r>
        <w:tab/>
      </w:r>
      <w:r w:rsidRPr="00641F5B">
        <w:t>Prognozowane tendencje zmian wybranych składowych klimatu</w:t>
      </w:r>
      <w:bookmarkEnd w:id="56"/>
    </w:p>
    <w:bookmarkEnd w:id="55"/>
    <w:p w14:paraId="0BCC905C" w14:textId="77777777" w:rsidR="005B3051" w:rsidRDefault="005B3051" w:rsidP="005B3051">
      <w:pPr>
        <w:pStyle w:val="rdo0"/>
      </w:pPr>
      <w:r w:rsidRPr="002D0D68">
        <w:t xml:space="preserve">Źródło: opracowanie </w:t>
      </w:r>
      <w:r>
        <w:t>własne</w:t>
      </w:r>
    </w:p>
    <w:p w14:paraId="7AB9D895" w14:textId="60532E73" w:rsidR="00A27B5C" w:rsidRPr="0001167A" w:rsidRDefault="00A27B5C" w:rsidP="00A27B5C">
      <w:pPr>
        <w:rPr>
          <w:rFonts w:asciiTheme="minorHAnsi" w:hAnsiTheme="minorHAnsi" w:cstheme="minorHAnsi"/>
        </w:rPr>
      </w:pPr>
      <w:r w:rsidRPr="0001167A">
        <w:rPr>
          <w:rFonts w:asciiTheme="minorHAnsi" w:hAnsiTheme="minorHAnsi" w:cstheme="minorHAnsi"/>
        </w:rPr>
        <w:t>Prognozowane zmiany klimatu w przedziale najbliższego cyklu planistycznego (lata 2022-2027) nie będą znacząco odbiegały od warunków współczesnych. Dopiero od około połowy XXI w. prognozowane jest znaczące przyspieszenie procesu zmian klimatycznych. Jako najważniejsze należy wskazać zmiany temperatury powietrza oraz zmiany struktury opadów - przejście z opadów śniegu i deszczu do znaczącego ograniczenia lub nawet zaniku występowania opadów śniegu (i pokrywy śnieżnej) z</w:t>
      </w:r>
      <w:r w:rsidR="000D04FF">
        <w:rPr>
          <w:rFonts w:asciiTheme="minorHAnsi" w:hAnsiTheme="minorHAnsi" w:cstheme="minorHAnsi"/>
        </w:rPr>
        <w:t> </w:t>
      </w:r>
      <w:r w:rsidRPr="0001167A">
        <w:rPr>
          <w:rFonts w:asciiTheme="minorHAnsi" w:hAnsiTheme="minorHAnsi" w:cstheme="minorHAnsi"/>
        </w:rPr>
        <w:t>końcem bieżącego stulecia. Zmiany takie będą mieć istotne znaczenie dla warunków kształtujących równowagę hydrologiczną i ekosystemową:</w:t>
      </w:r>
    </w:p>
    <w:p w14:paraId="46B6B3D4" w14:textId="77777777" w:rsidR="00A27B5C" w:rsidRDefault="00A27B5C" w:rsidP="00F06393">
      <w:pPr>
        <w:pStyle w:val="Akapitzlist"/>
      </w:pPr>
      <w:r w:rsidRPr="0001167A">
        <w:t xml:space="preserve">za zmianą struktury opadów należy oczekiwać podążenia zmiany ustroju hydrologicznego cieków, przede wszystkim zatarcia się lub zaniku składowej roztopowej wezbrań rzecznych, niejako w zamian - wezbrania będą podążały za intensywnymi epizodami opadów deszczu, a te - jak wskazują prognozy - nie zmienią swojej sumy, ale będą częściej występować w formie epizodów o znaczącym natężeniu, zatem </w:t>
      </w:r>
      <w:r w:rsidRPr="00EB7ACC">
        <w:t>z towarzyszeniem</w:t>
      </w:r>
      <w:r>
        <w:t>:</w:t>
      </w:r>
    </w:p>
    <w:p w14:paraId="6A1DB4D7" w14:textId="77777777" w:rsidR="00A27B5C" w:rsidRPr="0072530A" w:rsidRDefault="00A27B5C" w:rsidP="00AA3506">
      <w:pPr>
        <w:pStyle w:val="Akapitzlist"/>
        <w:numPr>
          <w:ilvl w:val="0"/>
          <w:numId w:val="81"/>
        </w:numPr>
      </w:pPr>
      <w:r w:rsidRPr="0072530A">
        <w:t>szybkiego spływu powierzchniowego zwiększającego proces erozji gleb, a w konsekwencji ładunek biogenów do cieków,</w:t>
      </w:r>
    </w:p>
    <w:p w14:paraId="10AF7A5E" w14:textId="77777777" w:rsidR="00A27B5C" w:rsidRPr="0072530A" w:rsidRDefault="00A27B5C" w:rsidP="00AA3506">
      <w:pPr>
        <w:pStyle w:val="Wyp-IIpoziom"/>
        <w:numPr>
          <w:ilvl w:val="0"/>
          <w:numId w:val="81"/>
        </w:numPr>
        <w:rPr>
          <w:rFonts w:asciiTheme="minorHAnsi" w:hAnsiTheme="minorHAnsi" w:cstheme="minorHAnsi"/>
        </w:rPr>
      </w:pPr>
      <w:r w:rsidRPr="0072530A">
        <w:t xml:space="preserve">zwiększenia ilości </w:t>
      </w:r>
      <w:r w:rsidRPr="00962F1E">
        <w:t>ścieków</w:t>
      </w:r>
      <w:r w:rsidRPr="0072530A">
        <w:t xml:space="preserve"> wprowadzonych w ramach zrzutów burzowych</w:t>
      </w:r>
      <w:r w:rsidRPr="0072530A">
        <w:rPr>
          <w:rFonts w:asciiTheme="minorHAnsi" w:hAnsiTheme="minorHAnsi" w:cstheme="minorHAnsi"/>
        </w:rPr>
        <w:t>,</w:t>
      </w:r>
    </w:p>
    <w:p w14:paraId="36F62EF5" w14:textId="77777777" w:rsidR="00A27B5C" w:rsidRPr="0001167A" w:rsidRDefault="00A27B5C" w:rsidP="00AA3506">
      <w:pPr>
        <w:pStyle w:val="Akapitzlist"/>
        <w:numPr>
          <w:ilvl w:val="0"/>
          <w:numId w:val="81"/>
        </w:numPr>
      </w:pPr>
      <w:r w:rsidRPr="0001167A">
        <w:t>formowania</w:t>
      </w:r>
      <w:r w:rsidRPr="0072530A">
        <w:t xml:space="preserve"> wezbrania opadowego;</w:t>
      </w:r>
    </w:p>
    <w:p w14:paraId="1D74396F" w14:textId="6E1756C2" w:rsidR="00A27B5C" w:rsidRPr="0001167A" w:rsidRDefault="00A27B5C" w:rsidP="00F06393">
      <w:pPr>
        <w:pStyle w:val="Akapitzlist"/>
      </w:pPr>
      <w:r w:rsidRPr="0001167A">
        <w:t>za zmianą ustroju termicznego atmosfery (przyrost średniej temperatury rocznej, prognozowane znaczące ocieplenie okresu chłodnego) należy oczekiwać postępującej zmiany ustroju termicznego wód powierzchniowych, spodziewane skutki można scharakteryzować w</w:t>
      </w:r>
      <w:r w:rsidR="000D04FF">
        <w:t> </w:t>
      </w:r>
      <w:r w:rsidRPr="0001167A">
        <w:t>następujących obszarach:</w:t>
      </w:r>
    </w:p>
    <w:p w14:paraId="0ECC154B" w14:textId="77777777" w:rsidR="00A27B5C" w:rsidRPr="0001167A" w:rsidRDefault="00A27B5C" w:rsidP="00AA3506">
      <w:pPr>
        <w:pStyle w:val="Akapitzlist"/>
        <w:numPr>
          <w:ilvl w:val="0"/>
          <w:numId w:val="82"/>
        </w:numPr>
      </w:pPr>
      <w:r w:rsidRPr="0001167A">
        <w:t>przyrost temperatury powietrza i wody będzie skutkować wzrostem parowania prowadząc do strat w bilansie wodnym, w tym w chłodnej porze roku,</w:t>
      </w:r>
    </w:p>
    <w:p w14:paraId="46599A0A" w14:textId="77777777" w:rsidR="00A27B5C" w:rsidRPr="0001167A" w:rsidRDefault="00A27B5C" w:rsidP="00AA3506">
      <w:pPr>
        <w:pStyle w:val="Akapitzlist"/>
        <w:numPr>
          <w:ilvl w:val="0"/>
          <w:numId w:val="82"/>
        </w:numPr>
      </w:pPr>
      <w:r w:rsidRPr="0001167A">
        <w:t>straty parowania będą prowadzić w konsekwencji do wzrostu stężenia substancji rozpuszczonych w wodach powierzchniowych, co może skutkować przekroczeniem norm/klas jakości w zakresie wskaźników fizykochemicznych i chemicznych wód,</w:t>
      </w:r>
    </w:p>
    <w:p w14:paraId="76774985" w14:textId="77777777" w:rsidR="00A27B5C" w:rsidRPr="0001167A" w:rsidRDefault="00A27B5C" w:rsidP="00AA3506">
      <w:pPr>
        <w:pStyle w:val="Akapitzlist"/>
        <w:numPr>
          <w:ilvl w:val="0"/>
          <w:numId w:val="82"/>
        </w:numPr>
      </w:pPr>
      <w:r w:rsidRPr="0001167A">
        <w:t>wydłużenie okresu wegetacyjnego, podążające za przyrostem temperatury powietrza średniej rocznej oraz okresu chłodnego należy wiązać również z przyrostem biomasy produkowanej w ekosystemach wodnych, co w połączeniu ze wzrostem stężeń substancji rozpuszczonych w wodzie w konsekwencji może mieć znaczący wpływ na przyspieszenie procesów eutrofizacji, w tym w szczególności w obrębie zbiorników wodnych,</w:t>
      </w:r>
    </w:p>
    <w:p w14:paraId="594C75FD" w14:textId="77777777" w:rsidR="00A27B5C" w:rsidRPr="0001167A" w:rsidRDefault="00A27B5C" w:rsidP="00AA3506">
      <w:pPr>
        <w:pStyle w:val="Akapitzlist"/>
        <w:numPr>
          <w:ilvl w:val="0"/>
          <w:numId w:val="82"/>
        </w:numPr>
      </w:pPr>
      <w:r w:rsidRPr="0001167A">
        <w:t>zmiana warunków środowiska fizycznogeograficznego dla wód powierzchniowych (przyrost temperatury wody, zanik zlodzenia, zanik pokrywy śnieżnej) będzie stwarzał nowe warunki ekosystemowe, w konsekwencji należy oczekiwać przebudowy ekosystemów wodnych i wodno-lądowych w zakresie składu gatunkowego - dotychczasowe gatunki mogą nie zdołać zbudować tolerancji dla nowych warunków, spodziewane jest sukcesywne narastanie presji wynikającej z pojawiania się nowych, dotychczas obcych lokalnie gatunków.</w:t>
      </w:r>
    </w:p>
    <w:p w14:paraId="655762B8" w14:textId="77777777" w:rsidR="00A27B5C" w:rsidRPr="003D42CB" w:rsidRDefault="00A27B5C" w:rsidP="00A27B5C">
      <w:pPr>
        <w:rPr>
          <w:rFonts w:asciiTheme="minorHAnsi" w:hAnsiTheme="minorHAnsi" w:cstheme="minorHAnsi"/>
        </w:rPr>
      </w:pPr>
      <w:r w:rsidRPr="0001167A">
        <w:rPr>
          <w:rFonts w:asciiTheme="minorHAnsi" w:hAnsiTheme="minorHAnsi" w:cstheme="minorHAnsi"/>
        </w:rPr>
        <w:t xml:space="preserve">Zarysowane warunki wymagają stosowania działań </w:t>
      </w:r>
      <w:r w:rsidRPr="003D42CB">
        <w:rPr>
          <w:rFonts w:asciiTheme="minorHAnsi" w:hAnsiTheme="minorHAnsi" w:cstheme="minorHAnsi"/>
        </w:rPr>
        <w:t xml:space="preserve">adaptacyjnych zwiększających odporność ekosystemów wodnych, w tym: </w:t>
      </w:r>
    </w:p>
    <w:p w14:paraId="647317B1" w14:textId="77777777" w:rsidR="00A27B5C" w:rsidRPr="00F11051" w:rsidRDefault="00A27B5C" w:rsidP="00F06393">
      <w:pPr>
        <w:pStyle w:val="Akapitzlist"/>
      </w:pPr>
      <w:r w:rsidRPr="00F11051">
        <w:t xml:space="preserve">zwiększania retencji wód; </w:t>
      </w:r>
    </w:p>
    <w:p w14:paraId="2E60BBE4" w14:textId="77777777" w:rsidR="00A27B5C" w:rsidRPr="00F11051" w:rsidRDefault="00A27B5C" w:rsidP="00F06393">
      <w:pPr>
        <w:pStyle w:val="Akapitzlist"/>
      </w:pPr>
      <w:r w:rsidRPr="00F11051">
        <w:t xml:space="preserve">renaturyzacji cieków; </w:t>
      </w:r>
    </w:p>
    <w:p w14:paraId="5014E475" w14:textId="77777777" w:rsidR="00A27B5C" w:rsidRPr="0001167A" w:rsidRDefault="00A27B5C" w:rsidP="00A27B5C">
      <w:pPr>
        <w:rPr>
          <w:rFonts w:asciiTheme="minorHAnsi" w:hAnsiTheme="minorHAnsi" w:cstheme="minorHAnsi"/>
        </w:rPr>
      </w:pPr>
      <w:r w:rsidRPr="003D42CB">
        <w:rPr>
          <w:rFonts w:asciiTheme="minorHAnsi" w:hAnsiTheme="minorHAnsi" w:cstheme="minorHAnsi"/>
        </w:rPr>
        <w:t>oraz działań</w:t>
      </w:r>
      <w:r w:rsidRPr="0001167A">
        <w:rPr>
          <w:rFonts w:asciiTheme="minorHAnsi" w:hAnsiTheme="minorHAnsi" w:cstheme="minorHAnsi"/>
        </w:rPr>
        <w:t xml:space="preserve"> prewencyjnych w szczególności w zakresie:</w:t>
      </w:r>
    </w:p>
    <w:p w14:paraId="4C8D330C" w14:textId="77777777" w:rsidR="00A27B5C" w:rsidRPr="00F11051" w:rsidRDefault="00A27B5C" w:rsidP="00F06393">
      <w:pPr>
        <w:pStyle w:val="Akapitzlist"/>
      </w:pPr>
      <w:r w:rsidRPr="00F11051">
        <w:t>bieżącej kontroli parametrów fizykochemicznych i chemicznych wód powierzchniowych oraz działań sukcesywnie ograniczających dopływ zanieczyszczeń ze źródeł antropogenicznych;</w:t>
      </w:r>
    </w:p>
    <w:p w14:paraId="3A84F1F6" w14:textId="77777777" w:rsidR="001207FF" w:rsidRDefault="00A27B5C" w:rsidP="00F06393">
      <w:pPr>
        <w:pStyle w:val="Akapitzlist"/>
      </w:pPr>
      <w:r w:rsidRPr="00F11051">
        <w:t>bieżącego monitoringu składu gatunkowego fauny i flory ekosystemów wodnych i wodno-środowiskowych w celu kontroli stabilności ekosystemów oraz prowadzenia działań zapobiegających inwazyjnemu przejmowaniu ekosystemów przez gatunki regionalnie obce.</w:t>
      </w:r>
    </w:p>
    <w:p w14:paraId="194332D3" w14:textId="77777777" w:rsidR="001207FF" w:rsidRDefault="001207FF" w:rsidP="001207FF">
      <w:bookmarkStart w:id="57" w:name="_Hlk67182983"/>
      <w:r w:rsidRPr="00884A2D">
        <w:t>Informacje o prognozowanych zmianach klimatu dla poszczególnych jcwp zaprezentowane zostały w</w:t>
      </w:r>
      <w:r>
        <w:t> </w:t>
      </w:r>
      <w:r w:rsidRPr="00884A2D">
        <w:t>załączniku nr 1 (Zestawienie główne).</w:t>
      </w:r>
    </w:p>
    <w:bookmarkEnd w:id="57"/>
    <w:p w14:paraId="0288D17E" w14:textId="25DA15D9" w:rsidR="008A6497" w:rsidRPr="008A6497" w:rsidRDefault="008A6497" w:rsidP="00F06393">
      <w:pPr>
        <w:pStyle w:val="Akapitzlist"/>
      </w:pPr>
      <w:r>
        <w:br w:type="page"/>
      </w:r>
    </w:p>
    <w:p w14:paraId="311DA990" w14:textId="77777777" w:rsidR="00035198" w:rsidRDefault="00035198" w:rsidP="00B50FFD">
      <w:pPr>
        <w:pStyle w:val="Nagwek1"/>
      </w:pPr>
      <w:bookmarkStart w:id="58" w:name="_Toc68726844"/>
      <w:r>
        <w:t>Mo</w:t>
      </w:r>
      <w:r w:rsidRPr="002A51CE">
        <w:t>nitoring</w:t>
      </w:r>
      <w:r>
        <w:t xml:space="preserve"> wód</w:t>
      </w:r>
      <w:bookmarkEnd w:id="58"/>
      <w:r w:rsidRPr="002A51CE">
        <w:t xml:space="preserve"> </w:t>
      </w:r>
    </w:p>
    <w:p w14:paraId="33D0A2CE" w14:textId="44594376" w:rsidR="00643D60" w:rsidRDefault="00643D60" w:rsidP="00643D60">
      <w:pPr>
        <w:suppressAutoHyphens/>
      </w:pPr>
      <w:r w:rsidRPr="00BE4152">
        <w:t xml:space="preserve">Monitoring wód jest częścią monitoringu środowiska, a zasady jego organizacji i funkcjonowania </w:t>
      </w:r>
      <w:r>
        <w:t xml:space="preserve">prezentowane </w:t>
      </w:r>
      <w:r w:rsidRPr="00BE4152">
        <w:t>są w</w:t>
      </w:r>
      <w:r>
        <w:t xml:space="preserve"> wieloletnim</w:t>
      </w:r>
      <w:r w:rsidRPr="00BE4152">
        <w:t xml:space="preserve"> </w:t>
      </w:r>
      <w:r>
        <w:t xml:space="preserve">strategicznym programie państwowego monitoringu środowiska </w:t>
      </w:r>
      <w:r w:rsidRPr="00BE4152">
        <w:t>opracowywanym przez Głównego Inspektora Ochrony Środowiska i zatwierdza</w:t>
      </w:r>
      <w:r>
        <w:t>nego</w:t>
      </w:r>
      <w:r w:rsidRPr="00BE4152">
        <w:t xml:space="preserve"> przez </w:t>
      </w:r>
      <w:r>
        <w:t>m</w:t>
      </w:r>
      <w:r w:rsidRPr="00BE4152">
        <w:t xml:space="preserve">inistra </w:t>
      </w:r>
      <w:r>
        <w:t>właściwego ds. k</w:t>
      </w:r>
      <w:r w:rsidRPr="00BE4152">
        <w:t xml:space="preserve">limatu. Program ten jest wypełnieniem przepisu art. 4a ust. 1 pkt 5 ustawy z dnia 20 lipca 1991 r. o Inspekcji Ochrony Środowiska </w:t>
      </w:r>
      <w:r w:rsidR="00E50AF5">
        <w:t>(</w:t>
      </w:r>
      <w:r w:rsidR="00A565BC">
        <w:t>Dz.U.</w:t>
      </w:r>
      <w:r>
        <w:t xml:space="preserve"> z 2020 r. poz. 995 z późn. zm</w:t>
      </w:r>
      <w:r w:rsidRPr="00BE4152">
        <w:t>). Programy PMŚ były uchwalane od 1991 r. na okresy trzyletnie. Ostatni trzyletni program obejmował lata 20</w:t>
      </w:r>
      <w:r>
        <w:t>13</w:t>
      </w:r>
      <w:r w:rsidRPr="00BE4152">
        <w:t>-</w:t>
      </w:r>
      <w:r>
        <w:t>2015</w:t>
      </w:r>
      <w:r w:rsidRPr="00BE4152">
        <w:t xml:space="preserve">. Aktualny </w:t>
      </w:r>
      <w:r>
        <w:t>p</w:t>
      </w:r>
      <w:r w:rsidRPr="00BE4152">
        <w:t>rogram PMŚ obowiązuje na lata 2020-2025</w:t>
      </w:r>
      <w:r>
        <w:t xml:space="preserve"> i zastępuje program PMŚ na lata 2016-2020</w:t>
      </w:r>
      <w:r w:rsidRPr="00BE4152">
        <w:t>. Za wdrażanie PMŚ od 1 stycznia 2019 r.</w:t>
      </w:r>
      <w:r>
        <w:t xml:space="preserve"> </w:t>
      </w:r>
      <w:r w:rsidRPr="00BE4152">
        <w:t>jest</w:t>
      </w:r>
      <w:r w:rsidRPr="00FE7D2A">
        <w:t xml:space="preserve"> </w:t>
      </w:r>
      <w:r w:rsidRPr="00BE4152">
        <w:t>odpowiedzialny</w:t>
      </w:r>
      <w:r>
        <w:t xml:space="preserve"> </w:t>
      </w:r>
      <w:r w:rsidRPr="00BE4152">
        <w:t xml:space="preserve">wyłącznie </w:t>
      </w:r>
      <w:r>
        <w:t>GIOŚ</w:t>
      </w:r>
      <w:r w:rsidRPr="00BE4152">
        <w:t>. Do końca 2018 r. jego działania były wspierane przez WIOŚ.</w:t>
      </w:r>
      <w:r>
        <w:t xml:space="preserve"> </w:t>
      </w:r>
    </w:p>
    <w:p w14:paraId="66027899" w14:textId="77777777" w:rsidR="00643D60" w:rsidRPr="00BE4152" w:rsidRDefault="00643D60" w:rsidP="00643D60">
      <w:pPr>
        <w:suppressAutoHyphens/>
      </w:pPr>
      <w:r>
        <w:t xml:space="preserve">Ustawa </w:t>
      </w:r>
      <w:r w:rsidRPr="00BE4152">
        <w:t>pr.w. i rozporządzenia</w:t>
      </w:r>
      <w:r>
        <w:rPr>
          <w:rStyle w:val="Odwoanieprzypisudolnego"/>
        </w:rPr>
        <w:footnoteReference w:id="14"/>
      </w:r>
      <w:r w:rsidRPr="00BE4152">
        <w:t xml:space="preserve"> wykonawcz</w:t>
      </w:r>
      <w:r>
        <w:t>e</w:t>
      </w:r>
      <w:r w:rsidRPr="00BE4152">
        <w:t xml:space="preserve"> do ustawy</w:t>
      </w:r>
      <w:r w:rsidRPr="00E92ACB">
        <w:t xml:space="preserve"> </w:t>
      </w:r>
      <w:r w:rsidRPr="00BE4152">
        <w:t>zaw</w:t>
      </w:r>
      <w:r>
        <w:t>ierają</w:t>
      </w:r>
      <w:r w:rsidRPr="00BE4152">
        <w:t xml:space="preserve"> odpowiednie postanowienia dotyczące monitoringu i oceny stanu wód</w:t>
      </w:r>
      <w:r>
        <w:t xml:space="preserve">. </w:t>
      </w:r>
      <w:r w:rsidRPr="00BE4152">
        <w:t xml:space="preserve">Przedstawione w niniejszym rozdziale informacje dotyczące zasad projektowania monitoringu i wykonywania oceny stanu wód bazują na stanie prawnym obowiązującym na koniec cyklu planistycznego 2016-2021 wraz ze wskazaniem zmian prawnych w tym okresie. </w:t>
      </w:r>
      <w:r>
        <w:t>Ponadto r</w:t>
      </w:r>
      <w:r w:rsidRPr="00BE4152">
        <w:t>ozdział zawiera syntetyczny opis sieci monitoringu na lata 2022-2027</w:t>
      </w:r>
      <w:r>
        <w:t xml:space="preserve">. </w:t>
      </w:r>
    </w:p>
    <w:p w14:paraId="07D97587" w14:textId="5BB7963B" w:rsidR="00643D60" w:rsidRPr="00BE4152" w:rsidRDefault="00643D60" w:rsidP="00643D60">
      <w:pPr>
        <w:suppressAutoHyphens/>
      </w:pPr>
      <w:r>
        <w:t>Badania i oceny stanu wód, zgodnie z</w:t>
      </w:r>
      <w:r w:rsidR="00A565BC">
        <w:t xml:space="preserve"> </w:t>
      </w:r>
      <w:r w:rsidRPr="00BE4152">
        <w:t xml:space="preserve">art. 349 ust. 3 </w:t>
      </w:r>
      <w:r w:rsidR="00442AB7">
        <w:rPr>
          <w:rFonts w:cstheme="minorHAnsi"/>
        </w:rPr>
        <w:t>-</w:t>
      </w:r>
      <w:r w:rsidRPr="00BE4152">
        <w:t xml:space="preserve"> 9</w:t>
      </w:r>
      <w:r>
        <w:t xml:space="preserve"> ustawy pr.w. wykonywane są przez następujące podmioty:</w:t>
      </w:r>
    </w:p>
    <w:p w14:paraId="3C7E7DC1" w14:textId="77777777" w:rsidR="00643D60" w:rsidRPr="00F11051" w:rsidRDefault="00643D60" w:rsidP="00AA3506">
      <w:pPr>
        <w:pStyle w:val="Akapitzlist"/>
        <w:numPr>
          <w:ilvl w:val="0"/>
          <w:numId w:val="103"/>
        </w:numPr>
      </w:pPr>
      <w:r w:rsidRPr="00F11051">
        <w:t>badania wód powierzchniowych w zakresie elementów biologicznych, fizykochemicznych oraz chemicznych wykonuje właściwy organ Inspekcji Ochrony Środowiska;</w:t>
      </w:r>
    </w:p>
    <w:p w14:paraId="5BAB3A6A" w14:textId="465E73B8" w:rsidR="00643D60" w:rsidRPr="00F11051" w:rsidRDefault="00643D60" w:rsidP="00AA3506">
      <w:pPr>
        <w:pStyle w:val="Akapitzlist"/>
        <w:numPr>
          <w:ilvl w:val="0"/>
          <w:numId w:val="103"/>
        </w:numPr>
      </w:pPr>
      <w:r w:rsidRPr="00F11051">
        <w:t>badania wód powierzchniowych w zakresie elementów hydrologicznych i morfologicznych wykonuje państwowa służba hydrologiczno-meteorologiczna i przekazuje wyniki tych badań ministrowi właściwemu do spraw gospodarki wodnej, PGW</w:t>
      </w:r>
      <w:r w:rsidR="001B1731">
        <w:t xml:space="preserve"> </w:t>
      </w:r>
      <w:r w:rsidRPr="00F11051">
        <w:t xml:space="preserve">WP, właściwemu organowi Inspekcji Ochrony Środowiska, właściwym organom ochrony przyrody, a także wszystkim podmiotom wykonującym na zamówienie tych organów i podmiotów prace na potrzeby opracowania oceny stopnia osiągnięcia celów środowiskowych, oceny stanu wód powierzchniowych, oceny stanu wód podziemnych oraz oceny stanu wód obszarów chronionych. </w:t>
      </w:r>
    </w:p>
    <w:p w14:paraId="52ECE486" w14:textId="77777777" w:rsidR="00643D60" w:rsidRPr="00F11051" w:rsidRDefault="00643D60" w:rsidP="00AA3506">
      <w:pPr>
        <w:pStyle w:val="Akapitzlist"/>
        <w:numPr>
          <w:ilvl w:val="0"/>
          <w:numId w:val="103"/>
        </w:numPr>
      </w:pPr>
      <w:r w:rsidRPr="00F11051">
        <w:t xml:space="preserve">obserwację elementów hydromorfologicznych na potrzeby oceny stanu ekologicznego i potencjału ekologicznego prowadzi właściwy organ Inspekcji Ochrony Środowiska; </w:t>
      </w:r>
    </w:p>
    <w:p w14:paraId="6507D7B9" w14:textId="77777777" w:rsidR="00643D60" w:rsidRPr="00F11051" w:rsidRDefault="00643D60" w:rsidP="00AA3506">
      <w:pPr>
        <w:pStyle w:val="Akapitzlist"/>
        <w:numPr>
          <w:ilvl w:val="0"/>
          <w:numId w:val="103"/>
        </w:numPr>
      </w:pPr>
      <w:r w:rsidRPr="00F11051">
        <w:t>badania osadów dennych rzek i jezior na potrzeby klasyfikacji stanu chemicznego wód powierzchniowych wykonuje właściwy organ Inspekcji Ochrony Środowiska;</w:t>
      </w:r>
    </w:p>
    <w:p w14:paraId="78EBB563" w14:textId="77777777" w:rsidR="00643D60" w:rsidRPr="00F11051" w:rsidRDefault="00643D60" w:rsidP="00AA3506">
      <w:pPr>
        <w:pStyle w:val="Akapitzlist"/>
        <w:numPr>
          <w:ilvl w:val="0"/>
          <w:numId w:val="104"/>
        </w:numPr>
      </w:pPr>
      <w:r w:rsidRPr="00F11051">
        <w:t>badania bioakumulacji substancji priorytetowych na potrzeby klasyfikacji stanu chemicznego wód powierzchniowych oraz badania stanu ichtiofauny na potrzeby klasyfikacji stanu ekologicznego lub potencjału ekologicznego wykonuje właściwy organ Inspekcji Ochrony Środowiska;</w:t>
      </w:r>
    </w:p>
    <w:p w14:paraId="059A875C" w14:textId="77777777" w:rsidR="00643D60" w:rsidRPr="00F11051" w:rsidRDefault="00643D60" w:rsidP="00AA3506">
      <w:pPr>
        <w:pStyle w:val="Akapitzlist"/>
        <w:numPr>
          <w:ilvl w:val="0"/>
          <w:numId w:val="104"/>
        </w:numPr>
      </w:pPr>
      <w:r w:rsidRPr="00F11051">
        <w:t>badania stanu wód podziemnych w zakresie elementów fizykochemicznych i ilościowych są wykonywane przez PSH (PIG-PIB), zaś w uzasadnionych przypadkach badania uzupełniające wód podziemnych w zakresie elementów fizykochemicznych wykonuje właściwy organ Inspekcji Ochrony Środowiska.</w:t>
      </w:r>
    </w:p>
    <w:p w14:paraId="14479995" w14:textId="77777777" w:rsidR="00643D60" w:rsidRPr="00BE4152" w:rsidRDefault="00643D60" w:rsidP="00B50FFD">
      <w:pPr>
        <w:pStyle w:val="Nagwek2"/>
      </w:pPr>
      <w:bookmarkStart w:id="59" w:name="_Toc68726845"/>
      <w:r w:rsidRPr="00BE4152">
        <w:t>Wody powierzchniowe</w:t>
      </w:r>
      <w:bookmarkEnd w:id="59"/>
    </w:p>
    <w:p w14:paraId="19DBB5B5" w14:textId="5C7953F4" w:rsidR="00643D60" w:rsidRPr="00B50FFD" w:rsidRDefault="00643D60" w:rsidP="00B50FFD">
      <w:pPr>
        <w:pStyle w:val="Nagwek3"/>
      </w:pPr>
      <w:bookmarkStart w:id="60" w:name="_Toc68726846"/>
      <w:r w:rsidRPr="00B50FFD">
        <w:t>Monitoring wód powierzchniowych</w:t>
      </w:r>
      <w:bookmarkEnd w:id="60"/>
    </w:p>
    <w:p w14:paraId="4072F962" w14:textId="77777777" w:rsidR="0076782F" w:rsidRPr="0076782F" w:rsidRDefault="0076782F" w:rsidP="0076782F">
      <w:pPr>
        <w:spacing w:before="0" w:after="0"/>
        <w:jc w:val="left"/>
        <w:rPr>
          <w:rFonts w:eastAsia="Times New Roman"/>
          <w:lang w:eastAsia="pl-PL"/>
        </w:rPr>
      </w:pPr>
      <w:r w:rsidRPr="0076782F">
        <w:rPr>
          <w:rFonts w:eastAsia="Times New Roman"/>
          <w:lang w:eastAsia="pl-PL"/>
        </w:rPr>
        <w:t>Monitoring jcwp prowadzi się w taki sposób, by możliwe było:</w:t>
      </w:r>
    </w:p>
    <w:p w14:paraId="1CD6ACA9" w14:textId="00CD412A" w:rsidR="00643D60" w:rsidRPr="00F11051" w:rsidRDefault="00F11051" w:rsidP="00F06393">
      <w:pPr>
        <w:pStyle w:val="Numerowanie"/>
      </w:pPr>
      <w:r w:rsidRPr="00F11051">
        <w:t>Zakwalifikowanie jcwp do jednej z pięciu klas jakości wód;</w:t>
      </w:r>
    </w:p>
    <w:p w14:paraId="72AA82F1" w14:textId="6AEE3838" w:rsidR="00643D60" w:rsidRPr="00F11051" w:rsidRDefault="00F11051" w:rsidP="00F06393">
      <w:pPr>
        <w:pStyle w:val="Numerowanie"/>
      </w:pPr>
      <w:r w:rsidRPr="00F11051">
        <w:t>Uzyskanie spójnego i kompletnego obrazu stanu lub potencjału ekologicznego oraz stanu chemicznego w</w:t>
      </w:r>
      <w:r w:rsidR="00643D60" w:rsidRPr="00F11051">
        <w:t xml:space="preserve"> każdym obszarze dorzecza;</w:t>
      </w:r>
    </w:p>
    <w:p w14:paraId="126E568F" w14:textId="3904B0EC" w:rsidR="00643D60" w:rsidRPr="00F11051" w:rsidRDefault="00F11051" w:rsidP="00F06393">
      <w:pPr>
        <w:pStyle w:val="Numerowanie"/>
      </w:pPr>
      <w:r w:rsidRPr="00F11051">
        <w:t>Ocenienie stanu jcwp w każd</w:t>
      </w:r>
      <w:r w:rsidR="00643D60" w:rsidRPr="00F11051">
        <w:t>ym obszarze dorzecza;</w:t>
      </w:r>
    </w:p>
    <w:p w14:paraId="2DFB5AEE" w14:textId="0BFA7FD3" w:rsidR="00643D60" w:rsidRPr="00F11051" w:rsidRDefault="00F11051" w:rsidP="00F06393">
      <w:pPr>
        <w:pStyle w:val="Numerowanie"/>
      </w:pPr>
      <w:r w:rsidRPr="00F11051">
        <w:t xml:space="preserve">Ilościowe ujęcie czasowej i przestrzennej zmienności elementów jakości </w:t>
      </w:r>
      <w:r w:rsidR="00643D60" w:rsidRPr="00F11051">
        <w:t>oraz parametrów wskaźnikowych dla elementów biologicznych, hydromorfologicznych, fizykochemicznych i</w:t>
      </w:r>
      <w:r w:rsidR="000D04FF">
        <w:t> </w:t>
      </w:r>
      <w:r w:rsidR="00643D60" w:rsidRPr="00F11051">
        <w:t>chemicznych.</w:t>
      </w:r>
    </w:p>
    <w:p w14:paraId="1EDC3208" w14:textId="77777777" w:rsidR="00643D60" w:rsidRPr="00BE4152" w:rsidRDefault="00643D60" w:rsidP="00643D60">
      <w:pPr>
        <w:suppressAutoHyphens/>
      </w:pPr>
      <w:r w:rsidRPr="00BE4152">
        <w:t>Powyższe założenia są realizowane poprzez prowadzenie pomiarów poziomu i objętości lub natężenia przepływu wód w zakresie stosownym dla stanu ekologicznego, potencjału ekologicznego lub stanu chemicznego</w:t>
      </w:r>
      <w:r>
        <w:t xml:space="preserve"> oraz poprzez prowadzenie</w:t>
      </w:r>
      <w:r w:rsidRPr="00BE4152">
        <w:t xml:space="preserve"> badań grup wskaźników lub poszczególnych wskaźników jakości</w:t>
      </w:r>
      <w:r>
        <w:t xml:space="preserve"> wód</w:t>
      </w:r>
      <w:r w:rsidRPr="00BE4152">
        <w:t>.</w:t>
      </w:r>
    </w:p>
    <w:p w14:paraId="00782105" w14:textId="77777777" w:rsidR="00643D60" w:rsidRPr="00BE4152" w:rsidRDefault="00643D60" w:rsidP="00643D60">
      <w:pPr>
        <w:suppressAutoHyphens/>
      </w:pPr>
      <w:r w:rsidRPr="00BE4152">
        <w:t>Zgodnie z r.m.jcw wyróżnia się następujące rodzaje monitoringu jcwp:</w:t>
      </w:r>
    </w:p>
    <w:p w14:paraId="1B977491" w14:textId="63E00D3E" w:rsidR="00643D60" w:rsidRPr="00BE4152" w:rsidRDefault="00F11051" w:rsidP="00AA3506">
      <w:pPr>
        <w:pStyle w:val="Numerowanie"/>
        <w:numPr>
          <w:ilvl w:val="0"/>
          <w:numId w:val="83"/>
        </w:numPr>
      </w:pPr>
      <w:r w:rsidRPr="00BE4152">
        <w:t xml:space="preserve">Monitoring diagnostyczny </w:t>
      </w:r>
      <w:r w:rsidR="00442AB7">
        <w:t>-</w:t>
      </w:r>
      <w:r w:rsidR="00643D60" w:rsidRPr="00BE4152">
        <w:t xml:space="preserve"> ustalany na podstawie dokumentacji planistycznych,</w:t>
      </w:r>
    </w:p>
    <w:p w14:paraId="1C5F978D" w14:textId="476D9781" w:rsidR="00643D60" w:rsidRPr="00BE4152" w:rsidRDefault="00F11051" w:rsidP="00F06393">
      <w:pPr>
        <w:pStyle w:val="Numerowanie"/>
      </w:pPr>
      <w:r w:rsidRPr="00BE4152">
        <w:t xml:space="preserve">Monitoring operacyjny </w:t>
      </w:r>
      <w:r w:rsidR="00442AB7">
        <w:t>-</w:t>
      </w:r>
      <w:r w:rsidR="00643D60" w:rsidRPr="00BE4152">
        <w:t xml:space="preserve"> ustalany na podstawie dokumentacji planistycznych lub wyników monitoringu diagnostycznego,</w:t>
      </w:r>
    </w:p>
    <w:p w14:paraId="1A45B608" w14:textId="6144A64E" w:rsidR="00643D60" w:rsidRPr="00BE4152" w:rsidRDefault="00F11051" w:rsidP="00F06393">
      <w:pPr>
        <w:pStyle w:val="Numerowanie"/>
      </w:pPr>
      <w:r w:rsidRPr="00BE4152">
        <w:t>Monit</w:t>
      </w:r>
      <w:r w:rsidR="00643D60" w:rsidRPr="00BE4152">
        <w:t xml:space="preserve">oring badawczy, </w:t>
      </w:r>
    </w:p>
    <w:p w14:paraId="7F651CC5" w14:textId="019A293E" w:rsidR="00643D60" w:rsidRPr="00BE4152" w:rsidRDefault="00F11051" w:rsidP="00F06393">
      <w:pPr>
        <w:pStyle w:val="Numerowanie"/>
      </w:pPr>
      <w:r w:rsidRPr="00BE4152">
        <w:t>Monitoring obszarów chronionych.</w:t>
      </w:r>
    </w:p>
    <w:p w14:paraId="650D9B2D" w14:textId="03C59EAC" w:rsidR="00643D60" w:rsidRPr="00BE4152" w:rsidRDefault="00643D60" w:rsidP="00643D60">
      <w:pPr>
        <w:suppressAutoHyphens/>
        <w:spacing w:before="0"/>
      </w:pPr>
      <w:r w:rsidRPr="00BE4152">
        <w:t xml:space="preserve">Badania monitoringowe </w:t>
      </w:r>
      <w:r>
        <w:t xml:space="preserve">są </w:t>
      </w:r>
      <w:r w:rsidRPr="00BE4152">
        <w:t xml:space="preserve">prowadzone w punktach pomiarowo-kontrolnych (ppk). Sieć ppk </w:t>
      </w:r>
      <w:r>
        <w:t xml:space="preserve">jest </w:t>
      </w:r>
      <w:r w:rsidRPr="00BE4152">
        <w:t>ustalana na podstawie aktualnego wykazu jcwp wraz z ich charakterystyką obejmującą</w:t>
      </w:r>
      <w:r>
        <w:t>:</w:t>
      </w:r>
      <w:r w:rsidRPr="00BE4152">
        <w:t xml:space="preserve"> status, typ, cele środowiskowe oraz zagrożenie nieosiągnięciem celów środowiskowych, a także rodzaj presji oddziałującej na jcwp. Przy projektowaniu sieci monitoringu wykorzystuje się także aktualne wykazy obszarów chronionych. Nową sieć monitoringu tworzy się poprzez weryfikację sieci istniejącej w</w:t>
      </w:r>
      <w:r w:rsidR="00CE57D6">
        <w:t> </w:t>
      </w:r>
      <w:r w:rsidRPr="00BE4152">
        <w:t>poprzednim cyklu gospodarowania wodami. Szczegółowe kryteria wyznaczania ppk stanowią załącznik nr 2 do r.m.jcw.</w:t>
      </w:r>
    </w:p>
    <w:p w14:paraId="5606FB44" w14:textId="77777777" w:rsidR="00643D60" w:rsidRPr="00BE4152" w:rsidRDefault="00643D60" w:rsidP="00643D60">
      <w:pPr>
        <w:suppressAutoHyphens/>
      </w:pPr>
      <w:r w:rsidRPr="00BE4152">
        <w:t xml:space="preserve">Sieć ppk, na którą składają się reprezentatywne </w:t>
      </w:r>
      <w:r>
        <w:t xml:space="preserve">ppk wyznaczone na potrzeby prowadzenia monitoringu </w:t>
      </w:r>
      <w:r w:rsidRPr="00BE4152">
        <w:t>diagnostyczne i operacyjne</w:t>
      </w:r>
      <w:r>
        <w:t>go</w:t>
      </w:r>
      <w:r w:rsidRPr="00BE4152">
        <w:t>, stanowi podstawę oceny stanu jcwp.</w:t>
      </w:r>
    </w:p>
    <w:p w14:paraId="318E5BD1" w14:textId="77777777" w:rsidR="00CE57D6" w:rsidRPr="00CE57D6" w:rsidRDefault="00CE57D6" w:rsidP="00CE57D6">
      <w:pPr>
        <w:pStyle w:val="Akapitzlist"/>
        <w:keepNext/>
        <w:numPr>
          <w:ilvl w:val="0"/>
          <w:numId w:val="135"/>
        </w:numPr>
        <w:tabs>
          <w:tab w:val="left" w:pos="1134"/>
        </w:tabs>
        <w:suppressAutoHyphens/>
        <w:jc w:val="left"/>
        <w:outlineLvl w:val="3"/>
        <w:rPr>
          <w:b/>
          <w:bCs/>
          <w:vanish/>
          <w:color w:val="003399"/>
        </w:rPr>
      </w:pPr>
    </w:p>
    <w:p w14:paraId="6D5BBC17" w14:textId="77777777" w:rsidR="00CE57D6" w:rsidRPr="00CE57D6" w:rsidRDefault="00CE57D6" w:rsidP="00CE57D6">
      <w:pPr>
        <w:pStyle w:val="Akapitzlist"/>
        <w:keepNext/>
        <w:numPr>
          <w:ilvl w:val="0"/>
          <w:numId w:val="135"/>
        </w:numPr>
        <w:tabs>
          <w:tab w:val="left" w:pos="1134"/>
        </w:tabs>
        <w:suppressAutoHyphens/>
        <w:jc w:val="left"/>
        <w:outlineLvl w:val="3"/>
        <w:rPr>
          <w:b/>
          <w:bCs/>
          <w:vanish/>
          <w:color w:val="003399"/>
        </w:rPr>
      </w:pPr>
    </w:p>
    <w:p w14:paraId="3B7B6A0A" w14:textId="77777777" w:rsidR="00CE57D6" w:rsidRPr="00CE57D6" w:rsidRDefault="00CE57D6" w:rsidP="00CE57D6">
      <w:pPr>
        <w:pStyle w:val="Akapitzlist"/>
        <w:keepNext/>
        <w:numPr>
          <w:ilvl w:val="0"/>
          <w:numId w:val="135"/>
        </w:numPr>
        <w:tabs>
          <w:tab w:val="left" w:pos="1134"/>
        </w:tabs>
        <w:suppressAutoHyphens/>
        <w:jc w:val="left"/>
        <w:outlineLvl w:val="3"/>
        <w:rPr>
          <w:b/>
          <w:bCs/>
          <w:vanish/>
          <w:color w:val="003399"/>
        </w:rPr>
      </w:pPr>
    </w:p>
    <w:p w14:paraId="771E095A" w14:textId="77777777" w:rsidR="00CE57D6" w:rsidRPr="00CE57D6" w:rsidRDefault="00CE57D6" w:rsidP="00CE57D6">
      <w:pPr>
        <w:pStyle w:val="Akapitzlist"/>
        <w:keepNext/>
        <w:numPr>
          <w:ilvl w:val="0"/>
          <w:numId w:val="135"/>
        </w:numPr>
        <w:tabs>
          <w:tab w:val="left" w:pos="1134"/>
        </w:tabs>
        <w:suppressAutoHyphens/>
        <w:jc w:val="left"/>
        <w:outlineLvl w:val="3"/>
        <w:rPr>
          <w:b/>
          <w:bCs/>
          <w:vanish/>
          <w:color w:val="003399"/>
        </w:rPr>
      </w:pPr>
    </w:p>
    <w:p w14:paraId="49FDC27F" w14:textId="77777777" w:rsidR="00CE57D6" w:rsidRPr="00CE57D6" w:rsidRDefault="00CE57D6" w:rsidP="00CE57D6">
      <w:pPr>
        <w:pStyle w:val="Akapitzlist"/>
        <w:keepNext/>
        <w:numPr>
          <w:ilvl w:val="0"/>
          <w:numId w:val="135"/>
        </w:numPr>
        <w:tabs>
          <w:tab w:val="left" w:pos="1134"/>
        </w:tabs>
        <w:suppressAutoHyphens/>
        <w:jc w:val="left"/>
        <w:outlineLvl w:val="3"/>
        <w:rPr>
          <w:b/>
          <w:bCs/>
          <w:vanish/>
          <w:color w:val="003399"/>
        </w:rPr>
      </w:pPr>
    </w:p>
    <w:p w14:paraId="5D45D2C7" w14:textId="77777777" w:rsidR="00CE57D6" w:rsidRPr="00CE57D6" w:rsidRDefault="00CE57D6" w:rsidP="00CE57D6">
      <w:pPr>
        <w:pStyle w:val="Akapitzlist"/>
        <w:keepNext/>
        <w:numPr>
          <w:ilvl w:val="1"/>
          <w:numId w:val="135"/>
        </w:numPr>
        <w:tabs>
          <w:tab w:val="left" w:pos="1134"/>
        </w:tabs>
        <w:suppressAutoHyphens/>
        <w:jc w:val="left"/>
        <w:outlineLvl w:val="3"/>
        <w:rPr>
          <w:b/>
          <w:bCs/>
          <w:vanish/>
          <w:color w:val="003399"/>
        </w:rPr>
      </w:pPr>
    </w:p>
    <w:p w14:paraId="48B93CB3" w14:textId="77777777" w:rsidR="00CE57D6" w:rsidRPr="00CE57D6" w:rsidRDefault="00CE57D6" w:rsidP="00CE57D6">
      <w:pPr>
        <w:pStyle w:val="Akapitzlist"/>
        <w:keepNext/>
        <w:numPr>
          <w:ilvl w:val="2"/>
          <w:numId w:val="135"/>
        </w:numPr>
        <w:tabs>
          <w:tab w:val="left" w:pos="1134"/>
        </w:tabs>
        <w:suppressAutoHyphens/>
        <w:jc w:val="left"/>
        <w:outlineLvl w:val="3"/>
        <w:rPr>
          <w:b/>
          <w:bCs/>
          <w:vanish/>
          <w:color w:val="003399"/>
        </w:rPr>
      </w:pPr>
    </w:p>
    <w:p w14:paraId="64E24B73" w14:textId="5AB40F3B" w:rsidR="00643D60" w:rsidRPr="00AA0CAB" w:rsidRDefault="00643D60" w:rsidP="00CE57D6">
      <w:pPr>
        <w:pStyle w:val="Nagwek4"/>
      </w:pPr>
      <w:r w:rsidRPr="00AA0CAB">
        <w:t>Monitoring diagnostyczny</w:t>
      </w:r>
    </w:p>
    <w:p w14:paraId="58755C42" w14:textId="77777777" w:rsidR="00643D60" w:rsidRPr="00BE4152" w:rsidRDefault="00643D60" w:rsidP="007B0D6B">
      <w:pPr>
        <w:keepNext/>
        <w:suppressAutoHyphens/>
      </w:pPr>
      <w:r w:rsidRPr="00BE4152">
        <w:t xml:space="preserve">Monitoring diagnostyczny jcwp prowadzi się w celu: </w:t>
      </w:r>
    </w:p>
    <w:p w14:paraId="296135E1" w14:textId="77777777" w:rsidR="00643D60" w:rsidRPr="00BE4152" w:rsidRDefault="00643D60" w:rsidP="00AA3506">
      <w:pPr>
        <w:pStyle w:val="Numerowanie"/>
        <w:numPr>
          <w:ilvl w:val="0"/>
          <w:numId w:val="36"/>
        </w:numPr>
      </w:pPr>
      <w:r>
        <w:t>oceny</w:t>
      </w:r>
      <w:r w:rsidRPr="00BE4152">
        <w:t xml:space="preserve"> stanu jcwp, tak aby:</w:t>
      </w:r>
    </w:p>
    <w:p w14:paraId="115CD3C8" w14:textId="77777777" w:rsidR="00643D60" w:rsidRPr="00BE4152" w:rsidRDefault="00643D60" w:rsidP="00AA3506">
      <w:pPr>
        <w:pStyle w:val="Numerowanie"/>
        <w:numPr>
          <w:ilvl w:val="1"/>
          <w:numId w:val="119"/>
        </w:numPr>
      </w:pPr>
      <w:r w:rsidRPr="00BE4152">
        <w:t>uzupełnić informacje na temat rodzajów i wielkości znaczących oddziaływań antropogenicznych, na które narażone są jcwp na danym obszarze dorzecza,</w:t>
      </w:r>
    </w:p>
    <w:p w14:paraId="3135475F" w14:textId="77777777" w:rsidR="00643D60" w:rsidRPr="00BE4152" w:rsidRDefault="00643D60" w:rsidP="00AA3506">
      <w:pPr>
        <w:pStyle w:val="Numerowanie"/>
        <w:numPr>
          <w:ilvl w:val="1"/>
          <w:numId w:val="119"/>
        </w:numPr>
      </w:pPr>
      <w:r w:rsidRPr="00BE4152">
        <w:t>potwierdzić ocenę wpływu znaczących oddziaływań, w tym antropogenicznych</w:t>
      </w:r>
      <w:r>
        <w:t xml:space="preserve"> na stan wód powierzchniowych;</w:t>
      </w:r>
    </w:p>
    <w:p w14:paraId="63FFC553" w14:textId="77777777" w:rsidR="00643D60" w:rsidRPr="00BE4152" w:rsidRDefault="00643D60" w:rsidP="00F06393">
      <w:pPr>
        <w:pStyle w:val="Numerowanie"/>
      </w:pPr>
      <w:r w:rsidRPr="00BE4152">
        <w:t xml:space="preserve">zaprojektowania </w:t>
      </w:r>
      <w:r>
        <w:t xml:space="preserve">pomiarów lub badań </w:t>
      </w:r>
      <w:r w:rsidRPr="00BE4152">
        <w:t>przyszłych programów monitoringu;</w:t>
      </w:r>
    </w:p>
    <w:p w14:paraId="6641FBBC" w14:textId="77777777" w:rsidR="00643D60" w:rsidRPr="00BE4152" w:rsidRDefault="00643D60" w:rsidP="00F06393">
      <w:pPr>
        <w:pStyle w:val="Numerowanie"/>
      </w:pPr>
      <w:r w:rsidRPr="00BE4152">
        <w:t>dokonania oceny długoterminowych zmian stanu jcwp w warunkach naturalnych</w:t>
      </w:r>
      <w:r>
        <w:t xml:space="preserve"> lub spowodowanych oddziaływaniami antropogenicznymi</w:t>
      </w:r>
      <w:r w:rsidRPr="00BE4152">
        <w:t>;</w:t>
      </w:r>
    </w:p>
    <w:p w14:paraId="0C633B6F" w14:textId="77777777" w:rsidR="00643D60" w:rsidRPr="00BE4152" w:rsidRDefault="00643D60" w:rsidP="00F06393">
      <w:pPr>
        <w:pStyle w:val="Numerowanie"/>
      </w:pPr>
      <w:r w:rsidRPr="00BE4152">
        <w:t>określenia długoterminowych trendów zmian stężeń substancji priorytetowych i innych zanieczyszczeń w wodzie, faunie wodnej, florze wodnej i osadach dennych;</w:t>
      </w:r>
    </w:p>
    <w:p w14:paraId="55EBC686" w14:textId="77777777" w:rsidR="00643D60" w:rsidRPr="00BE4152" w:rsidRDefault="00643D60" w:rsidP="00F06393">
      <w:pPr>
        <w:pStyle w:val="Numerowanie"/>
      </w:pPr>
      <w:r w:rsidRPr="00BE4152">
        <w:t>dokonania oceny stopnia eutrofizacji wód powierzchniowych, reprezentatywnej dla występujących oddziaływań antropogenicznych oraz występujących typów wód powierzchniowych</w:t>
      </w:r>
      <w:r>
        <w:t>.</w:t>
      </w:r>
    </w:p>
    <w:p w14:paraId="512BDB2B" w14:textId="0FFDB21A" w:rsidR="00643D60" w:rsidRPr="00BE4152" w:rsidRDefault="00643D60" w:rsidP="00643D60">
      <w:pPr>
        <w:suppressAutoHyphens/>
      </w:pPr>
      <w:r w:rsidRPr="00BE4152">
        <w:t>Rozporządzenie r.m.jcw</w:t>
      </w:r>
      <w:r w:rsidRPr="00BE4152" w:rsidDel="00E077D2">
        <w:t xml:space="preserve"> </w:t>
      </w:r>
      <w:r w:rsidRPr="00BE4152">
        <w:t>określa kryteri</w:t>
      </w:r>
      <w:r>
        <w:t>a</w:t>
      </w:r>
      <w:r w:rsidRPr="00BE4152">
        <w:t xml:space="preserve"> wyboru jcwp do monitorowania w ramach </w:t>
      </w:r>
      <w:r>
        <w:t xml:space="preserve">sieci </w:t>
      </w:r>
      <w:r w:rsidRPr="00BE4152">
        <w:t xml:space="preserve">monitoringu diagnostycznego. </w:t>
      </w:r>
      <w:r>
        <w:t xml:space="preserve">Załącznik nr 8 do r.m.jcw przedstawia kryteria </w:t>
      </w:r>
      <w:r w:rsidRPr="00BE4152">
        <w:t xml:space="preserve">stosowane </w:t>
      </w:r>
      <w:r>
        <w:t xml:space="preserve">obecnie aż </w:t>
      </w:r>
      <w:r w:rsidRPr="00BE4152">
        <w:t>do dnia 31 grudnia 2021 r.</w:t>
      </w:r>
      <w:r>
        <w:t>,</w:t>
      </w:r>
      <w:r w:rsidRPr="00BE4152">
        <w:t xml:space="preserve"> </w:t>
      </w:r>
      <w:r>
        <w:t>natomiast załącznik nr 1 do r.m.jcw</w:t>
      </w:r>
      <w:r w:rsidRPr="00BE4152">
        <w:t xml:space="preserve"> </w:t>
      </w:r>
      <w:r w:rsidR="00442AB7">
        <w:t>-</w:t>
      </w:r>
      <w:r w:rsidRPr="00BE4152">
        <w:t xml:space="preserve"> </w:t>
      </w:r>
      <w:r>
        <w:t xml:space="preserve">kryteria mające zastosowanie po 31 grudnia 2021 r. </w:t>
      </w:r>
      <w:r w:rsidR="00247521">
        <w:t>T</w:t>
      </w:r>
      <w:r w:rsidRPr="00BE4152">
        <w:t xml:space="preserve">abela </w:t>
      </w:r>
      <w:r w:rsidR="00247521">
        <w:t xml:space="preserve">5-1 </w:t>
      </w:r>
      <w:r w:rsidRPr="00BE4152">
        <w:t xml:space="preserve">zawiera zestawienie obydwu </w:t>
      </w:r>
      <w:r>
        <w:t>określonych</w:t>
      </w:r>
      <w:r w:rsidRPr="00BE4152">
        <w:t xml:space="preserve"> w r.m.jcw kryteriów. </w:t>
      </w:r>
    </w:p>
    <w:p w14:paraId="1A83EE52" w14:textId="0055FE48" w:rsidR="00643D60" w:rsidRPr="00BE4152" w:rsidRDefault="00643D60" w:rsidP="006802BB">
      <w:pPr>
        <w:pStyle w:val="Tabela"/>
      </w:pPr>
      <w:bookmarkStart w:id="61" w:name="_Toc68726953"/>
      <w:r w:rsidRPr="00BE4152">
        <w:t xml:space="preserve">Tabela </w:t>
      </w:r>
      <w:fldSimple w:instr=" STYLEREF 1 \s ">
        <w:r w:rsidR="007B4050">
          <w:rPr>
            <w:noProof/>
          </w:rPr>
          <w:t>5</w:t>
        </w:r>
      </w:fldSimple>
      <w:r w:rsidR="007B4050">
        <w:noBreakHyphen/>
      </w:r>
      <w:fldSimple w:instr=" SEQ Tabela \* ARABIC \s 1 ">
        <w:r w:rsidR="007B4050">
          <w:rPr>
            <w:noProof/>
          </w:rPr>
          <w:t>1</w:t>
        </w:r>
      </w:fldSimple>
      <w:r w:rsidRPr="00BE4152">
        <w:tab/>
        <w:t>Kryteria wyboru jcwp do monitorowania w ramach monitoringu diagnostycznego</w:t>
      </w:r>
      <w:bookmarkEnd w:id="61"/>
    </w:p>
    <w:tbl>
      <w:tblPr>
        <w:tblStyle w:val="Tabela-Siatka"/>
        <w:tblW w:w="9067" w:type="dxa"/>
        <w:tblLayout w:type="fixed"/>
        <w:tblLook w:val="04A0" w:firstRow="1" w:lastRow="0" w:firstColumn="1" w:lastColumn="0" w:noHBand="0" w:noVBand="1"/>
      </w:tblPr>
      <w:tblGrid>
        <w:gridCol w:w="562"/>
        <w:gridCol w:w="8505"/>
      </w:tblGrid>
      <w:tr w:rsidR="00643D60" w:rsidRPr="00BE4152" w14:paraId="7291CE8C" w14:textId="77777777" w:rsidTr="00B15070">
        <w:trPr>
          <w:tblHeader/>
        </w:trPr>
        <w:tc>
          <w:tcPr>
            <w:tcW w:w="9067" w:type="dxa"/>
            <w:gridSpan w:val="2"/>
            <w:shd w:val="clear" w:color="auto" w:fill="BFBFBF"/>
            <w:vAlign w:val="center"/>
          </w:tcPr>
          <w:p w14:paraId="525A7044"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Kryteria wyboru jcwp do monitoringu diagnostycznego zgodnie z r.m.jcw</w:t>
            </w:r>
          </w:p>
        </w:tc>
      </w:tr>
      <w:tr w:rsidR="00643D60" w:rsidRPr="00BE4152" w14:paraId="21EDFE54" w14:textId="77777777" w:rsidTr="00B15070">
        <w:tc>
          <w:tcPr>
            <w:tcW w:w="562" w:type="dxa"/>
            <w:shd w:val="clear" w:color="auto" w:fill="D9D9D9" w:themeFill="background1" w:themeFillShade="D9"/>
            <w:vAlign w:val="center"/>
          </w:tcPr>
          <w:p w14:paraId="5EADB5A3"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L</w:t>
            </w:r>
            <w:r>
              <w:rPr>
                <w:rFonts w:asciiTheme="minorHAnsi" w:hAnsiTheme="minorHAnsi"/>
                <w:b/>
                <w:bCs/>
                <w:sz w:val="20"/>
                <w:szCs w:val="20"/>
              </w:rPr>
              <w:t>p</w:t>
            </w:r>
            <w:r w:rsidRPr="00BE4152">
              <w:rPr>
                <w:rFonts w:asciiTheme="minorHAnsi" w:hAnsiTheme="minorHAnsi"/>
                <w:b/>
                <w:bCs/>
                <w:sz w:val="20"/>
                <w:szCs w:val="20"/>
              </w:rPr>
              <w:t>.</w:t>
            </w:r>
          </w:p>
        </w:tc>
        <w:tc>
          <w:tcPr>
            <w:tcW w:w="8505" w:type="dxa"/>
            <w:tcBorders>
              <w:right w:val="single" w:sz="4" w:space="0" w:color="auto"/>
            </w:tcBorders>
            <w:shd w:val="clear" w:color="auto" w:fill="D9D9D9" w:themeFill="background1" w:themeFillShade="D9"/>
            <w:vAlign w:val="center"/>
          </w:tcPr>
          <w:p w14:paraId="491E13E4" w14:textId="470D9DFB" w:rsidR="00643D60" w:rsidRPr="00BE4152" w:rsidRDefault="00643D60" w:rsidP="00B15070">
            <w:pPr>
              <w:suppressAutoHyphens/>
              <w:jc w:val="center"/>
              <w:rPr>
                <w:rFonts w:asciiTheme="minorHAnsi" w:hAnsiTheme="minorHAnsi"/>
                <w:b/>
                <w:bCs/>
                <w:sz w:val="20"/>
                <w:szCs w:val="20"/>
              </w:rPr>
            </w:pPr>
            <w:r>
              <w:rPr>
                <w:rFonts w:asciiTheme="minorHAnsi" w:hAnsiTheme="minorHAnsi"/>
                <w:b/>
                <w:bCs/>
                <w:sz w:val="20"/>
                <w:szCs w:val="20"/>
              </w:rPr>
              <w:t>d</w:t>
            </w:r>
            <w:r w:rsidRPr="00BE4152">
              <w:rPr>
                <w:rFonts w:asciiTheme="minorHAnsi" w:hAnsiTheme="minorHAnsi"/>
                <w:b/>
                <w:bCs/>
                <w:sz w:val="20"/>
                <w:szCs w:val="20"/>
              </w:rPr>
              <w:t>o 31 grudnia 2021</w:t>
            </w:r>
            <w:r>
              <w:rPr>
                <w:rFonts w:asciiTheme="minorHAnsi" w:hAnsiTheme="minorHAnsi"/>
                <w:b/>
                <w:bCs/>
                <w:sz w:val="20"/>
                <w:szCs w:val="20"/>
              </w:rPr>
              <w:t xml:space="preserve"> r. (</w:t>
            </w:r>
            <w:r w:rsidR="000853A4">
              <w:rPr>
                <w:rFonts w:asciiTheme="minorHAnsi" w:hAnsiTheme="minorHAnsi"/>
                <w:b/>
                <w:bCs/>
                <w:sz w:val="20"/>
                <w:szCs w:val="20"/>
              </w:rPr>
              <w:t>z</w:t>
            </w:r>
            <w:r>
              <w:rPr>
                <w:rFonts w:asciiTheme="minorHAnsi" w:hAnsiTheme="minorHAnsi"/>
                <w:b/>
                <w:bCs/>
                <w:sz w:val="20"/>
                <w:szCs w:val="20"/>
              </w:rPr>
              <w:t>ałącznik nr 8 do r.m.jcw)</w:t>
            </w:r>
          </w:p>
        </w:tc>
      </w:tr>
      <w:tr w:rsidR="00643D60" w:rsidRPr="00BE4152" w14:paraId="571B706E" w14:textId="77777777" w:rsidTr="00B15070">
        <w:tc>
          <w:tcPr>
            <w:tcW w:w="562" w:type="dxa"/>
          </w:tcPr>
          <w:p w14:paraId="42429097"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1</w:t>
            </w:r>
            <w:r>
              <w:rPr>
                <w:rFonts w:asciiTheme="minorHAnsi" w:hAnsiTheme="minorHAnsi"/>
                <w:sz w:val="20"/>
                <w:szCs w:val="20"/>
              </w:rPr>
              <w:t>.</w:t>
            </w:r>
          </w:p>
        </w:tc>
        <w:tc>
          <w:tcPr>
            <w:tcW w:w="8505" w:type="dxa"/>
          </w:tcPr>
          <w:p w14:paraId="0EB1D3EA"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W</w:t>
            </w:r>
            <w:r w:rsidRPr="00BE4152">
              <w:rPr>
                <w:rFonts w:asciiTheme="minorHAnsi" w:hAnsiTheme="minorHAnsi"/>
                <w:sz w:val="20"/>
                <w:szCs w:val="20"/>
              </w:rPr>
              <w:t>ystarczająca liczba jcwp dla dokonania oceny ogólnego stanu wód powierzchniowych w każdej zlewni na obszarze dorzecza</w:t>
            </w:r>
          </w:p>
        </w:tc>
      </w:tr>
      <w:tr w:rsidR="00643D60" w:rsidRPr="00BE4152" w14:paraId="368FE268" w14:textId="77777777" w:rsidTr="00B15070">
        <w:trPr>
          <w:trHeight w:val="338"/>
        </w:trPr>
        <w:tc>
          <w:tcPr>
            <w:tcW w:w="562" w:type="dxa"/>
          </w:tcPr>
          <w:p w14:paraId="52B4FD2F"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2</w:t>
            </w:r>
            <w:r>
              <w:rPr>
                <w:rFonts w:asciiTheme="minorHAnsi" w:hAnsiTheme="minorHAnsi"/>
                <w:sz w:val="20"/>
                <w:szCs w:val="20"/>
              </w:rPr>
              <w:t>.</w:t>
            </w:r>
          </w:p>
        </w:tc>
        <w:tc>
          <w:tcPr>
            <w:tcW w:w="8505" w:type="dxa"/>
          </w:tcPr>
          <w:p w14:paraId="0461CA05"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R</w:t>
            </w:r>
            <w:r w:rsidRPr="00BE4152">
              <w:rPr>
                <w:rFonts w:asciiTheme="minorHAnsi" w:hAnsiTheme="minorHAnsi"/>
                <w:sz w:val="20"/>
                <w:szCs w:val="20"/>
              </w:rPr>
              <w:t>eprezentowanie wszystkich typów wód</w:t>
            </w:r>
          </w:p>
        </w:tc>
      </w:tr>
      <w:tr w:rsidR="00643D60" w:rsidRPr="00BE4152" w14:paraId="579AD18C" w14:textId="77777777" w:rsidTr="00B15070">
        <w:tc>
          <w:tcPr>
            <w:tcW w:w="562" w:type="dxa"/>
          </w:tcPr>
          <w:p w14:paraId="48ED7949"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3</w:t>
            </w:r>
            <w:r>
              <w:rPr>
                <w:rFonts w:asciiTheme="minorHAnsi" w:hAnsiTheme="minorHAnsi"/>
                <w:sz w:val="20"/>
                <w:szCs w:val="20"/>
              </w:rPr>
              <w:t>.</w:t>
            </w:r>
          </w:p>
        </w:tc>
        <w:tc>
          <w:tcPr>
            <w:tcW w:w="8505" w:type="dxa"/>
          </w:tcPr>
          <w:p w14:paraId="5952C6A0"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R</w:t>
            </w:r>
            <w:r w:rsidRPr="00BE4152">
              <w:rPr>
                <w:rFonts w:asciiTheme="minorHAnsi" w:hAnsiTheme="minorHAnsi"/>
                <w:sz w:val="20"/>
                <w:szCs w:val="20"/>
              </w:rPr>
              <w:t>eprezentowanie oddziaływań antropogenicznych</w:t>
            </w:r>
          </w:p>
        </w:tc>
      </w:tr>
      <w:tr w:rsidR="00643D60" w:rsidRPr="00BE4152" w14:paraId="1452279A" w14:textId="77777777" w:rsidTr="00B15070">
        <w:tc>
          <w:tcPr>
            <w:tcW w:w="562" w:type="dxa"/>
          </w:tcPr>
          <w:p w14:paraId="6965D780"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4</w:t>
            </w:r>
            <w:r>
              <w:rPr>
                <w:rFonts w:asciiTheme="minorHAnsi" w:hAnsiTheme="minorHAnsi"/>
                <w:sz w:val="20"/>
                <w:szCs w:val="20"/>
              </w:rPr>
              <w:t>.</w:t>
            </w:r>
          </w:p>
        </w:tc>
        <w:tc>
          <w:tcPr>
            <w:tcW w:w="8505" w:type="dxa"/>
          </w:tcPr>
          <w:p w14:paraId="03093C12"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W</w:t>
            </w:r>
            <w:r w:rsidRPr="00BE4152">
              <w:rPr>
                <w:rFonts w:asciiTheme="minorHAnsi" w:hAnsiTheme="minorHAnsi"/>
                <w:sz w:val="20"/>
                <w:szCs w:val="20"/>
              </w:rPr>
              <w:t xml:space="preserve"> ciekach występuje znaczna zmienność przepływu wód</w:t>
            </w:r>
          </w:p>
        </w:tc>
      </w:tr>
      <w:tr w:rsidR="00643D60" w:rsidRPr="00BE4152" w14:paraId="152A41CB" w14:textId="77777777" w:rsidTr="00B15070">
        <w:tc>
          <w:tcPr>
            <w:tcW w:w="562" w:type="dxa"/>
          </w:tcPr>
          <w:p w14:paraId="2EC6071B"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5</w:t>
            </w:r>
            <w:r>
              <w:rPr>
                <w:rFonts w:asciiTheme="minorHAnsi" w:hAnsiTheme="minorHAnsi"/>
                <w:sz w:val="20"/>
                <w:szCs w:val="20"/>
              </w:rPr>
              <w:t>.</w:t>
            </w:r>
          </w:p>
        </w:tc>
        <w:tc>
          <w:tcPr>
            <w:tcW w:w="8505" w:type="dxa"/>
          </w:tcPr>
          <w:p w14:paraId="7E0B5E36"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P</w:t>
            </w:r>
            <w:r w:rsidRPr="00BE4152">
              <w:rPr>
                <w:rFonts w:asciiTheme="minorHAnsi" w:hAnsiTheme="minorHAnsi"/>
                <w:sz w:val="20"/>
                <w:szCs w:val="20"/>
              </w:rPr>
              <w:t xml:space="preserve">owierzchnia zlewni, którą zamyka jcwp płynących, w tym wyznaczonych jako </w:t>
            </w:r>
            <w:r w:rsidRPr="00140B23">
              <w:rPr>
                <w:rFonts w:asciiTheme="minorHAnsi" w:hAnsiTheme="minorHAnsi"/>
                <w:sz w:val="20"/>
                <w:szCs w:val="20"/>
              </w:rPr>
              <w:t>SZCW</w:t>
            </w:r>
            <w:r w:rsidRPr="00BE4152">
              <w:rPr>
                <w:rFonts w:asciiTheme="minorHAnsi" w:hAnsiTheme="minorHAnsi"/>
                <w:sz w:val="20"/>
                <w:szCs w:val="20"/>
              </w:rPr>
              <w:t xml:space="preserve"> lub </w:t>
            </w:r>
            <w:r>
              <w:rPr>
                <w:rFonts w:asciiTheme="minorHAnsi" w:hAnsiTheme="minorHAnsi"/>
                <w:sz w:val="20"/>
                <w:szCs w:val="20"/>
              </w:rPr>
              <w:t>SCW</w:t>
            </w:r>
            <w:r w:rsidRPr="00BE4152">
              <w:rPr>
                <w:rFonts w:asciiTheme="minorHAnsi" w:hAnsiTheme="minorHAnsi"/>
                <w:sz w:val="20"/>
                <w:szCs w:val="20"/>
              </w:rPr>
              <w:t>, przekracza 2500 km</w:t>
            </w:r>
            <w:r w:rsidRPr="00BE4152">
              <w:rPr>
                <w:rFonts w:asciiTheme="minorHAnsi" w:hAnsiTheme="minorHAnsi"/>
                <w:sz w:val="20"/>
                <w:szCs w:val="20"/>
                <w:vertAlign w:val="superscript"/>
              </w:rPr>
              <w:t>2</w:t>
            </w:r>
          </w:p>
        </w:tc>
      </w:tr>
      <w:tr w:rsidR="00643D60" w:rsidRPr="00BE4152" w14:paraId="3B2F1B73" w14:textId="77777777" w:rsidTr="00B15070">
        <w:tc>
          <w:tcPr>
            <w:tcW w:w="562" w:type="dxa"/>
          </w:tcPr>
          <w:p w14:paraId="112ACC1C"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6</w:t>
            </w:r>
            <w:r>
              <w:rPr>
                <w:rFonts w:asciiTheme="minorHAnsi" w:hAnsiTheme="minorHAnsi"/>
                <w:sz w:val="20"/>
                <w:szCs w:val="20"/>
              </w:rPr>
              <w:t>.</w:t>
            </w:r>
          </w:p>
        </w:tc>
        <w:tc>
          <w:tcPr>
            <w:tcW w:w="8505" w:type="dxa"/>
          </w:tcPr>
          <w:p w14:paraId="31E50CF7"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P</w:t>
            </w:r>
            <w:r w:rsidRPr="00BE4152">
              <w:rPr>
                <w:rFonts w:asciiTheme="minorHAnsi" w:hAnsiTheme="minorHAnsi"/>
                <w:sz w:val="20"/>
                <w:szCs w:val="20"/>
              </w:rPr>
              <w:t xml:space="preserve">owierzchnia jcwp, takiej jak jezioro lub inny naturalny zbiornik wodny, w tym wyznaczone jako </w:t>
            </w:r>
            <w:r w:rsidRPr="00140B23">
              <w:rPr>
                <w:rFonts w:asciiTheme="minorHAnsi" w:hAnsiTheme="minorHAnsi"/>
                <w:sz w:val="20"/>
                <w:szCs w:val="20"/>
              </w:rPr>
              <w:t>SZCW</w:t>
            </w:r>
            <w:r w:rsidRPr="00BE4152">
              <w:rPr>
                <w:rFonts w:asciiTheme="minorHAnsi" w:hAnsiTheme="minorHAnsi"/>
                <w:sz w:val="20"/>
                <w:szCs w:val="20"/>
              </w:rPr>
              <w:t>, przekracza 50 ha, przy czym dopuszcza się powierzchnię &lt;50 ha</w:t>
            </w:r>
            <w:r>
              <w:rPr>
                <w:rFonts w:asciiTheme="minorHAnsi" w:hAnsiTheme="minorHAnsi"/>
                <w:sz w:val="20"/>
                <w:szCs w:val="20"/>
              </w:rPr>
              <w:t>,</w:t>
            </w:r>
            <w:r w:rsidRPr="00BE4152">
              <w:rPr>
                <w:rFonts w:asciiTheme="minorHAnsi" w:hAnsiTheme="minorHAnsi"/>
                <w:sz w:val="20"/>
                <w:szCs w:val="20"/>
              </w:rPr>
              <w:t xml:space="preserve"> jeśli dana jcwp jest referencyjna dla realizacji PMŚ, ma duże znaczenie gospodarcze lub posiada szczególne walory przyrodnicze</w:t>
            </w:r>
          </w:p>
        </w:tc>
      </w:tr>
      <w:tr w:rsidR="00643D60" w:rsidRPr="00BE4152" w14:paraId="009379F2" w14:textId="77777777" w:rsidTr="00B15070">
        <w:tc>
          <w:tcPr>
            <w:tcW w:w="562" w:type="dxa"/>
          </w:tcPr>
          <w:p w14:paraId="193CDBB4"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7</w:t>
            </w:r>
            <w:r>
              <w:rPr>
                <w:rFonts w:asciiTheme="minorHAnsi" w:hAnsiTheme="minorHAnsi"/>
                <w:sz w:val="20"/>
                <w:szCs w:val="20"/>
              </w:rPr>
              <w:t>.</w:t>
            </w:r>
          </w:p>
        </w:tc>
        <w:tc>
          <w:tcPr>
            <w:tcW w:w="8505" w:type="dxa"/>
          </w:tcPr>
          <w:p w14:paraId="4EC54276"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P</w:t>
            </w:r>
            <w:r w:rsidRPr="00BE4152">
              <w:rPr>
                <w:rFonts w:asciiTheme="minorHAnsi" w:hAnsiTheme="minorHAnsi"/>
                <w:sz w:val="20"/>
                <w:szCs w:val="20"/>
              </w:rPr>
              <w:t xml:space="preserve">ojemność maksymalna jcwp, takiej jak sztuczny zbiornik wodny lub </w:t>
            </w:r>
            <w:r w:rsidRPr="00140B23">
              <w:rPr>
                <w:rFonts w:asciiTheme="minorHAnsi" w:hAnsiTheme="minorHAnsi"/>
                <w:sz w:val="20"/>
                <w:szCs w:val="20"/>
              </w:rPr>
              <w:t>SZCW</w:t>
            </w:r>
            <w:r w:rsidRPr="00BE4152">
              <w:rPr>
                <w:rFonts w:asciiTheme="minorHAnsi" w:hAnsiTheme="minorHAnsi"/>
                <w:sz w:val="20"/>
                <w:szCs w:val="20"/>
              </w:rPr>
              <w:t xml:space="preserve"> będąca zbiornikiem zaporowym, przekracza 10 mln m</w:t>
            </w:r>
            <w:r w:rsidRPr="00BE4152">
              <w:rPr>
                <w:rFonts w:asciiTheme="minorHAnsi" w:hAnsiTheme="minorHAnsi"/>
                <w:sz w:val="20"/>
                <w:szCs w:val="20"/>
                <w:vertAlign w:val="superscript"/>
              </w:rPr>
              <w:t>3</w:t>
            </w:r>
            <w:r w:rsidRPr="00BE4152">
              <w:rPr>
                <w:rFonts w:asciiTheme="minorHAnsi" w:hAnsiTheme="minorHAnsi"/>
                <w:sz w:val="20"/>
                <w:szCs w:val="20"/>
              </w:rPr>
              <w:t>, przy czym dopuszcza się pojemność &lt;10 mln m</w:t>
            </w:r>
            <w:r w:rsidRPr="00BE4152">
              <w:rPr>
                <w:rFonts w:asciiTheme="minorHAnsi" w:hAnsiTheme="minorHAnsi"/>
                <w:sz w:val="20"/>
                <w:szCs w:val="20"/>
                <w:vertAlign w:val="superscript"/>
              </w:rPr>
              <w:t>3</w:t>
            </w:r>
            <w:r w:rsidRPr="00BE4152">
              <w:rPr>
                <w:rFonts w:asciiTheme="minorHAnsi" w:hAnsiTheme="minorHAnsi"/>
                <w:sz w:val="20"/>
                <w:szCs w:val="20"/>
              </w:rPr>
              <w:t>, jeśli dana jcwp ma duże znaczenie gospodarcze lub posiada szczególne walory przyrodnicze</w:t>
            </w:r>
          </w:p>
        </w:tc>
      </w:tr>
      <w:tr w:rsidR="00643D60" w:rsidRPr="00BE4152" w14:paraId="4C7A94EA" w14:textId="77777777" w:rsidTr="00B15070">
        <w:tc>
          <w:tcPr>
            <w:tcW w:w="562" w:type="dxa"/>
          </w:tcPr>
          <w:p w14:paraId="34B9DA8F"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8</w:t>
            </w:r>
            <w:r>
              <w:rPr>
                <w:rFonts w:asciiTheme="minorHAnsi" w:hAnsiTheme="minorHAnsi"/>
                <w:sz w:val="20"/>
                <w:szCs w:val="20"/>
              </w:rPr>
              <w:t>.</w:t>
            </w:r>
          </w:p>
        </w:tc>
        <w:tc>
          <w:tcPr>
            <w:tcW w:w="8505" w:type="dxa"/>
          </w:tcPr>
          <w:p w14:paraId="590268C8"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D</w:t>
            </w:r>
            <w:r w:rsidRPr="00BE4152">
              <w:rPr>
                <w:rFonts w:asciiTheme="minorHAnsi" w:hAnsiTheme="minorHAnsi"/>
                <w:sz w:val="20"/>
                <w:szCs w:val="20"/>
              </w:rPr>
              <w:t>ana jcwp przekracza granicę państwa lub jest zlokalizowana na granicy państwa</w:t>
            </w:r>
          </w:p>
        </w:tc>
      </w:tr>
      <w:tr w:rsidR="00643D60" w:rsidRPr="00BE4152" w14:paraId="696055EB" w14:textId="77777777" w:rsidTr="00B15070">
        <w:trPr>
          <w:trHeight w:val="475"/>
        </w:trPr>
        <w:tc>
          <w:tcPr>
            <w:tcW w:w="562" w:type="dxa"/>
            <w:tcBorders>
              <w:bottom w:val="single" w:sz="4" w:space="0" w:color="auto"/>
            </w:tcBorders>
          </w:tcPr>
          <w:p w14:paraId="15AFA57C"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9</w:t>
            </w:r>
            <w:r>
              <w:rPr>
                <w:rFonts w:asciiTheme="minorHAnsi" w:hAnsiTheme="minorHAnsi"/>
                <w:sz w:val="20"/>
                <w:szCs w:val="20"/>
              </w:rPr>
              <w:t>.</w:t>
            </w:r>
          </w:p>
        </w:tc>
        <w:tc>
          <w:tcPr>
            <w:tcW w:w="8505" w:type="dxa"/>
            <w:tcBorders>
              <w:bottom w:val="single" w:sz="4" w:space="0" w:color="auto"/>
            </w:tcBorders>
          </w:tcPr>
          <w:p w14:paraId="0E6C3CAC"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J</w:t>
            </w:r>
            <w:r w:rsidRPr="00BE4152">
              <w:rPr>
                <w:rFonts w:asciiTheme="minorHAnsi" w:hAnsiTheme="minorHAnsi"/>
                <w:sz w:val="20"/>
                <w:szCs w:val="20"/>
              </w:rPr>
              <w:t>cwp uznana jest za referencyjną</w:t>
            </w:r>
          </w:p>
        </w:tc>
      </w:tr>
      <w:tr w:rsidR="00643D60" w:rsidRPr="00BE4152" w14:paraId="0BF78499" w14:textId="77777777" w:rsidTr="00B15070">
        <w:tc>
          <w:tcPr>
            <w:tcW w:w="562" w:type="dxa"/>
          </w:tcPr>
          <w:p w14:paraId="2FCD047E" w14:textId="77777777" w:rsidR="00643D60" w:rsidRPr="00BE4152" w:rsidRDefault="00643D60" w:rsidP="00B15070">
            <w:pPr>
              <w:suppressAutoHyphens/>
              <w:rPr>
                <w:rFonts w:asciiTheme="minorHAnsi" w:hAnsiTheme="minorHAnsi"/>
                <w:sz w:val="20"/>
                <w:szCs w:val="20"/>
              </w:rPr>
            </w:pPr>
            <w:r w:rsidRPr="00BE4152">
              <w:rPr>
                <w:rFonts w:asciiTheme="minorHAnsi" w:hAnsiTheme="minorHAnsi"/>
                <w:sz w:val="20"/>
                <w:szCs w:val="20"/>
              </w:rPr>
              <w:t>10</w:t>
            </w:r>
            <w:r>
              <w:rPr>
                <w:rFonts w:asciiTheme="minorHAnsi" w:hAnsiTheme="minorHAnsi"/>
                <w:sz w:val="20"/>
                <w:szCs w:val="20"/>
              </w:rPr>
              <w:t>.</w:t>
            </w:r>
          </w:p>
        </w:tc>
        <w:tc>
          <w:tcPr>
            <w:tcW w:w="8505" w:type="dxa"/>
          </w:tcPr>
          <w:p w14:paraId="673233BB" w14:textId="77777777" w:rsidR="00643D60" w:rsidRPr="00BE4152" w:rsidRDefault="00643D60" w:rsidP="00B15070">
            <w:pPr>
              <w:suppressAutoHyphens/>
              <w:rPr>
                <w:rFonts w:asciiTheme="minorHAnsi" w:hAnsiTheme="minorHAnsi"/>
                <w:sz w:val="20"/>
                <w:szCs w:val="20"/>
              </w:rPr>
            </w:pPr>
            <w:r>
              <w:rPr>
                <w:rFonts w:asciiTheme="minorHAnsi" w:hAnsiTheme="minorHAnsi"/>
                <w:sz w:val="20"/>
                <w:szCs w:val="20"/>
              </w:rPr>
              <w:t>J</w:t>
            </w:r>
            <w:r w:rsidRPr="00BE4152">
              <w:rPr>
                <w:rFonts w:asciiTheme="minorHAnsi" w:hAnsiTheme="minorHAnsi"/>
                <w:sz w:val="20"/>
                <w:szCs w:val="20"/>
              </w:rPr>
              <w:t>cwp występuje na obszarze chronionym, przeznaczonym do ochrony siedlisk lub gatunków, dla których utrzymanie lub poprawa stanu wód jest ważnym czynnikiem w ich ochronie.</w:t>
            </w:r>
          </w:p>
        </w:tc>
      </w:tr>
      <w:tr w:rsidR="00643D60" w:rsidRPr="00BE4152" w14:paraId="78239E2A" w14:textId="77777777" w:rsidTr="00B15070">
        <w:tc>
          <w:tcPr>
            <w:tcW w:w="562" w:type="dxa"/>
          </w:tcPr>
          <w:p w14:paraId="31A69822" w14:textId="77777777" w:rsidR="00643D60" w:rsidRPr="00BE4152" w:rsidDel="00732C7F" w:rsidRDefault="00643D60" w:rsidP="00B15070">
            <w:pPr>
              <w:suppressAutoHyphens/>
              <w:rPr>
                <w:rFonts w:asciiTheme="minorHAnsi" w:hAnsiTheme="minorHAnsi"/>
                <w:sz w:val="20"/>
                <w:szCs w:val="20"/>
              </w:rPr>
            </w:pPr>
            <w:r w:rsidRPr="00BE4152">
              <w:rPr>
                <w:rFonts w:asciiTheme="minorHAnsi" w:hAnsiTheme="minorHAnsi"/>
                <w:sz w:val="20"/>
                <w:szCs w:val="20"/>
              </w:rPr>
              <w:t>11</w:t>
            </w:r>
            <w:r>
              <w:rPr>
                <w:rFonts w:asciiTheme="minorHAnsi" w:hAnsiTheme="minorHAnsi"/>
                <w:sz w:val="20"/>
                <w:szCs w:val="20"/>
              </w:rPr>
              <w:t>.</w:t>
            </w:r>
          </w:p>
        </w:tc>
        <w:tc>
          <w:tcPr>
            <w:tcW w:w="8505" w:type="dxa"/>
          </w:tcPr>
          <w:p w14:paraId="5F270CD1" w14:textId="77777777" w:rsidR="00643D60" w:rsidRPr="00BE4152" w:rsidDel="004731B1" w:rsidRDefault="00643D60" w:rsidP="00B15070">
            <w:pPr>
              <w:suppressAutoHyphens/>
              <w:rPr>
                <w:rFonts w:asciiTheme="minorHAnsi" w:hAnsiTheme="minorHAnsi"/>
                <w:sz w:val="20"/>
                <w:szCs w:val="20"/>
              </w:rPr>
            </w:pPr>
            <w:r>
              <w:rPr>
                <w:rFonts w:asciiTheme="minorHAnsi" w:hAnsiTheme="minorHAnsi"/>
                <w:sz w:val="20"/>
                <w:szCs w:val="20"/>
              </w:rPr>
              <w:t>J</w:t>
            </w:r>
            <w:r w:rsidRPr="00BE4152">
              <w:rPr>
                <w:rFonts w:asciiTheme="minorHAnsi" w:hAnsiTheme="minorHAnsi"/>
                <w:sz w:val="20"/>
                <w:szCs w:val="20"/>
              </w:rPr>
              <w:t>cwp zaliczona do jcwp przeznaczonych do poboru wody na potrzeby zaopatrzenia ludności w wodę przeznaczoną do spożycia, jeżeli dana jcwp dostarcza średnio powyżej 100 m</w:t>
            </w:r>
            <w:r w:rsidRPr="00BE4152">
              <w:rPr>
                <w:rFonts w:asciiTheme="minorHAnsi" w:hAnsiTheme="minorHAnsi"/>
                <w:sz w:val="20"/>
                <w:szCs w:val="20"/>
                <w:vertAlign w:val="superscript"/>
              </w:rPr>
              <w:t>3</w:t>
            </w:r>
            <w:r w:rsidRPr="00BE4152">
              <w:rPr>
                <w:rFonts w:asciiTheme="minorHAnsi" w:hAnsiTheme="minorHAnsi"/>
                <w:sz w:val="20"/>
                <w:szCs w:val="20"/>
              </w:rPr>
              <w:t xml:space="preserve"> na dobę wody przeznaczonej do spożycia przez ludzi</w:t>
            </w:r>
          </w:p>
        </w:tc>
      </w:tr>
      <w:tr w:rsidR="00643D60" w:rsidRPr="00BE4152" w14:paraId="61A08EED" w14:textId="77777777" w:rsidTr="00B15070">
        <w:tc>
          <w:tcPr>
            <w:tcW w:w="562" w:type="dxa"/>
            <w:shd w:val="clear" w:color="auto" w:fill="D9D9D9" w:themeFill="background1" w:themeFillShade="D9"/>
            <w:vAlign w:val="center"/>
          </w:tcPr>
          <w:p w14:paraId="0977B536" w14:textId="77777777" w:rsidR="00643D60" w:rsidRPr="00411907" w:rsidRDefault="00643D60" w:rsidP="00B15070">
            <w:pPr>
              <w:suppressAutoHyphens/>
              <w:jc w:val="center"/>
              <w:rPr>
                <w:rFonts w:asciiTheme="minorHAnsi" w:hAnsiTheme="minorHAnsi"/>
                <w:b/>
                <w:bCs/>
                <w:sz w:val="20"/>
                <w:szCs w:val="20"/>
              </w:rPr>
            </w:pPr>
            <w:r>
              <w:rPr>
                <w:rFonts w:asciiTheme="minorHAnsi" w:hAnsiTheme="minorHAnsi"/>
                <w:b/>
                <w:bCs/>
                <w:sz w:val="20"/>
                <w:szCs w:val="20"/>
              </w:rPr>
              <w:t>Lp.</w:t>
            </w:r>
          </w:p>
        </w:tc>
        <w:tc>
          <w:tcPr>
            <w:tcW w:w="8505" w:type="dxa"/>
            <w:shd w:val="clear" w:color="auto" w:fill="D9D9D9" w:themeFill="background1" w:themeFillShade="D9"/>
            <w:vAlign w:val="center"/>
          </w:tcPr>
          <w:p w14:paraId="506F8726" w14:textId="6AAA7D67" w:rsidR="00643D60" w:rsidRPr="00411907" w:rsidRDefault="00643D60" w:rsidP="00B15070">
            <w:pPr>
              <w:suppressAutoHyphens/>
              <w:jc w:val="center"/>
              <w:rPr>
                <w:rFonts w:asciiTheme="minorHAnsi" w:hAnsiTheme="minorHAnsi"/>
                <w:b/>
                <w:bCs/>
                <w:sz w:val="20"/>
                <w:szCs w:val="20"/>
              </w:rPr>
            </w:pPr>
            <w:r>
              <w:rPr>
                <w:rFonts w:asciiTheme="minorHAnsi" w:hAnsiTheme="minorHAnsi"/>
                <w:b/>
                <w:bCs/>
                <w:sz w:val="20"/>
                <w:szCs w:val="20"/>
              </w:rPr>
              <w:t>po 31</w:t>
            </w:r>
            <w:r w:rsidRPr="00BE4152">
              <w:rPr>
                <w:rFonts w:asciiTheme="minorHAnsi" w:hAnsiTheme="minorHAnsi"/>
                <w:b/>
                <w:bCs/>
                <w:sz w:val="20"/>
                <w:szCs w:val="20"/>
              </w:rPr>
              <w:t xml:space="preserve"> </w:t>
            </w:r>
            <w:r>
              <w:rPr>
                <w:rFonts w:asciiTheme="minorHAnsi" w:hAnsiTheme="minorHAnsi"/>
                <w:b/>
                <w:bCs/>
                <w:sz w:val="20"/>
                <w:szCs w:val="20"/>
              </w:rPr>
              <w:t>grudnia</w:t>
            </w:r>
            <w:r w:rsidRPr="00BE4152">
              <w:rPr>
                <w:rFonts w:asciiTheme="minorHAnsi" w:hAnsiTheme="minorHAnsi"/>
                <w:b/>
                <w:bCs/>
                <w:sz w:val="20"/>
                <w:szCs w:val="20"/>
              </w:rPr>
              <w:t xml:space="preserve"> 202</w:t>
            </w:r>
            <w:r>
              <w:rPr>
                <w:rFonts w:asciiTheme="minorHAnsi" w:hAnsiTheme="minorHAnsi"/>
                <w:b/>
                <w:bCs/>
                <w:sz w:val="20"/>
                <w:szCs w:val="20"/>
              </w:rPr>
              <w:t>1 r. (</w:t>
            </w:r>
            <w:r w:rsidR="0065090F">
              <w:rPr>
                <w:rFonts w:asciiTheme="minorHAnsi" w:hAnsiTheme="minorHAnsi"/>
                <w:b/>
                <w:bCs/>
                <w:sz w:val="20"/>
                <w:szCs w:val="20"/>
              </w:rPr>
              <w:t>z</w:t>
            </w:r>
            <w:r>
              <w:rPr>
                <w:rFonts w:asciiTheme="minorHAnsi" w:hAnsiTheme="minorHAnsi"/>
                <w:b/>
                <w:bCs/>
                <w:sz w:val="20"/>
                <w:szCs w:val="20"/>
              </w:rPr>
              <w:t>ałącznik nr 1 do r.m.jcw)</w:t>
            </w:r>
          </w:p>
        </w:tc>
      </w:tr>
      <w:tr w:rsidR="00643D60" w:rsidRPr="00BE4152" w14:paraId="464BCFF0" w14:textId="77777777" w:rsidTr="00B15070">
        <w:tc>
          <w:tcPr>
            <w:tcW w:w="562" w:type="dxa"/>
          </w:tcPr>
          <w:p w14:paraId="6797F6EF" w14:textId="77777777" w:rsidR="00643D60" w:rsidRDefault="00643D60" w:rsidP="00B15070">
            <w:pPr>
              <w:suppressAutoHyphens/>
              <w:rPr>
                <w:rFonts w:asciiTheme="minorHAnsi" w:hAnsiTheme="minorHAnsi"/>
                <w:b/>
                <w:bCs/>
                <w:sz w:val="20"/>
                <w:szCs w:val="20"/>
              </w:rPr>
            </w:pPr>
            <w:r>
              <w:rPr>
                <w:sz w:val="20"/>
                <w:szCs w:val="20"/>
              </w:rPr>
              <w:t>1.</w:t>
            </w:r>
          </w:p>
        </w:tc>
        <w:tc>
          <w:tcPr>
            <w:tcW w:w="8505" w:type="dxa"/>
          </w:tcPr>
          <w:p w14:paraId="4BE90AB0" w14:textId="77777777" w:rsidR="00643D60" w:rsidRDefault="00643D60" w:rsidP="00B15070">
            <w:pPr>
              <w:suppressAutoHyphens/>
              <w:rPr>
                <w:rFonts w:asciiTheme="minorHAnsi" w:hAnsiTheme="minorHAnsi"/>
                <w:b/>
                <w:bCs/>
                <w:sz w:val="20"/>
                <w:szCs w:val="20"/>
              </w:rPr>
            </w:pPr>
            <w:r>
              <w:rPr>
                <w:sz w:val="20"/>
                <w:szCs w:val="20"/>
              </w:rPr>
              <w:t>J</w:t>
            </w:r>
            <w:r w:rsidRPr="00BE4152">
              <w:rPr>
                <w:sz w:val="20"/>
                <w:szCs w:val="20"/>
              </w:rPr>
              <w:t xml:space="preserve">cwp </w:t>
            </w:r>
            <w:r>
              <w:rPr>
                <w:sz w:val="20"/>
                <w:szCs w:val="20"/>
              </w:rPr>
              <w:t xml:space="preserve">(w tym jcwp </w:t>
            </w:r>
            <w:r w:rsidRPr="00FA41F2">
              <w:rPr>
                <w:sz w:val="20"/>
                <w:szCs w:val="20"/>
              </w:rPr>
              <w:t>występujące na obszarac</w:t>
            </w:r>
            <w:r>
              <w:rPr>
                <w:sz w:val="20"/>
                <w:szCs w:val="20"/>
              </w:rPr>
              <w:t>h</w:t>
            </w:r>
            <w:r w:rsidRPr="00FA41F2">
              <w:rPr>
                <w:sz w:val="20"/>
                <w:szCs w:val="20"/>
              </w:rPr>
              <w:t xml:space="preserve"> chronionych uwzględnionych w wykazach obszarów chronionych</w:t>
            </w:r>
            <w:r>
              <w:rPr>
                <w:sz w:val="20"/>
                <w:szCs w:val="20"/>
              </w:rPr>
              <w:t xml:space="preserve">) </w:t>
            </w:r>
            <w:r w:rsidRPr="00BE4152">
              <w:rPr>
                <w:sz w:val="20"/>
                <w:szCs w:val="20"/>
              </w:rPr>
              <w:t>w liczbie wystarczającej do dokonania oceny ogólnego stanu wód powierzchniowych na obszarach dorzeczy lub w wyznaczonych zlewniach, reprezentatywnej dla występujących oddziaływań antropogenicznych oraz występujących typów wód powierzchniowych</w:t>
            </w:r>
          </w:p>
        </w:tc>
      </w:tr>
      <w:tr w:rsidR="00643D60" w:rsidRPr="00BE4152" w14:paraId="69477E73" w14:textId="77777777" w:rsidTr="00B15070">
        <w:tc>
          <w:tcPr>
            <w:tcW w:w="562" w:type="dxa"/>
          </w:tcPr>
          <w:p w14:paraId="65750765" w14:textId="77777777" w:rsidR="00643D60" w:rsidRDefault="00643D60" w:rsidP="00B15070">
            <w:pPr>
              <w:suppressAutoHyphens/>
              <w:rPr>
                <w:sz w:val="20"/>
                <w:szCs w:val="20"/>
              </w:rPr>
            </w:pPr>
            <w:r>
              <w:rPr>
                <w:sz w:val="20"/>
                <w:szCs w:val="20"/>
              </w:rPr>
              <w:t>2.</w:t>
            </w:r>
          </w:p>
        </w:tc>
        <w:tc>
          <w:tcPr>
            <w:tcW w:w="8505" w:type="dxa"/>
          </w:tcPr>
          <w:p w14:paraId="55A9AC65" w14:textId="77777777" w:rsidR="00643D60" w:rsidRDefault="00643D60" w:rsidP="00B15070">
            <w:pPr>
              <w:suppressAutoHyphens/>
              <w:rPr>
                <w:sz w:val="20"/>
                <w:szCs w:val="20"/>
              </w:rPr>
            </w:pPr>
            <w:r>
              <w:rPr>
                <w:sz w:val="20"/>
                <w:szCs w:val="20"/>
              </w:rPr>
              <w:t>J</w:t>
            </w:r>
            <w:r w:rsidRPr="00BE4152">
              <w:rPr>
                <w:sz w:val="20"/>
                <w:szCs w:val="20"/>
              </w:rPr>
              <w:t>cwp zamykające dorzecza lub regiony wodne</w:t>
            </w:r>
          </w:p>
        </w:tc>
      </w:tr>
      <w:tr w:rsidR="00643D60" w:rsidRPr="00BE4152" w14:paraId="77619646" w14:textId="77777777" w:rsidTr="00B15070">
        <w:tc>
          <w:tcPr>
            <w:tcW w:w="562" w:type="dxa"/>
          </w:tcPr>
          <w:p w14:paraId="76CAE0DC" w14:textId="77777777" w:rsidR="00643D60" w:rsidRDefault="00643D60" w:rsidP="00B15070">
            <w:pPr>
              <w:suppressAutoHyphens/>
              <w:rPr>
                <w:sz w:val="20"/>
                <w:szCs w:val="20"/>
              </w:rPr>
            </w:pPr>
            <w:r>
              <w:rPr>
                <w:sz w:val="20"/>
                <w:szCs w:val="20"/>
              </w:rPr>
              <w:t>3.</w:t>
            </w:r>
          </w:p>
        </w:tc>
        <w:tc>
          <w:tcPr>
            <w:tcW w:w="8505" w:type="dxa"/>
          </w:tcPr>
          <w:p w14:paraId="60214504" w14:textId="77777777" w:rsidR="00643D60" w:rsidRDefault="00643D60" w:rsidP="00B15070">
            <w:pPr>
              <w:suppressAutoHyphens/>
              <w:rPr>
                <w:sz w:val="20"/>
                <w:szCs w:val="20"/>
              </w:rPr>
            </w:pPr>
            <w:r>
              <w:rPr>
                <w:sz w:val="20"/>
                <w:szCs w:val="20"/>
              </w:rPr>
              <w:t>J</w:t>
            </w:r>
            <w:r w:rsidRPr="00BE4152">
              <w:rPr>
                <w:sz w:val="20"/>
                <w:szCs w:val="20"/>
              </w:rPr>
              <w:t>cwp, których ciekiem głównym jest rzeka lub jej fragment, o powierzchni zlewni większej niż 2500 km</w:t>
            </w:r>
            <w:r w:rsidRPr="00BE4152">
              <w:rPr>
                <w:sz w:val="20"/>
                <w:szCs w:val="20"/>
                <w:vertAlign w:val="superscript"/>
              </w:rPr>
              <w:t>2</w:t>
            </w:r>
            <w:r w:rsidRPr="00BE4152">
              <w:rPr>
                <w:sz w:val="20"/>
                <w:szCs w:val="20"/>
              </w:rPr>
              <w:t xml:space="preserve">, oraz inne cieki wyznaczone jako naturalne, </w:t>
            </w:r>
            <w:r w:rsidRPr="00140B23">
              <w:rPr>
                <w:rFonts w:asciiTheme="minorHAnsi" w:hAnsiTheme="minorHAnsi"/>
                <w:sz w:val="20"/>
                <w:szCs w:val="20"/>
              </w:rPr>
              <w:t>SZCW</w:t>
            </w:r>
            <w:r w:rsidRPr="00BE4152">
              <w:rPr>
                <w:sz w:val="20"/>
                <w:szCs w:val="20"/>
              </w:rPr>
              <w:t xml:space="preserve"> lub </w:t>
            </w:r>
            <w:r>
              <w:rPr>
                <w:sz w:val="20"/>
                <w:szCs w:val="20"/>
              </w:rPr>
              <w:t>SCW,</w:t>
            </w:r>
            <w:r w:rsidRPr="00BE4152">
              <w:rPr>
                <w:sz w:val="20"/>
                <w:szCs w:val="20"/>
              </w:rPr>
              <w:t xml:space="preserve"> charakteryzujące się znaczną wielkością przepływu w ramach obszaru dorzecza jako całości</w:t>
            </w:r>
          </w:p>
        </w:tc>
      </w:tr>
      <w:tr w:rsidR="00643D60" w:rsidRPr="00BE4152" w14:paraId="7FD1598B" w14:textId="77777777" w:rsidTr="00B15070">
        <w:tc>
          <w:tcPr>
            <w:tcW w:w="562" w:type="dxa"/>
          </w:tcPr>
          <w:p w14:paraId="75CEE3E0" w14:textId="77777777" w:rsidR="00643D60" w:rsidRDefault="00643D60" w:rsidP="00B15070">
            <w:pPr>
              <w:suppressAutoHyphens/>
              <w:rPr>
                <w:sz w:val="20"/>
                <w:szCs w:val="20"/>
              </w:rPr>
            </w:pPr>
            <w:r>
              <w:rPr>
                <w:sz w:val="20"/>
                <w:szCs w:val="20"/>
              </w:rPr>
              <w:t>4.</w:t>
            </w:r>
          </w:p>
        </w:tc>
        <w:tc>
          <w:tcPr>
            <w:tcW w:w="8505" w:type="dxa"/>
          </w:tcPr>
          <w:p w14:paraId="1D0910AC" w14:textId="77777777" w:rsidR="00643D60" w:rsidRDefault="00643D60" w:rsidP="00B15070">
            <w:pPr>
              <w:suppressAutoHyphens/>
              <w:rPr>
                <w:sz w:val="20"/>
                <w:szCs w:val="20"/>
              </w:rPr>
            </w:pPr>
            <w:r>
              <w:rPr>
                <w:sz w:val="20"/>
                <w:szCs w:val="20"/>
              </w:rPr>
              <w:t>J</w:t>
            </w:r>
            <w:r w:rsidRPr="00BE4152">
              <w:rPr>
                <w:sz w:val="20"/>
                <w:szCs w:val="20"/>
              </w:rPr>
              <w:t xml:space="preserve">eziora oraz inne zbiorniki wodne wyznaczone jako naturalne jcwp, </w:t>
            </w:r>
            <w:r w:rsidRPr="00140B23">
              <w:rPr>
                <w:rFonts w:asciiTheme="minorHAnsi" w:hAnsiTheme="minorHAnsi"/>
                <w:sz w:val="20"/>
                <w:szCs w:val="20"/>
              </w:rPr>
              <w:t>SZCW</w:t>
            </w:r>
            <w:r w:rsidRPr="00BE4152">
              <w:rPr>
                <w:sz w:val="20"/>
                <w:szCs w:val="20"/>
              </w:rPr>
              <w:t xml:space="preserve"> lub </w:t>
            </w:r>
            <w:r>
              <w:rPr>
                <w:sz w:val="20"/>
                <w:szCs w:val="20"/>
              </w:rPr>
              <w:t>SCW</w:t>
            </w:r>
            <w:r w:rsidRPr="00BE4152">
              <w:rPr>
                <w:sz w:val="20"/>
                <w:szCs w:val="20"/>
              </w:rPr>
              <w:t xml:space="preserve">, o powierzchni przekraczającej 50 ha, a także zbiorniki zaporowe wyznaczone jako </w:t>
            </w:r>
            <w:r w:rsidRPr="00140B23">
              <w:rPr>
                <w:rFonts w:asciiTheme="minorHAnsi" w:hAnsiTheme="minorHAnsi"/>
                <w:sz w:val="20"/>
                <w:szCs w:val="20"/>
              </w:rPr>
              <w:t>SZCW</w:t>
            </w:r>
            <w:r w:rsidRPr="00BE4152">
              <w:rPr>
                <w:sz w:val="20"/>
                <w:szCs w:val="20"/>
              </w:rPr>
              <w:t>, których objętość przekracza 10 mln m</w:t>
            </w:r>
            <w:r w:rsidRPr="00BE4152">
              <w:rPr>
                <w:sz w:val="20"/>
                <w:szCs w:val="20"/>
                <w:vertAlign w:val="superscript"/>
              </w:rPr>
              <w:t>3</w:t>
            </w:r>
          </w:p>
        </w:tc>
      </w:tr>
      <w:tr w:rsidR="00643D60" w:rsidRPr="00BE4152" w14:paraId="02D4C753" w14:textId="77777777" w:rsidTr="00B15070">
        <w:tc>
          <w:tcPr>
            <w:tcW w:w="562" w:type="dxa"/>
          </w:tcPr>
          <w:p w14:paraId="1D651924" w14:textId="77777777" w:rsidR="00643D60" w:rsidRDefault="00643D60" w:rsidP="00B15070">
            <w:pPr>
              <w:suppressAutoHyphens/>
              <w:rPr>
                <w:sz w:val="20"/>
                <w:szCs w:val="20"/>
              </w:rPr>
            </w:pPr>
            <w:r>
              <w:rPr>
                <w:sz w:val="20"/>
                <w:szCs w:val="20"/>
              </w:rPr>
              <w:t>5.</w:t>
            </w:r>
          </w:p>
        </w:tc>
        <w:tc>
          <w:tcPr>
            <w:tcW w:w="8505" w:type="dxa"/>
          </w:tcPr>
          <w:p w14:paraId="4A82466E" w14:textId="77777777" w:rsidR="00643D60" w:rsidRDefault="00643D60" w:rsidP="00B15070">
            <w:pPr>
              <w:suppressAutoHyphens/>
              <w:rPr>
                <w:sz w:val="20"/>
                <w:szCs w:val="20"/>
              </w:rPr>
            </w:pPr>
            <w:r>
              <w:rPr>
                <w:sz w:val="20"/>
                <w:szCs w:val="20"/>
              </w:rPr>
              <w:t>Z</w:t>
            </w:r>
            <w:r w:rsidRPr="00BE4152">
              <w:rPr>
                <w:sz w:val="20"/>
                <w:szCs w:val="20"/>
              </w:rPr>
              <w:t>naczące jcwp przekraczające granicę państwa lub zlokalizowane na granicy państwa</w:t>
            </w:r>
          </w:p>
        </w:tc>
      </w:tr>
      <w:tr w:rsidR="00643D60" w:rsidRPr="00BE4152" w14:paraId="36470723" w14:textId="77777777" w:rsidTr="00B15070">
        <w:tc>
          <w:tcPr>
            <w:tcW w:w="562" w:type="dxa"/>
          </w:tcPr>
          <w:p w14:paraId="37EF7B11" w14:textId="77777777" w:rsidR="00643D60" w:rsidRDefault="00643D60" w:rsidP="00B15070">
            <w:pPr>
              <w:suppressAutoHyphens/>
              <w:rPr>
                <w:sz w:val="20"/>
                <w:szCs w:val="20"/>
              </w:rPr>
            </w:pPr>
            <w:r>
              <w:rPr>
                <w:sz w:val="20"/>
                <w:szCs w:val="20"/>
              </w:rPr>
              <w:t>6.</w:t>
            </w:r>
          </w:p>
        </w:tc>
        <w:tc>
          <w:tcPr>
            <w:tcW w:w="8505" w:type="dxa"/>
          </w:tcPr>
          <w:p w14:paraId="795112B1" w14:textId="77777777" w:rsidR="00643D60" w:rsidRDefault="00643D60" w:rsidP="00B15070">
            <w:pPr>
              <w:suppressAutoHyphens/>
              <w:rPr>
                <w:sz w:val="20"/>
                <w:szCs w:val="20"/>
              </w:rPr>
            </w:pPr>
            <w:r>
              <w:rPr>
                <w:sz w:val="20"/>
                <w:szCs w:val="20"/>
              </w:rPr>
              <w:t>J</w:t>
            </w:r>
            <w:r w:rsidRPr="00BE4152">
              <w:rPr>
                <w:sz w:val="20"/>
                <w:szCs w:val="20"/>
              </w:rPr>
              <w:t>cwp odprowadzające zanieczyszczenia poza granicę państwa lub do Morza Bałtyckiego, z których pozyskuje się wyniki pomiarów lub badań na potrzeby oszacowania odprowadzanego ładunku zanieczyszczeń</w:t>
            </w:r>
          </w:p>
        </w:tc>
      </w:tr>
      <w:tr w:rsidR="00643D60" w:rsidRPr="00BE4152" w14:paraId="5112008E" w14:textId="77777777" w:rsidTr="00B15070">
        <w:tc>
          <w:tcPr>
            <w:tcW w:w="562" w:type="dxa"/>
          </w:tcPr>
          <w:p w14:paraId="5DE9A6D9" w14:textId="77777777" w:rsidR="00643D60" w:rsidRDefault="00643D60" w:rsidP="00B15070">
            <w:pPr>
              <w:suppressAutoHyphens/>
              <w:rPr>
                <w:sz w:val="20"/>
                <w:szCs w:val="20"/>
              </w:rPr>
            </w:pPr>
            <w:r>
              <w:rPr>
                <w:sz w:val="20"/>
                <w:szCs w:val="20"/>
              </w:rPr>
              <w:t>7.</w:t>
            </w:r>
          </w:p>
        </w:tc>
        <w:tc>
          <w:tcPr>
            <w:tcW w:w="8505" w:type="dxa"/>
          </w:tcPr>
          <w:p w14:paraId="67B2CA91" w14:textId="77777777" w:rsidR="00643D60" w:rsidRDefault="00643D60" w:rsidP="00B15070">
            <w:pPr>
              <w:suppressAutoHyphens/>
              <w:rPr>
                <w:sz w:val="20"/>
                <w:szCs w:val="20"/>
              </w:rPr>
            </w:pPr>
            <w:r>
              <w:rPr>
                <w:sz w:val="20"/>
                <w:szCs w:val="20"/>
              </w:rPr>
              <w:t>J</w:t>
            </w:r>
            <w:r w:rsidRPr="00BE4152">
              <w:rPr>
                <w:sz w:val="20"/>
                <w:szCs w:val="20"/>
              </w:rPr>
              <w:t>cwp, na których zostały wyznaczone reperowe ppk, w tym punkty wykorzystywane na potrzeby wymiany informacji między państwami członkowskimi Unii Europejskiej</w:t>
            </w:r>
          </w:p>
        </w:tc>
      </w:tr>
    </w:tbl>
    <w:p w14:paraId="3AAC264C" w14:textId="4F7DA93A" w:rsidR="00643D60" w:rsidRPr="00BE4152" w:rsidRDefault="00643D60" w:rsidP="00442AB7">
      <w:pPr>
        <w:pStyle w:val="rdo0"/>
      </w:pPr>
      <w:r w:rsidRPr="00BE4152">
        <w:t xml:space="preserve">Źródło: opracowanie </w:t>
      </w:r>
      <w:r w:rsidR="005B3051">
        <w:t xml:space="preserve">własne </w:t>
      </w:r>
      <w:r w:rsidRPr="00BE4152">
        <w:t xml:space="preserve"> na podstawie r.m.jcw</w:t>
      </w:r>
    </w:p>
    <w:p w14:paraId="7945FBDC" w14:textId="27E4D7DC" w:rsidR="00247521" w:rsidRDefault="00643D60" w:rsidP="00643D60">
      <w:pPr>
        <w:suppressAutoHyphens/>
        <w:rPr>
          <w:rFonts w:asciiTheme="minorHAnsi" w:hAnsiTheme="minorHAnsi" w:cstheme="minorHAnsi"/>
        </w:rPr>
      </w:pPr>
      <w:r w:rsidRPr="00BE4152">
        <w:rPr>
          <w:rFonts w:asciiTheme="minorHAnsi" w:hAnsiTheme="minorHAnsi" w:cstheme="minorHAnsi"/>
        </w:rPr>
        <w:t>Monitoring diagnostyczny jest prowadzony w reprezentatywnych ppk monitorowania stanu ekologicznego lub potencjału ekologicznego i stanu chemicznego jcwp w cyklach rocznych z</w:t>
      </w:r>
      <w:r w:rsidR="000D04FF">
        <w:rPr>
          <w:rFonts w:asciiTheme="minorHAnsi" w:hAnsiTheme="minorHAnsi" w:cstheme="minorHAnsi"/>
        </w:rPr>
        <w:t> </w:t>
      </w:r>
      <w:r w:rsidRPr="00BE4152">
        <w:rPr>
          <w:rFonts w:asciiTheme="minorHAnsi" w:hAnsiTheme="minorHAnsi" w:cstheme="minorHAnsi"/>
        </w:rPr>
        <w:t xml:space="preserve">częstotliwością nie mniejszą niż co 6 lat, co najmniej raz w okresie obowiązywania danego planu gospodarowania wodami na obszarze dorzecza. </w:t>
      </w:r>
    </w:p>
    <w:p w14:paraId="18C9BA6E" w14:textId="77777777" w:rsidR="00247521" w:rsidRDefault="00247521">
      <w:pPr>
        <w:spacing w:before="0" w:after="0"/>
        <w:jc w:val="left"/>
        <w:rPr>
          <w:rFonts w:asciiTheme="minorHAnsi" w:hAnsiTheme="minorHAnsi" w:cstheme="minorHAnsi"/>
        </w:rPr>
      </w:pPr>
      <w:r>
        <w:rPr>
          <w:rFonts w:asciiTheme="minorHAnsi" w:hAnsiTheme="minorHAnsi" w:cstheme="minorHAnsi"/>
        </w:rPr>
        <w:br w:type="page"/>
      </w:r>
    </w:p>
    <w:p w14:paraId="0CDC275A" w14:textId="77777777" w:rsidR="00643D60" w:rsidRPr="00BE4152" w:rsidRDefault="00643D60" w:rsidP="00B50FFD">
      <w:pPr>
        <w:pStyle w:val="Nagwek4"/>
      </w:pPr>
      <w:r w:rsidRPr="00BE4152">
        <w:t>Monitoring operacyjny</w:t>
      </w:r>
    </w:p>
    <w:p w14:paraId="74DE680E" w14:textId="77777777" w:rsidR="00643D60" w:rsidRPr="00BE4152" w:rsidRDefault="00643D60" w:rsidP="00643D60">
      <w:pPr>
        <w:suppressAutoHyphens/>
      </w:pPr>
      <w:r w:rsidRPr="00BE4152">
        <w:t xml:space="preserve">Monitoring operacyjny jcwp prowadzi się w celu: </w:t>
      </w:r>
    </w:p>
    <w:p w14:paraId="134AE26A" w14:textId="4B7491A5" w:rsidR="00643D60" w:rsidRPr="00F11051" w:rsidRDefault="00643D60" w:rsidP="00AA3506">
      <w:pPr>
        <w:pStyle w:val="Numerowanie"/>
        <w:numPr>
          <w:ilvl w:val="0"/>
          <w:numId w:val="37"/>
        </w:numPr>
      </w:pPr>
      <w:r w:rsidRPr="00F11051">
        <w:t>ustalenia stanu jcwp, które uznano za zagrożone niespełnieniem określonych dla nich celów środowiskowych;</w:t>
      </w:r>
    </w:p>
    <w:p w14:paraId="3ADCC3C4" w14:textId="62FE4D3C" w:rsidR="00643D60" w:rsidRPr="00F11051" w:rsidRDefault="00643D60" w:rsidP="00F06393">
      <w:pPr>
        <w:pStyle w:val="Numerowanie"/>
      </w:pPr>
      <w:r w:rsidRPr="00F11051">
        <w:t>dokonania oceny zmian stanu jcwp uznanych za zagrożone niespełnieniem celów środowiskowych, wynikających z działań realizowanych w ramach programów mających na celu poprawę jakości jcwp;</w:t>
      </w:r>
    </w:p>
    <w:p w14:paraId="424F0614" w14:textId="77777777" w:rsidR="00643D60" w:rsidRPr="00F11051" w:rsidRDefault="00643D60" w:rsidP="00F06393">
      <w:pPr>
        <w:pStyle w:val="Numerowanie"/>
      </w:pPr>
      <w:r w:rsidRPr="00F11051">
        <w:t>dokonania oceny zmian stanu jcwp wynikających z działań mających na celu zmniejszenie zanieczyszczenia wód azotanami pochodzącymi ze źródeł rolniczych.</w:t>
      </w:r>
    </w:p>
    <w:p w14:paraId="6CA8F8DE" w14:textId="12EB317F" w:rsidR="00643D60" w:rsidRDefault="00643D60" w:rsidP="00643D60">
      <w:pPr>
        <w:suppressAutoHyphens/>
      </w:pPr>
      <w:r w:rsidRPr="00BE4152">
        <w:t>Rozporządzenie r.m.jcw</w:t>
      </w:r>
      <w:r w:rsidRPr="00BE4152" w:rsidDel="00E077D2">
        <w:t xml:space="preserve"> </w:t>
      </w:r>
      <w:r w:rsidRPr="00BE4152">
        <w:t>określa kryteri</w:t>
      </w:r>
      <w:r>
        <w:t>a</w:t>
      </w:r>
      <w:r w:rsidRPr="00BE4152">
        <w:t xml:space="preserve"> wyboru jcwp do monitorowania w ramach </w:t>
      </w:r>
      <w:r>
        <w:t xml:space="preserve">sieci </w:t>
      </w:r>
      <w:r w:rsidRPr="00BE4152">
        <w:t xml:space="preserve">monitoringu </w:t>
      </w:r>
      <w:r>
        <w:t>operacyjnego</w:t>
      </w:r>
      <w:r w:rsidRPr="00BE4152">
        <w:t xml:space="preserve">. </w:t>
      </w:r>
      <w:r>
        <w:t xml:space="preserve">Załącznik nr 8 do r.m.jcw przedstawia kryteria </w:t>
      </w:r>
      <w:r w:rsidRPr="00BE4152">
        <w:t xml:space="preserve">stosowane </w:t>
      </w:r>
      <w:r>
        <w:t xml:space="preserve">obecnie aż </w:t>
      </w:r>
      <w:r w:rsidRPr="00BE4152">
        <w:t>do dnia 31 grudnia 2021 r.</w:t>
      </w:r>
      <w:r>
        <w:t>,</w:t>
      </w:r>
      <w:r w:rsidRPr="00BE4152">
        <w:t xml:space="preserve"> </w:t>
      </w:r>
      <w:r>
        <w:t>natomiast załącznik nr 1 do r.m.jcw</w:t>
      </w:r>
      <w:r w:rsidRPr="00BE4152">
        <w:t xml:space="preserve"> </w:t>
      </w:r>
      <w:r w:rsidR="00442AB7">
        <w:t>-</w:t>
      </w:r>
      <w:r w:rsidRPr="00BE4152">
        <w:t xml:space="preserve"> </w:t>
      </w:r>
      <w:r>
        <w:t xml:space="preserve">kryteria mające zastosowanie po 31 grudnia 2021 r. </w:t>
      </w:r>
      <w:r w:rsidR="00247521">
        <w:t>T</w:t>
      </w:r>
      <w:r w:rsidRPr="00BE4152">
        <w:t xml:space="preserve">abela </w:t>
      </w:r>
      <w:r w:rsidR="00247521">
        <w:t xml:space="preserve">5-2 </w:t>
      </w:r>
      <w:r w:rsidRPr="00BE4152">
        <w:t xml:space="preserve">zawiera zestawienie obydwu </w:t>
      </w:r>
      <w:r>
        <w:t>określonych</w:t>
      </w:r>
      <w:r w:rsidRPr="00BE4152">
        <w:t xml:space="preserve"> w r.m.jcw kryteriów. </w:t>
      </w:r>
    </w:p>
    <w:p w14:paraId="6CAC78D8" w14:textId="4176874D" w:rsidR="00643D60" w:rsidRPr="00BE4152" w:rsidRDefault="00643D60" w:rsidP="006802BB">
      <w:pPr>
        <w:pStyle w:val="Tabela"/>
      </w:pPr>
      <w:bookmarkStart w:id="62" w:name="_Toc68726954"/>
      <w:r w:rsidRPr="00BE4152">
        <w:t xml:space="preserve">Tabela </w:t>
      </w:r>
      <w:fldSimple w:instr=" STYLEREF 1 \s ">
        <w:r w:rsidR="007B4050">
          <w:rPr>
            <w:noProof/>
          </w:rPr>
          <w:t>5</w:t>
        </w:r>
      </w:fldSimple>
      <w:r w:rsidR="007B4050">
        <w:noBreakHyphen/>
      </w:r>
      <w:fldSimple w:instr=" SEQ Tabela \* ARABIC \s 1 ">
        <w:r w:rsidR="007B4050">
          <w:rPr>
            <w:noProof/>
          </w:rPr>
          <w:t>2</w:t>
        </w:r>
      </w:fldSimple>
      <w:r w:rsidRPr="00BE4152">
        <w:tab/>
        <w:t>Kryteria wyboru jcwp do monitorowania w ramach monitoringu operacyjnego</w:t>
      </w:r>
      <w:bookmarkEnd w:id="62"/>
    </w:p>
    <w:tbl>
      <w:tblPr>
        <w:tblStyle w:val="Tabela-Siatka"/>
        <w:tblW w:w="9209" w:type="dxa"/>
        <w:tblLook w:val="04A0" w:firstRow="1" w:lastRow="0" w:firstColumn="1" w:lastColumn="0" w:noHBand="0" w:noVBand="1"/>
      </w:tblPr>
      <w:tblGrid>
        <w:gridCol w:w="536"/>
        <w:gridCol w:w="8673"/>
      </w:tblGrid>
      <w:tr w:rsidR="00643D60" w:rsidRPr="00BE4152" w14:paraId="65AF20C8" w14:textId="77777777" w:rsidTr="00B15070">
        <w:trPr>
          <w:tblHeader/>
        </w:trPr>
        <w:tc>
          <w:tcPr>
            <w:tcW w:w="9209" w:type="dxa"/>
            <w:gridSpan w:val="2"/>
            <w:shd w:val="clear" w:color="auto" w:fill="BFBFBF"/>
            <w:vAlign w:val="center"/>
          </w:tcPr>
          <w:p w14:paraId="2FA4F09A"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Kryteria wyboru jcwp do monitoringu operacyjnego zgodnie z r.m.jcw</w:t>
            </w:r>
          </w:p>
        </w:tc>
      </w:tr>
      <w:tr w:rsidR="00643D60" w:rsidRPr="00BE4152" w14:paraId="1E7560A4" w14:textId="77777777" w:rsidTr="00B15070">
        <w:tc>
          <w:tcPr>
            <w:tcW w:w="536" w:type="dxa"/>
            <w:shd w:val="clear" w:color="auto" w:fill="D9D9D9" w:themeFill="background1" w:themeFillShade="D9"/>
            <w:vAlign w:val="center"/>
          </w:tcPr>
          <w:p w14:paraId="0A897486"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Lp.</w:t>
            </w:r>
          </w:p>
        </w:tc>
        <w:tc>
          <w:tcPr>
            <w:tcW w:w="8673" w:type="dxa"/>
            <w:shd w:val="clear" w:color="auto" w:fill="D9D9D9" w:themeFill="background1" w:themeFillShade="D9"/>
          </w:tcPr>
          <w:p w14:paraId="5647E051" w14:textId="7338FCC3" w:rsidR="00643D60" w:rsidRPr="00BE4152" w:rsidRDefault="00643D60" w:rsidP="00B15070">
            <w:pPr>
              <w:suppressAutoHyphens/>
              <w:jc w:val="center"/>
              <w:rPr>
                <w:rFonts w:asciiTheme="minorHAnsi" w:hAnsiTheme="minorHAnsi"/>
                <w:b/>
                <w:bCs/>
                <w:sz w:val="20"/>
                <w:szCs w:val="20"/>
              </w:rPr>
            </w:pPr>
            <w:r>
              <w:rPr>
                <w:rFonts w:asciiTheme="minorHAnsi" w:hAnsiTheme="minorHAnsi"/>
                <w:b/>
                <w:bCs/>
                <w:sz w:val="20"/>
                <w:szCs w:val="20"/>
              </w:rPr>
              <w:t>d</w:t>
            </w:r>
            <w:r w:rsidRPr="00BE4152">
              <w:rPr>
                <w:rFonts w:asciiTheme="minorHAnsi" w:hAnsiTheme="minorHAnsi"/>
                <w:b/>
                <w:bCs/>
                <w:sz w:val="20"/>
                <w:szCs w:val="20"/>
              </w:rPr>
              <w:t>o 31 grudnia 2021</w:t>
            </w:r>
            <w:r>
              <w:rPr>
                <w:rFonts w:asciiTheme="minorHAnsi" w:hAnsiTheme="minorHAnsi"/>
                <w:b/>
                <w:bCs/>
                <w:sz w:val="20"/>
                <w:szCs w:val="20"/>
              </w:rPr>
              <w:t xml:space="preserve"> r. (</w:t>
            </w:r>
            <w:r w:rsidR="000853A4">
              <w:rPr>
                <w:rFonts w:asciiTheme="minorHAnsi" w:hAnsiTheme="minorHAnsi"/>
                <w:b/>
                <w:bCs/>
                <w:sz w:val="20"/>
                <w:szCs w:val="20"/>
              </w:rPr>
              <w:t>z</w:t>
            </w:r>
            <w:r>
              <w:rPr>
                <w:rFonts w:asciiTheme="minorHAnsi" w:hAnsiTheme="minorHAnsi"/>
                <w:b/>
                <w:bCs/>
                <w:sz w:val="20"/>
                <w:szCs w:val="20"/>
              </w:rPr>
              <w:t>ałącznik nr 8 do r.m.jcw)</w:t>
            </w:r>
          </w:p>
        </w:tc>
      </w:tr>
      <w:tr w:rsidR="00643D60" w:rsidRPr="00BE4152" w14:paraId="42CB470E" w14:textId="77777777" w:rsidTr="00B15070">
        <w:tc>
          <w:tcPr>
            <w:tcW w:w="536" w:type="dxa"/>
          </w:tcPr>
          <w:p w14:paraId="1809258F" w14:textId="77777777" w:rsidR="00643D60" w:rsidRPr="00BE4152" w:rsidRDefault="00643D60" w:rsidP="00B15070">
            <w:pPr>
              <w:suppressAutoHyphens/>
              <w:spacing w:after="0"/>
              <w:rPr>
                <w:sz w:val="20"/>
                <w:szCs w:val="20"/>
              </w:rPr>
            </w:pPr>
            <w:r w:rsidRPr="00BE4152">
              <w:rPr>
                <w:sz w:val="20"/>
                <w:szCs w:val="20"/>
              </w:rPr>
              <w:t>1</w:t>
            </w:r>
            <w:r>
              <w:rPr>
                <w:sz w:val="20"/>
                <w:szCs w:val="20"/>
              </w:rPr>
              <w:t>.</w:t>
            </w:r>
          </w:p>
        </w:tc>
        <w:tc>
          <w:tcPr>
            <w:tcW w:w="8673" w:type="dxa"/>
          </w:tcPr>
          <w:p w14:paraId="31F29858"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cwp została uznana na podstawie oceny wpływu znaczących oddziaływań na stan wód powierzchniowych lub monitoringu diagnostycznego za zagrożoną niespełnieniem określonych dla niej celów środowiskowych</w:t>
            </w:r>
          </w:p>
        </w:tc>
      </w:tr>
      <w:tr w:rsidR="00643D60" w:rsidRPr="00BE4152" w14:paraId="480A2AD6" w14:textId="77777777" w:rsidTr="00B15070">
        <w:tc>
          <w:tcPr>
            <w:tcW w:w="536" w:type="dxa"/>
          </w:tcPr>
          <w:p w14:paraId="0B71AAD2" w14:textId="77777777" w:rsidR="00643D60" w:rsidRPr="00BE4152" w:rsidRDefault="00643D60" w:rsidP="00B15070">
            <w:pPr>
              <w:suppressAutoHyphens/>
              <w:spacing w:after="0"/>
              <w:rPr>
                <w:sz w:val="20"/>
                <w:szCs w:val="20"/>
              </w:rPr>
            </w:pPr>
            <w:r w:rsidRPr="00BE4152">
              <w:rPr>
                <w:sz w:val="20"/>
                <w:szCs w:val="20"/>
              </w:rPr>
              <w:t>2</w:t>
            </w:r>
            <w:r>
              <w:rPr>
                <w:sz w:val="20"/>
                <w:szCs w:val="20"/>
              </w:rPr>
              <w:t>.</w:t>
            </w:r>
          </w:p>
        </w:tc>
        <w:tc>
          <w:tcPr>
            <w:tcW w:w="8673" w:type="dxa"/>
          </w:tcPr>
          <w:p w14:paraId="22B2FFC0" w14:textId="77777777" w:rsidR="00643D60" w:rsidRPr="00BE4152" w:rsidRDefault="00643D60" w:rsidP="00B15070">
            <w:pPr>
              <w:suppressAutoHyphens/>
              <w:spacing w:after="0"/>
              <w:rPr>
                <w:sz w:val="20"/>
                <w:szCs w:val="20"/>
              </w:rPr>
            </w:pPr>
            <w:r>
              <w:rPr>
                <w:sz w:val="20"/>
                <w:szCs w:val="20"/>
              </w:rPr>
              <w:t>J</w:t>
            </w:r>
            <w:r w:rsidRPr="00BE4152">
              <w:rPr>
                <w:sz w:val="20"/>
                <w:szCs w:val="20"/>
              </w:rPr>
              <w:t>cwp jest zagrożona znaczącym oddziaływaniem ze strony źródła punktowego, liniowego lub obszarowego</w:t>
            </w:r>
          </w:p>
        </w:tc>
      </w:tr>
      <w:tr w:rsidR="00643D60" w:rsidRPr="00BE4152" w14:paraId="235C3046" w14:textId="77777777" w:rsidTr="00B15070">
        <w:tc>
          <w:tcPr>
            <w:tcW w:w="536" w:type="dxa"/>
          </w:tcPr>
          <w:p w14:paraId="491A3586" w14:textId="77777777" w:rsidR="00643D60" w:rsidRPr="00BE4152" w:rsidRDefault="00643D60" w:rsidP="00B15070">
            <w:pPr>
              <w:suppressAutoHyphens/>
              <w:spacing w:after="0"/>
              <w:rPr>
                <w:sz w:val="20"/>
                <w:szCs w:val="20"/>
              </w:rPr>
            </w:pPr>
            <w:r w:rsidRPr="00BE4152">
              <w:rPr>
                <w:sz w:val="20"/>
                <w:szCs w:val="20"/>
              </w:rPr>
              <w:t>3</w:t>
            </w:r>
            <w:r>
              <w:rPr>
                <w:sz w:val="20"/>
                <w:szCs w:val="20"/>
              </w:rPr>
              <w:t>.</w:t>
            </w:r>
          </w:p>
        </w:tc>
        <w:tc>
          <w:tcPr>
            <w:tcW w:w="8673" w:type="dxa"/>
          </w:tcPr>
          <w:p w14:paraId="0D843118" w14:textId="77777777" w:rsidR="00643D60" w:rsidRPr="00BE4152" w:rsidRDefault="00643D60" w:rsidP="00B15070">
            <w:pPr>
              <w:suppressAutoHyphens/>
              <w:spacing w:after="0"/>
              <w:rPr>
                <w:sz w:val="20"/>
                <w:szCs w:val="20"/>
              </w:rPr>
            </w:pPr>
            <w:r>
              <w:rPr>
                <w:sz w:val="20"/>
                <w:szCs w:val="20"/>
              </w:rPr>
              <w:t>W</w:t>
            </w:r>
            <w:r w:rsidRPr="00BE4152">
              <w:rPr>
                <w:sz w:val="20"/>
                <w:szCs w:val="20"/>
              </w:rPr>
              <w:t xml:space="preserve"> jcwp występują zagrożenia mogące mieć wpływ na hydromorfologię</w:t>
            </w:r>
          </w:p>
        </w:tc>
      </w:tr>
      <w:tr w:rsidR="00643D60" w:rsidRPr="00BE4152" w14:paraId="0EAF4808" w14:textId="77777777" w:rsidTr="00B15070">
        <w:tc>
          <w:tcPr>
            <w:tcW w:w="536" w:type="dxa"/>
          </w:tcPr>
          <w:p w14:paraId="22B4BD01" w14:textId="77777777" w:rsidR="00643D60" w:rsidRPr="00BE4152" w:rsidRDefault="00643D60" w:rsidP="00B15070">
            <w:pPr>
              <w:suppressAutoHyphens/>
              <w:spacing w:after="0"/>
              <w:rPr>
                <w:sz w:val="20"/>
                <w:szCs w:val="20"/>
              </w:rPr>
            </w:pPr>
            <w:r w:rsidRPr="00BE4152">
              <w:rPr>
                <w:sz w:val="20"/>
                <w:szCs w:val="20"/>
              </w:rPr>
              <w:t>4</w:t>
            </w:r>
            <w:r>
              <w:rPr>
                <w:sz w:val="20"/>
                <w:szCs w:val="20"/>
              </w:rPr>
              <w:t>.</w:t>
            </w:r>
          </w:p>
        </w:tc>
        <w:tc>
          <w:tcPr>
            <w:tcW w:w="8673" w:type="dxa"/>
          </w:tcPr>
          <w:p w14:paraId="0AC3A576" w14:textId="77777777" w:rsidR="00643D60" w:rsidRPr="00BE4152" w:rsidRDefault="00643D60" w:rsidP="00B15070">
            <w:pPr>
              <w:suppressAutoHyphens/>
              <w:spacing w:after="0"/>
              <w:rPr>
                <w:sz w:val="20"/>
                <w:szCs w:val="20"/>
              </w:rPr>
            </w:pPr>
            <w:r>
              <w:rPr>
                <w:sz w:val="20"/>
                <w:szCs w:val="20"/>
              </w:rPr>
              <w:t>D</w:t>
            </w:r>
            <w:r w:rsidRPr="00BE4152">
              <w:rPr>
                <w:sz w:val="20"/>
                <w:szCs w:val="20"/>
              </w:rPr>
              <w:t>o jcwp odprowadzane są substancje z listy substancji priorytetowych</w:t>
            </w:r>
          </w:p>
        </w:tc>
      </w:tr>
      <w:tr w:rsidR="00643D60" w:rsidRPr="00BE4152" w14:paraId="783B4DD9" w14:textId="77777777" w:rsidTr="00B15070">
        <w:tc>
          <w:tcPr>
            <w:tcW w:w="536" w:type="dxa"/>
          </w:tcPr>
          <w:p w14:paraId="756B1C2A" w14:textId="77777777" w:rsidR="00643D60" w:rsidRPr="00BE4152" w:rsidRDefault="00643D60" w:rsidP="00B15070">
            <w:pPr>
              <w:suppressAutoHyphens/>
              <w:spacing w:after="0"/>
              <w:rPr>
                <w:sz w:val="20"/>
                <w:szCs w:val="20"/>
              </w:rPr>
            </w:pPr>
            <w:r w:rsidRPr="00BE4152">
              <w:rPr>
                <w:sz w:val="20"/>
                <w:szCs w:val="20"/>
              </w:rPr>
              <w:t>5</w:t>
            </w:r>
            <w:r>
              <w:rPr>
                <w:sz w:val="20"/>
                <w:szCs w:val="20"/>
              </w:rPr>
              <w:t>.</w:t>
            </w:r>
          </w:p>
        </w:tc>
        <w:tc>
          <w:tcPr>
            <w:tcW w:w="8673" w:type="dxa"/>
          </w:tcPr>
          <w:p w14:paraId="29247F7B" w14:textId="77777777" w:rsidR="00643D60" w:rsidRPr="00BE4152" w:rsidRDefault="00643D60" w:rsidP="00B15070">
            <w:pPr>
              <w:suppressAutoHyphens/>
              <w:spacing w:after="0"/>
              <w:jc w:val="left"/>
              <w:rPr>
                <w:sz w:val="20"/>
                <w:szCs w:val="20"/>
              </w:rPr>
            </w:pPr>
            <w:r>
              <w:rPr>
                <w:sz w:val="20"/>
                <w:szCs w:val="20"/>
              </w:rPr>
              <w:t>W</w:t>
            </w:r>
            <w:r w:rsidRPr="00BE4152">
              <w:rPr>
                <w:sz w:val="20"/>
                <w:szCs w:val="20"/>
              </w:rPr>
              <w:t xml:space="preserve"> jcwp występują źródła zanieczyszczeń</w:t>
            </w:r>
            <w:r>
              <w:rPr>
                <w:sz w:val="20"/>
                <w:szCs w:val="20"/>
              </w:rPr>
              <w:t>,</w:t>
            </w:r>
            <w:r w:rsidRPr="00BE4152">
              <w:rPr>
                <w:sz w:val="20"/>
                <w:szCs w:val="20"/>
              </w:rPr>
              <w:t xml:space="preserve"> o których mowa w rozporządzeniu (WE) nr 166/2006 Parlamentu Europejskiego i Rady z dnia 18 stycznia 2006 r. w sprawie ustanowienia Europejskiego Rejestru Uwalniania i Transferu Zanieczyszczeń </w:t>
            </w:r>
            <w:r>
              <w:rPr>
                <w:sz w:val="20"/>
                <w:szCs w:val="20"/>
              </w:rPr>
              <w:t>oraz</w:t>
            </w:r>
            <w:r w:rsidRPr="00BE4152">
              <w:rPr>
                <w:sz w:val="20"/>
                <w:szCs w:val="20"/>
              </w:rPr>
              <w:t xml:space="preserve"> zmieniającym dyrektywę Rady 91/689/EWG i 96/61/WE</w:t>
            </w:r>
          </w:p>
        </w:tc>
      </w:tr>
      <w:tr w:rsidR="00643D60" w:rsidRPr="00BE4152" w14:paraId="68C2B4A9" w14:textId="77777777" w:rsidTr="00B15070">
        <w:tc>
          <w:tcPr>
            <w:tcW w:w="536" w:type="dxa"/>
          </w:tcPr>
          <w:p w14:paraId="16267891" w14:textId="77777777" w:rsidR="00643D60" w:rsidRPr="00BE4152" w:rsidRDefault="00643D60" w:rsidP="00B15070">
            <w:pPr>
              <w:suppressAutoHyphens/>
              <w:spacing w:after="0"/>
              <w:rPr>
                <w:sz w:val="20"/>
                <w:szCs w:val="20"/>
              </w:rPr>
            </w:pPr>
            <w:r w:rsidRPr="00BE4152">
              <w:rPr>
                <w:sz w:val="20"/>
                <w:szCs w:val="20"/>
              </w:rPr>
              <w:t>6</w:t>
            </w:r>
            <w:r>
              <w:rPr>
                <w:sz w:val="20"/>
                <w:szCs w:val="20"/>
              </w:rPr>
              <w:t>.</w:t>
            </w:r>
          </w:p>
        </w:tc>
        <w:tc>
          <w:tcPr>
            <w:tcW w:w="8673" w:type="dxa"/>
          </w:tcPr>
          <w:p w14:paraId="5CEC1A88"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cwp jest zlokalizowana na obszarze narażonym na zanieczyszczenia związkami azotu ze źródeł rolniczych</w:t>
            </w:r>
          </w:p>
        </w:tc>
      </w:tr>
      <w:tr w:rsidR="00643D60" w:rsidRPr="00BE4152" w14:paraId="7EC3D9E7" w14:textId="77777777" w:rsidTr="00B15070">
        <w:tc>
          <w:tcPr>
            <w:tcW w:w="536" w:type="dxa"/>
          </w:tcPr>
          <w:p w14:paraId="1099AEC2" w14:textId="77777777" w:rsidR="00643D60" w:rsidRPr="00BE4152" w:rsidRDefault="00643D60" w:rsidP="00B15070">
            <w:pPr>
              <w:suppressAutoHyphens/>
              <w:spacing w:after="0"/>
              <w:rPr>
                <w:sz w:val="20"/>
                <w:szCs w:val="20"/>
              </w:rPr>
            </w:pPr>
            <w:r w:rsidRPr="00BE4152">
              <w:rPr>
                <w:sz w:val="20"/>
                <w:szCs w:val="20"/>
              </w:rPr>
              <w:t>7</w:t>
            </w:r>
            <w:r>
              <w:rPr>
                <w:sz w:val="20"/>
                <w:szCs w:val="20"/>
              </w:rPr>
              <w:t>.</w:t>
            </w:r>
          </w:p>
        </w:tc>
        <w:tc>
          <w:tcPr>
            <w:tcW w:w="8673" w:type="dxa"/>
          </w:tcPr>
          <w:p w14:paraId="72D20983"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cwp jest zlokalizowana na obszarze wrażliwym na eutrofizację wywołaną zanieczyszczeniami pochodzącymi ze źródeł komunalnych i jest pośrednim lub bezpośrednim odbiornikiem ścieków komunalnych</w:t>
            </w:r>
          </w:p>
        </w:tc>
      </w:tr>
      <w:tr w:rsidR="00643D60" w:rsidRPr="00BE4152" w14:paraId="50A3BC73" w14:textId="77777777" w:rsidTr="00B15070">
        <w:tc>
          <w:tcPr>
            <w:tcW w:w="536" w:type="dxa"/>
          </w:tcPr>
          <w:p w14:paraId="3A8B61BD" w14:textId="77777777" w:rsidR="00643D60" w:rsidRPr="00BE4152" w:rsidRDefault="00643D60" w:rsidP="00B15070">
            <w:pPr>
              <w:suppressAutoHyphens/>
              <w:spacing w:after="0"/>
              <w:rPr>
                <w:sz w:val="20"/>
                <w:szCs w:val="20"/>
              </w:rPr>
            </w:pPr>
            <w:r w:rsidRPr="00BE4152">
              <w:rPr>
                <w:sz w:val="20"/>
                <w:szCs w:val="20"/>
              </w:rPr>
              <w:t>8</w:t>
            </w:r>
            <w:r>
              <w:rPr>
                <w:sz w:val="20"/>
                <w:szCs w:val="20"/>
              </w:rPr>
              <w:t>.</w:t>
            </w:r>
          </w:p>
        </w:tc>
        <w:tc>
          <w:tcPr>
            <w:tcW w:w="8673" w:type="dxa"/>
          </w:tcPr>
          <w:p w14:paraId="10315C04"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cwp na podstawie oceny wpływu znaczących oddziaływań antropogenicznych na stan wód powierzchniowych i monitoringu diagnostycznego jest uznana za zagrożoną niespełnieniem celów środowiskowych, a występuje na obszarze chronionym przeznaczonym do ochrony siedlisk lub gatunków, dla których utrzymanie lub poprawa stanu wód jest ważnym czynnikiem w ich ochronie</w:t>
            </w:r>
          </w:p>
        </w:tc>
      </w:tr>
      <w:tr w:rsidR="00643D60" w:rsidRPr="00BE4152" w14:paraId="010681C8" w14:textId="77777777" w:rsidTr="00B15070">
        <w:tc>
          <w:tcPr>
            <w:tcW w:w="536" w:type="dxa"/>
          </w:tcPr>
          <w:p w14:paraId="34816E0E" w14:textId="77777777" w:rsidR="00643D60" w:rsidRPr="00BE4152" w:rsidRDefault="00643D60" w:rsidP="00B15070">
            <w:pPr>
              <w:suppressAutoHyphens/>
              <w:spacing w:after="0"/>
              <w:rPr>
                <w:sz w:val="20"/>
                <w:szCs w:val="20"/>
              </w:rPr>
            </w:pPr>
            <w:r w:rsidRPr="00BE4152">
              <w:rPr>
                <w:sz w:val="20"/>
                <w:szCs w:val="20"/>
              </w:rPr>
              <w:t>9</w:t>
            </w:r>
            <w:r>
              <w:rPr>
                <w:sz w:val="20"/>
                <w:szCs w:val="20"/>
              </w:rPr>
              <w:t>.</w:t>
            </w:r>
          </w:p>
        </w:tc>
        <w:tc>
          <w:tcPr>
            <w:tcW w:w="8673" w:type="dxa"/>
          </w:tcPr>
          <w:p w14:paraId="6467E69A" w14:textId="77777777" w:rsidR="00643D60" w:rsidRPr="00BE4152" w:rsidRDefault="00643D60" w:rsidP="00B15070">
            <w:pPr>
              <w:suppressAutoHyphens/>
              <w:spacing w:after="0"/>
              <w:jc w:val="left"/>
              <w:rPr>
                <w:sz w:val="20"/>
                <w:szCs w:val="20"/>
              </w:rPr>
            </w:pPr>
            <w:r>
              <w:rPr>
                <w:sz w:val="20"/>
                <w:szCs w:val="20"/>
              </w:rPr>
              <w:t>P</w:t>
            </w:r>
            <w:r w:rsidRPr="00BE4152">
              <w:rPr>
                <w:sz w:val="20"/>
                <w:szCs w:val="20"/>
              </w:rPr>
              <w:t>rzekroczenia środowiskowej normy jakości dla substancji priorytetowych i innych zanieczyszczeń, dla których określa się te normy</w:t>
            </w:r>
            <w:r>
              <w:rPr>
                <w:sz w:val="20"/>
                <w:szCs w:val="20"/>
              </w:rPr>
              <w:t>,</w:t>
            </w:r>
            <w:r w:rsidRPr="00BE4152">
              <w:rPr>
                <w:sz w:val="20"/>
                <w:szCs w:val="20"/>
              </w:rPr>
              <w:t xml:space="preserve"> w faunie wodnej lub florze wodnej</w:t>
            </w:r>
            <w:r>
              <w:rPr>
                <w:sz w:val="20"/>
                <w:szCs w:val="20"/>
              </w:rPr>
              <w:t>,</w:t>
            </w:r>
            <w:r w:rsidRPr="00BE4152">
              <w:rPr>
                <w:sz w:val="20"/>
                <w:szCs w:val="20"/>
              </w:rPr>
              <w:t xml:space="preserve"> lub osadach dennych</w:t>
            </w:r>
          </w:p>
        </w:tc>
      </w:tr>
      <w:tr w:rsidR="00643D60" w:rsidRPr="00BE4152" w14:paraId="6686CA5C" w14:textId="77777777" w:rsidTr="00B15070">
        <w:tc>
          <w:tcPr>
            <w:tcW w:w="536" w:type="dxa"/>
          </w:tcPr>
          <w:p w14:paraId="71AD9558" w14:textId="77777777" w:rsidR="00643D60" w:rsidRPr="00BE4152" w:rsidRDefault="00643D60" w:rsidP="00B15070">
            <w:pPr>
              <w:suppressAutoHyphens/>
              <w:spacing w:after="0"/>
              <w:rPr>
                <w:sz w:val="20"/>
                <w:szCs w:val="20"/>
              </w:rPr>
            </w:pPr>
            <w:r w:rsidRPr="00BE4152">
              <w:rPr>
                <w:sz w:val="20"/>
                <w:szCs w:val="20"/>
              </w:rPr>
              <w:t>10</w:t>
            </w:r>
            <w:r>
              <w:rPr>
                <w:sz w:val="20"/>
                <w:szCs w:val="20"/>
              </w:rPr>
              <w:t>.</w:t>
            </w:r>
          </w:p>
        </w:tc>
        <w:tc>
          <w:tcPr>
            <w:tcW w:w="8673" w:type="dxa"/>
          </w:tcPr>
          <w:p w14:paraId="2B4739F2" w14:textId="77777777" w:rsidR="00643D60" w:rsidRPr="00BE4152" w:rsidRDefault="00643D60" w:rsidP="00B15070">
            <w:pPr>
              <w:suppressAutoHyphens/>
              <w:spacing w:after="0"/>
              <w:rPr>
                <w:sz w:val="20"/>
                <w:szCs w:val="20"/>
              </w:rPr>
            </w:pPr>
            <w:r>
              <w:rPr>
                <w:sz w:val="20"/>
                <w:szCs w:val="20"/>
              </w:rPr>
              <w:t>J</w:t>
            </w:r>
            <w:r w:rsidRPr="00BE4152">
              <w:rPr>
                <w:sz w:val="20"/>
                <w:szCs w:val="20"/>
              </w:rPr>
              <w:t>cwp zaliczona do jcwp przeznaczonych do poboru wody na potrzeby zaopatrzenia ludności w wodę przeznaczoną do spożycia, jeżeli dana jcwp dostarcza średnio powyżej 100 m</w:t>
            </w:r>
            <w:r w:rsidRPr="00BE4152">
              <w:rPr>
                <w:sz w:val="20"/>
                <w:szCs w:val="20"/>
                <w:vertAlign w:val="superscript"/>
              </w:rPr>
              <w:t>3</w:t>
            </w:r>
            <w:r w:rsidRPr="00BE4152">
              <w:rPr>
                <w:sz w:val="20"/>
                <w:szCs w:val="20"/>
              </w:rPr>
              <w:t xml:space="preserve"> na dobę wody przeznaczonej do spożycia przez ludzi</w:t>
            </w:r>
          </w:p>
        </w:tc>
      </w:tr>
      <w:tr w:rsidR="00643D60" w:rsidRPr="00540B9B" w14:paraId="7B260AA8" w14:textId="77777777" w:rsidTr="00B15070">
        <w:tc>
          <w:tcPr>
            <w:tcW w:w="536" w:type="dxa"/>
            <w:shd w:val="clear" w:color="auto" w:fill="D9D9D9" w:themeFill="background1" w:themeFillShade="D9"/>
          </w:tcPr>
          <w:p w14:paraId="5C0E1645" w14:textId="77777777" w:rsidR="00643D60" w:rsidRPr="00540B9B" w:rsidRDefault="00643D60" w:rsidP="00B15070">
            <w:pPr>
              <w:suppressAutoHyphens/>
              <w:jc w:val="center"/>
              <w:rPr>
                <w:rFonts w:asciiTheme="minorHAnsi" w:hAnsiTheme="minorHAnsi"/>
                <w:b/>
                <w:bCs/>
                <w:sz w:val="20"/>
                <w:szCs w:val="20"/>
              </w:rPr>
            </w:pPr>
            <w:r>
              <w:rPr>
                <w:rFonts w:asciiTheme="minorHAnsi" w:hAnsiTheme="minorHAnsi"/>
                <w:b/>
                <w:bCs/>
                <w:sz w:val="20"/>
                <w:szCs w:val="20"/>
              </w:rPr>
              <w:t>Lp.</w:t>
            </w:r>
          </w:p>
        </w:tc>
        <w:tc>
          <w:tcPr>
            <w:tcW w:w="8673" w:type="dxa"/>
            <w:shd w:val="clear" w:color="auto" w:fill="D9D9D9" w:themeFill="background1" w:themeFillShade="D9"/>
          </w:tcPr>
          <w:p w14:paraId="23792FA8" w14:textId="0DFB5EBB" w:rsidR="00643D60" w:rsidRPr="00540B9B" w:rsidRDefault="00643D60" w:rsidP="00B15070">
            <w:pPr>
              <w:suppressAutoHyphens/>
              <w:jc w:val="center"/>
              <w:rPr>
                <w:rFonts w:asciiTheme="minorHAnsi" w:hAnsiTheme="minorHAnsi"/>
                <w:b/>
                <w:bCs/>
                <w:sz w:val="20"/>
                <w:szCs w:val="20"/>
              </w:rPr>
            </w:pPr>
            <w:r>
              <w:rPr>
                <w:rFonts w:asciiTheme="minorHAnsi" w:hAnsiTheme="minorHAnsi"/>
                <w:b/>
                <w:bCs/>
                <w:sz w:val="20"/>
                <w:szCs w:val="20"/>
              </w:rPr>
              <w:t>po 31</w:t>
            </w:r>
            <w:r w:rsidRPr="00BE4152">
              <w:rPr>
                <w:rFonts w:asciiTheme="minorHAnsi" w:hAnsiTheme="minorHAnsi"/>
                <w:b/>
                <w:bCs/>
                <w:sz w:val="20"/>
                <w:szCs w:val="20"/>
              </w:rPr>
              <w:t xml:space="preserve"> </w:t>
            </w:r>
            <w:r>
              <w:rPr>
                <w:rFonts w:asciiTheme="minorHAnsi" w:hAnsiTheme="minorHAnsi"/>
                <w:b/>
                <w:bCs/>
                <w:sz w:val="20"/>
                <w:szCs w:val="20"/>
              </w:rPr>
              <w:t>grudnia</w:t>
            </w:r>
            <w:r w:rsidRPr="00BE4152">
              <w:rPr>
                <w:rFonts w:asciiTheme="minorHAnsi" w:hAnsiTheme="minorHAnsi"/>
                <w:b/>
                <w:bCs/>
                <w:sz w:val="20"/>
                <w:szCs w:val="20"/>
              </w:rPr>
              <w:t xml:space="preserve"> 202</w:t>
            </w:r>
            <w:r>
              <w:rPr>
                <w:rFonts w:asciiTheme="minorHAnsi" w:hAnsiTheme="minorHAnsi"/>
                <w:b/>
                <w:bCs/>
                <w:sz w:val="20"/>
                <w:szCs w:val="20"/>
              </w:rPr>
              <w:t>1 r. (</w:t>
            </w:r>
            <w:r w:rsidR="0065090F">
              <w:rPr>
                <w:rFonts w:asciiTheme="minorHAnsi" w:hAnsiTheme="minorHAnsi"/>
                <w:b/>
                <w:bCs/>
                <w:sz w:val="20"/>
                <w:szCs w:val="20"/>
              </w:rPr>
              <w:t>z</w:t>
            </w:r>
            <w:r>
              <w:rPr>
                <w:rFonts w:asciiTheme="minorHAnsi" w:hAnsiTheme="minorHAnsi"/>
                <w:b/>
                <w:bCs/>
                <w:sz w:val="20"/>
                <w:szCs w:val="20"/>
              </w:rPr>
              <w:t>ałącznik nr 1 do r.m.jcw)</w:t>
            </w:r>
          </w:p>
        </w:tc>
      </w:tr>
      <w:tr w:rsidR="00643D60" w:rsidRPr="00BE4152" w14:paraId="2B6E3BBE" w14:textId="77777777" w:rsidTr="00B15070">
        <w:tc>
          <w:tcPr>
            <w:tcW w:w="536" w:type="dxa"/>
          </w:tcPr>
          <w:p w14:paraId="7D73CBEF" w14:textId="77777777" w:rsidR="00643D60" w:rsidRPr="00BE4152" w:rsidRDefault="00643D60" w:rsidP="00B15070">
            <w:pPr>
              <w:suppressAutoHyphens/>
              <w:spacing w:after="0"/>
              <w:rPr>
                <w:sz w:val="20"/>
                <w:szCs w:val="20"/>
              </w:rPr>
            </w:pPr>
            <w:r>
              <w:rPr>
                <w:sz w:val="20"/>
                <w:szCs w:val="20"/>
              </w:rPr>
              <w:t>1.</w:t>
            </w:r>
          </w:p>
        </w:tc>
        <w:tc>
          <w:tcPr>
            <w:tcW w:w="8673" w:type="dxa"/>
          </w:tcPr>
          <w:p w14:paraId="5E63883C" w14:textId="77777777" w:rsidR="00643D60" w:rsidRDefault="00643D60" w:rsidP="00B15070">
            <w:pPr>
              <w:suppressAutoHyphens/>
              <w:spacing w:after="0"/>
              <w:rPr>
                <w:rFonts w:asciiTheme="minorHAnsi" w:hAnsiTheme="minorHAnsi"/>
                <w:b/>
                <w:bCs/>
                <w:sz w:val="20"/>
                <w:szCs w:val="20"/>
              </w:rPr>
            </w:pPr>
            <w:r>
              <w:rPr>
                <w:sz w:val="20"/>
                <w:szCs w:val="20"/>
              </w:rPr>
              <w:t>J</w:t>
            </w:r>
            <w:r w:rsidRPr="00BE4152">
              <w:rPr>
                <w:sz w:val="20"/>
                <w:szCs w:val="20"/>
              </w:rPr>
              <w:t xml:space="preserve">cwp </w:t>
            </w:r>
            <w:r>
              <w:rPr>
                <w:sz w:val="20"/>
                <w:szCs w:val="20"/>
              </w:rPr>
              <w:t xml:space="preserve">(w tym jcwp </w:t>
            </w:r>
            <w:r w:rsidRPr="00FA41F2">
              <w:rPr>
                <w:sz w:val="20"/>
                <w:szCs w:val="20"/>
              </w:rPr>
              <w:t>występujące na obszarac</w:t>
            </w:r>
            <w:r>
              <w:rPr>
                <w:sz w:val="20"/>
                <w:szCs w:val="20"/>
              </w:rPr>
              <w:t>h</w:t>
            </w:r>
            <w:r w:rsidRPr="00FA41F2">
              <w:rPr>
                <w:sz w:val="20"/>
                <w:szCs w:val="20"/>
              </w:rPr>
              <w:t xml:space="preserve"> chronionych uwzględnionych w wykazach obszarów chronionych</w:t>
            </w:r>
            <w:r>
              <w:rPr>
                <w:sz w:val="20"/>
                <w:szCs w:val="20"/>
              </w:rPr>
              <w:t xml:space="preserve">) </w:t>
            </w:r>
            <w:r w:rsidRPr="00BE4152">
              <w:rPr>
                <w:sz w:val="20"/>
                <w:szCs w:val="20"/>
              </w:rPr>
              <w:t>została uznana na podstawie oceny wpływu znaczących oddziaływań na stan wód powierzchniowych lub monitoringu diagnostycznego za zagrożoną niespełnieniem określonych dla niej celów środowiskowych</w:t>
            </w:r>
          </w:p>
        </w:tc>
      </w:tr>
      <w:tr w:rsidR="00643D60" w:rsidRPr="00BE4152" w14:paraId="3CE4873E" w14:textId="77777777" w:rsidTr="00B15070">
        <w:tc>
          <w:tcPr>
            <w:tcW w:w="536" w:type="dxa"/>
          </w:tcPr>
          <w:p w14:paraId="3EF6A89D" w14:textId="77777777" w:rsidR="00643D60" w:rsidRPr="00BE4152" w:rsidRDefault="00643D60" w:rsidP="00B15070">
            <w:pPr>
              <w:suppressAutoHyphens/>
              <w:spacing w:after="0"/>
              <w:rPr>
                <w:sz w:val="20"/>
                <w:szCs w:val="20"/>
              </w:rPr>
            </w:pPr>
            <w:r>
              <w:rPr>
                <w:sz w:val="20"/>
                <w:szCs w:val="20"/>
              </w:rPr>
              <w:t>2.</w:t>
            </w:r>
          </w:p>
        </w:tc>
        <w:tc>
          <w:tcPr>
            <w:tcW w:w="8673" w:type="dxa"/>
          </w:tcPr>
          <w:p w14:paraId="17AF588B" w14:textId="77777777" w:rsidR="00643D60" w:rsidRDefault="00643D60" w:rsidP="00B15070">
            <w:pPr>
              <w:suppressAutoHyphens/>
              <w:spacing w:after="0"/>
              <w:rPr>
                <w:sz w:val="20"/>
                <w:szCs w:val="20"/>
              </w:rPr>
            </w:pPr>
            <w:r>
              <w:rPr>
                <w:sz w:val="20"/>
                <w:szCs w:val="20"/>
              </w:rPr>
              <w:t>J</w:t>
            </w:r>
            <w:r w:rsidRPr="00BE4152">
              <w:rPr>
                <w:sz w:val="20"/>
                <w:szCs w:val="20"/>
              </w:rPr>
              <w:t>cwp zagrożone znacznym oddziaływaniem ze strony punktowych, liniowych lub obszarowych źródeł zanieczyszczeń, wskazane w dokumentacjach planistycznych</w:t>
            </w:r>
          </w:p>
        </w:tc>
      </w:tr>
      <w:tr w:rsidR="00643D60" w:rsidRPr="00BE4152" w14:paraId="70C3A721" w14:textId="77777777" w:rsidTr="00B15070">
        <w:tc>
          <w:tcPr>
            <w:tcW w:w="536" w:type="dxa"/>
          </w:tcPr>
          <w:p w14:paraId="26251896" w14:textId="77777777" w:rsidR="00643D60" w:rsidRPr="00BE4152" w:rsidRDefault="00643D60" w:rsidP="00B15070">
            <w:pPr>
              <w:suppressAutoHyphens/>
              <w:spacing w:after="0"/>
              <w:rPr>
                <w:sz w:val="20"/>
                <w:szCs w:val="20"/>
              </w:rPr>
            </w:pPr>
            <w:r>
              <w:rPr>
                <w:sz w:val="20"/>
                <w:szCs w:val="20"/>
              </w:rPr>
              <w:t>3.</w:t>
            </w:r>
          </w:p>
        </w:tc>
        <w:tc>
          <w:tcPr>
            <w:tcW w:w="8673" w:type="dxa"/>
          </w:tcPr>
          <w:p w14:paraId="782CFBC5" w14:textId="77777777" w:rsidR="00643D60" w:rsidRDefault="00643D60" w:rsidP="00B15070">
            <w:pPr>
              <w:suppressAutoHyphens/>
              <w:spacing w:after="0"/>
              <w:rPr>
                <w:sz w:val="20"/>
                <w:szCs w:val="20"/>
              </w:rPr>
            </w:pPr>
            <w:r>
              <w:rPr>
                <w:sz w:val="20"/>
                <w:szCs w:val="20"/>
              </w:rPr>
              <w:t>Jcwp z</w:t>
            </w:r>
            <w:r w:rsidRPr="00BE4152">
              <w:rPr>
                <w:sz w:val="20"/>
                <w:szCs w:val="20"/>
              </w:rPr>
              <w:t>agrożone znacznym oddziaływaniem mogącym mieć wpływ na hydromorfologię, wskazane w dokumentacji planistycznej</w:t>
            </w:r>
          </w:p>
        </w:tc>
      </w:tr>
      <w:tr w:rsidR="00643D60" w:rsidRPr="00BE4152" w14:paraId="3FA0F04E" w14:textId="77777777" w:rsidTr="00B15070">
        <w:tc>
          <w:tcPr>
            <w:tcW w:w="536" w:type="dxa"/>
          </w:tcPr>
          <w:p w14:paraId="1CEF92DA" w14:textId="77777777" w:rsidR="00643D60" w:rsidRPr="00BE4152" w:rsidRDefault="00643D60" w:rsidP="00B15070">
            <w:pPr>
              <w:suppressAutoHyphens/>
              <w:spacing w:after="0"/>
              <w:rPr>
                <w:sz w:val="20"/>
                <w:szCs w:val="20"/>
              </w:rPr>
            </w:pPr>
            <w:r>
              <w:rPr>
                <w:sz w:val="20"/>
                <w:szCs w:val="20"/>
              </w:rPr>
              <w:t>4.</w:t>
            </w:r>
          </w:p>
        </w:tc>
        <w:tc>
          <w:tcPr>
            <w:tcW w:w="8673" w:type="dxa"/>
          </w:tcPr>
          <w:p w14:paraId="2DE18465" w14:textId="77777777" w:rsidR="00643D60" w:rsidRDefault="00643D60" w:rsidP="00B15070">
            <w:pPr>
              <w:suppressAutoHyphens/>
              <w:spacing w:after="0"/>
              <w:rPr>
                <w:sz w:val="20"/>
                <w:szCs w:val="20"/>
              </w:rPr>
            </w:pPr>
            <w:r>
              <w:rPr>
                <w:sz w:val="20"/>
                <w:szCs w:val="20"/>
              </w:rPr>
              <w:t>D</w:t>
            </w:r>
            <w:r w:rsidRPr="00BE4152">
              <w:rPr>
                <w:sz w:val="20"/>
                <w:szCs w:val="20"/>
              </w:rPr>
              <w:t>o jcwp odprowadzane są substancje z listy substancji priorytetowych oraz inne substancje odprowadzane w znacznych ilościach, wskazane w dokumentacji planistycznej</w:t>
            </w:r>
          </w:p>
        </w:tc>
      </w:tr>
      <w:tr w:rsidR="00643D60" w:rsidRPr="00BE4152" w14:paraId="666F3DA5" w14:textId="77777777" w:rsidTr="00B15070">
        <w:tc>
          <w:tcPr>
            <w:tcW w:w="536" w:type="dxa"/>
          </w:tcPr>
          <w:p w14:paraId="1C2FC378" w14:textId="77777777" w:rsidR="00643D60" w:rsidRPr="00BE4152" w:rsidRDefault="00643D60" w:rsidP="00B15070">
            <w:pPr>
              <w:suppressAutoHyphens/>
              <w:spacing w:after="0"/>
              <w:rPr>
                <w:sz w:val="20"/>
                <w:szCs w:val="20"/>
              </w:rPr>
            </w:pPr>
            <w:r>
              <w:rPr>
                <w:sz w:val="20"/>
                <w:szCs w:val="20"/>
              </w:rPr>
              <w:t>5.</w:t>
            </w:r>
          </w:p>
        </w:tc>
        <w:tc>
          <w:tcPr>
            <w:tcW w:w="8673" w:type="dxa"/>
          </w:tcPr>
          <w:p w14:paraId="6F6A91FB" w14:textId="77777777" w:rsidR="00643D60" w:rsidRDefault="00643D60" w:rsidP="00B15070">
            <w:pPr>
              <w:suppressAutoHyphens/>
              <w:spacing w:after="0"/>
              <w:rPr>
                <w:sz w:val="20"/>
                <w:szCs w:val="20"/>
              </w:rPr>
            </w:pPr>
            <w:r>
              <w:rPr>
                <w:sz w:val="20"/>
                <w:szCs w:val="20"/>
              </w:rPr>
              <w:t>W</w:t>
            </w:r>
            <w:r w:rsidRPr="00BE4152">
              <w:rPr>
                <w:sz w:val="20"/>
                <w:szCs w:val="20"/>
              </w:rPr>
              <w:t xml:space="preserve"> zlewniach, w których występują źródła zanieczyszczeń, o których mowa w rozporządzeniu (WE) nr 166/2006 Parlamentu Europejskiego i Rady z dnia 18 stycznia 2006 r. w sprawie ustanowienia Europejskiego Rejestru Uwalniania i Transferu Zanieczyszczeń </w:t>
            </w:r>
            <w:r>
              <w:rPr>
                <w:sz w:val="20"/>
                <w:szCs w:val="20"/>
              </w:rPr>
              <w:t>oraz</w:t>
            </w:r>
            <w:r w:rsidRPr="00BE4152">
              <w:rPr>
                <w:sz w:val="20"/>
                <w:szCs w:val="20"/>
              </w:rPr>
              <w:t xml:space="preserve"> zmieniającym dyrektywę Rady 91/689/EWG i 96/61/WE (Dz.Urz. UE L 33 z 4</w:t>
            </w:r>
            <w:r>
              <w:rPr>
                <w:sz w:val="20"/>
                <w:szCs w:val="20"/>
              </w:rPr>
              <w:t xml:space="preserve"> lutego </w:t>
            </w:r>
            <w:r w:rsidRPr="00BE4152">
              <w:rPr>
                <w:sz w:val="20"/>
                <w:szCs w:val="20"/>
              </w:rPr>
              <w:t>2006</w:t>
            </w:r>
            <w:r>
              <w:rPr>
                <w:sz w:val="20"/>
                <w:szCs w:val="20"/>
              </w:rPr>
              <w:t xml:space="preserve"> r.</w:t>
            </w:r>
            <w:r w:rsidRPr="00BE4152">
              <w:rPr>
                <w:sz w:val="20"/>
                <w:szCs w:val="20"/>
              </w:rPr>
              <w:t>, s. 1, z p</w:t>
            </w:r>
            <w:r>
              <w:rPr>
                <w:sz w:val="20"/>
                <w:szCs w:val="20"/>
              </w:rPr>
              <w:t>ó</w:t>
            </w:r>
            <w:r w:rsidRPr="00BE4152">
              <w:rPr>
                <w:sz w:val="20"/>
                <w:szCs w:val="20"/>
              </w:rPr>
              <w:t>źn. zm.)</w:t>
            </w:r>
          </w:p>
        </w:tc>
      </w:tr>
    </w:tbl>
    <w:p w14:paraId="549CDFB2" w14:textId="7FC68770" w:rsidR="00643D60" w:rsidRPr="00BE4152" w:rsidRDefault="00643D60" w:rsidP="003D372B">
      <w:pPr>
        <w:pStyle w:val="rdo0"/>
      </w:pPr>
      <w:r w:rsidRPr="00BE4152">
        <w:t xml:space="preserve">Źródło: opracowanie </w:t>
      </w:r>
      <w:r w:rsidR="005B3051">
        <w:t xml:space="preserve">własne </w:t>
      </w:r>
      <w:r w:rsidRPr="00BE4152">
        <w:t>na podstawie r.m.jcw</w:t>
      </w:r>
    </w:p>
    <w:p w14:paraId="213E9A10" w14:textId="72548071" w:rsidR="00643D60" w:rsidRPr="00BE4152" w:rsidRDefault="00643D60" w:rsidP="00643D60">
      <w:pPr>
        <w:suppressAutoHyphens/>
      </w:pPr>
      <w:r w:rsidRPr="00BE4152">
        <w:t>Monitoring operacyjny jest prowadzony dwa razy w sześcioletnim cyklu wodnym (co 3 lata), z</w:t>
      </w:r>
      <w:r w:rsidR="000D04FF">
        <w:t> </w:t>
      </w:r>
      <w:r w:rsidRPr="00BE4152">
        <w:t xml:space="preserve">wyjątkiem pomiarów substancji szczególnie szkodliwych dla środowiska wodnego (pomiary corocznie, </w:t>
      </w:r>
      <w:r>
        <w:t xml:space="preserve">z częstotliwością </w:t>
      </w:r>
      <w:r w:rsidRPr="00BE4152">
        <w:t>co miesiąc) oraz elementów hydromorfologicznych (od jednokrotnego pomiaru w sześcioletnim cyklu wodnym</w:t>
      </w:r>
      <w:r>
        <w:t xml:space="preserve"> dla określenia warunków morfologicznych, ciągłości strugi, strumienia, potoku, rzeki lub kanału oraz reżimu hydrologicznego dla jcwp TW i CW, poprzez comiesięczne pomiary reżimu hydrologicznego dla jcwp LW, w tym SZCW oraz SCW aż do</w:t>
      </w:r>
      <w:r w:rsidRPr="00BE4152">
        <w:t xml:space="preserve"> systematycznych pomiarów ciągłych/cyklicznych w sześcioletnim cyklu wodnym</w:t>
      </w:r>
      <w:r>
        <w:t xml:space="preserve"> dla jcwp RW i RWr, w</w:t>
      </w:r>
      <w:r w:rsidR="000D04FF">
        <w:t> </w:t>
      </w:r>
      <w:r>
        <w:t>tym SZCW i SCW</w:t>
      </w:r>
      <w:r w:rsidRPr="00BE4152">
        <w:t>).</w:t>
      </w:r>
    </w:p>
    <w:p w14:paraId="79A92EF3" w14:textId="77777777" w:rsidR="00643D60" w:rsidRPr="00BE4152" w:rsidRDefault="00643D60" w:rsidP="00B50FFD">
      <w:pPr>
        <w:pStyle w:val="Nagwek4"/>
      </w:pPr>
      <w:r w:rsidRPr="00BE4152">
        <w:t>Monitoring badawczy</w:t>
      </w:r>
    </w:p>
    <w:p w14:paraId="6A7B29FE" w14:textId="77777777" w:rsidR="00643D60" w:rsidRPr="00BE4152" w:rsidRDefault="00643D60" w:rsidP="00643D60">
      <w:pPr>
        <w:suppressAutoHyphens/>
        <w:spacing w:after="0"/>
      </w:pPr>
      <w:r w:rsidRPr="00BE4152">
        <w:t xml:space="preserve">Monitoring badawczy jcwp prowadzi się w celu: </w:t>
      </w:r>
    </w:p>
    <w:p w14:paraId="1206F016" w14:textId="09BC8B3B" w:rsidR="00643D60" w:rsidRPr="00BE4152" w:rsidRDefault="00643D60" w:rsidP="00AA3506">
      <w:pPr>
        <w:pStyle w:val="Numerowanie"/>
        <w:numPr>
          <w:ilvl w:val="0"/>
          <w:numId w:val="38"/>
        </w:numPr>
      </w:pPr>
      <w:r w:rsidRPr="00BE4152">
        <w:t>wyjaśnienia przyczyn nieosiągnięcia celów środowiskowych określonych dla jcwp, jeżeli wyjaśnienie tych przyczyn jest niemożliwe na podstawie danych monitoringu diagnostycznego i</w:t>
      </w:r>
      <w:r w:rsidR="000D04FF">
        <w:t> </w:t>
      </w:r>
      <w:r w:rsidRPr="00BE4152">
        <w:t>operacyjnego;</w:t>
      </w:r>
    </w:p>
    <w:p w14:paraId="2F35244E" w14:textId="3A9365B7" w:rsidR="00643D60" w:rsidRPr="00BE4152" w:rsidRDefault="00643D60" w:rsidP="00F06393">
      <w:pPr>
        <w:pStyle w:val="Numerowanie"/>
      </w:pPr>
      <w:r w:rsidRPr="00BE4152">
        <w:t>wyjaśnienia przyczyn nie</w:t>
      </w:r>
      <w:r w:rsidR="00A41DBE">
        <w:t>osiągnięcia</w:t>
      </w:r>
      <w:r w:rsidR="00A41DBE" w:rsidRPr="00BE4152">
        <w:t xml:space="preserve"> </w:t>
      </w:r>
      <w:r w:rsidRPr="00BE4152">
        <w:t xml:space="preserve">celów środowiskowych przez daną </w:t>
      </w:r>
      <w:r>
        <w:t>jcwp</w:t>
      </w:r>
      <w:r w:rsidRPr="00BE4152">
        <w:t>, jeżeli z monitoringu diagnostycznego wynika, że cele środowiskowe wyznaczone dla danej jcwp nie zostaną osiągnięte, i gdy nie rozpoczęto realizacji monitoringu operacyjnego dla tej jcwp;</w:t>
      </w:r>
    </w:p>
    <w:p w14:paraId="24BE938A" w14:textId="77777777" w:rsidR="00643D60" w:rsidRPr="00BE4152" w:rsidRDefault="00643D60" w:rsidP="00F06393">
      <w:pPr>
        <w:pStyle w:val="Numerowanie"/>
      </w:pPr>
      <w:r w:rsidRPr="00BE4152">
        <w:t>określenia wielkości i wpływów niedającego się przewidzieć</w:t>
      </w:r>
      <w:r w:rsidRPr="00993174">
        <w:t xml:space="preserve"> </w:t>
      </w:r>
      <w:r w:rsidRPr="00BE4152">
        <w:t>zanieczyszczenia;</w:t>
      </w:r>
    </w:p>
    <w:p w14:paraId="3E2EC862" w14:textId="31D099B0" w:rsidR="00643D60" w:rsidRPr="00BE4152" w:rsidRDefault="00643D60" w:rsidP="00F06393">
      <w:pPr>
        <w:pStyle w:val="Numerowanie"/>
      </w:pPr>
      <w:r w:rsidRPr="00BE4152">
        <w:t>ustalenia przyczyn rozbieżności między wynikami oceny stanu ekologicznego lub potencjału ekologicznego na podstawie elementów biologicznych, hydromorfologicznych i</w:t>
      </w:r>
      <w:r w:rsidR="000D04FF">
        <w:t> </w:t>
      </w:r>
      <w:r w:rsidRPr="00BE4152">
        <w:t>fizykochemicznych;</w:t>
      </w:r>
    </w:p>
    <w:p w14:paraId="23CA3ABC" w14:textId="77777777" w:rsidR="00643D60" w:rsidRPr="00BE4152" w:rsidRDefault="00643D60" w:rsidP="00F06393">
      <w:pPr>
        <w:pStyle w:val="Numerowanie"/>
      </w:pPr>
      <w:r w:rsidRPr="00BE4152">
        <w:t>zebrania dodatkowych informacji o stanie wód w związku z uwarunkowaniami lokalnymi lub umowami międzynarodowymi.</w:t>
      </w:r>
    </w:p>
    <w:p w14:paraId="203BFDB0" w14:textId="77777777" w:rsidR="00643D60" w:rsidRPr="00BE4152" w:rsidRDefault="00643D60" w:rsidP="00643D60">
      <w:pPr>
        <w:suppressAutoHyphens/>
      </w:pPr>
      <w:r w:rsidRPr="00BE4152">
        <w:t xml:space="preserve">Dodatkowo monitoring badawczy może być wykorzystywany do optymalizacji sieci monitoringu, weryfikacji presji oraz ich oddziaływania na jcw, a także na potrzeby działań kontrolnych i inne potrzeby lokalne. </w:t>
      </w:r>
    </w:p>
    <w:p w14:paraId="3880160A" w14:textId="77777777" w:rsidR="00643D60" w:rsidRPr="00BE4152" w:rsidRDefault="00643D60" w:rsidP="00643D60">
      <w:pPr>
        <w:suppressAutoHyphens/>
      </w:pPr>
      <w:r w:rsidRPr="00BE4152">
        <w:t>Do monitorowania w ramach monitoringu badawczego wyznacza się jcwp, dla których jest konieczne wykonanie dodatkowego monitorowania wykraczającego poza cele monitoringu diagnostycznego i operacyjnego, wyjaśniającego przyczyny omówione powyżej.</w:t>
      </w:r>
    </w:p>
    <w:p w14:paraId="24DA53F4" w14:textId="77777777" w:rsidR="00643D60" w:rsidRPr="00BE4152" w:rsidRDefault="00643D60" w:rsidP="00643D60">
      <w:pPr>
        <w:suppressAutoHyphens/>
      </w:pPr>
      <w:r w:rsidRPr="00BE4152">
        <w:t xml:space="preserve">Zakres </w:t>
      </w:r>
      <w:r>
        <w:t>oraz</w:t>
      </w:r>
      <w:r w:rsidRPr="00BE4152">
        <w:t xml:space="preserve"> częstotliwość pomiarów i badań w monitoringu badawczym jcwp w badawczych ppk uwzględniają uwarunkowania wynikające z</w:t>
      </w:r>
      <w:r>
        <w:t xml:space="preserve"> celu i</w:t>
      </w:r>
      <w:r w:rsidRPr="00BE4152">
        <w:t xml:space="preserve"> przyczyn przeprowadzenia monitoringu badawczego. Rozporządzenie r.m.jcw z 2019 r. nie precyzuje jego częstotliwości, w przeciwieństwie do poprzedniego rozporządzenia (s.r.m.jcw</w:t>
      </w:r>
      <w:r>
        <w:t xml:space="preserve"> z </w:t>
      </w:r>
      <w:r w:rsidRPr="00BE4152">
        <w:t>2016</w:t>
      </w:r>
      <w:r>
        <w:t xml:space="preserve"> r.</w:t>
      </w:r>
      <w:r w:rsidRPr="00BE4152">
        <w:t xml:space="preserve">), które wskazywało na comiesięczne pomiary </w:t>
      </w:r>
      <w:r>
        <w:t xml:space="preserve">w </w:t>
      </w:r>
      <w:r w:rsidRPr="00BE4152">
        <w:t>punktach pomiarowo-kontrolnych intensywnego monitorowania oraz coroczne pomiary we wszystkich stanowiskach pomiarowych punktu reprezentatywnego dla wód przejściowych i przybrzeżnych.</w:t>
      </w:r>
    </w:p>
    <w:p w14:paraId="66D374B5" w14:textId="77777777" w:rsidR="00643D60" w:rsidRPr="00BE4152" w:rsidRDefault="00643D60" w:rsidP="00643D60">
      <w:pPr>
        <w:suppressAutoHyphens/>
      </w:pPr>
      <w:r w:rsidRPr="00BE4152">
        <w:t xml:space="preserve">Wyniki monitoringu badawczego są wykorzystywane do opracowania programu działań naprawczych (zestawy działań) oraz realizowania konkretnych przedsięwzięć koniecznych do usunięcia skutków przypadkowego zanieczyszczenia oraz do wypełnienia zobowiązań międzynarodowych. </w:t>
      </w:r>
    </w:p>
    <w:p w14:paraId="59311F04" w14:textId="77777777" w:rsidR="00643D60" w:rsidRPr="00BE4152" w:rsidRDefault="00643D60" w:rsidP="00B50FFD">
      <w:pPr>
        <w:pStyle w:val="Nagwek4"/>
      </w:pPr>
      <w:r w:rsidRPr="00BE4152">
        <w:t>Monitoring obszarów chronionych</w:t>
      </w:r>
    </w:p>
    <w:p w14:paraId="4C7FBF6F" w14:textId="43B1FE10" w:rsidR="00643D60" w:rsidRPr="00BE4152" w:rsidRDefault="00643D60" w:rsidP="00643D60">
      <w:pPr>
        <w:suppressAutoHyphens/>
      </w:pPr>
      <w:r w:rsidRPr="00BE4152">
        <w:t xml:space="preserve">Monitoring obszarów chronionych ustala się w celu oceny wypełnienia dodatkowych wymagań ustanowionych dla </w:t>
      </w:r>
      <w:r w:rsidR="00A41DBE">
        <w:t>osiągnięcia</w:t>
      </w:r>
      <w:r w:rsidR="00A41DBE" w:rsidRPr="00BE4152">
        <w:t xml:space="preserve"> </w:t>
      </w:r>
      <w:r w:rsidRPr="00BE4152">
        <w:t>celów środowiskowych dla obszarów chronionych uwzględnionych w</w:t>
      </w:r>
      <w:r w:rsidR="002C412B">
        <w:t> </w:t>
      </w:r>
      <w:r w:rsidRPr="00BE4152">
        <w:t>wykazach obszarów chronionych, o których mowa w art. 317</w:t>
      </w:r>
      <w:r>
        <w:t xml:space="preserve"> </w:t>
      </w:r>
      <w:r w:rsidRPr="00BE4152">
        <w:t>ust. 4 pkt 1,</w:t>
      </w:r>
      <w:r>
        <w:t xml:space="preserve"> </w:t>
      </w:r>
      <w:r w:rsidRPr="00BE4152">
        <w:t>2 i 4 ustawy pr.w.</w:t>
      </w:r>
    </w:p>
    <w:p w14:paraId="5BDFDD24" w14:textId="1D9B8940" w:rsidR="00643D60" w:rsidRPr="00BE4152" w:rsidRDefault="00643D60" w:rsidP="00643D60">
      <w:pPr>
        <w:suppressAutoHyphens/>
      </w:pPr>
      <w:r w:rsidRPr="00BE4152">
        <w:t>Rozporządzenie r.m.jcw</w:t>
      </w:r>
      <w:r w:rsidRPr="00BE4152" w:rsidDel="00E077D2">
        <w:t xml:space="preserve"> </w:t>
      </w:r>
      <w:r w:rsidRPr="00BE4152">
        <w:t>określa kryteri</w:t>
      </w:r>
      <w:r>
        <w:t>a</w:t>
      </w:r>
      <w:r w:rsidRPr="00BE4152">
        <w:t xml:space="preserve"> wyboru jcwp do monitorowania w ramach </w:t>
      </w:r>
      <w:r>
        <w:t xml:space="preserve">sieci </w:t>
      </w:r>
      <w:r w:rsidRPr="00BE4152">
        <w:t xml:space="preserve">monitoringu </w:t>
      </w:r>
      <w:r>
        <w:t>obszarów chronionych</w:t>
      </w:r>
      <w:r w:rsidRPr="00BE4152">
        <w:t xml:space="preserve">. </w:t>
      </w:r>
      <w:r>
        <w:t xml:space="preserve">Załącznik nr 8 do r.m.jcw przedstawia kryteria </w:t>
      </w:r>
      <w:r w:rsidRPr="00BE4152">
        <w:t xml:space="preserve">stosowane </w:t>
      </w:r>
      <w:r>
        <w:t xml:space="preserve">obecnie aż </w:t>
      </w:r>
      <w:r w:rsidRPr="00BE4152">
        <w:t>do dnia 31 grudnia 2021 r.</w:t>
      </w:r>
      <w:r>
        <w:t>,</w:t>
      </w:r>
      <w:r w:rsidRPr="00BE4152">
        <w:t xml:space="preserve"> </w:t>
      </w:r>
      <w:r>
        <w:t>natomiast załącznik nr 1 do r.m.jcw</w:t>
      </w:r>
      <w:r w:rsidRPr="00BE4152">
        <w:t xml:space="preserve"> </w:t>
      </w:r>
      <w:r w:rsidR="00442AB7">
        <w:t>-</w:t>
      </w:r>
      <w:r w:rsidRPr="00BE4152">
        <w:t xml:space="preserve"> </w:t>
      </w:r>
      <w:r>
        <w:t xml:space="preserve">kryteria mające zastosowanie po 31 grudnia 2021 r. </w:t>
      </w:r>
      <w:r w:rsidR="00247521">
        <w:t>T</w:t>
      </w:r>
      <w:r w:rsidRPr="00BE4152">
        <w:t xml:space="preserve">abela </w:t>
      </w:r>
      <w:r w:rsidR="00247521">
        <w:t xml:space="preserve">5-3 </w:t>
      </w:r>
      <w:r w:rsidRPr="00BE4152">
        <w:t xml:space="preserve">zawiera zestawienie obydwu </w:t>
      </w:r>
      <w:r>
        <w:t>określonych</w:t>
      </w:r>
      <w:r w:rsidRPr="00BE4152">
        <w:t xml:space="preserve"> w r.m.jcw kryteriów. </w:t>
      </w:r>
    </w:p>
    <w:p w14:paraId="3633836C" w14:textId="4DAA1F6E" w:rsidR="00643D60" w:rsidRPr="00BE4152" w:rsidRDefault="00643D60" w:rsidP="006802BB">
      <w:pPr>
        <w:pStyle w:val="Tabela"/>
      </w:pPr>
      <w:bookmarkStart w:id="63" w:name="_Toc68726955"/>
      <w:r w:rsidRPr="00BE4152">
        <w:t xml:space="preserve">Tabela </w:t>
      </w:r>
      <w:fldSimple w:instr=" STYLEREF 1 \s ">
        <w:r w:rsidR="007B4050">
          <w:rPr>
            <w:noProof/>
          </w:rPr>
          <w:t>5</w:t>
        </w:r>
      </w:fldSimple>
      <w:r w:rsidR="007B4050">
        <w:noBreakHyphen/>
      </w:r>
      <w:fldSimple w:instr=" SEQ Tabela \* ARABIC \s 1 ">
        <w:r w:rsidR="007B4050">
          <w:rPr>
            <w:noProof/>
          </w:rPr>
          <w:t>3</w:t>
        </w:r>
      </w:fldSimple>
      <w:r w:rsidRPr="00BE4152">
        <w:tab/>
        <w:t>Kryteria wyboru jcwp do monitorowania w ramach monitoringu obszarów chronionych</w:t>
      </w:r>
      <w:bookmarkEnd w:id="63"/>
    </w:p>
    <w:tbl>
      <w:tblPr>
        <w:tblStyle w:val="Tabela-Siatka"/>
        <w:tblW w:w="9209" w:type="dxa"/>
        <w:tblLook w:val="04A0" w:firstRow="1" w:lastRow="0" w:firstColumn="1" w:lastColumn="0" w:noHBand="0" w:noVBand="1"/>
      </w:tblPr>
      <w:tblGrid>
        <w:gridCol w:w="536"/>
        <w:gridCol w:w="8673"/>
      </w:tblGrid>
      <w:tr w:rsidR="00643D60" w:rsidRPr="00BE4152" w14:paraId="1676F1F3" w14:textId="77777777" w:rsidTr="00B15070">
        <w:trPr>
          <w:tblHeader/>
        </w:trPr>
        <w:tc>
          <w:tcPr>
            <w:tcW w:w="9209" w:type="dxa"/>
            <w:gridSpan w:val="2"/>
            <w:shd w:val="clear" w:color="auto" w:fill="BFBFBF"/>
            <w:vAlign w:val="center"/>
          </w:tcPr>
          <w:p w14:paraId="71459BCD"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Kryteria wyboru jcwp do monitoringu obszarów chronionych zgodnie z r.m.jcw</w:t>
            </w:r>
          </w:p>
        </w:tc>
      </w:tr>
      <w:tr w:rsidR="00643D60" w:rsidRPr="00BE4152" w14:paraId="65EA1911" w14:textId="77777777" w:rsidTr="00B15070">
        <w:trPr>
          <w:tblHeader/>
        </w:trPr>
        <w:tc>
          <w:tcPr>
            <w:tcW w:w="536" w:type="dxa"/>
            <w:shd w:val="clear" w:color="auto" w:fill="D9D9D9" w:themeFill="background1" w:themeFillShade="D9"/>
            <w:vAlign w:val="center"/>
          </w:tcPr>
          <w:p w14:paraId="6C2CAF19" w14:textId="77777777" w:rsidR="00643D60" w:rsidRPr="00BE4152" w:rsidRDefault="00643D60" w:rsidP="00B15070">
            <w:pPr>
              <w:suppressAutoHyphens/>
              <w:jc w:val="center"/>
              <w:rPr>
                <w:rFonts w:asciiTheme="minorHAnsi" w:hAnsiTheme="minorHAnsi"/>
                <w:b/>
                <w:bCs/>
                <w:sz w:val="20"/>
                <w:szCs w:val="20"/>
              </w:rPr>
            </w:pPr>
            <w:r w:rsidRPr="00BE4152">
              <w:rPr>
                <w:rFonts w:asciiTheme="minorHAnsi" w:hAnsiTheme="minorHAnsi"/>
                <w:b/>
                <w:bCs/>
                <w:sz w:val="20"/>
                <w:szCs w:val="20"/>
              </w:rPr>
              <w:t>Lp.</w:t>
            </w:r>
          </w:p>
        </w:tc>
        <w:tc>
          <w:tcPr>
            <w:tcW w:w="8673" w:type="dxa"/>
            <w:shd w:val="clear" w:color="auto" w:fill="D9D9D9" w:themeFill="background1" w:themeFillShade="D9"/>
          </w:tcPr>
          <w:p w14:paraId="0946384A" w14:textId="357C8CAE" w:rsidR="00643D60" w:rsidRPr="00BE4152" w:rsidRDefault="00643D60" w:rsidP="00B15070">
            <w:pPr>
              <w:suppressAutoHyphens/>
              <w:jc w:val="center"/>
              <w:rPr>
                <w:rFonts w:asciiTheme="minorHAnsi" w:hAnsiTheme="minorHAnsi"/>
                <w:b/>
                <w:bCs/>
                <w:sz w:val="20"/>
                <w:szCs w:val="20"/>
              </w:rPr>
            </w:pPr>
            <w:r>
              <w:rPr>
                <w:rFonts w:asciiTheme="minorHAnsi" w:hAnsiTheme="minorHAnsi"/>
                <w:b/>
                <w:bCs/>
                <w:sz w:val="20"/>
                <w:szCs w:val="20"/>
              </w:rPr>
              <w:t>d</w:t>
            </w:r>
            <w:r w:rsidRPr="00BE4152">
              <w:rPr>
                <w:rFonts w:asciiTheme="minorHAnsi" w:hAnsiTheme="minorHAnsi"/>
                <w:b/>
                <w:bCs/>
                <w:sz w:val="20"/>
                <w:szCs w:val="20"/>
              </w:rPr>
              <w:t>o 31 grudnia 2021</w:t>
            </w:r>
            <w:r>
              <w:rPr>
                <w:rFonts w:asciiTheme="minorHAnsi" w:hAnsiTheme="minorHAnsi"/>
                <w:b/>
                <w:bCs/>
                <w:sz w:val="20"/>
                <w:szCs w:val="20"/>
              </w:rPr>
              <w:t xml:space="preserve"> r. (</w:t>
            </w:r>
            <w:r w:rsidR="0065090F">
              <w:rPr>
                <w:rFonts w:asciiTheme="minorHAnsi" w:hAnsiTheme="minorHAnsi"/>
                <w:b/>
                <w:bCs/>
                <w:sz w:val="20"/>
                <w:szCs w:val="20"/>
              </w:rPr>
              <w:t>z</w:t>
            </w:r>
            <w:r>
              <w:rPr>
                <w:rFonts w:asciiTheme="minorHAnsi" w:hAnsiTheme="minorHAnsi"/>
                <w:b/>
                <w:bCs/>
                <w:sz w:val="20"/>
                <w:szCs w:val="20"/>
              </w:rPr>
              <w:t>ałącznik nr 8 do r.m.jcw)</w:t>
            </w:r>
          </w:p>
        </w:tc>
      </w:tr>
      <w:tr w:rsidR="00643D60" w:rsidRPr="00BE4152" w14:paraId="4774EE41" w14:textId="77777777" w:rsidTr="00B15070">
        <w:tc>
          <w:tcPr>
            <w:tcW w:w="536" w:type="dxa"/>
            <w:vAlign w:val="center"/>
          </w:tcPr>
          <w:p w14:paraId="60D08521" w14:textId="77777777" w:rsidR="00643D60" w:rsidRPr="00BE4152" w:rsidRDefault="00643D60" w:rsidP="00B15070">
            <w:pPr>
              <w:suppressAutoHyphens/>
              <w:spacing w:after="0"/>
              <w:rPr>
                <w:sz w:val="20"/>
                <w:szCs w:val="20"/>
              </w:rPr>
            </w:pPr>
            <w:r w:rsidRPr="00BE4152">
              <w:rPr>
                <w:sz w:val="20"/>
                <w:szCs w:val="20"/>
              </w:rPr>
              <w:t>1</w:t>
            </w:r>
            <w:r>
              <w:rPr>
                <w:sz w:val="20"/>
                <w:szCs w:val="20"/>
              </w:rPr>
              <w:t>.</w:t>
            </w:r>
          </w:p>
        </w:tc>
        <w:tc>
          <w:tcPr>
            <w:tcW w:w="8673" w:type="dxa"/>
          </w:tcPr>
          <w:p w14:paraId="3A9028AB"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cwp zaliczona do jcwp przeznaczonych do poboru wody na potrzeby zaopatrzenia ludności w wodę przeznaczoną do spożycia, jeżeli dana jcwp dostarcza średnio powyżej 100 m</w:t>
            </w:r>
            <w:r w:rsidRPr="00BE4152">
              <w:rPr>
                <w:sz w:val="20"/>
                <w:szCs w:val="20"/>
                <w:vertAlign w:val="superscript"/>
              </w:rPr>
              <w:t>3</w:t>
            </w:r>
            <w:r w:rsidRPr="00BE4152">
              <w:rPr>
                <w:sz w:val="20"/>
                <w:szCs w:val="20"/>
              </w:rPr>
              <w:t xml:space="preserve"> na dobę wody przeznaczonej do spożycia przez ludzi</w:t>
            </w:r>
          </w:p>
        </w:tc>
      </w:tr>
      <w:tr w:rsidR="00643D60" w:rsidRPr="00BE4152" w14:paraId="675A103A" w14:textId="77777777" w:rsidTr="00B15070">
        <w:tc>
          <w:tcPr>
            <w:tcW w:w="536" w:type="dxa"/>
            <w:vAlign w:val="center"/>
          </w:tcPr>
          <w:p w14:paraId="6BE50E0D" w14:textId="77777777" w:rsidR="00643D60" w:rsidRPr="00BE4152" w:rsidRDefault="00643D60" w:rsidP="00B15070">
            <w:pPr>
              <w:suppressAutoHyphens/>
              <w:spacing w:after="0"/>
              <w:rPr>
                <w:sz w:val="20"/>
                <w:szCs w:val="20"/>
              </w:rPr>
            </w:pPr>
            <w:r w:rsidRPr="00BE4152">
              <w:rPr>
                <w:sz w:val="20"/>
                <w:szCs w:val="20"/>
              </w:rPr>
              <w:t>2</w:t>
            </w:r>
            <w:r>
              <w:rPr>
                <w:sz w:val="20"/>
                <w:szCs w:val="20"/>
              </w:rPr>
              <w:t>.</w:t>
            </w:r>
          </w:p>
        </w:tc>
        <w:tc>
          <w:tcPr>
            <w:tcW w:w="8673" w:type="dxa"/>
          </w:tcPr>
          <w:p w14:paraId="4D58EBC7" w14:textId="77777777" w:rsidR="00643D60" w:rsidRPr="00BE4152" w:rsidRDefault="00643D60" w:rsidP="00B15070">
            <w:pPr>
              <w:suppressAutoHyphens/>
              <w:spacing w:after="0"/>
              <w:rPr>
                <w:sz w:val="20"/>
                <w:szCs w:val="20"/>
              </w:rPr>
            </w:pPr>
            <w:r>
              <w:rPr>
                <w:sz w:val="20"/>
                <w:szCs w:val="20"/>
              </w:rPr>
              <w:t>J</w:t>
            </w:r>
            <w:r w:rsidRPr="00BE4152">
              <w:rPr>
                <w:sz w:val="20"/>
                <w:szCs w:val="20"/>
              </w:rPr>
              <w:t>cwp jest przeznaczona do celów rekreacyjnych, w tym kąpieliskowych</w:t>
            </w:r>
          </w:p>
        </w:tc>
      </w:tr>
      <w:tr w:rsidR="00643D60" w:rsidRPr="00BE4152" w14:paraId="58ED510D" w14:textId="77777777" w:rsidTr="00B15070">
        <w:tc>
          <w:tcPr>
            <w:tcW w:w="536" w:type="dxa"/>
            <w:vAlign w:val="center"/>
          </w:tcPr>
          <w:p w14:paraId="052D603C" w14:textId="77777777" w:rsidR="00643D60" w:rsidRPr="00BE4152" w:rsidRDefault="00643D60" w:rsidP="00B15070">
            <w:pPr>
              <w:suppressAutoHyphens/>
              <w:spacing w:after="0"/>
              <w:rPr>
                <w:sz w:val="20"/>
                <w:szCs w:val="20"/>
              </w:rPr>
            </w:pPr>
            <w:r w:rsidRPr="00BE4152">
              <w:rPr>
                <w:sz w:val="20"/>
                <w:szCs w:val="20"/>
              </w:rPr>
              <w:t>3</w:t>
            </w:r>
            <w:r>
              <w:rPr>
                <w:sz w:val="20"/>
                <w:szCs w:val="20"/>
              </w:rPr>
              <w:t>.</w:t>
            </w:r>
          </w:p>
        </w:tc>
        <w:tc>
          <w:tcPr>
            <w:tcW w:w="8673" w:type="dxa"/>
          </w:tcPr>
          <w:p w14:paraId="38D18523" w14:textId="77777777" w:rsidR="00643D60" w:rsidRPr="00BE4152" w:rsidRDefault="00643D60" w:rsidP="00B15070">
            <w:pPr>
              <w:suppressAutoHyphens/>
              <w:spacing w:after="0"/>
              <w:rPr>
                <w:sz w:val="20"/>
                <w:szCs w:val="20"/>
              </w:rPr>
            </w:pPr>
            <w:r>
              <w:rPr>
                <w:sz w:val="20"/>
                <w:szCs w:val="20"/>
              </w:rPr>
              <w:t>J</w:t>
            </w:r>
            <w:r w:rsidRPr="00BE4152">
              <w:rPr>
                <w:sz w:val="20"/>
                <w:szCs w:val="20"/>
              </w:rPr>
              <w:t xml:space="preserve">cwp </w:t>
            </w:r>
            <w:r>
              <w:rPr>
                <w:sz w:val="20"/>
                <w:szCs w:val="20"/>
              </w:rPr>
              <w:t xml:space="preserve">jest </w:t>
            </w:r>
            <w:r w:rsidRPr="00BE4152">
              <w:rPr>
                <w:sz w:val="20"/>
                <w:szCs w:val="20"/>
              </w:rPr>
              <w:t>zlokalizowana na obszarze przeznaczonym do ochrony gatunków zwierząt wodnych o znaczeniu gospodarczym</w:t>
            </w:r>
          </w:p>
        </w:tc>
      </w:tr>
      <w:tr w:rsidR="00643D60" w:rsidRPr="00BE4152" w14:paraId="7ED6C911" w14:textId="77777777" w:rsidTr="00B15070">
        <w:tc>
          <w:tcPr>
            <w:tcW w:w="536" w:type="dxa"/>
            <w:vAlign w:val="center"/>
          </w:tcPr>
          <w:p w14:paraId="234B488D" w14:textId="77777777" w:rsidR="00643D60" w:rsidRPr="00BE4152" w:rsidRDefault="00643D60" w:rsidP="00B15070">
            <w:pPr>
              <w:suppressAutoHyphens/>
              <w:spacing w:after="0"/>
              <w:rPr>
                <w:sz w:val="20"/>
                <w:szCs w:val="20"/>
              </w:rPr>
            </w:pPr>
            <w:r w:rsidRPr="00BE4152">
              <w:rPr>
                <w:sz w:val="20"/>
                <w:szCs w:val="20"/>
              </w:rPr>
              <w:t>4</w:t>
            </w:r>
            <w:r>
              <w:rPr>
                <w:sz w:val="20"/>
                <w:szCs w:val="20"/>
              </w:rPr>
              <w:t>.</w:t>
            </w:r>
          </w:p>
        </w:tc>
        <w:tc>
          <w:tcPr>
            <w:tcW w:w="8673" w:type="dxa"/>
          </w:tcPr>
          <w:p w14:paraId="1A2B011F" w14:textId="77777777" w:rsidR="00643D60" w:rsidRPr="00BE4152" w:rsidRDefault="00643D60" w:rsidP="00B15070">
            <w:pPr>
              <w:suppressAutoHyphens/>
              <w:spacing w:after="0"/>
              <w:rPr>
                <w:sz w:val="20"/>
                <w:szCs w:val="20"/>
              </w:rPr>
            </w:pPr>
            <w:r>
              <w:rPr>
                <w:sz w:val="20"/>
                <w:szCs w:val="20"/>
              </w:rPr>
              <w:t>J</w:t>
            </w:r>
            <w:r w:rsidRPr="00BE4152">
              <w:rPr>
                <w:sz w:val="20"/>
                <w:szCs w:val="20"/>
              </w:rPr>
              <w:t>cwp jest zlokalizowana na obszarze narażonym na zanieczyszczenia związkami azotu, pochodzącymi ze źródeł rolniczych</w:t>
            </w:r>
          </w:p>
        </w:tc>
      </w:tr>
      <w:tr w:rsidR="00643D60" w:rsidRPr="00BE4152" w14:paraId="080A449C" w14:textId="77777777" w:rsidTr="00B15070">
        <w:tc>
          <w:tcPr>
            <w:tcW w:w="536" w:type="dxa"/>
            <w:vAlign w:val="center"/>
          </w:tcPr>
          <w:p w14:paraId="10EC83F8" w14:textId="77777777" w:rsidR="00643D60" w:rsidRPr="00BE4152" w:rsidRDefault="00643D60" w:rsidP="00B15070">
            <w:pPr>
              <w:suppressAutoHyphens/>
              <w:spacing w:after="0"/>
              <w:rPr>
                <w:sz w:val="20"/>
                <w:szCs w:val="20"/>
              </w:rPr>
            </w:pPr>
            <w:r w:rsidRPr="00BE4152">
              <w:rPr>
                <w:sz w:val="20"/>
                <w:szCs w:val="20"/>
              </w:rPr>
              <w:t>5</w:t>
            </w:r>
            <w:r>
              <w:rPr>
                <w:sz w:val="20"/>
                <w:szCs w:val="20"/>
              </w:rPr>
              <w:t>.</w:t>
            </w:r>
          </w:p>
        </w:tc>
        <w:tc>
          <w:tcPr>
            <w:tcW w:w="8673" w:type="dxa"/>
          </w:tcPr>
          <w:p w14:paraId="5C8F7F0F"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 xml:space="preserve">cwp </w:t>
            </w:r>
            <w:r>
              <w:rPr>
                <w:sz w:val="20"/>
                <w:szCs w:val="20"/>
              </w:rPr>
              <w:t xml:space="preserve">jest </w:t>
            </w:r>
            <w:r w:rsidRPr="00BE4152">
              <w:rPr>
                <w:sz w:val="20"/>
                <w:szCs w:val="20"/>
              </w:rPr>
              <w:t>zlokalizowana na obszarze wrażliwym na eutrofizację wywołaną zanieczyszczeniami pochodzącymi ze źródeł komunalnych i jest pośrednim lub bezpośrednim odbiornikiem ścieków komunalnych</w:t>
            </w:r>
          </w:p>
        </w:tc>
      </w:tr>
      <w:tr w:rsidR="00643D60" w:rsidRPr="00BE4152" w14:paraId="148EFF8E" w14:textId="77777777" w:rsidTr="00B15070">
        <w:tc>
          <w:tcPr>
            <w:tcW w:w="536" w:type="dxa"/>
            <w:vAlign w:val="center"/>
          </w:tcPr>
          <w:p w14:paraId="0CF6C634" w14:textId="77777777" w:rsidR="00643D60" w:rsidRPr="00BE4152" w:rsidRDefault="00643D60" w:rsidP="00B15070">
            <w:pPr>
              <w:suppressAutoHyphens/>
              <w:spacing w:after="0"/>
              <w:rPr>
                <w:sz w:val="20"/>
                <w:szCs w:val="20"/>
              </w:rPr>
            </w:pPr>
            <w:r w:rsidRPr="00BE4152">
              <w:rPr>
                <w:sz w:val="20"/>
                <w:szCs w:val="20"/>
              </w:rPr>
              <w:t>6</w:t>
            </w:r>
            <w:r>
              <w:rPr>
                <w:sz w:val="20"/>
                <w:szCs w:val="20"/>
              </w:rPr>
              <w:t>.</w:t>
            </w:r>
          </w:p>
        </w:tc>
        <w:tc>
          <w:tcPr>
            <w:tcW w:w="8673" w:type="dxa"/>
          </w:tcPr>
          <w:p w14:paraId="721E6ED6" w14:textId="77777777" w:rsidR="00643D60" w:rsidRPr="00BE4152" w:rsidRDefault="00643D60" w:rsidP="00B15070">
            <w:pPr>
              <w:suppressAutoHyphens/>
              <w:spacing w:after="0"/>
              <w:jc w:val="left"/>
              <w:rPr>
                <w:sz w:val="20"/>
                <w:szCs w:val="20"/>
              </w:rPr>
            </w:pPr>
            <w:r>
              <w:rPr>
                <w:sz w:val="20"/>
                <w:szCs w:val="20"/>
              </w:rPr>
              <w:t>J</w:t>
            </w:r>
            <w:r w:rsidRPr="00BE4152">
              <w:rPr>
                <w:sz w:val="20"/>
                <w:szCs w:val="20"/>
              </w:rPr>
              <w:t xml:space="preserve">cwp </w:t>
            </w:r>
            <w:r>
              <w:rPr>
                <w:sz w:val="20"/>
                <w:szCs w:val="20"/>
              </w:rPr>
              <w:t xml:space="preserve">jest </w:t>
            </w:r>
            <w:r w:rsidRPr="00BE4152">
              <w:rPr>
                <w:sz w:val="20"/>
                <w:szCs w:val="20"/>
              </w:rPr>
              <w:t>zlokalizowana na obszarze chronionym, przeznaczonym do ochrony siedlisk lub gatunków, dla któr</w:t>
            </w:r>
            <w:r>
              <w:rPr>
                <w:sz w:val="20"/>
                <w:szCs w:val="20"/>
              </w:rPr>
              <w:t>ych</w:t>
            </w:r>
            <w:r w:rsidRPr="00BE4152">
              <w:rPr>
                <w:sz w:val="20"/>
                <w:szCs w:val="20"/>
              </w:rPr>
              <w:t xml:space="preserve"> utrzymanie lub poprawa stanu wód jest ważnym czynnikiem w </w:t>
            </w:r>
            <w:r>
              <w:rPr>
                <w:sz w:val="20"/>
                <w:szCs w:val="20"/>
              </w:rPr>
              <w:t>ich</w:t>
            </w:r>
            <w:r w:rsidRPr="00BE4152">
              <w:rPr>
                <w:sz w:val="20"/>
                <w:szCs w:val="20"/>
              </w:rPr>
              <w:t xml:space="preserve"> ochronie</w:t>
            </w:r>
          </w:p>
        </w:tc>
      </w:tr>
      <w:tr w:rsidR="00643D60" w:rsidRPr="00BE4152" w14:paraId="5C86C682" w14:textId="77777777" w:rsidTr="00B15070">
        <w:tc>
          <w:tcPr>
            <w:tcW w:w="536" w:type="dxa"/>
            <w:shd w:val="clear" w:color="auto" w:fill="D9D9D9" w:themeFill="background1" w:themeFillShade="D9"/>
          </w:tcPr>
          <w:p w14:paraId="4CEEAF25" w14:textId="77777777" w:rsidR="00643D60" w:rsidRPr="00534ED6" w:rsidRDefault="00643D60" w:rsidP="00B15070">
            <w:pPr>
              <w:suppressAutoHyphens/>
              <w:jc w:val="center"/>
              <w:rPr>
                <w:rFonts w:asciiTheme="minorHAnsi" w:hAnsiTheme="minorHAnsi"/>
                <w:b/>
                <w:bCs/>
                <w:sz w:val="20"/>
                <w:szCs w:val="20"/>
              </w:rPr>
            </w:pPr>
            <w:r>
              <w:rPr>
                <w:rFonts w:asciiTheme="minorHAnsi" w:hAnsiTheme="minorHAnsi"/>
                <w:b/>
                <w:bCs/>
                <w:sz w:val="20"/>
                <w:szCs w:val="20"/>
              </w:rPr>
              <w:t>Lp.</w:t>
            </w:r>
          </w:p>
        </w:tc>
        <w:tc>
          <w:tcPr>
            <w:tcW w:w="8673" w:type="dxa"/>
            <w:shd w:val="clear" w:color="auto" w:fill="D9D9D9" w:themeFill="background1" w:themeFillShade="D9"/>
          </w:tcPr>
          <w:p w14:paraId="7BC1FFFF" w14:textId="22F766E2" w:rsidR="00643D60" w:rsidRPr="00534ED6" w:rsidRDefault="00643D60" w:rsidP="00B15070">
            <w:pPr>
              <w:suppressAutoHyphens/>
              <w:jc w:val="center"/>
              <w:rPr>
                <w:rFonts w:asciiTheme="minorHAnsi" w:hAnsiTheme="minorHAnsi"/>
                <w:b/>
                <w:bCs/>
                <w:sz w:val="20"/>
                <w:szCs w:val="20"/>
              </w:rPr>
            </w:pPr>
            <w:r>
              <w:rPr>
                <w:rFonts w:asciiTheme="minorHAnsi" w:hAnsiTheme="minorHAnsi"/>
                <w:b/>
                <w:bCs/>
                <w:sz w:val="20"/>
                <w:szCs w:val="20"/>
              </w:rPr>
              <w:t>po 31</w:t>
            </w:r>
            <w:r w:rsidRPr="00BE4152">
              <w:rPr>
                <w:rFonts w:asciiTheme="minorHAnsi" w:hAnsiTheme="minorHAnsi"/>
                <w:b/>
                <w:bCs/>
                <w:sz w:val="20"/>
                <w:szCs w:val="20"/>
              </w:rPr>
              <w:t xml:space="preserve"> </w:t>
            </w:r>
            <w:r>
              <w:rPr>
                <w:rFonts w:asciiTheme="minorHAnsi" w:hAnsiTheme="minorHAnsi"/>
                <w:b/>
                <w:bCs/>
                <w:sz w:val="20"/>
                <w:szCs w:val="20"/>
              </w:rPr>
              <w:t>grudnia</w:t>
            </w:r>
            <w:r w:rsidRPr="00BE4152">
              <w:rPr>
                <w:rFonts w:asciiTheme="minorHAnsi" w:hAnsiTheme="minorHAnsi"/>
                <w:b/>
                <w:bCs/>
                <w:sz w:val="20"/>
                <w:szCs w:val="20"/>
              </w:rPr>
              <w:t xml:space="preserve"> 202</w:t>
            </w:r>
            <w:r>
              <w:rPr>
                <w:rFonts w:asciiTheme="minorHAnsi" w:hAnsiTheme="minorHAnsi"/>
                <w:b/>
                <w:bCs/>
                <w:sz w:val="20"/>
                <w:szCs w:val="20"/>
              </w:rPr>
              <w:t>1 r. (</w:t>
            </w:r>
            <w:r w:rsidR="0065090F">
              <w:rPr>
                <w:rFonts w:asciiTheme="minorHAnsi" w:hAnsiTheme="minorHAnsi"/>
                <w:b/>
                <w:bCs/>
                <w:sz w:val="20"/>
                <w:szCs w:val="20"/>
              </w:rPr>
              <w:t>z</w:t>
            </w:r>
            <w:r>
              <w:rPr>
                <w:rFonts w:asciiTheme="minorHAnsi" w:hAnsiTheme="minorHAnsi"/>
                <w:b/>
                <w:bCs/>
                <w:sz w:val="20"/>
                <w:szCs w:val="20"/>
              </w:rPr>
              <w:t>ałącznik nr 1 do r.m.jcw)</w:t>
            </w:r>
          </w:p>
        </w:tc>
      </w:tr>
      <w:tr w:rsidR="00643D60" w:rsidRPr="00BE4152" w14:paraId="3A920A60" w14:textId="77777777" w:rsidTr="00B15070">
        <w:tc>
          <w:tcPr>
            <w:tcW w:w="536" w:type="dxa"/>
            <w:vAlign w:val="center"/>
          </w:tcPr>
          <w:p w14:paraId="397A4038" w14:textId="77777777" w:rsidR="00643D60" w:rsidRPr="00BE4152" w:rsidRDefault="00643D60" w:rsidP="00B15070">
            <w:pPr>
              <w:suppressAutoHyphens/>
              <w:spacing w:after="0"/>
              <w:rPr>
                <w:sz w:val="20"/>
                <w:szCs w:val="20"/>
              </w:rPr>
            </w:pPr>
            <w:r>
              <w:rPr>
                <w:sz w:val="20"/>
                <w:szCs w:val="20"/>
              </w:rPr>
              <w:t>1.</w:t>
            </w:r>
          </w:p>
        </w:tc>
        <w:tc>
          <w:tcPr>
            <w:tcW w:w="8673" w:type="dxa"/>
          </w:tcPr>
          <w:p w14:paraId="21FE79C4" w14:textId="77777777" w:rsidR="00643D60" w:rsidRDefault="00643D60" w:rsidP="00B15070">
            <w:pPr>
              <w:suppressAutoHyphens/>
              <w:spacing w:after="0"/>
              <w:jc w:val="left"/>
              <w:rPr>
                <w:rFonts w:asciiTheme="minorHAnsi" w:hAnsiTheme="minorHAnsi"/>
                <w:b/>
                <w:bCs/>
                <w:sz w:val="20"/>
                <w:szCs w:val="20"/>
              </w:rPr>
            </w:pPr>
            <w:r>
              <w:rPr>
                <w:sz w:val="20"/>
                <w:szCs w:val="20"/>
              </w:rPr>
              <w:t>J</w:t>
            </w:r>
            <w:r w:rsidRPr="00BE4152">
              <w:rPr>
                <w:sz w:val="20"/>
                <w:szCs w:val="20"/>
              </w:rPr>
              <w:t>cwp zaliczona do jcwp przeznaczonych do poboru wody na potrzeby zaopatrzenia ludności w wodę przeznaczoną do spożycia, jeżeli dana jcwp dostarcza średnio powyżej 100 m</w:t>
            </w:r>
            <w:r w:rsidRPr="00BE4152">
              <w:rPr>
                <w:sz w:val="20"/>
                <w:szCs w:val="20"/>
                <w:vertAlign w:val="superscript"/>
              </w:rPr>
              <w:t>3</w:t>
            </w:r>
            <w:r w:rsidRPr="00BE4152">
              <w:rPr>
                <w:sz w:val="20"/>
                <w:szCs w:val="20"/>
              </w:rPr>
              <w:t xml:space="preserve"> na dobę wody przeznaczonej do spożycia przez ludzi</w:t>
            </w:r>
          </w:p>
        </w:tc>
      </w:tr>
      <w:tr w:rsidR="00643D60" w:rsidRPr="00BE4152" w14:paraId="042C994D" w14:textId="77777777" w:rsidTr="00B15070">
        <w:tc>
          <w:tcPr>
            <w:tcW w:w="536" w:type="dxa"/>
            <w:vAlign w:val="center"/>
          </w:tcPr>
          <w:p w14:paraId="0FA4EB3B" w14:textId="77777777" w:rsidR="00643D60" w:rsidRPr="00BE4152" w:rsidRDefault="00643D60" w:rsidP="00B15070">
            <w:pPr>
              <w:suppressAutoHyphens/>
              <w:spacing w:after="0"/>
              <w:rPr>
                <w:sz w:val="20"/>
                <w:szCs w:val="20"/>
              </w:rPr>
            </w:pPr>
            <w:r>
              <w:rPr>
                <w:sz w:val="20"/>
                <w:szCs w:val="20"/>
              </w:rPr>
              <w:t>2.</w:t>
            </w:r>
          </w:p>
        </w:tc>
        <w:tc>
          <w:tcPr>
            <w:tcW w:w="8673" w:type="dxa"/>
          </w:tcPr>
          <w:p w14:paraId="44E0EE8E" w14:textId="77777777" w:rsidR="00643D60" w:rsidRDefault="00643D60" w:rsidP="00B15070">
            <w:pPr>
              <w:suppressAutoHyphens/>
              <w:spacing w:after="0"/>
              <w:jc w:val="left"/>
              <w:rPr>
                <w:sz w:val="20"/>
                <w:szCs w:val="20"/>
              </w:rPr>
            </w:pPr>
            <w:r>
              <w:rPr>
                <w:sz w:val="20"/>
                <w:szCs w:val="20"/>
              </w:rPr>
              <w:t>J</w:t>
            </w:r>
            <w:r w:rsidRPr="00BE4152">
              <w:rPr>
                <w:sz w:val="20"/>
                <w:szCs w:val="20"/>
              </w:rPr>
              <w:t>cwp przeznaczona jest do celów rekreacyjnych, w tym kąpieliskowych</w:t>
            </w:r>
          </w:p>
        </w:tc>
      </w:tr>
      <w:tr w:rsidR="00643D60" w:rsidRPr="00BE4152" w14:paraId="7EA42DCB" w14:textId="77777777" w:rsidTr="00B15070">
        <w:tc>
          <w:tcPr>
            <w:tcW w:w="536" w:type="dxa"/>
            <w:vAlign w:val="center"/>
          </w:tcPr>
          <w:p w14:paraId="3E01DF09" w14:textId="77777777" w:rsidR="00643D60" w:rsidRPr="00BE4152" w:rsidRDefault="00643D60" w:rsidP="00B15070">
            <w:pPr>
              <w:suppressAutoHyphens/>
              <w:spacing w:after="0"/>
              <w:rPr>
                <w:sz w:val="20"/>
                <w:szCs w:val="20"/>
              </w:rPr>
            </w:pPr>
            <w:r>
              <w:rPr>
                <w:sz w:val="20"/>
                <w:szCs w:val="20"/>
              </w:rPr>
              <w:t>3.</w:t>
            </w:r>
          </w:p>
        </w:tc>
        <w:tc>
          <w:tcPr>
            <w:tcW w:w="8673" w:type="dxa"/>
          </w:tcPr>
          <w:p w14:paraId="68D641B8" w14:textId="77777777" w:rsidR="00643D60" w:rsidRDefault="00643D60" w:rsidP="00B15070">
            <w:pPr>
              <w:suppressAutoHyphens/>
              <w:spacing w:after="0"/>
              <w:jc w:val="left"/>
              <w:rPr>
                <w:sz w:val="20"/>
                <w:szCs w:val="20"/>
              </w:rPr>
            </w:pPr>
            <w:r>
              <w:rPr>
                <w:sz w:val="20"/>
                <w:szCs w:val="20"/>
              </w:rPr>
              <w:t>J</w:t>
            </w:r>
            <w:r w:rsidRPr="00BE4152">
              <w:rPr>
                <w:sz w:val="20"/>
                <w:szCs w:val="20"/>
              </w:rPr>
              <w:t xml:space="preserve">cwp </w:t>
            </w:r>
            <w:r>
              <w:rPr>
                <w:sz w:val="20"/>
                <w:szCs w:val="20"/>
              </w:rPr>
              <w:t xml:space="preserve">jest </w:t>
            </w:r>
            <w:r w:rsidRPr="00BE4152">
              <w:rPr>
                <w:sz w:val="20"/>
                <w:szCs w:val="20"/>
              </w:rPr>
              <w:t>zlokalizowana na obszarze przeznaczonym do ochrony gatunków zwierząt wodnych o znaczeniu gospodarczym</w:t>
            </w:r>
          </w:p>
        </w:tc>
      </w:tr>
    </w:tbl>
    <w:p w14:paraId="7B7DD1E8" w14:textId="21E5B6C5" w:rsidR="00643D60" w:rsidRPr="00BE4152" w:rsidRDefault="00643D60" w:rsidP="00442AB7">
      <w:pPr>
        <w:pStyle w:val="rdo0"/>
        <w:rPr>
          <w:i w:val="0"/>
          <w:color w:val="000099"/>
          <w:sz w:val="20"/>
          <w:szCs w:val="20"/>
        </w:rPr>
      </w:pPr>
      <w:r w:rsidRPr="00BE4152">
        <w:t xml:space="preserve">Źródło: opracowanie </w:t>
      </w:r>
      <w:r w:rsidR="005B3051">
        <w:t xml:space="preserve">własne </w:t>
      </w:r>
      <w:r w:rsidRPr="00BE4152">
        <w:t xml:space="preserve"> na podstawie r.m.jcw</w:t>
      </w:r>
    </w:p>
    <w:p w14:paraId="24EAB994" w14:textId="77777777" w:rsidR="00643D60" w:rsidRPr="00BE4152" w:rsidRDefault="00643D60" w:rsidP="00643D60">
      <w:pPr>
        <w:suppressAutoHyphens/>
      </w:pPr>
      <w:r w:rsidRPr="00BE4152">
        <w:t>Obecnie nie zakończono procesu wyznacz</w:t>
      </w:r>
      <w:r>
        <w:t>a</w:t>
      </w:r>
      <w:r w:rsidRPr="00BE4152">
        <w:t xml:space="preserve">nia w Polsce obszarów ochrony gatunków zwierząt wodnych o znaczeniu gospodarczym, monitoring takich obszarów nie był więc i nie jest prowadzony. </w:t>
      </w:r>
    </w:p>
    <w:p w14:paraId="5BDE25D3" w14:textId="16ECEDDB" w:rsidR="00643D60" w:rsidRPr="00BE4152" w:rsidRDefault="00643D60" w:rsidP="00643D60">
      <w:pPr>
        <w:suppressAutoHyphens/>
      </w:pPr>
      <w:r w:rsidRPr="00BE4152">
        <w:t xml:space="preserve">Zgodnie z r.m.jcw monitoring obszarów </w:t>
      </w:r>
      <w:r w:rsidR="00494CC8">
        <w:t>chronionych</w:t>
      </w:r>
      <w:r w:rsidRPr="00BE4152">
        <w:t>, w zależności od typu ochrony</w:t>
      </w:r>
      <w:r>
        <w:t>,</w:t>
      </w:r>
      <w:r w:rsidRPr="00BE4152">
        <w:t xml:space="preserve"> prowadzi się z</w:t>
      </w:r>
      <w:r w:rsidR="002C412B">
        <w:t> </w:t>
      </w:r>
      <w:r w:rsidRPr="00BE4152">
        <w:t>następującą częstotliwością:</w:t>
      </w:r>
    </w:p>
    <w:p w14:paraId="745DFF4B" w14:textId="06EAA488" w:rsidR="00643D60" w:rsidRPr="00F11051" w:rsidRDefault="00643D60" w:rsidP="00AA3506">
      <w:pPr>
        <w:pStyle w:val="Numerowanie"/>
        <w:numPr>
          <w:ilvl w:val="0"/>
          <w:numId w:val="39"/>
        </w:numPr>
      </w:pPr>
      <w:r w:rsidRPr="00F11051">
        <w:t xml:space="preserve">monitoring wód powierzchniowych przeznaczonych do celów rekreacyjnych, w tym kąpieliskowych </w:t>
      </w:r>
      <w:r w:rsidR="00442AB7" w:rsidRPr="00F11051">
        <w:t>-</w:t>
      </w:r>
      <w:r w:rsidRPr="00F11051">
        <w:t xml:space="preserve"> w zakresie i częstotliwości </w:t>
      </w:r>
      <w:r w:rsidR="00221235">
        <w:t>-</w:t>
      </w:r>
      <w:r w:rsidRPr="00BE4152">
        <w:t xml:space="preserve"> </w:t>
      </w:r>
      <w:r w:rsidRPr="00F11051">
        <w:t>jak dla monitoringu operacyjnego, przy czym przyjmuje się, że właściwymi do monitorowania operacyjnego wskaźnikami biologicznymi są:</w:t>
      </w:r>
    </w:p>
    <w:p w14:paraId="5517D2CF" w14:textId="16B50C4A" w:rsidR="00643D60" w:rsidRPr="00F11051" w:rsidRDefault="00643D60" w:rsidP="00AA3506">
      <w:pPr>
        <w:pStyle w:val="Numerowanie"/>
        <w:numPr>
          <w:ilvl w:val="1"/>
          <w:numId w:val="119"/>
        </w:numPr>
      </w:pPr>
      <w:r w:rsidRPr="00F11051">
        <w:t xml:space="preserve">w przypadku rzek </w:t>
      </w:r>
      <w:r w:rsidR="00442AB7" w:rsidRPr="00F11051">
        <w:t>-</w:t>
      </w:r>
      <w:r w:rsidRPr="00F11051">
        <w:t xml:space="preserve"> fitoplankton albo fitobentos,</w:t>
      </w:r>
    </w:p>
    <w:p w14:paraId="0DFF4511" w14:textId="6D0265FD" w:rsidR="00643D60" w:rsidRPr="00F11051" w:rsidRDefault="00643D60" w:rsidP="00AA3506">
      <w:pPr>
        <w:pStyle w:val="Numerowanie"/>
        <w:numPr>
          <w:ilvl w:val="1"/>
          <w:numId w:val="119"/>
        </w:numPr>
      </w:pPr>
      <w:r w:rsidRPr="00F11051">
        <w:t xml:space="preserve">w przypadku jezior i zbiorników zaporowych </w:t>
      </w:r>
      <w:r w:rsidR="00442AB7" w:rsidRPr="00F11051">
        <w:t>-</w:t>
      </w:r>
      <w:r w:rsidRPr="00F11051">
        <w:t xml:space="preserve"> fitoplankton.</w:t>
      </w:r>
    </w:p>
    <w:p w14:paraId="150945F1" w14:textId="77777777" w:rsidR="00643D60" w:rsidRPr="00BE4152" w:rsidRDefault="00643D60" w:rsidP="001207FF">
      <w:pPr>
        <w:suppressAutoHyphens/>
        <w:ind w:left="364"/>
      </w:pPr>
      <w:r w:rsidRPr="00BE4152">
        <w:t>Monitoring jest prowadzony w co najmniej jednym ppk monitoringu obszarów chronionych</w:t>
      </w:r>
      <w:r>
        <w:t>,</w:t>
      </w:r>
      <w:r w:rsidRPr="00BE4152">
        <w:t xml:space="preserve"> zlokalizowanym powyżej lub wewnątrz badanego obszaru;</w:t>
      </w:r>
    </w:p>
    <w:p w14:paraId="1FCCDAD6" w14:textId="3E5A6057" w:rsidR="00643D60" w:rsidRPr="00F11051" w:rsidRDefault="00643D60" w:rsidP="00F06393">
      <w:pPr>
        <w:pStyle w:val="Numerowanie"/>
      </w:pPr>
      <w:r w:rsidRPr="00F11051">
        <w:t xml:space="preserve">monitoring wód powierzchniowych występujących na obszarach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00442AB7" w:rsidRPr="00F11051">
        <w:t>-</w:t>
      </w:r>
      <w:r w:rsidRPr="00F11051">
        <w:t xml:space="preserve"> w zakresie i częstotliwości jak dla monitoringu diagnostycznego lub operacyjnego w przypadku zagrożenia jcwp niespełnieniem określonych dla nich celów środowiskowych;</w:t>
      </w:r>
    </w:p>
    <w:p w14:paraId="10F404A2" w14:textId="16D0B7D3" w:rsidR="00643D60" w:rsidRPr="00F11051" w:rsidRDefault="00643D60" w:rsidP="00F06393">
      <w:pPr>
        <w:pStyle w:val="Numerowanie"/>
      </w:pPr>
      <w:r w:rsidRPr="00F11051">
        <w:t xml:space="preserve">monitoring wód powierzchniowych występujących na obszarach przeznaczonych do ochrony siedlisk lub gatunków </w:t>
      </w:r>
      <w:r w:rsidR="00442AB7" w:rsidRPr="00F11051">
        <w:t>-</w:t>
      </w:r>
      <w:r w:rsidRPr="00F11051">
        <w:t xml:space="preserve"> w zakresie i częstotliwości jak dla monitoringu diagnostycznego lub operacyjnego w przypadku zagrożenia jcwp niespełnieniem określonych dla nich celów środowiskowych.</w:t>
      </w:r>
    </w:p>
    <w:p w14:paraId="7C6279DD" w14:textId="41EF0192" w:rsidR="00643D60" w:rsidRPr="00BE4152" w:rsidRDefault="00643D60" w:rsidP="00643D60">
      <w:pPr>
        <w:suppressAutoHyphens/>
      </w:pPr>
      <w:r w:rsidRPr="00BE4152">
        <w:t xml:space="preserve">R.m.jcw nie precyzuje częstotliwości pomiarów monitoringowych wód powierzchniowych przeznaczonych do poboru wody na potrzeby zaopatrzenia ludności w wodę do spożycia, niemniej wielokrotnie przytacza potrzebę monitoringu takich wód. </w:t>
      </w:r>
      <w:r>
        <w:t>J</w:t>
      </w:r>
      <w:r w:rsidRPr="00BE4152">
        <w:t>cwp przeznaczone do poboru wody na potrzeby zaopatrzenia ludności w wodę do spożycia są przedmiotem monitorowania w</w:t>
      </w:r>
      <w:r w:rsidR="002C412B">
        <w:t> </w:t>
      </w:r>
      <w:r w:rsidRPr="00BE4152">
        <w:t>reprezentatywnym punkcie monitorowania stanu lub potencjału ekologicznego i stanu chemicznego w ramach monitoringu diagnostyczneg</w:t>
      </w:r>
      <w:r>
        <w:t>o</w:t>
      </w:r>
      <w:r w:rsidRPr="00BE4152">
        <w:t xml:space="preserve"> i operacyjnego. Przyjmuje się, że właściwymi do monitorowania operacyjnego wskaźnikami biologicznymi są w przypadku rzek fitoplankton albo fitobentos, a w przypadku jezior i zbiorników zaporowych </w:t>
      </w:r>
      <w:r w:rsidR="00442AB7">
        <w:t>-</w:t>
      </w:r>
      <w:r w:rsidRPr="00BE4152">
        <w:t xml:space="preserve"> fitoplankton. </w:t>
      </w:r>
      <w:r w:rsidRPr="0042383C">
        <w:t xml:space="preserve">Zakres monitoringu wód powierzchniowych przeznaczonych do poboru wody na potrzeby zaopatrzenia ludności w wodę do spożycia wynika z przepisów wykonawczych wydanych na podstawie art. 74 ust. 1 ustawy pr.w., które określają wymagania jakościowe dla tych wód, stanowiące zgodnie z art. 349 ust. 17 ustawy pr.w. wymagania dodatkowe dla obszarów chronionych </w:t>
      </w:r>
      <w:r w:rsidR="00442AB7">
        <w:t>-</w:t>
      </w:r>
      <w:r w:rsidRPr="0042383C">
        <w:t xml:space="preserve"> wód powierzchniowych przeznaczonych do poboru wody na potrzeby zaopatrzenia ludności w wodę do spożycia.</w:t>
      </w:r>
    </w:p>
    <w:p w14:paraId="68EA0A45" w14:textId="77777777" w:rsidR="00643D60" w:rsidRPr="00BE4152" w:rsidRDefault="00643D60" w:rsidP="00B50FFD">
      <w:pPr>
        <w:pStyle w:val="Nagwek3"/>
      </w:pPr>
      <w:bookmarkStart w:id="64" w:name="_Toc68726847"/>
      <w:r w:rsidRPr="00BE4152">
        <w:t>Mapa sieci monitoringu wód powierzchniowych wraz z prezentacją programów monitoringowych</w:t>
      </w:r>
      <w:bookmarkEnd w:id="64"/>
    </w:p>
    <w:p w14:paraId="47B1D506" w14:textId="77777777" w:rsidR="00CE57D6" w:rsidRPr="00CE57D6" w:rsidRDefault="00CE57D6" w:rsidP="00CE57D6">
      <w:pPr>
        <w:pStyle w:val="Akapitzlist"/>
        <w:keepNext/>
        <w:numPr>
          <w:ilvl w:val="2"/>
          <w:numId w:val="135"/>
        </w:numPr>
        <w:tabs>
          <w:tab w:val="left" w:pos="1134"/>
        </w:tabs>
        <w:suppressAutoHyphens/>
        <w:jc w:val="left"/>
        <w:outlineLvl w:val="3"/>
        <w:rPr>
          <w:b/>
          <w:bCs/>
          <w:vanish/>
          <w:color w:val="003399"/>
        </w:rPr>
      </w:pPr>
    </w:p>
    <w:p w14:paraId="7598E3FC" w14:textId="5526AC6E" w:rsidR="00643D60" w:rsidRPr="00BE4152" w:rsidRDefault="00643D60" w:rsidP="00CE57D6">
      <w:pPr>
        <w:pStyle w:val="Nagwek4"/>
      </w:pPr>
      <w:r w:rsidRPr="00BE4152">
        <w:t xml:space="preserve">Mapa sieci monitoringu na obszarze dorzecza </w:t>
      </w:r>
      <w:r>
        <w:t>Pregoły</w:t>
      </w:r>
      <w:r w:rsidRPr="00BE4152">
        <w:t xml:space="preserve"> w cyklu planistycznym 2016-2021</w:t>
      </w:r>
    </w:p>
    <w:p w14:paraId="056F4279" w14:textId="1656DE35" w:rsidR="00643D60" w:rsidRPr="00BE4152" w:rsidRDefault="00643D60" w:rsidP="00643D60">
      <w:pPr>
        <w:widowControl w:val="0"/>
        <w:suppressAutoHyphens/>
        <w:autoSpaceDE w:val="0"/>
        <w:autoSpaceDN w:val="0"/>
        <w:adjustRightInd w:val="0"/>
        <w:spacing w:before="22" w:after="0" w:line="243" w:lineRule="auto"/>
        <w:ind w:right="55"/>
      </w:pPr>
      <w:r w:rsidRPr="00BE4152">
        <w:t>W cyklu planistycznym trwającym od 2016 do 2021 r. zaplanowan</w:t>
      </w:r>
      <w:r>
        <w:t>o</w:t>
      </w:r>
      <w:r w:rsidRPr="00BE4152">
        <w:t xml:space="preserve"> do monitoringu 2903 jcwp znajdujących się na obszarze Polski</w:t>
      </w:r>
      <w:r>
        <w:t xml:space="preserve">, w układzie planistycznym obowiązującym w tym okresie. </w:t>
      </w:r>
      <w:r w:rsidRPr="00BE4152">
        <w:t>Plan monitoringu 2016-2020 przewidywał wzrost liczby przebadanych jcwp w stosunku do planu z</w:t>
      </w:r>
      <w:r w:rsidR="002C412B">
        <w:t> </w:t>
      </w:r>
      <w:r w:rsidRPr="00BE4152">
        <w:t>poprzedniego cyklu (2010-2015) o 16%. Wzrost liczby planowanych do monitoringu części wód dotyczy</w:t>
      </w:r>
      <w:r>
        <w:t>ł</w:t>
      </w:r>
      <w:r w:rsidRPr="00BE4152">
        <w:t xml:space="preserve"> zarówno jezior (22% wzrostu w stosunk</w:t>
      </w:r>
      <w:r>
        <w:t>u</w:t>
      </w:r>
      <w:r w:rsidRPr="00BE4152">
        <w:t xml:space="preserve"> do planu monitoringu na lata 2010-2015)</w:t>
      </w:r>
      <w:r>
        <w:t>,</w:t>
      </w:r>
      <w:r w:rsidRPr="00BE4152">
        <w:t xml:space="preserve"> jak i rzek (15%). W przeznaczonych do badań jcwp zaplanowano większą niż w ubiegłym sześcioletnim cyklu liczbę realizacji programu monitoringu diagnostycznego (o 28%), operacyjnego (18%) oraz monitoringu obszarów chronionych (8%).</w:t>
      </w:r>
    </w:p>
    <w:p w14:paraId="1855BC41" w14:textId="77777777" w:rsidR="00643D60" w:rsidRPr="00BE4152" w:rsidRDefault="00643D60" w:rsidP="00643D60">
      <w:pPr>
        <w:widowControl w:val="0"/>
        <w:suppressAutoHyphens/>
        <w:autoSpaceDE w:val="0"/>
        <w:autoSpaceDN w:val="0"/>
        <w:adjustRightInd w:val="0"/>
        <w:ind w:right="57"/>
      </w:pPr>
      <w:r w:rsidRPr="00BE4152">
        <w:t xml:space="preserve">W ramach sieci na lata 2016-2021 </w:t>
      </w:r>
      <w:r>
        <w:t xml:space="preserve">w obszarze dorzecza Pregoły </w:t>
      </w:r>
      <w:r w:rsidRPr="00BE4152">
        <w:t>zaplanowan</w:t>
      </w:r>
      <w:r>
        <w:t>o</w:t>
      </w:r>
      <w:r w:rsidRPr="00BE4152">
        <w:t xml:space="preserve"> monitor</w:t>
      </w:r>
      <w:r>
        <w:t>ing</w:t>
      </w:r>
      <w:r w:rsidRPr="00BE4152">
        <w:t xml:space="preserve"> </w:t>
      </w:r>
      <w:r>
        <w:t>40</w:t>
      </w:r>
      <w:r w:rsidRPr="00BE4152">
        <w:t xml:space="preserve"> spośród </w:t>
      </w:r>
      <w:r>
        <w:t>120</w:t>
      </w:r>
      <w:r w:rsidRPr="00BE4152">
        <w:t xml:space="preserve"> jcwp RW (</w:t>
      </w:r>
      <w:r>
        <w:t>33</w:t>
      </w:r>
      <w:r w:rsidRPr="00BE4152">
        <w:t xml:space="preserve">% jcwp RW objętych planowo przynajmniej jednym rodzajem monitoringu). Monitoring diagnostyczny </w:t>
      </w:r>
      <w:r>
        <w:t>był</w:t>
      </w:r>
      <w:r w:rsidRPr="00BE4152">
        <w:t xml:space="preserve"> zaplanowany dla</w:t>
      </w:r>
      <w:r>
        <w:t xml:space="preserve"> 60</w:t>
      </w:r>
      <w:r w:rsidRPr="00BE4152">
        <w:t>%</w:t>
      </w:r>
      <w:r>
        <w:t xml:space="preserve">, zaś monitoring obserwacyjny dla 85% </w:t>
      </w:r>
      <w:r w:rsidRPr="00BE4152">
        <w:t>wszystkich jcwp RW</w:t>
      </w:r>
      <w:r>
        <w:t xml:space="preserve"> monitorowanych</w:t>
      </w:r>
      <w:r w:rsidRPr="00BE4152">
        <w:t xml:space="preserve">. </w:t>
      </w:r>
    </w:p>
    <w:p w14:paraId="2C23C81B" w14:textId="77777777" w:rsidR="00643D60" w:rsidRPr="00BE4152" w:rsidRDefault="00643D60" w:rsidP="00643D60">
      <w:pPr>
        <w:widowControl w:val="0"/>
        <w:suppressAutoHyphens/>
        <w:autoSpaceDE w:val="0"/>
        <w:autoSpaceDN w:val="0"/>
        <w:adjustRightInd w:val="0"/>
        <w:ind w:right="57"/>
      </w:pPr>
      <w:r w:rsidRPr="00BE4152">
        <w:t xml:space="preserve">Na potrzeby monitoringu </w:t>
      </w:r>
      <w:r>
        <w:t>jezior</w:t>
      </w:r>
      <w:r w:rsidRPr="00BE4152">
        <w:t xml:space="preserve"> </w:t>
      </w:r>
      <w:r>
        <w:t xml:space="preserve">w obszarze dorzecza Pregoły </w:t>
      </w:r>
      <w:r w:rsidRPr="00BE4152">
        <w:t xml:space="preserve">przewidziano </w:t>
      </w:r>
      <w:r>
        <w:t>monitorowanie 43 spośród 101 jcwp LW, co stanowi ok. 43</w:t>
      </w:r>
      <w:r w:rsidRPr="00BE4152">
        <w:t xml:space="preserve">% </w:t>
      </w:r>
      <w:r>
        <w:t xml:space="preserve">wszystkich </w:t>
      </w:r>
      <w:r w:rsidRPr="00BE4152">
        <w:t xml:space="preserve">jcwp </w:t>
      </w:r>
      <w:r>
        <w:t>LW. 88% wszystkich monitorowanych jcwp LW objęto monitoringiem diagnostycznym, zaś 70% - monitoringiem obserwacyjnym</w:t>
      </w:r>
      <w:r w:rsidRPr="00BE4152">
        <w:t>.</w:t>
      </w:r>
    </w:p>
    <w:p w14:paraId="73C07A03" w14:textId="4F2384BA" w:rsidR="00643D60" w:rsidRPr="00BE4152" w:rsidRDefault="00643D60" w:rsidP="00643D60">
      <w:pPr>
        <w:widowControl w:val="0"/>
        <w:suppressAutoHyphens/>
        <w:autoSpaceDE w:val="0"/>
        <w:autoSpaceDN w:val="0"/>
        <w:adjustRightInd w:val="0"/>
        <w:spacing w:before="22" w:after="0" w:line="243" w:lineRule="auto"/>
        <w:ind w:right="55"/>
      </w:pPr>
      <w:r>
        <w:t>D</w:t>
      </w:r>
      <w:r w:rsidRPr="00BE4152">
        <w:t xml:space="preserve">ziałania </w:t>
      </w:r>
      <w:r>
        <w:t xml:space="preserve">podjęte </w:t>
      </w:r>
      <w:r w:rsidRPr="00BE4152">
        <w:t>w zakresie monitoringu jcwp zapewniły dostępność danych monitoringowych o</w:t>
      </w:r>
      <w:r w:rsidR="002C412B">
        <w:t> </w:t>
      </w:r>
      <w:r w:rsidRPr="00BE4152">
        <w:t>zde</w:t>
      </w:r>
      <w:r>
        <w:t>c</w:t>
      </w:r>
      <w:r w:rsidRPr="00BE4152">
        <w:t xml:space="preserve">ydowanie wyższym poziomie kompletności niż w poprzednim cyklu planistycznym, </w:t>
      </w:r>
      <w:r>
        <w:t>co bezpośrednio przełożyło się</w:t>
      </w:r>
      <w:r w:rsidRPr="004638CD">
        <w:t xml:space="preserve"> na wyższy poziom ufności ocen </w:t>
      </w:r>
      <w:r>
        <w:t>(</w:t>
      </w:r>
      <w:r w:rsidRPr="004638CD">
        <w:t>niższe prawdopodobieństwo błędnej oceny)</w:t>
      </w:r>
      <w:r>
        <w:t xml:space="preserve"> oraz uzyskanie oceny o odpowiednim poziomie ufności dla większej liczby jcwp</w:t>
      </w:r>
      <w:r w:rsidRPr="004638CD">
        <w:t>.</w:t>
      </w:r>
    </w:p>
    <w:p w14:paraId="3A15CCDC" w14:textId="77777777" w:rsidR="00643D60" w:rsidRPr="00BE4152" w:rsidRDefault="00643D60" w:rsidP="00B50FFD">
      <w:pPr>
        <w:pStyle w:val="Nagwek4"/>
      </w:pPr>
      <w:r w:rsidRPr="00BE4152">
        <w:t xml:space="preserve">Program sieci monitoringu na obszarze dorzecza </w:t>
      </w:r>
      <w:r>
        <w:t>Pregoły</w:t>
      </w:r>
      <w:r w:rsidRPr="00BE4152">
        <w:t xml:space="preserve"> w cyklu planistycznym 2022-2027</w:t>
      </w:r>
    </w:p>
    <w:p w14:paraId="7160F2DA" w14:textId="77777777" w:rsidR="00643D60" w:rsidRPr="00BE4152" w:rsidRDefault="00643D60" w:rsidP="00643D60">
      <w:pPr>
        <w:suppressAutoHyphens/>
      </w:pPr>
      <w:r w:rsidRPr="00BE4152">
        <w:t xml:space="preserve">Program sieci monitoringu na obszarze dorzecza </w:t>
      </w:r>
      <w:r>
        <w:t>Pregoły</w:t>
      </w:r>
      <w:r w:rsidRPr="00BE4152">
        <w:t xml:space="preserve"> w cyklu planistycznym 2022</w:t>
      </w:r>
      <w:r>
        <w:t>-</w:t>
      </w:r>
      <w:r w:rsidRPr="00BE4152">
        <w:t xml:space="preserve">2027 uwzględnia zmiany związane z ustaleniem nowego układu jednostek planistycznych jcwp, zmiany typologii oraz zmiany w statusach części </w:t>
      </w:r>
      <w:r>
        <w:t>wód</w:t>
      </w:r>
      <w:r w:rsidRPr="00BE4152">
        <w:t>.</w:t>
      </w:r>
    </w:p>
    <w:p w14:paraId="2F519AB8" w14:textId="77777777" w:rsidR="00643D60" w:rsidRPr="00BE4152" w:rsidRDefault="00643D60" w:rsidP="00643D60">
      <w:pPr>
        <w:suppressAutoHyphens/>
      </w:pPr>
      <w:r w:rsidRPr="00BE4152">
        <w:t xml:space="preserve">Sieć </w:t>
      </w:r>
      <w:r>
        <w:t>ppk</w:t>
      </w:r>
      <w:r w:rsidRPr="00BE4152">
        <w:t xml:space="preserve"> i typów monitoringu w wodach powierzchniowych została zaplanowana </w:t>
      </w:r>
      <w:r>
        <w:t>z uwzględnieniem</w:t>
      </w:r>
      <w:r w:rsidRPr="00BE4152">
        <w:t xml:space="preserve"> </w:t>
      </w:r>
      <w:r>
        <w:t>SCW</w:t>
      </w:r>
      <w:r w:rsidRPr="00BE4152">
        <w:t xml:space="preserve"> i </w:t>
      </w:r>
      <w:r>
        <w:t>SZCW</w:t>
      </w:r>
      <w:r w:rsidRPr="00BE4152">
        <w:t xml:space="preserve"> oraz </w:t>
      </w:r>
      <w:r>
        <w:t xml:space="preserve">zagrożenia </w:t>
      </w:r>
      <w:r w:rsidRPr="00BE4152">
        <w:t xml:space="preserve">jcwp nieosiągnięciem celów środowiskowych, obejmującym następujące kategorie wód: </w:t>
      </w:r>
    </w:p>
    <w:p w14:paraId="68A952B1" w14:textId="0A9148BE" w:rsidR="00643D60" w:rsidRPr="00F11051" w:rsidRDefault="00643D60" w:rsidP="00F06393">
      <w:pPr>
        <w:pStyle w:val="Akapitzlist"/>
      </w:pPr>
      <w:r w:rsidRPr="00F11051">
        <w:t>jcwp RW</w:t>
      </w:r>
    </w:p>
    <w:p w14:paraId="42D645F0" w14:textId="0106F5E6" w:rsidR="00643D60" w:rsidRPr="00F11051" w:rsidRDefault="00643D60" w:rsidP="00F06393">
      <w:pPr>
        <w:pStyle w:val="Akapitzlist"/>
      </w:pPr>
      <w:r w:rsidRPr="00F11051">
        <w:t>jcwp LW</w:t>
      </w:r>
    </w:p>
    <w:p w14:paraId="3145E8C5" w14:textId="5E23B8B5" w:rsidR="00643D60" w:rsidRPr="00BE4152" w:rsidRDefault="00643D60" w:rsidP="00643D60">
      <w:pPr>
        <w:suppressAutoHyphens/>
      </w:pPr>
      <w:r w:rsidRPr="00BE4152">
        <w:t xml:space="preserve">Podstawą do przygotowania projektu sieci punktów i programów monitoringu był wykaz, o którym mowa w art. 317 ust. 1 pkt 1 </w:t>
      </w:r>
      <w:r w:rsidR="00822135">
        <w:t xml:space="preserve">ustawy </w:t>
      </w:r>
      <w:r w:rsidRPr="00BE4152">
        <w:t>pr.w.</w:t>
      </w:r>
      <w:r>
        <w:t>,</w:t>
      </w:r>
      <w:r w:rsidRPr="00BE4152">
        <w:t xml:space="preserve"> i dokumentacja planistyczna określająca identyfikację znaczących oddziaływań antropogenicznych </w:t>
      </w:r>
      <w:r>
        <w:t>wraz z</w:t>
      </w:r>
      <w:r w:rsidRPr="00BE4152">
        <w:t xml:space="preserve"> ocen</w:t>
      </w:r>
      <w:r>
        <w:t>ą</w:t>
      </w:r>
      <w:r w:rsidRPr="00BE4152">
        <w:t xml:space="preserve"> ich wpływu na stan wód powierzchniowych </w:t>
      </w:r>
      <w:r>
        <w:t>oraz</w:t>
      </w:r>
      <w:r w:rsidRPr="00BE4152">
        <w:t xml:space="preserve"> podziemnych (art. 317 ust. 1 pkt 3 </w:t>
      </w:r>
      <w:r w:rsidR="00822135">
        <w:t xml:space="preserve">ustawy </w:t>
      </w:r>
      <w:r w:rsidRPr="00BE4152">
        <w:t xml:space="preserve">pr.w.), a także rejestr wykazów obszarów chronionych, o których mowa w art. 317 ust. 4 </w:t>
      </w:r>
      <w:r w:rsidR="00FA4331">
        <w:t xml:space="preserve">ustawy </w:t>
      </w:r>
      <w:r w:rsidRPr="00BE4152">
        <w:t>pr.w.</w:t>
      </w:r>
    </w:p>
    <w:p w14:paraId="61FFAC93" w14:textId="77777777" w:rsidR="00643D60" w:rsidRPr="00AA0CAB" w:rsidRDefault="00643D60" w:rsidP="00AA0CAB">
      <w:pPr>
        <w:pStyle w:val="Nagwek5"/>
      </w:pPr>
      <w:r w:rsidRPr="00AA0CAB">
        <w:t>Program monitoringu jcwp RW</w:t>
      </w:r>
    </w:p>
    <w:p w14:paraId="288C6988" w14:textId="7C0C5D27" w:rsidR="00643D60" w:rsidRPr="009577A0" w:rsidRDefault="00643D60" w:rsidP="00643D60">
      <w:pPr>
        <w:suppressAutoHyphens/>
      </w:pPr>
      <w:r w:rsidRPr="00926535">
        <w:t xml:space="preserve">W ramach sieci monitoringu na lata 2022-2027 w obszarze dorzecza Pregoły zaplanowano łącznie 75 </w:t>
      </w:r>
      <w:r w:rsidRPr="00B142D6">
        <w:t>ppk monitorujących 75 spośród 82 jcwp RW, co oznacza, że 91,5% jcwp RW powinno zostać objętych przynajmniej jednym rodzajem monitoringu</w:t>
      </w:r>
      <w:r w:rsidR="00247521">
        <w:t xml:space="preserve"> (wykres 5-1)</w:t>
      </w:r>
      <w:r w:rsidRPr="00A772D2">
        <w:t>. Tym samym, w porównaniu do zaplanowanej na obszarze dorzecza Pregoły sieci monitoringu w aPGW (</w:t>
      </w:r>
      <w:r>
        <w:t xml:space="preserve">2016 </w:t>
      </w:r>
      <w:r w:rsidR="00442AB7">
        <w:t>-</w:t>
      </w:r>
      <w:r>
        <w:t xml:space="preserve"> 2021) </w:t>
      </w:r>
      <w:r w:rsidRPr="009577A0">
        <w:t>nastąpił wzrost liczby jcwp planowanych do objęcia monitoringiem (w stosunku do ogólnej liczby jcwp) o 58,1%.</w:t>
      </w:r>
      <w:r>
        <w:t xml:space="preserve"> </w:t>
      </w:r>
      <w:r w:rsidRPr="00A772D2">
        <w:t>W skali kraju monitoringiem na lata 2022-2027 będzie objętych 96,9% jcwp RW i RWr</w:t>
      </w:r>
      <w:r>
        <w:t>.</w:t>
      </w:r>
    </w:p>
    <w:p w14:paraId="2DB94FFD" w14:textId="6806F7FC" w:rsidR="00643D60" w:rsidRPr="006112E2" w:rsidRDefault="00643D60" w:rsidP="00643D60">
      <w:pPr>
        <w:suppressAutoHyphens/>
      </w:pPr>
      <w:r w:rsidRPr="009577A0">
        <w:t xml:space="preserve">Planowana sieć monitoringu jcwp RW </w:t>
      </w:r>
      <w:r w:rsidRPr="00247521">
        <w:t>na lata 2022-2027 przedstawiona została na załączniku graficznym nr 7. Informacja o odpowiednim dla</w:t>
      </w:r>
      <w:r w:rsidRPr="009577A0">
        <w:t xml:space="preserve"> danej jcwp ppk znajduje się w </w:t>
      </w:r>
      <w:r w:rsidRPr="001526CB">
        <w:t>załączniku nr 1</w:t>
      </w:r>
      <w:r w:rsidR="00A565BC">
        <w:t xml:space="preserve"> </w:t>
      </w:r>
      <w:r w:rsidRPr="006112E2">
        <w:t>(Zestawienie główne IIaPGW</w:t>
      </w:r>
      <w:r>
        <w:t xml:space="preserve"> prezentujące szczegółowe dane charakteryzujące każdą jcwp</w:t>
      </w:r>
      <w:r w:rsidRPr="006112E2">
        <w:t>).</w:t>
      </w:r>
    </w:p>
    <w:p w14:paraId="393E5E9F" w14:textId="3D63B48D" w:rsidR="00643D60" w:rsidRPr="006112E2" w:rsidRDefault="00643D60" w:rsidP="00643D60">
      <w:pPr>
        <w:suppressAutoHyphens/>
      </w:pPr>
      <w:r w:rsidRPr="006112E2">
        <w:t xml:space="preserve">Informacje o jcwp RW planowanych do monitoringu diagnostycznego (MD) i/lub operacyjnego (MO) w latach 2022-2027 w obszarze dorzecza Pregoły (region wodny Łyny i Węgorapy) zostały przedstawione w </w:t>
      </w:r>
      <w:r w:rsidRPr="00247521">
        <w:t>tabelach</w:t>
      </w:r>
      <w:r w:rsidR="004A1B76" w:rsidRPr="00247521">
        <w:t xml:space="preserve"> 5-4</w:t>
      </w:r>
      <w:r w:rsidR="00247521" w:rsidRPr="00247521">
        <w:t xml:space="preserve"> i</w:t>
      </w:r>
      <w:r w:rsidR="004A1B76" w:rsidRPr="00247521">
        <w:t xml:space="preserve"> 5-5</w:t>
      </w:r>
      <w:r w:rsidRPr="006112E2">
        <w:t xml:space="preserve">. Nie planuje się wykonania monitoringu badawczego (MB). </w:t>
      </w:r>
    </w:p>
    <w:p w14:paraId="28C0DF11" w14:textId="2897077C" w:rsidR="00643D60" w:rsidRPr="00B142D6" w:rsidRDefault="00643D60" w:rsidP="006802BB">
      <w:pPr>
        <w:pStyle w:val="Tabela"/>
      </w:pPr>
      <w:bookmarkStart w:id="65" w:name="_Toc68726956"/>
      <w:r w:rsidRPr="00B142D6">
        <w:t xml:space="preserve">Tabela </w:t>
      </w:r>
      <w:fldSimple w:instr=" STYLEREF 1 \s ">
        <w:r w:rsidR="007B4050">
          <w:rPr>
            <w:noProof/>
          </w:rPr>
          <w:t>5</w:t>
        </w:r>
      </w:fldSimple>
      <w:r w:rsidR="007B4050">
        <w:noBreakHyphen/>
      </w:r>
      <w:fldSimple w:instr=" SEQ Tabela \* ARABIC \s 1 ">
        <w:r w:rsidR="007B4050">
          <w:rPr>
            <w:noProof/>
          </w:rPr>
          <w:t>4</w:t>
        </w:r>
      </w:fldSimple>
      <w:r w:rsidRPr="00B142D6">
        <w:tab/>
        <w:t xml:space="preserve">Liczba jcwp RW planowanych do monitoringu w stosunku do całkowitej liczby jcwp </w:t>
      </w:r>
      <w:r>
        <w:t>w obszarze</w:t>
      </w:r>
      <w:r w:rsidRPr="00B142D6">
        <w:t xml:space="preserve"> dorzecza </w:t>
      </w:r>
      <w:r>
        <w:t xml:space="preserve">Pregoły </w:t>
      </w:r>
      <w:r w:rsidRPr="00B142D6">
        <w:t>(porównanie cyklów planistycznych 2016-2021 i 2022-2027)</w:t>
      </w:r>
      <w:bookmarkEnd w:id="65"/>
    </w:p>
    <w:tbl>
      <w:tblPr>
        <w:tblW w:w="8982" w:type="dxa"/>
        <w:tblInd w:w="80" w:type="dxa"/>
        <w:tblCellMar>
          <w:left w:w="70" w:type="dxa"/>
          <w:right w:w="70" w:type="dxa"/>
        </w:tblCellMar>
        <w:tblLook w:val="04A0" w:firstRow="1" w:lastRow="0" w:firstColumn="1" w:lastColumn="0" w:noHBand="0" w:noVBand="1"/>
      </w:tblPr>
      <w:tblGrid>
        <w:gridCol w:w="1900"/>
        <w:gridCol w:w="1900"/>
        <w:gridCol w:w="1900"/>
        <w:gridCol w:w="1900"/>
        <w:gridCol w:w="1382"/>
      </w:tblGrid>
      <w:tr w:rsidR="00643D60" w:rsidRPr="00B142D6" w14:paraId="2144BCF5" w14:textId="77777777" w:rsidTr="003F4A95">
        <w:trPr>
          <w:trHeight w:val="315"/>
        </w:trPr>
        <w:tc>
          <w:tcPr>
            <w:tcW w:w="1900" w:type="dxa"/>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0A3A58D5" w14:textId="77777777" w:rsidR="00643D60" w:rsidRPr="00B142D6" w:rsidRDefault="00643D60" w:rsidP="00B15070">
            <w:pPr>
              <w:suppressAutoHyphens/>
              <w:spacing w:before="0" w:after="0"/>
              <w:jc w:val="center"/>
              <w:rPr>
                <w:rFonts w:eastAsia="Times New Roman"/>
                <w:b/>
                <w:bCs/>
                <w:color w:val="000000"/>
                <w:sz w:val="20"/>
                <w:szCs w:val="20"/>
                <w:lang w:eastAsia="pl-PL"/>
              </w:rPr>
            </w:pPr>
            <w:bookmarkStart w:id="66" w:name="RANGE!C23"/>
            <w:r w:rsidRPr="00B142D6">
              <w:rPr>
                <w:rFonts w:eastAsia="Times New Roman"/>
                <w:b/>
                <w:bCs/>
                <w:color w:val="000000"/>
                <w:sz w:val="20"/>
                <w:szCs w:val="20"/>
                <w:lang w:eastAsia="pl-PL"/>
              </w:rPr>
              <w:t>Obszar dorzecza</w:t>
            </w:r>
            <w:bookmarkEnd w:id="66"/>
          </w:p>
        </w:tc>
        <w:tc>
          <w:tcPr>
            <w:tcW w:w="3800" w:type="dxa"/>
            <w:gridSpan w:val="2"/>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7B6EAC0E"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142D6">
              <w:rPr>
                <w:rFonts w:eastAsia="Times New Roman"/>
                <w:b/>
                <w:bCs/>
                <w:color w:val="000000"/>
                <w:sz w:val="20"/>
                <w:szCs w:val="20"/>
                <w:lang w:eastAsia="pl-PL"/>
              </w:rPr>
              <w:t>Cykl planistyczny 2016-2021</w:t>
            </w:r>
          </w:p>
        </w:tc>
        <w:tc>
          <w:tcPr>
            <w:tcW w:w="3282" w:type="dxa"/>
            <w:gridSpan w:val="2"/>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5FCB9CA1"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142D6">
              <w:rPr>
                <w:rFonts w:eastAsia="Times New Roman"/>
                <w:b/>
                <w:bCs/>
                <w:color w:val="000000"/>
                <w:sz w:val="20"/>
                <w:szCs w:val="20"/>
                <w:lang w:eastAsia="pl-PL"/>
              </w:rPr>
              <w:t>Cykl planistyczny 2022-2027</w:t>
            </w:r>
          </w:p>
        </w:tc>
      </w:tr>
      <w:tr w:rsidR="00643D60" w:rsidRPr="00BC2D1E" w14:paraId="1B5708E1" w14:textId="77777777" w:rsidTr="003F4A95">
        <w:trPr>
          <w:trHeight w:val="780"/>
        </w:trPr>
        <w:tc>
          <w:tcPr>
            <w:tcW w:w="1900" w:type="dxa"/>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6511CF21" w14:textId="77777777" w:rsidR="00643D60" w:rsidRPr="00B142D6" w:rsidRDefault="00643D60" w:rsidP="00B15070">
            <w:pPr>
              <w:suppressAutoHyphens/>
              <w:spacing w:before="0" w:after="0"/>
              <w:jc w:val="left"/>
              <w:rPr>
                <w:rFonts w:eastAsia="Times New Roman"/>
                <w:b/>
                <w:bCs/>
                <w:color w:val="000000"/>
                <w:sz w:val="20"/>
                <w:szCs w:val="20"/>
                <w:lang w:eastAsia="pl-PL"/>
              </w:rPr>
            </w:pPr>
          </w:p>
        </w:tc>
        <w:tc>
          <w:tcPr>
            <w:tcW w:w="1900" w:type="dxa"/>
            <w:tcBorders>
              <w:top w:val="nil"/>
              <w:left w:val="nil"/>
              <w:bottom w:val="single" w:sz="8" w:space="0" w:color="auto"/>
              <w:right w:val="single" w:sz="8" w:space="0" w:color="auto"/>
            </w:tcBorders>
            <w:shd w:val="clear" w:color="auto" w:fill="BFBFBF" w:themeFill="background1" w:themeFillShade="BF"/>
            <w:vAlign w:val="center"/>
            <w:hideMark/>
          </w:tcPr>
          <w:p w14:paraId="774413CE"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142D6">
              <w:rPr>
                <w:rFonts w:eastAsia="Times New Roman"/>
                <w:b/>
                <w:bCs/>
                <w:color w:val="000000"/>
                <w:sz w:val="20"/>
                <w:szCs w:val="20"/>
                <w:lang w:eastAsia="pl-PL"/>
              </w:rPr>
              <w:t>Liczba jcwp RW</w:t>
            </w:r>
          </w:p>
        </w:tc>
        <w:tc>
          <w:tcPr>
            <w:tcW w:w="1900" w:type="dxa"/>
            <w:tcBorders>
              <w:top w:val="nil"/>
              <w:left w:val="nil"/>
              <w:bottom w:val="single" w:sz="8" w:space="0" w:color="auto"/>
              <w:right w:val="single" w:sz="8" w:space="0" w:color="auto"/>
            </w:tcBorders>
            <w:shd w:val="clear" w:color="auto" w:fill="BFBFBF" w:themeFill="background1" w:themeFillShade="BF"/>
            <w:vAlign w:val="center"/>
            <w:hideMark/>
          </w:tcPr>
          <w:p w14:paraId="09B8B87B"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 xml:space="preserve">Liczba jcwp </w:t>
            </w:r>
            <w:r>
              <w:rPr>
                <w:rFonts w:eastAsia="Times New Roman"/>
                <w:b/>
                <w:bCs/>
                <w:color w:val="000000"/>
                <w:sz w:val="20"/>
                <w:szCs w:val="20"/>
                <w:lang w:eastAsia="pl-PL"/>
              </w:rPr>
              <w:t>objęta monitoringiem</w:t>
            </w:r>
            <w:r w:rsidRPr="00BE4152">
              <w:rPr>
                <w:rFonts w:eastAsia="Times New Roman"/>
                <w:b/>
                <w:bCs/>
                <w:color w:val="000000"/>
                <w:sz w:val="20"/>
                <w:szCs w:val="20"/>
                <w:lang w:eastAsia="pl-PL"/>
              </w:rPr>
              <w:t xml:space="preserve"> </w:t>
            </w:r>
          </w:p>
        </w:tc>
        <w:tc>
          <w:tcPr>
            <w:tcW w:w="1900" w:type="dxa"/>
            <w:tcBorders>
              <w:top w:val="nil"/>
              <w:left w:val="nil"/>
              <w:bottom w:val="single" w:sz="8" w:space="0" w:color="auto"/>
              <w:right w:val="single" w:sz="8" w:space="0" w:color="auto"/>
            </w:tcBorders>
            <w:shd w:val="clear" w:color="auto" w:fill="BFBFBF" w:themeFill="background1" w:themeFillShade="BF"/>
            <w:vAlign w:val="center"/>
            <w:hideMark/>
          </w:tcPr>
          <w:p w14:paraId="0E89F6DE"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142D6">
              <w:rPr>
                <w:rFonts w:eastAsia="Times New Roman"/>
                <w:b/>
                <w:bCs/>
                <w:color w:val="000000"/>
                <w:sz w:val="20"/>
                <w:szCs w:val="20"/>
                <w:lang w:eastAsia="pl-PL"/>
              </w:rPr>
              <w:t>Liczba jcwp RW</w:t>
            </w:r>
          </w:p>
        </w:tc>
        <w:tc>
          <w:tcPr>
            <w:tcW w:w="1382" w:type="dxa"/>
            <w:tcBorders>
              <w:top w:val="nil"/>
              <w:left w:val="nil"/>
              <w:bottom w:val="single" w:sz="8" w:space="0" w:color="auto"/>
              <w:right w:val="single" w:sz="8" w:space="0" w:color="auto"/>
            </w:tcBorders>
            <w:shd w:val="clear" w:color="auto" w:fill="BFBFBF" w:themeFill="background1" w:themeFillShade="BF"/>
            <w:vAlign w:val="center"/>
            <w:hideMark/>
          </w:tcPr>
          <w:p w14:paraId="5DD04E41" w14:textId="77777777" w:rsidR="00643D60" w:rsidRPr="00B142D6" w:rsidRDefault="00643D60" w:rsidP="00B15070">
            <w:pPr>
              <w:suppressAutoHyphens/>
              <w:spacing w:before="0" w:after="0"/>
              <w:jc w:val="center"/>
              <w:rPr>
                <w:rFonts w:eastAsia="Times New Roman"/>
                <w:b/>
                <w:bCs/>
                <w:color w:val="000000"/>
                <w:sz w:val="20"/>
                <w:szCs w:val="20"/>
                <w:lang w:eastAsia="pl-PL"/>
              </w:rPr>
            </w:pPr>
            <w:r w:rsidRPr="00B142D6">
              <w:rPr>
                <w:rFonts w:eastAsia="Times New Roman"/>
                <w:b/>
                <w:bCs/>
                <w:color w:val="000000"/>
                <w:sz w:val="20"/>
                <w:szCs w:val="20"/>
                <w:lang w:eastAsia="pl-PL"/>
              </w:rPr>
              <w:t>Liczba jcwp z ppk</w:t>
            </w:r>
          </w:p>
        </w:tc>
      </w:tr>
      <w:tr w:rsidR="00643D60" w:rsidRPr="00BC2D1E" w14:paraId="4079814F" w14:textId="77777777" w:rsidTr="00B15070">
        <w:trPr>
          <w:trHeight w:val="300"/>
        </w:trPr>
        <w:tc>
          <w:tcPr>
            <w:tcW w:w="1900" w:type="dxa"/>
            <w:tcBorders>
              <w:top w:val="nil"/>
              <w:left w:val="single" w:sz="8" w:space="0" w:color="auto"/>
              <w:bottom w:val="single" w:sz="8" w:space="0" w:color="auto"/>
              <w:right w:val="single" w:sz="8" w:space="0" w:color="auto"/>
            </w:tcBorders>
            <w:shd w:val="clear" w:color="auto" w:fill="auto"/>
            <w:vAlign w:val="center"/>
            <w:hideMark/>
          </w:tcPr>
          <w:p w14:paraId="74FC5D7A" w14:textId="77777777" w:rsidR="00643D60" w:rsidRPr="00B142D6" w:rsidRDefault="00643D60" w:rsidP="00B15070">
            <w:pPr>
              <w:suppressAutoHyphens/>
              <w:spacing w:before="0" w:after="0"/>
              <w:rPr>
                <w:rFonts w:eastAsia="Times New Roman"/>
                <w:color w:val="000000"/>
                <w:sz w:val="20"/>
                <w:szCs w:val="20"/>
                <w:lang w:eastAsia="pl-PL"/>
              </w:rPr>
            </w:pPr>
            <w:r w:rsidRPr="00B142D6">
              <w:rPr>
                <w:rFonts w:eastAsia="Times New Roman"/>
                <w:color w:val="000000"/>
                <w:sz w:val="20"/>
                <w:szCs w:val="20"/>
                <w:lang w:eastAsia="pl-PL"/>
              </w:rPr>
              <w:t>Pregoły</w:t>
            </w:r>
          </w:p>
        </w:tc>
        <w:tc>
          <w:tcPr>
            <w:tcW w:w="1900" w:type="dxa"/>
            <w:tcBorders>
              <w:top w:val="nil"/>
              <w:left w:val="nil"/>
              <w:bottom w:val="single" w:sz="8" w:space="0" w:color="auto"/>
              <w:right w:val="single" w:sz="8" w:space="0" w:color="auto"/>
            </w:tcBorders>
            <w:shd w:val="clear" w:color="auto" w:fill="auto"/>
            <w:vAlign w:val="center"/>
            <w:hideMark/>
          </w:tcPr>
          <w:p w14:paraId="109B04F0" w14:textId="77777777" w:rsidR="00643D60" w:rsidRPr="00B142D6" w:rsidRDefault="00643D60" w:rsidP="00B15070">
            <w:pPr>
              <w:suppressAutoHyphens/>
              <w:spacing w:before="0" w:after="0"/>
              <w:jc w:val="center"/>
              <w:rPr>
                <w:rFonts w:eastAsia="Times New Roman"/>
                <w:color w:val="000000"/>
                <w:sz w:val="20"/>
                <w:szCs w:val="20"/>
                <w:lang w:eastAsia="pl-PL"/>
              </w:rPr>
            </w:pPr>
            <w:r w:rsidRPr="00B142D6">
              <w:rPr>
                <w:rFonts w:eastAsia="Times New Roman"/>
                <w:color w:val="000000"/>
                <w:sz w:val="20"/>
                <w:szCs w:val="20"/>
                <w:lang w:eastAsia="pl-PL"/>
              </w:rPr>
              <w:t>120</w:t>
            </w:r>
          </w:p>
        </w:tc>
        <w:tc>
          <w:tcPr>
            <w:tcW w:w="1900" w:type="dxa"/>
            <w:tcBorders>
              <w:top w:val="nil"/>
              <w:left w:val="nil"/>
              <w:bottom w:val="single" w:sz="8" w:space="0" w:color="auto"/>
              <w:right w:val="single" w:sz="8" w:space="0" w:color="auto"/>
            </w:tcBorders>
            <w:shd w:val="clear" w:color="auto" w:fill="auto"/>
            <w:vAlign w:val="center"/>
            <w:hideMark/>
          </w:tcPr>
          <w:p w14:paraId="26192928" w14:textId="77777777" w:rsidR="00643D60" w:rsidRPr="00B142D6" w:rsidRDefault="00643D60" w:rsidP="00B15070">
            <w:pPr>
              <w:suppressAutoHyphens/>
              <w:spacing w:before="0" w:after="0"/>
              <w:jc w:val="center"/>
              <w:rPr>
                <w:rFonts w:eastAsia="Times New Roman"/>
                <w:color w:val="000000"/>
                <w:sz w:val="20"/>
                <w:szCs w:val="20"/>
                <w:lang w:eastAsia="pl-PL"/>
              </w:rPr>
            </w:pPr>
            <w:r w:rsidRPr="00B142D6">
              <w:rPr>
                <w:rFonts w:eastAsia="Times New Roman"/>
                <w:color w:val="000000"/>
                <w:sz w:val="20"/>
                <w:szCs w:val="20"/>
                <w:lang w:eastAsia="pl-PL"/>
              </w:rPr>
              <w:t>40</w:t>
            </w:r>
          </w:p>
        </w:tc>
        <w:tc>
          <w:tcPr>
            <w:tcW w:w="1900" w:type="dxa"/>
            <w:tcBorders>
              <w:top w:val="nil"/>
              <w:left w:val="nil"/>
              <w:bottom w:val="single" w:sz="8" w:space="0" w:color="auto"/>
              <w:right w:val="single" w:sz="8" w:space="0" w:color="auto"/>
            </w:tcBorders>
            <w:shd w:val="clear" w:color="auto" w:fill="auto"/>
            <w:vAlign w:val="center"/>
            <w:hideMark/>
          </w:tcPr>
          <w:p w14:paraId="2E4C9F53" w14:textId="77777777" w:rsidR="00643D60" w:rsidRPr="00B142D6" w:rsidRDefault="00643D60" w:rsidP="00B15070">
            <w:pPr>
              <w:suppressAutoHyphens/>
              <w:spacing w:before="0" w:after="0"/>
              <w:jc w:val="center"/>
              <w:rPr>
                <w:rFonts w:eastAsia="Times New Roman"/>
                <w:color w:val="000000"/>
                <w:sz w:val="20"/>
                <w:szCs w:val="20"/>
                <w:lang w:eastAsia="pl-PL"/>
              </w:rPr>
            </w:pPr>
            <w:r w:rsidRPr="00B142D6">
              <w:rPr>
                <w:rFonts w:eastAsia="Times New Roman"/>
                <w:color w:val="000000"/>
                <w:sz w:val="20"/>
                <w:szCs w:val="20"/>
                <w:lang w:eastAsia="pl-PL"/>
              </w:rPr>
              <w:t>82</w:t>
            </w:r>
          </w:p>
        </w:tc>
        <w:tc>
          <w:tcPr>
            <w:tcW w:w="1382" w:type="dxa"/>
            <w:tcBorders>
              <w:top w:val="nil"/>
              <w:left w:val="nil"/>
              <w:bottom w:val="single" w:sz="8" w:space="0" w:color="auto"/>
              <w:right w:val="single" w:sz="8" w:space="0" w:color="auto"/>
            </w:tcBorders>
            <w:shd w:val="clear" w:color="auto" w:fill="auto"/>
            <w:vAlign w:val="center"/>
            <w:hideMark/>
          </w:tcPr>
          <w:p w14:paraId="4C890B0B" w14:textId="77777777" w:rsidR="00643D60" w:rsidRPr="00B142D6" w:rsidRDefault="00643D60" w:rsidP="00B15070">
            <w:pPr>
              <w:suppressAutoHyphens/>
              <w:spacing w:before="0" w:after="0"/>
              <w:jc w:val="center"/>
              <w:rPr>
                <w:rFonts w:eastAsia="Times New Roman"/>
                <w:color w:val="000000"/>
                <w:sz w:val="20"/>
                <w:szCs w:val="20"/>
                <w:lang w:eastAsia="pl-PL"/>
              </w:rPr>
            </w:pPr>
            <w:r w:rsidRPr="00B142D6">
              <w:rPr>
                <w:rFonts w:eastAsia="Times New Roman"/>
                <w:color w:val="000000"/>
                <w:sz w:val="20"/>
                <w:szCs w:val="20"/>
                <w:lang w:eastAsia="pl-PL"/>
              </w:rPr>
              <w:t>75</w:t>
            </w:r>
          </w:p>
        </w:tc>
      </w:tr>
    </w:tbl>
    <w:p w14:paraId="10628526" w14:textId="1FC58901" w:rsidR="00247521" w:rsidRDefault="00643D60" w:rsidP="003D372B">
      <w:pPr>
        <w:pStyle w:val="rdo0"/>
      </w:pPr>
      <w:r w:rsidRPr="00B142D6">
        <w:t xml:space="preserve">Źródło: opracowanie </w:t>
      </w:r>
      <w:r w:rsidR="005B3051">
        <w:t>własne</w:t>
      </w:r>
      <w:r w:rsidRPr="00B142D6">
        <w:t xml:space="preserve"> na </w:t>
      </w:r>
      <w:r w:rsidRPr="003D372B">
        <w:t>podstawie</w:t>
      </w:r>
      <w:r w:rsidRPr="00B142D6">
        <w:t xml:space="preserve"> danych GIOŚ dot. sieci monitoringu 2022-2027</w:t>
      </w:r>
    </w:p>
    <w:p w14:paraId="3A3B4D33" w14:textId="77777777" w:rsidR="00247521" w:rsidRDefault="00247521">
      <w:pPr>
        <w:spacing w:before="0" w:after="0"/>
        <w:jc w:val="left"/>
        <w:rPr>
          <w:rFonts w:asciiTheme="minorHAnsi" w:hAnsiTheme="minorHAnsi" w:cstheme="minorHAnsi"/>
          <w:i/>
          <w:iCs/>
          <w:color w:val="003399"/>
          <w:sz w:val="18"/>
          <w:szCs w:val="18"/>
        </w:rPr>
      </w:pPr>
      <w:r>
        <w:br w:type="page"/>
      </w:r>
    </w:p>
    <w:p w14:paraId="02DC3C7A" w14:textId="77777777" w:rsidR="00643D60" w:rsidRPr="00BC2D1E" w:rsidRDefault="00643D60" w:rsidP="00643D60">
      <w:pPr>
        <w:suppressAutoHyphens/>
        <w:jc w:val="center"/>
        <w:rPr>
          <w:sz w:val="20"/>
          <w:szCs w:val="20"/>
          <w:highlight w:val="yellow"/>
        </w:rPr>
      </w:pPr>
      <w:r>
        <w:rPr>
          <w:noProof/>
        </w:rPr>
        <w:drawing>
          <wp:inline distT="0" distB="0" distL="0" distR="0" wp14:anchorId="5027F77B" wp14:editId="50B685D2">
            <wp:extent cx="4495800" cy="2911289"/>
            <wp:effectExtent l="0" t="0" r="0" b="3810"/>
            <wp:docPr id="4" name="Wykres 4">
              <a:extLst xmlns:a="http://schemas.openxmlformats.org/drawingml/2006/main">
                <a:ext uri="{FF2B5EF4-FFF2-40B4-BE49-F238E27FC236}">
                  <a16:creationId xmlns:a16="http://schemas.microsoft.com/office/drawing/2014/main" id="{771C24A1-EE44-4F5D-9E53-BE5ADD69E1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08B896" w14:textId="59A5153E" w:rsidR="00643D60" w:rsidRPr="009577A0" w:rsidRDefault="00643D60" w:rsidP="003F4A95">
      <w:pPr>
        <w:pStyle w:val="Wykres"/>
      </w:pPr>
      <w:bookmarkStart w:id="67" w:name="_Toc68727087"/>
      <w:r w:rsidRPr="009577A0">
        <w:t xml:space="preserve">Wykres </w:t>
      </w:r>
      <w:fldSimple w:instr=" STYLEREF 1 \s ">
        <w:r w:rsidR="00EF3FD3">
          <w:rPr>
            <w:noProof/>
          </w:rPr>
          <w:t>5</w:t>
        </w:r>
      </w:fldSimple>
      <w:r w:rsidR="00EF3FD3">
        <w:noBreakHyphen/>
      </w:r>
      <w:fldSimple w:instr=" SEQ Wykres \* ARABIC \s 1 ">
        <w:r w:rsidR="00EF3FD3">
          <w:rPr>
            <w:noProof/>
          </w:rPr>
          <w:t>1</w:t>
        </w:r>
      </w:fldSimple>
      <w:r w:rsidRPr="009577A0">
        <w:tab/>
        <w:t>Udział jcwp RW planowanych do objęcia monitoringiem w latach 2022-2027 w stosunku do ogólnej liczby jcwp danej kategorii w obszarze dorzecza Pregoły</w:t>
      </w:r>
      <w:bookmarkEnd w:id="67"/>
    </w:p>
    <w:p w14:paraId="279E290A" w14:textId="7BF8C97E" w:rsidR="00643D60" w:rsidRPr="009577A0" w:rsidRDefault="00643D60" w:rsidP="00442AB7">
      <w:pPr>
        <w:pStyle w:val="rdo0"/>
        <w:rPr>
          <w:i w:val="0"/>
          <w:color w:val="000099"/>
          <w:sz w:val="20"/>
          <w:szCs w:val="20"/>
        </w:rPr>
      </w:pPr>
      <w:r w:rsidRPr="009577A0">
        <w:t xml:space="preserve">Źródło: opracowanie </w:t>
      </w:r>
      <w:r w:rsidR="005B3051">
        <w:t>własne</w:t>
      </w:r>
      <w:r w:rsidRPr="009577A0">
        <w:t xml:space="preserve"> na podstawie danych GIOŚ dot. sieci monitoringu 2022-2027</w:t>
      </w:r>
    </w:p>
    <w:p w14:paraId="038361B9" w14:textId="0C7FAD42" w:rsidR="00643D60" w:rsidRDefault="00643D60" w:rsidP="003F4A95">
      <w:pPr>
        <w:pStyle w:val="Tabela"/>
      </w:pPr>
      <w:bookmarkStart w:id="68" w:name="_Toc68726957"/>
      <w:r w:rsidRPr="006112E2">
        <w:t xml:space="preserve">Tabela </w:t>
      </w:r>
      <w:fldSimple w:instr=" STYLEREF 1 \s ">
        <w:r w:rsidR="007B4050">
          <w:rPr>
            <w:noProof/>
          </w:rPr>
          <w:t>5</w:t>
        </w:r>
      </w:fldSimple>
      <w:r w:rsidR="007B4050">
        <w:noBreakHyphen/>
      </w:r>
      <w:fldSimple w:instr=" SEQ Tabela \* ARABIC \s 1 ">
        <w:r w:rsidR="007B4050">
          <w:rPr>
            <w:noProof/>
          </w:rPr>
          <w:t>5</w:t>
        </w:r>
      </w:fldSimple>
      <w:r w:rsidRPr="006112E2">
        <w:tab/>
        <w:t xml:space="preserve">Liczba jcwp RW planowanych do monitoringu diagnostycznego (MD) i/lub operacyjnego (MO) w latach 2022-2027 w stosunku do całkowitej liczby jcwp danych kategorii </w:t>
      </w:r>
      <w:r>
        <w:t>w obszarze dorzecza Pregoły</w:t>
      </w:r>
      <w:bookmarkEnd w:id="68"/>
    </w:p>
    <w:tbl>
      <w:tblPr>
        <w:tblW w:w="9052" w:type="dxa"/>
        <w:jc w:val="center"/>
        <w:tblCellMar>
          <w:left w:w="70" w:type="dxa"/>
          <w:right w:w="70" w:type="dxa"/>
        </w:tblCellMar>
        <w:tblLook w:val="04A0" w:firstRow="1" w:lastRow="0" w:firstColumn="1" w:lastColumn="0" w:noHBand="0" w:noVBand="1"/>
      </w:tblPr>
      <w:tblGrid>
        <w:gridCol w:w="1550"/>
        <w:gridCol w:w="744"/>
        <w:gridCol w:w="960"/>
        <w:gridCol w:w="960"/>
        <w:gridCol w:w="961"/>
        <w:gridCol w:w="962"/>
        <w:gridCol w:w="982"/>
        <w:gridCol w:w="969"/>
        <w:gridCol w:w="964"/>
      </w:tblGrid>
      <w:tr w:rsidR="00982408" w14:paraId="5775E2B0" w14:textId="77777777" w:rsidTr="003F4A95">
        <w:trPr>
          <w:trHeight w:val="326"/>
          <w:tblHeader/>
          <w:jc w:val="center"/>
        </w:trPr>
        <w:tc>
          <w:tcPr>
            <w:tcW w:w="1550" w:type="dxa"/>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008B4793"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Regiony wodne w obszarze dorzecza Pregoły</w:t>
            </w:r>
          </w:p>
        </w:tc>
        <w:tc>
          <w:tcPr>
            <w:tcW w:w="7502" w:type="dxa"/>
            <w:gridSpan w:val="8"/>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7A458114"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Cykl planistyczny 2022-2027</w:t>
            </w:r>
          </w:p>
        </w:tc>
      </w:tr>
      <w:tr w:rsidR="00982408" w14:paraId="5EB9FDEF" w14:textId="77777777" w:rsidTr="003F4A95">
        <w:trPr>
          <w:trHeight w:val="326"/>
          <w:tblHeader/>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60865A12" w14:textId="77777777" w:rsidR="00982408" w:rsidRDefault="00982408">
            <w:pPr>
              <w:spacing w:before="0" w:after="0"/>
              <w:jc w:val="left"/>
              <w:rPr>
                <w:rFonts w:eastAsia="Times New Roman"/>
                <w:b/>
                <w:bCs/>
                <w:color w:val="000000"/>
                <w:sz w:val="20"/>
                <w:szCs w:val="20"/>
                <w:lang w:eastAsia="pl-PL"/>
              </w:rPr>
            </w:pPr>
          </w:p>
        </w:tc>
        <w:tc>
          <w:tcPr>
            <w:tcW w:w="7502" w:type="dxa"/>
            <w:gridSpan w:val="8"/>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1D3A401B"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jcwp RW</w:t>
            </w:r>
          </w:p>
        </w:tc>
      </w:tr>
      <w:tr w:rsidR="00982408" w14:paraId="6D885C30" w14:textId="77777777" w:rsidTr="003F4A95">
        <w:trPr>
          <w:trHeight w:val="780"/>
          <w:tblHeader/>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204FA786" w14:textId="77777777" w:rsidR="00982408" w:rsidRDefault="00982408">
            <w:pPr>
              <w:spacing w:before="0" w:after="0"/>
              <w:jc w:val="left"/>
              <w:rPr>
                <w:rFonts w:eastAsia="Times New Roman"/>
                <w:b/>
                <w:bCs/>
                <w:color w:val="000000"/>
                <w:sz w:val="20"/>
                <w:szCs w:val="20"/>
                <w:lang w:eastAsia="pl-PL"/>
              </w:rPr>
            </w:pPr>
          </w:p>
        </w:tc>
        <w:tc>
          <w:tcPr>
            <w:tcW w:w="744" w:type="dxa"/>
            <w:tcBorders>
              <w:top w:val="nil"/>
              <w:left w:val="nil"/>
              <w:bottom w:val="single" w:sz="8" w:space="0" w:color="auto"/>
              <w:right w:val="single" w:sz="8" w:space="0" w:color="auto"/>
            </w:tcBorders>
            <w:shd w:val="clear" w:color="auto" w:fill="BFBFBF" w:themeFill="background1" w:themeFillShade="BF"/>
            <w:vAlign w:val="center"/>
            <w:hideMark/>
          </w:tcPr>
          <w:p w14:paraId="2ADA7029" w14:textId="77777777" w:rsidR="00982408" w:rsidRDefault="00982408">
            <w:pPr>
              <w:suppressAutoHyphens/>
              <w:spacing w:before="0" w:after="0"/>
              <w:jc w:val="center"/>
              <w:rPr>
                <w:rFonts w:eastAsia="Times New Roman"/>
                <w:b/>
                <w:bCs/>
                <w:color w:val="000000"/>
                <w:sz w:val="18"/>
                <w:szCs w:val="18"/>
                <w:lang w:eastAsia="pl-PL"/>
              </w:rPr>
            </w:pPr>
            <w:r>
              <w:rPr>
                <w:rFonts w:eastAsia="Times New Roman"/>
                <w:b/>
                <w:bCs/>
                <w:color w:val="000000"/>
                <w:sz w:val="18"/>
                <w:szCs w:val="18"/>
                <w:lang w:eastAsia="pl-PL"/>
              </w:rPr>
              <w:t>Liczba jcwp</w:t>
            </w:r>
          </w:p>
        </w:tc>
        <w:tc>
          <w:tcPr>
            <w:tcW w:w="960" w:type="dxa"/>
            <w:tcBorders>
              <w:top w:val="nil"/>
              <w:left w:val="nil"/>
              <w:bottom w:val="single" w:sz="8" w:space="0" w:color="auto"/>
              <w:right w:val="single" w:sz="8" w:space="0" w:color="auto"/>
            </w:tcBorders>
            <w:shd w:val="clear" w:color="auto" w:fill="BFBFBF" w:themeFill="background1" w:themeFillShade="BF"/>
            <w:vAlign w:val="center"/>
            <w:hideMark/>
          </w:tcPr>
          <w:p w14:paraId="190D9C61" w14:textId="77777777" w:rsidR="00982408" w:rsidRDefault="00982408">
            <w:pPr>
              <w:suppressAutoHyphens/>
              <w:spacing w:before="0" w:after="0"/>
              <w:jc w:val="center"/>
              <w:rPr>
                <w:rFonts w:eastAsia="Times New Roman"/>
                <w:b/>
                <w:bCs/>
                <w:color w:val="000000"/>
                <w:sz w:val="18"/>
                <w:szCs w:val="18"/>
                <w:lang w:eastAsia="pl-PL"/>
              </w:rPr>
            </w:pPr>
            <w:r>
              <w:rPr>
                <w:rFonts w:eastAsia="Times New Roman"/>
                <w:b/>
                <w:bCs/>
                <w:color w:val="000000"/>
                <w:sz w:val="18"/>
                <w:szCs w:val="18"/>
                <w:lang w:eastAsia="pl-PL"/>
              </w:rPr>
              <w:t>Liczba jcwp z ppk</w:t>
            </w:r>
          </w:p>
        </w:tc>
        <w:tc>
          <w:tcPr>
            <w:tcW w:w="960" w:type="dxa"/>
            <w:tcBorders>
              <w:top w:val="nil"/>
              <w:left w:val="nil"/>
              <w:bottom w:val="single" w:sz="8" w:space="0" w:color="auto"/>
              <w:right w:val="single" w:sz="8" w:space="0" w:color="000000"/>
            </w:tcBorders>
            <w:shd w:val="clear" w:color="auto" w:fill="BFBFBF" w:themeFill="background1" w:themeFillShade="BF"/>
            <w:vAlign w:val="center"/>
            <w:hideMark/>
          </w:tcPr>
          <w:p w14:paraId="09461173"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MD* </w:t>
            </w:r>
          </w:p>
          <w:p w14:paraId="3A34F3A7" w14:textId="2D78AB08"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1" w:type="dxa"/>
            <w:tcBorders>
              <w:top w:val="nil"/>
              <w:left w:val="single" w:sz="8" w:space="0" w:color="000000"/>
              <w:bottom w:val="single" w:sz="8" w:space="0" w:color="auto"/>
              <w:right w:val="single" w:sz="8" w:space="0" w:color="000000"/>
            </w:tcBorders>
            <w:shd w:val="clear" w:color="auto" w:fill="BFBFBF" w:themeFill="background1" w:themeFillShade="BF"/>
            <w:vAlign w:val="center"/>
            <w:hideMark/>
          </w:tcPr>
          <w:p w14:paraId="3631BEFC"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MO* </w:t>
            </w:r>
          </w:p>
          <w:p w14:paraId="1C743346" w14:textId="3436D262"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2" w:type="dxa"/>
            <w:tcBorders>
              <w:top w:val="nil"/>
              <w:left w:val="single" w:sz="8" w:space="0" w:color="000000"/>
              <w:bottom w:val="single" w:sz="8" w:space="0" w:color="auto"/>
              <w:right w:val="single" w:sz="8" w:space="0" w:color="000000"/>
            </w:tcBorders>
            <w:shd w:val="clear" w:color="auto" w:fill="BFBFBF" w:themeFill="background1" w:themeFillShade="BF"/>
            <w:vAlign w:val="center"/>
            <w:hideMark/>
          </w:tcPr>
          <w:p w14:paraId="4D0782EE"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Udział jcwp z MB*</w:t>
            </w:r>
          </w:p>
          <w:p w14:paraId="30DFC398" w14:textId="70AD8D02"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 xml:space="preserve">(%j </w:t>
            </w:r>
          </w:p>
        </w:tc>
        <w:tc>
          <w:tcPr>
            <w:tcW w:w="982" w:type="dxa"/>
            <w:tcBorders>
              <w:top w:val="nil"/>
              <w:left w:val="single" w:sz="8" w:space="0" w:color="000000"/>
              <w:bottom w:val="single" w:sz="8" w:space="0" w:color="auto"/>
              <w:right w:val="single" w:sz="8" w:space="0" w:color="000000"/>
            </w:tcBorders>
            <w:shd w:val="clear" w:color="auto" w:fill="BFBFBF" w:themeFill="background1" w:themeFillShade="BF"/>
            <w:vAlign w:val="center"/>
            <w:hideMark/>
          </w:tcPr>
          <w:p w14:paraId="135F7CC8"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MD+MO* (%) </w:t>
            </w:r>
          </w:p>
        </w:tc>
        <w:tc>
          <w:tcPr>
            <w:tcW w:w="969" w:type="dxa"/>
            <w:tcBorders>
              <w:top w:val="nil"/>
              <w:left w:val="single" w:sz="8" w:space="0" w:color="000000"/>
              <w:bottom w:val="single" w:sz="8" w:space="0" w:color="auto"/>
              <w:right w:val="single" w:sz="8" w:space="0" w:color="000000"/>
            </w:tcBorders>
            <w:shd w:val="clear" w:color="auto" w:fill="BFBFBF" w:themeFill="background1" w:themeFillShade="BF"/>
            <w:vAlign w:val="center"/>
            <w:hideMark/>
          </w:tcPr>
          <w:p w14:paraId="5142C0F9"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MO+MB* (%) </w:t>
            </w:r>
          </w:p>
        </w:tc>
        <w:tc>
          <w:tcPr>
            <w:tcW w:w="964" w:type="dxa"/>
            <w:tcBorders>
              <w:top w:val="nil"/>
              <w:left w:val="single" w:sz="8" w:space="0" w:color="000000"/>
              <w:bottom w:val="single" w:sz="8" w:space="0" w:color="auto"/>
              <w:right w:val="single" w:sz="8" w:space="0" w:color="000000"/>
            </w:tcBorders>
            <w:shd w:val="clear" w:color="auto" w:fill="BFBFBF" w:themeFill="background1" w:themeFillShade="BF"/>
            <w:vAlign w:val="center"/>
            <w:hideMark/>
          </w:tcPr>
          <w:p w14:paraId="08F1F2C4"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Udział jcwp z MD+MO</w:t>
            </w:r>
          </w:p>
          <w:p w14:paraId="44FB08AB"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+MB* (%) </w:t>
            </w:r>
          </w:p>
        </w:tc>
      </w:tr>
      <w:tr w:rsidR="00982408" w14:paraId="108B3211" w14:textId="77777777" w:rsidTr="00982408">
        <w:trPr>
          <w:trHeight w:val="300"/>
          <w:jc w:val="center"/>
        </w:trPr>
        <w:tc>
          <w:tcPr>
            <w:tcW w:w="1550" w:type="dxa"/>
            <w:tcBorders>
              <w:top w:val="nil"/>
              <w:left w:val="single" w:sz="8" w:space="0" w:color="auto"/>
              <w:bottom w:val="single" w:sz="8" w:space="0" w:color="auto"/>
              <w:right w:val="single" w:sz="8" w:space="0" w:color="auto"/>
            </w:tcBorders>
            <w:vAlign w:val="center"/>
            <w:hideMark/>
          </w:tcPr>
          <w:p w14:paraId="23459600" w14:textId="77777777" w:rsidR="00982408" w:rsidRDefault="00982408">
            <w:pPr>
              <w:suppressAutoHyphens/>
              <w:spacing w:before="0" w:after="0"/>
              <w:rPr>
                <w:rFonts w:eastAsia="Times New Roman"/>
                <w:color w:val="000000"/>
                <w:sz w:val="18"/>
                <w:szCs w:val="18"/>
                <w:lang w:eastAsia="pl-PL"/>
              </w:rPr>
            </w:pPr>
            <w:r>
              <w:rPr>
                <w:rFonts w:eastAsia="Times New Roman"/>
                <w:color w:val="000000"/>
                <w:sz w:val="18"/>
                <w:szCs w:val="18"/>
                <w:lang w:eastAsia="pl-PL"/>
              </w:rPr>
              <w:t>Łyny i Węgorapy</w:t>
            </w:r>
          </w:p>
        </w:tc>
        <w:tc>
          <w:tcPr>
            <w:tcW w:w="744" w:type="dxa"/>
            <w:tcBorders>
              <w:top w:val="nil"/>
              <w:left w:val="nil"/>
              <w:bottom w:val="single" w:sz="8" w:space="0" w:color="auto"/>
              <w:right w:val="single" w:sz="8" w:space="0" w:color="auto"/>
            </w:tcBorders>
            <w:vAlign w:val="center"/>
            <w:hideMark/>
          </w:tcPr>
          <w:p w14:paraId="3F983B84" w14:textId="77777777" w:rsidR="00982408" w:rsidRDefault="00982408">
            <w:pPr>
              <w:suppressAutoHyphens/>
              <w:spacing w:before="0" w:after="0"/>
              <w:jc w:val="center"/>
              <w:rPr>
                <w:rFonts w:eastAsia="Times New Roman"/>
                <w:color w:val="000000"/>
                <w:sz w:val="18"/>
                <w:szCs w:val="18"/>
                <w:lang w:eastAsia="pl-PL"/>
              </w:rPr>
            </w:pPr>
            <w:r>
              <w:rPr>
                <w:rFonts w:cs="Calibri"/>
                <w:color w:val="000000"/>
                <w:sz w:val="18"/>
                <w:szCs w:val="18"/>
              </w:rPr>
              <w:t>82</w:t>
            </w:r>
          </w:p>
        </w:tc>
        <w:tc>
          <w:tcPr>
            <w:tcW w:w="960" w:type="dxa"/>
            <w:tcBorders>
              <w:top w:val="nil"/>
              <w:left w:val="nil"/>
              <w:bottom w:val="single" w:sz="8" w:space="0" w:color="auto"/>
              <w:right w:val="single" w:sz="8" w:space="0" w:color="auto"/>
            </w:tcBorders>
            <w:vAlign w:val="center"/>
            <w:hideMark/>
          </w:tcPr>
          <w:p w14:paraId="4E3015A9" w14:textId="77777777" w:rsidR="00982408" w:rsidRDefault="00982408">
            <w:pPr>
              <w:suppressAutoHyphens/>
              <w:spacing w:before="0" w:after="0"/>
              <w:jc w:val="center"/>
              <w:rPr>
                <w:rFonts w:eastAsia="Times New Roman"/>
                <w:color w:val="000000"/>
                <w:sz w:val="18"/>
                <w:szCs w:val="18"/>
                <w:lang w:eastAsia="pl-PL"/>
              </w:rPr>
            </w:pPr>
            <w:r>
              <w:rPr>
                <w:rFonts w:cs="Calibri"/>
                <w:color w:val="000000"/>
                <w:sz w:val="18"/>
                <w:szCs w:val="18"/>
              </w:rPr>
              <w:t>75</w:t>
            </w:r>
          </w:p>
        </w:tc>
        <w:tc>
          <w:tcPr>
            <w:tcW w:w="960" w:type="dxa"/>
            <w:tcBorders>
              <w:top w:val="nil"/>
              <w:left w:val="nil"/>
              <w:bottom w:val="single" w:sz="8" w:space="0" w:color="auto"/>
              <w:right w:val="single" w:sz="8" w:space="0" w:color="auto"/>
            </w:tcBorders>
            <w:vAlign w:val="center"/>
            <w:hideMark/>
          </w:tcPr>
          <w:p w14:paraId="25BBE504"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56,0</w:t>
            </w:r>
          </w:p>
        </w:tc>
        <w:tc>
          <w:tcPr>
            <w:tcW w:w="961" w:type="dxa"/>
            <w:tcBorders>
              <w:top w:val="nil"/>
              <w:left w:val="nil"/>
              <w:bottom w:val="single" w:sz="8" w:space="0" w:color="auto"/>
              <w:right w:val="single" w:sz="8" w:space="0" w:color="auto"/>
            </w:tcBorders>
            <w:vAlign w:val="center"/>
            <w:hideMark/>
          </w:tcPr>
          <w:p w14:paraId="344D7E28"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96,0</w:t>
            </w:r>
          </w:p>
        </w:tc>
        <w:tc>
          <w:tcPr>
            <w:tcW w:w="962" w:type="dxa"/>
            <w:tcBorders>
              <w:top w:val="nil"/>
              <w:left w:val="nil"/>
              <w:bottom w:val="single" w:sz="8" w:space="0" w:color="auto"/>
              <w:right w:val="single" w:sz="8" w:space="0" w:color="auto"/>
            </w:tcBorders>
            <w:vAlign w:val="center"/>
            <w:hideMark/>
          </w:tcPr>
          <w:p w14:paraId="1BED84BF"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0,0</w:t>
            </w:r>
          </w:p>
        </w:tc>
        <w:tc>
          <w:tcPr>
            <w:tcW w:w="982" w:type="dxa"/>
            <w:tcBorders>
              <w:top w:val="nil"/>
              <w:left w:val="nil"/>
              <w:bottom w:val="single" w:sz="8" w:space="0" w:color="auto"/>
              <w:right w:val="single" w:sz="8" w:space="0" w:color="auto"/>
            </w:tcBorders>
            <w:vAlign w:val="center"/>
            <w:hideMark/>
          </w:tcPr>
          <w:p w14:paraId="020A606B" w14:textId="77777777" w:rsidR="00982408" w:rsidRDefault="00982408">
            <w:pPr>
              <w:suppressAutoHyphens/>
              <w:spacing w:before="0" w:after="0"/>
              <w:jc w:val="center"/>
              <w:rPr>
                <w:rFonts w:cs="Calibri"/>
                <w:color w:val="000000"/>
                <w:sz w:val="18"/>
                <w:szCs w:val="18"/>
              </w:rPr>
            </w:pPr>
            <w:r>
              <w:rPr>
                <w:rFonts w:cs="Calibri"/>
                <w:color w:val="000000"/>
                <w:sz w:val="18"/>
                <w:szCs w:val="18"/>
              </w:rPr>
              <w:t>52,0</w:t>
            </w:r>
          </w:p>
        </w:tc>
        <w:tc>
          <w:tcPr>
            <w:tcW w:w="969" w:type="dxa"/>
            <w:tcBorders>
              <w:top w:val="nil"/>
              <w:left w:val="nil"/>
              <w:bottom w:val="single" w:sz="8" w:space="0" w:color="auto"/>
              <w:right w:val="single" w:sz="8" w:space="0" w:color="auto"/>
            </w:tcBorders>
            <w:vAlign w:val="center"/>
            <w:hideMark/>
          </w:tcPr>
          <w:p w14:paraId="632191DB" w14:textId="77777777" w:rsidR="00982408" w:rsidRDefault="00982408">
            <w:pPr>
              <w:suppressAutoHyphens/>
              <w:spacing w:before="0" w:after="0"/>
              <w:jc w:val="center"/>
              <w:rPr>
                <w:rFonts w:cs="Calibri"/>
                <w:color w:val="000000"/>
                <w:sz w:val="18"/>
                <w:szCs w:val="18"/>
              </w:rPr>
            </w:pPr>
            <w:r>
              <w:rPr>
                <w:rFonts w:cs="Calibri"/>
                <w:color w:val="000000"/>
                <w:sz w:val="18"/>
                <w:szCs w:val="18"/>
              </w:rPr>
              <w:t>0,0</w:t>
            </w:r>
          </w:p>
        </w:tc>
        <w:tc>
          <w:tcPr>
            <w:tcW w:w="964" w:type="dxa"/>
            <w:tcBorders>
              <w:top w:val="nil"/>
              <w:left w:val="nil"/>
              <w:bottom w:val="single" w:sz="8" w:space="0" w:color="auto"/>
              <w:right w:val="single" w:sz="8" w:space="0" w:color="auto"/>
            </w:tcBorders>
            <w:vAlign w:val="center"/>
            <w:hideMark/>
          </w:tcPr>
          <w:p w14:paraId="19E5661D" w14:textId="77777777" w:rsidR="00982408" w:rsidRDefault="00982408">
            <w:pPr>
              <w:suppressAutoHyphens/>
              <w:spacing w:before="0" w:after="0"/>
              <w:jc w:val="center"/>
              <w:rPr>
                <w:rFonts w:cs="Calibri"/>
                <w:color w:val="000000"/>
                <w:sz w:val="18"/>
                <w:szCs w:val="18"/>
              </w:rPr>
            </w:pPr>
            <w:r>
              <w:rPr>
                <w:rFonts w:cs="Calibri"/>
                <w:color w:val="000000"/>
                <w:sz w:val="18"/>
                <w:szCs w:val="18"/>
              </w:rPr>
              <w:t>0,0</w:t>
            </w:r>
          </w:p>
        </w:tc>
      </w:tr>
    </w:tbl>
    <w:p w14:paraId="470C6D3F" w14:textId="77777777" w:rsidR="00982408" w:rsidRDefault="00982408" w:rsidP="00982408">
      <w:pPr>
        <w:rPr>
          <w:i/>
          <w:iCs/>
          <w:sz w:val="16"/>
          <w:szCs w:val="16"/>
        </w:rPr>
      </w:pPr>
      <w:r>
        <w:rPr>
          <w:i/>
          <w:iCs/>
          <w:sz w:val="16"/>
          <w:szCs w:val="16"/>
        </w:rPr>
        <w:t>*</w:t>
      </w:r>
      <w:r>
        <w:rPr>
          <w:i/>
          <w:iCs/>
          <w:sz w:val="16"/>
          <w:szCs w:val="16"/>
          <w:u w:val="single"/>
        </w:rPr>
        <w:t>Objaśnienia</w:t>
      </w:r>
      <w:r>
        <w:rPr>
          <w:i/>
          <w:iCs/>
          <w:sz w:val="16"/>
          <w:szCs w:val="16"/>
        </w:rPr>
        <w:t>:</w:t>
      </w:r>
    </w:p>
    <w:p w14:paraId="42C7F722" w14:textId="56467199" w:rsidR="00982408" w:rsidRDefault="00982408" w:rsidP="00982408">
      <w:pPr>
        <w:spacing w:before="0" w:after="0"/>
        <w:rPr>
          <w:i/>
          <w:iCs/>
          <w:sz w:val="16"/>
          <w:szCs w:val="16"/>
        </w:rPr>
      </w:pPr>
      <w:r>
        <w:rPr>
          <w:i/>
          <w:iCs/>
          <w:sz w:val="16"/>
          <w:szCs w:val="16"/>
        </w:rPr>
        <w:t xml:space="preserve">Udział jcwp z MD </w:t>
      </w:r>
      <w:r w:rsidR="006C4947">
        <w:rPr>
          <w:i/>
          <w:iCs/>
          <w:sz w:val="16"/>
          <w:szCs w:val="16"/>
        </w:rPr>
        <w:t>-</w:t>
      </w:r>
      <w:r>
        <w:rPr>
          <w:i/>
          <w:iCs/>
          <w:sz w:val="16"/>
          <w:szCs w:val="16"/>
        </w:rPr>
        <w:t xml:space="preserve"> udział jcwp, dla których zaplanowano monitoring diagnostyczny w ogólnej liczbie jcwp z ppk</w:t>
      </w:r>
    </w:p>
    <w:p w14:paraId="0C60A6C0" w14:textId="5858B741" w:rsidR="00982408" w:rsidRDefault="00982408" w:rsidP="00982408">
      <w:pPr>
        <w:spacing w:before="0" w:after="0"/>
        <w:rPr>
          <w:i/>
          <w:iCs/>
          <w:sz w:val="16"/>
          <w:szCs w:val="16"/>
        </w:rPr>
      </w:pPr>
      <w:r>
        <w:rPr>
          <w:i/>
          <w:iCs/>
          <w:sz w:val="16"/>
          <w:szCs w:val="16"/>
        </w:rPr>
        <w:t xml:space="preserve">Udział jcwp z MO </w:t>
      </w:r>
      <w:r w:rsidR="006C4947">
        <w:rPr>
          <w:i/>
          <w:iCs/>
          <w:sz w:val="16"/>
          <w:szCs w:val="16"/>
        </w:rPr>
        <w:t>-</w:t>
      </w:r>
      <w:r>
        <w:rPr>
          <w:i/>
          <w:iCs/>
          <w:sz w:val="16"/>
          <w:szCs w:val="16"/>
        </w:rPr>
        <w:t xml:space="preserve"> udział jcwp, dla których zaplanowano monitoring operacyjny w ogólnej liczbie jcwp z ppk</w:t>
      </w:r>
    </w:p>
    <w:p w14:paraId="72E9CD98" w14:textId="32E4594A" w:rsidR="00982408" w:rsidRDefault="00982408" w:rsidP="00982408">
      <w:pPr>
        <w:spacing w:before="0" w:after="0"/>
        <w:rPr>
          <w:i/>
          <w:iCs/>
          <w:sz w:val="16"/>
          <w:szCs w:val="16"/>
        </w:rPr>
      </w:pPr>
      <w:r>
        <w:rPr>
          <w:i/>
          <w:iCs/>
          <w:sz w:val="16"/>
          <w:szCs w:val="16"/>
        </w:rPr>
        <w:t xml:space="preserve">Udział jcwp z MB </w:t>
      </w:r>
      <w:r w:rsidR="006C4947">
        <w:rPr>
          <w:i/>
          <w:iCs/>
          <w:sz w:val="16"/>
          <w:szCs w:val="16"/>
        </w:rPr>
        <w:t>-</w:t>
      </w:r>
      <w:r>
        <w:rPr>
          <w:i/>
          <w:iCs/>
          <w:sz w:val="16"/>
          <w:szCs w:val="16"/>
        </w:rPr>
        <w:t xml:space="preserve"> udział jcwp, dla których zaplanowano monitoring badawczy w ogólnej liczbie jcwp z ppk</w:t>
      </w:r>
    </w:p>
    <w:p w14:paraId="0E8122C1" w14:textId="6E0A2EF6" w:rsidR="00982408" w:rsidRDefault="00982408" w:rsidP="00982408">
      <w:pPr>
        <w:spacing w:before="0" w:after="0"/>
        <w:rPr>
          <w:i/>
          <w:iCs/>
          <w:sz w:val="16"/>
          <w:szCs w:val="16"/>
        </w:rPr>
      </w:pPr>
      <w:r>
        <w:rPr>
          <w:i/>
          <w:iCs/>
          <w:sz w:val="16"/>
          <w:szCs w:val="16"/>
        </w:rPr>
        <w:t xml:space="preserve">Udział jcwp z MD+MO </w:t>
      </w:r>
      <w:r w:rsidR="006C4947">
        <w:rPr>
          <w:i/>
          <w:iCs/>
          <w:sz w:val="16"/>
          <w:szCs w:val="16"/>
        </w:rPr>
        <w:t>-</w:t>
      </w:r>
      <w:r>
        <w:rPr>
          <w:i/>
          <w:iCs/>
          <w:sz w:val="16"/>
          <w:szCs w:val="16"/>
        </w:rPr>
        <w:t xml:space="preserve"> udział jcwp, dla których zaplanowano łącznie monitoring diagnostyczny i operacyjny w ogólnej liczbie jcwp z ppk</w:t>
      </w:r>
    </w:p>
    <w:p w14:paraId="0B1EF433" w14:textId="1BAF4012" w:rsidR="00982408" w:rsidRDefault="00982408" w:rsidP="00982408">
      <w:pPr>
        <w:spacing w:before="0" w:after="0"/>
        <w:rPr>
          <w:i/>
          <w:iCs/>
          <w:sz w:val="16"/>
          <w:szCs w:val="16"/>
        </w:rPr>
      </w:pPr>
      <w:r>
        <w:rPr>
          <w:i/>
          <w:iCs/>
          <w:sz w:val="16"/>
          <w:szCs w:val="16"/>
        </w:rPr>
        <w:t xml:space="preserve">Udział jcwp z MO+MB </w:t>
      </w:r>
      <w:r w:rsidR="006C4947">
        <w:rPr>
          <w:i/>
          <w:iCs/>
          <w:sz w:val="16"/>
          <w:szCs w:val="16"/>
        </w:rPr>
        <w:t>-</w:t>
      </w:r>
      <w:r>
        <w:rPr>
          <w:i/>
          <w:iCs/>
          <w:sz w:val="16"/>
          <w:szCs w:val="16"/>
        </w:rPr>
        <w:t xml:space="preserve"> udział jcwp, dla których zaplanowano łącznie monitoring operacyjny i badawczy w ogólnej liczbie jcwp z ppk</w:t>
      </w:r>
    </w:p>
    <w:p w14:paraId="3D8AF0D7" w14:textId="1771DB54" w:rsidR="00982408" w:rsidRDefault="00982408" w:rsidP="00982408">
      <w:pPr>
        <w:spacing w:before="0" w:after="0"/>
        <w:ind w:left="1843" w:hanging="1843"/>
        <w:rPr>
          <w:i/>
          <w:iCs/>
          <w:sz w:val="16"/>
          <w:szCs w:val="16"/>
        </w:rPr>
      </w:pPr>
      <w:r>
        <w:rPr>
          <w:i/>
          <w:iCs/>
          <w:sz w:val="16"/>
          <w:szCs w:val="16"/>
        </w:rPr>
        <w:t xml:space="preserve">Udział jcwp z MD+MO+MB </w:t>
      </w:r>
      <w:r w:rsidR="006C4947">
        <w:rPr>
          <w:i/>
          <w:iCs/>
          <w:sz w:val="16"/>
          <w:szCs w:val="16"/>
        </w:rPr>
        <w:t>-</w:t>
      </w:r>
      <w:r>
        <w:rPr>
          <w:i/>
          <w:iCs/>
          <w:sz w:val="16"/>
          <w:szCs w:val="16"/>
        </w:rPr>
        <w:t xml:space="preserve"> udział jcwp, dla których zaplanowano łącznie monitoring diagnostyczny, operacyjny i badawczy w ogólnej liczbie jcwp z ppk</w:t>
      </w:r>
    </w:p>
    <w:p w14:paraId="1646374F" w14:textId="77777777" w:rsidR="00982408" w:rsidRDefault="00982408" w:rsidP="00D5478D">
      <w:pPr>
        <w:pStyle w:val="rdo0"/>
      </w:pPr>
      <w:r>
        <w:t>Źródło: opracowanie własne na podstawie danych GIOŚ dot. sieci monitoringu 2022-2027</w:t>
      </w:r>
    </w:p>
    <w:p w14:paraId="0DE03200" w14:textId="77777777" w:rsidR="00643D60" w:rsidRPr="006112E2" w:rsidRDefault="00643D60" w:rsidP="00AA0CAB">
      <w:pPr>
        <w:pStyle w:val="Nagwek5"/>
      </w:pPr>
      <w:r w:rsidRPr="006112E2">
        <w:t>Program monitoringu jcwp LW</w:t>
      </w:r>
    </w:p>
    <w:p w14:paraId="6CEAE51E" w14:textId="242AE90A" w:rsidR="00643D60" w:rsidRPr="006112E2" w:rsidRDefault="00643D60" w:rsidP="00643D60">
      <w:pPr>
        <w:suppressAutoHyphens/>
      </w:pPr>
      <w:r w:rsidRPr="006112E2">
        <w:t>Aktualnie w obszarze dorzecza Pregoły wyznaczonych jest 105 jcwp LW. W programie monitoringu wód powierzchniowych na lata 2022-2027 przewidziano monitorowanie 59 z nich, co stanowi 56,2% jcwp LW</w:t>
      </w:r>
      <w:r w:rsidR="00247521">
        <w:t xml:space="preserve"> (wykres 5-2)</w:t>
      </w:r>
      <w:r w:rsidRPr="006112E2">
        <w:t xml:space="preserve">. </w:t>
      </w:r>
      <w:r w:rsidRPr="00BE4152">
        <w:t xml:space="preserve">W porównaniu do zaplanowanej </w:t>
      </w:r>
      <w:r>
        <w:t>na obszarze dorzecza Pregoły</w:t>
      </w:r>
      <w:r w:rsidRPr="00BE4152">
        <w:t xml:space="preserve"> sieci monitoringu w aPGW </w:t>
      </w:r>
      <w:r>
        <w:t xml:space="preserve">(2016 </w:t>
      </w:r>
      <w:r w:rsidR="00442AB7">
        <w:t>-</w:t>
      </w:r>
      <w:r>
        <w:t xml:space="preserve"> 2021) </w:t>
      </w:r>
      <w:r w:rsidRPr="00BE4152">
        <w:t xml:space="preserve">nastąpił wzrost liczby jcwp planowanych do objęcia monitoringiem </w:t>
      </w:r>
      <w:r>
        <w:t xml:space="preserve">(w stosunku do ogólnej liczny jcwp LW) </w:t>
      </w:r>
      <w:r w:rsidRPr="00BE4152">
        <w:t>o</w:t>
      </w:r>
      <w:r w:rsidRPr="006112E2">
        <w:t xml:space="preserve"> 13,6%.</w:t>
      </w:r>
      <w:r>
        <w:t xml:space="preserve"> </w:t>
      </w:r>
      <w:r w:rsidRPr="006112E2">
        <w:t>W skali kraju monitoringiem na lata 2022-2027 objętych będzie 79,3% jcwp LW.</w:t>
      </w:r>
    </w:p>
    <w:p w14:paraId="0A6495CE" w14:textId="0F925291" w:rsidR="00643D60" w:rsidRDefault="00643D60" w:rsidP="00643D60">
      <w:pPr>
        <w:suppressAutoHyphens/>
      </w:pPr>
      <w:r w:rsidRPr="00BE4152">
        <w:t>Programem monitoringu diagnostycznego zostaną objęte jeziora o wszystkich typach abiotycznych</w:t>
      </w:r>
      <w:r>
        <w:t xml:space="preserve"> </w:t>
      </w:r>
      <w:r w:rsidR="00442AB7">
        <w:t>-</w:t>
      </w:r>
      <w:r w:rsidRPr="00BE4152">
        <w:t xml:space="preserve"> zarówno niezagrożone, jak i zagrożone różnymi rodzajami presji, tak by możliwe było opracowanie reprezentatywnej dla obszaru całego kraju oceny stanu polskich jezior. Dlatego też aby utrzymać reprezentatywność uzyskanej oceny, nie ma możliwości objęcia monitoringiem jedynie jezior zagrożonych nieosiągnięciem wskazanych dla nich celów środowiskowych.</w:t>
      </w:r>
    </w:p>
    <w:p w14:paraId="4FD3B483" w14:textId="77777777" w:rsidR="00643D60" w:rsidRPr="00247521" w:rsidRDefault="00643D60" w:rsidP="00643D60">
      <w:pPr>
        <w:suppressAutoHyphens/>
      </w:pPr>
      <w:r w:rsidRPr="006112E2">
        <w:t xml:space="preserve">Planowana sieć </w:t>
      </w:r>
      <w:r w:rsidRPr="00247521">
        <w:t>monitoringu jcwp LW na lata 2022-2027 przedstawiona została na załączniku graficznym nr 8. Informacja o odpowiednim dla danej jcwp ppk znajduje się w załączniku nr 1 (Zestawienie główne IIaPGW prezentujące szczegółowe dane charakteryzujące każdą jcwp).</w:t>
      </w:r>
    </w:p>
    <w:p w14:paraId="07C0D3AB" w14:textId="7698EC42" w:rsidR="00643D60" w:rsidRPr="00BC2D1E" w:rsidRDefault="00643D60" w:rsidP="00643D60">
      <w:pPr>
        <w:suppressAutoHyphens/>
        <w:rPr>
          <w:highlight w:val="yellow"/>
        </w:rPr>
      </w:pPr>
      <w:r w:rsidRPr="00247521">
        <w:t xml:space="preserve">Informacje o jcwp LW planowanych do monitoringu </w:t>
      </w:r>
      <w:r w:rsidRPr="00247521">
        <w:rPr>
          <w:szCs w:val="20"/>
        </w:rPr>
        <w:t>diagnostycznego (MD) i/lub operacyjnego</w:t>
      </w:r>
      <w:r w:rsidRPr="00A751FE">
        <w:rPr>
          <w:szCs w:val="20"/>
        </w:rPr>
        <w:t xml:space="preserve"> (MO) </w:t>
      </w:r>
      <w:r w:rsidRPr="00A751FE">
        <w:t>w</w:t>
      </w:r>
      <w:r w:rsidR="002C412B">
        <w:t> </w:t>
      </w:r>
      <w:r w:rsidRPr="00A751FE">
        <w:t xml:space="preserve">latach 2022-2027 w obszarze dorzecza Pregoły </w:t>
      </w:r>
      <w:r>
        <w:t>(</w:t>
      </w:r>
      <w:r w:rsidRPr="00A751FE">
        <w:t>region wodny</w:t>
      </w:r>
      <w:r>
        <w:t xml:space="preserve"> Łyny Węgorapy)</w:t>
      </w:r>
      <w:r w:rsidRPr="00A751FE">
        <w:t xml:space="preserve"> zostały przedstawione </w:t>
      </w:r>
      <w:r w:rsidRPr="00247521">
        <w:t>w tabelach</w:t>
      </w:r>
      <w:r w:rsidR="004A1B76" w:rsidRPr="00247521">
        <w:t xml:space="preserve"> 5-6 i 5-7</w:t>
      </w:r>
      <w:r w:rsidRPr="00247521">
        <w:t>. Nie</w:t>
      </w:r>
      <w:r w:rsidRPr="006112E2">
        <w:t xml:space="preserve"> planuje się wykonania monitoringu badawczego (MB).</w:t>
      </w:r>
    </w:p>
    <w:p w14:paraId="0B8504F1" w14:textId="6D4E9DAF" w:rsidR="00643D60" w:rsidRPr="0013694B" w:rsidRDefault="00643D60" w:rsidP="006802BB">
      <w:pPr>
        <w:pStyle w:val="Tabela"/>
      </w:pPr>
      <w:bookmarkStart w:id="69" w:name="_Toc68726958"/>
      <w:r w:rsidRPr="0013694B">
        <w:t xml:space="preserve">Tabela </w:t>
      </w:r>
      <w:fldSimple w:instr=" STYLEREF 1 \s ">
        <w:r w:rsidR="007B4050">
          <w:rPr>
            <w:noProof/>
          </w:rPr>
          <w:t>5</w:t>
        </w:r>
      </w:fldSimple>
      <w:r w:rsidR="007B4050">
        <w:noBreakHyphen/>
      </w:r>
      <w:fldSimple w:instr=" SEQ Tabela \* ARABIC \s 1 ">
        <w:r w:rsidR="007B4050">
          <w:rPr>
            <w:noProof/>
          </w:rPr>
          <w:t>6</w:t>
        </w:r>
      </w:fldSimple>
      <w:r w:rsidRPr="0013694B">
        <w:tab/>
        <w:t xml:space="preserve">Liczba jcwp LW planowanych do monitoringu w stosunku do całkowitej liczby jcwp </w:t>
      </w:r>
      <w:r>
        <w:t>w obszarze dorzecza Pregoły</w:t>
      </w:r>
      <w:r w:rsidRPr="0013694B">
        <w:t xml:space="preserve"> (porównanie cyklów planistycznych 2016-2021 i 2022-2027)</w:t>
      </w:r>
      <w:bookmarkEnd w:id="69"/>
    </w:p>
    <w:tbl>
      <w:tblPr>
        <w:tblW w:w="8982" w:type="dxa"/>
        <w:tblInd w:w="80" w:type="dxa"/>
        <w:tblCellMar>
          <w:left w:w="70" w:type="dxa"/>
          <w:right w:w="70" w:type="dxa"/>
        </w:tblCellMar>
        <w:tblLook w:val="04A0" w:firstRow="1" w:lastRow="0" w:firstColumn="1" w:lastColumn="0" w:noHBand="0" w:noVBand="1"/>
      </w:tblPr>
      <w:tblGrid>
        <w:gridCol w:w="1328"/>
        <w:gridCol w:w="1843"/>
        <w:gridCol w:w="2551"/>
        <w:gridCol w:w="1559"/>
        <w:gridCol w:w="1701"/>
      </w:tblGrid>
      <w:tr w:rsidR="00643D60" w:rsidRPr="0013694B" w14:paraId="130C8DAF" w14:textId="77777777" w:rsidTr="00B15070">
        <w:trPr>
          <w:trHeight w:val="315"/>
        </w:trPr>
        <w:tc>
          <w:tcPr>
            <w:tcW w:w="1328"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091B3F69"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eastAsia="Times New Roman"/>
                <w:b/>
                <w:bCs/>
                <w:color w:val="000000"/>
                <w:sz w:val="20"/>
                <w:szCs w:val="20"/>
                <w:lang w:eastAsia="pl-PL"/>
              </w:rPr>
              <w:t>Obszar dorzecza</w:t>
            </w:r>
          </w:p>
        </w:tc>
        <w:tc>
          <w:tcPr>
            <w:tcW w:w="4394" w:type="dxa"/>
            <w:gridSpan w:val="2"/>
            <w:tcBorders>
              <w:top w:val="single" w:sz="8" w:space="0" w:color="auto"/>
              <w:left w:val="nil"/>
              <w:bottom w:val="single" w:sz="8" w:space="0" w:color="auto"/>
              <w:right w:val="single" w:sz="8" w:space="0" w:color="000000"/>
            </w:tcBorders>
            <w:shd w:val="clear" w:color="000000" w:fill="BFBFBF"/>
            <w:vAlign w:val="center"/>
            <w:hideMark/>
          </w:tcPr>
          <w:p w14:paraId="755C58E9"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eastAsia="Times New Roman"/>
                <w:b/>
                <w:bCs/>
                <w:color w:val="000000"/>
                <w:sz w:val="20"/>
                <w:szCs w:val="20"/>
                <w:lang w:eastAsia="pl-PL"/>
              </w:rPr>
              <w:t>Cykl planistyczny 2016-2021</w:t>
            </w:r>
          </w:p>
        </w:tc>
        <w:tc>
          <w:tcPr>
            <w:tcW w:w="3260" w:type="dxa"/>
            <w:gridSpan w:val="2"/>
            <w:tcBorders>
              <w:top w:val="single" w:sz="8" w:space="0" w:color="auto"/>
              <w:left w:val="nil"/>
              <w:bottom w:val="single" w:sz="8" w:space="0" w:color="auto"/>
              <w:right w:val="single" w:sz="8" w:space="0" w:color="000000"/>
            </w:tcBorders>
            <w:shd w:val="clear" w:color="000000" w:fill="BFBFBF"/>
            <w:vAlign w:val="center"/>
            <w:hideMark/>
          </w:tcPr>
          <w:p w14:paraId="72CBE491"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eastAsia="Times New Roman"/>
                <w:b/>
                <w:bCs/>
                <w:color w:val="000000"/>
                <w:sz w:val="20"/>
                <w:szCs w:val="20"/>
                <w:lang w:eastAsia="pl-PL"/>
              </w:rPr>
              <w:t>Cykl planistyczny 2022-2027</w:t>
            </w:r>
          </w:p>
        </w:tc>
      </w:tr>
      <w:tr w:rsidR="00643D60" w:rsidRPr="0013694B" w14:paraId="5A230CA7" w14:textId="77777777" w:rsidTr="00B15070">
        <w:trPr>
          <w:trHeight w:val="780"/>
        </w:trPr>
        <w:tc>
          <w:tcPr>
            <w:tcW w:w="1328" w:type="dxa"/>
            <w:vMerge/>
            <w:tcBorders>
              <w:top w:val="single" w:sz="8" w:space="0" w:color="auto"/>
              <w:left w:val="single" w:sz="8" w:space="0" w:color="auto"/>
              <w:bottom w:val="single" w:sz="8" w:space="0" w:color="000000"/>
              <w:right w:val="single" w:sz="8" w:space="0" w:color="auto"/>
            </w:tcBorders>
            <w:vAlign w:val="center"/>
            <w:hideMark/>
          </w:tcPr>
          <w:p w14:paraId="63A4218D" w14:textId="77777777" w:rsidR="00643D60" w:rsidRPr="0013694B" w:rsidRDefault="00643D60" w:rsidP="00B15070">
            <w:pPr>
              <w:suppressAutoHyphens/>
              <w:spacing w:before="0" w:after="0"/>
              <w:jc w:val="left"/>
              <w:rPr>
                <w:rFonts w:eastAsia="Times New Roman"/>
                <w:b/>
                <w:bCs/>
                <w:color w:val="000000"/>
                <w:sz w:val="20"/>
                <w:szCs w:val="20"/>
                <w:lang w:eastAsia="pl-PL"/>
              </w:rPr>
            </w:pPr>
          </w:p>
        </w:tc>
        <w:tc>
          <w:tcPr>
            <w:tcW w:w="1843" w:type="dxa"/>
            <w:tcBorders>
              <w:top w:val="nil"/>
              <w:left w:val="nil"/>
              <w:bottom w:val="single" w:sz="8" w:space="0" w:color="auto"/>
              <w:right w:val="single" w:sz="8" w:space="0" w:color="auto"/>
            </w:tcBorders>
            <w:shd w:val="clear" w:color="000000" w:fill="BFBFBF"/>
            <w:vAlign w:val="center"/>
            <w:hideMark/>
          </w:tcPr>
          <w:p w14:paraId="2AA81A28"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cs="Calibri"/>
                <w:b/>
                <w:color w:val="000000"/>
                <w:sz w:val="20"/>
                <w:szCs w:val="20"/>
              </w:rPr>
              <w:t xml:space="preserve">Liczba jcwp </w:t>
            </w:r>
            <w:r w:rsidRPr="0013694B">
              <w:rPr>
                <w:rFonts w:cs="Calibri"/>
                <w:b/>
                <w:bCs/>
                <w:color w:val="000000"/>
                <w:sz w:val="20"/>
                <w:szCs w:val="20"/>
              </w:rPr>
              <w:t>LW</w:t>
            </w:r>
          </w:p>
        </w:tc>
        <w:tc>
          <w:tcPr>
            <w:tcW w:w="2551" w:type="dxa"/>
            <w:tcBorders>
              <w:top w:val="nil"/>
              <w:left w:val="nil"/>
              <w:bottom w:val="single" w:sz="8" w:space="0" w:color="auto"/>
              <w:right w:val="single" w:sz="8" w:space="0" w:color="auto"/>
            </w:tcBorders>
            <w:shd w:val="clear" w:color="000000" w:fill="BFBFBF"/>
            <w:vAlign w:val="center"/>
            <w:hideMark/>
          </w:tcPr>
          <w:p w14:paraId="0E0034A5"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 xml:space="preserve">Liczba jcwp </w:t>
            </w:r>
            <w:r>
              <w:rPr>
                <w:rFonts w:eastAsia="Times New Roman"/>
                <w:b/>
                <w:bCs/>
                <w:color w:val="000000"/>
                <w:sz w:val="20"/>
                <w:szCs w:val="20"/>
                <w:lang w:eastAsia="pl-PL"/>
              </w:rPr>
              <w:t>objęta monitoringiem</w:t>
            </w:r>
            <w:r w:rsidRPr="00BE4152">
              <w:rPr>
                <w:rFonts w:eastAsia="Times New Roman"/>
                <w:b/>
                <w:bCs/>
                <w:color w:val="000000"/>
                <w:sz w:val="20"/>
                <w:szCs w:val="20"/>
                <w:lang w:eastAsia="pl-PL"/>
              </w:rPr>
              <w:t xml:space="preserve"> </w:t>
            </w:r>
          </w:p>
        </w:tc>
        <w:tc>
          <w:tcPr>
            <w:tcW w:w="1559" w:type="dxa"/>
            <w:tcBorders>
              <w:top w:val="nil"/>
              <w:left w:val="nil"/>
              <w:bottom w:val="single" w:sz="8" w:space="0" w:color="auto"/>
              <w:right w:val="single" w:sz="8" w:space="0" w:color="auto"/>
            </w:tcBorders>
            <w:shd w:val="clear" w:color="000000" w:fill="BFBFBF"/>
            <w:vAlign w:val="center"/>
            <w:hideMark/>
          </w:tcPr>
          <w:p w14:paraId="38F055B0"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eastAsia="Times New Roman"/>
                <w:b/>
                <w:bCs/>
                <w:color w:val="000000"/>
                <w:sz w:val="20"/>
                <w:szCs w:val="20"/>
                <w:lang w:eastAsia="pl-PL"/>
              </w:rPr>
              <w:t>Liczba jcwp LW</w:t>
            </w:r>
          </w:p>
        </w:tc>
        <w:tc>
          <w:tcPr>
            <w:tcW w:w="1701" w:type="dxa"/>
            <w:tcBorders>
              <w:top w:val="nil"/>
              <w:left w:val="nil"/>
              <w:bottom w:val="single" w:sz="8" w:space="0" w:color="auto"/>
              <w:right w:val="single" w:sz="8" w:space="0" w:color="auto"/>
            </w:tcBorders>
            <w:shd w:val="clear" w:color="000000" w:fill="BFBFBF"/>
            <w:vAlign w:val="center"/>
            <w:hideMark/>
          </w:tcPr>
          <w:p w14:paraId="7714202B" w14:textId="77777777" w:rsidR="00643D60" w:rsidRPr="0013694B" w:rsidRDefault="00643D60" w:rsidP="00B15070">
            <w:pPr>
              <w:suppressAutoHyphens/>
              <w:spacing w:before="0" w:after="0"/>
              <w:jc w:val="center"/>
              <w:rPr>
                <w:rFonts w:eastAsia="Times New Roman"/>
                <w:b/>
                <w:bCs/>
                <w:color w:val="000000"/>
                <w:sz w:val="20"/>
                <w:szCs w:val="20"/>
                <w:lang w:eastAsia="pl-PL"/>
              </w:rPr>
            </w:pPr>
            <w:r w:rsidRPr="0013694B">
              <w:rPr>
                <w:rFonts w:eastAsia="Times New Roman"/>
                <w:b/>
                <w:bCs/>
                <w:color w:val="000000"/>
                <w:sz w:val="20"/>
                <w:szCs w:val="20"/>
                <w:lang w:eastAsia="pl-PL"/>
              </w:rPr>
              <w:t>Liczba jcwp z ppk</w:t>
            </w:r>
          </w:p>
        </w:tc>
      </w:tr>
      <w:tr w:rsidR="00643D60" w:rsidRPr="0013694B" w14:paraId="428EF115" w14:textId="77777777" w:rsidTr="00B15070">
        <w:trPr>
          <w:trHeight w:val="300"/>
        </w:trPr>
        <w:tc>
          <w:tcPr>
            <w:tcW w:w="1328" w:type="dxa"/>
            <w:tcBorders>
              <w:top w:val="nil"/>
              <w:left w:val="single" w:sz="8" w:space="0" w:color="auto"/>
              <w:bottom w:val="single" w:sz="8" w:space="0" w:color="auto"/>
              <w:right w:val="single" w:sz="8" w:space="0" w:color="auto"/>
            </w:tcBorders>
            <w:shd w:val="clear" w:color="auto" w:fill="auto"/>
            <w:vAlign w:val="center"/>
            <w:hideMark/>
          </w:tcPr>
          <w:p w14:paraId="0DA94667" w14:textId="77777777" w:rsidR="00643D60" w:rsidRPr="0013694B" w:rsidRDefault="00643D60" w:rsidP="00B15070">
            <w:pPr>
              <w:suppressAutoHyphens/>
              <w:spacing w:before="0" w:after="0"/>
              <w:rPr>
                <w:rFonts w:eastAsia="Times New Roman"/>
                <w:color w:val="000000"/>
                <w:sz w:val="20"/>
                <w:szCs w:val="20"/>
                <w:lang w:eastAsia="pl-PL"/>
              </w:rPr>
            </w:pPr>
            <w:r w:rsidRPr="0013694B">
              <w:rPr>
                <w:rFonts w:eastAsia="Times New Roman"/>
                <w:color w:val="000000"/>
                <w:sz w:val="20"/>
                <w:szCs w:val="20"/>
                <w:lang w:eastAsia="pl-PL"/>
              </w:rPr>
              <w:t>Pregoły</w:t>
            </w:r>
          </w:p>
        </w:tc>
        <w:tc>
          <w:tcPr>
            <w:tcW w:w="1843" w:type="dxa"/>
            <w:tcBorders>
              <w:top w:val="nil"/>
              <w:left w:val="nil"/>
              <w:bottom w:val="single" w:sz="8" w:space="0" w:color="auto"/>
              <w:right w:val="single" w:sz="8" w:space="0" w:color="auto"/>
            </w:tcBorders>
            <w:shd w:val="clear" w:color="auto" w:fill="auto"/>
            <w:vAlign w:val="center"/>
            <w:hideMark/>
          </w:tcPr>
          <w:p w14:paraId="31FE87D4" w14:textId="77777777" w:rsidR="00643D60" w:rsidRPr="0013694B" w:rsidRDefault="00643D60" w:rsidP="00B15070">
            <w:pPr>
              <w:suppressAutoHyphens/>
              <w:spacing w:before="0" w:after="0"/>
              <w:jc w:val="center"/>
              <w:rPr>
                <w:rFonts w:eastAsia="Times New Roman"/>
                <w:color w:val="000000"/>
                <w:sz w:val="20"/>
                <w:szCs w:val="20"/>
                <w:lang w:eastAsia="pl-PL"/>
              </w:rPr>
            </w:pPr>
            <w:r w:rsidRPr="0013694B">
              <w:rPr>
                <w:rFonts w:cs="Calibri"/>
                <w:color w:val="000000"/>
                <w:sz w:val="20"/>
                <w:szCs w:val="20"/>
              </w:rPr>
              <w:t>101</w:t>
            </w:r>
          </w:p>
        </w:tc>
        <w:tc>
          <w:tcPr>
            <w:tcW w:w="2551" w:type="dxa"/>
            <w:tcBorders>
              <w:top w:val="nil"/>
              <w:left w:val="nil"/>
              <w:bottom w:val="single" w:sz="8" w:space="0" w:color="auto"/>
              <w:right w:val="single" w:sz="8" w:space="0" w:color="auto"/>
            </w:tcBorders>
            <w:shd w:val="clear" w:color="auto" w:fill="auto"/>
            <w:vAlign w:val="center"/>
            <w:hideMark/>
          </w:tcPr>
          <w:p w14:paraId="0CADA284" w14:textId="77777777" w:rsidR="00643D60" w:rsidRPr="0013694B" w:rsidRDefault="00643D60" w:rsidP="00B15070">
            <w:pPr>
              <w:suppressAutoHyphens/>
              <w:spacing w:before="0" w:after="0"/>
              <w:jc w:val="center"/>
              <w:rPr>
                <w:rFonts w:eastAsia="Times New Roman"/>
                <w:color w:val="000000"/>
                <w:sz w:val="20"/>
                <w:szCs w:val="20"/>
                <w:lang w:eastAsia="pl-PL"/>
              </w:rPr>
            </w:pPr>
            <w:r w:rsidRPr="0013694B">
              <w:rPr>
                <w:rFonts w:cs="Calibri"/>
                <w:color w:val="000000"/>
                <w:sz w:val="20"/>
                <w:szCs w:val="20"/>
              </w:rPr>
              <w:t>43</w:t>
            </w:r>
          </w:p>
        </w:tc>
        <w:tc>
          <w:tcPr>
            <w:tcW w:w="1559" w:type="dxa"/>
            <w:tcBorders>
              <w:top w:val="nil"/>
              <w:left w:val="nil"/>
              <w:bottom w:val="single" w:sz="8" w:space="0" w:color="auto"/>
              <w:right w:val="single" w:sz="8" w:space="0" w:color="auto"/>
            </w:tcBorders>
            <w:shd w:val="clear" w:color="auto" w:fill="auto"/>
            <w:vAlign w:val="center"/>
            <w:hideMark/>
          </w:tcPr>
          <w:p w14:paraId="7C4054E7" w14:textId="77777777" w:rsidR="00643D60" w:rsidRPr="0013694B" w:rsidRDefault="00643D60" w:rsidP="00B15070">
            <w:pPr>
              <w:suppressAutoHyphens/>
              <w:spacing w:before="0" w:after="0"/>
              <w:jc w:val="center"/>
              <w:rPr>
                <w:rFonts w:eastAsia="Times New Roman"/>
                <w:color w:val="000000"/>
                <w:sz w:val="20"/>
                <w:szCs w:val="20"/>
                <w:lang w:eastAsia="pl-PL"/>
              </w:rPr>
            </w:pPr>
            <w:r w:rsidRPr="0013694B">
              <w:rPr>
                <w:rFonts w:cs="Calibri"/>
                <w:color w:val="000000"/>
                <w:sz w:val="20"/>
                <w:szCs w:val="20"/>
              </w:rPr>
              <w:t>105</w:t>
            </w:r>
          </w:p>
        </w:tc>
        <w:tc>
          <w:tcPr>
            <w:tcW w:w="1701" w:type="dxa"/>
            <w:tcBorders>
              <w:top w:val="nil"/>
              <w:left w:val="nil"/>
              <w:bottom w:val="single" w:sz="8" w:space="0" w:color="auto"/>
              <w:right w:val="single" w:sz="8" w:space="0" w:color="auto"/>
            </w:tcBorders>
            <w:shd w:val="clear" w:color="auto" w:fill="auto"/>
            <w:vAlign w:val="center"/>
            <w:hideMark/>
          </w:tcPr>
          <w:p w14:paraId="4B060F8A" w14:textId="77777777" w:rsidR="00643D60" w:rsidRPr="0013694B" w:rsidRDefault="00643D60" w:rsidP="00B15070">
            <w:pPr>
              <w:suppressAutoHyphens/>
              <w:spacing w:before="0" w:after="0"/>
              <w:jc w:val="center"/>
              <w:rPr>
                <w:rFonts w:eastAsia="Times New Roman"/>
                <w:color w:val="000000"/>
                <w:sz w:val="20"/>
                <w:szCs w:val="20"/>
                <w:lang w:eastAsia="pl-PL"/>
              </w:rPr>
            </w:pPr>
            <w:r w:rsidRPr="0013694B">
              <w:rPr>
                <w:rFonts w:cs="Calibri"/>
                <w:color w:val="000000"/>
                <w:sz w:val="20"/>
                <w:szCs w:val="20"/>
              </w:rPr>
              <w:t>59</w:t>
            </w:r>
          </w:p>
        </w:tc>
      </w:tr>
    </w:tbl>
    <w:p w14:paraId="00C38534" w14:textId="610994D5" w:rsidR="00643D60" w:rsidRPr="002C412B" w:rsidRDefault="00643D60" w:rsidP="00D5478D">
      <w:pPr>
        <w:pStyle w:val="rdo0"/>
      </w:pPr>
      <w:r w:rsidRPr="0013694B">
        <w:t xml:space="preserve">Źródło: opracowanie </w:t>
      </w:r>
      <w:r w:rsidR="005B3051">
        <w:t xml:space="preserve">własne </w:t>
      </w:r>
      <w:r w:rsidRPr="0013694B">
        <w:t xml:space="preserve">na </w:t>
      </w:r>
      <w:r w:rsidRPr="002C412B">
        <w:t xml:space="preserve">podstawie danych GIOŚ </w:t>
      </w:r>
      <w:r w:rsidRPr="00D5478D">
        <w:t>dot</w:t>
      </w:r>
      <w:r w:rsidRPr="002C412B">
        <w:t>. sieci monitoringu 2022-2027</w:t>
      </w:r>
    </w:p>
    <w:p w14:paraId="2AEC4FB3" w14:textId="77777777" w:rsidR="00643D60" w:rsidRPr="0013694B" w:rsidRDefault="00643D60" w:rsidP="00643D60">
      <w:pPr>
        <w:suppressAutoHyphens/>
        <w:jc w:val="center"/>
        <w:rPr>
          <w:sz w:val="20"/>
          <w:szCs w:val="20"/>
        </w:rPr>
      </w:pPr>
      <w:r w:rsidRPr="0013694B">
        <w:rPr>
          <w:noProof/>
        </w:rPr>
        <w:drawing>
          <wp:inline distT="0" distB="0" distL="0" distR="0" wp14:anchorId="566260E6" wp14:editId="053898A4">
            <wp:extent cx="4457700" cy="2911289"/>
            <wp:effectExtent l="0" t="0" r="0" b="3810"/>
            <wp:docPr id="2" name="Wykres 2">
              <a:extLst xmlns:a="http://schemas.openxmlformats.org/drawingml/2006/main">
                <a:ext uri="{FF2B5EF4-FFF2-40B4-BE49-F238E27FC236}">
                  <a16:creationId xmlns:a16="http://schemas.microsoft.com/office/drawing/2014/main" id="{58F134D1-4130-4A66-83F6-137EEA5F2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BA61BD" w14:textId="7A12D80B" w:rsidR="00643D60" w:rsidRPr="00A751FE" w:rsidRDefault="00643D60" w:rsidP="006802BB">
      <w:pPr>
        <w:pStyle w:val="Wykres"/>
      </w:pPr>
      <w:bookmarkStart w:id="70" w:name="_Toc68727088"/>
      <w:r w:rsidRPr="0013694B">
        <w:t xml:space="preserve">Wykres </w:t>
      </w:r>
      <w:fldSimple w:instr=" STYLEREF 1 \s ">
        <w:r w:rsidR="00EF3FD3">
          <w:rPr>
            <w:noProof/>
          </w:rPr>
          <w:t>5</w:t>
        </w:r>
      </w:fldSimple>
      <w:r w:rsidR="00EF3FD3">
        <w:noBreakHyphen/>
      </w:r>
      <w:fldSimple w:instr=" SEQ Wykres \* ARABIC \s 1 ">
        <w:r w:rsidR="00EF3FD3">
          <w:rPr>
            <w:noProof/>
          </w:rPr>
          <w:t>2</w:t>
        </w:r>
      </w:fldSimple>
      <w:r w:rsidRPr="0013694B">
        <w:tab/>
        <w:t xml:space="preserve">Udział jcwp LW planowanych do objęcia monitoringiem w latach 2022-2027 w stosunku do ogólnej </w:t>
      </w:r>
      <w:r w:rsidRPr="00A751FE">
        <w:t>liczby jcwp danej kategorii w obszarze dorzecza Pregoły</w:t>
      </w:r>
      <w:bookmarkEnd w:id="70"/>
    </w:p>
    <w:p w14:paraId="77447616" w14:textId="3A84EACC" w:rsidR="00643D60" w:rsidRPr="002C412B" w:rsidRDefault="00643D60" w:rsidP="00442AB7">
      <w:pPr>
        <w:pStyle w:val="rdo0"/>
      </w:pPr>
      <w:r w:rsidRPr="00A751FE">
        <w:t xml:space="preserve">Źródło: opracowanie </w:t>
      </w:r>
      <w:r w:rsidR="005B3051">
        <w:t>własne</w:t>
      </w:r>
      <w:r w:rsidRPr="00A751FE">
        <w:t xml:space="preserve"> na </w:t>
      </w:r>
      <w:r w:rsidRPr="002C412B">
        <w:t>podstawie danych GIOŚ dot. sieci monitoringu 2022-2027</w:t>
      </w:r>
    </w:p>
    <w:p w14:paraId="18730F73" w14:textId="4AF651B1" w:rsidR="00643D60" w:rsidRDefault="00643D60" w:rsidP="006802BB">
      <w:pPr>
        <w:pStyle w:val="Tabela"/>
      </w:pPr>
      <w:bookmarkStart w:id="71" w:name="_Toc68726959"/>
      <w:r w:rsidRPr="00A751FE">
        <w:t xml:space="preserve">Tabela </w:t>
      </w:r>
      <w:fldSimple w:instr=" STYLEREF 1 \s ">
        <w:r w:rsidR="007B4050">
          <w:rPr>
            <w:noProof/>
          </w:rPr>
          <w:t>5</w:t>
        </w:r>
      </w:fldSimple>
      <w:r w:rsidR="007B4050">
        <w:noBreakHyphen/>
      </w:r>
      <w:fldSimple w:instr=" SEQ Tabela \* ARABIC \s 1 ">
        <w:r w:rsidR="007B4050">
          <w:rPr>
            <w:noProof/>
          </w:rPr>
          <w:t>7</w:t>
        </w:r>
      </w:fldSimple>
      <w:r w:rsidRPr="00A751FE">
        <w:tab/>
        <w:t>Liczba jcwp LW planowanych do monitoringu diagnostycznego (MD) i/lub operacyjnego (MO) w</w:t>
      </w:r>
      <w:r w:rsidR="00982408">
        <w:t> </w:t>
      </w:r>
      <w:r w:rsidRPr="00A751FE">
        <w:t xml:space="preserve">latach 2022-2027 w stosunku do całkowitej liczby jcwp danych kategorii </w:t>
      </w:r>
      <w:r>
        <w:t>w obszarze dorzecza Pregoły</w:t>
      </w:r>
      <w:bookmarkEnd w:id="71"/>
    </w:p>
    <w:tbl>
      <w:tblPr>
        <w:tblW w:w="9052" w:type="dxa"/>
        <w:jc w:val="center"/>
        <w:tblCellMar>
          <w:left w:w="70" w:type="dxa"/>
          <w:right w:w="70" w:type="dxa"/>
        </w:tblCellMar>
        <w:tblLook w:val="04A0" w:firstRow="1" w:lastRow="0" w:firstColumn="1" w:lastColumn="0" w:noHBand="0" w:noVBand="1"/>
      </w:tblPr>
      <w:tblGrid>
        <w:gridCol w:w="1550"/>
        <w:gridCol w:w="744"/>
        <w:gridCol w:w="960"/>
        <w:gridCol w:w="960"/>
        <w:gridCol w:w="961"/>
        <w:gridCol w:w="962"/>
        <w:gridCol w:w="982"/>
        <w:gridCol w:w="969"/>
        <w:gridCol w:w="964"/>
      </w:tblGrid>
      <w:tr w:rsidR="00982408" w14:paraId="77A8F95A" w14:textId="77777777" w:rsidTr="00982408">
        <w:trPr>
          <w:trHeight w:val="326"/>
          <w:tblHeader/>
          <w:jc w:val="center"/>
        </w:trPr>
        <w:tc>
          <w:tcPr>
            <w:tcW w:w="1550" w:type="dxa"/>
            <w:vMerge w:val="restart"/>
            <w:tcBorders>
              <w:top w:val="single" w:sz="8" w:space="0" w:color="auto"/>
              <w:left w:val="single" w:sz="8" w:space="0" w:color="auto"/>
              <w:bottom w:val="single" w:sz="8" w:space="0" w:color="000000"/>
              <w:right w:val="single" w:sz="8" w:space="0" w:color="auto"/>
            </w:tcBorders>
            <w:shd w:val="clear" w:color="auto" w:fill="BFBFBF"/>
            <w:vAlign w:val="center"/>
            <w:hideMark/>
          </w:tcPr>
          <w:p w14:paraId="362DB088"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Regiony wodne w obszarze dorzecza Pregoły</w:t>
            </w:r>
          </w:p>
        </w:tc>
        <w:tc>
          <w:tcPr>
            <w:tcW w:w="7502" w:type="dxa"/>
            <w:gridSpan w:val="8"/>
            <w:tcBorders>
              <w:top w:val="single" w:sz="8" w:space="0" w:color="auto"/>
              <w:left w:val="nil"/>
              <w:bottom w:val="single" w:sz="8" w:space="0" w:color="auto"/>
              <w:right w:val="single" w:sz="8" w:space="0" w:color="000000"/>
            </w:tcBorders>
            <w:shd w:val="clear" w:color="auto" w:fill="BFBFBF"/>
            <w:vAlign w:val="center"/>
            <w:hideMark/>
          </w:tcPr>
          <w:p w14:paraId="11DA1D76"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Cykl planistyczny 2022-2027</w:t>
            </w:r>
          </w:p>
        </w:tc>
      </w:tr>
      <w:tr w:rsidR="00982408" w14:paraId="26A00A1C" w14:textId="77777777" w:rsidTr="00982408">
        <w:trPr>
          <w:trHeight w:val="326"/>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872E875" w14:textId="77777777" w:rsidR="00982408" w:rsidRDefault="00982408">
            <w:pPr>
              <w:spacing w:before="0" w:after="0"/>
              <w:jc w:val="left"/>
              <w:rPr>
                <w:rFonts w:eastAsia="Times New Roman"/>
                <w:b/>
                <w:bCs/>
                <w:color w:val="000000"/>
                <w:sz w:val="20"/>
                <w:szCs w:val="20"/>
                <w:lang w:eastAsia="pl-PL"/>
              </w:rPr>
            </w:pPr>
          </w:p>
        </w:tc>
        <w:tc>
          <w:tcPr>
            <w:tcW w:w="7502" w:type="dxa"/>
            <w:gridSpan w:val="8"/>
            <w:tcBorders>
              <w:top w:val="single" w:sz="8" w:space="0" w:color="auto"/>
              <w:left w:val="nil"/>
              <w:bottom w:val="single" w:sz="8" w:space="0" w:color="auto"/>
              <w:right w:val="single" w:sz="8" w:space="0" w:color="000000"/>
            </w:tcBorders>
            <w:shd w:val="clear" w:color="auto" w:fill="BFBFBF"/>
            <w:vAlign w:val="center"/>
            <w:hideMark/>
          </w:tcPr>
          <w:p w14:paraId="5B4CA698" w14:textId="77777777" w:rsidR="00982408" w:rsidRDefault="00982408">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jcwp LW</w:t>
            </w:r>
          </w:p>
        </w:tc>
      </w:tr>
      <w:tr w:rsidR="00982408" w14:paraId="288A07AA" w14:textId="77777777" w:rsidTr="00982408">
        <w:trPr>
          <w:trHeight w:val="780"/>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4B0956F" w14:textId="77777777" w:rsidR="00982408" w:rsidRDefault="00982408">
            <w:pPr>
              <w:spacing w:before="0" w:after="0"/>
              <w:jc w:val="left"/>
              <w:rPr>
                <w:rFonts w:eastAsia="Times New Roman"/>
                <w:b/>
                <w:bCs/>
                <w:color w:val="000000"/>
                <w:sz w:val="20"/>
                <w:szCs w:val="20"/>
                <w:lang w:eastAsia="pl-PL"/>
              </w:rPr>
            </w:pPr>
          </w:p>
        </w:tc>
        <w:tc>
          <w:tcPr>
            <w:tcW w:w="744" w:type="dxa"/>
            <w:tcBorders>
              <w:top w:val="nil"/>
              <w:left w:val="nil"/>
              <w:bottom w:val="single" w:sz="8" w:space="0" w:color="auto"/>
              <w:right w:val="single" w:sz="8" w:space="0" w:color="auto"/>
            </w:tcBorders>
            <w:shd w:val="clear" w:color="auto" w:fill="BFBFBF"/>
            <w:vAlign w:val="center"/>
            <w:hideMark/>
          </w:tcPr>
          <w:p w14:paraId="6561A52E" w14:textId="77777777" w:rsidR="00982408" w:rsidRDefault="00982408">
            <w:pPr>
              <w:suppressAutoHyphens/>
              <w:spacing w:before="0" w:after="0"/>
              <w:jc w:val="center"/>
              <w:rPr>
                <w:rFonts w:eastAsia="Times New Roman"/>
                <w:b/>
                <w:bCs/>
                <w:color w:val="000000"/>
                <w:sz w:val="18"/>
                <w:szCs w:val="18"/>
                <w:lang w:eastAsia="pl-PL"/>
              </w:rPr>
            </w:pPr>
            <w:r>
              <w:rPr>
                <w:rFonts w:eastAsia="Times New Roman"/>
                <w:b/>
                <w:bCs/>
                <w:color w:val="000000"/>
                <w:sz w:val="18"/>
                <w:szCs w:val="18"/>
                <w:lang w:eastAsia="pl-PL"/>
              </w:rPr>
              <w:t>Liczba jcwp</w:t>
            </w:r>
          </w:p>
        </w:tc>
        <w:tc>
          <w:tcPr>
            <w:tcW w:w="960" w:type="dxa"/>
            <w:tcBorders>
              <w:top w:val="nil"/>
              <w:left w:val="nil"/>
              <w:bottom w:val="single" w:sz="8" w:space="0" w:color="auto"/>
              <w:right w:val="single" w:sz="8" w:space="0" w:color="auto"/>
            </w:tcBorders>
            <w:shd w:val="clear" w:color="auto" w:fill="BFBFBF"/>
            <w:vAlign w:val="center"/>
            <w:hideMark/>
          </w:tcPr>
          <w:p w14:paraId="6E0AB817" w14:textId="77777777" w:rsidR="00982408" w:rsidRDefault="00982408">
            <w:pPr>
              <w:suppressAutoHyphens/>
              <w:spacing w:before="0" w:after="0"/>
              <w:jc w:val="center"/>
              <w:rPr>
                <w:rFonts w:eastAsia="Times New Roman"/>
                <w:b/>
                <w:bCs/>
                <w:color w:val="000000"/>
                <w:sz w:val="18"/>
                <w:szCs w:val="18"/>
                <w:lang w:eastAsia="pl-PL"/>
              </w:rPr>
            </w:pPr>
            <w:r>
              <w:rPr>
                <w:rFonts w:eastAsia="Times New Roman"/>
                <w:b/>
                <w:bCs/>
                <w:color w:val="000000"/>
                <w:sz w:val="18"/>
                <w:szCs w:val="18"/>
                <w:lang w:eastAsia="pl-PL"/>
              </w:rPr>
              <w:t>Liczba jcwp z ppk</w:t>
            </w:r>
          </w:p>
        </w:tc>
        <w:tc>
          <w:tcPr>
            <w:tcW w:w="960" w:type="dxa"/>
            <w:tcBorders>
              <w:top w:val="nil"/>
              <w:left w:val="nil"/>
              <w:bottom w:val="single" w:sz="8" w:space="0" w:color="auto"/>
              <w:right w:val="single" w:sz="8" w:space="0" w:color="000000"/>
            </w:tcBorders>
            <w:shd w:val="clear" w:color="auto" w:fill="BFBFBF"/>
            <w:vAlign w:val="center"/>
            <w:hideMark/>
          </w:tcPr>
          <w:p w14:paraId="182EB938"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MD* </w:t>
            </w:r>
          </w:p>
          <w:p w14:paraId="2C453727" w14:textId="60181D73"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1" w:type="dxa"/>
            <w:tcBorders>
              <w:top w:val="nil"/>
              <w:left w:val="single" w:sz="8" w:space="0" w:color="000000"/>
              <w:bottom w:val="single" w:sz="8" w:space="0" w:color="auto"/>
              <w:right w:val="single" w:sz="8" w:space="0" w:color="000000"/>
            </w:tcBorders>
            <w:shd w:val="clear" w:color="auto" w:fill="BFBFBF"/>
            <w:vAlign w:val="center"/>
            <w:hideMark/>
          </w:tcPr>
          <w:p w14:paraId="1710941E"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MO* </w:t>
            </w:r>
          </w:p>
          <w:p w14:paraId="7661A31D" w14:textId="53845729"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2" w:type="dxa"/>
            <w:tcBorders>
              <w:top w:val="nil"/>
              <w:left w:val="single" w:sz="8" w:space="0" w:color="000000"/>
              <w:bottom w:val="single" w:sz="8" w:space="0" w:color="auto"/>
              <w:right w:val="single" w:sz="8" w:space="0" w:color="000000"/>
            </w:tcBorders>
            <w:shd w:val="clear" w:color="auto" w:fill="BFBFBF"/>
            <w:vAlign w:val="center"/>
            <w:hideMark/>
          </w:tcPr>
          <w:p w14:paraId="440007AF" w14:textId="77777777" w:rsidR="00D5478D" w:rsidRDefault="00982408">
            <w:pPr>
              <w:suppressAutoHyphens/>
              <w:spacing w:before="0" w:after="0"/>
              <w:jc w:val="center"/>
              <w:rPr>
                <w:rFonts w:cs="Calibri"/>
                <w:b/>
                <w:bCs/>
                <w:color w:val="000000"/>
                <w:sz w:val="18"/>
                <w:szCs w:val="18"/>
              </w:rPr>
            </w:pPr>
            <w:r>
              <w:rPr>
                <w:rFonts w:cs="Calibri"/>
                <w:b/>
                <w:bCs/>
                <w:color w:val="000000"/>
                <w:sz w:val="18"/>
                <w:szCs w:val="18"/>
              </w:rPr>
              <w:t>Udział jcwp z MB*</w:t>
            </w:r>
          </w:p>
          <w:p w14:paraId="1ABB8879" w14:textId="67231C3F" w:rsidR="00982408" w:rsidRDefault="00982408">
            <w:pPr>
              <w:suppressAutoHyphens/>
              <w:spacing w:before="0" w:after="0"/>
              <w:jc w:val="center"/>
              <w:rPr>
                <w:rFonts w:eastAsia="Times New Roman"/>
                <w:b/>
                <w:bCs/>
                <w:color w:val="000000"/>
                <w:sz w:val="18"/>
                <w:szCs w:val="18"/>
                <w:lang w:eastAsia="pl-PL"/>
              </w:rPr>
            </w:pPr>
            <w:r>
              <w:rPr>
                <w:rFonts w:cs="Calibri"/>
                <w:b/>
                <w:bCs/>
                <w:color w:val="000000"/>
                <w:sz w:val="18"/>
                <w:szCs w:val="18"/>
              </w:rPr>
              <w:t>(%</w:t>
            </w:r>
            <w:r w:rsidR="00D5478D">
              <w:rPr>
                <w:rFonts w:cs="Calibri"/>
                <w:b/>
                <w:bCs/>
                <w:color w:val="000000"/>
                <w:sz w:val="18"/>
                <w:szCs w:val="18"/>
              </w:rPr>
              <w:t>)</w:t>
            </w:r>
            <w:r>
              <w:rPr>
                <w:rFonts w:cs="Calibri"/>
                <w:b/>
                <w:bCs/>
                <w:color w:val="000000"/>
                <w:sz w:val="18"/>
                <w:szCs w:val="18"/>
              </w:rPr>
              <w:t xml:space="preserve"> </w:t>
            </w:r>
          </w:p>
        </w:tc>
        <w:tc>
          <w:tcPr>
            <w:tcW w:w="982" w:type="dxa"/>
            <w:tcBorders>
              <w:top w:val="nil"/>
              <w:left w:val="single" w:sz="8" w:space="0" w:color="000000"/>
              <w:bottom w:val="single" w:sz="8" w:space="0" w:color="auto"/>
              <w:right w:val="single" w:sz="8" w:space="0" w:color="000000"/>
            </w:tcBorders>
            <w:shd w:val="clear" w:color="auto" w:fill="BFBFBF"/>
            <w:vAlign w:val="center"/>
            <w:hideMark/>
          </w:tcPr>
          <w:p w14:paraId="276F4407"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MD+MO* (%) </w:t>
            </w:r>
          </w:p>
        </w:tc>
        <w:tc>
          <w:tcPr>
            <w:tcW w:w="969" w:type="dxa"/>
            <w:tcBorders>
              <w:top w:val="nil"/>
              <w:left w:val="single" w:sz="8" w:space="0" w:color="000000"/>
              <w:bottom w:val="single" w:sz="8" w:space="0" w:color="auto"/>
              <w:right w:val="single" w:sz="8" w:space="0" w:color="000000"/>
            </w:tcBorders>
            <w:shd w:val="clear" w:color="auto" w:fill="BFBFBF"/>
            <w:vAlign w:val="center"/>
            <w:hideMark/>
          </w:tcPr>
          <w:p w14:paraId="7291919D"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Udział jcwp z MO+MB* (%) </w:t>
            </w:r>
          </w:p>
        </w:tc>
        <w:tc>
          <w:tcPr>
            <w:tcW w:w="964" w:type="dxa"/>
            <w:tcBorders>
              <w:top w:val="nil"/>
              <w:left w:val="single" w:sz="8" w:space="0" w:color="000000"/>
              <w:bottom w:val="single" w:sz="8" w:space="0" w:color="auto"/>
              <w:right w:val="single" w:sz="8" w:space="0" w:color="000000"/>
            </w:tcBorders>
            <w:shd w:val="clear" w:color="auto" w:fill="BFBFBF"/>
            <w:vAlign w:val="center"/>
            <w:hideMark/>
          </w:tcPr>
          <w:p w14:paraId="558C2267"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Udział jcwp z MD+MO</w:t>
            </w:r>
          </w:p>
          <w:p w14:paraId="7C10B8AF" w14:textId="77777777" w:rsidR="00982408" w:rsidRDefault="00982408">
            <w:pPr>
              <w:suppressAutoHyphens/>
              <w:spacing w:before="0" w:after="0"/>
              <w:jc w:val="center"/>
              <w:rPr>
                <w:rFonts w:cs="Calibri"/>
                <w:b/>
                <w:bCs/>
                <w:color w:val="000000"/>
                <w:sz w:val="18"/>
                <w:szCs w:val="18"/>
              </w:rPr>
            </w:pPr>
            <w:r>
              <w:rPr>
                <w:rFonts w:cs="Calibri"/>
                <w:b/>
                <w:bCs/>
                <w:color w:val="000000"/>
                <w:sz w:val="18"/>
                <w:szCs w:val="18"/>
              </w:rPr>
              <w:t xml:space="preserve">+MB* (%) </w:t>
            </w:r>
          </w:p>
        </w:tc>
      </w:tr>
      <w:tr w:rsidR="00982408" w14:paraId="2F388AA1" w14:textId="77777777" w:rsidTr="00982408">
        <w:trPr>
          <w:trHeight w:val="300"/>
          <w:jc w:val="center"/>
        </w:trPr>
        <w:tc>
          <w:tcPr>
            <w:tcW w:w="1550" w:type="dxa"/>
            <w:tcBorders>
              <w:top w:val="nil"/>
              <w:left w:val="single" w:sz="8" w:space="0" w:color="auto"/>
              <w:bottom w:val="single" w:sz="8" w:space="0" w:color="auto"/>
              <w:right w:val="single" w:sz="8" w:space="0" w:color="auto"/>
            </w:tcBorders>
            <w:vAlign w:val="center"/>
            <w:hideMark/>
          </w:tcPr>
          <w:p w14:paraId="5254C26C" w14:textId="77777777" w:rsidR="00982408" w:rsidRDefault="00982408">
            <w:pPr>
              <w:suppressAutoHyphens/>
              <w:spacing w:before="0" w:after="0"/>
              <w:rPr>
                <w:rFonts w:eastAsia="Times New Roman"/>
                <w:color w:val="000000"/>
                <w:sz w:val="18"/>
                <w:szCs w:val="18"/>
                <w:lang w:eastAsia="pl-PL"/>
              </w:rPr>
            </w:pPr>
            <w:r>
              <w:rPr>
                <w:rFonts w:eastAsia="Times New Roman"/>
                <w:color w:val="000000"/>
                <w:sz w:val="18"/>
                <w:szCs w:val="18"/>
                <w:lang w:eastAsia="pl-PL"/>
              </w:rPr>
              <w:t>Łyny i Węgorapy</w:t>
            </w:r>
          </w:p>
        </w:tc>
        <w:tc>
          <w:tcPr>
            <w:tcW w:w="744" w:type="dxa"/>
            <w:tcBorders>
              <w:top w:val="nil"/>
              <w:left w:val="nil"/>
              <w:bottom w:val="single" w:sz="8" w:space="0" w:color="auto"/>
              <w:right w:val="single" w:sz="8" w:space="0" w:color="auto"/>
            </w:tcBorders>
            <w:vAlign w:val="center"/>
            <w:hideMark/>
          </w:tcPr>
          <w:p w14:paraId="18B395E2"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105</w:t>
            </w:r>
          </w:p>
        </w:tc>
        <w:tc>
          <w:tcPr>
            <w:tcW w:w="960" w:type="dxa"/>
            <w:tcBorders>
              <w:top w:val="nil"/>
              <w:left w:val="nil"/>
              <w:bottom w:val="single" w:sz="8" w:space="0" w:color="auto"/>
              <w:right w:val="single" w:sz="8" w:space="0" w:color="auto"/>
            </w:tcBorders>
            <w:vAlign w:val="center"/>
            <w:hideMark/>
          </w:tcPr>
          <w:p w14:paraId="3C89C11D"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59</w:t>
            </w:r>
          </w:p>
        </w:tc>
        <w:tc>
          <w:tcPr>
            <w:tcW w:w="960" w:type="dxa"/>
            <w:tcBorders>
              <w:top w:val="nil"/>
              <w:left w:val="nil"/>
              <w:bottom w:val="single" w:sz="8" w:space="0" w:color="auto"/>
              <w:right w:val="single" w:sz="8" w:space="0" w:color="auto"/>
            </w:tcBorders>
            <w:vAlign w:val="center"/>
            <w:hideMark/>
          </w:tcPr>
          <w:p w14:paraId="0BC2505A"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86,4</w:t>
            </w:r>
          </w:p>
        </w:tc>
        <w:tc>
          <w:tcPr>
            <w:tcW w:w="961" w:type="dxa"/>
            <w:tcBorders>
              <w:top w:val="nil"/>
              <w:left w:val="nil"/>
              <w:bottom w:val="single" w:sz="8" w:space="0" w:color="auto"/>
              <w:right w:val="single" w:sz="8" w:space="0" w:color="auto"/>
            </w:tcBorders>
            <w:vAlign w:val="center"/>
            <w:hideMark/>
          </w:tcPr>
          <w:p w14:paraId="389145DE"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94,9</w:t>
            </w:r>
          </w:p>
        </w:tc>
        <w:tc>
          <w:tcPr>
            <w:tcW w:w="962" w:type="dxa"/>
            <w:tcBorders>
              <w:top w:val="nil"/>
              <w:left w:val="nil"/>
              <w:bottom w:val="single" w:sz="8" w:space="0" w:color="auto"/>
              <w:right w:val="single" w:sz="8" w:space="0" w:color="auto"/>
            </w:tcBorders>
            <w:vAlign w:val="center"/>
            <w:hideMark/>
          </w:tcPr>
          <w:p w14:paraId="38321FD4" w14:textId="77777777" w:rsidR="00982408" w:rsidRDefault="00982408">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0,0</w:t>
            </w:r>
          </w:p>
        </w:tc>
        <w:tc>
          <w:tcPr>
            <w:tcW w:w="982" w:type="dxa"/>
            <w:tcBorders>
              <w:top w:val="nil"/>
              <w:left w:val="nil"/>
              <w:bottom w:val="single" w:sz="8" w:space="0" w:color="auto"/>
              <w:right w:val="single" w:sz="8" w:space="0" w:color="auto"/>
            </w:tcBorders>
            <w:vAlign w:val="center"/>
            <w:hideMark/>
          </w:tcPr>
          <w:p w14:paraId="75FBDB1C" w14:textId="77777777" w:rsidR="00982408" w:rsidRDefault="00982408">
            <w:pPr>
              <w:suppressAutoHyphens/>
              <w:spacing w:before="0" w:after="0"/>
              <w:jc w:val="center"/>
              <w:rPr>
                <w:rFonts w:cs="Calibri"/>
                <w:color w:val="000000"/>
                <w:sz w:val="18"/>
                <w:szCs w:val="18"/>
              </w:rPr>
            </w:pPr>
            <w:r>
              <w:rPr>
                <w:rFonts w:cs="Calibri"/>
                <w:color w:val="000000"/>
                <w:sz w:val="18"/>
                <w:szCs w:val="18"/>
              </w:rPr>
              <w:t>81,4</w:t>
            </w:r>
          </w:p>
        </w:tc>
        <w:tc>
          <w:tcPr>
            <w:tcW w:w="969" w:type="dxa"/>
            <w:tcBorders>
              <w:top w:val="nil"/>
              <w:left w:val="nil"/>
              <w:bottom w:val="single" w:sz="8" w:space="0" w:color="auto"/>
              <w:right w:val="single" w:sz="8" w:space="0" w:color="auto"/>
            </w:tcBorders>
            <w:vAlign w:val="center"/>
            <w:hideMark/>
          </w:tcPr>
          <w:p w14:paraId="5A11ABDE" w14:textId="77777777" w:rsidR="00982408" w:rsidRDefault="00982408">
            <w:pPr>
              <w:suppressAutoHyphens/>
              <w:spacing w:before="0" w:after="0"/>
              <w:jc w:val="center"/>
              <w:rPr>
                <w:rFonts w:cs="Calibri"/>
                <w:color w:val="000000"/>
                <w:sz w:val="18"/>
                <w:szCs w:val="18"/>
              </w:rPr>
            </w:pPr>
            <w:r>
              <w:rPr>
                <w:rFonts w:cs="Calibri"/>
                <w:color w:val="000000"/>
                <w:sz w:val="18"/>
                <w:szCs w:val="18"/>
              </w:rPr>
              <w:t>0,0</w:t>
            </w:r>
          </w:p>
        </w:tc>
        <w:tc>
          <w:tcPr>
            <w:tcW w:w="964" w:type="dxa"/>
            <w:tcBorders>
              <w:top w:val="nil"/>
              <w:left w:val="nil"/>
              <w:bottom w:val="single" w:sz="8" w:space="0" w:color="auto"/>
              <w:right w:val="single" w:sz="8" w:space="0" w:color="auto"/>
            </w:tcBorders>
            <w:vAlign w:val="center"/>
            <w:hideMark/>
          </w:tcPr>
          <w:p w14:paraId="72FB56A9" w14:textId="77777777" w:rsidR="00982408" w:rsidRDefault="00982408">
            <w:pPr>
              <w:suppressAutoHyphens/>
              <w:spacing w:before="0" w:after="0"/>
              <w:jc w:val="center"/>
              <w:rPr>
                <w:rFonts w:cs="Calibri"/>
                <w:color w:val="000000"/>
                <w:sz w:val="18"/>
                <w:szCs w:val="18"/>
              </w:rPr>
            </w:pPr>
            <w:r>
              <w:rPr>
                <w:rFonts w:cs="Calibri"/>
                <w:color w:val="000000"/>
                <w:sz w:val="18"/>
                <w:szCs w:val="18"/>
              </w:rPr>
              <w:t>0,0</w:t>
            </w:r>
          </w:p>
        </w:tc>
      </w:tr>
    </w:tbl>
    <w:p w14:paraId="272B186F" w14:textId="77777777" w:rsidR="00982408" w:rsidRDefault="00982408" w:rsidP="00982408">
      <w:pPr>
        <w:rPr>
          <w:i/>
          <w:iCs/>
          <w:sz w:val="16"/>
          <w:szCs w:val="16"/>
        </w:rPr>
      </w:pPr>
      <w:r>
        <w:rPr>
          <w:i/>
          <w:iCs/>
          <w:sz w:val="16"/>
          <w:szCs w:val="16"/>
        </w:rPr>
        <w:t>*</w:t>
      </w:r>
      <w:r>
        <w:rPr>
          <w:i/>
          <w:iCs/>
          <w:sz w:val="16"/>
          <w:szCs w:val="16"/>
          <w:u w:val="single"/>
        </w:rPr>
        <w:t>Objaśnienia</w:t>
      </w:r>
      <w:r>
        <w:rPr>
          <w:i/>
          <w:iCs/>
          <w:sz w:val="16"/>
          <w:szCs w:val="16"/>
        </w:rPr>
        <w:t>:</w:t>
      </w:r>
    </w:p>
    <w:p w14:paraId="3B551AEA" w14:textId="0F3B463C" w:rsidR="00982408" w:rsidRDefault="00982408" w:rsidP="00982408">
      <w:pPr>
        <w:spacing w:before="0" w:after="0"/>
        <w:rPr>
          <w:i/>
          <w:iCs/>
          <w:sz w:val="16"/>
          <w:szCs w:val="16"/>
        </w:rPr>
      </w:pPr>
      <w:r>
        <w:rPr>
          <w:i/>
          <w:iCs/>
          <w:sz w:val="16"/>
          <w:szCs w:val="16"/>
        </w:rPr>
        <w:t xml:space="preserve">Udział jcwp z MD </w:t>
      </w:r>
      <w:r w:rsidR="006C4947">
        <w:rPr>
          <w:i/>
          <w:iCs/>
          <w:sz w:val="16"/>
          <w:szCs w:val="16"/>
        </w:rPr>
        <w:t>-</w:t>
      </w:r>
      <w:r>
        <w:rPr>
          <w:i/>
          <w:iCs/>
          <w:sz w:val="16"/>
          <w:szCs w:val="16"/>
        </w:rPr>
        <w:t xml:space="preserve"> udział jcwp, dla których zaplanowano monitoring diagnostyczny w ogólnej liczbie jcwp z ppk</w:t>
      </w:r>
    </w:p>
    <w:p w14:paraId="4AF64C83" w14:textId="1D93254D" w:rsidR="00982408" w:rsidRDefault="00982408" w:rsidP="00982408">
      <w:pPr>
        <w:spacing w:before="0" w:after="0"/>
        <w:rPr>
          <w:i/>
          <w:iCs/>
          <w:sz w:val="16"/>
          <w:szCs w:val="16"/>
        </w:rPr>
      </w:pPr>
      <w:r>
        <w:rPr>
          <w:i/>
          <w:iCs/>
          <w:sz w:val="16"/>
          <w:szCs w:val="16"/>
        </w:rPr>
        <w:t xml:space="preserve">Udział jcwp z MO </w:t>
      </w:r>
      <w:r w:rsidR="006C4947">
        <w:rPr>
          <w:i/>
          <w:iCs/>
          <w:sz w:val="16"/>
          <w:szCs w:val="16"/>
        </w:rPr>
        <w:t>-</w:t>
      </w:r>
      <w:r>
        <w:rPr>
          <w:i/>
          <w:iCs/>
          <w:sz w:val="16"/>
          <w:szCs w:val="16"/>
        </w:rPr>
        <w:t xml:space="preserve"> udział jcwp, dla których zaplanowano monitoring operacyjny w ogólnej liczbie jcwp z ppk</w:t>
      </w:r>
    </w:p>
    <w:p w14:paraId="65E21EB2" w14:textId="03DE6BEA" w:rsidR="00982408" w:rsidRDefault="00982408" w:rsidP="00982408">
      <w:pPr>
        <w:spacing w:before="0" w:after="0"/>
        <w:rPr>
          <w:i/>
          <w:iCs/>
          <w:sz w:val="16"/>
          <w:szCs w:val="16"/>
        </w:rPr>
      </w:pPr>
      <w:r>
        <w:rPr>
          <w:i/>
          <w:iCs/>
          <w:sz w:val="16"/>
          <w:szCs w:val="16"/>
        </w:rPr>
        <w:t xml:space="preserve">Udział jcwp z MB </w:t>
      </w:r>
      <w:r w:rsidR="006C4947">
        <w:rPr>
          <w:i/>
          <w:iCs/>
          <w:sz w:val="16"/>
          <w:szCs w:val="16"/>
        </w:rPr>
        <w:t>-</w:t>
      </w:r>
      <w:r>
        <w:rPr>
          <w:i/>
          <w:iCs/>
          <w:sz w:val="16"/>
          <w:szCs w:val="16"/>
        </w:rPr>
        <w:t xml:space="preserve"> udział jcwp, dla których zaplanowano monitoring badawczy w ogólnej liczbie jcwp z ppk</w:t>
      </w:r>
    </w:p>
    <w:p w14:paraId="2EC07C17" w14:textId="28B680C0" w:rsidR="00982408" w:rsidRDefault="00982408" w:rsidP="00982408">
      <w:pPr>
        <w:spacing w:before="0" w:after="0"/>
        <w:rPr>
          <w:i/>
          <w:iCs/>
          <w:sz w:val="16"/>
          <w:szCs w:val="16"/>
        </w:rPr>
      </w:pPr>
      <w:r>
        <w:rPr>
          <w:i/>
          <w:iCs/>
          <w:sz w:val="16"/>
          <w:szCs w:val="16"/>
        </w:rPr>
        <w:t xml:space="preserve">Udział jcwp z MD+MO </w:t>
      </w:r>
      <w:r w:rsidR="006C4947">
        <w:rPr>
          <w:i/>
          <w:iCs/>
          <w:sz w:val="16"/>
          <w:szCs w:val="16"/>
        </w:rPr>
        <w:t>-</w:t>
      </w:r>
      <w:r>
        <w:rPr>
          <w:i/>
          <w:iCs/>
          <w:sz w:val="16"/>
          <w:szCs w:val="16"/>
        </w:rPr>
        <w:t xml:space="preserve"> udział jcwp, dla których zaplanowano łącznie monitoring diagnostyczny i operacyjny w ogólnej liczbie jcwp z ppk</w:t>
      </w:r>
    </w:p>
    <w:p w14:paraId="296547A3" w14:textId="5A397A71" w:rsidR="00982408" w:rsidRDefault="00982408" w:rsidP="00982408">
      <w:pPr>
        <w:spacing w:before="0" w:after="0"/>
        <w:rPr>
          <w:i/>
          <w:iCs/>
          <w:sz w:val="16"/>
          <w:szCs w:val="16"/>
        </w:rPr>
      </w:pPr>
      <w:r>
        <w:rPr>
          <w:i/>
          <w:iCs/>
          <w:sz w:val="16"/>
          <w:szCs w:val="16"/>
        </w:rPr>
        <w:t xml:space="preserve">Udział jcwp z MO+MB </w:t>
      </w:r>
      <w:r w:rsidR="006C4947">
        <w:rPr>
          <w:i/>
          <w:iCs/>
          <w:sz w:val="16"/>
          <w:szCs w:val="16"/>
        </w:rPr>
        <w:t>-</w:t>
      </w:r>
      <w:r>
        <w:rPr>
          <w:i/>
          <w:iCs/>
          <w:sz w:val="16"/>
          <w:szCs w:val="16"/>
        </w:rPr>
        <w:t xml:space="preserve"> udział jcwp, dla których zaplanowano łącznie monitoring operacyjny i badawczy w ogólnej liczbie jcwp z ppk</w:t>
      </w:r>
    </w:p>
    <w:p w14:paraId="2D7A046B" w14:textId="2D4AE9D8" w:rsidR="00982408" w:rsidRDefault="00982408" w:rsidP="00982408">
      <w:pPr>
        <w:spacing w:before="0" w:after="0"/>
        <w:ind w:left="1843" w:hanging="1843"/>
        <w:rPr>
          <w:i/>
          <w:iCs/>
          <w:sz w:val="16"/>
          <w:szCs w:val="16"/>
        </w:rPr>
      </w:pPr>
      <w:r>
        <w:rPr>
          <w:i/>
          <w:iCs/>
          <w:sz w:val="16"/>
          <w:szCs w:val="16"/>
        </w:rPr>
        <w:t xml:space="preserve">Udział jcwp z MD+MO+MB </w:t>
      </w:r>
      <w:r w:rsidR="006C4947">
        <w:rPr>
          <w:i/>
          <w:iCs/>
          <w:sz w:val="16"/>
          <w:szCs w:val="16"/>
        </w:rPr>
        <w:t>-</w:t>
      </w:r>
      <w:r>
        <w:rPr>
          <w:i/>
          <w:iCs/>
          <w:sz w:val="16"/>
          <w:szCs w:val="16"/>
        </w:rPr>
        <w:t xml:space="preserve"> udział jcwp, dla których zaplanowano łącznie monitoring diagnostyczny, operacyjny i badawczy w ogólnej liczbie jcwp z ppk</w:t>
      </w:r>
    </w:p>
    <w:p w14:paraId="3D084C4C" w14:textId="77777777" w:rsidR="00982408" w:rsidRDefault="00982408" w:rsidP="00D5478D">
      <w:pPr>
        <w:pStyle w:val="rdo0"/>
      </w:pPr>
      <w:r>
        <w:t>Źródło: opracowanie własne na podstawie danych GIOŚ dot. sieci monitoringu 2022-2027</w:t>
      </w:r>
    </w:p>
    <w:p w14:paraId="2D080C2E" w14:textId="77777777" w:rsidR="00643D60" w:rsidRPr="00BE4152" w:rsidRDefault="00643D60" w:rsidP="00B50FFD">
      <w:pPr>
        <w:pStyle w:val="Nagwek3"/>
      </w:pPr>
      <w:bookmarkStart w:id="72" w:name="_Toc68726848"/>
      <w:r w:rsidRPr="00BE4152">
        <w:t>Wyniki państwowego monitoringu środowiska w zakresie wód powierzchniowych</w:t>
      </w:r>
      <w:bookmarkEnd w:id="72"/>
    </w:p>
    <w:p w14:paraId="15641933" w14:textId="77777777" w:rsidR="00CE57D6" w:rsidRPr="00CE57D6" w:rsidRDefault="00CE57D6" w:rsidP="00CE57D6">
      <w:pPr>
        <w:pStyle w:val="Akapitzlist"/>
        <w:keepNext/>
        <w:numPr>
          <w:ilvl w:val="2"/>
          <w:numId w:val="135"/>
        </w:numPr>
        <w:tabs>
          <w:tab w:val="left" w:pos="1134"/>
        </w:tabs>
        <w:suppressAutoHyphens/>
        <w:jc w:val="left"/>
        <w:outlineLvl w:val="3"/>
        <w:rPr>
          <w:b/>
          <w:bCs/>
          <w:vanish/>
          <w:color w:val="003399"/>
        </w:rPr>
      </w:pPr>
    </w:p>
    <w:p w14:paraId="28C81B87" w14:textId="6F651F06" w:rsidR="00643D60" w:rsidRPr="00B50FFD" w:rsidRDefault="00643D60" w:rsidP="00CE57D6">
      <w:pPr>
        <w:pStyle w:val="Nagwek4"/>
      </w:pPr>
      <w:r w:rsidRPr="00B50FFD">
        <w:t>Sposób klasyfikacji i interpretacji stanu jcwp</w:t>
      </w:r>
    </w:p>
    <w:p w14:paraId="1FD4C337" w14:textId="5CE0B383" w:rsidR="00643D60" w:rsidRPr="00BE4152" w:rsidRDefault="00643D60" w:rsidP="00643D60">
      <w:pPr>
        <w:suppressAutoHyphens/>
      </w:pPr>
      <w:r w:rsidRPr="00BE4152">
        <w:t xml:space="preserve">W ustawie pr.w. zawarto odpowiednie przepisy dotyczące oceny stanu wód oraz upoważnienie do wydania przez ministra właściwego do spraw gospodarki wodnej w porozumieniu z ministrem właściwym do spraw klimatu oraz ministrem właściwym do spraw środowiska rozporządzeń wykonawczych (art. 53 ust. 4 </w:t>
      </w:r>
      <w:r w:rsidR="00FA4331">
        <w:t xml:space="preserve">ustawy </w:t>
      </w:r>
      <w:r w:rsidRPr="00BE4152">
        <w:t>pr.w.) w tym zakresie. Na koniec cyklu planistycznego 2016-2021 obowiązywało rozporządzenie klasyfikacyjne z 2019 r (r.kl.jcwp) wprowadzające zweryfikowane metody oceny stanu jcwp.</w:t>
      </w:r>
    </w:p>
    <w:p w14:paraId="4051DF29" w14:textId="77777777" w:rsidR="00643D60" w:rsidRPr="00BE4152" w:rsidRDefault="00643D60" w:rsidP="00643D60">
      <w:pPr>
        <w:suppressAutoHyphens/>
      </w:pPr>
      <w:r w:rsidRPr="00BE4152">
        <w:t xml:space="preserve">Odpowiednia interpretacja i prezentacja wyników PMŚ </w:t>
      </w:r>
      <w:r>
        <w:t xml:space="preserve">za lata </w:t>
      </w:r>
      <w:r w:rsidRPr="00A772D2">
        <w:t>2014-2019</w:t>
      </w:r>
      <w:r>
        <w:t xml:space="preserve"> </w:t>
      </w:r>
      <w:r w:rsidRPr="00BE4152">
        <w:t>wymaga</w:t>
      </w:r>
      <w:r>
        <w:t>ła</w:t>
      </w:r>
      <w:r w:rsidRPr="00BE4152">
        <w:t xml:space="preserve"> uwzględnienia dokonanych zmian w tym obszarze w porównaniu do aPGW:</w:t>
      </w:r>
    </w:p>
    <w:p w14:paraId="1FEAFAFE" w14:textId="77777777" w:rsidR="00643D60" w:rsidRPr="00F11051" w:rsidRDefault="00643D60" w:rsidP="00AA3506">
      <w:pPr>
        <w:pStyle w:val="Numerowanie"/>
        <w:numPr>
          <w:ilvl w:val="0"/>
          <w:numId w:val="40"/>
        </w:numPr>
      </w:pPr>
      <w:bookmarkStart w:id="73" w:name="_Hlk53911854"/>
      <w:r w:rsidRPr="00F11051">
        <w:t>Aktualizacja jednostek planistycznych (wyznaczenie nowych granic jcwp).</w:t>
      </w:r>
    </w:p>
    <w:p w14:paraId="14ABA69C" w14:textId="5EB39964" w:rsidR="00643D60" w:rsidRPr="00F11051" w:rsidRDefault="00643D60" w:rsidP="00F06393">
      <w:pPr>
        <w:pStyle w:val="Numerowanie"/>
        <w:numPr>
          <w:ilvl w:val="0"/>
          <w:numId w:val="0"/>
        </w:numPr>
        <w:ind w:left="360"/>
      </w:pPr>
      <w:bookmarkStart w:id="74" w:name="_Hlk65214831"/>
      <w:bookmarkEnd w:id="73"/>
      <w:r w:rsidRPr="00F11051">
        <w:t>W IIaPGW prezentowane są dane sprawozdawcze z III cyklu planistycznego ze wskazaniem danych i informacji odpowiednich dla obowiązującego wówczas układu jednostek planistycznych (dane bazowe), oraz jednocześnie dane i informacje bazowe przeniesione na nowy układ planistyczny. Taki sposób prezentacji danych umożliwia przedstawienie wyników osiągniętych na koniec III cyklu planistycznego, zgodnie z obowiązującymi w tym czasie warunkami, które w</w:t>
      </w:r>
      <w:r w:rsidR="002C412B">
        <w:t> </w:t>
      </w:r>
      <w:r w:rsidRPr="00F11051">
        <w:t>ramach IIaPGW uległy zmianie wpływając na prawidłową interpretację wyników. W cyklu planistycznym 2016-2021 sklasyfikowanych zostało prawie 100% jcw przy wykorzystaniu oceny z</w:t>
      </w:r>
      <w:r w:rsidR="002C412B">
        <w:t> </w:t>
      </w:r>
      <w:r w:rsidRPr="00F11051">
        <w:t>przeniesienia. W wyniku przeniesienia na nowy układ planistyczny, nie wszystkim jcwp możliwe było przypisanie uzyskanej oceny stanu 2014-2019. Szczegółowe zestawienia danych wskazane są w poszczególnych podrozdziałach każdej kategorii wód.</w:t>
      </w:r>
    </w:p>
    <w:p w14:paraId="18237B54" w14:textId="77777777" w:rsidR="00643D60" w:rsidRPr="00F11051" w:rsidRDefault="00643D60" w:rsidP="00F06393">
      <w:pPr>
        <w:pStyle w:val="Numerowanie"/>
      </w:pPr>
      <w:r w:rsidRPr="00F11051">
        <w:t xml:space="preserve">Zmiany warunków oceny stanu i potencjału ekologicznego wód wprowadzone r.kl.jcwp. Zmianie uległy: </w:t>
      </w:r>
    </w:p>
    <w:p w14:paraId="243EF206" w14:textId="77777777" w:rsidR="00643D60" w:rsidRPr="00F11051" w:rsidRDefault="00643D60" w:rsidP="00AA3506">
      <w:pPr>
        <w:pStyle w:val="Numerowanie"/>
        <w:numPr>
          <w:ilvl w:val="1"/>
          <w:numId w:val="105"/>
        </w:numPr>
      </w:pPr>
      <w:r w:rsidRPr="00F11051">
        <w:t>zakres elementów biologicznych ocenianych w poszczególnych kategoriach i typach wód;</w:t>
      </w:r>
    </w:p>
    <w:p w14:paraId="1DD7A5FA" w14:textId="77777777" w:rsidR="00643D60" w:rsidRPr="00F11051" w:rsidRDefault="00643D60" w:rsidP="00AA3506">
      <w:pPr>
        <w:pStyle w:val="Numerowanie"/>
        <w:numPr>
          <w:ilvl w:val="1"/>
          <w:numId w:val="105"/>
        </w:numPr>
      </w:pPr>
      <w:r w:rsidRPr="00F11051">
        <w:t>przedziały granic klas dla stanu ekologicznego poszczególnych elementów biologicznych;</w:t>
      </w:r>
    </w:p>
    <w:p w14:paraId="75071A78" w14:textId="77777777" w:rsidR="00643D60" w:rsidRPr="00F11051" w:rsidRDefault="00643D60" w:rsidP="00AA3506">
      <w:pPr>
        <w:pStyle w:val="Numerowanie"/>
        <w:numPr>
          <w:ilvl w:val="1"/>
          <w:numId w:val="105"/>
        </w:numPr>
      </w:pPr>
      <w:r w:rsidRPr="00F11051">
        <w:t>liczba ocenianych elementów fizykochemicznych i chemicznych oraz granice klas dla części z nich;</w:t>
      </w:r>
    </w:p>
    <w:p w14:paraId="2C8F65B5" w14:textId="77777777" w:rsidR="00643D60" w:rsidRPr="00F11051" w:rsidRDefault="00643D60" w:rsidP="00AA3506">
      <w:pPr>
        <w:pStyle w:val="Numerowanie"/>
        <w:numPr>
          <w:ilvl w:val="1"/>
          <w:numId w:val="105"/>
        </w:numPr>
      </w:pPr>
      <w:r w:rsidRPr="00F11051">
        <w:t xml:space="preserve">sposób oceny potencjału ekologicznego jcwp wyznaczonych jako SZCW i SCW (indywidualne granice klas wyznaczone w ramach aktualizacji PGW). </w:t>
      </w:r>
    </w:p>
    <w:p w14:paraId="143D8AD4" w14:textId="028F9076" w:rsidR="00643D60" w:rsidRPr="00BE4152" w:rsidRDefault="00643D60" w:rsidP="00F11051">
      <w:r w:rsidRPr="00BE4152">
        <w:t xml:space="preserve">Podstawowe zmiany dotyczące zasad i zakresu monitoringu stanu lub potencjału ekologicznego wód </w:t>
      </w:r>
      <w:r>
        <w:t xml:space="preserve">wprowadzone </w:t>
      </w:r>
      <w:r w:rsidRPr="00BE4152">
        <w:t xml:space="preserve">w ostatnim cyklu planistycznym </w:t>
      </w:r>
      <w:r>
        <w:t xml:space="preserve">(2016-2021) są </w:t>
      </w:r>
      <w:r w:rsidRPr="00BE4152">
        <w:t xml:space="preserve">związane z przyjęciem zaktualizowanej typologii wód, uwzględniającej wymagania grup organizmów stanowiących biologiczne elementy oceny stanu lub potencjału ekologicznego wód: fitoplanktonu i fitobentosu, makrofitów, makrobezkręgowców oraz ichtiofauny. Nowa typologia została wprowadzona r.kl.jcwp. W IV cyklu planistycznym zgodnie z załącznikiem nr 6 do ww. rozporządzenia będzie obowiązywać podział na: 20 typów jcwp dla kategorii wód rzecznych, 7 typów jcwp </w:t>
      </w:r>
      <w:r w:rsidR="00442AB7">
        <w:t>-</w:t>
      </w:r>
      <w:r w:rsidRPr="00BE4152">
        <w:t xml:space="preserve"> dla wód jeziornych, 5 typów jcwp </w:t>
      </w:r>
      <w:r w:rsidR="00442AB7">
        <w:t>-</w:t>
      </w:r>
      <w:r w:rsidRPr="00BE4152">
        <w:t xml:space="preserve"> dla wód przejściowych i 2 typy jcwp dla wód przybrzeżnych. </w:t>
      </w:r>
    </w:p>
    <w:p w14:paraId="180391BA" w14:textId="671992C1" w:rsidR="00643D60" w:rsidRPr="00BE4152" w:rsidRDefault="00643D60" w:rsidP="00F11051">
      <w:r w:rsidRPr="00BE4152">
        <w:t xml:space="preserve">Weryfikacja metod oceny stanu ekologicznego jcwp wyznaczonych jako naturalne części wód oraz wartości granicznych dla klas stanu ekologicznego została wprowadzona w dwóch etapach </w:t>
      </w:r>
      <w:r w:rsidR="00442AB7">
        <w:t>-</w:t>
      </w:r>
      <w:r w:rsidRPr="00BE4152">
        <w:t xml:space="preserve"> część weszła w życie wraz z </w:t>
      </w:r>
      <w:r>
        <w:t xml:space="preserve">ogłoszeniem </w:t>
      </w:r>
      <w:r w:rsidRPr="00BE4152">
        <w:t xml:space="preserve">r.kl.jcwp, natomiast kolejne zmiany weszły w życie z dniem 1 stycznia 2022 r. i będą obowiązywały w IV cyklu planistycznym. Zmiany te obejmują zarówno zakres elementów biologicznych ocenianych w poszczególnych kategoriach i typach wód, jak </w:t>
      </w:r>
      <w:r>
        <w:t>i</w:t>
      </w:r>
      <w:r w:rsidRPr="00BE4152">
        <w:t xml:space="preserve"> przedziały granic klas dla stanu ekologicznego poszczególnych elementów biologicznych. Zmianie uległa także liczba ocenianych elementów fizykochemicznych i chemicznych oraz granice klas.</w:t>
      </w:r>
    </w:p>
    <w:p w14:paraId="5BFA5493" w14:textId="77777777" w:rsidR="00643D60" w:rsidRPr="00BE4152" w:rsidRDefault="00643D60" w:rsidP="00F11051">
      <w:r w:rsidRPr="00BE4152">
        <w:t xml:space="preserve">Cytowane wyżej rozporządzenie określiło również nowy sposób oceny potencjału ekologicznego jcwp wyznaczonych jako </w:t>
      </w:r>
      <w:r w:rsidRPr="00140B23">
        <w:rPr>
          <w:rFonts w:asciiTheme="minorHAnsi" w:hAnsiTheme="minorHAnsi"/>
          <w:sz w:val="20"/>
          <w:szCs w:val="20"/>
        </w:rPr>
        <w:t>SZCW</w:t>
      </w:r>
      <w:r w:rsidRPr="00BE4152">
        <w:t xml:space="preserve"> i </w:t>
      </w:r>
      <w:r>
        <w:t>SCW</w:t>
      </w:r>
      <w:r w:rsidRPr="00BE4152">
        <w:t>.</w:t>
      </w:r>
    </w:p>
    <w:p w14:paraId="2D8B7A99" w14:textId="6BB7E800" w:rsidR="00643D60" w:rsidRDefault="00643D60" w:rsidP="00F11051">
      <w:r w:rsidRPr="00BE4152">
        <w:t xml:space="preserve">Od 1 stycznia 2022 r. obowiązują nowe zasady wyznaczania przedziałów granic potencjału ekologicznego. </w:t>
      </w:r>
      <w:r>
        <w:t xml:space="preserve">W obecnym cyklu planistycznym, </w:t>
      </w:r>
      <w:r w:rsidRPr="00BE4152">
        <w:t xml:space="preserve">w ramach </w:t>
      </w:r>
      <w:r w:rsidR="00135533">
        <w:t xml:space="preserve">opracowania </w:t>
      </w:r>
      <w:r>
        <w:t xml:space="preserve">IIaPGW po raz pierwszy </w:t>
      </w:r>
      <w:r w:rsidRPr="00BE4152">
        <w:t>określ</w:t>
      </w:r>
      <w:r>
        <w:t>one zostały, z</w:t>
      </w:r>
      <w:r w:rsidRPr="00BE4152">
        <w:t>godnie z</w:t>
      </w:r>
      <w:r w:rsidRPr="00BE4152" w:rsidDel="004C11B8">
        <w:t xml:space="preserve"> </w:t>
      </w:r>
      <w:r>
        <w:t>z</w:t>
      </w:r>
      <w:r w:rsidRPr="00BE4152">
        <w:t>ałącznik</w:t>
      </w:r>
      <w:r>
        <w:t>ami</w:t>
      </w:r>
      <w:r w:rsidRPr="00BE4152">
        <w:t xml:space="preserve"> nr </w:t>
      </w:r>
      <w:r>
        <w:t xml:space="preserve">7-10 </w:t>
      </w:r>
      <w:r w:rsidRPr="00BE4152">
        <w:t>do r.kl.jcwp</w:t>
      </w:r>
      <w:r>
        <w:t>,</w:t>
      </w:r>
      <w:r w:rsidRPr="00BE4152">
        <w:t xml:space="preserve"> wartości graniczne dla klas jakości wód powierzchniowych wskaźników jakości wód powierzchniowych</w:t>
      </w:r>
      <w:r>
        <w:t>,</w:t>
      </w:r>
      <w:r w:rsidRPr="00BE4152">
        <w:t xml:space="preserve"> będące podstawą klasyfikacji potencjału ekologicznego </w:t>
      </w:r>
      <w:r>
        <w:t>jcwp</w:t>
      </w:r>
      <w:r w:rsidRPr="00BE4152">
        <w:t>, odnoszące się do </w:t>
      </w:r>
      <w:r>
        <w:t>jcwp</w:t>
      </w:r>
      <w:r w:rsidRPr="00BE4152">
        <w:t xml:space="preserve"> w ciekach naturalnych, kanałach lub zbiornikach zaporowych wyznaczonych jako sztuczne </w:t>
      </w:r>
      <w:r>
        <w:t>bądź</w:t>
      </w:r>
      <w:r w:rsidRPr="00BE4152">
        <w:t xml:space="preserve"> silnie zmienione </w:t>
      </w:r>
      <w:r>
        <w:t>jcwp.</w:t>
      </w:r>
      <w:r w:rsidRPr="00BE4152">
        <w:t xml:space="preserve"> </w:t>
      </w:r>
    </w:p>
    <w:p w14:paraId="5AEB0856" w14:textId="77777777" w:rsidR="00643D60" w:rsidRPr="008877E0" w:rsidRDefault="00643D60" w:rsidP="00F11051">
      <w:r w:rsidRPr="008877E0">
        <w:t xml:space="preserve">Ideą wprowadzonych rozporządzeniem zmian było, by ocena potencjału ekologicznego dla wyznaczonych ostatecznie SZCW i SCW </w:t>
      </w:r>
      <w:r w:rsidRPr="00C52D6E">
        <w:t>odbywała się w powiązaniu z konkretnymi rodzajami presji decydujących o wyznaczeniu części wód jako silnie zmienione lub sztuczne</w:t>
      </w:r>
      <w:r w:rsidRPr="008877E0">
        <w:t xml:space="preserve">. Dla elementów biologicznych granice klas potencjału ekologicznego zostały zatem określone na niższym poziomie niż stosowane dla stanu ekologicznego, a stopień złagodzenia wymogów środowiskowych odpowiada nasileniu konkretnych presji </w:t>
      </w:r>
      <w:r>
        <w:t xml:space="preserve">hydromorfologicznych </w:t>
      </w:r>
      <w:r w:rsidRPr="008877E0">
        <w:t xml:space="preserve">w danej </w:t>
      </w:r>
      <w:r>
        <w:t xml:space="preserve">jcwp. </w:t>
      </w:r>
    </w:p>
    <w:p w14:paraId="05ABB365" w14:textId="77777777" w:rsidR="00643D60" w:rsidRPr="008877E0" w:rsidRDefault="00643D60" w:rsidP="00F11051">
      <w:r w:rsidRPr="008877E0">
        <w:t>Jako podstawowe założenie przyjęto, że:</w:t>
      </w:r>
    </w:p>
    <w:p w14:paraId="270DEF9A" w14:textId="77777777" w:rsidR="00643D60" w:rsidRPr="008877E0" w:rsidRDefault="00643D60" w:rsidP="00F06393">
      <w:pPr>
        <w:pStyle w:val="Akapitzlist"/>
        <w:rPr>
          <w:rFonts w:cs="Calibri"/>
        </w:rPr>
      </w:pPr>
      <w:r>
        <w:t>dolna wartość graniczna maksymalnego PE zostanie określona na poziomie dolnej granicy dobrego SE dla danego typu abiotycznego rzek lub jezior, zakładając, że w praktyce to odpowiada stanowi jaki można osiągnąć stosując wszystkie uzasadnione działania restytucyjne (osiągnięcie tego progu oznacza wejście SZCW lub SCW w dobry stan ekologiczny, określony dla naturalnych części wód);</w:t>
      </w:r>
    </w:p>
    <w:p w14:paraId="5CADAC7A" w14:textId="52A2CEFB" w:rsidR="00643D60" w:rsidRPr="008877E0" w:rsidRDefault="00643D60" w:rsidP="00F06393">
      <w:pPr>
        <w:pStyle w:val="Akapitzlist"/>
        <w:rPr>
          <w:rFonts w:cs="Calibri"/>
        </w:rPr>
      </w:pPr>
      <w:r>
        <w:t>wartości graniczne dla dobrego PE mieszczą się w przedziale klasy III (umiarkowanego) SE oraz zostaną wyznaczone indywidualnie dla każdej silnie zmienionej lub sztucznej części wód rzek i</w:t>
      </w:r>
      <w:r w:rsidR="00D707C8">
        <w:t> </w:t>
      </w:r>
      <w:r>
        <w:t>jezior w zależności od stopnia jej przekształcenia, którego nie można ograniczyć przez racjonalne działania naprawcze;</w:t>
      </w:r>
    </w:p>
    <w:p w14:paraId="0DBEB3BE" w14:textId="77777777" w:rsidR="00643D60" w:rsidRPr="008877E0" w:rsidRDefault="00643D60" w:rsidP="00F06393">
      <w:pPr>
        <w:pStyle w:val="Akapitzlist"/>
        <w:rPr>
          <w:rFonts w:cs="Calibri"/>
        </w:rPr>
      </w:pPr>
      <w:r w:rsidRPr="1613B0CC">
        <w:t xml:space="preserve">dolne granice dla umiarkowanego i słabego PE zostaną zmienione stosując ten sam </w:t>
      </w:r>
      <w:r>
        <w:t xml:space="preserve">procent obniżenia wartości granicznej zastosowany dla dobrego PE proporcjonalnie do szerokości </w:t>
      </w:r>
      <w:r w:rsidRPr="1613B0CC">
        <w:t>przedziałów kolejnych klas SE.</w:t>
      </w:r>
    </w:p>
    <w:p w14:paraId="68023752" w14:textId="4A479651" w:rsidR="00643D60" w:rsidRPr="008877E0" w:rsidRDefault="00643D60" w:rsidP="00F11051">
      <w:r>
        <w:t xml:space="preserve">W celu określenia stopnia przekształcenia silnie zmienionej lub sztucznej części wód </w:t>
      </w:r>
      <w:r w:rsidRPr="008877E0">
        <w:t xml:space="preserve">dla rzek wykorzystano wyniki obliczeń wskaźnika </w:t>
      </w:r>
      <w:r w:rsidR="00087316">
        <w:t>hydro</w:t>
      </w:r>
      <w:r w:rsidRPr="008877E0">
        <w:t xml:space="preserve">morfologicznego (HIR) dla stanu aktualnego oraz po zasymulowaniu możliwych działań łagodzących, </w:t>
      </w:r>
      <w:r>
        <w:t xml:space="preserve">restytucyjnych </w:t>
      </w:r>
      <w:r w:rsidRPr="008877E0">
        <w:t xml:space="preserve">, w powiązaniu z oceną ekspercką istotności oddziaływań zidentyfikowanych presji na poszczególne biologiczne elementy oceny potencjału ekologicznego wód. Natomiast dla </w:t>
      </w:r>
      <w:r>
        <w:t>jcwp LW</w:t>
      </w:r>
      <w:r w:rsidRPr="008877E0">
        <w:t xml:space="preserve"> wyznaczonych jako SZCW wykorzystane zostały metody eksperckiej redukcji granic klas PE w stosunku do stosowanych dla SE, w oparciu o</w:t>
      </w:r>
      <w:r w:rsidR="00D707C8">
        <w:t> </w:t>
      </w:r>
      <w:r w:rsidRPr="008877E0">
        <w:t>wskaźnikową ocenę stopnia przekształcenia morfologicznego i hydrologicznego poszczególnych jezior. Podstawowe założenia tych ocen eksperckich były analogiczne jak dla rzek</w:t>
      </w:r>
      <w:r>
        <w:t>. Szczegółowy sposób określenia granic dobrego potencjału ekologicznego jest opisany w rozdziale 8 IIaPGW.</w:t>
      </w:r>
    </w:p>
    <w:p w14:paraId="38112094" w14:textId="647CCE19" w:rsidR="00643D60" w:rsidRPr="008877E0" w:rsidRDefault="00643D60" w:rsidP="00F11051">
      <w:r w:rsidRPr="008877E0">
        <w:t>R</w:t>
      </w:r>
      <w:r>
        <w:t>.kl.jcwp</w:t>
      </w:r>
      <w:r w:rsidRPr="008877E0">
        <w:t xml:space="preserve"> wprowadzono również zmiany w zakresie wskaźników fizykochemicznych jakie będą </w:t>
      </w:r>
      <w:r>
        <w:t>klasyfikowane</w:t>
      </w:r>
      <w:r w:rsidRPr="008877E0">
        <w:t xml:space="preserve"> w ramach elementów wspierających.</w:t>
      </w:r>
      <w:r>
        <w:t xml:space="preserve"> </w:t>
      </w:r>
      <w:r w:rsidRPr="008877E0">
        <w:t xml:space="preserve">Najwięcej zmian dotyczy </w:t>
      </w:r>
      <w:r>
        <w:t>jcwp</w:t>
      </w:r>
      <w:r w:rsidRPr="008877E0">
        <w:t xml:space="preserve"> </w:t>
      </w:r>
      <w:r>
        <w:t>RW</w:t>
      </w:r>
      <w:r w:rsidRPr="008877E0">
        <w:t xml:space="preserve">, w przypadku których istotnie zredukowano ilość </w:t>
      </w:r>
      <w:r>
        <w:t>klasyfikowanych</w:t>
      </w:r>
      <w:r w:rsidRPr="008877E0">
        <w:t xml:space="preserve"> wskaźników, pozostawiając takie parametry jak tlen rozpuszczony, BZT</w:t>
      </w:r>
      <w:r w:rsidRPr="008877E0">
        <w:rPr>
          <w:vertAlign w:val="subscript"/>
        </w:rPr>
        <w:t>5</w:t>
      </w:r>
      <w:r w:rsidRPr="008877E0">
        <w:t xml:space="preserve">, ogólny węgiel organiczny, przewodność w 20°C oraz parametry charakteryzujące zawartość biogenów </w:t>
      </w:r>
      <w:r w:rsidR="00442AB7">
        <w:t>-</w:t>
      </w:r>
      <w:r w:rsidRPr="008877E0">
        <w:t xml:space="preserve"> azot ogólny i jego dwie formy</w:t>
      </w:r>
      <w:r>
        <w:t>:</w:t>
      </w:r>
      <w:r w:rsidRPr="008877E0">
        <w:t xml:space="preserve"> azot amonowy i azotanowy oraz ortofosforany i fosfor ogólny. Zrezygnowano m.in. z </w:t>
      </w:r>
      <w:r>
        <w:t>klasyfikowania</w:t>
      </w:r>
      <w:r w:rsidRPr="008877E0">
        <w:t xml:space="preserve"> temperatury (wskaźnik niestabilny, zależny od warunków środowiskowych), chemicznego zapotrzebowania na tlen (parametru umownie obrazującego zawartość związków organicznych i nieorganicznych) oraz kilku wskaźników związanych z zasoleniem, pozostawiając jeden ogólny parametr przewodności w 20°C. Wśród parametrów odnoszących się do substancji biogennych zrezygnowano z </w:t>
      </w:r>
      <w:r>
        <w:t>klasyfikowania</w:t>
      </w:r>
      <w:r w:rsidRPr="008877E0">
        <w:t xml:space="preserve"> azotu Kjeldahla (wskaźnika obrazującego zawartość azotu organicznego i amonowego) oraz azotu azotynowego (nietrwałej formy przejściowej). Mniej zmian zaszło w zakresie wskaźników dla jezior. W jeziorach zrezygnowano z </w:t>
      </w:r>
      <w:r>
        <w:t>klasyfikowania</w:t>
      </w:r>
      <w:r w:rsidRPr="008877E0">
        <w:t xml:space="preserve"> zawartości tlenu, natomiast dla jezior lobeliowych (będących siedliskami chronionymi) dodano dwa wskaźniki </w:t>
      </w:r>
      <w:r w:rsidR="00442AB7">
        <w:t>-</w:t>
      </w:r>
      <w:r w:rsidRPr="008877E0">
        <w:t xml:space="preserve"> barwę i odczyn. </w:t>
      </w:r>
    </w:p>
    <w:p w14:paraId="041B94CD" w14:textId="469562FC" w:rsidR="00643D60" w:rsidRPr="008877E0" w:rsidRDefault="00643D60" w:rsidP="00F11051">
      <w:r w:rsidRPr="008877E0">
        <w:t xml:space="preserve">W zakresie zestawu wskaźników odnoszących się do substancji szczególnie szkodliwych dla środowiska wodnego </w:t>
      </w:r>
      <w:r w:rsidR="00442AB7">
        <w:t>-</w:t>
      </w:r>
      <w:r w:rsidRPr="008877E0">
        <w:t xml:space="preserve"> specyficznych zanieczyszczeń syntetycznych i niesyntetycznych wprowadzono istotną redukcję ilości parametrów. Spośród związków organicznych utrzymano tylko parametr węglowodory ropopochodne </w:t>
      </w:r>
      <w:r w:rsidR="00442AB7">
        <w:t>-</w:t>
      </w:r>
      <w:r w:rsidRPr="008877E0">
        <w:t xml:space="preserve"> indeks oleju mineralnego, rezygnując z </w:t>
      </w:r>
      <w:r>
        <w:t>klasyfikowania</w:t>
      </w:r>
      <w:r w:rsidRPr="008877E0">
        <w:t xml:space="preserve"> aldehydu mrówkowego i</w:t>
      </w:r>
      <w:r w:rsidR="00D707C8">
        <w:t> </w:t>
      </w:r>
      <w:r w:rsidRPr="008877E0">
        <w:t xml:space="preserve">lotnych fenoli. Z 16 metali i półmetali (arsen, bar, bor, chrom, cynk, miedź, glin, molibden, selen, srebro, tal, tytan, wanad, antymon beryl, kobalt) dotychczas </w:t>
      </w:r>
      <w:r>
        <w:t>klasyfikowanych</w:t>
      </w:r>
      <w:r w:rsidRPr="008877E0">
        <w:t xml:space="preserve"> utrzymano tylko 4 - arsen, chrom (VI), cynk i miedź oraz zrezygnowano z takich wskaźników jak cyjanki i fluorki. Poza aldehydem mrówkowym i glinem wszystkie związki, które usunięto z listy wskaźników </w:t>
      </w:r>
      <w:r>
        <w:t xml:space="preserve">klasyfikowanych </w:t>
      </w:r>
      <w:r w:rsidRPr="008877E0">
        <w:t>nadal są wymieniane w innych aktach prawnych jako substancje szczególnie szkodliwe dla środowiska wodnego</w:t>
      </w:r>
      <w:r w:rsidRPr="00EE56C8">
        <w:rPr>
          <w:vertAlign w:val="superscript"/>
        </w:rPr>
        <w:footnoteReference w:id="15"/>
      </w:r>
      <w:r w:rsidRPr="008877E0">
        <w:rPr>
          <w:vertAlign w:val="superscript"/>
        </w:rPr>
        <w:t xml:space="preserve"> </w:t>
      </w:r>
      <w:r w:rsidRPr="008877E0">
        <w:t>lub składniki niebezpieczne odpadów</w:t>
      </w:r>
      <w:r w:rsidRPr="00EE56C8">
        <w:rPr>
          <w:vertAlign w:val="superscript"/>
        </w:rPr>
        <w:footnoteReference w:id="16"/>
      </w:r>
      <w:r w:rsidRPr="008877E0">
        <w:t>.</w:t>
      </w:r>
    </w:p>
    <w:p w14:paraId="31283771" w14:textId="77777777" w:rsidR="00643D60" w:rsidRPr="008877E0" w:rsidRDefault="00643D60" w:rsidP="00F11051">
      <w:r w:rsidRPr="008877E0">
        <w:t>Środowiskowe normy jakości dla substancji priorytetowych oraz dla innych zanieczyszczeń nie uległy zmianie w nowym rozporządzeniu klasyfikacyjnym ani pod względem zakresu badanych parametrów (</w:t>
      </w:r>
      <w:r w:rsidRPr="00A772D2">
        <w:t>53</w:t>
      </w:r>
      <w:r w:rsidRPr="008877E0">
        <w:t xml:space="preserve"> parametry), ani ich wartości granicznych. Wśród substancji priorytetowych, dla których określone są środowiskowe normy jakości znajdują się związki chemiczne wycofane z produkcji i użytku lub których limity zużycia zostały wyraźnie ograniczone, ale monitorowanie ich zawartości w wodach jest nadal konieczne z uwagi na ich trwałość i zdolność do bioakumulacji.</w:t>
      </w:r>
    </w:p>
    <w:p w14:paraId="6EE3C204" w14:textId="67F611AF" w:rsidR="00643D60" w:rsidRPr="00630C30" w:rsidRDefault="00643D60" w:rsidP="00F11051">
      <w:r w:rsidRPr="008877E0">
        <w:t>Wprowadzone rozporządzeniem klasyfikacyjnym zmiany uwarunkowań prawnych PMŚ wymagały przygotowania danych z monitoringu elementów biologicznych GIOŚ tak, aby umożliwić osiągnięcie ich zgodności z granicami klas i zasadami oceny wynikających z rozporządzenia klasyfikacyjnego</w:t>
      </w:r>
      <w:r w:rsidRPr="00861B3B">
        <w:t xml:space="preserve"> w zakresie obowiązującym od 2022 r.</w:t>
      </w:r>
      <w:r w:rsidRPr="008877E0">
        <w:t xml:space="preserve"> Na potrzeby </w:t>
      </w:r>
      <w:r w:rsidR="00383C7E">
        <w:t>opracowania</w:t>
      </w:r>
      <w:r w:rsidRPr="008877E0">
        <w:t xml:space="preserve"> IIaPGW uwzględniane związki hydromorfologicznych i fizykochemicznych elementów jakości z elementami biologicznymi stanowią </w:t>
      </w:r>
      <w:r>
        <w:t xml:space="preserve">aspekt </w:t>
      </w:r>
      <w:r w:rsidRPr="008877E0">
        <w:t>pozwalający na dokonanie analizy oceny elementów biologicznych z uwzględnieniem</w:t>
      </w:r>
      <w:r>
        <w:t xml:space="preserve"> </w:t>
      </w:r>
      <w:r w:rsidRPr="008877E0">
        <w:t xml:space="preserve">elementów hydromorfologicznych i fizykochemicznych, przy uwzględnieniu wrażliwości poszczególnych elementów biologicznych na określone kategorie presji. </w:t>
      </w:r>
      <w:bookmarkStart w:id="76" w:name="_Hlk42627744"/>
      <w:bookmarkEnd w:id="76"/>
    </w:p>
    <w:p w14:paraId="3296F6BC" w14:textId="28A7C8B2" w:rsidR="00643D60" w:rsidRPr="00BE4152" w:rsidRDefault="00643D60" w:rsidP="00F11051">
      <w:pPr>
        <w:rPr>
          <w:b/>
          <w:bCs/>
        </w:rPr>
      </w:pPr>
      <w:bookmarkStart w:id="77" w:name="_Hlk66011188"/>
      <w:r w:rsidRPr="00BE4152">
        <w:rPr>
          <w:b/>
          <w:bCs/>
        </w:rPr>
        <w:t>Wyznaczone wartości graniczne dla klas jakości wód powierzchniowych wskaźników jakości wód powierzchniowych</w:t>
      </w:r>
      <w:r>
        <w:rPr>
          <w:b/>
          <w:bCs/>
        </w:rPr>
        <w:t>,</w:t>
      </w:r>
      <w:r w:rsidRPr="00BE4152">
        <w:rPr>
          <w:b/>
          <w:bCs/>
        </w:rPr>
        <w:t xml:space="preserve"> będące podstawą klasyfikacji potencjału ekologicznego </w:t>
      </w:r>
      <w:r>
        <w:rPr>
          <w:b/>
          <w:bCs/>
        </w:rPr>
        <w:t>jcwp</w:t>
      </w:r>
      <w:r w:rsidRPr="00BE4152">
        <w:rPr>
          <w:b/>
          <w:bCs/>
        </w:rPr>
        <w:t>, odnoszące się do </w:t>
      </w:r>
      <w:r>
        <w:rPr>
          <w:b/>
          <w:bCs/>
        </w:rPr>
        <w:t>jcwp</w:t>
      </w:r>
      <w:r w:rsidRPr="00BE4152">
        <w:rPr>
          <w:b/>
          <w:bCs/>
        </w:rPr>
        <w:t xml:space="preserve"> w ciekach naturalnych, kanałach lub zbiornikach zaporowych </w:t>
      </w:r>
      <w:r>
        <w:rPr>
          <w:b/>
          <w:bCs/>
        </w:rPr>
        <w:t xml:space="preserve">oraz jeziorach i innych zbiorników wodnych </w:t>
      </w:r>
      <w:r w:rsidRPr="00BE4152">
        <w:rPr>
          <w:b/>
          <w:bCs/>
        </w:rPr>
        <w:t xml:space="preserve">wyznaczonych jako sztuczne lub silnie zmienione </w:t>
      </w:r>
      <w:r>
        <w:rPr>
          <w:b/>
          <w:bCs/>
        </w:rPr>
        <w:t>jcwp</w:t>
      </w:r>
      <w:r w:rsidRPr="00BE4152">
        <w:rPr>
          <w:b/>
          <w:bCs/>
        </w:rPr>
        <w:t xml:space="preserve">, o których mowa w ust. 1 </w:t>
      </w:r>
      <w:r>
        <w:rPr>
          <w:b/>
          <w:bCs/>
        </w:rPr>
        <w:t>z</w:t>
      </w:r>
      <w:r w:rsidRPr="00BE4152">
        <w:rPr>
          <w:b/>
          <w:bCs/>
        </w:rPr>
        <w:t xml:space="preserve">ałącznika nr </w:t>
      </w:r>
      <w:r>
        <w:rPr>
          <w:b/>
          <w:bCs/>
        </w:rPr>
        <w:t xml:space="preserve">7, </w:t>
      </w:r>
      <w:r w:rsidRPr="00BE4152">
        <w:rPr>
          <w:b/>
          <w:bCs/>
        </w:rPr>
        <w:t>8</w:t>
      </w:r>
      <w:r>
        <w:rPr>
          <w:b/>
          <w:bCs/>
        </w:rPr>
        <w:t>, 9, 10</w:t>
      </w:r>
      <w:r w:rsidRPr="00BE4152">
        <w:rPr>
          <w:b/>
          <w:bCs/>
        </w:rPr>
        <w:t xml:space="preserve"> r.kl.jcwp</w:t>
      </w:r>
      <w:r>
        <w:rPr>
          <w:b/>
          <w:bCs/>
        </w:rPr>
        <w:t>,</w:t>
      </w:r>
      <w:r w:rsidRPr="00BE4152">
        <w:rPr>
          <w:b/>
          <w:bCs/>
        </w:rPr>
        <w:t xml:space="preserve"> zawiera załącznik nr 3 do planu gospodarowania wodami.</w:t>
      </w:r>
      <w:bookmarkEnd w:id="77"/>
    </w:p>
    <w:bookmarkEnd w:id="74"/>
    <w:p w14:paraId="648457B2" w14:textId="77777777" w:rsidR="00643D60" w:rsidRPr="00BE4152" w:rsidRDefault="00643D60" w:rsidP="00F11051">
      <w:r w:rsidRPr="00BE4152">
        <w:t>Stan lub potencjał ekologiczny jcwp klasyfikuje się na podstawie danych uzyskanych w wyniku realizacji badań monitoringowych w reprezentatywnym ppk.</w:t>
      </w:r>
    </w:p>
    <w:p w14:paraId="442539DB" w14:textId="77777777" w:rsidR="00643D60" w:rsidRPr="00BE4152" w:rsidRDefault="00643D60" w:rsidP="00F11051">
      <w:r w:rsidRPr="00BE4152">
        <w:t xml:space="preserve">Stan ekologiczny określa się dla </w:t>
      </w:r>
      <w:r>
        <w:t xml:space="preserve">jcwp o statusie </w:t>
      </w:r>
      <w:r w:rsidRPr="00BE4152">
        <w:t xml:space="preserve">NAT, natomiast potencjał ekologiczny określa się dla </w:t>
      </w:r>
      <w:r w:rsidRPr="00BE4152" w:rsidDel="00DB5EEF">
        <w:t xml:space="preserve">SCW </w:t>
      </w:r>
      <w:r w:rsidRPr="00BE4152">
        <w:t xml:space="preserve">i </w:t>
      </w:r>
      <w:r w:rsidRPr="00BE4152" w:rsidDel="00DB5EEF">
        <w:t>SZCW</w:t>
      </w:r>
      <w:r w:rsidRPr="00BE4152">
        <w:t xml:space="preserve">. </w:t>
      </w:r>
    </w:p>
    <w:p w14:paraId="63295981" w14:textId="77777777" w:rsidR="00643D60" w:rsidRPr="00BE4152" w:rsidRDefault="00643D60" w:rsidP="00F11051">
      <w:r w:rsidRPr="00BE4152">
        <w:t>Przy ocenie stanu ekologicznego jcwp ocenie poddaje się następujące elementy jakości:</w:t>
      </w:r>
    </w:p>
    <w:p w14:paraId="445B86A0" w14:textId="52AA200D" w:rsidR="00643D60" w:rsidRPr="00BE4152" w:rsidRDefault="00643D60" w:rsidP="00AA3506">
      <w:pPr>
        <w:pStyle w:val="Numerowanie"/>
        <w:numPr>
          <w:ilvl w:val="0"/>
          <w:numId w:val="41"/>
        </w:numPr>
      </w:pPr>
      <w:r w:rsidRPr="00BE4152">
        <w:t>elementy biologiczne (skład, liczebność i biomasa fitoplanktonu, skład i obfitość flory wodnej, w</w:t>
      </w:r>
      <w:r w:rsidR="00D707C8">
        <w:t> </w:t>
      </w:r>
      <w:r w:rsidRPr="00BE4152">
        <w:t xml:space="preserve">tym makrofitów i fitobentosu, makroglonów, roślin okrytozalążkowych, skład i liczebność makrobezkręgowców bentosowych, skład, liczebność i struktura wiekowa ichtiofauny); </w:t>
      </w:r>
    </w:p>
    <w:p w14:paraId="06487D06" w14:textId="77777777" w:rsidR="00643D60" w:rsidRPr="00BE4152" w:rsidRDefault="00643D60" w:rsidP="00F06393">
      <w:pPr>
        <w:pStyle w:val="Numerowanie"/>
      </w:pPr>
      <w:r w:rsidRPr="00BE4152">
        <w:t xml:space="preserve">elementy hydromorfologiczne (reżim hydrologiczny, warunki hydromorfologiczne i inne); </w:t>
      </w:r>
    </w:p>
    <w:p w14:paraId="25F0FAF1" w14:textId="77777777" w:rsidR="00643D60" w:rsidRPr="00BE4152" w:rsidRDefault="00643D60" w:rsidP="00F06393">
      <w:pPr>
        <w:pStyle w:val="Numerowanie"/>
      </w:pPr>
      <w:r w:rsidRPr="00BE4152">
        <w:t>elementy fizykochemiczne (warunki ogólne oraz substancje szczególnie szkodliwe dla środowiska wodnego, czyli specyficzne zanieczyszczenia syntetyczne i niesyntetyczne).</w:t>
      </w:r>
    </w:p>
    <w:p w14:paraId="28D7A607" w14:textId="0217AC56" w:rsidR="00643D60" w:rsidRPr="00BE4152" w:rsidRDefault="00643D60" w:rsidP="00F11051">
      <w:r w:rsidRPr="00BE4152">
        <w:t>Szczegółowy zakres ocenianych elementów jakości dla klasyfikacji stanu ekologicznego różni się w</w:t>
      </w:r>
      <w:r w:rsidR="00D707C8">
        <w:t> </w:t>
      </w:r>
      <w:r w:rsidRPr="00BE4152">
        <w:t>zależności od kategorii jcwp.</w:t>
      </w:r>
    </w:p>
    <w:p w14:paraId="7409100A" w14:textId="2B042B17" w:rsidR="00643D60" w:rsidRDefault="00643D60" w:rsidP="00F11051">
      <w:r w:rsidRPr="00BE4152">
        <w:t xml:space="preserve">Podstawę oceny każdej </w:t>
      </w:r>
      <w:r>
        <w:t>jcw</w:t>
      </w:r>
      <w:r w:rsidR="0089139A">
        <w:t>p</w:t>
      </w:r>
      <w:r w:rsidRPr="00BE4152">
        <w:t xml:space="preserve"> stanowią zawsze elementy biologiczne, zaś elementy fizykochemiczne i hydromorfologiczne pełnią jedynie rolę wspomagającą </w:t>
      </w:r>
      <w:r>
        <w:t xml:space="preserve">w </w:t>
      </w:r>
      <w:r w:rsidRPr="00BE4152">
        <w:t>dokonywan</w:t>
      </w:r>
      <w:r>
        <w:t>ej</w:t>
      </w:r>
      <w:r w:rsidRPr="00BE4152">
        <w:t xml:space="preserve"> ocen</w:t>
      </w:r>
      <w:r>
        <w:t>ie</w:t>
      </w:r>
      <w:r w:rsidRPr="00BE4152">
        <w:t xml:space="preserve"> stanu</w:t>
      </w:r>
      <w:r>
        <w:t>.</w:t>
      </w:r>
    </w:p>
    <w:p w14:paraId="1AB94400" w14:textId="77777777" w:rsidR="00643D60" w:rsidRPr="00BE4152" w:rsidRDefault="00643D60" w:rsidP="00F11051">
      <w:r w:rsidRPr="00BE4152">
        <w:t xml:space="preserve">W przypadku braku danych z pomiarów fizycznych dopuszcza się wykonanie klasyfikacji </w:t>
      </w:r>
      <w:r>
        <w:t>stanu ekologicznego i potencjału ekologicznego</w:t>
      </w:r>
      <w:r w:rsidRPr="00BE4152">
        <w:t xml:space="preserve"> na podstawie:</w:t>
      </w:r>
    </w:p>
    <w:p w14:paraId="50726AEC" w14:textId="77777777" w:rsidR="00643D60" w:rsidRPr="00F11051" w:rsidRDefault="00643D60" w:rsidP="00AA3506">
      <w:pPr>
        <w:pStyle w:val="Numerowanie"/>
        <w:numPr>
          <w:ilvl w:val="0"/>
          <w:numId w:val="42"/>
        </w:numPr>
      </w:pPr>
      <w:r w:rsidRPr="00F11051">
        <w:t>danych uzyskanych dla innej jcwp, charakteryzującej się taką samą kategorią oraz typem wód, stopniem i rodzajem presji zewnętrznej oraz lokalizacją w tej samej zlewni; w przypadku braku tożsamych jcwp w tej samej zlewni akceptuje się także ekstrapolowanie danych z innych jcw;</w:t>
      </w:r>
    </w:p>
    <w:p w14:paraId="507CBF0B" w14:textId="77777777" w:rsidR="00643D60" w:rsidRPr="00F11051" w:rsidRDefault="00643D60" w:rsidP="00F06393">
      <w:pPr>
        <w:pStyle w:val="Numerowanie"/>
      </w:pPr>
      <w:r w:rsidRPr="00F11051">
        <w:t>wyników modelowania matematycznego;</w:t>
      </w:r>
    </w:p>
    <w:p w14:paraId="5CB9E4A2" w14:textId="77777777" w:rsidR="00643D60" w:rsidRPr="00F11051" w:rsidRDefault="00643D60" w:rsidP="00F06393">
      <w:pPr>
        <w:pStyle w:val="Numerowanie"/>
      </w:pPr>
      <w:r w:rsidRPr="00F11051">
        <w:t>oceny eksperckiej.</w:t>
      </w:r>
    </w:p>
    <w:p w14:paraId="6284FA4F" w14:textId="2FE2CA32" w:rsidR="00643D60" w:rsidRPr="00BE4152" w:rsidRDefault="00643D60" w:rsidP="00643D60">
      <w:pPr>
        <w:suppressAutoHyphens/>
      </w:pPr>
      <w:r w:rsidRPr="00BE4152">
        <w:t>Na podstawie oceny wyżej wymienionych elementów jakości badanej jcwp zalicza się ją do jednej z</w:t>
      </w:r>
      <w:r w:rsidR="00D707C8">
        <w:t> </w:t>
      </w:r>
      <w:r w:rsidRPr="00BE4152">
        <w:t>pięciu klas jakości, odpowiadających konkretnemu stanowi ekologicznemu. Wartości graniczne wskaźników jakości wód dla poszczególnych klas oraz procedurę prowadzenia oceny (</w:t>
      </w:r>
      <w:r>
        <w:t>zarówno</w:t>
      </w:r>
      <w:r w:rsidRPr="00BE4152">
        <w:t xml:space="preserve"> stanu, jak</w:t>
      </w:r>
      <w:r>
        <w:t xml:space="preserve"> </w:t>
      </w:r>
      <w:r w:rsidRPr="00BE4152">
        <w:t xml:space="preserve">i potencjału), której wyniki </w:t>
      </w:r>
      <w:r w:rsidRPr="00AB6E72">
        <w:t>zaprezentowano w niniejszym rozdziale, określa r.kl.jcwp. Sposób klasyfikacji stanu ekologicznego jcwp przedstawiono w tabeli</w:t>
      </w:r>
      <w:r w:rsidR="004A1B76" w:rsidRPr="00AB6E72">
        <w:t xml:space="preserve"> 5-8</w:t>
      </w:r>
      <w:r w:rsidRPr="00AB6E72">
        <w:t>.</w:t>
      </w:r>
    </w:p>
    <w:p w14:paraId="22839246" w14:textId="12818711" w:rsidR="00643D60" w:rsidRPr="00BE4152" w:rsidRDefault="00643D60" w:rsidP="006802BB">
      <w:pPr>
        <w:pStyle w:val="Tabela"/>
      </w:pPr>
      <w:bookmarkStart w:id="78" w:name="_Toc68726960"/>
      <w:r w:rsidRPr="00BE4152">
        <w:t xml:space="preserve">Tabela </w:t>
      </w:r>
      <w:fldSimple w:instr=" STYLEREF 1 \s ">
        <w:r w:rsidR="007B4050">
          <w:rPr>
            <w:noProof/>
          </w:rPr>
          <w:t>5</w:t>
        </w:r>
      </w:fldSimple>
      <w:r w:rsidR="007B4050">
        <w:noBreakHyphen/>
      </w:r>
      <w:fldSimple w:instr=" SEQ Tabela \* ARABIC \s 1 ">
        <w:r w:rsidR="007B4050">
          <w:rPr>
            <w:noProof/>
          </w:rPr>
          <w:t>8</w:t>
        </w:r>
      </w:fldSimple>
      <w:r w:rsidRPr="00BE4152">
        <w:tab/>
        <w:t>Klasyfikacja stanu ekologicznego jcwp</w:t>
      </w:r>
      <w:bookmarkEnd w:id="78"/>
      <w:r w:rsidRPr="00BE4152">
        <w:t xml:space="preserve"> </w:t>
      </w:r>
    </w:p>
    <w:tbl>
      <w:tblPr>
        <w:tblStyle w:val="Tabela-Siatka"/>
        <w:tblW w:w="0" w:type="auto"/>
        <w:jc w:val="center"/>
        <w:tblLook w:val="04A0" w:firstRow="1" w:lastRow="0" w:firstColumn="1" w:lastColumn="0" w:noHBand="0" w:noVBand="1"/>
      </w:tblPr>
      <w:tblGrid>
        <w:gridCol w:w="2263"/>
        <w:gridCol w:w="1985"/>
      </w:tblGrid>
      <w:tr w:rsidR="00643D60" w:rsidRPr="00BE4152" w14:paraId="051262E1" w14:textId="77777777" w:rsidTr="00B15070">
        <w:trPr>
          <w:tblHeader/>
          <w:jc w:val="center"/>
        </w:trPr>
        <w:tc>
          <w:tcPr>
            <w:tcW w:w="2263" w:type="dxa"/>
            <w:shd w:val="clear" w:color="auto" w:fill="BFBFBF"/>
            <w:vAlign w:val="center"/>
          </w:tcPr>
          <w:p w14:paraId="2C8F5EA6" w14:textId="77777777" w:rsidR="00643D60" w:rsidRPr="005F1FFB" w:rsidRDefault="00643D60" w:rsidP="00B15070">
            <w:pPr>
              <w:suppressAutoHyphens/>
              <w:jc w:val="center"/>
              <w:rPr>
                <w:b/>
                <w:sz w:val="20"/>
                <w:szCs w:val="20"/>
              </w:rPr>
            </w:pPr>
            <w:r w:rsidRPr="005F1FFB">
              <w:rPr>
                <w:b/>
                <w:sz w:val="20"/>
                <w:szCs w:val="20"/>
              </w:rPr>
              <w:t>Klasa stanu ekologicznego</w:t>
            </w:r>
          </w:p>
        </w:tc>
        <w:tc>
          <w:tcPr>
            <w:tcW w:w="1985" w:type="dxa"/>
            <w:shd w:val="clear" w:color="auto" w:fill="BFBFBF"/>
            <w:vAlign w:val="center"/>
          </w:tcPr>
          <w:p w14:paraId="132ECA45" w14:textId="77777777" w:rsidR="00643D60" w:rsidRPr="005F1FFB" w:rsidRDefault="00643D60" w:rsidP="00B15070">
            <w:pPr>
              <w:suppressAutoHyphens/>
              <w:jc w:val="center"/>
              <w:rPr>
                <w:b/>
                <w:sz w:val="20"/>
                <w:szCs w:val="20"/>
              </w:rPr>
            </w:pPr>
            <w:r w:rsidRPr="005F1FFB">
              <w:rPr>
                <w:b/>
                <w:sz w:val="20"/>
                <w:szCs w:val="20"/>
              </w:rPr>
              <w:t>Stan ekologiczny</w:t>
            </w:r>
          </w:p>
        </w:tc>
      </w:tr>
      <w:tr w:rsidR="00643D60" w:rsidRPr="00BE4152" w14:paraId="25728829" w14:textId="77777777" w:rsidTr="00B15070">
        <w:trPr>
          <w:jc w:val="center"/>
        </w:trPr>
        <w:tc>
          <w:tcPr>
            <w:tcW w:w="2263" w:type="dxa"/>
            <w:vAlign w:val="center"/>
          </w:tcPr>
          <w:p w14:paraId="2D6812DA" w14:textId="77777777" w:rsidR="00643D60" w:rsidRPr="005F1FFB" w:rsidRDefault="00643D60" w:rsidP="00B15070">
            <w:pPr>
              <w:suppressAutoHyphens/>
              <w:jc w:val="center"/>
              <w:rPr>
                <w:sz w:val="20"/>
                <w:szCs w:val="20"/>
              </w:rPr>
            </w:pPr>
            <w:r w:rsidRPr="005F1FFB">
              <w:rPr>
                <w:sz w:val="20"/>
                <w:szCs w:val="20"/>
              </w:rPr>
              <w:t>I</w:t>
            </w:r>
          </w:p>
        </w:tc>
        <w:tc>
          <w:tcPr>
            <w:tcW w:w="1985" w:type="dxa"/>
            <w:vAlign w:val="center"/>
          </w:tcPr>
          <w:p w14:paraId="0CA8091E" w14:textId="77777777" w:rsidR="00643D60" w:rsidRPr="005F1FFB" w:rsidRDefault="00643D60" w:rsidP="00B15070">
            <w:pPr>
              <w:suppressAutoHyphens/>
              <w:jc w:val="center"/>
              <w:rPr>
                <w:sz w:val="20"/>
                <w:szCs w:val="20"/>
              </w:rPr>
            </w:pPr>
            <w:r w:rsidRPr="005F1FFB">
              <w:rPr>
                <w:sz w:val="20"/>
                <w:szCs w:val="20"/>
              </w:rPr>
              <w:t>bardzo dobry</w:t>
            </w:r>
          </w:p>
        </w:tc>
      </w:tr>
      <w:tr w:rsidR="00643D60" w:rsidRPr="00BE4152" w14:paraId="4592BDE5" w14:textId="77777777" w:rsidTr="00B15070">
        <w:trPr>
          <w:jc w:val="center"/>
        </w:trPr>
        <w:tc>
          <w:tcPr>
            <w:tcW w:w="2263" w:type="dxa"/>
            <w:vAlign w:val="center"/>
          </w:tcPr>
          <w:p w14:paraId="35DE5294" w14:textId="77777777" w:rsidR="00643D60" w:rsidRPr="005F1FFB" w:rsidRDefault="00643D60" w:rsidP="00B15070">
            <w:pPr>
              <w:suppressAutoHyphens/>
              <w:jc w:val="center"/>
              <w:rPr>
                <w:sz w:val="20"/>
                <w:szCs w:val="20"/>
              </w:rPr>
            </w:pPr>
            <w:r w:rsidRPr="005F1FFB">
              <w:rPr>
                <w:sz w:val="20"/>
                <w:szCs w:val="20"/>
              </w:rPr>
              <w:t>II</w:t>
            </w:r>
          </w:p>
        </w:tc>
        <w:tc>
          <w:tcPr>
            <w:tcW w:w="1985" w:type="dxa"/>
            <w:vAlign w:val="center"/>
          </w:tcPr>
          <w:p w14:paraId="2D12CEC2" w14:textId="77777777" w:rsidR="00643D60" w:rsidRPr="005F1FFB" w:rsidRDefault="00643D60" w:rsidP="00B15070">
            <w:pPr>
              <w:suppressAutoHyphens/>
              <w:jc w:val="center"/>
              <w:rPr>
                <w:sz w:val="20"/>
                <w:szCs w:val="20"/>
              </w:rPr>
            </w:pPr>
            <w:r w:rsidRPr="005F1FFB">
              <w:rPr>
                <w:sz w:val="20"/>
                <w:szCs w:val="20"/>
              </w:rPr>
              <w:t>dobry</w:t>
            </w:r>
          </w:p>
        </w:tc>
      </w:tr>
      <w:tr w:rsidR="00643D60" w:rsidRPr="00BE4152" w14:paraId="0C06D339" w14:textId="77777777" w:rsidTr="00B15070">
        <w:trPr>
          <w:jc w:val="center"/>
        </w:trPr>
        <w:tc>
          <w:tcPr>
            <w:tcW w:w="2263" w:type="dxa"/>
            <w:vAlign w:val="center"/>
          </w:tcPr>
          <w:p w14:paraId="298BD6BB" w14:textId="77777777" w:rsidR="00643D60" w:rsidRPr="005F1FFB" w:rsidRDefault="00643D60" w:rsidP="00B15070">
            <w:pPr>
              <w:suppressAutoHyphens/>
              <w:jc w:val="center"/>
              <w:rPr>
                <w:sz w:val="20"/>
                <w:szCs w:val="20"/>
              </w:rPr>
            </w:pPr>
            <w:r w:rsidRPr="005F1FFB">
              <w:rPr>
                <w:sz w:val="20"/>
                <w:szCs w:val="20"/>
              </w:rPr>
              <w:t>III</w:t>
            </w:r>
          </w:p>
        </w:tc>
        <w:tc>
          <w:tcPr>
            <w:tcW w:w="1985" w:type="dxa"/>
            <w:vAlign w:val="center"/>
          </w:tcPr>
          <w:p w14:paraId="74B983EB" w14:textId="77777777" w:rsidR="00643D60" w:rsidRPr="005F1FFB" w:rsidRDefault="00643D60" w:rsidP="00B15070">
            <w:pPr>
              <w:suppressAutoHyphens/>
              <w:jc w:val="center"/>
              <w:rPr>
                <w:sz w:val="20"/>
                <w:szCs w:val="20"/>
              </w:rPr>
            </w:pPr>
            <w:r w:rsidRPr="005F1FFB">
              <w:rPr>
                <w:sz w:val="20"/>
                <w:szCs w:val="20"/>
              </w:rPr>
              <w:t>umiarkowany</w:t>
            </w:r>
          </w:p>
        </w:tc>
      </w:tr>
      <w:tr w:rsidR="00643D60" w:rsidRPr="00BE4152" w14:paraId="459CF2EF" w14:textId="77777777" w:rsidTr="00B15070">
        <w:trPr>
          <w:jc w:val="center"/>
        </w:trPr>
        <w:tc>
          <w:tcPr>
            <w:tcW w:w="2263" w:type="dxa"/>
            <w:vAlign w:val="center"/>
          </w:tcPr>
          <w:p w14:paraId="7CE1E721" w14:textId="77777777" w:rsidR="00643D60" w:rsidRPr="005F1FFB" w:rsidRDefault="00643D60" w:rsidP="00B15070">
            <w:pPr>
              <w:suppressAutoHyphens/>
              <w:jc w:val="center"/>
              <w:rPr>
                <w:sz w:val="20"/>
                <w:szCs w:val="20"/>
              </w:rPr>
            </w:pPr>
            <w:r w:rsidRPr="005F1FFB">
              <w:rPr>
                <w:sz w:val="20"/>
                <w:szCs w:val="20"/>
              </w:rPr>
              <w:t>IV</w:t>
            </w:r>
          </w:p>
        </w:tc>
        <w:tc>
          <w:tcPr>
            <w:tcW w:w="1985" w:type="dxa"/>
            <w:vAlign w:val="center"/>
          </w:tcPr>
          <w:p w14:paraId="016CCA63" w14:textId="77777777" w:rsidR="00643D60" w:rsidRPr="005F1FFB" w:rsidRDefault="00643D60" w:rsidP="00B15070">
            <w:pPr>
              <w:suppressAutoHyphens/>
              <w:jc w:val="center"/>
              <w:rPr>
                <w:sz w:val="20"/>
                <w:szCs w:val="20"/>
              </w:rPr>
            </w:pPr>
            <w:r w:rsidRPr="005F1FFB">
              <w:rPr>
                <w:sz w:val="20"/>
                <w:szCs w:val="20"/>
              </w:rPr>
              <w:t>słaby</w:t>
            </w:r>
          </w:p>
        </w:tc>
      </w:tr>
      <w:tr w:rsidR="00643D60" w:rsidRPr="00BE4152" w14:paraId="6FD83D4B" w14:textId="77777777" w:rsidTr="00B15070">
        <w:trPr>
          <w:jc w:val="center"/>
        </w:trPr>
        <w:tc>
          <w:tcPr>
            <w:tcW w:w="2263" w:type="dxa"/>
            <w:vAlign w:val="center"/>
          </w:tcPr>
          <w:p w14:paraId="312092CB" w14:textId="77777777" w:rsidR="00643D60" w:rsidRPr="005F1FFB" w:rsidRDefault="00643D60" w:rsidP="00B15070">
            <w:pPr>
              <w:suppressAutoHyphens/>
              <w:jc w:val="center"/>
              <w:rPr>
                <w:sz w:val="20"/>
                <w:szCs w:val="20"/>
              </w:rPr>
            </w:pPr>
            <w:r w:rsidRPr="005F1FFB">
              <w:rPr>
                <w:sz w:val="20"/>
                <w:szCs w:val="20"/>
              </w:rPr>
              <w:t>V</w:t>
            </w:r>
          </w:p>
        </w:tc>
        <w:tc>
          <w:tcPr>
            <w:tcW w:w="1985" w:type="dxa"/>
            <w:vAlign w:val="center"/>
          </w:tcPr>
          <w:p w14:paraId="49AC3E20" w14:textId="77777777" w:rsidR="00643D60" w:rsidRPr="005F1FFB" w:rsidRDefault="00643D60" w:rsidP="00B15070">
            <w:pPr>
              <w:suppressAutoHyphens/>
              <w:jc w:val="center"/>
              <w:rPr>
                <w:sz w:val="20"/>
                <w:szCs w:val="20"/>
              </w:rPr>
            </w:pPr>
            <w:r w:rsidRPr="005F1FFB">
              <w:rPr>
                <w:sz w:val="20"/>
                <w:szCs w:val="20"/>
              </w:rPr>
              <w:t>zły</w:t>
            </w:r>
          </w:p>
        </w:tc>
      </w:tr>
    </w:tbl>
    <w:p w14:paraId="55B4671F" w14:textId="0843CE00" w:rsidR="00643D60" w:rsidRPr="00BE4152" w:rsidRDefault="00643D60" w:rsidP="00442AB7">
      <w:pPr>
        <w:pStyle w:val="rdo0"/>
        <w:rPr>
          <w:i w:val="0"/>
          <w:color w:val="000099"/>
          <w:sz w:val="20"/>
          <w:szCs w:val="20"/>
        </w:rPr>
      </w:pPr>
      <w:r w:rsidRPr="00BE4152">
        <w:t xml:space="preserve">Źródło: opracowanie </w:t>
      </w:r>
      <w:r w:rsidR="005B3051">
        <w:t>własne</w:t>
      </w:r>
      <w:r w:rsidRPr="00BE4152">
        <w:t xml:space="preserve"> na podstawie r.kl.jcwp</w:t>
      </w:r>
    </w:p>
    <w:p w14:paraId="04E4FA4A" w14:textId="77777777" w:rsidR="00643D60" w:rsidRPr="00BE4152" w:rsidRDefault="00643D60" w:rsidP="00643D60">
      <w:pPr>
        <w:suppressAutoHyphens/>
      </w:pPr>
      <w:r w:rsidRPr="00BE4152">
        <w:t xml:space="preserve">Potencjał ekologiczny klasyfikuje się na podstawie elementów biologicznych, fizykochemicznych i hydromorfologicznych, stosowanych w klasyfikacji stanu ekologicznego tej kategorii naturalnych wód powierzchniowych, która najbardziej przypomina odpowiednią </w:t>
      </w:r>
      <w:r w:rsidRPr="00140B23">
        <w:rPr>
          <w:rFonts w:asciiTheme="minorHAnsi" w:hAnsiTheme="minorHAnsi"/>
          <w:sz w:val="20"/>
          <w:szCs w:val="20"/>
        </w:rPr>
        <w:t>SZCW</w:t>
      </w:r>
      <w:r w:rsidRPr="00BE4152">
        <w:t xml:space="preserve"> lub </w:t>
      </w:r>
      <w:r>
        <w:t>SCW</w:t>
      </w:r>
      <w:r w:rsidRPr="00BE4152">
        <w:t>.</w:t>
      </w:r>
    </w:p>
    <w:p w14:paraId="5F629D2E" w14:textId="77777777" w:rsidR="00643D60" w:rsidRPr="00BE4152" w:rsidRDefault="00643D60" w:rsidP="00643D60">
      <w:pPr>
        <w:suppressAutoHyphens/>
      </w:pPr>
      <w:r w:rsidRPr="00BE4152">
        <w:t xml:space="preserve">Na podstawie oceny elementów biologicznych jakości wód badanej </w:t>
      </w:r>
      <w:r w:rsidRPr="00140B23">
        <w:rPr>
          <w:rFonts w:asciiTheme="minorHAnsi" w:hAnsiTheme="minorHAnsi"/>
          <w:sz w:val="20"/>
          <w:szCs w:val="20"/>
        </w:rPr>
        <w:t>SZCW</w:t>
      </w:r>
      <w:r w:rsidRPr="00BE4152">
        <w:t xml:space="preserve"> lub </w:t>
      </w:r>
      <w:r>
        <w:t>SCW</w:t>
      </w:r>
      <w:r w:rsidRPr="00BE4152">
        <w:t xml:space="preserve"> przypisuje się jedną z pięciu klas potencjału ekologicznego. Elementy fizykochemiczne i hydromorfologiczne pełnią jedynie rolę wspomagającą w trakcie oceny.</w:t>
      </w:r>
    </w:p>
    <w:p w14:paraId="6534E5AB" w14:textId="63D032CE" w:rsidR="00643D60" w:rsidRPr="00BE4152" w:rsidRDefault="00643D60" w:rsidP="00643D60">
      <w:pPr>
        <w:suppressAutoHyphens/>
      </w:pPr>
      <w:r w:rsidRPr="00BE4152">
        <w:t>Pr</w:t>
      </w:r>
      <w:r>
        <w:t>zy pr</w:t>
      </w:r>
      <w:r w:rsidRPr="00BE4152">
        <w:t>ezent</w:t>
      </w:r>
      <w:r>
        <w:t>acji</w:t>
      </w:r>
      <w:r w:rsidRPr="00BE4152">
        <w:t xml:space="preserve"> wynik</w:t>
      </w:r>
      <w:r>
        <w:t>ów</w:t>
      </w:r>
      <w:r w:rsidRPr="00BE4152">
        <w:t xml:space="preserve"> klasyfikacji potencjału ekologicznego przyjmuje się następujące określenia: maksymalny, dobry, umiarkowany, słaby i zły potencjał ekologiczny. Sposób klasyfikacji potencjału ekologicznego przedstawiono </w:t>
      </w:r>
      <w:r w:rsidRPr="00AB6E72">
        <w:t>w tabeli</w:t>
      </w:r>
      <w:r w:rsidR="004A1B76" w:rsidRPr="00AB6E72">
        <w:t xml:space="preserve"> 5-9</w:t>
      </w:r>
      <w:r w:rsidRPr="00AB6E72">
        <w:t>.</w:t>
      </w:r>
      <w:r w:rsidRPr="00BE4152">
        <w:t xml:space="preserve"> </w:t>
      </w:r>
    </w:p>
    <w:p w14:paraId="395BC9E8" w14:textId="69E80091" w:rsidR="00643D60" w:rsidRPr="00BE4152" w:rsidRDefault="00643D60" w:rsidP="006802BB">
      <w:pPr>
        <w:pStyle w:val="Tabela"/>
      </w:pPr>
      <w:bookmarkStart w:id="79" w:name="_Toc68726961"/>
      <w:r w:rsidRPr="00BE4152">
        <w:t xml:space="preserve">Tabela </w:t>
      </w:r>
      <w:fldSimple w:instr=" STYLEREF 1 \s ">
        <w:r w:rsidR="007B4050">
          <w:rPr>
            <w:noProof/>
          </w:rPr>
          <w:t>5</w:t>
        </w:r>
      </w:fldSimple>
      <w:r w:rsidR="007B4050">
        <w:noBreakHyphen/>
      </w:r>
      <w:fldSimple w:instr=" SEQ Tabela \* ARABIC \s 1 ">
        <w:r w:rsidR="007B4050">
          <w:rPr>
            <w:noProof/>
          </w:rPr>
          <w:t>9</w:t>
        </w:r>
      </w:fldSimple>
      <w:r w:rsidRPr="00BE4152">
        <w:tab/>
        <w:t>Klasyfikacja potencjału ekologicznego jcwp</w:t>
      </w:r>
      <w:bookmarkEnd w:id="79"/>
      <w:r w:rsidRPr="00BE4152">
        <w:t xml:space="preserve"> </w:t>
      </w:r>
    </w:p>
    <w:tbl>
      <w:tblPr>
        <w:tblStyle w:val="Tabela-Siatka"/>
        <w:tblW w:w="0" w:type="auto"/>
        <w:jc w:val="center"/>
        <w:tblLook w:val="04A0" w:firstRow="1" w:lastRow="0" w:firstColumn="1" w:lastColumn="0" w:noHBand="0" w:noVBand="1"/>
      </w:tblPr>
      <w:tblGrid>
        <w:gridCol w:w="2407"/>
        <w:gridCol w:w="1985"/>
      </w:tblGrid>
      <w:tr w:rsidR="00643D60" w:rsidRPr="00BE4152" w14:paraId="55672625" w14:textId="77777777" w:rsidTr="00B15070">
        <w:trPr>
          <w:tblHeader/>
          <w:jc w:val="center"/>
        </w:trPr>
        <w:tc>
          <w:tcPr>
            <w:tcW w:w="2407" w:type="dxa"/>
            <w:shd w:val="clear" w:color="auto" w:fill="BFBFBF"/>
            <w:vAlign w:val="center"/>
          </w:tcPr>
          <w:p w14:paraId="115D9BA1" w14:textId="77777777" w:rsidR="00643D60" w:rsidRPr="00BE4152" w:rsidRDefault="00643D60" w:rsidP="00B15070">
            <w:pPr>
              <w:suppressAutoHyphens/>
              <w:jc w:val="center"/>
              <w:rPr>
                <w:b/>
                <w:bCs/>
                <w:sz w:val="20"/>
                <w:szCs w:val="20"/>
              </w:rPr>
            </w:pPr>
            <w:r w:rsidRPr="00BE4152">
              <w:rPr>
                <w:b/>
                <w:bCs/>
                <w:sz w:val="20"/>
                <w:szCs w:val="20"/>
              </w:rPr>
              <w:t>Klasa potencjału</w:t>
            </w:r>
            <w:r w:rsidRPr="00BE4152">
              <w:rPr>
                <w:b/>
                <w:bCs/>
                <w:sz w:val="20"/>
                <w:szCs w:val="20"/>
              </w:rPr>
              <w:br/>
              <w:t>ekologicznego</w:t>
            </w:r>
          </w:p>
        </w:tc>
        <w:tc>
          <w:tcPr>
            <w:tcW w:w="1985" w:type="dxa"/>
            <w:shd w:val="clear" w:color="auto" w:fill="BFBFBF"/>
            <w:vAlign w:val="center"/>
          </w:tcPr>
          <w:p w14:paraId="4F283ADE" w14:textId="77777777" w:rsidR="00643D60" w:rsidRPr="00BE4152" w:rsidRDefault="00643D60" w:rsidP="00B15070">
            <w:pPr>
              <w:suppressAutoHyphens/>
              <w:jc w:val="center"/>
              <w:rPr>
                <w:b/>
                <w:bCs/>
                <w:sz w:val="20"/>
                <w:szCs w:val="20"/>
              </w:rPr>
            </w:pPr>
            <w:r w:rsidRPr="00BE4152">
              <w:rPr>
                <w:b/>
                <w:bCs/>
                <w:sz w:val="20"/>
                <w:szCs w:val="20"/>
              </w:rPr>
              <w:t>Potencjał</w:t>
            </w:r>
            <w:r w:rsidRPr="00BE4152">
              <w:rPr>
                <w:b/>
                <w:bCs/>
                <w:sz w:val="20"/>
                <w:szCs w:val="20"/>
              </w:rPr>
              <w:br/>
              <w:t>ekologiczny</w:t>
            </w:r>
          </w:p>
        </w:tc>
      </w:tr>
      <w:tr w:rsidR="00643D60" w:rsidRPr="00BE4152" w14:paraId="2AF69A23" w14:textId="77777777" w:rsidTr="00B15070">
        <w:trPr>
          <w:jc w:val="center"/>
        </w:trPr>
        <w:tc>
          <w:tcPr>
            <w:tcW w:w="2407" w:type="dxa"/>
            <w:vAlign w:val="center"/>
          </w:tcPr>
          <w:p w14:paraId="712F4EED" w14:textId="77777777" w:rsidR="00643D60" w:rsidRPr="00BE4152" w:rsidRDefault="00643D60" w:rsidP="00B15070">
            <w:pPr>
              <w:suppressAutoHyphens/>
              <w:jc w:val="center"/>
              <w:rPr>
                <w:sz w:val="20"/>
                <w:szCs w:val="20"/>
              </w:rPr>
            </w:pPr>
            <w:r w:rsidRPr="00BE4152">
              <w:rPr>
                <w:sz w:val="20"/>
                <w:szCs w:val="20"/>
              </w:rPr>
              <w:t>I</w:t>
            </w:r>
          </w:p>
        </w:tc>
        <w:tc>
          <w:tcPr>
            <w:tcW w:w="1985" w:type="dxa"/>
            <w:vAlign w:val="center"/>
          </w:tcPr>
          <w:p w14:paraId="3EF3D31B" w14:textId="77777777" w:rsidR="00643D60" w:rsidRPr="00BE4152" w:rsidRDefault="00643D60" w:rsidP="00B15070">
            <w:pPr>
              <w:suppressAutoHyphens/>
              <w:jc w:val="center"/>
              <w:rPr>
                <w:sz w:val="20"/>
                <w:szCs w:val="20"/>
              </w:rPr>
            </w:pPr>
            <w:r w:rsidRPr="00BE4152">
              <w:rPr>
                <w:sz w:val="20"/>
                <w:szCs w:val="20"/>
              </w:rPr>
              <w:t>maksymalny</w:t>
            </w:r>
          </w:p>
        </w:tc>
      </w:tr>
      <w:tr w:rsidR="00643D60" w:rsidRPr="00BE4152" w14:paraId="515A0F57" w14:textId="77777777" w:rsidTr="00B15070">
        <w:trPr>
          <w:jc w:val="center"/>
        </w:trPr>
        <w:tc>
          <w:tcPr>
            <w:tcW w:w="2407" w:type="dxa"/>
            <w:vAlign w:val="center"/>
          </w:tcPr>
          <w:p w14:paraId="5183F6B2" w14:textId="77777777" w:rsidR="00643D60" w:rsidRPr="00BE4152" w:rsidRDefault="00643D60" w:rsidP="00B15070">
            <w:pPr>
              <w:suppressAutoHyphens/>
              <w:jc w:val="center"/>
              <w:rPr>
                <w:sz w:val="20"/>
                <w:szCs w:val="20"/>
              </w:rPr>
            </w:pPr>
            <w:r w:rsidRPr="00BE4152">
              <w:rPr>
                <w:sz w:val="20"/>
                <w:szCs w:val="20"/>
              </w:rPr>
              <w:t>II</w:t>
            </w:r>
          </w:p>
        </w:tc>
        <w:tc>
          <w:tcPr>
            <w:tcW w:w="1985" w:type="dxa"/>
            <w:vAlign w:val="center"/>
          </w:tcPr>
          <w:p w14:paraId="4E9BFD87" w14:textId="77777777" w:rsidR="00643D60" w:rsidRPr="00BE4152" w:rsidRDefault="00643D60" w:rsidP="00B15070">
            <w:pPr>
              <w:suppressAutoHyphens/>
              <w:jc w:val="center"/>
              <w:rPr>
                <w:sz w:val="20"/>
                <w:szCs w:val="20"/>
              </w:rPr>
            </w:pPr>
            <w:r w:rsidRPr="00BE4152">
              <w:rPr>
                <w:sz w:val="20"/>
                <w:szCs w:val="20"/>
              </w:rPr>
              <w:t>dobry</w:t>
            </w:r>
          </w:p>
        </w:tc>
      </w:tr>
      <w:tr w:rsidR="00643D60" w:rsidRPr="00BE4152" w14:paraId="1502C043" w14:textId="77777777" w:rsidTr="00B15070">
        <w:trPr>
          <w:jc w:val="center"/>
        </w:trPr>
        <w:tc>
          <w:tcPr>
            <w:tcW w:w="2407" w:type="dxa"/>
            <w:vAlign w:val="center"/>
          </w:tcPr>
          <w:p w14:paraId="070B5AA5" w14:textId="77777777" w:rsidR="00643D60" w:rsidRPr="00BE4152" w:rsidRDefault="00643D60" w:rsidP="00B15070">
            <w:pPr>
              <w:suppressAutoHyphens/>
              <w:jc w:val="center"/>
              <w:rPr>
                <w:sz w:val="20"/>
                <w:szCs w:val="20"/>
              </w:rPr>
            </w:pPr>
            <w:r w:rsidRPr="00BE4152">
              <w:rPr>
                <w:sz w:val="20"/>
                <w:szCs w:val="20"/>
              </w:rPr>
              <w:t>III</w:t>
            </w:r>
          </w:p>
        </w:tc>
        <w:tc>
          <w:tcPr>
            <w:tcW w:w="1985" w:type="dxa"/>
            <w:vAlign w:val="center"/>
          </w:tcPr>
          <w:p w14:paraId="59A11DD8" w14:textId="77777777" w:rsidR="00643D60" w:rsidRPr="00BE4152" w:rsidRDefault="00643D60" w:rsidP="00B15070">
            <w:pPr>
              <w:suppressAutoHyphens/>
              <w:jc w:val="center"/>
              <w:rPr>
                <w:sz w:val="20"/>
                <w:szCs w:val="20"/>
              </w:rPr>
            </w:pPr>
            <w:r w:rsidRPr="00BE4152">
              <w:rPr>
                <w:sz w:val="20"/>
                <w:szCs w:val="20"/>
              </w:rPr>
              <w:t>umiarkowany</w:t>
            </w:r>
          </w:p>
        </w:tc>
      </w:tr>
      <w:tr w:rsidR="00643D60" w:rsidRPr="00BE4152" w14:paraId="4031574E" w14:textId="77777777" w:rsidTr="00B15070">
        <w:trPr>
          <w:jc w:val="center"/>
        </w:trPr>
        <w:tc>
          <w:tcPr>
            <w:tcW w:w="2407" w:type="dxa"/>
            <w:vAlign w:val="center"/>
          </w:tcPr>
          <w:p w14:paraId="2596872F" w14:textId="77777777" w:rsidR="00643D60" w:rsidRPr="00BE4152" w:rsidRDefault="00643D60" w:rsidP="00B15070">
            <w:pPr>
              <w:suppressAutoHyphens/>
              <w:jc w:val="center"/>
              <w:rPr>
                <w:sz w:val="20"/>
                <w:szCs w:val="20"/>
              </w:rPr>
            </w:pPr>
            <w:r w:rsidRPr="00BE4152">
              <w:rPr>
                <w:sz w:val="20"/>
                <w:szCs w:val="20"/>
              </w:rPr>
              <w:t>IV</w:t>
            </w:r>
          </w:p>
        </w:tc>
        <w:tc>
          <w:tcPr>
            <w:tcW w:w="1985" w:type="dxa"/>
            <w:vAlign w:val="center"/>
          </w:tcPr>
          <w:p w14:paraId="1ACCDC6F" w14:textId="77777777" w:rsidR="00643D60" w:rsidRPr="00BE4152" w:rsidRDefault="00643D60" w:rsidP="00B15070">
            <w:pPr>
              <w:suppressAutoHyphens/>
              <w:jc w:val="center"/>
              <w:rPr>
                <w:sz w:val="20"/>
                <w:szCs w:val="20"/>
              </w:rPr>
            </w:pPr>
            <w:r w:rsidRPr="00BE4152">
              <w:rPr>
                <w:sz w:val="20"/>
                <w:szCs w:val="20"/>
              </w:rPr>
              <w:t>słaby</w:t>
            </w:r>
          </w:p>
        </w:tc>
      </w:tr>
      <w:tr w:rsidR="00643D60" w:rsidRPr="00BE4152" w14:paraId="1D1096CD" w14:textId="77777777" w:rsidTr="00B15070">
        <w:trPr>
          <w:jc w:val="center"/>
        </w:trPr>
        <w:tc>
          <w:tcPr>
            <w:tcW w:w="2407" w:type="dxa"/>
            <w:vAlign w:val="center"/>
          </w:tcPr>
          <w:p w14:paraId="3FEF2207" w14:textId="77777777" w:rsidR="00643D60" w:rsidRPr="00BE4152" w:rsidRDefault="00643D60" w:rsidP="00B15070">
            <w:pPr>
              <w:suppressAutoHyphens/>
              <w:jc w:val="center"/>
              <w:rPr>
                <w:sz w:val="20"/>
                <w:szCs w:val="20"/>
              </w:rPr>
            </w:pPr>
            <w:r w:rsidRPr="00BE4152">
              <w:rPr>
                <w:sz w:val="20"/>
                <w:szCs w:val="20"/>
              </w:rPr>
              <w:t>V</w:t>
            </w:r>
          </w:p>
        </w:tc>
        <w:tc>
          <w:tcPr>
            <w:tcW w:w="1985" w:type="dxa"/>
            <w:vAlign w:val="center"/>
          </w:tcPr>
          <w:p w14:paraId="53F94673" w14:textId="77777777" w:rsidR="00643D60" w:rsidRPr="00BE4152" w:rsidRDefault="00643D60" w:rsidP="00B15070">
            <w:pPr>
              <w:suppressAutoHyphens/>
              <w:jc w:val="center"/>
              <w:rPr>
                <w:sz w:val="20"/>
                <w:szCs w:val="20"/>
              </w:rPr>
            </w:pPr>
            <w:r w:rsidRPr="00BE4152">
              <w:rPr>
                <w:sz w:val="20"/>
                <w:szCs w:val="20"/>
              </w:rPr>
              <w:t>zły</w:t>
            </w:r>
          </w:p>
        </w:tc>
      </w:tr>
    </w:tbl>
    <w:p w14:paraId="2075F4F7" w14:textId="3865FD2A" w:rsidR="00643D60" w:rsidRPr="00BE4152" w:rsidRDefault="00643D60" w:rsidP="00442AB7">
      <w:pPr>
        <w:pStyle w:val="rdo0"/>
        <w:rPr>
          <w:i w:val="0"/>
          <w:color w:val="000099"/>
          <w:sz w:val="20"/>
          <w:szCs w:val="20"/>
        </w:rPr>
      </w:pPr>
      <w:r w:rsidRPr="00BE4152">
        <w:t xml:space="preserve">Źródło: opracowanie </w:t>
      </w:r>
      <w:r w:rsidR="005B3051">
        <w:t>własne</w:t>
      </w:r>
      <w:r w:rsidRPr="00BE4152">
        <w:t xml:space="preserve"> na podstawie r.kl.jcwp</w:t>
      </w:r>
    </w:p>
    <w:p w14:paraId="68436DF0" w14:textId="77777777" w:rsidR="00643D60" w:rsidRPr="00BE4152" w:rsidRDefault="00643D60" w:rsidP="00643D60">
      <w:pPr>
        <w:suppressAutoHyphens/>
      </w:pPr>
      <w:r w:rsidRPr="00BE4152">
        <w:t xml:space="preserve">Stan chemiczny jcwp jest oceniany na podstawie wielkości stężeń substancji priorytetowych oraz innych zanieczyszczeń, dla których zostały określone środowiskowe normy jakości (EQS). EQS jest definiowany jako </w:t>
      </w:r>
      <w:r>
        <w:t xml:space="preserve">takie </w:t>
      </w:r>
      <w:r w:rsidRPr="00BE4152">
        <w:t>stężenie substancji lub grupy substancji zanieczyszczających w wodzie, faunie, florze wodnej, osadach dennych, które nie powinno być przekroczone z uwagi na ochronę zdrowia ludzkiego i środowiska zgodnie z r.kl.jcwp.</w:t>
      </w:r>
    </w:p>
    <w:p w14:paraId="7DDD7197" w14:textId="77777777" w:rsidR="00643D60" w:rsidRPr="00BE4152" w:rsidRDefault="00643D60" w:rsidP="00643D60">
      <w:pPr>
        <w:suppressAutoHyphens/>
      </w:pPr>
      <w:r w:rsidRPr="00BE4152">
        <w:t xml:space="preserve">Do grupy wskaźników determinujących stan chemiczny jednolitych części wód powierzchniowych zaliczamy następujące substancje (wykaz substancji został rozszerzony zgodnie z wytycznymi dyrektywy 2013/39/UE): </w:t>
      </w:r>
    </w:p>
    <w:p w14:paraId="335BB327" w14:textId="77777777" w:rsidR="00643D60" w:rsidRPr="00F11051" w:rsidRDefault="00643D60" w:rsidP="00AA3506">
      <w:pPr>
        <w:pStyle w:val="Numerowanie"/>
        <w:numPr>
          <w:ilvl w:val="0"/>
          <w:numId w:val="43"/>
        </w:numPr>
      </w:pPr>
      <w:r w:rsidRPr="00F11051">
        <w:t xml:space="preserve">substancje priorytetowe w dziedzinie polityki wodnej: alachlor, antracen, atrazyna, benzen, bromowane difenyloetery (PBDE), kadm i jego związki, C10-13-chloroalkany, chlorfenwinfos, chloropyrifos (chloropyrifos etylowy), 1,2-dichloroetan (EDC), dichlorometan, ftalan di-(2-etyloheksylu) (DEHP), diuron, endosulfan, fluoranten, heksachlorobenzen (HCB), heksachlorobutadien (HCBD), heksachlorocykloheksan (HCH), izoproturon, ołów i jego związki, rtęć i jej związki, naftalen, nikiel i jego związki, nonylofenole (4-nonylofenol), oktylofenole (4-(1,1′,3,3′-tetra-metylobutylo)fenol), pentachlorobenzen, pentachlorofenol (PCP), wielopierścieniowe węglowodory aromatyczne (WWA, w tym: benzo(a)piren, benzo(b)fluoranten, benzo(k)fluoranten, benzo(ghi)perylen, indeno(1,2,3-cd)piren), symazyna, związki tributylocyny (kation tributylocyny), trichlorobenzeny (TCB), trichlorometan (chloroform), trifluralina, dikofol, kwas perfluorooktanosulfonowy i jego pochodne (PFOS), chinoksyfen, dioksyny i związki dioksynopodobne, aklonifen, bifenoks, cybutryna, cypermetryna, dichlorfos, heksabromocyklododekan (HBCDD), heptachlor i epoksyd heptachloru, terbutryna; </w:t>
      </w:r>
    </w:p>
    <w:p w14:paraId="5FF4BE66" w14:textId="77777777" w:rsidR="00643D60" w:rsidRPr="00F11051" w:rsidRDefault="00643D60" w:rsidP="00F06393">
      <w:pPr>
        <w:pStyle w:val="Numerowanie"/>
      </w:pPr>
      <w:r w:rsidRPr="00F11051">
        <w:t>wskaźniki innych substancji zanieczyszczających: tetrachlorometan, aldryna, dieldryna, endryna, izodryna, para-para DDT, DDT całkowity, trichloroetylen (TRI), tetrachloroetylen (PER).</w:t>
      </w:r>
    </w:p>
    <w:p w14:paraId="4B394A16" w14:textId="66171C9B" w:rsidR="003F4A95" w:rsidRDefault="00643D60" w:rsidP="00643D60">
      <w:pPr>
        <w:suppressAutoHyphens/>
      </w:pPr>
      <w:r w:rsidRPr="00BE4152">
        <w:t>Ocenę stanu chemicznego jcwp klasyfikuje się przez nadanie odpowiedniej klasy stanu chemicznego, zgodnie z poniższą tabelą.</w:t>
      </w:r>
    </w:p>
    <w:p w14:paraId="6FDC1192" w14:textId="7EECA948" w:rsidR="00643D60" w:rsidRPr="00BE4152" w:rsidRDefault="00643D60" w:rsidP="006802BB">
      <w:pPr>
        <w:pStyle w:val="Tabela"/>
      </w:pPr>
      <w:bookmarkStart w:id="80" w:name="_Toc68726962"/>
      <w:r w:rsidRPr="00BE4152">
        <w:t xml:space="preserve">Tabela </w:t>
      </w:r>
      <w:fldSimple w:instr=" STYLEREF 1 \s ">
        <w:r w:rsidR="007B4050">
          <w:rPr>
            <w:noProof/>
          </w:rPr>
          <w:t>5</w:t>
        </w:r>
      </w:fldSimple>
      <w:r w:rsidR="007B4050">
        <w:noBreakHyphen/>
      </w:r>
      <w:fldSimple w:instr=" SEQ Tabela \* ARABIC \s 1 ">
        <w:r w:rsidR="007B4050">
          <w:rPr>
            <w:noProof/>
          </w:rPr>
          <w:t>10</w:t>
        </w:r>
      </w:fldSimple>
      <w:r w:rsidRPr="00BE4152">
        <w:tab/>
        <w:t xml:space="preserve">Klasyfikacja </w:t>
      </w:r>
      <w:r>
        <w:t>stanu chemicznego</w:t>
      </w:r>
      <w:r w:rsidRPr="00BE4152">
        <w:t xml:space="preserve"> jcwp</w:t>
      </w:r>
      <w:bookmarkEnd w:id="80"/>
      <w:r w:rsidRPr="00BE4152">
        <w:t xml:space="preserve"> </w:t>
      </w:r>
    </w:p>
    <w:tbl>
      <w:tblPr>
        <w:tblStyle w:val="Tabela-Siatka"/>
        <w:tblW w:w="0" w:type="auto"/>
        <w:tblInd w:w="2405" w:type="dxa"/>
        <w:tblLook w:val="04A0" w:firstRow="1" w:lastRow="0" w:firstColumn="1" w:lastColumn="0" w:noHBand="0" w:noVBand="1"/>
      </w:tblPr>
      <w:tblGrid>
        <w:gridCol w:w="2410"/>
        <w:gridCol w:w="1843"/>
      </w:tblGrid>
      <w:tr w:rsidR="00643D60" w:rsidRPr="00BE4152" w14:paraId="08E78520" w14:textId="77777777" w:rsidTr="003D372B">
        <w:trPr>
          <w:tblHeader/>
        </w:trPr>
        <w:tc>
          <w:tcPr>
            <w:tcW w:w="2410" w:type="dxa"/>
            <w:shd w:val="clear" w:color="auto" w:fill="BFBFBF"/>
          </w:tcPr>
          <w:p w14:paraId="689AF73C" w14:textId="77777777" w:rsidR="00643D60" w:rsidRPr="005F1FFB" w:rsidRDefault="00643D60" w:rsidP="00B15070">
            <w:pPr>
              <w:suppressAutoHyphens/>
              <w:rPr>
                <w:b/>
                <w:sz w:val="20"/>
                <w:szCs w:val="20"/>
              </w:rPr>
            </w:pPr>
            <w:r w:rsidRPr="005F1FFB">
              <w:rPr>
                <w:b/>
                <w:sz w:val="20"/>
                <w:szCs w:val="20"/>
              </w:rPr>
              <w:t>Klasa stanu chemicznego</w:t>
            </w:r>
          </w:p>
        </w:tc>
        <w:tc>
          <w:tcPr>
            <w:tcW w:w="1843" w:type="dxa"/>
            <w:shd w:val="clear" w:color="auto" w:fill="BFBFBF"/>
          </w:tcPr>
          <w:p w14:paraId="1C0BB9E7" w14:textId="77777777" w:rsidR="00643D60" w:rsidRPr="005F1FFB" w:rsidRDefault="00643D60" w:rsidP="00B15070">
            <w:pPr>
              <w:suppressAutoHyphens/>
              <w:rPr>
                <w:b/>
                <w:sz w:val="20"/>
                <w:szCs w:val="20"/>
              </w:rPr>
            </w:pPr>
            <w:r w:rsidRPr="005F1FFB">
              <w:rPr>
                <w:b/>
                <w:sz w:val="20"/>
                <w:szCs w:val="20"/>
              </w:rPr>
              <w:t>Stan chemiczny</w:t>
            </w:r>
          </w:p>
        </w:tc>
      </w:tr>
      <w:tr w:rsidR="00643D60" w:rsidRPr="00BE4152" w14:paraId="2CDF7021" w14:textId="77777777" w:rsidTr="003D372B">
        <w:tc>
          <w:tcPr>
            <w:tcW w:w="2410" w:type="dxa"/>
          </w:tcPr>
          <w:p w14:paraId="34EAC490" w14:textId="77777777" w:rsidR="00643D60" w:rsidRPr="005F1FFB" w:rsidRDefault="00643D60" w:rsidP="00B15070">
            <w:pPr>
              <w:suppressAutoHyphens/>
              <w:jc w:val="center"/>
              <w:rPr>
                <w:sz w:val="20"/>
                <w:szCs w:val="20"/>
              </w:rPr>
            </w:pPr>
            <w:r w:rsidRPr="005F1FFB">
              <w:rPr>
                <w:sz w:val="20"/>
                <w:szCs w:val="20"/>
              </w:rPr>
              <w:t>I</w:t>
            </w:r>
          </w:p>
        </w:tc>
        <w:tc>
          <w:tcPr>
            <w:tcW w:w="1843" w:type="dxa"/>
          </w:tcPr>
          <w:p w14:paraId="2D839B09" w14:textId="77777777" w:rsidR="00643D60" w:rsidRPr="005F1FFB" w:rsidRDefault="00643D60" w:rsidP="00B15070">
            <w:pPr>
              <w:suppressAutoHyphens/>
              <w:jc w:val="center"/>
              <w:rPr>
                <w:sz w:val="20"/>
                <w:szCs w:val="20"/>
              </w:rPr>
            </w:pPr>
            <w:r w:rsidRPr="005F1FFB">
              <w:rPr>
                <w:sz w:val="20"/>
                <w:szCs w:val="20"/>
              </w:rPr>
              <w:t>dobry</w:t>
            </w:r>
          </w:p>
        </w:tc>
      </w:tr>
      <w:tr w:rsidR="00643D60" w:rsidRPr="00BE4152" w14:paraId="49B9757C" w14:textId="77777777" w:rsidTr="003D372B">
        <w:tc>
          <w:tcPr>
            <w:tcW w:w="2410" w:type="dxa"/>
          </w:tcPr>
          <w:p w14:paraId="12DD5CE3" w14:textId="77777777" w:rsidR="00643D60" w:rsidRPr="005F1FFB" w:rsidRDefault="00643D60" w:rsidP="00B15070">
            <w:pPr>
              <w:suppressAutoHyphens/>
              <w:jc w:val="center"/>
              <w:rPr>
                <w:sz w:val="20"/>
                <w:szCs w:val="20"/>
              </w:rPr>
            </w:pPr>
            <w:r w:rsidRPr="005F1FFB">
              <w:rPr>
                <w:sz w:val="20"/>
                <w:szCs w:val="20"/>
              </w:rPr>
              <w:t>II</w:t>
            </w:r>
          </w:p>
        </w:tc>
        <w:tc>
          <w:tcPr>
            <w:tcW w:w="1843" w:type="dxa"/>
          </w:tcPr>
          <w:p w14:paraId="51411B19" w14:textId="77777777" w:rsidR="00643D60" w:rsidRPr="005F1FFB" w:rsidRDefault="00643D60" w:rsidP="00B15070">
            <w:pPr>
              <w:suppressAutoHyphens/>
              <w:jc w:val="center"/>
              <w:rPr>
                <w:sz w:val="20"/>
                <w:szCs w:val="20"/>
              </w:rPr>
            </w:pPr>
            <w:r w:rsidRPr="005F1FFB">
              <w:rPr>
                <w:sz w:val="20"/>
                <w:szCs w:val="20"/>
              </w:rPr>
              <w:t>poniżej dobrego</w:t>
            </w:r>
          </w:p>
        </w:tc>
      </w:tr>
    </w:tbl>
    <w:p w14:paraId="6ADCE2FF" w14:textId="519DB773" w:rsidR="00643D60" w:rsidRPr="00BE4152" w:rsidRDefault="00643D60" w:rsidP="00442AB7">
      <w:pPr>
        <w:pStyle w:val="rdo0"/>
        <w:rPr>
          <w:i w:val="0"/>
          <w:color w:val="000099"/>
          <w:sz w:val="20"/>
          <w:szCs w:val="20"/>
        </w:rPr>
      </w:pPr>
      <w:r w:rsidRPr="00BE4152">
        <w:t xml:space="preserve">Źródło: opracowanie </w:t>
      </w:r>
      <w:r w:rsidR="005B3051">
        <w:t>własne</w:t>
      </w:r>
      <w:r w:rsidRPr="00BE4152">
        <w:t xml:space="preserve"> na podstawie r.kl.jcwp</w:t>
      </w:r>
    </w:p>
    <w:p w14:paraId="36FD3F62" w14:textId="19755DBA" w:rsidR="00643D60" w:rsidRPr="00BE4152" w:rsidRDefault="00643D60" w:rsidP="00643D60">
      <w:pPr>
        <w:suppressAutoHyphens/>
      </w:pPr>
      <w:r w:rsidRPr="00BE4152">
        <w:t>Klasyfikacji dokonuje się na podstawie zagregowanych danych pomiarowych uzyskanych w wyniku realizacji badań w ramach PMŚ (monitoringu diagnostycznego/operacyjnego) przeprowadzonego w</w:t>
      </w:r>
      <w:r w:rsidR="005F1FFB">
        <w:t> </w:t>
      </w:r>
      <w:r w:rsidRPr="00BE4152">
        <w:t>reprezentatywnych punktach pomiarowo-kontrolnych (ppk). Liczba wyników wskaźników jakości jcwp uzyskanych poprzez agregacj</w:t>
      </w:r>
      <w:r>
        <w:t>ę</w:t>
      </w:r>
      <w:r w:rsidRPr="00BE4152">
        <w:t xml:space="preserve"> do obliczeń wartości średniej rocznej nie może być mniejsza niż: 12 wyników dla wskaźnika badanego w wodzie albo 1 wynik dla wskaźnika badanego w biocie. W</w:t>
      </w:r>
      <w:r w:rsidR="005F1FFB">
        <w:t> </w:t>
      </w:r>
      <w:r w:rsidRPr="00BE4152">
        <w:t>przypadku braku danych z pomiarów fizycznych dopuszcza się wykonanie klasyfikacji stanu chemicznego na podstawie:</w:t>
      </w:r>
    </w:p>
    <w:p w14:paraId="2C755810" w14:textId="77777777" w:rsidR="00643D60" w:rsidRPr="00F11051" w:rsidRDefault="00643D60" w:rsidP="00AA3506">
      <w:pPr>
        <w:pStyle w:val="Numerowanie"/>
        <w:numPr>
          <w:ilvl w:val="0"/>
          <w:numId w:val="44"/>
        </w:numPr>
      </w:pPr>
      <w:r w:rsidRPr="00F11051">
        <w:t>danych uzyskanych dla innej jcwp, charakteryzującej się taką samą kategorią oraz typem wód, stopniem i rodzajem presji zewnętrznej oraz lokalizacją w tej samej zlewni; w przypadku braku tożsamych jcwp w tej samej zlewni akceptuje się także ekstrapolowanie danych z innych jcw;</w:t>
      </w:r>
    </w:p>
    <w:p w14:paraId="2CC01FE7" w14:textId="77777777" w:rsidR="00643D60" w:rsidRPr="00F11051" w:rsidRDefault="00643D60" w:rsidP="00F06393">
      <w:pPr>
        <w:pStyle w:val="Numerowanie"/>
      </w:pPr>
      <w:r w:rsidRPr="00F11051">
        <w:t>wyników modelowania matematycznego;</w:t>
      </w:r>
    </w:p>
    <w:p w14:paraId="61949C56" w14:textId="77777777" w:rsidR="00643D60" w:rsidRPr="00F11051" w:rsidRDefault="00643D60" w:rsidP="00F06393">
      <w:pPr>
        <w:pStyle w:val="Numerowanie"/>
      </w:pPr>
      <w:r w:rsidRPr="00F11051">
        <w:t>oceny eksperckiej.</w:t>
      </w:r>
    </w:p>
    <w:p w14:paraId="1D3E6AA8" w14:textId="16FADBBD" w:rsidR="00643D60" w:rsidRPr="00BE4152" w:rsidRDefault="00643D60" w:rsidP="00643D60">
      <w:pPr>
        <w:suppressAutoHyphens/>
      </w:pPr>
      <w:r w:rsidRPr="00BE4152">
        <w:t>Po uzyskani</w:t>
      </w:r>
      <w:r>
        <w:t>u</w:t>
      </w:r>
      <w:r w:rsidRPr="00BE4152">
        <w:t xml:space="preserve"> wiarygodnych danych (zgodnie z r.kl.jcw</w:t>
      </w:r>
      <w:r w:rsidRPr="00BE4152">
        <w:rPr>
          <w:iCs/>
        </w:rPr>
        <w:t>)</w:t>
      </w:r>
      <w:r w:rsidRPr="00BE4152">
        <w:t xml:space="preserve"> ocen</w:t>
      </w:r>
      <w:r>
        <w:t>y</w:t>
      </w:r>
      <w:r w:rsidRPr="00BE4152">
        <w:t xml:space="preserve"> stanu chemicznego dokonuje się poprzez porównanie wartości średniej rocznej lub maksymalnej z pomiarów względem wartości granicznych wskaźników z uwzględnieniem kategorii wód powierzchniowych i reguły </w:t>
      </w:r>
      <w:r w:rsidRPr="00505DA3">
        <w:t xml:space="preserve">„najgorszy decyduje” („one out </w:t>
      </w:r>
      <w:r w:rsidR="00442AB7">
        <w:t>-</w:t>
      </w:r>
      <w:r w:rsidRPr="00505DA3">
        <w:t xml:space="preserve"> all out”)</w:t>
      </w:r>
      <w:r>
        <w:t xml:space="preserve"> </w:t>
      </w:r>
      <w:r w:rsidRPr="00BE4152">
        <w:t>. Przyjmuje się, że jcwp osiąga dobry stan chemiczny, jeżeli stężenie wszystkich wskaźników determinujących stan chemiczny</w:t>
      </w:r>
      <w:r>
        <w:t xml:space="preserve"> </w:t>
      </w:r>
      <w:r w:rsidR="00442AB7">
        <w:t>-</w:t>
      </w:r>
      <w:r w:rsidRPr="00BE4152">
        <w:t xml:space="preserve"> zarówno w biocie</w:t>
      </w:r>
      <w:r>
        <w:t>,</w:t>
      </w:r>
      <w:r w:rsidRPr="00BE4152">
        <w:t xml:space="preserve"> jak i wodzie</w:t>
      </w:r>
      <w:r>
        <w:t xml:space="preserve"> </w:t>
      </w:r>
      <w:r w:rsidR="00442AB7">
        <w:t>-</w:t>
      </w:r>
      <w:r w:rsidRPr="00BE4152">
        <w:t xml:space="preserve"> nie przekroczył</w:t>
      </w:r>
      <w:r>
        <w:t>o</w:t>
      </w:r>
      <w:r w:rsidRPr="00BE4152">
        <w:t xml:space="preserve"> środowiskowych norm jakości. Oznacza to, że przekroczenie wartości granicznej przynajmniej jednej substancji </w:t>
      </w:r>
      <w:r>
        <w:t>determinuje klasyfikację stanu chemicznego jcwp jako</w:t>
      </w:r>
      <w:r w:rsidRPr="00BE4152">
        <w:t xml:space="preserve"> </w:t>
      </w:r>
      <w:r>
        <w:t>„ poniżej dobrego”</w:t>
      </w:r>
      <w:r w:rsidRPr="00BE4152">
        <w:t xml:space="preserve">. </w:t>
      </w:r>
    </w:p>
    <w:p w14:paraId="7E8E7995" w14:textId="04394C5D" w:rsidR="00643D60" w:rsidRPr="00BE4152" w:rsidRDefault="00643D60" w:rsidP="00643D60">
      <w:pPr>
        <w:suppressAutoHyphens/>
      </w:pPr>
      <w:r w:rsidRPr="00BE4152">
        <w:t xml:space="preserve">Ocena ogólnego stanu jcwp jest dokonywana na podstawie analizy wyników oceny stanu lub potencjału ekologicznego oraz stanu chemicznego danej jcwp. </w:t>
      </w:r>
      <w:r>
        <w:t xml:space="preserve">Uzyskanie dobrego stanu ogólnego </w:t>
      </w:r>
      <w:r w:rsidRPr="00BE4152">
        <w:t xml:space="preserve">jcwp jest </w:t>
      </w:r>
      <w:r>
        <w:t xml:space="preserve">możliwe </w:t>
      </w:r>
      <w:r w:rsidRPr="00BE4152">
        <w:t xml:space="preserve">jedynie w przypadku dobrego stanu chemicznego i jednocześnie co najmniej dobrego stanu </w:t>
      </w:r>
      <w:r>
        <w:t>bądź</w:t>
      </w:r>
      <w:r w:rsidRPr="00BE4152">
        <w:t xml:space="preserve"> potencjału ekologicznego danej jcwp. Sposób oceny stanu ogólnego jcwp przedstawiono w</w:t>
      </w:r>
      <w:r w:rsidR="005F1FFB">
        <w:t> </w:t>
      </w:r>
      <w:r w:rsidRPr="00AB6E72">
        <w:t>tabeli</w:t>
      </w:r>
      <w:r w:rsidR="004A1B76" w:rsidRPr="00AB6E72">
        <w:t xml:space="preserve"> 5-11</w:t>
      </w:r>
      <w:r w:rsidRPr="00AB6E72">
        <w:t>.</w:t>
      </w:r>
    </w:p>
    <w:p w14:paraId="3ADB3F11" w14:textId="6728E2C1" w:rsidR="00643D60" w:rsidRPr="00BE4152" w:rsidRDefault="00643D60" w:rsidP="006802BB">
      <w:pPr>
        <w:pStyle w:val="Tabela"/>
      </w:pPr>
      <w:bookmarkStart w:id="81" w:name="_Toc68726963"/>
      <w:r w:rsidRPr="00BE4152">
        <w:t xml:space="preserve">Tabela </w:t>
      </w:r>
      <w:fldSimple w:instr=" STYLEREF 1 \s ">
        <w:r w:rsidR="007B4050">
          <w:rPr>
            <w:noProof/>
          </w:rPr>
          <w:t>5</w:t>
        </w:r>
      </w:fldSimple>
      <w:r w:rsidR="007B4050">
        <w:noBreakHyphen/>
      </w:r>
      <w:fldSimple w:instr=" SEQ Tabela \* ARABIC \s 1 ">
        <w:r w:rsidR="007B4050">
          <w:rPr>
            <w:noProof/>
          </w:rPr>
          <w:t>11</w:t>
        </w:r>
      </w:fldSimple>
      <w:r w:rsidRPr="00BE4152">
        <w:tab/>
        <w:t>Sposób oceny stanu ogólnego jcwp</w:t>
      </w:r>
      <w:bookmarkEnd w:id="81"/>
    </w:p>
    <w:tbl>
      <w:tblPr>
        <w:tblStyle w:val="Tabela-Siatka"/>
        <w:tblW w:w="5000" w:type="pct"/>
        <w:tblLook w:val="04A0" w:firstRow="1" w:lastRow="0" w:firstColumn="1" w:lastColumn="0" w:noHBand="0" w:noVBand="1"/>
      </w:tblPr>
      <w:tblGrid>
        <w:gridCol w:w="1389"/>
        <w:gridCol w:w="4142"/>
        <w:gridCol w:w="1839"/>
        <w:gridCol w:w="1697"/>
      </w:tblGrid>
      <w:tr w:rsidR="00643D60" w:rsidRPr="00BE4152" w14:paraId="5384FA43" w14:textId="77777777" w:rsidTr="00A03144">
        <w:trPr>
          <w:trHeight w:val="454"/>
          <w:tblHeader/>
        </w:trPr>
        <w:tc>
          <w:tcPr>
            <w:tcW w:w="3050" w:type="pct"/>
            <w:gridSpan w:val="2"/>
            <w:vMerge w:val="restart"/>
            <w:tcBorders>
              <w:top w:val="nil"/>
              <w:left w:val="nil"/>
              <w:bottom w:val="single" w:sz="4" w:space="0" w:color="auto"/>
              <w:right w:val="single" w:sz="4" w:space="0" w:color="auto"/>
            </w:tcBorders>
            <w:vAlign w:val="center"/>
          </w:tcPr>
          <w:p w14:paraId="080F456C" w14:textId="77777777" w:rsidR="00643D60" w:rsidRPr="00BE4152" w:rsidRDefault="00643D60" w:rsidP="00A03144">
            <w:pPr>
              <w:pStyle w:val="Tabela-tekst"/>
            </w:pPr>
          </w:p>
        </w:tc>
        <w:tc>
          <w:tcPr>
            <w:tcW w:w="1950" w:type="pct"/>
            <w:gridSpan w:val="2"/>
            <w:tcBorders>
              <w:left w:val="single" w:sz="4" w:space="0" w:color="auto"/>
            </w:tcBorders>
            <w:shd w:val="clear" w:color="auto" w:fill="BFBFBF"/>
            <w:vAlign w:val="center"/>
          </w:tcPr>
          <w:p w14:paraId="4CE6F655" w14:textId="77777777" w:rsidR="00643D60" w:rsidRPr="00BE4152" w:rsidRDefault="00643D60" w:rsidP="00526BCA">
            <w:pPr>
              <w:pStyle w:val="Tabela-tekst"/>
              <w:jc w:val="center"/>
              <w:rPr>
                <w:b/>
                <w:bCs/>
              </w:rPr>
            </w:pPr>
            <w:r w:rsidRPr="00BE4152">
              <w:rPr>
                <w:b/>
                <w:bCs/>
              </w:rPr>
              <w:t>Stan chemiczny</w:t>
            </w:r>
          </w:p>
        </w:tc>
      </w:tr>
      <w:tr w:rsidR="00643D60" w:rsidRPr="00BE4152" w14:paraId="6BD46238" w14:textId="77777777" w:rsidTr="00A03144">
        <w:trPr>
          <w:trHeight w:val="454"/>
          <w:tblHeader/>
        </w:trPr>
        <w:tc>
          <w:tcPr>
            <w:tcW w:w="3050" w:type="pct"/>
            <w:gridSpan w:val="2"/>
            <w:vMerge/>
            <w:tcBorders>
              <w:top w:val="nil"/>
              <w:left w:val="nil"/>
              <w:bottom w:val="single" w:sz="4" w:space="0" w:color="auto"/>
              <w:right w:val="single" w:sz="4" w:space="0" w:color="auto"/>
            </w:tcBorders>
            <w:vAlign w:val="center"/>
          </w:tcPr>
          <w:p w14:paraId="2F81BEF2" w14:textId="77777777" w:rsidR="00643D60" w:rsidRPr="00BE4152" w:rsidRDefault="00643D60" w:rsidP="00A03144">
            <w:pPr>
              <w:pStyle w:val="Tabela-tekst"/>
            </w:pPr>
          </w:p>
        </w:tc>
        <w:tc>
          <w:tcPr>
            <w:tcW w:w="1014" w:type="pct"/>
            <w:tcBorders>
              <w:left w:val="single" w:sz="4" w:space="0" w:color="auto"/>
            </w:tcBorders>
            <w:shd w:val="clear" w:color="auto" w:fill="auto"/>
            <w:vAlign w:val="center"/>
          </w:tcPr>
          <w:p w14:paraId="1F872541" w14:textId="77777777" w:rsidR="00643D60" w:rsidRPr="00BE4152" w:rsidRDefault="00643D60" w:rsidP="00526BCA">
            <w:pPr>
              <w:pStyle w:val="Tabela-tekst"/>
              <w:jc w:val="center"/>
            </w:pPr>
            <w:r w:rsidRPr="00BE4152">
              <w:t>dobry</w:t>
            </w:r>
          </w:p>
        </w:tc>
        <w:tc>
          <w:tcPr>
            <w:tcW w:w="935" w:type="pct"/>
            <w:shd w:val="clear" w:color="auto" w:fill="auto"/>
            <w:vAlign w:val="center"/>
          </w:tcPr>
          <w:p w14:paraId="1EACF233" w14:textId="77777777" w:rsidR="00643D60" w:rsidRPr="00BE4152" w:rsidRDefault="00643D60" w:rsidP="00526BCA">
            <w:pPr>
              <w:pStyle w:val="Tabela-tekst"/>
              <w:jc w:val="center"/>
            </w:pPr>
            <w:r w:rsidRPr="00BE4152">
              <w:t>poniżej dobrego</w:t>
            </w:r>
          </w:p>
        </w:tc>
      </w:tr>
      <w:tr w:rsidR="00643D60" w:rsidRPr="00BE4152" w14:paraId="4AC82DB3" w14:textId="77777777" w:rsidTr="00A03144">
        <w:trPr>
          <w:trHeight w:val="454"/>
        </w:trPr>
        <w:tc>
          <w:tcPr>
            <w:tcW w:w="766" w:type="pct"/>
            <w:vMerge w:val="restart"/>
            <w:tcBorders>
              <w:top w:val="single" w:sz="4" w:space="0" w:color="auto"/>
            </w:tcBorders>
            <w:shd w:val="clear" w:color="auto" w:fill="BFBFBF"/>
            <w:vAlign w:val="center"/>
          </w:tcPr>
          <w:p w14:paraId="4DC8FA6D" w14:textId="77777777" w:rsidR="00643D60" w:rsidRPr="00BE4152" w:rsidRDefault="00643D60" w:rsidP="00A03144">
            <w:pPr>
              <w:pStyle w:val="Tabela-tekst"/>
            </w:pPr>
            <w:r w:rsidRPr="00BE4152">
              <w:rPr>
                <w:b/>
                <w:bCs/>
              </w:rPr>
              <w:t xml:space="preserve">Stan </w:t>
            </w:r>
            <w:r w:rsidRPr="00BE4152">
              <w:rPr>
                <w:b/>
                <w:bCs/>
              </w:rPr>
              <w:br/>
              <w:t>ekologiczny/</w:t>
            </w:r>
            <w:r w:rsidRPr="00BE4152">
              <w:rPr>
                <w:b/>
                <w:bCs/>
              </w:rPr>
              <w:br/>
              <w:t>potencjał ekologiczny</w:t>
            </w:r>
          </w:p>
        </w:tc>
        <w:tc>
          <w:tcPr>
            <w:tcW w:w="2284" w:type="pct"/>
            <w:tcBorders>
              <w:top w:val="single" w:sz="4" w:space="0" w:color="auto"/>
            </w:tcBorders>
            <w:shd w:val="clear" w:color="auto" w:fill="auto"/>
            <w:vAlign w:val="center"/>
          </w:tcPr>
          <w:p w14:paraId="323BF9A5" w14:textId="77777777" w:rsidR="00643D60" w:rsidRPr="00BE4152" w:rsidRDefault="00643D60" w:rsidP="00A03144">
            <w:pPr>
              <w:pStyle w:val="Tabela-tekst"/>
            </w:pPr>
            <w:r>
              <w:t>b</w:t>
            </w:r>
            <w:r w:rsidRPr="00BE4152">
              <w:t>ardzo dobry stan ekologiczny/maksymalny potencjał ekologiczny</w:t>
            </w:r>
          </w:p>
        </w:tc>
        <w:tc>
          <w:tcPr>
            <w:tcW w:w="1014" w:type="pct"/>
            <w:shd w:val="clear" w:color="auto" w:fill="00B0F0"/>
            <w:vAlign w:val="center"/>
          </w:tcPr>
          <w:p w14:paraId="41E504CF" w14:textId="77777777" w:rsidR="00643D60" w:rsidRPr="00BE4152" w:rsidRDefault="00643D60" w:rsidP="00526BCA">
            <w:pPr>
              <w:pStyle w:val="Tabela-tekst"/>
              <w:jc w:val="center"/>
            </w:pPr>
            <w:r w:rsidRPr="00BE4152">
              <w:t>dobry stan wód</w:t>
            </w:r>
          </w:p>
        </w:tc>
        <w:tc>
          <w:tcPr>
            <w:tcW w:w="935" w:type="pct"/>
            <w:shd w:val="clear" w:color="auto" w:fill="FF0000"/>
            <w:vAlign w:val="center"/>
          </w:tcPr>
          <w:p w14:paraId="09F65930" w14:textId="77777777" w:rsidR="00643D60" w:rsidRPr="00BE4152" w:rsidRDefault="00643D60" w:rsidP="00526BCA">
            <w:pPr>
              <w:pStyle w:val="Tabela-tekst"/>
              <w:jc w:val="center"/>
            </w:pPr>
            <w:r w:rsidRPr="00BE4152">
              <w:t>zły stan wód</w:t>
            </w:r>
          </w:p>
        </w:tc>
      </w:tr>
      <w:tr w:rsidR="00643D60" w:rsidRPr="00BE4152" w14:paraId="2DC0848B" w14:textId="77777777" w:rsidTr="00A03144">
        <w:trPr>
          <w:trHeight w:val="454"/>
        </w:trPr>
        <w:tc>
          <w:tcPr>
            <w:tcW w:w="766" w:type="pct"/>
            <w:vMerge/>
            <w:shd w:val="clear" w:color="auto" w:fill="BFBFBF"/>
            <w:vAlign w:val="center"/>
          </w:tcPr>
          <w:p w14:paraId="7C8E0CC2" w14:textId="77777777" w:rsidR="00643D60" w:rsidRPr="00BE4152" w:rsidRDefault="00643D60" w:rsidP="00A03144">
            <w:pPr>
              <w:pStyle w:val="Tabela-tekst"/>
            </w:pPr>
          </w:p>
        </w:tc>
        <w:tc>
          <w:tcPr>
            <w:tcW w:w="2284" w:type="pct"/>
            <w:shd w:val="clear" w:color="auto" w:fill="auto"/>
            <w:vAlign w:val="center"/>
          </w:tcPr>
          <w:p w14:paraId="708C5B6B" w14:textId="77777777" w:rsidR="00643D60" w:rsidRPr="00BE4152" w:rsidRDefault="00643D60" w:rsidP="00A03144">
            <w:pPr>
              <w:pStyle w:val="Tabela-tekst"/>
            </w:pPr>
            <w:r>
              <w:t>d</w:t>
            </w:r>
            <w:r w:rsidRPr="00BE4152">
              <w:t>obry stan ekologiczny/potencjał ekologiczny</w:t>
            </w:r>
          </w:p>
        </w:tc>
        <w:tc>
          <w:tcPr>
            <w:tcW w:w="1014" w:type="pct"/>
            <w:shd w:val="clear" w:color="auto" w:fill="00B0F0"/>
            <w:vAlign w:val="center"/>
          </w:tcPr>
          <w:p w14:paraId="539C1C45" w14:textId="77777777" w:rsidR="00643D60" w:rsidRPr="00BE4152" w:rsidRDefault="00643D60" w:rsidP="00526BCA">
            <w:pPr>
              <w:pStyle w:val="Tabela-tekst"/>
              <w:jc w:val="center"/>
            </w:pPr>
            <w:r w:rsidRPr="00BE4152">
              <w:t>dobry stan wód</w:t>
            </w:r>
          </w:p>
        </w:tc>
        <w:tc>
          <w:tcPr>
            <w:tcW w:w="935" w:type="pct"/>
            <w:shd w:val="clear" w:color="auto" w:fill="FF0000"/>
            <w:vAlign w:val="center"/>
          </w:tcPr>
          <w:p w14:paraId="26F55B69" w14:textId="77777777" w:rsidR="00643D60" w:rsidRPr="00BE4152" w:rsidRDefault="00643D60" w:rsidP="00526BCA">
            <w:pPr>
              <w:pStyle w:val="Tabela-tekst"/>
              <w:jc w:val="center"/>
            </w:pPr>
            <w:r w:rsidRPr="00BE4152">
              <w:t>zły stan wód</w:t>
            </w:r>
          </w:p>
        </w:tc>
      </w:tr>
      <w:tr w:rsidR="00643D60" w:rsidRPr="00BE4152" w14:paraId="5C3177C2" w14:textId="77777777" w:rsidTr="00A03144">
        <w:trPr>
          <w:trHeight w:val="454"/>
        </w:trPr>
        <w:tc>
          <w:tcPr>
            <w:tcW w:w="766" w:type="pct"/>
            <w:vMerge/>
            <w:shd w:val="clear" w:color="auto" w:fill="BFBFBF"/>
            <w:vAlign w:val="center"/>
          </w:tcPr>
          <w:p w14:paraId="4DA98137" w14:textId="77777777" w:rsidR="00643D60" w:rsidRPr="00BE4152" w:rsidRDefault="00643D60" w:rsidP="00A03144">
            <w:pPr>
              <w:pStyle w:val="Tabela-tekst"/>
            </w:pPr>
          </w:p>
        </w:tc>
        <w:tc>
          <w:tcPr>
            <w:tcW w:w="2284" w:type="pct"/>
            <w:shd w:val="clear" w:color="auto" w:fill="auto"/>
            <w:vAlign w:val="center"/>
          </w:tcPr>
          <w:p w14:paraId="7ACF0813" w14:textId="77777777" w:rsidR="00643D60" w:rsidRPr="00BE4152" w:rsidRDefault="00643D60" w:rsidP="00A03144">
            <w:pPr>
              <w:pStyle w:val="Tabela-tekst"/>
            </w:pPr>
            <w:r>
              <w:t>u</w:t>
            </w:r>
            <w:r w:rsidRPr="00BE4152">
              <w:t>miarkowany stan ekologiczny/umiarkowany potencjał ekologiczny</w:t>
            </w:r>
          </w:p>
        </w:tc>
        <w:tc>
          <w:tcPr>
            <w:tcW w:w="1014" w:type="pct"/>
            <w:shd w:val="clear" w:color="auto" w:fill="FF0000"/>
            <w:vAlign w:val="center"/>
          </w:tcPr>
          <w:p w14:paraId="7375ACB9" w14:textId="77777777" w:rsidR="00643D60" w:rsidRPr="00BE4152" w:rsidRDefault="00643D60" w:rsidP="00526BCA">
            <w:pPr>
              <w:pStyle w:val="Tabela-tekst"/>
              <w:jc w:val="center"/>
            </w:pPr>
            <w:r w:rsidRPr="00BE4152">
              <w:t>zły stan wód</w:t>
            </w:r>
          </w:p>
        </w:tc>
        <w:tc>
          <w:tcPr>
            <w:tcW w:w="935" w:type="pct"/>
            <w:shd w:val="clear" w:color="auto" w:fill="FF0000"/>
            <w:vAlign w:val="center"/>
          </w:tcPr>
          <w:p w14:paraId="04701DBC" w14:textId="77777777" w:rsidR="00643D60" w:rsidRPr="00BE4152" w:rsidRDefault="00643D60" w:rsidP="00526BCA">
            <w:pPr>
              <w:pStyle w:val="Tabela-tekst"/>
              <w:jc w:val="center"/>
            </w:pPr>
            <w:r w:rsidRPr="00BE4152">
              <w:t>zły stan wód</w:t>
            </w:r>
          </w:p>
        </w:tc>
      </w:tr>
      <w:tr w:rsidR="00643D60" w:rsidRPr="00BE4152" w14:paraId="7ACA0B7C" w14:textId="77777777" w:rsidTr="00A03144">
        <w:trPr>
          <w:trHeight w:val="454"/>
        </w:trPr>
        <w:tc>
          <w:tcPr>
            <w:tcW w:w="766" w:type="pct"/>
            <w:vMerge/>
            <w:shd w:val="clear" w:color="auto" w:fill="BFBFBF"/>
            <w:vAlign w:val="center"/>
          </w:tcPr>
          <w:p w14:paraId="70CC2BBC" w14:textId="77777777" w:rsidR="00643D60" w:rsidRPr="00BE4152" w:rsidRDefault="00643D60" w:rsidP="00A03144">
            <w:pPr>
              <w:pStyle w:val="Tabela-tekst"/>
            </w:pPr>
          </w:p>
        </w:tc>
        <w:tc>
          <w:tcPr>
            <w:tcW w:w="2284" w:type="pct"/>
            <w:shd w:val="clear" w:color="auto" w:fill="auto"/>
            <w:vAlign w:val="center"/>
          </w:tcPr>
          <w:p w14:paraId="63B6B877" w14:textId="77777777" w:rsidR="00643D60" w:rsidRPr="00BE4152" w:rsidRDefault="00643D60" w:rsidP="00A03144">
            <w:pPr>
              <w:pStyle w:val="Tabela-tekst"/>
            </w:pPr>
            <w:r>
              <w:t>s</w:t>
            </w:r>
            <w:r w:rsidRPr="00BE4152">
              <w:t>łaby stan ekologiczny/słaby potencjał ekologiczny</w:t>
            </w:r>
          </w:p>
        </w:tc>
        <w:tc>
          <w:tcPr>
            <w:tcW w:w="1014" w:type="pct"/>
            <w:shd w:val="clear" w:color="auto" w:fill="FF0000"/>
            <w:vAlign w:val="center"/>
          </w:tcPr>
          <w:p w14:paraId="73CFA018" w14:textId="77777777" w:rsidR="00643D60" w:rsidRPr="00BE4152" w:rsidRDefault="00643D60" w:rsidP="00526BCA">
            <w:pPr>
              <w:pStyle w:val="Tabela-tekst"/>
              <w:jc w:val="center"/>
            </w:pPr>
            <w:r w:rsidRPr="00BE4152">
              <w:t>zły stan wód</w:t>
            </w:r>
          </w:p>
        </w:tc>
        <w:tc>
          <w:tcPr>
            <w:tcW w:w="935" w:type="pct"/>
            <w:shd w:val="clear" w:color="auto" w:fill="FF0000"/>
            <w:vAlign w:val="center"/>
          </w:tcPr>
          <w:p w14:paraId="7F3DA403" w14:textId="77777777" w:rsidR="00643D60" w:rsidRPr="00BE4152" w:rsidRDefault="00643D60" w:rsidP="00526BCA">
            <w:pPr>
              <w:pStyle w:val="Tabela-tekst"/>
              <w:jc w:val="center"/>
            </w:pPr>
            <w:r w:rsidRPr="00BE4152">
              <w:t>zły stan wód</w:t>
            </w:r>
          </w:p>
        </w:tc>
      </w:tr>
      <w:tr w:rsidR="00643D60" w:rsidRPr="00BE4152" w14:paraId="480B5383" w14:textId="77777777" w:rsidTr="00A03144">
        <w:trPr>
          <w:trHeight w:val="454"/>
        </w:trPr>
        <w:tc>
          <w:tcPr>
            <w:tcW w:w="766" w:type="pct"/>
            <w:vMerge/>
            <w:shd w:val="clear" w:color="auto" w:fill="BFBFBF"/>
            <w:vAlign w:val="center"/>
          </w:tcPr>
          <w:p w14:paraId="342792C0" w14:textId="77777777" w:rsidR="00643D60" w:rsidRPr="00BE4152" w:rsidRDefault="00643D60" w:rsidP="00A03144">
            <w:pPr>
              <w:pStyle w:val="Tabela-tekst"/>
            </w:pPr>
          </w:p>
        </w:tc>
        <w:tc>
          <w:tcPr>
            <w:tcW w:w="2284" w:type="pct"/>
            <w:shd w:val="clear" w:color="auto" w:fill="auto"/>
            <w:vAlign w:val="center"/>
          </w:tcPr>
          <w:p w14:paraId="6D35AF95" w14:textId="77777777" w:rsidR="00643D60" w:rsidRPr="00BE4152" w:rsidRDefault="00643D60" w:rsidP="00A03144">
            <w:pPr>
              <w:pStyle w:val="Tabela-tekst"/>
            </w:pPr>
            <w:r>
              <w:t>z</w:t>
            </w:r>
            <w:r w:rsidRPr="00BE4152">
              <w:t>ły stan ekologiczny/zły potencjał ekologiczny</w:t>
            </w:r>
          </w:p>
        </w:tc>
        <w:tc>
          <w:tcPr>
            <w:tcW w:w="1014" w:type="pct"/>
            <w:shd w:val="clear" w:color="auto" w:fill="FF0000"/>
            <w:vAlign w:val="center"/>
          </w:tcPr>
          <w:p w14:paraId="3F9DCD2E" w14:textId="77777777" w:rsidR="00643D60" w:rsidRPr="00BE4152" w:rsidRDefault="00643D60" w:rsidP="00526BCA">
            <w:pPr>
              <w:pStyle w:val="Tabela-tekst"/>
              <w:jc w:val="center"/>
            </w:pPr>
            <w:r w:rsidRPr="00BE4152">
              <w:t>zły stan wód</w:t>
            </w:r>
          </w:p>
        </w:tc>
        <w:tc>
          <w:tcPr>
            <w:tcW w:w="935" w:type="pct"/>
            <w:shd w:val="clear" w:color="auto" w:fill="FF0000"/>
            <w:vAlign w:val="center"/>
          </w:tcPr>
          <w:p w14:paraId="23D546D6" w14:textId="77777777" w:rsidR="00643D60" w:rsidRPr="00BE4152" w:rsidRDefault="00643D60" w:rsidP="00526BCA">
            <w:pPr>
              <w:pStyle w:val="Tabela-tekst"/>
              <w:jc w:val="center"/>
            </w:pPr>
            <w:r w:rsidRPr="00BE4152">
              <w:t>zły stan wód</w:t>
            </w:r>
          </w:p>
        </w:tc>
      </w:tr>
    </w:tbl>
    <w:p w14:paraId="758FA546" w14:textId="17A4E31D" w:rsidR="00643D60" w:rsidRPr="005F1FFB" w:rsidRDefault="00643D60" w:rsidP="00442AB7">
      <w:pPr>
        <w:pStyle w:val="rdo0"/>
      </w:pPr>
      <w:r w:rsidRPr="00BE4152">
        <w:t xml:space="preserve">Źródło: </w:t>
      </w:r>
      <w:r w:rsidRPr="005F1FFB">
        <w:t xml:space="preserve">opracowanie </w:t>
      </w:r>
      <w:r w:rsidR="005B3051">
        <w:t>własne</w:t>
      </w:r>
      <w:r w:rsidRPr="005F1FFB">
        <w:t xml:space="preserve"> na podstawie r.kl.jcwp</w:t>
      </w:r>
    </w:p>
    <w:p w14:paraId="22C462B8" w14:textId="31A6957E" w:rsidR="00643D60" w:rsidRPr="00BE4152" w:rsidRDefault="00643D60" w:rsidP="00643D60">
      <w:pPr>
        <w:suppressAutoHyphens/>
      </w:pPr>
      <w:r w:rsidRPr="00BE4152">
        <w:t xml:space="preserve">W celu określenia stanu jcwp monitorowanych w danym cyklu planistycznym uwzględnia się tzw. zasadę dziedziczenia. W myśl tej zasady dziedziczona jest klasyfikacja wskaźników determinujących stan </w:t>
      </w:r>
      <w:r>
        <w:t>jcwp</w:t>
      </w:r>
      <w:r w:rsidRPr="00BE4152">
        <w:t xml:space="preserve"> z zastrzeżeniem wykorzystania najnowszych rocznych wyników badań oraz przy zachowaniu ważności wyniku. </w:t>
      </w:r>
      <w:r w:rsidRPr="00365102">
        <w:t>W przypadku monitoringu diagnostycznego przyjmuje się</w:t>
      </w:r>
      <w:r w:rsidRPr="00BE4152">
        <w:t xml:space="preserve">, że dziedziczone mogą być wyniki nie starsze niż 6 lat. Okres ten nie ma zastosowania w stosunku do </w:t>
      </w:r>
      <w:r>
        <w:t>jcwp</w:t>
      </w:r>
      <w:r w:rsidRPr="00BE4152">
        <w:t xml:space="preserve"> </w:t>
      </w:r>
      <w:r>
        <w:t>o</w:t>
      </w:r>
      <w:r w:rsidRPr="00397AFB">
        <w:t xml:space="preserve">bjętych, z powodu uznania za zagrożone </w:t>
      </w:r>
      <w:r w:rsidR="008F2F72" w:rsidRPr="00397AFB">
        <w:t>nie</w:t>
      </w:r>
      <w:r w:rsidR="008F2F72">
        <w:t>osiągnięcie</w:t>
      </w:r>
      <w:r w:rsidR="008F2F72" w:rsidRPr="00397AFB">
        <w:t xml:space="preserve">m </w:t>
      </w:r>
      <w:r w:rsidRPr="00397AFB">
        <w:t>celów środowiskowych lub z innych przyczyn, monitoringiem operacyjnym</w:t>
      </w:r>
      <w:r w:rsidRPr="00BE4152">
        <w:t>. W takim przypadku okres ważności danych biologicznych, fizykochemicznych i</w:t>
      </w:r>
      <w:r w:rsidR="005F1FFB">
        <w:t> </w:t>
      </w:r>
      <w:r w:rsidRPr="00BE4152">
        <w:t>hydromorfologicznych (w każdym przypadku w zakresie wskaźników wybranych do monitoringu operacyjnego) wynosi 3 lat</w:t>
      </w:r>
      <w:r>
        <w:t>a</w:t>
      </w:r>
      <w:r w:rsidRPr="00BE4152">
        <w:t>, zaś dane dla wskaźników chemicznych wybranych do tego monitorowania w ogóle nie mogą być dziedziczone</w:t>
      </w:r>
      <w:r>
        <w:t>, gdyż są badane corocznie w monitoringu operacyjnym</w:t>
      </w:r>
      <w:r w:rsidRPr="00BE4152">
        <w:t xml:space="preserve">. </w:t>
      </w:r>
    </w:p>
    <w:p w14:paraId="630C0316" w14:textId="325A1EB5" w:rsidR="00643D60" w:rsidRPr="00526BCA" w:rsidRDefault="00643D60" w:rsidP="00643D60">
      <w:pPr>
        <w:suppressAutoHyphens/>
      </w:pPr>
      <w:r w:rsidRPr="00C52D6E">
        <w:rPr>
          <w:shd w:val="clear" w:color="auto" w:fill="FFFFFF" w:themeFill="background1"/>
        </w:rPr>
        <w:t>Pomimo zwiększenia liczby jcwp objętych PMŚ część z nich wciąż nie jest monitorowana. Biorąc pod uwagę dokonane zmiany układu jednostek planistycznych (IIaPGW), nie było możliwości przeniesienia stanu ogólnego jcwp ze zlewni monitorowanych na niemonitorowane ze względu na brak szczegółowych analiz podobieństwa zlewni w nowym układzie planistycznym. W takich przypadkach ocena stanu jcwp została dokonana metodą ekspercką, wykorzystującą wyniki przeprowadzonej</w:t>
      </w:r>
      <w:r w:rsidRPr="00C52D6E">
        <w:t xml:space="preserve"> </w:t>
      </w:r>
      <w:r w:rsidRPr="00C52D6E">
        <w:rPr>
          <w:i/>
          <w:iCs/>
        </w:rPr>
        <w:t xml:space="preserve">Analizy znaczących oddziaływań </w:t>
      </w:r>
      <w:r w:rsidR="00442AB7">
        <w:rPr>
          <w:i/>
          <w:iCs/>
        </w:rPr>
        <w:t>-</w:t>
      </w:r>
      <w:r w:rsidRPr="00C52D6E">
        <w:rPr>
          <w:i/>
          <w:iCs/>
        </w:rPr>
        <w:t xml:space="preserve"> jcwp (…)</w:t>
      </w:r>
      <w:r w:rsidRPr="00C52D6E">
        <w:t>, w ramach której wyznaczono jedynie prawdopodobny stan bądź potencjał ekologiczny oraz stan chemiczny jcwp, bazując na wartościach wyliczonych w ramach analiz. Ocena ta, wykonana dla jcwp niemonitorowanych, dla których nie dokonano oceny stanu 2014-</w:t>
      </w:r>
      <w:r w:rsidRPr="00526BCA">
        <w:t>2019 (PMŚ), jest traktowana jako poglądowa.</w:t>
      </w:r>
    </w:p>
    <w:p w14:paraId="5EDF3F74" w14:textId="3475F0B0" w:rsidR="00643D60" w:rsidRPr="00526BCA" w:rsidRDefault="00643D60" w:rsidP="00643D60">
      <w:pPr>
        <w:shd w:val="clear" w:color="auto" w:fill="FFFFFF" w:themeFill="background1"/>
        <w:suppressAutoHyphens/>
      </w:pPr>
      <w:r w:rsidRPr="00526BCA">
        <w:t xml:space="preserve">PMŚ stanowi podstawę informacji o aktualnym stanie wód. Najaktualniejsze dane monitoringowe są prezentowane przez GIOŚ w formie ogólnodostępnych raportów. </w:t>
      </w:r>
      <w:r w:rsidRPr="00526BCA">
        <w:rPr>
          <w:rFonts w:eastAsia="Times New Roman"/>
        </w:rPr>
        <w:t>Wszelkie analizy opisujące stanu wód powinny uwzględnić najaktualniejsze dostępne dane w czasie całego 6-</w:t>
      </w:r>
      <w:r w:rsidR="005F1FFB" w:rsidRPr="00526BCA">
        <w:rPr>
          <w:rFonts w:eastAsia="Times New Roman"/>
        </w:rPr>
        <w:t> </w:t>
      </w:r>
      <w:r w:rsidRPr="00526BCA">
        <w:rPr>
          <w:rFonts w:eastAsia="Times New Roman"/>
        </w:rPr>
        <w:t>letniego cyklu planistycznego.</w:t>
      </w:r>
      <w:r w:rsidRPr="00526BCA">
        <w:t xml:space="preserve"> </w:t>
      </w:r>
    </w:p>
    <w:p w14:paraId="35922486" w14:textId="77777777" w:rsidR="00643D60" w:rsidRPr="00526BCA" w:rsidRDefault="00643D60" w:rsidP="00643D60">
      <w:pPr>
        <w:suppressAutoHyphens/>
      </w:pPr>
      <w:r w:rsidRPr="00526BCA">
        <w:t>Prezentowane w planie gospodarowania wodami informacje o stanie jcwp zostały przygotowane na podstawie danych z okresu 2014-2019. Z uwagi na wchodzący w życie od 2022 roku zmieniony sposób klasyfikacji (zgodnie z r.kl.jcwp) prezentowane w IIaPGW dane dot. oceny stanu przygotowane zostały w obydwu sposobach klasyfikacji tj.:</w:t>
      </w:r>
    </w:p>
    <w:p w14:paraId="42900B49" w14:textId="6F055FE1" w:rsidR="00643D60" w:rsidRPr="00AB6E72" w:rsidRDefault="00643D60" w:rsidP="00F06393">
      <w:pPr>
        <w:pStyle w:val="Akapitzlist"/>
      </w:pPr>
      <w:r w:rsidRPr="00AB6E72">
        <w:t>ocena stanu zgodnie z klasyfikacją r.kl.jcwp obowiązującą do roku 2022 (ocena na podstawie oceny stanu GIOŚ 2014-2019 przeniesiona na nowy układ planistyczny);</w:t>
      </w:r>
    </w:p>
    <w:p w14:paraId="2B0DCADC" w14:textId="5742ADDD" w:rsidR="00643D60" w:rsidRPr="00AB6E72" w:rsidRDefault="00643D60" w:rsidP="00F06393">
      <w:pPr>
        <w:pStyle w:val="Akapitzlist"/>
      </w:pPr>
      <w:r w:rsidRPr="00AB6E72">
        <w:t xml:space="preserve">ocena stanu zgodnie z klasyfikacją r.kl.jcwp obowiązującą od roku 2022 (ocena na podstawie danych monitoringowych PMŚ przeliczona zgodnie z r.kl.jcwp, dla jcwp niemonitorowanych </w:t>
      </w:r>
      <w:r w:rsidR="00442AB7" w:rsidRPr="00AB6E72">
        <w:t>-</w:t>
      </w:r>
      <w:r w:rsidRPr="00AB6E72">
        <w:t xml:space="preserve"> ocena wykonana metodą ekspercką oraz dla SZCW i SCW przy uwzględnieniu wartości granicznych przestawionych w załączniku nr 3 będących podstawą klasyfikacji potencjału ekologicznego).</w:t>
      </w:r>
    </w:p>
    <w:p w14:paraId="4B2C1D82" w14:textId="77777777" w:rsidR="00643D60" w:rsidRPr="00BE4152" w:rsidRDefault="00643D60" w:rsidP="00B50FFD">
      <w:pPr>
        <w:pStyle w:val="Nagwek4"/>
      </w:pPr>
      <w:r w:rsidRPr="00BE4152">
        <w:t xml:space="preserve">Podsumowanie oceny stanu jcwp na obszarze dorzecza </w:t>
      </w:r>
      <w:r>
        <w:t>Pregoły</w:t>
      </w:r>
      <w:r w:rsidRPr="00BE4152">
        <w:t xml:space="preserve"> dla cyklu planistycznego 2016-2021</w:t>
      </w:r>
    </w:p>
    <w:p w14:paraId="7674D7EB" w14:textId="1DACA8D7" w:rsidR="00643D60" w:rsidRPr="00BE4152" w:rsidRDefault="00643D60" w:rsidP="00643D60">
      <w:pPr>
        <w:suppressAutoHyphens/>
      </w:pPr>
      <w:r w:rsidRPr="00C52D6E">
        <w:rPr>
          <w:shd w:val="clear" w:color="auto" w:fill="FFFFFF" w:themeFill="background1"/>
        </w:rPr>
        <w:t>Podsumowanie oceny stanu jcwp na obszarze dorzecza Pregoły, dokonanej na podstawie oceny stanu 2014-2019 (GIOŚ), wyników monitoringu oraz wartości pozyskanych metodą ekspercką uzyskanych w</w:t>
      </w:r>
      <w:r w:rsidR="005F1FFB">
        <w:rPr>
          <w:shd w:val="clear" w:color="auto" w:fill="FFFFFF" w:themeFill="background1"/>
        </w:rPr>
        <w:t> </w:t>
      </w:r>
      <w:r w:rsidRPr="00C52D6E">
        <w:rPr>
          <w:shd w:val="clear" w:color="auto" w:fill="FFFFFF" w:themeFill="background1"/>
        </w:rPr>
        <w:t>latach 2014-2019, przedstawiono poniżej w podziale na kategorie jcwp.</w:t>
      </w:r>
    </w:p>
    <w:p w14:paraId="7B8C4E73" w14:textId="77777777" w:rsidR="00643D60" w:rsidRPr="00FE0141" w:rsidRDefault="00643D60" w:rsidP="00AA0CAB">
      <w:pPr>
        <w:pStyle w:val="Nagwek5"/>
      </w:pPr>
      <w:r w:rsidRPr="00FE0141">
        <w:t>Jcwp RW</w:t>
      </w:r>
    </w:p>
    <w:p w14:paraId="50AA8A30" w14:textId="67ECCF0B" w:rsidR="00643D60" w:rsidRDefault="00643D60" w:rsidP="00643D60">
      <w:pPr>
        <w:suppressAutoHyphens/>
      </w:pPr>
      <w:r w:rsidRPr="00FE0141">
        <w:t xml:space="preserve">Podsumowanie oceny stanu jcwp RW na obszarze dorzecza Pregoły, dokonanej na podstawie wyników monitoringu (ocena stanu GIOŚ 2014-2019), a w przypadku jcwp niemonitorowanych </w:t>
      </w:r>
      <w:r w:rsidR="00442AB7">
        <w:t>-</w:t>
      </w:r>
      <w:r w:rsidRPr="00FE0141">
        <w:t xml:space="preserve"> wyników analizy eksperckiej dla okresu od 01.2022 r., przedstawiono poniżej.</w:t>
      </w:r>
    </w:p>
    <w:p w14:paraId="39842962" w14:textId="77777777" w:rsidR="00643D60" w:rsidRPr="00C52D6E" w:rsidRDefault="00643D60" w:rsidP="00643D60">
      <w:pPr>
        <w:suppressAutoHyphens/>
      </w:pPr>
      <w:bookmarkStart w:id="82" w:name="_Hlk66011487"/>
      <w:r w:rsidRPr="00C52D6E">
        <w:t>Na podstawie oceny stanu 2014-2019 (GIOŚ) dla jcwp RW w układzie planistycznym obowiązującym dla cyklu planistycznego aPGW (2016-2021) oceny stanu dokonano dla 120 jcwp RW (100% ogólnej liczby jcwp RW), w tym dla 58 jcwp RW była to ocena z przeniesienia</w:t>
      </w:r>
      <w:r w:rsidRPr="00C52D6E">
        <w:rPr>
          <w:rStyle w:val="Odwoanieprzypisudolnego"/>
        </w:rPr>
        <w:footnoteReference w:id="17"/>
      </w:r>
      <w:r w:rsidRPr="00C52D6E">
        <w:t xml:space="preserve">. </w:t>
      </w:r>
    </w:p>
    <w:p w14:paraId="1E345531" w14:textId="77777777" w:rsidR="00643D60" w:rsidRPr="00C52D6E" w:rsidRDefault="00643D60" w:rsidP="00643D60">
      <w:pPr>
        <w:shd w:val="clear" w:color="auto" w:fill="FFFFFF" w:themeFill="background1"/>
        <w:suppressAutoHyphens/>
      </w:pPr>
      <w:bookmarkStart w:id="83" w:name="_Hlk66011390"/>
      <w:r w:rsidRPr="00C52D6E">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bookmarkEnd w:id="82"/>
    <w:bookmarkEnd w:id="83"/>
    <w:p w14:paraId="58B5024E" w14:textId="0D86FCB9" w:rsidR="00643D60" w:rsidRDefault="00643D60" w:rsidP="00643D60">
      <w:pPr>
        <w:shd w:val="clear" w:color="auto" w:fill="FFFFFF" w:themeFill="background1"/>
        <w:suppressAutoHyphens/>
      </w:pPr>
      <w:r w:rsidRPr="00C52D6E">
        <w:t>Informacje o aktualnej ocenie stanu danej jcwp zaprezentowane są w załączniku nr 1</w:t>
      </w:r>
      <w:r w:rsidR="00A565BC">
        <w:t xml:space="preserve"> </w:t>
      </w:r>
      <w:r w:rsidRPr="00C52D6E">
        <w:t>(Zestawienie</w:t>
      </w:r>
      <w:r w:rsidRPr="00FE0141">
        <w:t xml:space="preserve"> główne IIaPGW), zobrazowania mapowe ocen stanu przedstawione zostały w </w:t>
      </w:r>
      <w:r w:rsidRPr="00B17A81">
        <w:t xml:space="preserve">załącznikach graficznych </w:t>
      </w:r>
      <w:r w:rsidR="003110FC">
        <w:t xml:space="preserve">nr </w:t>
      </w:r>
      <w:r w:rsidRPr="00B17A81">
        <w:t>1</w:t>
      </w:r>
      <w:r w:rsidR="00B17A81">
        <w:t>0</w:t>
      </w:r>
      <w:r w:rsidR="00B76508">
        <w:t>, 11, 12, 13, 14 i</w:t>
      </w:r>
      <w:r w:rsidR="005F1FFB">
        <w:t xml:space="preserve"> </w:t>
      </w:r>
      <w:r w:rsidRPr="00B17A81">
        <w:t>1</w:t>
      </w:r>
      <w:r w:rsidR="00B17A81">
        <w:t>5</w:t>
      </w:r>
      <w:r w:rsidRPr="00B17A81">
        <w:t>.</w:t>
      </w:r>
    </w:p>
    <w:p w14:paraId="33264B72" w14:textId="35FE6B7A" w:rsidR="00643D60" w:rsidRPr="00FE0141" w:rsidRDefault="00643D60" w:rsidP="00643D60">
      <w:pPr>
        <w:suppressAutoHyphens/>
      </w:pPr>
      <w:r w:rsidRPr="00C06E9E">
        <w:rPr>
          <w:bCs/>
          <w:iCs/>
        </w:rPr>
        <w:t xml:space="preserve">Podsumowanie liczby jcwp RW z uzyskaną oceną stanu </w:t>
      </w:r>
      <w:r>
        <w:rPr>
          <w:bCs/>
          <w:iCs/>
        </w:rPr>
        <w:t xml:space="preserve">w </w:t>
      </w:r>
      <w:r w:rsidRPr="00C06E9E">
        <w:rPr>
          <w:bCs/>
          <w:iCs/>
        </w:rPr>
        <w:t>obszar</w:t>
      </w:r>
      <w:r>
        <w:rPr>
          <w:bCs/>
          <w:iCs/>
        </w:rPr>
        <w:t>ze</w:t>
      </w:r>
      <w:r w:rsidRPr="00C06E9E">
        <w:rPr>
          <w:bCs/>
          <w:iCs/>
        </w:rPr>
        <w:t xml:space="preserve"> dorzecza </w:t>
      </w:r>
      <w:r>
        <w:rPr>
          <w:bCs/>
          <w:iCs/>
        </w:rPr>
        <w:t>Pregoły</w:t>
      </w:r>
      <w:r w:rsidRPr="00C06E9E">
        <w:rPr>
          <w:bCs/>
          <w:iCs/>
        </w:rPr>
        <w:t xml:space="preserve"> prezentuje poniższa tabela</w:t>
      </w:r>
      <w:r w:rsidR="00AB6E72">
        <w:rPr>
          <w:bCs/>
          <w:iCs/>
        </w:rPr>
        <w:t xml:space="preserve"> 5-12</w:t>
      </w:r>
      <w:r w:rsidRPr="00C06E9E">
        <w:rPr>
          <w:bCs/>
          <w:iCs/>
        </w:rPr>
        <w:t xml:space="preserve">. </w:t>
      </w:r>
      <w:r>
        <w:rPr>
          <w:bCs/>
          <w:iCs/>
        </w:rPr>
        <w:t xml:space="preserve">W tabeli uwzględnione zostały zarówno wyniki oceny stanu 2014 </w:t>
      </w:r>
      <w:r w:rsidR="00442AB7">
        <w:rPr>
          <w:bCs/>
          <w:iCs/>
        </w:rPr>
        <w:t>-</w:t>
      </w:r>
      <w:r>
        <w:rPr>
          <w:bCs/>
          <w:iCs/>
        </w:rPr>
        <w:t xml:space="preserve"> 2019 wg klasyfikacji obowiązującej do roku 2022</w:t>
      </w:r>
      <w:r w:rsidR="00AB6E72">
        <w:rPr>
          <w:bCs/>
          <w:iCs/>
        </w:rPr>
        <w:t xml:space="preserve"> (wykres 5-3)</w:t>
      </w:r>
      <w:r>
        <w:rPr>
          <w:bCs/>
          <w:iCs/>
        </w:rPr>
        <w:t xml:space="preserve">, jak również poglądowo zmiany w ocenie stanu przy zastosowaniu sposobu klasyfikacji wg r.kl.jcwp obowiązującego od roku 2022 oraz </w:t>
      </w:r>
      <w:r w:rsidRPr="006B0438">
        <w:rPr>
          <w:bCs/>
          <w:iCs/>
        </w:rPr>
        <w:t xml:space="preserve">wartości PE </w:t>
      </w:r>
      <w:r>
        <w:rPr>
          <w:bCs/>
          <w:iCs/>
        </w:rPr>
        <w:t xml:space="preserve">dla SZCW </w:t>
      </w:r>
      <w:r w:rsidRPr="006B0438">
        <w:rPr>
          <w:bCs/>
          <w:iCs/>
        </w:rPr>
        <w:t>przedstawionych w zał. 3.1 IIaPGW</w:t>
      </w:r>
      <w:r w:rsidR="00AB6E72">
        <w:rPr>
          <w:bCs/>
          <w:iCs/>
        </w:rPr>
        <w:t xml:space="preserve"> (wykres 5-4)</w:t>
      </w:r>
      <w:r>
        <w:rPr>
          <w:bCs/>
          <w:iCs/>
        </w:rPr>
        <w:t>.</w:t>
      </w:r>
    </w:p>
    <w:p w14:paraId="5F291779" w14:textId="4ACF0059" w:rsidR="00643D60" w:rsidRDefault="00643D60" w:rsidP="006802BB">
      <w:pPr>
        <w:pStyle w:val="Tabela"/>
      </w:pPr>
      <w:bookmarkStart w:id="84" w:name="_Toc68726964"/>
      <w:r w:rsidRPr="00DA36AD">
        <w:t xml:space="preserve">Tabela </w:t>
      </w:r>
      <w:fldSimple w:instr=" STYLEREF 1 \s ">
        <w:r w:rsidR="007B4050">
          <w:rPr>
            <w:noProof/>
          </w:rPr>
          <w:t>5</w:t>
        </w:r>
      </w:fldSimple>
      <w:r w:rsidR="007B4050">
        <w:noBreakHyphen/>
      </w:r>
      <w:fldSimple w:instr=" SEQ Tabela \* ARABIC \s 1 ">
        <w:r w:rsidR="007B4050">
          <w:rPr>
            <w:noProof/>
          </w:rPr>
          <w:t>12</w:t>
        </w:r>
      </w:fldSimple>
      <w:r w:rsidRPr="00DA36AD">
        <w:tab/>
      </w:r>
      <w:r w:rsidRPr="00BE4152">
        <w:t xml:space="preserve">Liczba jcwp RW zagrożonych nieosiągnięciem celów środowiskowych wraz z określeniem liczby jcwp RW z oceną stanu na obszarze dorzecza </w:t>
      </w:r>
      <w:r>
        <w:t>Pregoły</w:t>
      </w:r>
      <w:bookmarkEnd w:id="84"/>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643D60" w:rsidRPr="00BE4152" w14:paraId="4479AF1D" w14:textId="77777777" w:rsidTr="00A03144">
        <w:trPr>
          <w:trHeight w:val="454"/>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6766C9A" w14:textId="77777777" w:rsidR="00643D60" w:rsidRPr="00F4234E" w:rsidRDefault="00643D60" w:rsidP="00A03144">
            <w:pPr>
              <w:pStyle w:val="Tabela-tekst"/>
              <w:rPr>
                <w:b/>
                <w:color w:val="000000"/>
              </w:rPr>
            </w:pPr>
            <w:bookmarkStart w:id="85" w:name="_Hlk66011528"/>
            <w:r w:rsidRPr="00A03144">
              <w:rPr>
                <w:b/>
                <w:bCs/>
              </w:rPr>
              <w:t>Region wodny</w:t>
            </w:r>
            <w:r>
              <w:rPr>
                <w:b/>
                <w:color w:val="000000"/>
              </w:rPr>
              <w:t xml:space="preserve"> obszaru dorzecza Pregoły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8311C26" w14:textId="77777777" w:rsidR="00643D60" w:rsidRPr="00F4234E" w:rsidRDefault="00643D60" w:rsidP="003110FC">
            <w:pPr>
              <w:pStyle w:val="Tabela-tekst"/>
              <w:jc w:val="center"/>
              <w:rPr>
                <w:b/>
                <w:color w:val="000000"/>
              </w:rPr>
            </w:pPr>
            <w:r w:rsidRPr="00A03144">
              <w:rPr>
                <w:b/>
                <w:bCs/>
              </w:rPr>
              <w:t>Liczba jcwp RW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11AD3B" w14:textId="77777777" w:rsidR="00643D60" w:rsidRPr="00F4234E" w:rsidRDefault="00643D60" w:rsidP="003110FC">
            <w:pPr>
              <w:pStyle w:val="Tabela-tekst"/>
              <w:jc w:val="center"/>
              <w:rPr>
                <w:b/>
                <w:color w:val="000000"/>
                <w:vertAlign w:val="superscript"/>
              </w:rPr>
            </w:pPr>
            <w:r w:rsidRPr="00A03144">
              <w:rPr>
                <w:b/>
                <w:bCs/>
              </w:rPr>
              <w:t>Liczba jcwp RW zagrożonych</w:t>
            </w:r>
            <w:r w:rsidRPr="00F4234E">
              <w:rPr>
                <w:b/>
                <w:color w:val="000000"/>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2F7898" w14:textId="47828DC7" w:rsidR="00643D60" w:rsidRPr="001479C9" w:rsidRDefault="00643D60" w:rsidP="003110FC">
            <w:pPr>
              <w:pStyle w:val="Tabela-tekst"/>
              <w:jc w:val="center"/>
              <w:rPr>
                <w:b/>
                <w:color w:val="000000"/>
              </w:rPr>
            </w:pPr>
            <w:r w:rsidRPr="00A03144">
              <w:rPr>
                <w:b/>
                <w:bCs/>
              </w:rPr>
              <w:t>Udział jcwp RW zagrożonych</w:t>
            </w:r>
            <w:r w:rsidRPr="00F4234E">
              <w:rPr>
                <w:b/>
                <w:color w:val="000000"/>
                <w:vertAlign w:val="superscript"/>
              </w:rPr>
              <w:t>1</w:t>
            </w:r>
            <w:r w:rsidR="001479C9">
              <w:rPr>
                <w:b/>
                <w:color w:val="000000"/>
              </w:rPr>
              <w:t xml:space="preserve"> (%)</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2C320FA0" w14:textId="77777777" w:rsidR="00643D60" w:rsidRPr="00F4234E" w:rsidRDefault="00643D60" w:rsidP="003110FC">
            <w:pPr>
              <w:pStyle w:val="Tabela-tekst"/>
              <w:jc w:val="center"/>
              <w:rPr>
                <w:b/>
                <w:color w:val="000000"/>
              </w:rPr>
            </w:pPr>
            <w:r w:rsidRPr="00A03144">
              <w:rPr>
                <w:b/>
                <w:bCs/>
              </w:rPr>
              <w:t>Liczba jcwp RW z oceną stanu</w:t>
            </w:r>
            <w:r>
              <w:rPr>
                <w:b/>
                <w:color w:val="000000"/>
              </w:rPr>
              <w:t xml:space="preserve">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78E2DA4" w14:textId="77777777" w:rsidR="00643D60" w:rsidRPr="00F4234E" w:rsidRDefault="00643D60" w:rsidP="003110FC">
            <w:pPr>
              <w:pStyle w:val="Tabela-tekst"/>
              <w:jc w:val="center"/>
              <w:rPr>
                <w:b/>
                <w:color w:val="000000"/>
              </w:rPr>
            </w:pPr>
            <w:r w:rsidRPr="00A03144">
              <w:rPr>
                <w:b/>
                <w:bCs/>
              </w:rPr>
              <w:t>Liczba jcwp RW z oceną stanu</w:t>
            </w:r>
            <w:r>
              <w:rPr>
                <w:b/>
                <w:color w:val="000000"/>
              </w:rPr>
              <w:t xml:space="preserve"> r.kl.jcwp od 2022</w:t>
            </w:r>
          </w:p>
        </w:tc>
      </w:tr>
      <w:tr w:rsidR="00643D60" w:rsidRPr="00BE4152" w14:paraId="05375713" w14:textId="77777777" w:rsidTr="00526BCA">
        <w:trPr>
          <w:trHeight w:val="454"/>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3FD0C4" w14:textId="77777777" w:rsidR="00643D60" w:rsidRPr="00A03144" w:rsidRDefault="00643D60" w:rsidP="00A03144">
            <w:pPr>
              <w:pStyle w:val="Tabela-tekst"/>
              <w:rPr>
                <w:b/>
                <w:bCs/>
              </w:rPr>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38B1E4" w14:textId="77777777" w:rsidR="00643D60" w:rsidRPr="00A03144" w:rsidRDefault="00643D60" w:rsidP="003110FC">
            <w:pPr>
              <w:pStyle w:val="Tabela-tekst"/>
              <w:jc w:val="center"/>
              <w:rPr>
                <w:b/>
                <w:bCs/>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0D44A1" w14:textId="77777777" w:rsidR="00643D60" w:rsidRPr="00A03144" w:rsidRDefault="00643D60" w:rsidP="003110FC">
            <w:pPr>
              <w:pStyle w:val="Tabela-tekst"/>
              <w:jc w:val="center"/>
              <w:rPr>
                <w:b/>
                <w:bCs/>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EB54D" w14:textId="77777777" w:rsidR="00643D60" w:rsidRPr="00A03144" w:rsidRDefault="00643D60" w:rsidP="003110FC">
            <w:pPr>
              <w:pStyle w:val="Tabela-tekst"/>
              <w:jc w:val="center"/>
              <w:rPr>
                <w:b/>
                <w:bCs/>
              </w:rPr>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34DF229" w14:textId="77777777" w:rsidR="00643D60" w:rsidRPr="00A30664" w:rsidRDefault="00643D60" w:rsidP="003110FC">
            <w:pPr>
              <w:pStyle w:val="Tabela-tekst"/>
              <w:jc w:val="center"/>
              <w:rPr>
                <w:b/>
                <w:color w:val="000000"/>
              </w:rPr>
            </w:pPr>
            <w:r w:rsidRPr="00A03144">
              <w:rPr>
                <w:b/>
                <w:bCs/>
              </w:rPr>
              <w:t>ocena stanu (PMŚ)</w:t>
            </w:r>
            <w:r w:rsidRPr="00A30664">
              <w:rPr>
                <w:b/>
                <w:color w:val="000000"/>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204FE8A9" w14:textId="73E83DF3" w:rsidR="00643D60" w:rsidRPr="003D372B" w:rsidRDefault="00643D60" w:rsidP="003110FC">
            <w:pPr>
              <w:pStyle w:val="Tabela-tekst"/>
              <w:jc w:val="center"/>
              <w:rPr>
                <w:b/>
                <w:color w:val="000000"/>
                <w:highlight w:val="yellow"/>
              </w:rPr>
            </w:pPr>
            <w:r w:rsidRPr="00A03144">
              <w:rPr>
                <w:b/>
                <w:bCs/>
              </w:rPr>
              <w:t>udział jcwp bez oceny stanu</w:t>
            </w:r>
            <w:r>
              <w:rPr>
                <w:b/>
                <w:color w:val="000000"/>
                <w:vertAlign w:val="superscript"/>
              </w:rPr>
              <w:t>2</w:t>
            </w:r>
            <w:r w:rsidR="003D372B">
              <w:rPr>
                <w:b/>
                <w:color w:val="000000"/>
              </w:rPr>
              <w:t>(%)</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349D6619" w14:textId="77777777" w:rsidR="00643D60" w:rsidRPr="00A30664" w:rsidRDefault="00643D60" w:rsidP="003110FC">
            <w:pPr>
              <w:pStyle w:val="Tabela-tekst"/>
              <w:jc w:val="center"/>
              <w:rPr>
                <w:b/>
                <w:color w:val="000000"/>
              </w:rPr>
            </w:pPr>
            <w:r w:rsidRPr="00A03144">
              <w:rPr>
                <w:b/>
                <w:bCs/>
              </w:rPr>
              <w:t xml:space="preserve">ocena </w:t>
            </w:r>
            <w:r w:rsidRPr="00A30664">
              <w:rPr>
                <w:b/>
                <w:color w:val="000000"/>
              </w:rPr>
              <w:t>stanu (PMŚ</w:t>
            </w:r>
            <w:r>
              <w:rPr>
                <w:b/>
                <w:color w:val="000000"/>
              </w:rPr>
              <w:t>+EKS</w:t>
            </w:r>
            <w:r w:rsidRPr="00A30664">
              <w:rPr>
                <w:b/>
                <w:color w:val="000000"/>
              </w:rPr>
              <w:t>)</w:t>
            </w:r>
            <w:r w:rsidRPr="00DB4616">
              <w:rPr>
                <w:b/>
                <w:color w:val="000000"/>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1562AA98" w14:textId="47A2B53A" w:rsidR="00643D60" w:rsidRPr="003D372B" w:rsidRDefault="00643D60" w:rsidP="003110FC">
            <w:pPr>
              <w:pStyle w:val="Tabela-tekst"/>
              <w:jc w:val="center"/>
              <w:rPr>
                <w:b/>
                <w:color w:val="000000"/>
              </w:rPr>
            </w:pPr>
            <w:r w:rsidRPr="00A03144">
              <w:rPr>
                <w:b/>
                <w:bCs/>
              </w:rPr>
              <w:t>udział jcwp bez oceny stanu</w:t>
            </w:r>
            <w:r w:rsidRPr="00DB4616">
              <w:rPr>
                <w:b/>
                <w:color w:val="000000"/>
                <w:vertAlign w:val="superscript"/>
              </w:rPr>
              <w:t>3</w:t>
            </w:r>
            <w:r w:rsidR="003D372B">
              <w:rPr>
                <w:b/>
                <w:color w:val="000000"/>
              </w:rPr>
              <w:t>(%)</w:t>
            </w:r>
          </w:p>
        </w:tc>
      </w:tr>
      <w:tr w:rsidR="00643D60" w:rsidRPr="00BE4152" w14:paraId="1E20A64E" w14:textId="77777777" w:rsidTr="00A03144">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37141CD0" w14:textId="77777777" w:rsidR="00643D60" w:rsidRPr="00BE4152" w:rsidRDefault="00643D60" w:rsidP="00A03144">
            <w:pPr>
              <w:pStyle w:val="Tabela-tekst"/>
              <w:rPr>
                <w:color w:val="000000"/>
              </w:rPr>
            </w:pPr>
            <w:r>
              <w:t>Łyny i Węgorapy</w:t>
            </w:r>
          </w:p>
        </w:tc>
        <w:tc>
          <w:tcPr>
            <w:tcW w:w="708" w:type="dxa"/>
            <w:tcBorders>
              <w:top w:val="nil"/>
              <w:left w:val="nil"/>
              <w:bottom w:val="single" w:sz="4" w:space="0" w:color="2F75B5"/>
              <w:right w:val="single" w:sz="4" w:space="0" w:color="2F75B5"/>
            </w:tcBorders>
            <w:shd w:val="clear" w:color="auto" w:fill="auto"/>
            <w:noWrap/>
            <w:vAlign w:val="center"/>
            <w:hideMark/>
          </w:tcPr>
          <w:p w14:paraId="19A23826" w14:textId="77777777" w:rsidR="00643D60" w:rsidRPr="00BE4152" w:rsidRDefault="00643D60" w:rsidP="003110FC">
            <w:pPr>
              <w:pStyle w:val="Tabela-tekst"/>
              <w:jc w:val="center"/>
              <w:rPr>
                <w:color w:val="000000"/>
              </w:rPr>
            </w:pPr>
            <w:r>
              <w:t>82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F50C272" w14:textId="77777777" w:rsidR="00643D60" w:rsidRPr="00BE4152" w:rsidRDefault="00643D60" w:rsidP="003110FC">
            <w:pPr>
              <w:pStyle w:val="Tabela-tekst"/>
              <w:jc w:val="center"/>
              <w:rPr>
                <w:color w:val="000000"/>
              </w:rPr>
            </w:pPr>
            <w:r>
              <w:t>77</w:t>
            </w:r>
          </w:p>
        </w:tc>
        <w:tc>
          <w:tcPr>
            <w:tcW w:w="1276" w:type="dxa"/>
            <w:tcBorders>
              <w:top w:val="nil"/>
              <w:left w:val="nil"/>
              <w:bottom w:val="single" w:sz="4" w:space="0" w:color="auto"/>
              <w:right w:val="single" w:sz="4" w:space="0" w:color="auto"/>
            </w:tcBorders>
            <w:shd w:val="clear" w:color="auto" w:fill="auto"/>
            <w:noWrap/>
            <w:vAlign w:val="center"/>
            <w:hideMark/>
          </w:tcPr>
          <w:p w14:paraId="58409BE7" w14:textId="7685F863" w:rsidR="00643D60" w:rsidRPr="00BE4152" w:rsidRDefault="00643D60" w:rsidP="003110FC">
            <w:pPr>
              <w:pStyle w:val="Tabela-tekst"/>
              <w:jc w:val="center"/>
              <w:rPr>
                <w:color w:val="000000"/>
              </w:rPr>
            </w:pPr>
            <w:r>
              <w:t>94</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41A9DCF0" w14:textId="77777777" w:rsidR="00643D60" w:rsidRPr="0051573E" w:rsidRDefault="00643D60" w:rsidP="003110FC">
            <w:pPr>
              <w:pStyle w:val="Tabela-tekst"/>
              <w:jc w:val="center"/>
              <w:rPr>
                <w:rFonts w:cs="Calibri"/>
                <w:color w:val="000000"/>
              </w:rPr>
            </w:pPr>
            <w:r w:rsidRPr="0051573E">
              <w:rPr>
                <w:rFonts w:cs="Calibri"/>
              </w:rPr>
              <w:t>40</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2C8DABDF" w14:textId="480F3D60" w:rsidR="00643D60" w:rsidRPr="0051573E" w:rsidRDefault="00643D60" w:rsidP="003110FC">
            <w:pPr>
              <w:pStyle w:val="Tabela-tekst"/>
              <w:jc w:val="center"/>
              <w:rPr>
                <w:rFonts w:cs="Calibri"/>
                <w:color w:val="000000"/>
              </w:rPr>
            </w:pPr>
            <w:r w:rsidRPr="0051573E">
              <w:rPr>
                <w:rFonts w:cs="Calibri"/>
              </w:rPr>
              <w:t>51,2</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520744D4" w14:textId="77777777" w:rsidR="00643D60" w:rsidRPr="00BE4152" w:rsidRDefault="00643D60" w:rsidP="003110FC">
            <w:pPr>
              <w:pStyle w:val="Tabela-tekst"/>
              <w:jc w:val="center"/>
              <w:rPr>
                <w:color w:val="000000"/>
              </w:rPr>
            </w:pPr>
            <w:r w:rsidRPr="00901C63">
              <w:rPr>
                <w:rFonts w:cs="Calibri"/>
              </w:rPr>
              <w:t>4</w:t>
            </w:r>
            <w:r>
              <w:rPr>
                <w:rFonts w:cs="Calibri"/>
                <w:color w:val="000000"/>
              </w:rPr>
              <w:t>9</w:t>
            </w:r>
          </w:p>
        </w:tc>
        <w:tc>
          <w:tcPr>
            <w:tcW w:w="992" w:type="dxa"/>
            <w:tcBorders>
              <w:top w:val="nil"/>
              <w:left w:val="nil"/>
              <w:bottom w:val="single" w:sz="4" w:space="0" w:color="auto"/>
              <w:right w:val="single" w:sz="4" w:space="0" w:color="auto"/>
            </w:tcBorders>
            <w:shd w:val="clear" w:color="auto" w:fill="auto"/>
            <w:vAlign w:val="center"/>
            <w:hideMark/>
          </w:tcPr>
          <w:p w14:paraId="7BE86968" w14:textId="0BB25469" w:rsidR="00643D60" w:rsidRPr="00BE4152" w:rsidRDefault="00643D60" w:rsidP="003110FC">
            <w:pPr>
              <w:pStyle w:val="Tabela-tekst"/>
              <w:jc w:val="center"/>
              <w:rPr>
                <w:color w:val="000000"/>
              </w:rPr>
            </w:pPr>
            <w:r>
              <w:rPr>
                <w:rFonts w:cs="Calibri"/>
              </w:rPr>
              <w:t>40,2</w:t>
            </w:r>
          </w:p>
        </w:tc>
      </w:tr>
    </w:tbl>
    <w:p w14:paraId="6598CAFC" w14:textId="1AE1C0E1" w:rsidR="00643D60" w:rsidRPr="00A30664" w:rsidRDefault="00643D60" w:rsidP="00643D60">
      <w:pPr>
        <w:shd w:val="clear" w:color="auto" w:fill="FFFFFF" w:themeFill="background1"/>
        <w:tabs>
          <w:tab w:val="left" w:pos="142"/>
        </w:tabs>
        <w:suppressAutoHyphens/>
        <w:spacing w:before="0" w:after="0"/>
        <w:rPr>
          <w:sz w:val="16"/>
          <w:szCs w:val="16"/>
        </w:rPr>
      </w:pPr>
      <w:bookmarkStart w:id="86" w:name="_Hlk66012203"/>
      <w:bookmarkEnd w:id="85"/>
      <w:r w:rsidRPr="00590403">
        <w:rPr>
          <w:vertAlign w:val="superscript"/>
        </w:rPr>
        <w:t>1</w:t>
      </w:r>
      <w:r>
        <w:rPr>
          <w:vertAlign w:val="superscript"/>
        </w:rPr>
        <w:t>)</w:t>
      </w:r>
      <w:r w:rsidRPr="00A30664">
        <w:rPr>
          <w:sz w:val="16"/>
          <w:szCs w:val="16"/>
        </w:rPr>
        <w:t xml:space="preserve">jcwp zagrożone </w:t>
      </w:r>
      <w:r w:rsidR="00442AB7">
        <w:rPr>
          <w:sz w:val="16"/>
          <w:szCs w:val="16"/>
        </w:rPr>
        <w:t>-</w:t>
      </w:r>
      <w:r w:rsidRPr="00A30664">
        <w:rPr>
          <w:sz w:val="16"/>
          <w:szCs w:val="16"/>
        </w:rPr>
        <w:t xml:space="preserve"> jcwp zagrożone nieosiągnięciem celów środowiskowych</w:t>
      </w:r>
    </w:p>
    <w:p w14:paraId="31B01EC8" w14:textId="77777777" w:rsidR="00643D60" w:rsidRPr="00BE4152" w:rsidRDefault="00643D60" w:rsidP="00643D60">
      <w:pPr>
        <w:shd w:val="clear" w:color="auto" w:fill="FFFFFF" w:themeFill="background1"/>
        <w:suppressAutoHyphens/>
        <w:spacing w:before="0" w:after="0"/>
      </w:pPr>
      <w:r w:rsidRPr="00C52D6E">
        <w:rPr>
          <w:vertAlign w:val="superscript"/>
        </w:rPr>
        <w:t>2)</w:t>
      </w:r>
      <w:r w:rsidRPr="00C52D6E">
        <w:rPr>
          <w:i/>
          <w:sz w:val="16"/>
          <w:szCs w:val="16"/>
        </w:rPr>
        <w:t xml:space="preserve"> Ocena</w:t>
      </w:r>
      <w:r w:rsidRPr="00C52D6E">
        <w:rPr>
          <w:i/>
          <w:iCs/>
          <w:sz w:val="16"/>
          <w:szCs w:val="16"/>
        </w:rPr>
        <w:t xml:space="preserve"> stanu na podstawie oceny 2014-2019 (GIOŚ) zgodnie z r.kl.jcwp wg klasyfikacji obowiązującej do 01.2022 r. przeniesiona na nowy układ planistyczny. Wartość wskazuje liczbę jcwp RW (spośród sklasyfikowanych w układzie planistycznym aPGW), dla których możliwe było przeniesienie oceny na aktualny układ planistyczny IIaPGW,</w:t>
      </w:r>
    </w:p>
    <w:p w14:paraId="4C99B473" w14:textId="66B3B90E" w:rsidR="00643D60" w:rsidRPr="00BE4152" w:rsidRDefault="00643D60" w:rsidP="00643D60">
      <w:pPr>
        <w:suppressAutoHyphens/>
        <w:spacing w:before="0" w:after="0"/>
      </w:pPr>
      <w:r w:rsidRPr="00F4234E">
        <w:rPr>
          <w:vertAlign w:val="superscript"/>
        </w:rPr>
        <w:t>3</w:t>
      </w:r>
      <w:r>
        <w:rPr>
          <w:vertAlign w:val="superscript"/>
        </w:rPr>
        <w:t>)</w:t>
      </w:r>
      <w:r w:rsidRPr="00BE4152">
        <w:rPr>
          <w:i/>
          <w:iCs/>
          <w:sz w:val="16"/>
          <w:szCs w:val="16"/>
        </w:rPr>
        <w:t xml:space="preserve">Ocena </w:t>
      </w:r>
      <w:r>
        <w:rPr>
          <w:i/>
          <w:iCs/>
          <w:sz w:val="16"/>
          <w:szCs w:val="16"/>
        </w:rPr>
        <w:t xml:space="preserve">stanu na podstawie oceny 2014-2019 (GIOŚ) przeliczona zgodnie z r.kl.jcwp wg klasyfikacji obowiązującej od 01.2022 r. oraz </w:t>
      </w:r>
      <w:r w:rsidRPr="00BE4152">
        <w:rPr>
          <w:i/>
          <w:iCs/>
          <w:sz w:val="16"/>
          <w:szCs w:val="16"/>
        </w:rPr>
        <w:t xml:space="preserve">przy wykorzystaniu wyników Analizy znaczących oddziaływań </w:t>
      </w:r>
      <w:r w:rsidR="00442AB7">
        <w:rPr>
          <w:i/>
          <w:iCs/>
          <w:sz w:val="16"/>
          <w:szCs w:val="16"/>
        </w:rPr>
        <w:t>-</w:t>
      </w:r>
      <w:r w:rsidRPr="00BE4152">
        <w:rPr>
          <w:i/>
          <w:iCs/>
          <w:sz w:val="16"/>
          <w:szCs w:val="16"/>
        </w:rPr>
        <w:t xml:space="preserve"> jcwp (…) dla jcwp niemonitorowanych</w:t>
      </w:r>
      <w:r>
        <w:rPr>
          <w:i/>
          <w:iCs/>
          <w:sz w:val="16"/>
          <w:szCs w:val="16"/>
        </w:rPr>
        <w:t>,</w:t>
      </w:r>
      <w:r w:rsidRPr="00BE4152">
        <w:rPr>
          <w:i/>
          <w:iCs/>
          <w:sz w:val="16"/>
          <w:szCs w:val="16"/>
        </w:rPr>
        <w:t xml:space="preserve"> dla których nie dokonano oceny stanu 2014-2019 (PMŚ), jest traktowana jako poglądowa, podlegająca weryfikacji w oparciu o nowe badania stanu wód, zrealizowane zgodnie z metodykami PMŚ, normami </w:t>
      </w:r>
      <w:r>
        <w:rPr>
          <w:i/>
          <w:iCs/>
          <w:sz w:val="16"/>
          <w:szCs w:val="16"/>
        </w:rPr>
        <w:t>oraz</w:t>
      </w:r>
      <w:r w:rsidRPr="00BE4152">
        <w:rPr>
          <w:i/>
          <w:iCs/>
          <w:sz w:val="16"/>
          <w:szCs w:val="16"/>
        </w:rPr>
        <w:t xml:space="preserve"> przepisami w trakcie obowiązywania IIaPGW i akceptacji organu odpowiedzialnego za prowadzenie PMŚ</w:t>
      </w:r>
      <w:r>
        <w:rPr>
          <w:i/>
          <w:iCs/>
          <w:sz w:val="16"/>
          <w:szCs w:val="16"/>
        </w:rPr>
        <w:t>.</w:t>
      </w:r>
    </w:p>
    <w:p w14:paraId="3FAC78CB" w14:textId="2087D696" w:rsidR="00643D60" w:rsidRPr="00BE4152" w:rsidRDefault="00643D60" w:rsidP="003D372B">
      <w:pPr>
        <w:pStyle w:val="rdo0"/>
        <w:rPr>
          <w:i w:val="0"/>
          <w:color w:val="000099"/>
          <w:sz w:val="20"/>
          <w:szCs w:val="20"/>
        </w:rPr>
      </w:pPr>
      <w:r w:rsidRPr="00BE4152">
        <w:t xml:space="preserve">Źródło: opracowanie </w:t>
      </w:r>
      <w:r w:rsidR="005B3051">
        <w:t xml:space="preserve">własne </w:t>
      </w:r>
      <w:r w:rsidRPr="00BE4152">
        <w:t xml:space="preserve"> na podstawie danych GIOŚ oraz wyników</w:t>
      </w:r>
      <w:r w:rsidRPr="00BE4152">
        <w:br/>
        <w:t xml:space="preserve"> Analizy znaczących oddziaływań </w:t>
      </w:r>
      <w:r w:rsidR="00442AB7">
        <w:t>-</w:t>
      </w:r>
      <w:r w:rsidRPr="00BE4152">
        <w:t xml:space="preserve"> jcwp (…)</w:t>
      </w:r>
    </w:p>
    <w:bookmarkEnd w:id="86"/>
    <w:p w14:paraId="54819974" w14:textId="77777777" w:rsidR="00643D60" w:rsidRPr="00BC2D1E" w:rsidRDefault="00643D60" w:rsidP="00643D60">
      <w:pPr>
        <w:suppressAutoHyphens/>
        <w:spacing w:before="0" w:after="0"/>
        <w:jc w:val="center"/>
        <w:rPr>
          <w:i/>
          <w:iCs/>
          <w:color w:val="000099"/>
          <w:sz w:val="20"/>
          <w:szCs w:val="20"/>
          <w:highlight w:val="yellow"/>
        </w:rPr>
      </w:pPr>
      <w:r>
        <w:rPr>
          <w:noProof/>
        </w:rPr>
        <w:drawing>
          <wp:inline distT="0" distB="0" distL="0" distR="0" wp14:anchorId="177AE9D4" wp14:editId="67448CC3">
            <wp:extent cx="4545330" cy="2857500"/>
            <wp:effectExtent l="0" t="0" r="7620" b="0"/>
            <wp:docPr id="12" name="Wykres 12">
              <a:extLst xmlns:a="http://schemas.openxmlformats.org/drawingml/2006/main">
                <a:ext uri="{FF2B5EF4-FFF2-40B4-BE49-F238E27FC236}">
                  <a16:creationId xmlns:a16="http://schemas.microsoft.com/office/drawing/2014/main" id="{A4C13D1D-CD54-4C6C-9696-5CF471A24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AE8E9A2" w14:textId="72FD609C" w:rsidR="00643D60" w:rsidRPr="006401D3" w:rsidRDefault="00643D60" w:rsidP="006802BB">
      <w:pPr>
        <w:pStyle w:val="Wykres"/>
      </w:pPr>
      <w:bookmarkStart w:id="87" w:name="_Toc68727089"/>
      <w:r w:rsidRPr="006401D3">
        <w:t xml:space="preserve">Wykres </w:t>
      </w:r>
      <w:fldSimple w:instr=" STYLEREF 1 \s ">
        <w:r w:rsidR="00EF3FD3">
          <w:rPr>
            <w:noProof/>
          </w:rPr>
          <w:t>5</w:t>
        </w:r>
      </w:fldSimple>
      <w:r w:rsidR="00EF3FD3">
        <w:noBreakHyphen/>
      </w:r>
      <w:fldSimple w:instr=" SEQ Wykres \* ARABIC \s 1 ">
        <w:r w:rsidR="00EF3FD3">
          <w:rPr>
            <w:noProof/>
          </w:rPr>
          <w:t>3</w:t>
        </w:r>
      </w:fldSimple>
      <w:r w:rsidRPr="006401D3">
        <w:tab/>
        <w:t xml:space="preserve">Udział jcwp RW z oceną stanu w ogólnej liczbie jcwp RW na obszarze dorzecza Pregoły </w:t>
      </w:r>
      <w:r w:rsidR="00442AB7">
        <w:t>-</w:t>
      </w:r>
      <w:r w:rsidRPr="006401D3">
        <w:t xml:space="preserve"> ocena stanu zgodnie z r.kl.jcwp do 2022 r.</w:t>
      </w:r>
      <w:bookmarkEnd w:id="87"/>
    </w:p>
    <w:p w14:paraId="2457B44F" w14:textId="011C4A95" w:rsidR="00643D60" w:rsidRDefault="00643D60" w:rsidP="00442AB7">
      <w:pPr>
        <w:pStyle w:val="rdo0"/>
        <w:rPr>
          <w:i w:val="0"/>
          <w:color w:val="000099"/>
          <w:sz w:val="20"/>
          <w:szCs w:val="20"/>
        </w:rPr>
      </w:pPr>
      <w:r w:rsidRPr="006401D3">
        <w:t xml:space="preserve">Źródło: opracowanie </w:t>
      </w:r>
      <w:r w:rsidR="005B3051">
        <w:t>własne</w:t>
      </w:r>
      <w:r w:rsidRPr="006401D3">
        <w:t xml:space="preserve"> na podstawie danych GIOŚ</w:t>
      </w:r>
    </w:p>
    <w:p w14:paraId="53AD06FA" w14:textId="77777777" w:rsidR="00643D60" w:rsidRPr="00BC2D1E" w:rsidRDefault="00643D60" w:rsidP="00643D60">
      <w:pPr>
        <w:suppressAutoHyphens/>
        <w:spacing w:before="0" w:after="0"/>
        <w:jc w:val="center"/>
        <w:rPr>
          <w:i/>
          <w:iCs/>
          <w:color w:val="000099"/>
          <w:sz w:val="20"/>
          <w:szCs w:val="20"/>
          <w:highlight w:val="yellow"/>
        </w:rPr>
      </w:pPr>
      <w:r>
        <w:rPr>
          <w:noProof/>
        </w:rPr>
        <w:drawing>
          <wp:inline distT="0" distB="0" distL="0" distR="0" wp14:anchorId="1B211F7B" wp14:editId="4BD91617">
            <wp:extent cx="4545330" cy="2857500"/>
            <wp:effectExtent l="0" t="0" r="7620" b="0"/>
            <wp:docPr id="13" name="Chart 7">
              <a:extLst xmlns:a="http://schemas.openxmlformats.org/drawingml/2006/main">
                <a:ext uri="{FF2B5EF4-FFF2-40B4-BE49-F238E27FC236}">
                  <a16:creationId xmlns:a16="http://schemas.microsoft.com/office/drawing/2014/main" id="{CF1A21B6-ECE6-4AF3-8F3B-BDBA2BA9F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F17B37" w14:textId="32DC5435" w:rsidR="00643D60" w:rsidRPr="006401D3" w:rsidRDefault="00643D60" w:rsidP="006802BB">
      <w:pPr>
        <w:pStyle w:val="Wykres"/>
      </w:pPr>
      <w:bookmarkStart w:id="88" w:name="_Toc68727090"/>
      <w:r w:rsidRPr="006401D3">
        <w:t xml:space="preserve">Wykres </w:t>
      </w:r>
      <w:fldSimple w:instr=" STYLEREF 1 \s ">
        <w:r w:rsidR="00EF3FD3">
          <w:rPr>
            <w:noProof/>
          </w:rPr>
          <w:t>5</w:t>
        </w:r>
      </w:fldSimple>
      <w:r w:rsidR="00EF3FD3">
        <w:noBreakHyphen/>
      </w:r>
      <w:fldSimple w:instr=" SEQ Wykres \* ARABIC \s 1 ">
        <w:r w:rsidR="00EF3FD3">
          <w:rPr>
            <w:noProof/>
          </w:rPr>
          <w:t>4</w:t>
        </w:r>
      </w:fldSimple>
      <w:r w:rsidRPr="006401D3">
        <w:tab/>
        <w:t xml:space="preserve">Udział jcwp RW z oceną stanu w ogólnej liczbie jcwp RW na obszarze dorzecza Pregoły </w:t>
      </w:r>
      <w:r w:rsidR="00442AB7">
        <w:t>-</w:t>
      </w:r>
      <w:r w:rsidRPr="006401D3">
        <w:t xml:space="preserve"> ocena stanu zgodnie z r.kl.jcwp od 2022 r.</w:t>
      </w:r>
      <w:bookmarkEnd w:id="88"/>
    </w:p>
    <w:p w14:paraId="5E10B104" w14:textId="4C9069AC" w:rsidR="00643D60" w:rsidRPr="006401D3" w:rsidRDefault="00643D60" w:rsidP="00442AB7">
      <w:pPr>
        <w:pStyle w:val="rdo0"/>
        <w:rPr>
          <w:i w:val="0"/>
          <w:color w:val="000099"/>
          <w:sz w:val="20"/>
          <w:szCs w:val="20"/>
        </w:rPr>
      </w:pPr>
      <w:r w:rsidRPr="006401D3">
        <w:t xml:space="preserve">Źródło: opracowanie </w:t>
      </w:r>
      <w:r w:rsidR="005B3051">
        <w:t>własne</w:t>
      </w:r>
      <w:r w:rsidRPr="006401D3">
        <w:t xml:space="preserve"> na podstawie danych GIOŚ oraz wyników </w:t>
      </w:r>
      <w:r w:rsidRPr="006401D3">
        <w:br/>
        <w:t xml:space="preserve">Analizy znaczących oddziaływań </w:t>
      </w:r>
      <w:r w:rsidR="00442AB7">
        <w:t>-</w:t>
      </w:r>
      <w:r w:rsidRPr="006401D3">
        <w:t xml:space="preserve"> jcwp (…)</w:t>
      </w:r>
    </w:p>
    <w:p w14:paraId="4163BD98" w14:textId="6CF2D726" w:rsidR="00643D60" w:rsidRPr="00D20D1F" w:rsidRDefault="00643D60" w:rsidP="00643D60">
      <w:pPr>
        <w:suppressAutoHyphens/>
      </w:pPr>
      <w:r w:rsidRPr="00022454">
        <w:t xml:space="preserve">Z uwagi na przyjęty sposób prezentacji danych dotyczących oceny stanu jcwp ze wskazaniem również ocen stanu uzyskanych przy uwzględnieniu zapisów r.kl.jcwp obowiązujących od 2022 roku, poniżej </w:t>
      </w:r>
      <w:r w:rsidR="00AB6E72">
        <w:t xml:space="preserve">(tabela 5-13) </w:t>
      </w:r>
      <w:r w:rsidRPr="00022454">
        <w:t>zaprezentowane zostały podsumowania dotyczące ocen stanu bądź potencjału ekologicznego, ocen stanu chemicznego a w efekcie ocen stanu jcwp również przy wyróżnieniu dwóch okresów wskazanych w r.kl.jcwp. Wartości wskazane jako ocena zgodnie z r.kl.jcwp od 2022 r. traktowana jest poglądowo, dla zapewnienia możliwości odniesienia się do klasyfikacji stosowanej w</w:t>
      </w:r>
      <w:r w:rsidR="003110FC">
        <w:t> </w:t>
      </w:r>
      <w:r w:rsidRPr="00022454">
        <w:t>cyklu planistycznym IIaPGW.</w:t>
      </w:r>
    </w:p>
    <w:p w14:paraId="2A6D5393" w14:textId="77777777" w:rsidR="00643D60" w:rsidRPr="00C52D6E" w:rsidRDefault="00643D60" w:rsidP="00643D60">
      <w:pPr>
        <w:shd w:val="clear" w:color="auto" w:fill="FFFFFF" w:themeFill="background1"/>
        <w:suppressAutoHyphens/>
        <w:spacing w:before="0" w:after="0"/>
      </w:pPr>
      <w:r w:rsidRPr="00C52D6E">
        <w:t>Spośród wszystkich jcwp RW obszaru dorzecza Pregoły ocenę stanu bądź potencjału ekologicznego przeniesiono na nowy układ planistyczny dla ok. 50% jcwp RW (ocena stanu 2014-2019 GIOŚ wg r.kl.jcwp do 2022 r.), natomiast przy uwzględnieniu klasyfikacji zgodnie z r.kl.jcwp od 2022 roku oraz wyników analiz eksperckich liczba jcwp z uzyskaną poglądową oceną stanu bądź potencjału ekologicznego wynosi ok. 54% jcwp RW w obszarze dorzecza Pregoły.</w:t>
      </w:r>
    </w:p>
    <w:p w14:paraId="3F2C02B2" w14:textId="77777777" w:rsidR="00643D60" w:rsidRPr="00C52D6E" w:rsidRDefault="00643D60" w:rsidP="00643D60">
      <w:pPr>
        <w:pStyle w:val="Akapitzlist2"/>
        <w:shd w:val="clear" w:color="auto" w:fill="FFFFFF" w:themeFill="background1"/>
        <w:spacing w:before="120" w:after="120" w:line="240" w:lineRule="auto"/>
        <w:ind w:left="0"/>
        <w:jc w:val="both"/>
      </w:pPr>
      <w:r w:rsidRPr="00C52D6E">
        <w:t xml:space="preserve">W przypadku stanu chemicznego, spośród wszystkich jcwp RW obszaru dorzecza Pregoły ocena stanu chemicznego wykonana została dla ok. 32% jcwp RW (ocena stanu 2014-2019 GIOŚ wg r.kl.jcwp do 2022 r.), natomiast przy uwzględnieniu klasyfikacji zgodnie z r.kl.jcwp od 2022 roku oraz wyników analiz eksperckich liczba jcwp z uzyskaną poglądową oceną stanu chemicznego wynosi ok. 51% jcwp RW w obszarze dorzecza Pregoły. </w:t>
      </w:r>
    </w:p>
    <w:p w14:paraId="16704DC5" w14:textId="77777777" w:rsidR="00643D60" w:rsidRPr="00102553" w:rsidRDefault="00643D60" w:rsidP="00643D60">
      <w:pPr>
        <w:pStyle w:val="Akapitzlist2"/>
        <w:shd w:val="clear" w:color="auto" w:fill="FFFFFF" w:themeFill="background1"/>
        <w:spacing w:before="120" w:after="120" w:line="240" w:lineRule="auto"/>
        <w:ind w:left="0"/>
        <w:jc w:val="both"/>
      </w:pPr>
      <w:r w:rsidRPr="00C52D6E">
        <w:t>Ocenę stanu wód przeniesiono na nowy układ planistyczny dla 49% jcwp RW spośród wszystkich jcwp RW obszaru dorzecza Pregoły (ocena stanu 2014-2019 GIOŚ wg r.kl.jcwp do 2022 r.), przy uwzględnieniu klasyfikacji zgodnie z r.kl.jcwp od 2022 roku oraz wyników analiz eksperckich liczba jcwp z uzyskaną poglądową oceną stanu wynosi również ok. 49% jcwp RW w obszarze dorzecza Pregoły.</w:t>
      </w:r>
    </w:p>
    <w:p w14:paraId="6D642FA4" w14:textId="5C779CA2" w:rsidR="00643D60" w:rsidRPr="00D20D1F" w:rsidRDefault="00643D60" w:rsidP="006802BB">
      <w:pPr>
        <w:pStyle w:val="Tabela"/>
      </w:pPr>
      <w:bookmarkStart w:id="89" w:name="_Toc68726965"/>
      <w:r w:rsidRPr="00D20D1F">
        <w:t xml:space="preserve">Tabela </w:t>
      </w:r>
      <w:fldSimple w:instr=" STYLEREF 1 \s ">
        <w:r w:rsidR="007B4050">
          <w:rPr>
            <w:noProof/>
          </w:rPr>
          <w:t>5</w:t>
        </w:r>
      </w:fldSimple>
      <w:r w:rsidR="007B4050">
        <w:noBreakHyphen/>
      </w:r>
      <w:fldSimple w:instr=" SEQ Tabela \* ARABIC \s 1 ">
        <w:r w:rsidR="007B4050">
          <w:rPr>
            <w:noProof/>
          </w:rPr>
          <w:t>13</w:t>
        </w:r>
      </w:fldSimple>
      <w:r w:rsidRPr="00D20D1F">
        <w:tab/>
        <w:t>Podsumowanie oceny stanu jcwp RW - obszar dorzecza Pregoły</w:t>
      </w:r>
      <w:bookmarkEnd w:id="89"/>
    </w:p>
    <w:tbl>
      <w:tblPr>
        <w:tblStyle w:val="Tabela-Siatka"/>
        <w:tblW w:w="0" w:type="auto"/>
        <w:tblLook w:val="04A0" w:firstRow="1" w:lastRow="0" w:firstColumn="1" w:lastColumn="0" w:noHBand="0" w:noVBand="1"/>
      </w:tblPr>
      <w:tblGrid>
        <w:gridCol w:w="3261"/>
        <w:gridCol w:w="1417"/>
        <w:gridCol w:w="1418"/>
        <w:gridCol w:w="1417"/>
        <w:gridCol w:w="1554"/>
      </w:tblGrid>
      <w:tr w:rsidR="00643D60" w:rsidRPr="00D20D1F" w14:paraId="16957ECE" w14:textId="77777777" w:rsidTr="00526BCA">
        <w:trPr>
          <w:trHeight w:val="454"/>
          <w:tblHeader/>
        </w:trPr>
        <w:tc>
          <w:tcPr>
            <w:tcW w:w="3261" w:type="dxa"/>
            <w:vMerge w:val="restart"/>
            <w:tcBorders>
              <w:top w:val="nil"/>
              <w:left w:val="nil"/>
            </w:tcBorders>
            <w:vAlign w:val="center"/>
          </w:tcPr>
          <w:p w14:paraId="3784A5CF" w14:textId="77777777" w:rsidR="00643D60" w:rsidRPr="00D20D1F" w:rsidRDefault="00643D60" w:rsidP="00A03144">
            <w:pPr>
              <w:pStyle w:val="Tabela-tekst"/>
            </w:pPr>
          </w:p>
        </w:tc>
        <w:tc>
          <w:tcPr>
            <w:tcW w:w="1417" w:type="dxa"/>
            <w:shd w:val="clear" w:color="auto" w:fill="BFBFBF" w:themeFill="background1" w:themeFillShade="BF"/>
            <w:vAlign w:val="center"/>
          </w:tcPr>
          <w:p w14:paraId="76D9BA28" w14:textId="77777777" w:rsidR="00643D60" w:rsidRPr="00D20D1F" w:rsidRDefault="00643D60" w:rsidP="003110FC">
            <w:pPr>
              <w:pStyle w:val="Tabela-tekst"/>
              <w:jc w:val="center"/>
              <w:rPr>
                <w:b/>
                <w:bCs/>
                <w:color w:val="000000"/>
              </w:rPr>
            </w:pPr>
            <w:r w:rsidRPr="00D20D1F">
              <w:rPr>
                <w:b/>
                <w:bCs/>
                <w:color w:val="000000"/>
              </w:rPr>
              <w:t xml:space="preserve">R.kl.jcwp </w:t>
            </w:r>
            <w:r w:rsidRPr="00D20D1F">
              <w:rPr>
                <w:b/>
                <w:bCs/>
                <w:color w:val="000000"/>
              </w:rPr>
              <w:br/>
              <w:t>do 2022 r.</w:t>
            </w:r>
          </w:p>
        </w:tc>
        <w:tc>
          <w:tcPr>
            <w:tcW w:w="4389" w:type="dxa"/>
            <w:gridSpan w:val="3"/>
            <w:shd w:val="clear" w:color="auto" w:fill="BFBFBF" w:themeFill="background1" w:themeFillShade="BF"/>
            <w:vAlign w:val="center"/>
          </w:tcPr>
          <w:p w14:paraId="19C78712" w14:textId="08496E1B" w:rsidR="00643D60" w:rsidRPr="00D20D1F" w:rsidRDefault="00643D60" w:rsidP="003110FC">
            <w:pPr>
              <w:pStyle w:val="Tabela-tekst"/>
              <w:jc w:val="center"/>
              <w:rPr>
                <w:b/>
                <w:bCs/>
              </w:rPr>
            </w:pPr>
            <w:r w:rsidRPr="00D20D1F">
              <w:rPr>
                <w:b/>
                <w:bCs/>
              </w:rPr>
              <w:t>R.kl.jcwp od 2022</w:t>
            </w:r>
            <w:r w:rsidR="00CF2625">
              <w:rPr>
                <w:b/>
                <w:bCs/>
              </w:rPr>
              <w:t xml:space="preserve"> r.</w:t>
            </w:r>
          </w:p>
        </w:tc>
      </w:tr>
      <w:tr w:rsidR="00643D60" w:rsidRPr="00BC2D1E" w14:paraId="437AF6A2" w14:textId="77777777" w:rsidTr="00526BCA">
        <w:trPr>
          <w:trHeight w:val="454"/>
          <w:tblHeader/>
        </w:trPr>
        <w:tc>
          <w:tcPr>
            <w:tcW w:w="3261" w:type="dxa"/>
            <w:vMerge/>
            <w:tcBorders>
              <w:left w:val="nil"/>
            </w:tcBorders>
            <w:vAlign w:val="center"/>
          </w:tcPr>
          <w:p w14:paraId="002E6055" w14:textId="77777777" w:rsidR="00643D60" w:rsidRPr="00D20D1F" w:rsidRDefault="00643D60" w:rsidP="00A03144">
            <w:pPr>
              <w:pStyle w:val="Tabela-tekst"/>
            </w:pPr>
          </w:p>
        </w:tc>
        <w:tc>
          <w:tcPr>
            <w:tcW w:w="1417" w:type="dxa"/>
            <w:shd w:val="clear" w:color="auto" w:fill="BFBFBF" w:themeFill="background1" w:themeFillShade="BF"/>
            <w:vAlign w:val="center"/>
          </w:tcPr>
          <w:p w14:paraId="0E3258E6" w14:textId="77777777" w:rsidR="00643D60" w:rsidRPr="00526BCA" w:rsidRDefault="00643D60" w:rsidP="003110FC">
            <w:pPr>
              <w:pStyle w:val="Tabela-tekst"/>
              <w:jc w:val="center"/>
              <w:rPr>
                <w:b/>
                <w:bCs/>
              </w:rPr>
            </w:pPr>
            <w:r w:rsidRPr="00526BCA">
              <w:rPr>
                <w:b/>
                <w:bCs/>
                <w:color w:val="000000"/>
              </w:rPr>
              <w:t>Liczba jcwp z oceną stanu (PMŚ)</w:t>
            </w:r>
            <w:r w:rsidRPr="00526BCA">
              <w:rPr>
                <w:b/>
                <w:bCs/>
                <w:color w:val="000000"/>
                <w:vertAlign w:val="superscript"/>
              </w:rPr>
              <w:t>1</w:t>
            </w:r>
          </w:p>
        </w:tc>
        <w:tc>
          <w:tcPr>
            <w:tcW w:w="1418" w:type="dxa"/>
            <w:shd w:val="clear" w:color="auto" w:fill="BFBFBF" w:themeFill="background1" w:themeFillShade="BF"/>
            <w:vAlign w:val="center"/>
          </w:tcPr>
          <w:p w14:paraId="3C8935FD" w14:textId="77777777" w:rsidR="00643D60" w:rsidRPr="00526BCA" w:rsidRDefault="00643D60" w:rsidP="003110FC">
            <w:pPr>
              <w:pStyle w:val="Tabela-tekst"/>
              <w:jc w:val="center"/>
              <w:rPr>
                <w:b/>
                <w:bCs/>
              </w:rPr>
            </w:pPr>
            <w:r w:rsidRPr="00526BCA">
              <w:rPr>
                <w:b/>
                <w:bCs/>
                <w:color w:val="000000"/>
              </w:rPr>
              <w:t xml:space="preserve">Liczba jcwp z oceną </w:t>
            </w:r>
            <w:r w:rsidRPr="00526BCA">
              <w:rPr>
                <w:b/>
                <w:bCs/>
              </w:rPr>
              <w:t>stanu ogółem</w:t>
            </w:r>
          </w:p>
        </w:tc>
        <w:tc>
          <w:tcPr>
            <w:tcW w:w="1417" w:type="dxa"/>
            <w:shd w:val="clear" w:color="auto" w:fill="BFBFBF" w:themeFill="background1" w:themeFillShade="BF"/>
            <w:vAlign w:val="center"/>
          </w:tcPr>
          <w:p w14:paraId="76E90939" w14:textId="77777777" w:rsidR="00643D60" w:rsidRPr="00526BCA" w:rsidRDefault="00643D60" w:rsidP="003110FC">
            <w:pPr>
              <w:pStyle w:val="Tabela-tekst"/>
              <w:jc w:val="center"/>
              <w:rPr>
                <w:b/>
                <w:bCs/>
                <w:vertAlign w:val="superscript"/>
              </w:rPr>
            </w:pPr>
            <w:r w:rsidRPr="00526BCA">
              <w:rPr>
                <w:b/>
                <w:bCs/>
                <w:color w:val="000000"/>
              </w:rPr>
              <w:t>Liczba jcwp z oceną stanu (PMŚ)</w:t>
            </w:r>
            <w:r w:rsidRPr="00526BCA">
              <w:rPr>
                <w:b/>
                <w:bCs/>
                <w:color w:val="000000"/>
                <w:vertAlign w:val="superscript"/>
              </w:rPr>
              <w:t>2</w:t>
            </w:r>
          </w:p>
        </w:tc>
        <w:tc>
          <w:tcPr>
            <w:tcW w:w="1554" w:type="dxa"/>
            <w:shd w:val="clear" w:color="auto" w:fill="BFBFBF" w:themeFill="background1" w:themeFillShade="BF"/>
            <w:vAlign w:val="center"/>
          </w:tcPr>
          <w:p w14:paraId="6513CBB6" w14:textId="77777777" w:rsidR="00643D60" w:rsidRPr="00526BCA" w:rsidRDefault="00643D60" w:rsidP="003110FC">
            <w:pPr>
              <w:pStyle w:val="Tabela-tekst"/>
              <w:jc w:val="center"/>
              <w:rPr>
                <w:b/>
                <w:bCs/>
                <w:vertAlign w:val="superscript"/>
              </w:rPr>
            </w:pPr>
            <w:r w:rsidRPr="00526BCA">
              <w:rPr>
                <w:b/>
                <w:bCs/>
                <w:color w:val="000000"/>
              </w:rPr>
              <w:t>Liczba jcwp z oceną stanu (EKSP)</w:t>
            </w:r>
            <w:r w:rsidRPr="00526BCA">
              <w:rPr>
                <w:b/>
                <w:bCs/>
                <w:color w:val="000000"/>
                <w:vertAlign w:val="superscript"/>
              </w:rPr>
              <w:t>3</w:t>
            </w:r>
          </w:p>
        </w:tc>
      </w:tr>
      <w:tr w:rsidR="00643D60" w:rsidRPr="00BC2D1E" w14:paraId="16E2EEDA" w14:textId="77777777" w:rsidTr="00A03144">
        <w:trPr>
          <w:trHeight w:val="454"/>
        </w:trPr>
        <w:tc>
          <w:tcPr>
            <w:tcW w:w="3261" w:type="dxa"/>
            <w:shd w:val="clear" w:color="auto" w:fill="D9D9D9" w:themeFill="background1" w:themeFillShade="D9"/>
            <w:vAlign w:val="center"/>
          </w:tcPr>
          <w:p w14:paraId="5F5485CF" w14:textId="77777777" w:rsidR="00643D60" w:rsidRPr="00D20D1F" w:rsidRDefault="00643D60" w:rsidP="00A03144">
            <w:pPr>
              <w:pStyle w:val="Tabela-tekst"/>
              <w:rPr>
                <w:b/>
                <w:bCs/>
              </w:rPr>
            </w:pPr>
            <w:r w:rsidRPr="00D20D1F">
              <w:rPr>
                <w:b/>
                <w:bCs/>
              </w:rPr>
              <w:t>Stan/potencjał ekologiczny</w:t>
            </w:r>
          </w:p>
        </w:tc>
        <w:tc>
          <w:tcPr>
            <w:tcW w:w="1417" w:type="dxa"/>
            <w:shd w:val="clear" w:color="auto" w:fill="D9D9D9" w:themeFill="background1" w:themeFillShade="D9"/>
            <w:vAlign w:val="center"/>
          </w:tcPr>
          <w:p w14:paraId="489E31B0" w14:textId="77777777" w:rsidR="00643D60" w:rsidRPr="00D20D1F" w:rsidRDefault="00643D60" w:rsidP="003110FC">
            <w:pPr>
              <w:pStyle w:val="Tabela-tekst"/>
              <w:jc w:val="center"/>
              <w:rPr>
                <w:b/>
                <w:bCs/>
              </w:rPr>
            </w:pPr>
            <w:r>
              <w:rPr>
                <w:b/>
                <w:bCs/>
              </w:rPr>
              <w:t>41</w:t>
            </w:r>
          </w:p>
        </w:tc>
        <w:tc>
          <w:tcPr>
            <w:tcW w:w="1418" w:type="dxa"/>
            <w:shd w:val="clear" w:color="auto" w:fill="D9D9D9" w:themeFill="background1" w:themeFillShade="D9"/>
            <w:vAlign w:val="center"/>
          </w:tcPr>
          <w:p w14:paraId="77E4FE75" w14:textId="77777777" w:rsidR="00643D60" w:rsidRPr="00D20D1F" w:rsidRDefault="00643D60" w:rsidP="003110FC">
            <w:pPr>
              <w:pStyle w:val="Tabela-tekst"/>
              <w:jc w:val="center"/>
              <w:rPr>
                <w:b/>
                <w:bCs/>
              </w:rPr>
            </w:pPr>
            <w:r>
              <w:rPr>
                <w:b/>
                <w:bCs/>
              </w:rPr>
              <w:t>44</w:t>
            </w:r>
          </w:p>
        </w:tc>
        <w:tc>
          <w:tcPr>
            <w:tcW w:w="1417" w:type="dxa"/>
            <w:shd w:val="clear" w:color="auto" w:fill="D9D9D9" w:themeFill="background1" w:themeFillShade="D9"/>
            <w:vAlign w:val="center"/>
          </w:tcPr>
          <w:p w14:paraId="2702C052" w14:textId="77777777" w:rsidR="00643D60" w:rsidRPr="00D20D1F" w:rsidRDefault="00643D60" w:rsidP="003110FC">
            <w:pPr>
              <w:pStyle w:val="Tabela-tekst"/>
              <w:jc w:val="center"/>
              <w:rPr>
                <w:b/>
                <w:bCs/>
              </w:rPr>
            </w:pPr>
            <w:r>
              <w:rPr>
                <w:b/>
                <w:bCs/>
              </w:rPr>
              <w:t>44</w:t>
            </w:r>
          </w:p>
        </w:tc>
        <w:tc>
          <w:tcPr>
            <w:tcW w:w="1554" w:type="dxa"/>
            <w:shd w:val="clear" w:color="auto" w:fill="D9D9D9" w:themeFill="background1" w:themeFillShade="D9"/>
            <w:vAlign w:val="center"/>
          </w:tcPr>
          <w:p w14:paraId="2F98E055" w14:textId="77777777" w:rsidR="00643D60" w:rsidRPr="00D20D1F" w:rsidRDefault="00643D60" w:rsidP="003110FC">
            <w:pPr>
              <w:pStyle w:val="Tabela-tekst"/>
              <w:jc w:val="center"/>
              <w:rPr>
                <w:b/>
                <w:bCs/>
              </w:rPr>
            </w:pPr>
            <w:r>
              <w:rPr>
                <w:b/>
                <w:bCs/>
              </w:rPr>
              <w:t>0</w:t>
            </w:r>
          </w:p>
        </w:tc>
      </w:tr>
      <w:tr w:rsidR="00643D60" w:rsidRPr="00BC2D1E" w14:paraId="2287D000" w14:textId="77777777" w:rsidTr="00A03144">
        <w:trPr>
          <w:trHeight w:val="454"/>
        </w:trPr>
        <w:tc>
          <w:tcPr>
            <w:tcW w:w="3261" w:type="dxa"/>
            <w:vAlign w:val="center"/>
          </w:tcPr>
          <w:p w14:paraId="1AF1F019" w14:textId="77777777" w:rsidR="00643D60" w:rsidRPr="00D20D1F" w:rsidRDefault="00643D60" w:rsidP="00A03144">
            <w:pPr>
              <w:pStyle w:val="Tabela-tekst"/>
            </w:pPr>
            <w:r w:rsidRPr="00D20D1F">
              <w:t xml:space="preserve">Bardzo dobry stan ekologiczny/ maksymalny potencjał </w:t>
            </w:r>
            <w:r w:rsidRPr="00D20D1F">
              <w:rPr>
                <w:shd w:val="clear" w:color="auto" w:fill="FFFFFF" w:themeFill="background1"/>
              </w:rPr>
              <w:t>ekologiczny</w:t>
            </w:r>
          </w:p>
        </w:tc>
        <w:tc>
          <w:tcPr>
            <w:tcW w:w="1417" w:type="dxa"/>
            <w:shd w:val="clear" w:color="auto" w:fill="F2F2F2" w:themeFill="background1" w:themeFillShade="F2"/>
            <w:vAlign w:val="center"/>
          </w:tcPr>
          <w:p w14:paraId="4E94ACD3" w14:textId="77777777" w:rsidR="00643D60" w:rsidRPr="00D20D1F" w:rsidRDefault="00643D60" w:rsidP="003110FC">
            <w:pPr>
              <w:pStyle w:val="Tabela-tekst"/>
              <w:jc w:val="center"/>
            </w:pPr>
            <w:r>
              <w:t>0</w:t>
            </w:r>
          </w:p>
        </w:tc>
        <w:tc>
          <w:tcPr>
            <w:tcW w:w="1418" w:type="dxa"/>
            <w:vAlign w:val="center"/>
          </w:tcPr>
          <w:p w14:paraId="38B6E7E7" w14:textId="77777777" w:rsidR="00643D60" w:rsidRPr="00D20D1F" w:rsidRDefault="00643D60" w:rsidP="003110FC">
            <w:pPr>
              <w:pStyle w:val="Tabela-tekst"/>
              <w:jc w:val="center"/>
            </w:pPr>
            <w:r w:rsidRPr="00D20D1F">
              <w:t>0</w:t>
            </w:r>
          </w:p>
        </w:tc>
        <w:tc>
          <w:tcPr>
            <w:tcW w:w="1417" w:type="dxa"/>
            <w:vAlign w:val="center"/>
          </w:tcPr>
          <w:p w14:paraId="5BEB6D2C" w14:textId="77777777" w:rsidR="00643D60" w:rsidRPr="00D20D1F" w:rsidRDefault="00643D60" w:rsidP="003110FC">
            <w:pPr>
              <w:pStyle w:val="Tabela-tekst"/>
              <w:jc w:val="center"/>
            </w:pPr>
            <w:r>
              <w:t>0</w:t>
            </w:r>
          </w:p>
        </w:tc>
        <w:tc>
          <w:tcPr>
            <w:tcW w:w="1554" w:type="dxa"/>
            <w:vAlign w:val="center"/>
          </w:tcPr>
          <w:p w14:paraId="71C80C2B" w14:textId="77777777" w:rsidR="00643D60" w:rsidRPr="00D20D1F" w:rsidRDefault="00643D60" w:rsidP="003110FC">
            <w:pPr>
              <w:pStyle w:val="Tabela-tekst"/>
              <w:jc w:val="center"/>
            </w:pPr>
            <w:r>
              <w:t>0</w:t>
            </w:r>
          </w:p>
        </w:tc>
      </w:tr>
      <w:tr w:rsidR="00643D60" w:rsidRPr="00BC2D1E" w14:paraId="664A5654" w14:textId="77777777" w:rsidTr="00A03144">
        <w:trPr>
          <w:trHeight w:val="454"/>
        </w:trPr>
        <w:tc>
          <w:tcPr>
            <w:tcW w:w="3261" w:type="dxa"/>
            <w:vAlign w:val="center"/>
          </w:tcPr>
          <w:p w14:paraId="4F434593" w14:textId="4ADE87A1" w:rsidR="00643D60" w:rsidRPr="00D20D1F" w:rsidRDefault="00643D60" w:rsidP="00A03144">
            <w:pPr>
              <w:pStyle w:val="Tabela-tekst"/>
            </w:pPr>
            <w:r w:rsidRPr="00D20D1F">
              <w:t xml:space="preserve">Dobry stan ekologiczny/ </w:t>
            </w:r>
            <w:r w:rsidR="0023643F">
              <w:t xml:space="preserve">dobry </w:t>
            </w:r>
            <w:r w:rsidRPr="00D20D1F">
              <w:t xml:space="preserve">potencjał </w:t>
            </w:r>
            <w:r w:rsidRPr="00D20D1F">
              <w:rPr>
                <w:shd w:val="clear" w:color="auto" w:fill="FFFFFF" w:themeFill="background1"/>
              </w:rPr>
              <w:t>ekologiczny</w:t>
            </w:r>
          </w:p>
        </w:tc>
        <w:tc>
          <w:tcPr>
            <w:tcW w:w="1417" w:type="dxa"/>
            <w:shd w:val="clear" w:color="auto" w:fill="F2F2F2" w:themeFill="background1" w:themeFillShade="F2"/>
            <w:vAlign w:val="center"/>
          </w:tcPr>
          <w:p w14:paraId="62D0ED5F" w14:textId="77777777" w:rsidR="00643D60" w:rsidRPr="00D20D1F" w:rsidRDefault="00643D60" w:rsidP="003110FC">
            <w:pPr>
              <w:pStyle w:val="Tabela-tekst"/>
              <w:jc w:val="center"/>
            </w:pPr>
            <w:r>
              <w:t>4</w:t>
            </w:r>
          </w:p>
        </w:tc>
        <w:tc>
          <w:tcPr>
            <w:tcW w:w="1418" w:type="dxa"/>
            <w:vAlign w:val="center"/>
          </w:tcPr>
          <w:p w14:paraId="042F2E9B" w14:textId="77777777" w:rsidR="00643D60" w:rsidRPr="00D20D1F" w:rsidRDefault="00643D60" w:rsidP="003110FC">
            <w:pPr>
              <w:pStyle w:val="Tabela-tekst"/>
              <w:jc w:val="center"/>
            </w:pPr>
            <w:r>
              <w:t>1</w:t>
            </w:r>
          </w:p>
        </w:tc>
        <w:tc>
          <w:tcPr>
            <w:tcW w:w="1417" w:type="dxa"/>
            <w:vAlign w:val="center"/>
          </w:tcPr>
          <w:p w14:paraId="211BA2AA" w14:textId="77777777" w:rsidR="00643D60" w:rsidRPr="00D20D1F" w:rsidRDefault="00643D60" w:rsidP="003110FC">
            <w:pPr>
              <w:pStyle w:val="Tabela-tekst"/>
              <w:jc w:val="center"/>
            </w:pPr>
            <w:r>
              <w:t>1</w:t>
            </w:r>
          </w:p>
        </w:tc>
        <w:tc>
          <w:tcPr>
            <w:tcW w:w="1554" w:type="dxa"/>
            <w:vAlign w:val="center"/>
          </w:tcPr>
          <w:p w14:paraId="3C3C09A2" w14:textId="77777777" w:rsidR="00643D60" w:rsidRPr="00D20D1F" w:rsidRDefault="00643D60" w:rsidP="003110FC">
            <w:pPr>
              <w:pStyle w:val="Tabela-tekst"/>
              <w:jc w:val="center"/>
            </w:pPr>
            <w:r>
              <w:t>0</w:t>
            </w:r>
          </w:p>
        </w:tc>
      </w:tr>
      <w:tr w:rsidR="00643D60" w:rsidRPr="00BC2D1E" w14:paraId="6D13A69B" w14:textId="77777777" w:rsidTr="00A03144">
        <w:trPr>
          <w:trHeight w:val="454"/>
        </w:trPr>
        <w:tc>
          <w:tcPr>
            <w:tcW w:w="3261" w:type="dxa"/>
            <w:vAlign w:val="center"/>
          </w:tcPr>
          <w:p w14:paraId="4CDEC37C" w14:textId="77777777" w:rsidR="00643D60" w:rsidRPr="00D20D1F" w:rsidRDefault="00643D60" w:rsidP="00A03144">
            <w:pPr>
              <w:pStyle w:val="Tabela-tekst"/>
            </w:pPr>
            <w:r w:rsidRPr="00D20D1F">
              <w:t>Umiarkowany stan ekologiczny/ umiarkowany potencjał ekologiczny</w:t>
            </w:r>
          </w:p>
        </w:tc>
        <w:tc>
          <w:tcPr>
            <w:tcW w:w="1417" w:type="dxa"/>
            <w:shd w:val="clear" w:color="auto" w:fill="F2F2F2" w:themeFill="background1" w:themeFillShade="F2"/>
            <w:vAlign w:val="center"/>
          </w:tcPr>
          <w:p w14:paraId="18FE4643" w14:textId="77777777" w:rsidR="00643D60" w:rsidRPr="00D20D1F" w:rsidRDefault="00643D60" w:rsidP="003110FC">
            <w:pPr>
              <w:pStyle w:val="Tabela-tekst"/>
              <w:jc w:val="center"/>
            </w:pPr>
            <w:r>
              <w:t>31</w:t>
            </w:r>
          </w:p>
        </w:tc>
        <w:tc>
          <w:tcPr>
            <w:tcW w:w="1418" w:type="dxa"/>
            <w:vAlign w:val="center"/>
          </w:tcPr>
          <w:p w14:paraId="6DDA467D" w14:textId="77777777" w:rsidR="00643D60" w:rsidRPr="00D20D1F" w:rsidRDefault="00643D60" w:rsidP="003110FC">
            <w:pPr>
              <w:pStyle w:val="Tabela-tekst"/>
              <w:jc w:val="center"/>
            </w:pPr>
            <w:r>
              <w:t>30</w:t>
            </w:r>
          </w:p>
        </w:tc>
        <w:tc>
          <w:tcPr>
            <w:tcW w:w="1417" w:type="dxa"/>
            <w:vAlign w:val="center"/>
          </w:tcPr>
          <w:p w14:paraId="69CF148E" w14:textId="77777777" w:rsidR="00643D60" w:rsidRPr="00D20D1F" w:rsidRDefault="00643D60" w:rsidP="003110FC">
            <w:pPr>
              <w:pStyle w:val="Tabela-tekst"/>
              <w:jc w:val="center"/>
            </w:pPr>
            <w:r>
              <w:t>30</w:t>
            </w:r>
          </w:p>
        </w:tc>
        <w:tc>
          <w:tcPr>
            <w:tcW w:w="1554" w:type="dxa"/>
            <w:vAlign w:val="center"/>
          </w:tcPr>
          <w:p w14:paraId="48548232" w14:textId="77777777" w:rsidR="00643D60" w:rsidRPr="00D20D1F" w:rsidRDefault="00643D60" w:rsidP="003110FC">
            <w:pPr>
              <w:pStyle w:val="Tabela-tekst"/>
              <w:jc w:val="center"/>
            </w:pPr>
            <w:r>
              <w:t>0</w:t>
            </w:r>
          </w:p>
        </w:tc>
      </w:tr>
      <w:tr w:rsidR="00643D60" w:rsidRPr="00BC2D1E" w14:paraId="1DCD5C57" w14:textId="77777777" w:rsidTr="00A03144">
        <w:trPr>
          <w:trHeight w:val="454"/>
        </w:trPr>
        <w:tc>
          <w:tcPr>
            <w:tcW w:w="3261" w:type="dxa"/>
            <w:vAlign w:val="center"/>
          </w:tcPr>
          <w:p w14:paraId="25EB7E79" w14:textId="77777777" w:rsidR="00643D60" w:rsidRPr="00D20D1F" w:rsidRDefault="00643D60" w:rsidP="00A03144">
            <w:pPr>
              <w:pStyle w:val="Tabela-tekst"/>
            </w:pPr>
            <w:r w:rsidRPr="00D20D1F">
              <w:t xml:space="preserve">Słaby stan ekologiczny/ słaby potencjał </w:t>
            </w:r>
            <w:r w:rsidRPr="00D20D1F">
              <w:rPr>
                <w:shd w:val="clear" w:color="auto" w:fill="FFFFFF" w:themeFill="background1"/>
              </w:rPr>
              <w:t>ekologiczny</w:t>
            </w:r>
          </w:p>
        </w:tc>
        <w:tc>
          <w:tcPr>
            <w:tcW w:w="1417" w:type="dxa"/>
            <w:shd w:val="clear" w:color="auto" w:fill="F2F2F2" w:themeFill="background1" w:themeFillShade="F2"/>
            <w:vAlign w:val="center"/>
          </w:tcPr>
          <w:p w14:paraId="565FACAA" w14:textId="77777777" w:rsidR="00643D60" w:rsidRPr="00D20D1F" w:rsidRDefault="00643D60" w:rsidP="003110FC">
            <w:pPr>
              <w:pStyle w:val="Tabela-tekst"/>
              <w:jc w:val="center"/>
            </w:pPr>
            <w:r>
              <w:t>4</w:t>
            </w:r>
          </w:p>
        </w:tc>
        <w:tc>
          <w:tcPr>
            <w:tcW w:w="1418" w:type="dxa"/>
            <w:vAlign w:val="center"/>
          </w:tcPr>
          <w:p w14:paraId="2F6FE541" w14:textId="77777777" w:rsidR="00643D60" w:rsidRPr="00D20D1F" w:rsidRDefault="00643D60" w:rsidP="003110FC">
            <w:pPr>
              <w:pStyle w:val="Tabela-tekst"/>
              <w:jc w:val="center"/>
            </w:pPr>
            <w:r>
              <w:t>6</w:t>
            </w:r>
          </w:p>
        </w:tc>
        <w:tc>
          <w:tcPr>
            <w:tcW w:w="1417" w:type="dxa"/>
            <w:vAlign w:val="center"/>
          </w:tcPr>
          <w:p w14:paraId="72BAACE0" w14:textId="77777777" w:rsidR="00643D60" w:rsidRPr="00D20D1F" w:rsidRDefault="00643D60" w:rsidP="003110FC">
            <w:pPr>
              <w:pStyle w:val="Tabela-tekst"/>
              <w:jc w:val="center"/>
            </w:pPr>
            <w:r>
              <w:t>6</w:t>
            </w:r>
          </w:p>
        </w:tc>
        <w:tc>
          <w:tcPr>
            <w:tcW w:w="1554" w:type="dxa"/>
            <w:vAlign w:val="center"/>
          </w:tcPr>
          <w:p w14:paraId="7E870B67" w14:textId="77777777" w:rsidR="00643D60" w:rsidRPr="00D20D1F" w:rsidRDefault="00643D60" w:rsidP="003110FC">
            <w:pPr>
              <w:pStyle w:val="Tabela-tekst"/>
              <w:jc w:val="center"/>
            </w:pPr>
            <w:r>
              <w:t>0</w:t>
            </w:r>
          </w:p>
        </w:tc>
      </w:tr>
      <w:tr w:rsidR="00643D60" w:rsidRPr="00BC2D1E" w14:paraId="12448CE3" w14:textId="77777777" w:rsidTr="00A03144">
        <w:trPr>
          <w:trHeight w:val="454"/>
        </w:trPr>
        <w:tc>
          <w:tcPr>
            <w:tcW w:w="3261" w:type="dxa"/>
            <w:vAlign w:val="center"/>
          </w:tcPr>
          <w:p w14:paraId="6A5C3B10" w14:textId="77777777" w:rsidR="00643D60" w:rsidRPr="00D20D1F" w:rsidRDefault="00643D60" w:rsidP="00A03144">
            <w:pPr>
              <w:pStyle w:val="Tabela-tekst"/>
            </w:pPr>
            <w:r w:rsidRPr="00D20D1F">
              <w:t>Zły stan ekologiczny/ zły potencjał ekologiczny</w:t>
            </w:r>
          </w:p>
        </w:tc>
        <w:tc>
          <w:tcPr>
            <w:tcW w:w="1417" w:type="dxa"/>
            <w:shd w:val="clear" w:color="auto" w:fill="F2F2F2" w:themeFill="background1" w:themeFillShade="F2"/>
            <w:vAlign w:val="center"/>
          </w:tcPr>
          <w:p w14:paraId="6F52BD43" w14:textId="77777777" w:rsidR="00643D60" w:rsidRPr="00D20D1F" w:rsidRDefault="00643D60" w:rsidP="003110FC">
            <w:pPr>
              <w:pStyle w:val="Tabela-tekst"/>
              <w:jc w:val="center"/>
            </w:pPr>
            <w:r>
              <w:t>2</w:t>
            </w:r>
          </w:p>
        </w:tc>
        <w:tc>
          <w:tcPr>
            <w:tcW w:w="1418" w:type="dxa"/>
            <w:vAlign w:val="center"/>
          </w:tcPr>
          <w:p w14:paraId="5433951F" w14:textId="77777777" w:rsidR="00643D60" w:rsidRPr="00D20D1F" w:rsidRDefault="00643D60" w:rsidP="003110FC">
            <w:pPr>
              <w:pStyle w:val="Tabela-tekst"/>
              <w:jc w:val="center"/>
            </w:pPr>
            <w:r>
              <w:t>7</w:t>
            </w:r>
          </w:p>
        </w:tc>
        <w:tc>
          <w:tcPr>
            <w:tcW w:w="1417" w:type="dxa"/>
            <w:vAlign w:val="center"/>
          </w:tcPr>
          <w:p w14:paraId="59ECA1BF" w14:textId="77777777" w:rsidR="00643D60" w:rsidRPr="00D20D1F" w:rsidRDefault="00643D60" w:rsidP="003110FC">
            <w:pPr>
              <w:pStyle w:val="Tabela-tekst"/>
              <w:jc w:val="center"/>
            </w:pPr>
            <w:r>
              <w:t>7</w:t>
            </w:r>
          </w:p>
        </w:tc>
        <w:tc>
          <w:tcPr>
            <w:tcW w:w="1554" w:type="dxa"/>
            <w:vAlign w:val="center"/>
          </w:tcPr>
          <w:p w14:paraId="66061445" w14:textId="77777777" w:rsidR="00643D60" w:rsidRPr="00D20D1F" w:rsidRDefault="00643D60" w:rsidP="003110FC">
            <w:pPr>
              <w:pStyle w:val="Tabela-tekst"/>
              <w:jc w:val="center"/>
            </w:pPr>
            <w:r>
              <w:t>0</w:t>
            </w:r>
          </w:p>
        </w:tc>
      </w:tr>
      <w:tr w:rsidR="00643D60" w:rsidRPr="00BC2D1E" w14:paraId="0D437489" w14:textId="77777777" w:rsidTr="00A03144">
        <w:trPr>
          <w:trHeight w:val="454"/>
        </w:trPr>
        <w:tc>
          <w:tcPr>
            <w:tcW w:w="3261" w:type="dxa"/>
            <w:shd w:val="clear" w:color="auto" w:fill="D9D9D9" w:themeFill="background1" w:themeFillShade="D9"/>
            <w:vAlign w:val="center"/>
          </w:tcPr>
          <w:p w14:paraId="6ADD9091" w14:textId="77777777" w:rsidR="00643D60" w:rsidRPr="00D20D1F" w:rsidRDefault="00643D60" w:rsidP="00A03144">
            <w:pPr>
              <w:pStyle w:val="Tabela-tekst"/>
              <w:rPr>
                <w:b/>
                <w:bCs/>
              </w:rPr>
            </w:pPr>
            <w:r w:rsidRPr="00D20D1F">
              <w:rPr>
                <w:b/>
                <w:bCs/>
              </w:rPr>
              <w:t>Stan chemiczny</w:t>
            </w:r>
          </w:p>
        </w:tc>
        <w:tc>
          <w:tcPr>
            <w:tcW w:w="1417" w:type="dxa"/>
            <w:shd w:val="clear" w:color="auto" w:fill="D9D9D9" w:themeFill="background1" w:themeFillShade="D9"/>
            <w:vAlign w:val="center"/>
          </w:tcPr>
          <w:p w14:paraId="50FFFC0B" w14:textId="77777777" w:rsidR="00643D60" w:rsidRPr="00D20D1F" w:rsidRDefault="00643D60" w:rsidP="003110FC">
            <w:pPr>
              <w:pStyle w:val="Tabela-tekst"/>
              <w:jc w:val="center"/>
              <w:rPr>
                <w:b/>
                <w:bCs/>
              </w:rPr>
            </w:pPr>
            <w:r>
              <w:rPr>
                <w:b/>
                <w:bCs/>
              </w:rPr>
              <w:t>26</w:t>
            </w:r>
          </w:p>
        </w:tc>
        <w:tc>
          <w:tcPr>
            <w:tcW w:w="1418" w:type="dxa"/>
            <w:shd w:val="clear" w:color="auto" w:fill="D9D9D9" w:themeFill="background1" w:themeFillShade="D9"/>
            <w:vAlign w:val="center"/>
          </w:tcPr>
          <w:p w14:paraId="07750518" w14:textId="77777777" w:rsidR="00643D60" w:rsidRPr="00D20D1F" w:rsidRDefault="00643D60" w:rsidP="003110FC">
            <w:pPr>
              <w:pStyle w:val="Tabela-tekst"/>
              <w:jc w:val="center"/>
              <w:rPr>
                <w:b/>
                <w:bCs/>
              </w:rPr>
            </w:pPr>
            <w:r>
              <w:rPr>
                <w:b/>
                <w:bCs/>
              </w:rPr>
              <w:t>42</w:t>
            </w:r>
          </w:p>
        </w:tc>
        <w:tc>
          <w:tcPr>
            <w:tcW w:w="1417" w:type="dxa"/>
            <w:shd w:val="clear" w:color="auto" w:fill="D9D9D9" w:themeFill="background1" w:themeFillShade="D9"/>
            <w:vAlign w:val="center"/>
          </w:tcPr>
          <w:p w14:paraId="2F512E0E" w14:textId="77777777" w:rsidR="00643D60" w:rsidRPr="00D20D1F" w:rsidRDefault="00643D60" w:rsidP="003110FC">
            <w:pPr>
              <w:pStyle w:val="Tabela-tekst"/>
              <w:jc w:val="center"/>
              <w:rPr>
                <w:b/>
                <w:bCs/>
              </w:rPr>
            </w:pPr>
            <w:r>
              <w:rPr>
                <w:b/>
                <w:bCs/>
              </w:rPr>
              <w:t>36</w:t>
            </w:r>
          </w:p>
        </w:tc>
        <w:tc>
          <w:tcPr>
            <w:tcW w:w="1554" w:type="dxa"/>
            <w:shd w:val="clear" w:color="auto" w:fill="D9D9D9" w:themeFill="background1" w:themeFillShade="D9"/>
            <w:vAlign w:val="center"/>
          </w:tcPr>
          <w:p w14:paraId="58609BBD" w14:textId="77777777" w:rsidR="00643D60" w:rsidRPr="00D20D1F" w:rsidRDefault="00643D60" w:rsidP="003110FC">
            <w:pPr>
              <w:pStyle w:val="Tabela-tekst"/>
              <w:jc w:val="center"/>
              <w:rPr>
                <w:b/>
                <w:bCs/>
              </w:rPr>
            </w:pPr>
            <w:r>
              <w:rPr>
                <w:b/>
                <w:bCs/>
              </w:rPr>
              <w:t>6</w:t>
            </w:r>
          </w:p>
        </w:tc>
      </w:tr>
      <w:tr w:rsidR="00643D60" w:rsidRPr="00BC2D1E" w14:paraId="3EB84962" w14:textId="77777777" w:rsidTr="00A03144">
        <w:trPr>
          <w:trHeight w:val="454"/>
        </w:trPr>
        <w:tc>
          <w:tcPr>
            <w:tcW w:w="3261" w:type="dxa"/>
            <w:vAlign w:val="center"/>
          </w:tcPr>
          <w:p w14:paraId="6FDA5B32" w14:textId="77777777" w:rsidR="00643D60" w:rsidRPr="00D20D1F" w:rsidRDefault="00643D60" w:rsidP="00A03144">
            <w:pPr>
              <w:pStyle w:val="Tabela-tekst"/>
            </w:pPr>
            <w:r w:rsidRPr="00D20D1F">
              <w:t>Dobry stan chemiczny</w:t>
            </w:r>
          </w:p>
        </w:tc>
        <w:tc>
          <w:tcPr>
            <w:tcW w:w="1417" w:type="dxa"/>
            <w:shd w:val="clear" w:color="auto" w:fill="F2F2F2" w:themeFill="background1" w:themeFillShade="F2"/>
            <w:vAlign w:val="center"/>
          </w:tcPr>
          <w:p w14:paraId="26E98C8B" w14:textId="77777777" w:rsidR="00643D60" w:rsidRPr="00D20D1F" w:rsidRDefault="00643D60" w:rsidP="003110FC">
            <w:pPr>
              <w:pStyle w:val="Tabela-tekst"/>
              <w:jc w:val="center"/>
            </w:pPr>
            <w:r>
              <w:t>4</w:t>
            </w:r>
          </w:p>
        </w:tc>
        <w:tc>
          <w:tcPr>
            <w:tcW w:w="1418" w:type="dxa"/>
            <w:vAlign w:val="center"/>
          </w:tcPr>
          <w:p w14:paraId="68C1823E" w14:textId="77777777" w:rsidR="00643D60" w:rsidRPr="00D20D1F" w:rsidRDefault="00643D60" w:rsidP="003110FC">
            <w:pPr>
              <w:pStyle w:val="Tabela-tekst"/>
              <w:jc w:val="center"/>
            </w:pPr>
            <w:r>
              <w:t>9</w:t>
            </w:r>
          </w:p>
        </w:tc>
        <w:tc>
          <w:tcPr>
            <w:tcW w:w="1417" w:type="dxa"/>
            <w:vAlign w:val="center"/>
          </w:tcPr>
          <w:p w14:paraId="62AE64E1" w14:textId="77777777" w:rsidR="00643D60" w:rsidRPr="00D20D1F" w:rsidRDefault="00643D60" w:rsidP="003110FC">
            <w:pPr>
              <w:pStyle w:val="Tabela-tekst"/>
              <w:jc w:val="center"/>
              <w:rPr>
                <w:rFonts w:cs="Calibri"/>
                <w:color w:val="000000"/>
              </w:rPr>
            </w:pPr>
            <w:r>
              <w:rPr>
                <w:rFonts w:cs="Calibri"/>
                <w:color w:val="000000"/>
              </w:rPr>
              <w:t>3</w:t>
            </w:r>
          </w:p>
        </w:tc>
        <w:tc>
          <w:tcPr>
            <w:tcW w:w="1554" w:type="dxa"/>
            <w:vAlign w:val="center"/>
          </w:tcPr>
          <w:p w14:paraId="5760FC34" w14:textId="77777777" w:rsidR="00643D60" w:rsidRPr="00D20D1F" w:rsidRDefault="00643D60" w:rsidP="003110FC">
            <w:pPr>
              <w:pStyle w:val="Tabela-tekst"/>
              <w:jc w:val="center"/>
            </w:pPr>
            <w:r>
              <w:t>6</w:t>
            </w:r>
          </w:p>
        </w:tc>
      </w:tr>
      <w:tr w:rsidR="00643D60" w:rsidRPr="00BC2D1E" w14:paraId="7639AD65" w14:textId="77777777" w:rsidTr="00A03144">
        <w:trPr>
          <w:trHeight w:val="454"/>
        </w:trPr>
        <w:tc>
          <w:tcPr>
            <w:tcW w:w="3261" w:type="dxa"/>
            <w:vAlign w:val="center"/>
          </w:tcPr>
          <w:p w14:paraId="3EE3FD0F" w14:textId="77777777" w:rsidR="00643D60" w:rsidRPr="00D20D1F" w:rsidRDefault="00643D60" w:rsidP="00A03144">
            <w:pPr>
              <w:pStyle w:val="Tabela-tekst"/>
            </w:pPr>
            <w:r w:rsidRPr="00D20D1F">
              <w:t>Stan chemiczny poniżej dobrego</w:t>
            </w:r>
          </w:p>
        </w:tc>
        <w:tc>
          <w:tcPr>
            <w:tcW w:w="1417" w:type="dxa"/>
            <w:shd w:val="clear" w:color="auto" w:fill="F2F2F2" w:themeFill="background1" w:themeFillShade="F2"/>
            <w:vAlign w:val="center"/>
          </w:tcPr>
          <w:p w14:paraId="4B6FF4BA" w14:textId="77777777" w:rsidR="00643D60" w:rsidRPr="00D20D1F" w:rsidRDefault="00643D60" w:rsidP="003110FC">
            <w:pPr>
              <w:pStyle w:val="Tabela-tekst"/>
              <w:jc w:val="center"/>
            </w:pPr>
            <w:r>
              <w:t>22</w:t>
            </w:r>
          </w:p>
        </w:tc>
        <w:tc>
          <w:tcPr>
            <w:tcW w:w="1418" w:type="dxa"/>
            <w:vAlign w:val="center"/>
          </w:tcPr>
          <w:p w14:paraId="210C59F7" w14:textId="77777777" w:rsidR="00643D60" w:rsidRPr="00D20D1F" w:rsidRDefault="00643D60" w:rsidP="003110FC">
            <w:pPr>
              <w:pStyle w:val="Tabela-tekst"/>
              <w:jc w:val="center"/>
            </w:pPr>
            <w:r>
              <w:t>33</w:t>
            </w:r>
          </w:p>
        </w:tc>
        <w:tc>
          <w:tcPr>
            <w:tcW w:w="1417" w:type="dxa"/>
            <w:vAlign w:val="center"/>
          </w:tcPr>
          <w:p w14:paraId="71E41CC3" w14:textId="77777777" w:rsidR="00643D60" w:rsidRPr="00D20D1F" w:rsidRDefault="00643D60" w:rsidP="003110FC">
            <w:pPr>
              <w:pStyle w:val="Tabela-tekst"/>
              <w:jc w:val="center"/>
              <w:rPr>
                <w:rFonts w:cs="Calibri"/>
                <w:color w:val="000000"/>
              </w:rPr>
            </w:pPr>
            <w:r>
              <w:rPr>
                <w:rFonts w:cs="Calibri"/>
                <w:color w:val="000000"/>
              </w:rPr>
              <w:t>33</w:t>
            </w:r>
          </w:p>
        </w:tc>
        <w:tc>
          <w:tcPr>
            <w:tcW w:w="1554" w:type="dxa"/>
            <w:vAlign w:val="center"/>
          </w:tcPr>
          <w:p w14:paraId="57306258" w14:textId="77777777" w:rsidR="00643D60" w:rsidRPr="00D20D1F" w:rsidRDefault="00643D60" w:rsidP="003110FC">
            <w:pPr>
              <w:pStyle w:val="Tabela-tekst"/>
              <w:jc w:val="center"/>
            </w:pPr>
            <w:r>
              <w:t>0</w:t>
            </w:r>
          </w:p>
        </w:tc>
      </w:tr>
      <w:tr w:rsidR="00643D60" w:rsidRPr="00BC2D1E" w14:paraId="32B8F9F8" w14:textId="77777777" w:rsidTr="00A03144">
        <w:trPr>
          <w:trHeight w:val="454"/>
        </w:trPr>
        <w:tc>
          <w:tcPr>
            <w:tcW w:w="3261" w:type="dxa"/>
            <w:shd w:val="clear" w:color="auto" w:fill="D9D9D9" w:themeFill="background1" w:themeFillShade="D9"/>
            <w:vAlign w:val="center"/>
          </w:tcPr>
          <w:p w14:paraId="1DBDFD52" w14:textId="77777777" w:rsidR="00643D60" w:rsidRPr="00D20D1F" w:rsidRDefault="00643D60" w:rsidP="00A03144">
            <w:pPr>
              <w:pStyle w:val="Tabela-tekst"/>
              <w:rPr>
                <w:b/>
                <w:bCs/>
              </w:rPr>
            </w:pPr>
            <w:r w:rsidRPr="00D20D1F">
              <w:rPr>
                <w:b/>
                <w:bCs/>
              </w:rPr>
              <w:t>Stan wód</w:t>
            </w:r>
          </w:p>
        </w:tc>
        <w:tc>
          <w:tcPr>
            <w:tcW w:w="1417" w:type="dxa"/>
            <w:shd w:val="clear" w:color="auto" w:fill="D9D9D9" w:themeFill="background1" w:themeFillShade="D9"/>
            <w:vAlign w:val="center"/>
          </w:tcPr>
          <w:p w14:paraId="1CABEF8F" w14:textId="77777777" w:rsidR="00643D60" w:rsidRPr="00D20D1F" w:rsidRDefault="00643D60" w:rsidP="003110FC">
            <w:pPr>
              <w:pStyle w:val="Tabela-tekst"/>
              <w:jc w:val="center"/>
              <w:rPr>
                <w:b/>
                <w:bCs/>
              </w:rPr>
            </w:pPr>
            <w:r>
              <w:rPr>
                <w:b/>
                <w:bCs/>
              </w:rPr>
              <w:t>40</w:t>
            </w:r>
          </w:p>
        </w:tc>
        <w:tc>
          <w:tcPr>
            <w:tcW w:w="1418" w:type="dxa"/>
            <w:shd w:val="clear" w:color="auto" w:fill="D9D9D9" w:themeFill="background1" w:themeFillShade="D9"/>
            <w:vAlign w:val="center"/>
          </w:tcPr>
          <w:p w14:paraId="0B120058" w14:textId="77777777" w:rsidR="00643D60" w:rsidRPr="00D20D1F" w:rsidRDefault="00643D60" w:rsidP="003110FC">
            <w:pPr>
              <w:pStyle w:val="Tabela-tekst"/>
              <w:jc w:val="center"/>
              <w:rPr>
                <w:b/>
                <w:bCs/>
              </w:rPr>
            </w:pPr>
            <w:r>
              <w:rPr>
                <w:b/>
                <w:bCs/>
              </w:rPr>
              <w:t>49</w:t>
            </w:r>
          </w:p>
        </w:tc>
        <w:tc>
          <w:tcPr>
            <w:tcW w:w="1417" w:type="dxa"/>
            <w:shd w:val="clear" w:color="auto" w:fill="D9D9D9" w:themeFill="background1" w:themeFillShade="D9"/>
            <w:vAlign w:val="center"/>
          </w:tcPr>
          <w:p w14:paraId="4CA3D6B5" w14:textId="028D90BC" w:rsidR="00643D60" w:rsidRPr="00D20D1F" w:rsidRDefault="00907986" w:rsidP="003110FC">
            <w:pPr>
              <w:pStyle w:val="Tabela-tekst"/>
              <w:jc w:val="center"/>
              <w:rPr>
                <w:b/>
                <w:bCs/>
              </w:rPr>
            </w:pPr>
            <w:r>
              <w:rPr>
                <w:b/>
                <w:bCs/>
              </w:rPr>
              <w:t>48</w:t>
            </w:r>
          </w:p>
        </w:tc>
        <w:tc>
          <w:tcPr>
            <w:tcW w:w="1554" w:type="dxa"/>
            <w:shd w:val="clear" w:color="auto" w:fill="D9D9D9" w:themeFill="background1" w:themeFillShade="D9"/>
            <w:vAlign w:val="center"/>
          </w:tcPr>
          <w:p w14:paraId="4470B412" w14:textId="0BF63A91" w:rsidR="00643D60" w:rsidRPr="00D20D1F" w:rsidRDefault="00907986" w:rsidP="003110FC">
            <w:pPr>
              <w:pStyle w:val="Tabela-tekst"/>
              <w:jc w:val="center"/>
              <w:rPr>
                <w:b/>
                <w:bCs/>
              </w:rPr>
            </w:pPr>
            <w:r>
              <w:rPr>
                <w:b/>
                <w:bCs/>
              </w:rPr>
              <w:t>1</w:t>
            </w:r>
          </w:p>
        </w:tc>
      </w:tr>
      <w:tr w:rsidR="00643D60" w:rsidRPr="00BC2D1E" w14:paraId="1F42B5B2" w14:textId="77777777" w:rsidTr="00A03144">
        <w:trPr>
          <w:trHeight w:val="454"/>
        </w:trPr>
        <w:tc>
          <w:tcPr>
            <w:tcW w:w="3261" w:type="dxa"/>
            <w:vAlign w:val="center"/>
          </w:tcPr>
          <w:p w14:paraId="7D5A7A5A" w14:textId="77777777" w:rsidR="00643D60" w:rsidRPr="00D20D1F" w:rsidRDefault="00643D60" w:rsidP="00A03144">
            <w:pPr>
              <w:pStyle w:val="Tabela-tekst"/>
            </w:pPr>
            <w:r w:rsidRPr="00D20D1F">
              <w:t>Dobry stan wód</w:t>
            </w:r>
          </w:p>
        </w:tc>
        <w:tc>
          <w:tcPr>
            <w:tcW w:w="1417" w:type="dxa"/>
            <w:shd w:val="clear" w:color="auto" w:fill="F2F2F2" w:themeFill="background1" w:themeFillShade="F2"/>
            <w:vAlign w:val="center"/>
          </w:tcPr>
          <w:p w14:paraId="1314D80B" w14:textId="77777777" w:rsidR="00643D60" w:rsidRPr="00D20D1F" w:rsidRDefault="00643D60" w:rsidP="003110FC">
            <w:pPr>
              <w:pStyle w:val="Tabela-tekst"/>
              <w:jc w:val="center"/>
            </w:pPr>
            <w:r>
              <w:t>1</w:t>
            </w:r>
          </w:p>
        </w:tc>
        <w:tc>
          <w:tcPr>
            <w:tcW w:w="1418" w:type="dxa"/>
            <w:vAlign w:val="center"/>
          </w:tcPr>
          <w:p w14:paraId="21B0CF87" w14:textId="77777777" w:rsidR="00643D60" w:rsidRPr="00D20D1F" w:rsidRDefault="00643D60" w:rsidP="003110FC">
            <w:pPr>
              <w:pStyle w:val="Tabela-tekst"/>
              <w:jc w:val="center"/>
            </w:pPr>
            <w:r>
              <w:t>0</w:t>
            </w:r>
          </w:p>
        </w:tc>
        <w:tc>
          <w:tcPr>
            <w:tcW w:w="1417" w:type="dxa"/>
            <w:vAlign w:val="center"/>
          </w:tcPr>
          <w:p w14:paraId="171623FF" w14:textId="00317DFC" w:rsidR="00643D60" w:rsidRPr="00D20D1F" w:rsidRDefault="00907986" w:rsidP="003110FC">
            <w:pPr>
              <w:pStyle w:val="Tabela-tekst"/>
              <w:jc w:val="center"/>
            </w:pPr>
            <w:r>
              <w:t>0</w:t>
            </w:r>
          </w:p>
        </w:tc>
        <w:tc>
          <w:tcPr>
            <w:tcW w:w="1554" w:type="dxa"/>
            <w:vAlign w:val="center"/>
          </w:tcPr>
          <w:p w14:paraId="476F98B8" w14:textId="05BAE496" w:rsidR="00643D60" w:rsidRPr="00D20D1F" w:rsidRDefault="00907986" w:rsidP="003110FC">
            <w:pPr>
              <w:pStyle w:val="Tabela-tekst"/>
              <w:jc w:val="center"/>
            </w:pPr>
            <w:r>
              <w:t>0</w:t>
            </w:r>
          </w:p>
        </w:tc>
      </w:tr>
      <w:tr w:rsidR="00643D60" w:rsidRPr="00BC2D1E" w14:paraId="0574B067" w14:textId="77777777" w:rsidTr="00A03144">
        <w:trPr>
          <w:trHeight w:val="454"/>
        </w:trPr>
        <w:tc>
          <w:tcPr>
            <w:tcW w:w="3261" w:type="dxa"/>
            <w:vAlign w:val="center"/>
          </w:tcPr>
          <w:p w14:paraId="5D4121E3" w14:textId="77777777" w:rsidR="00643D60" w:rsidRPr="00D20D1F" w:rsidRDefault="00643D60" w:rsidP="00A03144">
            <w:pPr>
              <w:pStyle w:val="Tabela-tekst"/>
            </w:pPr>
            <w:r w:rsidRPr="00D20D1F">
              <w:t>Zły stan wód</w:t>
            </w:r>
          </w:p>
        </w:tc>
        <w:tc>
          <w:tcPr>
            <w:tcW w:w="1417" w:type="dxa"/>
            <w:shd w:val="clear" w:color="auto" w:fill="F2F2F2" w:themeFill="background1" w:themeFillShade="F2"/>
            <w:vAlign w:val="center"/>
          </w:tcPr>
          <w:p w14:paraId="26BDF275" w14:textId="77777777" w:rsidR="00643D60" w:rsidRPr="00D20D1F" w:rsidRDefault="00643D60" w:rsidP="003110FC">
            <w:pPr>
              <w:pStyle w:val="Tabela-tekst"/>
              <w:jc w:val="center"/>
            </w:pPr>
            <w:r>
              <w:t>39</w:t>
            </w:r>
          </w:p>
        </w:tc>
        <w:tc>
          <w:tcPr>
            <w:tcW w:w="1418" w:type="dxa"/>
            <w:vAlign w:val="center"/>
          </w:tcPr>
          <w:p w14:paraId="600B490B" w14:textId="77777777" w:rsidR="00643D60" w:rsidRPr="00D20D1F" w:rsidRDefault="00643D60" w:rsidP="003110FC">
            <w:pPr>
              <w:pStyle w:val="Tabela-tekst"/>
              <w:jc w:val="center"/>
            </w:pPr>
            <w:r>
              <w:t>49</w:t>
            </w:r>
          </w:p>
        </w:tc>
        <w:tc>
          <w:tcPr>
            <w:tcW w:w="1417" w:type="dxa"/>
            <w:vAlign w:val="center"/>
          </w:tcPr>
          <w:p w14:paraId="2BFE2355" w14:textId="55861614" w:rsidR="00643D60" w:rsidRPr="00D20D1F" w:rsidRDefault="00907986" w:rsidP="003110FC">
            <w:pPr>
              <w:pStyle w:val="Tabela-tekst"/>
              <w:jc w:val="center"/>
            </w:pPr>
            <w:r>
              <w:t>48</w:t>
            </w:r>
          </w:p>
        </w:tc>
        <w:tc>
          <w:tcPr>
            <w:tcW w:w="1554" w:type="dxa"/>
            <w:vAlign w:val="center"/>
          </w:tcPr>
          <w:p w14:paraId="4F9E42C7" w14:textId="1409E412" w:rsidR="00643D60" w:rsidRPr="00D20D1F" w:rsidRDefault="00907986" w:rsidP="003110FC">
            <w:pPr>
              <w:pStyle w:val="Tabela-tekst"/>
              <w:jc w:val="center"/>
            </w:pPr>
            <w:r>
              <w:t>1</w:t>
            </w:r>
          </w:p>
        </w:tc>
      </w:tr>
    </w:tbl>
    <w:p w14:paraId="68A0064E" w14:textId="77777777" w:rsidR="00643D60" w:rsidRPr="00D20D1F" w:rsidRDefault="00643D60" w:rsidP="00643D60">
      <w:pPr>
        <w:suppressAutoHyphens/>
        <w:spacing w:before="0" w:after="0"/>
      </w:pPr>
      <w:r w:rsidRPr="00D20D1F">
        <w:rPr>
          <w:vertAlign w:val="superscript"/>
        </w:rPr>
        <w:t>1</w:t>
      </w:r>
      <w:r w:rsidRPr="00D20D1F">
        <w:rPr>
          <w:i/>
          <w:iCs/>
          <w:sz w:val="16"/>
          <w:szCs w:val="16"/>
        </w:rPr>
        <w:t xml:space="preserve">Ocena stanu na podstawie oceny 2014-2019 (GIOŚ) zgodnie z r.kl.jcwp </w:t>
      </w:r>
      <w:r>
        <w:rPr>
          <w:i/>
          <w:iCs/>
          <w:sz w:val="16"/>
          <w:szCs w:val="16"/>
        </w:rPr>
        <w:t>wg</w:t>
      </w:r>
      <w:r w:rsidRPr="00D20D1F">
        <w:rPr>
          <w:i/>
          <w:iCs/>
          <w:sz w:val="16"/>
          <w:szCs w:val="16"/>
        </w:rPr>
        <w:t xml:space="preserve"> klasyfikacji obowiązującej do 01.2022 r. przeniesiona na nowy układ planistyczny</w:t>
      </w:r>
    </w:p>
    <w:p w14:paraId="5E1EC297" w14:textId="77777777" w:rsidR="00643D60" w:rsidRPr="00D20D1F" w:rsidRDefault="00643D60" w:rsidP="00643D60">
      <w:pPr>
        <w:suppressAutoHyphens/>
        <w:spacing w:before="0" w:after="0"/>
      </w:pPr>
      <w:r w:rsidRPr="00D20D1F">
        <w:rPr>
          <w:vertAlign w:val="superscript"/>
        </w:rPr>
        <w:t>2</w:t>
      </w:r>
      <w:r w:rsidRPr="00D20D1F">
        <w:rPr>
          <w:i/>
          <w:iCs/>
          <w:sz w:val="16"/>
          <w:szCs w:val="16"/>
        </w:rPr>
        <w:t xml:space="preserve">Ocena stanu na podstawie oceny 2014-2019 (GIOŚ) przeliczona zgodnie z r.kl.jcwp </w:t>
      </w:r>
      <w:r>
        <w:rPr>
          <w:i/>
          <w:iCs/>
          <w:sz w:val="16"/>
          <w:szCs w:val="16"/>
        </w:rPr>
        <w:t>wg</w:t>
      </w:r>
      <w:r w:rsidRPr="00D20D1F">
        <w:rPr>
          <w:i/>
          <w:iCs/>
          <w:sz w:val="16"/>
          <w:szCs w:val="16"/>
        </w:rPr>
        <w:t xml:space="preserve"> klasyfikacji obowiązującej od 01.2022 r.</w:t>
      </w:r>
    </w:p>
    <w:p w14:paraId="5D1BF60B" w14:textId="058DE10B" w:rsidR="00643D60" w:rsidRPr="00D20D1F" w:rsidRDefault="00643D60" w:rsidP="00643D60">
      <w:pPr>
        <w:suppressAutoHyphens/>
        <w:spacing w:before="0" w:after="0"/>
        <w:rPr>
          <w:i/>
          <w:iCs/>
          <w:sz w:val="16"/>
          <w:szCs w:val="16"/>
        </w:rPr>
      </w:pPr>
      <w:r w:rsidRPr="00D20D1F">
        <w:rPr>
          <w:vertAlign w:val="superscript"/>
        </w:rPr>
        <w:t>3</w:t>
      </w:r>
      <w:r w:rsidRPr="00D20D1F">
        <w:rPr>
          <w:i/>
          <w:iCs/>
          <w:sz w:val="16"/>
          <w:szCs w:val="16"/>
        </w:rPr>
        <w:t xml:space="preserve">Ocena wykonana przy wykorzystaniu wyników Analizy znaczących oddziaływań </w:t>
      </w:r>
      <w:r w:rsidR="00442AB7">
        <w:rPr>
          <w:i/>
          <w:iCs/>
          <w:sz w:val="16"/>
          <w:szCs w:val="16"/>
        </w:rPr>
        <w:t>-</w:t>
      </w:r>
      <w:r w:rsidRPr="00D20D1F">
        <w:rPr>
          <w:i/>
          <w:iCs/>
          <w:sz w:val="16"/>
          <w:szCs w:val="16"/>
        </w:rPr>
        <w:t xml:space="preserve"> jcwp (…) dla jcwp niemonitorowanych, dla 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14BAE003" w14:textId="0FB37B3D" w:rsidR="00643D60" w:rsidRDefault="00643D60" w:rsidP="00442AB7">
      <w:pPr>
        <w:pStyle w:val="rdo0"/>
        <w:rPr>
          <w:i w:val="0"/>
          <w:color w:val="000099"/>
          <w:sz w:val="20"/>
          <w:szCs w:val="20"/>
        </w:rPr>
      </w:pPr>
      <w:r w:rsidRPr="00D20D1F">
        <w:t xml:space="preserve">Źródło: opracowanie </w:t>
      </w:r>
      <w:r w:rsidR="005B3051">
        <w:t>własne</w:t>
      </w:r>
      <w:r w:rsidRPr="00D20D1F">
        <w:t xml:space="preserve"> na podstawie danych GIOŚ oraz wyników</w:t>
      </w:r>
      <w:r w:rsidRPr="00D20D1F">
        <w:br/>
        <w:t xml:space="preserve"> Analizy znaczących oddziaływań </w:t>
      </w:r>
      <w:r w:rsidR="00442AB7">
        <w:t>-</w:t>
      </w:r>
      <w:r w:rsidRPr="00D20D1F">
        <w:t xml:space="preserve"> jcwp (…)</w:t>
      </w:r>
    </w:p>
    <w:p w14:paraId="603088A9" w14:textId="77777777" w:rsidR="00643D60" w:rsidRPr="00DC36C0" w:rsidRDefault="00643D60" w:rsidP="00AA0CAB">
      <w:pPr>
        <w:pStyle w:val="Nagwek5"/>
      </w:pPr>
      <w:r w:rsidRPr="00DC36C0">
        <w:t>Jcwp LW</w:t>
      </w:r>
    </w:p>
    <w:p w14:paraId="40F7B6BA" w14:textId="05CC8900" w:rsidR="00643D60" w:rsidRPr="00B15B5F" w:rsidRDefault="00643D60" w:rsidP="00643D60">
      <w:pPr>
        <w:shd w:val="clear" w:color="auto" w:fill="FFFFFF" w:themeFill="background1"/>
        <w:suppressAutoHyphens/>
      </w:pPr>
      <w:r w:rsidRPr="00DC36C0">
        <w:t xml:space="preserve">Podsumowanie oceny stanu jcwp LW na obszarze dorzecza Pregoły, dokonanej na podstawie wyników monitoringu (ocena stanu GIOŚ 2014-2019), a w przypadku jcwp niemonitorowanych </w:t>
      </w:r>
      <w:r w:rsidR="00442AB7">
        <w:t>-</w:t>
      </w:r>
      <w:r w:rsidRPr="00DC36C0">
        <w:t xml:space="preserve"> wyników </w:t>
      </w:r>
      <w:r w:rsidRPr="00B15B5F">
        <w:t>analizy eksperckiej dla okresu od 01.2022 r., przedstawiono poniżej.</w:t>
      </w:r>
    </w:p>
    <w:p w14:paraId="7A29D6A8" w14:textId="77777777" w:rsidR="00643D60" w:rsidRPr="00B15B5F" w:rsidRDefault="00643D60" w:rsidP="00643D60">
      <w:pPr>
        <w:shd w:val="clear" w:color="auto" w:fill="FFFFFF" w:themeFill="background1"/>
        <w:suppressAutoHyphens/>
      </w:pPr>
      <w:r w:rsidRPr="00B15B5F">
        <w:t>Na podstawie oceny stanu 2014-2019 (GIOŚ) dla jcwp LW w układzie planistycznym obowiązującym dla cyklu planistycznego aPGW (2016-2021) oceny stanu dokonano dla 100 jcwp LW (99% ogólnej liczby jcwp LW), w tym dla 49 jcwp LW była to ocena z przeniesienia</w:t>
      </w:r>
      <w:r w:rsidRPr="00B15B5F">
        <w:rPr>
          <w:rStyle w:val="Odwoanieprzypisudolnego"/>
        </w:rPr>
        <w:footnoteReference w:id="18"/>
      </w:r>
      <w:r w:rsidRPr="00B15B5F">
        <w:t xml:space="preserve">. </w:t>
      </w:r>
    </w:p>
    <w:p w14:paraId="321CEA1C" w14:textId="77777777" w:rsidR="00643D60" w:rsidRDefault="00643D60" w:rsidP="00643D60">
      <w:pPr>
        <w:shd w:val="clear" w:color="auto" w:fill="FFFFFF" w:themeFill="background1"/>
        <w:suppressAutoHyphens/>
      </w:pPr>
      <w:r w:rsidRPr="00B15B5F">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p w14:paraId="1A4E1069" w14:textId="49CA8661" w:rsidR="00643D60" w:rsidRDefault="00643D60" w:rsidP="00643D60">
      <w:pPr>
        <w:suppressAutoHyphens/>
      </w:pPr>
      <w:r w:rsidRPr="00B15B5F">
        <w:rPr>
          <w:shd w:val="clear" w:color="auto" w:fill="FFFFFF" w:themeFill="background1"/>
        </w:rPr>
        <w:t>Informacje o aktualnej ocenie stanu danej jcwp zaprezentowane są w załączniku nr 1 (Zestawienie</w:t>
      </w:r>
      <w:r w:rsidRPr="00DC36C0">
        <w:t xml:space="preserve"> główne IIaPGW), zobrazowania mapowe ocen stanu przedstawione zostały w </w:t>
      </w:r>
      <w:r w:rsidRPr="00B17A81">
        <w:t xml:space="preserve">załącznikach graficznych </w:t>
      </w:r>
      <w:r w:rsidR="003110FC">
        <w:t xml:space="preserve">nr </w:t>
      </w:r>
      <w:r w:rsidRPr="00B17A81">
        <w:t>1</w:t>
      </w:r>
      <w:r w:rsidR="00B17A81">
        <w:t>0</w:t>
      </w:r>
      <w:r w:rsidR="000B0832">
        <w:t>, 11, 12, 13, 14</w:t>
      </w:r>
      <w:r w:rsidR="003110FC">
        <w:t xml:space="preserve"> </w:t>
      </w:r>
      <w:r w:rsidR="000B0832">
        <w:t>i</w:t>
      </w:r>
      <w:r w:rsidR="003110FC">
        <w:t xml:space="preserve"> </w:t>
      </w:r>
      <w:r w:rsidRPr="00B17A81">
        <w:t>1</w:t>
      </w:r>
      <w:r w:rsidR="00B17A81">
        <w:t>5</w:t>
      </w:r>
      <w:r w:rsidRPr="00B17A81">
        <w:t>.</w:t>
      </w:r>
    </w:p>
    <w:p w14:paraId="3FD856A0" w14:textId="64E569E4" w:rsidR="00643D60" w:rsidRDefault="00643D60" w:rsidP="00643D60">
      <w:pPr>
        <w:suppressAutoHyphens/>
      </w:pPr>
      <w:r w:rsidRPr="002648CC">
        <w:rPr>
          <w:bCs/>
          <w:iCs/>
        </w:rPr>
        <w:t>Podsumowanie liczby jcwp LW z uzyskaną oceną stanu w obszar</w:t>
      </w:r>
      <w:r>
        <w:rPr>
          <w:bCs/>
          <w:iCs/>
        </w:rPr>
        <w:t>ze</w:t>
      </w:r>
      <w:r w:rsidRPr="002648CC">
        <w:rPr>
          <w:bCs/>
          <w:iCs/>
        </w:rPr>
        <w:t xml:space="preserve"> dorzecza </w:t>
      </w:r>
      <w:r>
        <w:rPr>
          <w:bCs/>
          <w:iCs/>
        </w:rPr>
        <w:t>Pregoły</w:t>
      </w:r>
      <w:r w:rsidRPr="002648CC">
        <w:rPr>
          <w:bCs/>
          <w:iCs/>
        </w:rPr>
        <w:t xml:space="preserve"> prezentuje </w:t>
      </w:r>
      <w:r w:rsidRPr="00517C3D">
        <w:rPr>
          <w:bCs/>
          <w:iCs/>
        </w:rPr>
        <w:t>tabela</w:t>
      </w:r>
      <w:r w:rsidR="00AB6E72">
        <w:rPr>
          <w:bCs/>
          <w:iCs/>
        </w:rPr>
        <w:t xml:space="preserve"> 5-14</w:t>
      </w:r>
      <w:r w:rsidRPr="00517C3D">
        <w:rPr>
          <w:bCs/>
          <w:iCs/>
        </w:rPr>
        <w:t xml:space="preserve">. W tabeli uwzględnione zostały zarówno wyniki oceny stanu 2014 </w:t>
      </w:r>
      <w:r w:rsidR="00442AB7">
        <w:rPr>
          <w:bCs/>
          <w:iCs/>
        </w:rPr>
        <w:t>-</w:t>
      </w:r>
      <w:r w:rsidRPr="00517C3D">
        <w:rPr>
          <w:bCs/>
          <w:iCs/>
        </w:rPr>
        <w:t xml:space="preserve"> 2019 </w:t>
      </w:r>
      <w:r>
        <w:rPr>
          <w:bCs/>
          <w:iCs/>
        </w:rPr>
        <w:t>wg</w:t>
      </w:r>
      <w:r w:rsidRPr="00517C3D">
        <w:rPr>
          <w:bCs/>
          <w:iCs/>
        </w:rPr>
        <w:t xml:space="preserve"> klasyfikacji obowiązującej do roku 2022</w:t>
      </w:r>
      <w:r w:rsidR="00A60DEA">
        <w:rPr>
          <w:bCs/>
          <w:iCs/>
        </w:rPr>
        <w:t xml:space="preserve"> (wykres 5-5)</w:t>
      </w:r>
      <w:r w:rsidRPr="00517C3D">
        <w:rPr>
          <w:bCs/>
          <w:iCs/>
        </w:rPr>
        <w:t xml:space="preserve">, jak również poglądowo zmiany w ocenie stanu przy zastosowaniu sposobu klasyfikacji </w:t>
      </w:r>
      <w:r>
        <w:rPr>
          <w:bCs/>
          <w:iCs/>
        </w:rPr>
        <w:t>wg</w:t>
      </w:r>
      <w:r w:rsidRPr="00517C3D">
        <w:rPr>
          <w:bCs/>
          <w:iCs/>
        </w:rPr>
        <w:t xml:space="preserve"> r.kl.jcwp obowiązującego od roku 2022</w:t>
      </w:r>
      <w:r>
        <w:rPr>
          <w:bCs/>
          <w:iCs/>
        </w:rPr>
        <w:t xml:space="preserve"> oraz </w:t>
      </w:r>
      <w:r w:rsidRPr="006B0438">
        <w:rPr>
          <w:bCs/>
          <w:iCs/>
        </w:rPr>
        <w:t xml:space="preserve">wartości PE </w:t>
      </w:r>
      <w:r>
        <w:rPr>
          <w:bCs/>
          <w:iCs/>
        </w:rPr>
        <w:t xml:space="preserve">dla SZCW </w:t>
      </w:r>
      <w:r w:rsidRPr="006B0438">
        <w:rPr>
          <w:bCs/>
          <w:iCs/>
        </w:rPr>
        <w:t>przedstawionych w zał. 3.1 IIaPGW</w:t>
      </w:r>
      <w:r w:rsidR="00A60DEA">
        <w:rPr>
          <w:bCs/>
          <w:iCs/>
        </w:rPr>
        <w:t xml:space="preserve"> (wykres 5-6)</w:t>
      </w:r>
      <w:r w:rsidRPr="00517C3D">
        <w:rPr>
          <w:bCs/>
          <w:iCs/>
        </w:rPr>
        <w:t>.</w:t>
      </w:r>
    </w:p>
    <w:p w14:paraId="698000BA" w14:textId="790C2652" w:rsidR="00643D60" w:rsidRDefault="00643D60" w:rsidP="006802BB">
      <w:pPr>
        <w:pStyle w:val="Tabela"/>
      </w:pPr>
      <w:bookmarkStart w:id="90" w:name="_Toc68726966"/>
      <w:r w:rsidRPr="00DC36C0">
        <w:t xml:space="preserve">Tabela </w:t>
      </w:r>
      <w:fldSimple w:instr=" STYLEREF 1 \s ">
        <w:r w:rsidR="007B4050">
          <w:rPr>
            <w:noProof/>
          </w:rPr>
          <w:t>5</w:t>
        </w:r>
      </w:fldSimple>
      <w:r w:rsidR="007B4050">
        <w:noBreakHyphen/>
      </w:r>
      <w:fldSimple w:instr=" SEQ Tabela \* ARABIC \s 1 ">
        <w:r w:rsidR="007B4050">
          <w:rPr>
            <w:noProof/>
          </w:rPr>
          <w:t>14</w:t>
        </w:r>
      </w:fldSimple>
      <w:r w:rsidRPr="00DC36C0">
        <w:tab/>
        <w:t>Liczba jcwp LW zagrożonych nieosiągnięciem celów środowiskowych wraz z określeniem liczby jcwp LW z oceną stanu na obszarze dorzecza Pregoły</w:t>
      </w:r>
      <w:bookmarkEnd w:id="90"/>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643D60" w:rsidRPr="00BE4152" w14:paraId="28085AB9" w14:textId="77777777" w:rsidTr="00A03144">
        <w:trPr>
          <w:trHeight w:val="454"/>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EA8E025" w14:textId="77777777" w:rsidR="00643D60" w:rsidRPr="00F4234E" w:rsidRDefault="00643D60" w:rsidP="00A03144">
            <w:pPr>
              <w:pStyle w:val="Tabela-tekst"/>
              <w:rPr>
                <w:b/>
                <w:color w:val="000000"/>
              </w:rPr>
            </w:pPr>
            <w:r w:rsidRPr="00A03144">
              <w:rPr>
                <w:b/>
                <w:bCs/>
              </w:rPr>
              <w:t>Region wodny</w:t>
            </w:r>
            <w:r>
              <w:rPr>
                <w:b/>
                <w:color w:val="000000"/>
              </w:rPr>
              <w:t xml:space="preserve"> obszaru dorzecza Pregoły</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FABDFF4" w14:textId="77777777" w:rsidR="00643D60" w:rsidRPr="00F4234E" w:rsidRDefault="00643D60" w:rsidP="003110FC">
            <w:pPr>
              <w:pStyle w:val="Tabela-tekst"/>
              <w:jc w:val="center"/>
              <w:rPr>
                <w:b/>
                <w:color w:val="000000"/>
              </w:rPr>
            </w:pPr>
            <w:r w:rsidRPr="00A03144">
              <w:rPr>
                <w:b/>
                <w:bCs/>
              </w:rPr>
              <w:t xml:space="preserve">Liczba jcwp </w:t>
            </w:r>
            <w:r>
              <w:rPr>
                <w:b/>
                <w:color w:val="000000"/>
              </w:rPr>
              <w:t>L</w:t>
            </w:r>
            <w:r w:rsidRPr="00F4234E">
              <w:rPr>
                <w:b/>
                <w:color w:val="000000"/>
              </w:rPr>
              <w:t>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BB7EDD" w14:textId="77777777" w:rsidR="00643D60" w:rsidRPr="00F4234E" w:rsidRDefault="00643D60" w:rsidP="003110FC">
            <w:pPr>
              <w:pStyle w:val="Tabela-tekst"/>
              <w:jc w:val="center"/>
              <w:rPr>
                <w:b/>
                <w:color w:val="000000"/>
                <w:vertAlign w:val="superscript"/>
              </w:rPr>
            </w:pPr>
            <w:r w:rsidRPr="00A03144">
              <w:rPr>
                <w:b/>
                <w:bCs/>
              </w:rPr>
              <w:t xml:space="preserve">Liczba jcwp </w:t>
            </w:r>
            <w:r>
              <w:rPr>
                <w:b/>
                <w:color w:val="000000"/>
              </w:rPr>
              <w:t>L</w:t>
            </w:r>
            <w:r w:rsidRPr="00F4234E">
              <w:rPr>
                <w:b/>
                <w:color w:val="000000"/>
              </w:rPr>
              <w:t>W zagrożonych</w:t>
            </w:r>
            <w:r w:rsidRPr="00F4234E">
              <w:rPr>
                <w:b/>
                <w:color w:val="000000"/>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FEBB5A" w14:textId="463DB8E7" w:rsidR="00643D60" w:rsidRPr="001479C9" w:rsidRDefault="00643D60" w:rsidP="003110FC">
            <w:pPr>
              <w:pStyle w:val="Tabela-tekst"/>
              <w:jc w:val="center"/>
              <w:rPr>
                <w:b/>
                <w:color w:val="000000"/>
              </w:rPr>
            </w:pPr>
            <w:r w:rsidRPr="00A03144">
              <w:rPr>
                <w:b/>
                <w:bCs/>
              </w:rPr>
              <w:t xml:space="preserve">Udział jcwp </w:t>
            </w:r>
            <w:r>
              <w:rPr>
                <w:b/>
                <w:color w:val="000000"/>
              </w:rPr>
              <w:t>L</w:t>
            </w:r>
            <w:r w:rsidRPr="00F4234E">
              <w:rPr>
                <w:b/>
                <w:color w:val="000000"/>
              </w:rPr>
              <w:t>W zagrożonych</w:t>
            </w:r>
            <w:r w:rsidRPr="00F4234E">
              <w:rPr>
                <w:b/>
                <w:color w:val="000000"/>
                <w:vertAlign w:val="superscript"/>
              </w:rPr>
              <w:t>1</w:t>
            </w:r>
            <w:r w:rsidR="001479C9">
              <w:rPr>
                <w:b/>
                <w:color w:val="000000"/>
              </w:rPr>
              <w:t xml:space="preserve"> (%)</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65664814" w14:textId="77777777" w:rsidR="00643D60" w:rsidRPr="00F4234E" w:rsidRDefault="00643D60" w:rsidP="003110FC">
            <w:pPr>
              <w:pStyle w:val="Tabela-tekst"/>
              <w:jc w:val="center"/>
              <w:rPr>
                <w:b/>
                <w:color w:val="000000"/>
              </w:rPr>
            </w:pPr>
            <w:r w:rsidRPr="00A03144">
              <w:rPr>
                <w:b/>
                <w:bCs/>
              </w:rPr>
              <w:t>Liczba jcwp RW z oceną stanu</w:t>
            </w:r>
            <w:r>
              <w:rPr>
                <w:b/>
                <w:color w:val="000000"/>
              </w:rPr>
              <w:t xml:space="preserve">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1FE8260C" w14:textId="77777777" w:rsidR="00643D60" w:rsidRPr="00F4234E" w:rsidRDefault="00643D60" w:rsidP="003110FC">
            <w:pPr>
              <w:pStyle w:val="Tabela-tekst"/>
              <w:jc w:val="center"/>
              <w:rPr>
                <w:b/>
                <w:color w:val="000000"/>
              </w:rPr>
            </w:pPr>
            <w:r w:rsidRPr="00A03144">
              <w:rPr>
                <w:b/>
                <w:bCs/>
              </w:rPr>
              <w:t>Liczba jcwp RW z oceną stanu</w:t>
            </w:r>
            <w:r>
              <w:rPr>
                <w:b/>
                <w:color w:val="000000"/>
              </w:rPr>
              <w:t xml:space="preserve"> r.kl.jcwp od 2022</w:t>
            </w:r>
          </w:p>
        </w:tc>
      </w:tr>
      <w:tr w:rsidR="00643D60" w:rsidRPr="00BE4152" w14:paraId="1349D610" w14:textId="77777777" w:rsidTr="003F4A95">
        <w:trPr>
          <w:trHeight w:val="454"/>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8D462B" w14:textId="77777777" w:rsidR="00643D60" w:rsidRPr="00A03144" w:rsidRDefault="00643D60" w:rsidP="00A03144">
            <w:pPr>
              <w:pStyle w:val="Tabela-tekst"/>
              <w:rPr>
                <w:b/>
                <w:bCs/>
              </w:rPr>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C9CD17" w14:textId="77777777" w:rsidR="00643D60" w:rsidRPr="00A03144" w:rsidRDefault="00643D60" w:rsidP="003110FC">
            <w:pPr>
              <w:pStyle w:val="Tabela-tekst"/>
              <w:jc w:val="center"/>
              <w:rPr>
                <w:b/>
                <w:bCs/>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CDD3A9" w14:textId="77777777" w:rsidR="00643D60" w:rsidRPr="00A03144" w:rsidRDefault="00643D60" w:rsidP="003110FC">
            <w:pPr>
              <w:pStyle w:val="Tabela-tekst"/>
              <w:jc w:val="center"/>
              <w:rPr>
                <w:b/>
                <w:bCs/>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3DA7E0" w14:textId="77777777" w:rsidR="00643D60" w:rsidRPr="00A03144" w:rsidRDefault="00643D60" w:rsidP="003110FC">
            <w:pPr>
              <w:pStyle w:val="Tabela-tekst"/>
              <w:jc w:val="center"/>
              <w:rPr>
                <w:b/>
                <w:bCs/>
              </w:rPr>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85E2008" w14:textId="77777777" w:rsidR="00643D60" w:rsidRPr="00A30664" w:rsidRDefault="00643D60" w:rsidP="003110FC">
            <w:pPr>
              <w:pStyle w:val="Tabela-tekst"/>
              <w:jc w:val="center"/>
              <w:rPr>
                <w:b/>
                <w:color w:val="000000"/>
              </w:rPr>
            </w:pPr>
            <w:r w:rsidRPr="00A03144">
              <w:rPr>
                <w:b/>
                <w:bCs/>
              </w:rPr>
              <w:t>ocena stanu (PMŚ)</w:t>
            </w:r>
            <w:r w:rsidRPr="00A30664">
              <w:rPr>
                <w:b/>
                <w:color w:val="000000"/>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7DFFB3B6" w14:textId="6018D155" w:rsidR="00643D60" w:rsidRPr="003D372B" w:rsidRDefault="00643D60" w:rsidP="003110FC">
            <w:pPr>
              <w:pStyle w:val="Tabela-tekst"/>
              <w:jc w:val="center"/>
              <w:rPr>
                <w:b/>
                <w:color w:val="000000"/>
                <w:highlight w:val="yellow"/>
              </w:rPr>
            </w:pPr>
            <w:r w:rsidRPr="00A03144">
              <w:rPr>
                <w:b/>
                <w:bCs/>
              </w:rPr>
              <w:t>udział jcwp bez oceny stanu</w:t>
            </w:r>
            <w:r>
              <w:rPr>
                <w:b/>
                <w:color w:val="000000"/>
                <w:vertAlign w:val="superscript"/>
              </w:rPr>
              <w:t>2</w:t>
            </w:r>
            <w:r w:rsidR="003D372B">
              <w:rPr>
                <w:b/>
                <w:color w:val="000000"/>
              </w:rPr>
              <w:t>(%)</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559E4108" w14:textId="77777777" w:rsidR="00643D60" w:rsidRPr="00A30664" w:rsidRDefault="00643D60" w:rsidP="003110FC">
            <w:pPr>
              <w:pStyle w:val="Tabela-tekst"/>
              <w:jc w:val="center"/>
              <w:rPr>
                <w:b/>
                <w:color w:val="000000"/>
              </w:rPr>
            </w:pPr>
            <w:r w:rsidRPr="00A03144">
              <w:rPr>
                <w:b/>
                <w:bCs/>
              </w:rPr>
              <w:t>ocena stanu (PMŚ</w:t>
            </w:r>
            <w:r>
              <w:rPr>
                <w:b/>
                <w:color w:val="000000"/>
              </w:rPr>
              <w:t>+EKS</w:t>
            </w:r>
            <w:r w:rsidRPr="00A30664">
              <w:rPr>
                <w:b/>
                <w:color w:val="000000"/>
              </w:rPr>
              <w:t>)</w:t>
            </w:r>
            <w:r w:rsidRPr="00DB4616">
              <w:rPr>
                <w:b/>
                <w:color w:val="000000"/>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3331A9BF" w14:textId="5F3D436F" w:rsidR="00643D60" w:rsidRPr="003D372B" w:rsidRDefault="00643D60" w:rsidP="003110FC">
            <w:pPr>
              <w:pStyle w:val="Tabela-tekst"/>
              <w:jc w:val="center"/>
              <w:rPr>
                <w:b/>
                <w:color w:val="000000"/>
              </w:rPr>
            </w:pPr>
            <w:r w:rsidRPr="00A03144">
              <w:rPr>
                <w:b/>
                <w:bCs/>
              </w:rPr>
              <w:t>udział jcwp bez oceny stanu</w:t>
            </w:r>
            <w:r w:rsidRPr="00DB4616">
              <w:rPr>
                <w:b/>
                <w:color w:val="000000"/>
                <w:vertAlign w:val="superscript"/>
              </w:rPr>
              <w:t>3</w:t>
            </w:r>
            <w:r w:rsidR="003D372B">
              <w:rPr>
                <w:b/>
                <w:color w:val="000000"/>
              </w:rPr>
              <w:t>(%)</w:t>
            </w:r>
          </w:p>
        </w:tc>
      </w:tr>
      <w:tr w:rsidR="00643D60" w:rsidRPr="00BE4152" w14:paraId="1AF07A16" w14:textId="77777777" w:rsidTr="003F4A95">
        <w:trPr>
          <w:trHeight w:val="454"/>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14:paraId="12A5D6D7" w14:textId="77777777" w:rsidR="00643D60" w:rsidRPr="00BE4152" w:rsidRDefault="00643D60" w:rsidP="00A03144">
            <w:pPr>
              <w:pStyle w:val="Tabela-tekst"/>
              <w:rPr>
                <w:color w:val="000000"/>
              </w:rPr>
            </w:pPr>
            <w:r>
              <w:t>Łyny i Węgorapy</w:t>
            </w:r>
          </w:p>
        </w:tc>
        <w:tc>
          <w:tcPr>
            <w:tcW w:w="708" w:type="dxa"/>
            <w:tcBorders>
              <w:top w:val="single" w:sz="4" w:space="0" w:color="auto"/>
              <w:left w:val="nil"/>
              <w:bottom w:val="single" w:sz="4" w:space="0" w:color="auto"/>
              <w:right w:val="single" w:sz="4" w:space="0" w:color="2F75B5"/>
            </w:tcBorders>
            <w:shd w:val="clear" w:color="auto" w:fill="auto"/>
            <w:noWrap/>
            <w:vAlign w:val="center"/>
            <w:hideMark/>
          </w:tcPr>
          <w:p w14:paraId="7F2FC454" w14:textId="77777777" w:rsidR="00643D60" w:rsidRPr="00BE4152" w:rsidRDefault="00643D60" w:rsidP="003110FC">
            <w:pPr>
              <w:pStyle w:val="Tabela-tekst"/>
              <w:jc w:val="center"/>
              <w:rPr>
                <w:color w:val="000000"/>
              </w:rPr>
            </w:pPr>
            <w:r>
              <w:t>105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68BBCA1" w14:textId="35CFF721" w:rsidR="00643D60" w:rsidRPr="00BE4152" w:rsidRDefault="0062712B" w:rsidP="003110FC">
            <w:pPr>
              <w:pStyle w:val="Tabela-tekst"/>
              <w:jc w:val="center"/>
              <w:rPr>
                <w:color w:val="000000"/>
              </w:rPr>
            </w:pPr>
            <w:r>
              <w:t>5</w:t>
            </w:r>
            <w:r w:rsidR="00FA49AA">
              <w:t>2</w:t>
            </w:r>
          </w:p>
        </w:tc>
        <w:tc>
          <w:tcPr>
            <w:tcW w:w="1276" w:type="dxa"/>
            <w:tcBorders>
              <w:top w:val="nil"/>
              <w:left w:val="nil"/>
              <w:bottom w:val="single" w:sz="4" w:space="0" w:color="auto"/>
              <w:right w:val="single" w:sz="4" w:space="0" w:color="auto"/>
            </w:tcBorders>
            <w:shd w:val="clear" w:color="auto" w:fill="auto"/>
            <w:noWrap/>
            <w:vAlign w:val="center"/>
            <w:hideMark/>
          </w:tcPr>
          <w:p w14:paraId="19D05EE8" w14:textId="19BD73DD" w:rsidR="00643D60" w:rsidRPr="00BE4152" w:rsidRDefault="00BD03D8" w:rsidP="003110FC">
            <w:pPr>
              <w:pStyle w:val="Tabela-tekst"/>
              <w:jc w:val="center"/>
              <w:rPr>
                <w:color w:val="000000"/>
              </w:rPr>
            </w:pPr>
            <w:r>
              <w:t>49,5</w:t>
            </w:r>
          </w:p>
        </w:tc>
        <w:tc>
          <w:tcPr>
            <w:tcW w:w="1064" w:type="dxa"/>
            <w:tcBorders>
              <w:top w:val="single" w:sz="4" w:space="0" w:color="auto"/>
              <w:left w:val="nil"/>
              <w:bottom w:val="single" w:sz="4" w:space="0" w:color="auto"/>
              <w:right w:val="single" w:sz="4" w:space="0" w:color="auto"/>
            </w:tcBorders>
            <w:shd w:val="clear" w:color="auto" w:fill="FFFFFF" w:themeFill="background1"/>
            <w:vAlign w:val="center"/>
          </w:tcPr>
          <w:p w14:paraId="69D5ABC4" w14:textId="77777777" w:rsidR="00643D60" w:rsidRPr="00102553" w:rsidRDefault="00643D60" w:rsidP="003110FC">
            <w:pPr>
              <w:pStyle w:val="Tabela-tekst"/>
              <w:jc w:val="center"/>
              <w:rPr>
                <w:rFonts w:cs="Calibri"/>
                <w:color w:val="000000"/>
              </w:rPr>
            </w:pPr>
            <w:r w:rsidRPr="00102553">
              <w:rPr>
                <w:rFonts w:cs="Calibri"/>
              </w:rPr>
              <w:t>51</w:t>
            </w:r>
          </w:p>
        </w:tc>
        <w:tc>
          <w:tcPr>
            <w:tcW w:w="1065" w:type="dxa"/>
            <w:tcBorders>
              <w:top w:val="nil"/>
              <w:left w:val="single" w:sz="4" w:space="0" w:color="auto"/>
              <w:bottom w:val="single" w:sz="4" w:space="0" w:color="auto"/>
              <w:right w:val="single" w:sz="4" w:space="0" w:color="auto"/>
            </w:tcBorders>
            <w:shd w:val="clear" w:color="auto" w:fill="FFFFFF" w:themeFill="background1"/>
            <w:vAlign w:val="center"/>
          </w:tcPr>
          <w:p w14:paraId="452B74F7" w14:textId="4C50F555" w:rsidR="00643D60" w:rsidRPr="00102553" w:rsidRDefault="00643D60" w:rsidP="003110FC">
            <w:pPr>
              <w:pStyle w:val="Tabela-tekst"/>
              <w:jc w:val="center"/>
              <w:rPr>
                <w:rFonts w:cs="Calibri"/>
                <w:color w:val="000000"/>
              </w:rPr>
            </w:pPr>
            <w:r w:rsidRPr="00102553">
              <w:rPr>
                <w:rFonts w:cs="Calibri"/>
              </w:rPr>
              <w:t>51,4</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2F32FDC0" w14:textId="77777777" w:rsidR="00643D60" w:rsidRPr="00102553" w:rsidRDefault="00643D60" w:rsidP="003110FC">
            <w:pPr>
              <w:pStyle w:val="Tabela-tekst"/>
              <w:jc w:val="center"/>
              <w:rPr>
                <w:color w:val="000000"/>
              </w:rPr>
            </w:pPr>
            <w:r w:rsidRPr="00102553">
              <w:rPr>
                <w:rFonts w:cs="Calibri"/>
              </w:rPr>
              <w:t>57</w:t>
            </w:r>
          </w:p>
        </w:tc>
        <w:tc>
          <w:tcPr>
            <w:tcW w:w="992" w:type="dxa"/>
            <w:tcBorders>
              <w:top w:val="nil"/>
              <w:left w:val="nil"/>
              <w:bottom w:val="single" w:sz="4" w:space="0" w:color="auto"/>
              <w:right w:val="single" w:sz="4" w:space="0" w:color="auto"/>
            </w:tcBorders>
            <w:shd w:val="clear" w:color="auto" w:fill="auto"/>
            <w:vAlign w:val="center"/>
            <w:hideMark/>
          </w:tcPr>
          <w:p w14:paraId="523D764E" w14:textId="58E088F5" w:rsidR="00643D60" w:rsidRPr="00102553" w:rsidRDefault="00643D60" w:rsidP="003110FC">
            <w:pPr>
              <w:pStyle w:val="Tabela-tekst"/>
              <w:jc w:val="center"/>
              <w:rPr>
                <w:color w:val="000000"/>
              </w:rPr>
            </w:pPr>
            <w:r w:rsidRPr="00102553">
              <w:rPr>
                <w:rFonts w:cs="Calibri"/>
              </w:rPr>
              <w:t>45,7</w:t>
            </w:r>
          </w:p>
        </w:tc>
      </w:tr>
    </w:tbl>
    <w:p w14:paraId="1688591D" w14:textId="0B278590" w:rsidR="00643D60" w:rsidRPr="00A30664" w:rsidRDefault="00643D60" w:rsidP="00643D60">
      <w:pPr>
        <w:shd w:val="clear" w:color="auto" w:fill="FFFFFF" w:themeFill="background1"/>
        <w:tabs>
          <w:tab w:val="left" w:pos="142"/>
        </w:tabs>
        <w:suppressAutoHyphens/>
        <w:spacing w:before="0" w:after="0"/>
        <w:rPr>
          <w:sz w:val="16"/>
          <w:szCs w:val="16"/>
        </w:rPr>
      </w:pPr>
      <w:r w:rsidRPr="00590403">
        <w:rPr>
          <w:vertAlign w:val="superscript"/>
        </w:rPr>
        <w:t>1</w:t>
      </w:r>
      <w:r>
        <w:rPr>
          <w:vertAlign w:val="superscript"/>
        </w:rPr>
        <w:t>)</w:t>
      </w:r>
      <w:r w:rsidRPr="00A30664">
        <w:rPr>
          <w:sz w:val="16"/>
          <w:szCs w:val="16"/>
        </w:rPr>
        <w:t xml:space="preserve">jcwp zagrożone </w:t>
      </w:r>
      <w:r w:rsidR="00442AB7">
        <w:rPr>
          <w:sz w:val="16"/>
          <w:szCs w:val="16"/>
        </w:rPr>
        <w:t>-</w:t>
      </w:r>
      <w:r w:rsidRPr="00A30664">
        <w:rPr>
          <w:sz w:val="16"/>
          <w:szCs w:val="16"/>
        </w:rPr>
        <w:t xml:space="preserve"> jcwp zagrożone nieosiągnięciem celów środowiskowych</w:t>
      </w:r>
    </w:p>
    <w:p w14:paraId="07CF6D14" w14:textId="77777777" w:rsidR="00643D60" w:rsidRPr="00BE4152" w:rsidRDefault="00643D60" w:rsidP="00643D60">
      <w:pPr>
        <w:suppressAutoHyphens/>
        <w:spacing w:before="0" w:after="0"/>
      </w:pPr>
      <w:r w:rsidRPr="00B15B5F">
        <w:rPr>
          <w:vertAlign w:val="superscript"/>
        </w:rPr>
        <w:t>2)</w:t>
      </w:r>
      <w:r w:rsidRPr="00B15B5F">
        <w:rPr>
          <w:i/>
          <w:sz w:val="16"/>
          <w:szCs w:val="16"/>
        </w:rPr>
        <w:t xml:space="preserve"> Ocena</w:t>
      </w:r>
      <w:r w:rsidRPr="00B15B5F">
        <w:rPr>
          <w:i/>
          <w:iCs/>
          <w:sz w:val="16"/>
          <w:szCs w:val="16"/>
        </w:rPr>
        <w:t xml:space="preserve"> stanu na podstawie oceny 2014-2019 (GIOŚ) zgodnie z r.kl.jcwp wg klasyfikacji obowiązującej do 01.2022 r. przeniesiona na nowy układ planistyczny. Wartość wskazuje liczbę jcwp RW (spośród sklasyfikowanych w układzie planistycznym aPGW), dla których możliwe było przeniesienie oceny na aktualny układ planistyczny IIaPGW,</w:t>
      </w:r>
    </w:p>
    <w:p w14:paraId="3B984CF1" w14:textId="37C5EA87" w:rsidR="00643D60" w:rsidRPr="00BE4152" w:rsidRDefault="00643D60" w:rsidP="00643D60">
      <w:pPr>
        <w:suppressAutoHyphens/>
        <w:spacing w:before="0" w:after="0"/>
      </w:pPr>
      <w:r w:rsidRPr="00F4234E">
        <w:rPr>
          <w:vertAlign w:val="superscript"/>
        </w:rPr>
        <w:t>3</w:t>
      </w:r>
      <w:r>
        <w:rPr>
          <w:vertAlign w:val="superscript"/>
        </w:rPr>
        <w:t>)</w:t>
      </w:r>
      <w:r w:rsidRPr="00BE4152">
        <w:rPr>
          <w:i/>
          <w:iCs/>
          <w:sz w:val="16"/>
          <w:szCs w:val="16"/>
        </w:rPr>
        <w:t xml:space="preserve">Ocena </w:t>
      </w:r>
      <w:r>
        <w:rPr>
          <w:i/>
          <w:iCs/>
          <w:sz w:val="16"/>
          <w:szCs w:val="16"/>
        </w:rPr>
        <w:t xml:space="preserve">stanu na podstawie oceny 2014-2019 (GIOŚ) przeliczona zgodnie z r.kl.jcwp wg klasyfikacji obowiązującej od 01.2022 r. oraz </w:t>
      </w:r>
      <w:r w:rsidRPr="00BE4152">
        <w:rPr>
          <w:i/>
          <w:iCs/>
          <w:sz w:val="16"/>
          <w:szCs w:val="16"/>
        </w:rPr>
        <w:t xml:space="preserve">przy wykorzystaniu wyników Analizy znaczących oddziaływań </w:t>
      </w:r>
      <w:r w:rsidR="00442AB7">
        <w:rPr>
          <w:i/>
          <w:iCs/>
          <w:sz w:val="16"/>
          <w:szCs w:val="16"/>
        </w:rPr>
        <w:t>-</w:t>
      </w:r>
      <w:r w:rsidRPr="00BE4152">
        <w:rPr>
          <w:i/>
          <w:iCs/>
          <w:sz w:val="16"/>
          <w:szCs w:val="16"/>
        </w:rPr>
        <w:t xml:space="preserve"> jcwp (…) dla jcwp niemonitorowanych</w:t>
      </w:r>
      <w:r>
        <w:rPr>
          <w:i/>
          <w:iCs/>
          <w:sz w:val="16"/>
          <w:szCs w:val="16"/>
        </w:rPr>
        <w:t>,</w:t>
      </w:r>
      <w:r w:rsidRPr="00BE4152">
        <w:rPr>
          <w:i/>
          <w:iCs/>
          <w:sz w:val="16"/>
          <w:szCs w:val="16"/>
        </w:rPr>
        <w:t xml:space="preserve"> dla których nie dokonano oceny stanu 2014-2019 (PMŚ), jest traktowana jako poglądowa, podlegająca weryfikacji w oparciu o nowe badania stanu wód, zrealizowane zgodnie z metodykami PMŚ, normami </w:t>
      </w:r>
      <w:r>
        <w:rPr>
          <w:i/>
          <w:iCs/>
          <w:sz w:val="16"/>
          <w:szCs w:val="16"/>
        </w:rPr>
        <w:t>oraz</w:t>
      </w:r>
      <w:r w:rsidRPr="00BE4152">
        <w:rPr>
          <w:i/>
          <w:iCs/>
          <w:sz w:val="16"/>
          <w:szCs w:val="16"/>
        </w:rPr>
        <w:t xml:space="preserve"> przepisami w trakcie obowiązywania IIaPGW i akceptacji organu odpowiedzialnego za prowadzenie PMŚ</w:t>
      </w:r>
      <w:r>
        <w:rPr>
          <w:i/>
          <w:iCs/>
          <w:sz w:val="16"/>
          <w:szCs w:val="16"/>
        </w:rPr>
        <w:t>.</w:t>
      </w:r>
    </w:p>
    <w:p w14:paraId="5CCC87A0" w14:textId="79E3938B" w:rsidR="00643D60" w:rsidRPr="00BE4152" w:rsidRDefault="00643D60" w:rsidP="00442AB7">
      <w:pPr>
        <w:pStyle w:val="rdo0"/>
        <w:rPr>
          <w:i w:val="0"/>
          <w:color w:val="000099"/>
          <w:sz w:val="20"/>
          <w:szCs w:val="20"/>
        </w:rPr>
      </w:pPr>
      <w:r w:rsidRPr="00BE4152">
        <w:t xml:space="preserve">Źródło: opracowanie </w:t>
      </w:r>
      <w:r w:rsidR="00B84032">
        <w:t>własne</w:t>
      </w:r>
      <w:r w:rsidRPr="00BE4152">
        <w:t xml:space="preserve"> na podstawie danych GIOŚ oraz wyników</w:t>
      </w:r>
      <w:r w:rsidRPr="00BE4152">
        <w:br/>
        <w:t xml:space="preserve"> Analizy znaczących oddziaływań </w:t>
      </w:r>
      <w:r w:rsidR="00442AB7">
        <w:t>-</w:t>
      </w:r>
      <w:r w:rsidRPr="00BE4152">
        <w:t xml:space="preserve"> jcwp (…)</w:t>
      </w:r>
    </w:p>
    <w:p w14:paraId="1EF10CB9" w14:textId="77777777" w:rsidR="00643D60" w:rsidRPr="00C62163" w:rsidRDefault="00643D60" w:rsidP="00A565BC">
      <w:pPr>
        <w:jc w:val="center"/>
        <w:rPr>
          <w:i/>
          <w:iCs/>
          <w:color w:val="000099"/>
          <w:sz w:val="20"/>
          <w:szCs w:val="20"/>
        </w:rPr>
      </w:pPr>
      <w:r w:rsidRPr="00C62163">
        <w:rPr>
          <w:noProof/>
        </w:rPr>
        <w:drawing>
          <wp:inline distT="0" distB="0" distL="0" distR="0" wp14:anchorId="75E56C7A" wp14:editId="623156DB">
            <wp:extent cx="4231005" cy="2857500"/>
            <wp:effectExtent l="0" t="0" r="17145" b="0"/>
            <wp:docPr id="24" name="Wykres 24">
              <a:extLst xmlns:a="http://schemas.openxmlformats.org/drawingml/2006/main">
                <a:ext uri="{FF2B5EF4-FFF2-40B4-BE49-F238E27FC236}">
                  <a16:creationId xmlns:a16="http://schemas.microsoft.com/office/drawing/2014/main" id="{70027742-93CA-4255-B56B-B354393B1C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81CA69" w14:textId="27F56828" w:rsidR="00643D60" w:rsidRPr="00C62163" w:rsidRDefault="00643D60" w:rsidP="006802BB">
      <w:pPr>
        <w:pStyle w:val="Wykres"/>
      </w:pPr>
      <w:bookmarkStart w:id="91" w:name="_Toc68727091"/>
      <w:r w:rsidRPr="00C62163">
        <w:t xml:space="preserve">Wykres </w:t>
      </w:r>
      <w:fldSimple w:instr=" STYLEREF 1 \s ">
        <w:r w:rsidR="00EF3FD3">
          <w:rPr>
            <w:noProof/>
          </w:rPr>
          <w:t>5</w:t>
        </w:r>
      </w:fldSimple>
      <w:r w:rsidR="00EF3FD3">
        <w:noBreakHyphen/>
      </w:r>
      <w:fldSimple w:instr=" SEQ Wykres \* ARABIC \s 1 ">
        <w:r w:rsidR="00EF3FD3">
          <w:rPr>
            <w:noProof/>
          </w:rPr>
          <w:t>5</w:t>
        </w:r>
      </w:fldSimple>
      <w:r w:rsidRPr="00C62163">
        <w:tab/>
        <w:t xml:space="preserve">Udział jcwp LW z oceną stanu w ogólnej liczbie jcwp LW na obszarze dorzecza Pregoły </w:t>
      </w:r>
      <w:r w:rsidR="00442AB7">
        <w:t>-</w:t>
      </w:r>
      <w:r w:rsidRPr="00C62163">
        <w:t xml:space="preserve"> ocena stanu zgodnie z r.kl.jcwp do 2022 r.</w:t>
      </w:r>
      <w:bookmarkEnd w:id="91"/>
    </w:p>
    <w:p w14:paraId="2E3ED046" w14:textId="30FB323D" w:rsidR="00643D60" w:rsidRDefault="00643D60" w:rsidP="00442AB7">
      <w:pPr>
        <w:pStyle w:val="rdo0"/>
        <w:rPr>
          <w:i w:val="0"/>
          <w:color w:val="000099"/>
          <w:sz w:val="20"/>
          <w:szCs w:val="20"/>
        </w:rPr>
      </w:pPr>
      <w:r w:rsidRPr="00C62163">
        <w:t xml:space="preserve">Źródło: opracowanie </w:t>
      </w:r>
      <w:r w:rsidR="00B84032">
        <w:t>własne</w:t>
      </w:r>
      <w:r w:rsidRPr="00C62163">
        <w:t xml:space="preserve"> na podstawie danych GIOŚ</w:t>
      </w:r>
    </w:p>
    <w:p w14:paraId="459713AF" w14:textId="77777777" w:rsidR="00643D60" w:rsidRPr="00BC2D1E" w:rsidRDefault="00643D60" w:rsidP="00643D60">
      <w:pPr>
        <w:suppressAutoHyphens/>
        <w:spacing w:before="0" w:after="240"/>
        <w:jc w:val="center"/>
        <w:rPr>
          <w:noProof/>
          <w:highlight w:val="yellow"/>
        </w:rPr>
      </w:pPr>
      <w:r>
        <w:rPr>
          <w:noProof/>
        </w:rPr>
        <w:drawing>
          <wp:inline distT="0" distB="0" distL="0" distR="0" wp14:anchorId="207355C6" wp14:editId="19DDFBFC">
            <wp:extent cx="4231006" cy="2533650"/>
            <wp:effectExtent l="0" t="0" r="17145" b="0"/>
            <wp:docPr id="14" name="Chart 8">
              <a:extLst xmlns:a="http://schemas.openxmlformats.org/drawingml/2006/main">
                <a:ext uri="{FF2B5EF4-FFF2-40B4-BE49-F238E27FC236}">
                  <a16:creationId xmlns:a16="http://schemas.microsoft.com/office/drawing/2014/main" id="{727C3A2B-1C3C-45E3-BF14-8BB1960C40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FDAE80E" w14:textId="695C59B5" w:rsidR="00643D60" w:rsidRPr="004F0FFD" w:rsidRDefault="00643D60" w:rsidP="006802BB">
      <w:pPr>
        <w:pStyle w:val="Wykres"/>
      </w:pPr>
      <w:bookmarkStart w:id="92" w:name="_Toc68727092"/>
      <w:r w:rsidRPr="004F0FFD">
        <w:t xml:space="preserve">Wykres </w:t>
      </w:r>
      <w:fldSimple w:instr=" STYLEREF 1 \s ">
        <w:r w:rsidR="00EF3FD3">
          <w:rPr>
            <w:noProof/>
          </w:rPr>
          <w:t>5</w:t>
        </w:r>
      </w:fldSimple>
      <w:r w:rsidR="00EF3FD3">
        <w:noBreakHyphen/>
      </w:r>
      <w:fldSimple w:instr=" SEQ Wykres \* ARABIC \s 1 ">
        <w:r w:rsidR="00EF3FD3">
          <w:rPr>
            <w:noProof/>
          </w:rPr>
          <w:t>6</w:t>
        </w:r>
      </w:fldSimple>
      <w:r w:rsidRPr="004F0FFD">
        <w:tab/>
        <w:t xml:space="preserve">Udział jcwp LW z oceną stanu w ogólnej liczbie jcwp LW na obszarze dorzecza Pregoły </w:t>
      </w:r>
      <w:r w:rsidR="00442AB7">
        <w:t>-</w:t>
      </w:r>
      <w:r w:rsidRPr="004F0FFD">
        <w:t xml:space="preserve"> ocena stanu zgodnie z r.kl.jcwp od 2022 r.</w:t>
      </w:r>
      <w:bookmarkEnd w:id="92"/>
    </w:p>
    <w:p w14:paraId="1C0545DE" w14:textId="4B0C2F10" w:rsidR="00643D60" w:rsidRPr="00C62163" w:rsidRDefault="00643D60" w:rsidP="00442AB7">
      <w:pPr>
        <w:pStyle w:val="rdo0"/>
        <w:rPr>
          <w:i w:val="0"/>
          <w:color w:val="000099"/>
          <w:sz w:val="20"/>
          <w:szCs w:val="20"/>
        </w:rPr>
      </w:pPr>
      <w:r w:rsidRPr="004F0FFD">
        <w:t xml:space="preserve">Źródło: opracowanie </w:t>
      </w:r>
      <w:r w:rsidR="00B84032">
        <w:t>własne</w:t>
      </w:r>
      <w:r w:rsidRPr="004F0FFD">
        <w:t xml:space="preserve"> na podstawie danych GIOŚ oraz wyników </w:t>
      </w:r>
      <w:r w:rsidRPr="004F0FFD">
        <w:br/>
      </w:r>
      <w:r w:rsidRPr="00C62163">
        <w:t xml:space="preserve">Analizy znaczących oddziaływań </w:t>
      </w:r>
      <w:r w:rsidR="00442AB7">
        <w:t>-</w:t>
      </w:r>
      <w:r w:rsidRPr="00C62163">
        <w:t xml:space="preserve"> jcwp (…)</w:t>
      </w:r>
    </w:p>
    <w:p w14:paraId="115614E4" w14:textId="77777777" w:rsidR="00643D60" w:rsidRPr="003B4606" w:rsidRDefault="00643D60" w:rsidP="00643D60">
      <w:pPr>
        <w:suppressAutoHyphens/>
      </w:pPr>
      <w:r w:rsidRPr="00024532">
        <w:t xml:space="preserve">Z uwagi na przyjęty sposób prezentacji danych dotyczących oceny stanu jcwp ze wskazaniem również ocen stanu uzyskanych przy uwzględnieniu zapisów r.kl.jcwp obowiązujących od 2022 roku, poniżej zaprezentowane zostały podsumowania dotyczące ocen stanu bądź potencjału ekologicznego, ocen stanu chemicznego a w efekcie ocen stanu jcwp również przy wyróżnieniu dwóch okresów wskazanych w r.kl.jcwp. Wartości wskazane jako ocena zgodnie z r.kl.jcwp od 2022 r. traktowana jest poglądowo, </w:t>
      </w:r>
      <w:r w:rsidRPr="003B4606">
        <w:t>dla zapewnienia możliwości odniesienia się do klasyfikacji stosowanej w cyklu planistycznym IIaPGW.</w:t>
      </w:r>
    </w:p>
    <w:p w14:paraId="2E6C2DFE" w14:textId="77777777" w:rsidR="00643D60" w:rsidRPr="00B15B5F" w:rsidRDefault="00643D60" w:rsidP="00643D60">
      <w:pPr>
        <w:shd w:val="clear" w:color="auto" w:fill="FFFFFF" w:themeFill="background1"/>
        <w:suppressAutoHyphens/>
        <w:spacing w:before="0" w:after="0"/>
      </w:pPr>
      <w:r w:rsidRPr="00B15B5F">
        <w:t>Spośród wszystkich jcwp LW obszaru dorzecza Pregoły ocenę stanu bądź potencjału ekologicznego przeniesiono na nowy układ planistyczny dla ok. 46% jcwp LW (ocena stanu 2014-2019 GIOŚ wg r.kl.jcwp do 2022 r.), natomiast przy uwzględnieniu klasyfikacji zgodnie z r.kl.jcwp od 2022 roku oraz wyników analiz eksperckich liczba jcwp z uzyskaną poglądową oceną stanu bądź potencjału ekologicznego wynosi ok. 48% jcwp LW w obszarze dorzecza Pregoły.</w:t>
      </w:r>
    </w:p>
    <w:p w14:paraId="072D47D6" w14:textId="0ACD3A20" w:rsidR="00643D60" w:rsidRPr="00B15B5F" w:rsidRDefault="00643D60" w:rsidP="00643D60">
      <w:pPr>
        <w:pStyle w:val="Akapitzlist2"/>
        <w:shd w:val="clear" w:color="auto" w:fill="FFFFFF" w:themeFill="background1"/>
        <w:spacing w:before="120" w:after="120" w:line="240" w:lineRule="auto"/>
        <w:ind w:left="0"/>
        <w:jc w:val="both"/>
      </w:pPr>
      <w:r w:rsidRPr="00B15B5F">
        <w:t>W przypadku stanu chemicznego, spośród wszystkich jcwp LW obszaru dorzecza Pregoły ocena stanu chemicznego wykonana została dla ok 45% jcwp LW (ocena stanu 2014-2019 GIOŚ wg r.kl.jcwp do 2022</w:t>
      </w:r>
      <w:r w:rsidR="003110FC">
        <w:t> </w:t>
      </w:r>
      <w:r w:rsidRPr="00B15B5F">
        <w:t>r.), natomiast przy uwzględnieniu klasyfikacji zgodnie z r.kl.jcwp od 2022 roku oraz wyników analiz eksperckich liczba jcwp z uzyskaną poglądową oceną stanu chemicznego wynosi 100% jcwp LW w</w:t>
      </w:r>
      <w:r w:rsidR="003110FC">
        <w:t> </w:t>
      </w:r>
      <w:r w:rsidRPr="00B15B5F">
        <w:t xml:space="preserve">obszarze dorzecza Pregoły. </w:t>
      </w:r>
    </w:p>
    <w:p w14:paraId="6F29990F" w14:textId="77777777" w:rsidR="00643D60" w:rsidRPr="003B4606" w:rsidRDefault="00643D60" w:rsidP="00643D60">
      <w:pPr>
        <w:pStyle w:val="Akapitzlist2"/>
        <w:shd w:val="clear" w:color="auto" w:fill="FFFFFF" w:themeFill="background1"/>
        <w:spacing w:before="120" w:after="120" w:line="240" w:lineRule="auto"/>
        <w:ind w:left="0"/>
        <w:jc w:val="both"/>
      </w:pPr>
      <w:r w:rsidRPr="00B15B5F">
        <w:t>Ocenę stanu wód przeniesiono na nowy układ planistyczny dla 49% jcwp LW spośród wszystkich jcwp LW obszaru dorzecza Pregoły (ocena stanu 2014-2019 GIOŚ wg r.kl.jcwp do 2022 r.), natomiast przy uwzględnieniu klasyfikacji zgodnie z r.kl.jcwp od 2022 roku oraz wyników analiz eksperckich liczba jcwp z uzyskaną poglądową oceną stanu ok. 54% jcwp LW w obszarze dorzecza Pregoły.</w:t>
      </w:r>
    </w:p>
    <w:p w14:paraId="29E1B6C2" w14:textId="70C90755" w:rsidR="00643D60" w:rsidRPr="00C62163" w:rsidRDefault="00643D60" w:rsidP="006802BB">
      <w:pPr>
        <w:pStyle w:val="Tabela"/>
      </w:pPr>
      <w:bookmarkStart w:id="93" w:name="_Toc68726967"/>
      <w:r w:rsidRPr="00C62163">
        <w:t xml:space="preserve">Tabela </w:t>
      </w:r>
      <w:fldSimple w:instr=" STYLEREF 1 \s ">
        <w:r w:rsidR="007B4050">
          <w:rPr>
            <w:noProof/>
          </w:rPr>
          <w:t>5</w:t>
        </w:r>
      </w:fldSimple>
      <w:r w:rsidR="007B4050">
        <w:noBreakHyphen/>
      </w:r>
      <w:fldSimple w:instr=" SEQ Tabela \* ARABIC \s 1 ">
        <w:r w:rsidR="007B4050">
          <w:rPr>
            <w:noProof/>
          </w:rPr>
          <w:t>15</w:t>
        </w:r>
      </w:fldSimple>
      <w:r w:rsidRPr="00C62163">
        <w:tab/>
        <w:t>Podsumowanie oceny stanu jcwp LW - obszar dorzecza Pregoły</w:t>
      </w:r>
      <w:bookmarkEnd w:id="93"/>
    </w:p>
    <w:tbl>
      <w:tblPr>
        <w:tblStyle w:val="Tabela-Siatka"/>
        <w:tblW w:w="0" w:type="auto"/>
        <w:tblLook w:val="04A0" w:firstRow="1" w:lastRow="0" w:firstColumn="1" w:lastColumn="0" w:noHBand="0" w:noVBand="1"/>
      </w:tblPr>
      <w:tblGrid>
        <w:gridCol w:w="3261"/>
        <w:gridCol w:w="1417"/>
        <w:gridCol w:w="1418"/>
        <w:gridCol w:w="1417"/>
        <w:gridCol w:w="1554"/>
      </w:tblGrid>
      <w:tr w:rsidR="00643D60" w:rsidRPr="00C62163" w14:paraId="69F26FE2" w14:textId="77777777" w:rsidTr="00CF2625">
        <w:trPr>
          <w:trHeight w:val="454"/>
          <w:tblHeader/>
        </w:trPr>
        <w:tc>
          <w:tcPr>
            <w:tcW w:w="3261" w:type="dxa"/>
            <w:vMerge w:val="restart"/>
            <w:tcBorders>
              <w:top w:val="nil"/>
              <w:left w:val="nil"/>
            </w:tcBorders>
            <w:vAlign w:val="center"/>
          </w:tcPr>
          <w:p w14:paraId="532CEFF1" w14:textId="77777777" w:rsidR="00643D60" w:rsidRPr="00C62163" w:rsidRDefault="00643D60" w:rsidP="00A03144">
            <w:pPr>
              <w:pStyle w:val="Tabela-tekst"/>
            </w:pPr>
          </w:p>
        </w:tc>
        <w:tc>
          <w:tcPr>
            <w:tcW w:w="1417" w:type="dxa"/>
            <w:shd w:val="clear" w:color="auto" w:fill="BFBFBF" w:themeFill="background1" w:themeFillShade="BF"/>
            <w:vAlign w:val="center"/>
          </w:tcPr>
          <w:p w14:paraId="7DFDC49E" w14:textId="77777777" w:rsidR="00643D60" w:rsidRPr="00C62163" w:rsidRDefault="00643D60" w:rsidP="003110FC">
            <w:pPr>
              <w:pStyle w:val="Tabela-tekst"/>
              <w:jc w:val="center"/>
              <w:rPr>
                <w:b/>
                <w:bCs/>
                <w:color w:val="000000"/>
              </w:rPr>
            </w:pPr>
            <w:r w:rsidRPr="00C62163">
              <w:rPr>
                <w:b/>
                <w:bCs/>
                <w:color w:val="000000"/>
              </w:rPr>
              <w:t xml:space="preserve">R.kl.jcwp </w:t>
            </w:r>
            <w:r w:rsidRPr="00C62163">
              <w:rPr>
                <w:b/>
                <w:bCs/>
                <w:color w:val="000000"/>
              </w:rPr>
              <w:br/>
              <w:t>do 2022 r.</w:t>
            </w:r>
          </w:p>
        </w:tc>
        <w:tc>
          <w:tcPr>
            <w:tcW w:w="4389" w:type="dxa"/>
            <w:gridSpan w:val="3"/>
            <w:shd w:val="clear" w:color="auto" w:fill="BFBFBF" w:themeFill="background1" w:themeFillShade="BF"/>
            <w:vAlign w:val="center"/>
          </w:tcPr>
          <w:p w14:paraId="0B6CD9F6" w14:textId="183E3E81" w:rsidR="00643D60" w:rsidRPr="00C62163" w:rsidRDefault="00643D60" w:rsidP="003110FC">
            <w:pPr>
              <w:pStyle w:val="Tabela-tekst"/>
              <w:jc w:val="center"/>
              <w:rPr>
                <w:b/>
                <w:bCs/>
              </w:rPr>
            </w:pPr>
            <w:r w:rsidRPr="00C62163">
              <w:rPr>
                <w:b/>
                <w:bCs/>
              </w:rPr>
              <w:t>R.kl.jcwp od 2022</w:t>
            </w:r>
            <w:r w:rsidR="00CF2625">
              <w:rPr>
                <w:b/>
                <w:bCs/>
              </w:rPr>
              <w:t xml:space="preserve"> r.</w:t>
            </w:r>
          </w:p>
        </w:tc>
      </w:tr>
      <w:tr w:rsidR="00643D60" w:rsidRPr="00C62163" w14:paraId="6D530F09" w14:textId="77777777" w:rsidTr="00CF2625">
        <w:trPr>
          <w:trHeight w:val="454"/>
          <w:tblHeader/>
        </w:trPr>
        <w:tc>
          <w:tcPr>
            <w:tcW w:w="3261" w:type="dxa"/>
            <w:vMerge/>
            <w:tcBorders>
              <w:left w:val="nil"/>
            </w:tcBorders>
            <w:vAlign w:val="center"/>
          </w:tcPr>
          <w:p w14:paraId="14BB0FD0" w14:textId="77777777" w:rsidR="00643D60" w:rsidRPr="00C62163" w:rsidRDefault="00643D60" w:rsidP="00A03144">
            <w:pPr>
              <w:pStyle w:val="Tabela-tekst"/>
            </w:pPr>
          </w:p>
        </w:tc>
        <w:tc>
          <w:tcPr>
            <w:tcW w:w="1417" w:type="dxa"/>
            <w:shd w:val="clear" w:color="auto" w:fill="BFBFBF" w:themeFill="background1" w:themeFillShade="BF"/>
            <w:vAlign w:val="center"/>
          </w:tcPr>
          <w:p w14:paraId="675A68D0" w14:textId="77777777" w:rsidR="00643D60" w:rsidRPr="00CF2625" w:rsidRDefault="00643D60" w:rsidP="003110FC">
            <w:pPr>
              <w:pStyle w:val="Tabela-tekst"/>
              <w:jc w:val="center"/>
              <w:rPr>
                <w:b/>
                <w:bCs/>
              </w:rPr>
            </w:pPr>
            <w:r w:rsidRPr="00CF2625">
              <w:rPr>
                <w:b/>
                <w:bCs/>
                <w:color w:val="000000"/>
              </w:rPr>
              <w:t>Liczba jcwp z oceną stanu (PMŚ)</w:t>
            </w:r>
            <w:r w:rsidRPr="00CF2625">
              <w:rPr>
                <w:b/>
                <w:bCs/>
                <w:color w:val="000000"/>
                <w:vertAlign w:val="superscript"/>
              </w:rPr>
              <w:t>1</w:t>
            </w:r>
          </w:p>
        </w:tc>
        <w:tc>
          <w:tcPr>
            <w:tcW w:w="1418" w:type="dxa"/>
            <w:shd w:val="clear" w:color="auto" w:fill="BFBFBF" w:themeFill="background1" w:themeFillShade="BF"/>
            <w:vAlign w:val="center"/>
          </w:tcPr>
          <w:p w14:paraId="1273F3FE" w14:textId="77777777" w:rsidR="00643D60" w:rsidRPr="00CF2625" w:rsidRDefault="00643D60" w:rsidP="003110FC">
            <w:pPr>
              <w:pStyle w:val="Tabela-tekst"/>
              <w:jc w:val="center"/>
              <w:rPr>
                <w:b/>
                <w:bCs/>
              </w:rPr>
            </w:pPr>
            <w:r w:rsidRPr="00CF2625">
              <w:rPr>
                <w:b/>
                <w:bCs/>
                <w:color w:val="000000"/>
              </w:rPr>
              <w:t xml:space="preserve">Liczba jcwp z oceną </w:t>
            </w:r>
            <w:r w:rsidRPr="00CF2625">
              <w:rPr>
                <w:b/>
                <w:bCs/>
              </w:rPr>
              <w:t>stanu ogółem</w:t>
            </w:r>
          </w:p>
        </w:tc>
        <w:tc>
          <w:tcPr>
            <w:tcW w:w="1417" w:type="dxa"/>
            <w:shd w:val="clear" w:color="auto" w:fill="BFBFBF" w:themeFill="background1" w:themeFillShade="BF"/>
            <w:vAlign w:val="center"/>
          </w:tcPr>
          <w:p w14:paraId="0564177E" w14:textId="77777777" w:rsidR="00643D60" w:rsidRPr="00CF2625" w:rsidRDefault="00643D60" w:rsidP="003110FC">
            <w:pPr>
              <w:pStyle w:val="Tabela-tekst"/>
              <w:jc w:val="center"/>
              <w:rPr>
                <w:b/>
                <w:bCs/>
                <w:vertAlign w:val="superscript"/>
              </w:rPr>
            </w:pPr>
            <w:r w:rsidRPr="00CF2625">
              <w:rPr>
                <w:b/>
                <w:bCs/>
                <w:color w:val="000000"/>
              </w:rPr>
              <w:t>Liczba jcwp z oceną stanu (PMŚ)</w:t>
            </w:r>
            <w:r w:rsidRPr="00CF2625">
              <w:rPr>
                <w:b/>
                <w:bCs/>
                <w:color w:val="000000"/>
                <w:vertAlign w:val="superscript"/>
              </w:rPr>
              <w:t>2</w:t>
            </w:r>
          </w:p>
        </w:tc>
        <w:tc>
          <w:tcPr>
            <w:tcW w:w="1554" w:type="dxa"/>
            <w:shd w:val="clear" w:color="auto" w:fill="BFBFBF" w:themeFill="background1" w:themeFillShade="BF"/>
            <w:vAlign w:val="center"/>
          </w:tcPr>
          <w:p w14:paraId="6BE5E36F" w14:textId="77777777" w:rsidR="00643D60" w:rsidRPr="00CF2625" w:rsidRDefault="00643D60" w:rsidP="003110FC">
            <w:pPr>
              <w:pStyle w:val="Tabela-tekst"/>
              <w:jc w:val="center"/>
              <w:rPr>
                <w:b/>
                <w:bCs/>
                <w:vertAlign w:val="superscript"/>
              </w:rPr>
            </w:pPr>
            <w:r w:rsidRPr="00CF2625">
              <w:rPr>
                <w:b/>
                <w:bCs/>
                <w:color w:val="000000"/>
              </w:rPr>
              <w:t>Liczba jcwp z oceną stanu (EKSP)</w:t>
            </w:r>
            <w:r w:rsidRPr="00CF2625">
              <w:rPr>
                <w:b/>
                <w:bCs/>
                <w:color w:val="000000"/>
                <w:vertAlign w:val="superscript"/>
              </w:rPr>
              <w:t>3</w:t>
            </w:r>
          </w:p>
        </w:tc>
      </w:tr>
      <w:tr w:rsidR="00643D60" w:rsidRPr="00C62163" w14:paraId="347F3B15" w14:textId="77777777" w:rsidTr="00A03144">
        <w:trPr>
          <w:trHeight w:val="454"/>
        </w:trPr>
        <w:tc>
          <w:tcPr>
            <w:tcW w:w="3261" w:type="dxa"/>
            <w:shd w:val="clear" w:color="auto" w:fill="D9D9D9" w:themeFill="background1" w:themeFillShade="D9"/>
            <w:vAlign w:val="center"/>
          </w:tcPr>
          <w:p w14:paraId="2674B3E6" w14:textId="77777777" w:rsidR="00643D60" w:rsidRPr="00C62163" w:rsidRDefault="00643D60" w:rsidP="00A03144">
            <w:pPr>
              <w:pStyle w:val="Tabela-tekst"/>
              <w:rPr>
                <w:b/>
              </w:rPr>
            </w:pPr>
            <w:r w:rsidRPr="00C62163">
              <w:rPr>
                <w:b/>
                <w:bCs/>
              </w:rPr>
              <w:t>Stan/potencjał ekologiczny</w:t>
            </w:r>
          </w:p>
        </w:tc>
        <w:tc>
          <w:tcPr>
            <w:tcW w:w="1417" w:type="dxa"/>
            <w:shd w:val="clear" w:color="auto" w:fill="D9D9D9" w:themeFill="background1" w:themeFillShade="D9"/>
            <w:vAlign w:val="center"/>
          </w:tcPr>
          <w:p w14:paraId="66263A1F" w14:textId="77777777" w:rsidR="00643D60" w:rsidRPr="00C62163" w:rsidRDefault="00643D60" w:rsidP="003110FC">
            <w:pPr>
              <w:pStyle w:val="Tabela-tekst"/>
              <w:jc w:val="center"/>
              <w:rPr>
                <w:b/>
              </w:rPr>
            </w:pPr>
            <w:r>
              <w:rPr>
                <w:b/>
              </w:rPr>
              <w:t>48</w:t>
            </w:r>
          </w:p>
        </w:tc>
        <w:tc>
          <w:tcPr>
            <w:tcW w:w="1418" w:type="dxa"/>
            <w:shd w:val="clear" w:color="auto" w:fill="D9D9D9" w:themeFill="background1" w:themeFillShade="D9"/>
            <w:vAlign w:val="center"/>
          </w:tcPr>
          <w:p w14:paraId="6390A09C" w14:textId="77777777" w:rsidR="00643D60" w:rsidRPr="00C62163" w:rsidRDefault="00643D60" w:rsidP="003110FC">
            <w:pPr>
              <w:pStyle w:val="Tabela-tekst"/>
              <w:jc w:val="center"/>
              <w:rPr>
                <w:b/>
              </w:rPr>
            </w:pPr>
            <w:r>
              <w:rPr>
                <w:b/>
              </w:rPr>
              <w:t>50</w:t>
            </w:r>
          </w:p>
        </w:tc>
        <w:tc>
          <w:tcPr>
            <w:tcW w:w="1417" w:type="dxa"/>
            <w:shd w:val="clear" w:color="auto" w:fill="D9D9D9" w:themeFill="background1" w:themeFillShade="D9"/>
            <w:vAlign w:val="center"/>
          </w:tcPr>
          <w:p w14:paraId="3E6E6959" w14:textId="77777777" w:rsidR="00643D60" w:rsidRPr="00C62163" w:rsidRDefault="00643D60" w:rsidP="003110FC">
            <w:pPr>
              <w:pStyle w:val="Tabela-tekst"/>
              <w:jc w:val="center"/>
              <w:rPr>
                <w:b/>
              </w:rPr>
            </w:pPr>
            <w:r>
              <w:rPr>
                <w:b/>
              </w:rPr>
              <w:t>50</w:t>
            </w:r>
          </w:p>
        </w:tc>
        <w:tc>
          <w:tcPr>
            <w:tcW w:w="1554" w:type="dxa"/>
            <w:shd w:val="clear" w:color="auto" w:fill="D9D9D9" w:themeFill="background1" w:themeFillShade="D9"/>
            <w:vAlign w:val="center"/>
          </w:tcPr>
          <w:p w14:paraId="2CCC4BA8" w14:textId="77777777" w:rsidR="00643D60" w:rsidRPr="00C62163" w:rsidRDefault="00643D60" w:rsidP="003110FC">
            <w:pPr>
              <w:pStyle w:val="Tabela-tekst"/>
              <w:jc w:val="center"/>
              <w:rPr>
                <w:b/>
              </w:rPr>
            </w:pPr>
            <w:r>
              <w:rPr>
                <w:b/>
              </w:rPr>
              <w:t>0</w:t>
            </w:r>
          </w:p>
        </w:tc>
      </w:tr>
      <w:tr w:rsidR="00643D60" w:rsidRPr="00C62163" w14:paraId="7A37D4A6" w14:textId="77777777" w:rsidTr="00A03144">
        <w:trPr>
          <w:trHeight w:val="454"/>
        </w:trPr>
        <w:tc>
          <w:tcPr>
            <w:tcW w:w="3261" w:type="dxa"/>
            <w:vAlign w:val="center"/>
          </w:tcPr>
          <w:p w14:paraId="100A604F" w14:textId="77777777" w:rsidR="00643D60" w:rsidRPr="00C62163" w:rsidRDefault="00643D60" w:rsidP="00A03144">
            <w:pPr>
              <w:pStyle w:val="Tabela-tekst"/>
            </w:pPr>
            <w:r w:rsidRPr="00C62163">
              <w:t xml:space="preserve">Bardzo dobry stan ekologiczny/ maksymalny potencjał </w:t>
            </w:r>
            <w:r w:rsidRPr="00C62163">
              <w:rPr>
                <w:shd w:val="clear" w:color="auto" w:fill="FFFFFF" w:themeFill="background1"/>
              </w:rPr>
              <w:t>ekologiczny</w:t>
            </w:r>
          </w:p>
        </w:tc>
        <w:tc>
          <w:tcPr>
            <w:tcW w:w="1417" w:type="dxa"/>
            <w:shd w:val="clear" w:color="auto" w:fill="F2F2F2" w:themeFill="background1" w:themeFillShade="F2"/>
            <w:vAlign w:val="center"/>
          </w:tcPr>
          <w:p w14:paraId="791D7BB4" w14:textId="77777777" w:rsidR="00643D60" w:rsidRPr="00C62163" w:rsidRDefault="00643D60" w:rsidP="003110FC">
            <w:pPr>
              <w:pStyle w:val="Tabela-tekst"/>
              <w:jc w:val="center"/>
            </w:pPr>
            <w:r>
              <w:t>1</w:t>
            </w:r>
          </w:p>
        </w:tc>
        <w:tc>
          <w:tcPr>
            <w:tcW w:w="1418" w:type="dxa"/>
            <w:vAlign w:val="center"/>
          </w:tcPr>
          <w:p w14:paraId="7B1FB3C1" w14:textId="77777777" w:rsidR="00643D60" w:rsidRPr="00C62163" w:rsidRDefault="00643D60" w:rsidP="003110FC">
            <w:pPr>
              <w:pStyle w:val="Tabela-tekst"/>
              <w:jc w:val="center"/>
            </w:pPr>
            <w:r>
              <w:t>0</w:t>
            </w:r>
          </w:p>
        </w:tc>
        <w:tc>
          <w:tcPr>
            <w:tcW w:w="1417" w:type="dxa"/>
            <w:vAlign w:val="center"/>
          </w:tcPr>
          <w:p w14:paraId="0A3FEDA0" w14:textId="77777777" w:rsidR="00643D60" w:rsidRPr="00C62163" w:rsidRDefault="00643D60" w:rsidP="003110FC">
            <w:pPr>
              <w:pStyle w:val="Tabela-tekst"/>
              <w:jc w:val="center"/>
            </w:pPr>
            <w:r>
              <w:t>0</w:t>
            </w:r>
          </w:p>
        </w:tc>
        <w:tc>
          <w:tcPr>
            <w:tcW w:w="1554" w:type="dxa"/>
            <w:vAlign w:val="center"/>
          </w:tcPr>
          <w:p w14:paraId="518BC600" w14:textId="77777777" w:rsidR="00643D60" w:rsidRPr="00C62163" w:rsidRDefault="00643D60" w:rsidP="003110FC">
            <w:pPr>
              <w:pStyle w:val="Tabela-tekst"/>
              <w:jc w:val="center"/>
            </w:pPr>
            <w:r>
              <w:t>0</w:t>
            </w:r>
          </w:p>
        </w:tc>
      </w:tr>
      <w:tr w:rsidR="00643D60" w:rsidRPr="00C62163" w14:paraId="51D46E06" w14:textId="77777777" w:rsidTr="00A03144">
        <w:trPr>
          <w:trHeight w:val="454"/>
        </w:trPr>
        <w:tc>
          <w:tcPr>
            <w:tcW w:w="3261" w:type="dxa"/>
            <w:vAlign w:val="center"/>
          </w:tcPr>
          <w:p w14:paraId="4AE5DEAA" w14:textId="77777777" w:rsidR="00643D60" w:rsidRPr="00C62163" w:rsidRDefault="00643D60" w:rsidP="00A03144">
            <w:pPr>
              <w:pStyle w:val="Tabela-tekst"/>
            </w:pPr>
            <w:r w:rsidRPr="00C62163">
              <w:t xml:space="preserve">Dobry stan ekologiczny/ potencjał </w:t>
            </w:r>
            <w:r w:rsidRPr="00C62163">
              <w:rPr>
                <w:shd w:val="clear" w:color="auto" w:fill="FFFFFF" w:themeFill="background1"/>
              </w:rPr>
              <w:t>ekologiczny</w:t>
            </w:r>
          </w:p>
        </w:tc>
        <w:tc>
          <w:tcPr>
            <w:tcW w:w="1417" w:type="dxa"/>
            <w:shd w:val="clear" w:color="auto" w:fill="F2F2F2" w:themeFill="background1" w:themeFillShade="F2"/>
            <w:vAlign w:val="center"/>
          </w:tcPr>
          <w:p w14:paraId="6F9BEB0F" w14:textId="77777777" w:rsidR="00643D60" w:rsidRPr="00C62163" w:rsidRDefault="00643D60" w:rsidP="003110FC">
            <w:pPr>
              <w:pStyle w:val="Tabela-tekst"/>
              <w:jc w:val="center"/>
            </w:pPr>
            <w:r>
              <w:t>9</w:t>
            </w:r>
          </w:p>
        </w:tc>
        <w:tc>
          <w:tcPr>
            <w:tcW w:w="1418" w:type="dxa"/>
            <w:vAlign w:val="center"/>
          </w:tcPr>
          <w:p w14:paraId="4B958D58" w14:textId="77777777" w:rsidR="00643D60" w:rsidRPr="00C62163" w:rsidRDefault="00643D60" w:rsidP="003110FC">
            <w:pPr>
              <w:pStyle w:val="Tabela-tekst"/>
              <w:jc w:val="center"/>
            </w:pPr>
            <w:r>
              <w:t>7</w:t>
            </w:r>
          </w:p>
        </w:tc>
        <w:tc>
          <w:tcPr>
            <w:tcW w:w="1417" w:type="dxa"/>
            <w:vAlign w:val="center"/>
          </w:tcPr>
          <w:p w14:paraId="435C3C37" w14:textId="2200C12C" w:rsidR="00643D60" w:rsidRPr="00C62163" w:rsidRDefault="00643D60" w:rsidP="003110FC">
            <w:pPr>
              <w:pStyle w:val="Tabela-tekst"/>
              <w:jc w:val="center"/>
            </w:pPr>
            <w:r>
              <w:t>7</w:t>
            </w:r>
          </w:p>
        </w:tc>
        <w:tc>
          <w:tcPr>
            <w:tcW w:w="1554" w:type="dxa"/>
            <w:vAlign w:val="center"/>
          </w:tcPr>
          <w:p w14:paraId="447EDC40" w14:textId="11FF6BAF" w:rsidR="00643D60" w:rsidRPr="00C62163" w:rsidRDefault="00643D60" w:rsidP="003110FC">
            <w:pPr>
              <w:pStyle w:val="Tabela-tekst"/>
              <w:jc w:val="center"/>
            </w:pPr>
            <w:r>
              <w:t>0</w:t>
            </w:r>
          </w:p>
        </w:tc>
      </w:tr>
      <w:tr w:rsidR="00643D60" w:rsidRPr="00C62163" w14:paraId="0E777267" w14:textId="77777777" w:rsidTr="00A03144">
        <w:trPr>
          <w:trHeight w:val="454"/>
        </w:trPr>
        <w:tc>
          <w:tcPr>
            <w:tcW w:w="3261" w:type="dxa"/>
            <w:vAlign w:val="center"/>
          </w:tcPr>
          <w:p w14:paraId="5D8DAFCC" w14:textId="77777777" w:rsidR="00643D60" w:rsidRPr="00C62163" w:rsidRDefault="00643D60" w:rsidP="00A03144">
            <w:pPr>
              <w:pStyle w:val="Tabela-tekst"/>
            </w:pPr>
            <w:r w:rsidRPr="00C62163">
              <w:t>Umiarkowany stan ekologiczny/ umiarkowany potencjał ekologiczny</w:t>
            </w:r>
          </w:p>
        </w:tc>
        <w:tc>
          <w:tcPr>
            <w:tcW w:w="1417" w:type="dxa"/>
            <w:shd w:val="clear" w:color="auto" w:fill="F2F2F2" w:themeFill="background1" w:themeFillShade="F2"/>
            <w:vAlign w:val="center"/>
          </w:tcPr>
          <w:p w14:paraId="1F9E1A39" w14:textId="77777777" w:rsidR="00643D60" w:rsidRPr="00C62163" w:rsidRDefault="00643D60" w:rsidP="003110FC">
            <w:pPr>
              <w:pStyle w:val="Tabela-tekst"/>
              <w:jc w:val="center"/>
            </w:pPr>
            <w:r>
              <w:t>24</w:t>
            </w:r>
          </w:p>
        </w:tc>
        <w:tc>
          <w:tcPr>
            <w:tcW w:w="1418" w:type="dxa"/>
            <w:vAlign w:val="center"/>
          </w:tcPr>
          <w:p w14:paraId="0F60D2E1" w14:textId="77777777" w:rsidR="00643D60" w:rsidRPr="00C62163" w:rsidRDefault="00643D60" w:rsidP="003110FC">
            <w:pPr>
              <w:pStyle w:val="Tabela-tekst"/>
              <w:jc w:val="center"/>
            </w:pPr>
            <w:r>
              <w:t>25</w:t>
            </w:r>
          </w:p>
        </w:tc>
        <w:tc>
          <w:tcPr>
            <w:tcW w:w="1417" w:type="dxa"/>
            <w:vAlign w:val="center"/>
          </w:tcPr>
          <w:p w14:paraId="1086B0DF" w14:textId="77777777" w:rsidR="00643D60" w:rsidRPr="00C62163" w:rsidRDefault="00643D60" w:rsidP="003110FC">
            <w:pPr>
              <w:pStyle w:val="Tabela-tekst"/>
              <w:jc w:val="center"/>
            </w:pPr>
            <w:r>
              <w:t>25</w:t>
            </w:r>
          </w:p>
        </w:tc>
        <w:tc>
          <w:tcPr>
            <w:tcW w:w="1554" w:type="dxa"/>
            <w:vAlign w:val="center"/>
          </w:tcPr>
          <w:p w14:paraId="1A3C1828" w14:textId="77777777" w:rsidR="00643D60" w:rsidRPr="00C62163" w:rsidRDefault="00643D60" w:rsidP="003110FC">
            <w:pPr>
              <w:pStyle w:val="Tabela-tekst"/>
              <w:jc w:val="center"/>
            </w:pPr>
            <w:r>
              <w:t>0</w:t>
            </w:r>
          </w:p>
        </w:tc>
      </w:tr>
      <w:tr w:rsidR="00643D60" w:rsidRPr="00C62163" w14:paraId="1FBC13BE" w14:textId="77777777" w:rsidTr="00A03144">
        <w:trPr>
          <w:trHeight w:val="454"/>
        </w:trPr>
        <w:tc>
          <w:tcPr>
            <w:tcW w:w="3261" w:type="dxa"/>
            <w:vAlign w:val="center"/>
          </w:tcPr>
          <w:p w14:paraId="176C91EB" w14:textId="77777777" w:rsidR="00643D60" w:rsidRPr="00C62163" w:rsidRDefault="00643D60" w:rsidP="00A03144">
            <w:pPr>
              <w:pStyle w:val="Tabela-tekst"/>
            </w:pPr>
            <w:r w:rsidRPr="00C62163">
              <w:t xml:space="preserve">Słaby stan ekologiczny/ słaby potencjał </w:t>
            </w:r>
            <w:r w:rsidRPr="00C62163">
              <w:rPr>
                <w:shd w:val="clear" w:color="auto" w:fill="FFFFFF" w:themeFill="background1"/>
              </w:rPr>
              <w:t>ekologiczny</w:t>
            </w:r>
          </w:p>
        </w:tc>
        <w:tc>
          <w:tcPr>
            <w:tcW w:w="1417" w:type="dxa"/>
            <w:shd w:val="clear" w:color="auto" w:fill="F2F2F2" w:themeFill="background1" w:themeFillShade="F2"/>
            <w:vAlign w:val="center"/>
          </w:tcPr>
          <w:p w14:paraId="3B269633" w14:textId="77777777" w:rsidR="00643D60" w:rsidRPr="00C62163" w:rsidRDefault="00643D60" w:rsidP="003110FC">
            <w:pPr>
              <w:pStyle w:val="Tabela-tekst"/>
              <w:jc w:val="center"/>
            </w:pPr>
            <w:r>
              <w:t>13</w:t>
            </w:r>
          </w:p>
        </w:tc>
        <w:tc>
          <w:tcPr>
            <w:tcW w:w="1418" w:type="dxa"/>
            <w:vAlign w:val="center"/>
          </w:tcPr>
          <w:p w14:paraId="525CF459" w14:textId="77777777" w:rsidR="00643D60" w:rsidRPr="00C62163" w:rsidRDefault="00643D60" w:rsidP="003110FC">
            <w:pPr>
              <w:pStyle w:val="Tabela-tekst"/>
              <w:jc w:val="center"/>
            </w:pPr>
            <w:r>
              <w:t>2</w:t>
            </w:r>
          </w:p>
        </w:tc>
        <w:tc>
          <w:tcPr>
            <w:tcW w:w="1417" w:type="dxa"/>
            <w:vAlign w:val="center"/>
          </w:tcPr>
          <w:p w14:paraId="5316E1A8" w14:textId="77777777" w:rsidR="00643D60" w:rsidRPr="00C62163" w:rsidRDefault="00643D60" w:rsidP="003110FC">
            <w:pPr>
              <w:pStyle w:val="Tabela-tekst"/>
              <w:jc w:val="center"/>
            </w:pPr>
            <w:r>
              <w:t>2</w:t>
            </w:r>
          </w:p>
        </w:tc>
        <w:tc>
          <w:tcPr>
            <w:tcW w:w="1554" w:type="dxa"/>
            <w:vAlign w:val="center"/>
          </w:tcPr>
          <w:p w14:paraId="2FDBD661" w14:textId="77777777" w:rsidR="00643D60" w:rsidRPr="00C62163" w:rsidRDefault="00643D60" w:rsidP="003110FC">
            <w:pPr>
              <w:pStyle w:val="Tabela-tekst"/>
              <w:jc w:val="center"/>
            </w:pPr>
            <w:r>
              <w:t>0</w:t>
            </w:r>
          </w:p>
        </w:tc>
      </w:tr>
      <w:tr w:rsidR="00643D60" w:rsidRPr="00C62163" w14:paraId="2B08E7B5" w14:textId="77777777" w:rsidTr="00A03144">
        <w:trPr>
          <w:trHeight w:val="454"/>
        </w:trPr>
        <w:tc>
          <w:tcPr>
            <w:tcW w:w="3261" w:type="dxa"/>
            <w:vAlign w:val="center"/>
          </w:tcPr>
          <w:p w14:paraId="0D4E24F6" w14:textId="77777777" w:rsidR="00643D60" w:rsidRPr="00C62163" w:rsidRDefault="00643D60" w:rsidP="00A03144">
            <w:pPr>
              <w:pStyle w:val="Tabela-tekst"/>
            </w:pPr>
            <w:r w:rsidRPr="00C62163">
              <w:t>Zły stan ekologiczny/ zły potencjał ekologiczny</w:t>
            </w:r>
          </w:p>
        </w:tc>
        <w:tc>
          <w:tcPr>
            <w:tcW w:w="1417" w:type="dxa"/>
            <w:shd w:val="clear" w:color="auto" w:fill="F2F2F2" w:themeFill="background1" w:themeFillShade="F2"/>
            <w:vAlign w:val="center"/>
          </w:tcPr>
          <w:p w14:paraId="09ECA90B" w14:textId="77777777" w:rsidR="00643D60" w:rsidRPr="00C62163" w:rsidRDefault="00643D60" w:rsidP="003110FC">
            <w:pPr>
              <w:pStyle w:val="Tabela-tekst"/>
              <w:jc w:val="center"/>
            </w:pPr>
            <w:r>
              <w:t>1</w:t>
            </w:r>
          </w:p>
        </w:tc>
        <w:tc>
          <w:tcPr>
            <w:tcW w:w="1418" w:type="dxa"/>
            <w:vAlign w:val="center"/>
          </w:tcPr>
          <w:p w14:paraId="571DBCE6" w14:textId="77777777" w:rsidR="00643D60" w:rsidRPr="00C62163" w:rsidRDefault="00643D60" w:rsidP="003110FC">
            <w:pPr>
              <w:pStyle w:val="Tabela-tekst"/>
              <w:jc w:val="center"/>
            </w:pPr>
            <w:r>
              <w:t>16</w:t>
            </w:r>
          </w:p>
        </w:tc>
        <w:tc>
          <w:tcPr>
            <w:tcW w:w="1417" w:type="dxa"/>
            <w:vAlign w:val="center"/>
          </w:tcPr>
          <w:p w14:paraId="2AE49C59" w14:textId="77777777" w:rsidR="00643D60" w:rsidRPr="00C62163" w:rsidRDefault="00643D60" w:rsidP="003110FC">
            <w:pPr>
              <w:pStyle w:val="Tabela-tekst"/>
              <w:jc w:val="center"/>
            </w:pPr>
            <w:r>
              <w:t>16</w:t>
            </w:r>
          </w:p>
        </w:tc>
        <w:tc>
          <w:tcPr>
            <w:tcW w:w="1554" w:type="dxa"/>
            <w:vAlign w:val="center"/>
          </w:tcPr>
          <w:p w14:paraId="1F4EBF2D" w14:textId="77777777" w:rsidR="00643D60" w:rsidRPr="00C62163" w:rsidRDefault="00643D60" w:rsidP="003110FC">
            <w:pPr>
              <w:pStyle w:val="Tabela-tekst"/>
              <w:jc w:val="center"/>
            </w:pPr>
            <w:r>
              <w:t>0</w:t>
            </w:r>
          </w:p>
        </w:tc>
      </w:tr>
      <w:tr w:rsidR="00643D60" w:rsidRPr="00C62163" w14:paraId="6AA767C6" w14:textId="77777777" w:rsidTr="00A03144">
        <w:trPr>
          <w:trHeight w:val="454"/>
        </w:trPr>
        <w:tc>
          <w:tcPr>
            <w:tcW w:w="3261" w:type="dxa"/>
            <w:shd w:val="clear" w:color="auto" w:fill="D9D9D9" w:themeFill="background1" w:themeFillShade="D9"/>
            <w:vAlign w:val="center"/>
          </w:tcPr>
          <w:p w14:paraId="0FADD3BD" w14:textId="77777777" w:rsidR="00643D60" w:rsidRPr="00C62163" w:rsidRDefault="00643D60" w:rsidP="00A03144">
            <w:pPr>
              <w:pStyle w:val="Tabela-tekst"/>
              <w:rPr>
                <w:b/>
              </w:rPr>
            </w:pPr>
            <w:r w:rsidRPr="00C62163">
              <w:rPr>
                <w:b/>
              </w:rPr>
              <w:t>Stan chemiczny</w:t>
            </w:r>
          </w:p>
        </w:tc>
        <w:tc>
          <w:tcPr>
            <w:tcW w:w="1417" w:type="dxa"/>
            <w:shd w:val="clear" w:color="auto" w:fill="D9D9D9" w:themeFill="background1" w:themeFillShade="D9"/>
            <w:vAlign w:val="center"/>
          </w:tcPr>
          <w:p w14:paraId="1AA0A9FE" w14:textId="77777777" w:rsidR="00643D60" w:rsidRPr="00C62163" w:rsidRDefault="00643D60" w:rsidP="003110FC">
            <w:pPr>
              <w:pStyle w:val="Tabela-tekst"/>
              <w:jc w:val="center"/>
              <w:rPr>
                <w:b/>
              </w:rPr>
            </w:pPr>
            <w:r>
              <w:rPr>
                <w:b/>
              </w:rPr>
              <w:t>47</w:t>
            </w:r>
          </w:p>
        </w:tc>
        <w:tc>
          <w:tcPr>
            <w:tcW w:w="1418" w:type="dxa"/>
            <w:shd w:val="clear" w:color="auto" w:fill="D9D9D9" w:themeFill="background1" w:themeFillShade="D9"/>
            <w:vAlign w:val="center"/>
          </w:tcPr>
          <w:p w14:paraId="20A62ED2" w14:textId="77777777" w:rsidR="00643D60" w:rsidRPr="00C62163" w:rsidRDefault="00643D60" w:rsidP="003110FC">
            <w:pPr>
              <w:pStyle w:val="Tabela-tekst"/>
              <w:jc w:val="center"/>
              <w:rPr>
                <w:b/>
              </w:rPr>
            </w:pPr>
            <w:r>
              <w:rPr>
                <w:b/>
              </w:rPr>
              <w:t>105</w:t>
            </w:r>
          </w:p>
        </w:tc>
        <w:tc>
          <w:tcPr>
            <w:tcW w:w="1417" w:type="dxa"/>
            <w:shd w:val="clear" w:color="auto" w:fill="D9D9D9" w:themeFill="background1" w:themeFillShade="D9"/>
            <w:vAlign w:val="center"/>
          </w:tcPr>
          <w:p w14:paraId="225EF4F3" w14:textId="77777777" w:rsidR="00643D60" w:rsidRPr="00C62163" w:rsidRDefault="00643D60" w:rsidP="003110FC">
            <w:pPr>
              <w:pStyle w:val="Tabela-tekst"/>
              <w:jc w:val="center"/>
              <w:rPr>
                <w:b/>
              </w:rPr>
            </w:pPr>
            <w:r>
              <w:rPr>
                <w:b/>
              </w:rPr>
              <w:t>47</w:t>
            </w:r>
          </w:p>
        </w:tc>
        <w:tc>
          <w:tcPr>
            <w:tcW w:w="1554" w:type="dxa"/>
            <w:shd w:val="clear" w:color="auto" w:fill="D9D9D9" w:themeFill="background1" w:themeFillShade="D9"/>
            <w:vAlign w:val="center"/>
          </w:tcPr>
          <w:p w14:paraId="2FE7CCC5" w14:textId="77777777" w:rsidR="00643D60" w:rsidRPr="00C62163" w:rsidRDefault="00643D60" w:rsidP="003110FC">
            <w:pPr>
              <w:pStyle w:val="Tabela-tekst"/>
              <w:jc w:val="center"/>
              <w:rPr>
                <w:b/>
              </w:rPr>
            </w:pPr>
            <w:r>
              <w:rPr>
                <w:b/>
              </w:rPr>
              <w:t>58</w:t>
            </w:r>
          </w:p>
        </w:tc>
      </w:tr>
      <w:tr w:rsidR="00643D60" w:rsidRPr="00C62163" w14:paraId="0CCDA097" w14:textId="77777777" w:rsidTr="00A03144">
        <w:trPr>
          <w:trHeight w:val="454"/>
        </w:trPr>
        <w:tc>
          <w:tcPr>
            <w:tcW w:w="3261" w:type="dxa"/>
            <w:vAlign w:val="center"/>
          </w:tcPr>
          <w:p w14:paraId="3344F856" w14:textId="77777777" w:rsidR="00643D60" w:rsidRPr="00C62163" w:rsidRDefault="00643D60" w:rsidP="00A03144">
            <w:pPr>
              <w:pStyle w:val="Tabela-tekst"/>
            </w:pPr>
            <w:r w:rsidRPr="00C62163">
              <w:t>Dobry stan chemiczny</w:t>
            </w:r>
          </w:p>
        </w:tc>
        <w:tc>
          <w:tcPr>
            <w:tcW w:w="1417" w:type="dxa"/>
            <w:shd w:val="clear" w:color="auto" w:fill="F2F2F2" w:themeFill="background1" w:themeFillShade="F2"/>
            <w:vAlign w:val="center"/>
          </w:tcPr>
          <w:p w14:paraId="77F7DA2C" w14:textId="77777777" w:rsidR="00643D60" w:rsidRPr="00C62163" w:rsidRDefault="00643D60" w:rsidP="003110FC">
            <w:pPr>
              <w:pStyle w:val="Tabela-tekst"/>
              <w:jc w:val="center"/>
            </w:pPr>
            <w:r>
              <w:t>22</w:t>
            </w:r>
          </w:p>
        </w:tc>
        <w:tc>
          <w:tcPr>
            <w:tcW w:w="1418" w:type="dxa"/>
            <w:vAlign w:val="center"/>
          </w:tcPr>
          <w:p w14:paraId="7A79CF81" w14:textId="77777777" w:rsidR="00643D60" w:rsidRPr="00C62163" w:rsidRDefault="00643D60" w:rsidP="003110FC">
            <w:pPr>
              <w:pStyle w:val="Tabela-tekst"/>
              <w:jc w:val="center"/>
            </w:pPr>
            <w:r>
              <w:t>61</w:t>
            </w:r>
          </w:p>
        </w:tc>
        <w:tc>
          <w:tcPr>
            <w:tcW w:w="1417" w:type="dxa"/>
            <w:vAlign w:val="center"/>
          </w:tcPr>
          <w:p w14:paraId="2E1A7C14" w14:textId="0BA43DE7" w:rsidR="00643D60" w:rsidRPr="00C62163" w:rsidRDefault="00643D60" w:rsidP="003110FC">
            <w:pPr>
              <w:pStyle w:val="Tabela-tekst"/>
              <w:jc w:val="center"/>
              <w:rPr>
                <w:rFonts w:cs="Calibri"/>
                <w:color w:val="000000"/>
              </w:rPr>
            </w:pPr>
            <w:r>
              <w:rPr>
                <w:rFonts w:cs="Calibri"/>
                <w:color w:val="000000"/>
              </w:rPr>
              <w:t>10</w:t>
            </w:r>
          </w:p>
        </w:tc>
        <w:tc>
          <w:tcPr>
            <w:tcW w:w="1554" w:type="dxa"/>
            <w:vAlign w:val="center"/>
          </w:tcPr>
          <w:p w14:paraId="4916DA9D" w14:textId="68D9EE9F" w:rsidR="00643D60" w:rsidRPr="00C62163" w:rsidRDefault="00643D60" w:rsidP="003110FC">
            <w:pPr>
              <w:pStyle w:val="Tabela-tekst"/>
              <w:jc w:val="center"/>
            </w:pPr>
            <w:r>
              <w:t>51</w:t>
            </w:r>
          </w:p>
        </w:tc>
      </w:tr>
      <w:tr w:rsidR="00643D60" w:rsidRPr="00C62163" w14:paraId="2BB82647" w14:textId="77777777" w:rsidTr="00A03144">
        <w:trPr>
          <w:trHeight w:val="454"/>
        </w:trPr>
        <w:tc>
          <w:tcPr>
            <w:tcW w:w="3261" w:type="dxa"/>
            <w:vAlign w:val="center"/>
          </w:tcPr>
          <w:p w14:paraId="47967561" w14:textId="77777777" w:rsidR="00643D60" w:rsidRPr="00C62163" w:rsidRDefault="00643D60" w:rsidP="00A03144">
            <w:pPr>
              <w:pStyle w:val="Tabela-tekst"/>
            </w:pPr>
            <w:r w:rsidRPr="00C62163">
              <w:t>Stan chemiczny poniżej dobrego</w:t>
            </w:r>
          </w:p>
        </w:tc>
        <w:tc>
          <w:tcPr>
            <w:tcW w:w="1417" w:type="dxa"/>
            <w:shd w:val="clear" w:color="auto" w:fill="F2F2F2" w:themeFill="background1" w:themeFillShade="F2"/>
            <w:vAlign w:val="center"/>
          </w:tcPr>
          <w:p w14:paraId="7221F0BD" w14:textId="77777777" w:rsidR="00643D60" w:rsidRPr="00C62163" w:rsidRDefault="00643D60" w:rsidP="003110FC">
            <w:pPr>
              <w:pStyle w:val="Tabela-tekst"/>
              <w:jc w:val="center"/>
            </w:pPr>
            <w:r>
              <w:t>25</w:t>
            </w:r>
          </w:p>
        </w:tc>
        <w:tc>
          <w:tcPr>
            <w:tcW w:w="1418" w:type="dxa"/>
            <w:vAlign w:val="center"/>
          </w:tcPr>
          <w:p w14:paraId="1B1D6F15" w14:textId="77777777" w:rsidR="00643D60" w:rsidRPr="00C62163" w:rsidRDefault="00643D60" w:rsidP="003110FC">
            <w:pPr>
              <w:pStyle w:val="Tabela-tekst"/>
              <w:jc w:val="center"/>
            </w:pPr>
            <w:r>
              <w:t>44</w:t>
            </w:r>
          </w:p>
        </w:tc>
        <w:tc>
          <w:tcPr>
            <w:tcW w:w="1417" w:type="dxa"/>
            <w:vAlign w:val="center"/>
          </w:tcPr>
          <w:p w14:paraId="533B4C2C" w14:textId="61C234C7" w:rsidR="00643D60" w:rsidRPr="00C62163" w:rsidRDefault="00643D60" w:rsidP="003110FC">
            <w:pPr>
              <w:pStyle w:val="Tabela-tekst"/>
              <w:jc w:val="center"/>
              <w:rPr>
                <w:rFonts w:cs="Calibri"/>
                <w:color w:val="000000"/>
              </w:rPr>
            </w:pPr>
            <w:r>
              <w:rPr>
                <w:rFonts w:cs="Calibri"/>
                <w:color w:val="000000"/>
              </w:rPr>
              <w:t>37</w:t>
            </w:r>
          </w:p>
        </w:tc>
        <w:tc>
          <w:tcPr>
            <w:tcW w:w="1554" w:type="dxa"/>
            <w:vAlign w:val="center"/>
          </w:tcPr>
          <w:p w14:paraId="24E62222" w14:textId="36E78F3A" w:rsidR="00643D60" w:rsidRPr="00C62163" w:rsidRDefault="00643D60" w:rsidP="003110FC">
            <w:pPr>
              <w:pStyle w:val="Tabela-tekst"/>
              <w:jc w:val="center"/>
            </w:pPr>
            <w:r>
              <w:t>7</w:t>
            </w:r>
          </w:p>
        </w:tc>
      </w:tr>
      <w:tr w:rsidR="00643D60" w:rsidRPr="00C62163" w14:paraId="092B7AE1" w14:textId="77777777" w:rsidTr="00A03144">
        <w:trPr>
          <w:trHeight w:val="454"/>
        </w:trPr>
        <w:tc>
          <w:tcPr>
            <w:tcW w:w="3261" w:type="dxa"/>
            <w:shd w:val="clear" w:color="auto" w:fill="D9D9D9" w:themeFill="background1" w:themeFillShade="D9"/>
            <w:vAlign w:val="center"/>
          </w:tcPr>
          <w:p w14:paraId="52A146E9" w14:textId="77777777" w:rsidR="00643D60" w:rsidRPr="00C62163" w:rsidRDefault="00643D60" w:rsidP="00A03144">
            <w:pPr>
              <w:pStyle w:val="Tabela-tekst"/>
              <w:rPr>
                <w:b/>
              </w:rPr>
            </w:pPr>
            <w:r w:rsidRPr="00C62163">
              <w:rPr>
                <w:b/>
                <w:bCs/>
              </w:rPr>
              <w:t>Stan wód</w:t>
            </w:r>
          </w:p>
        </w:tc>
        <w:tc>
          <w:tcPr>
            <w:tcW w:w="1417" w:type="dxa"/>
            <w:shd w:val="clear" w:color="auto" w:fill="D9D9D9" w:themeFill="background1" w:themeFillShade="D9"/>
            <w:vAlign w:val="center"/>
          </w:tcPr>
          <w:p w14:paraId="102A3FAD" w14:textId="77777777" w:rsidR="00643D60" w:rsidRPr="00C62163" w:rsidRDefault="00643D60" w:rsidP="003110FC">
            <w:pPr>
              <w:pStyle w:val="Tabela-tekst"/>
              <w:jc w:val="center"/>
              <w:rPr>
                <w:b/>
              </w:rPr>
            </w:pPr>
            <w:r>
              <w:rPr>
                <w:b/>
              </w:rPr>
              <w:t>51</w:t>
            </w:r>
          </w:p>
        </w:tc>
        <w:tc>
          <w:tcPr>
            <w:tcW w:w="1418" w:type="dxa"/>
            <w:shd w:val="clear" w:color="auto" w:fill="D9D9D9" w:themeFill="background1" w:themeFillShade="D9"/>
            <w:vAlign w:val="center"/>
          </w:tcPr>
          <w:p w14:paraId="3FD979F5" w14:textId="77777777" w:rsidR="00643D60" w:rsidRPr="00C62163" w:rsidRDefault="00643D60" w:rsidP="003110FC">
            <w:pPr>
              <w:pStyle w:val="Tabela-tekst"/>
              <w:jc w:val="center"/>
              <w:rPr>
                <w:b/>
              </w:rPr>
            </w:pPr>
            <w:r>
              <w:rPr>
                <w:b/>
              </w:rPr>
              <w:t>57</w:t>
            </w:r>
          </w:p>
        </w:tc>
        <w:tc>
          <w:tcPr>
            <w:tcW w:w="1417" w:type="dxa"/>
            <w:shd w:val="clear" w:color="auto" w:fill="D9D9D9" w:themeFill="background1" w:themeFillShade="D9"/>
            <w:vAlign w:val="center"/>
          </w:tcPr>
          <w:p w14:paraId="152888FE" w14:textId="26A09274" w:rsidR="00643D60" w:rsidRPr="00C62163" w:rsidRDefault="00B623DA" w:rsidP="003110FC">
            <w:pPr>
              <w:pStyle w:val="Tabela-tekst"/>
              <w:jc w:val="center"/>
              <w:rPr>
                <w:b/>
              </w:rPr>
            </w:pPr>
            <w:r>
              <w:rPr>
                <w:b/>
              </w:rPr>
              <w:t>47</w:t>
            </w:r>
          </w:p>
        </w:tc>
        <w:tc>
          <w:tcPr>
            <w:tcW w:w="1554" w:type="dxa"/>
            <w:shd w:val="clear" w:color="auto" w:fill="D9D9D9" w:themeFill="background1" w:themeFillShade="D9"/>
            <w:vAlign w:val="center"/>
          </w:tcPr>
          <w:p w14:paraId="4F1C3BB5" w14:textId="791F27B5" w:rsidR="00643D60" w:rsidRPr="00C62163" w:rsidRDefault="00B623DA" w:rsidP="003110FC">
            <w:pPr>
              <w:pStyle w:val="Tabela-tekst"/>
              <w:jc w:val="center"/>
              <w:rPr>
                <w:b/>
              </w:rPr>
            </w:pPr>
            <w:r>
              <w:rPr>
                <w:b/>
              </w:rPr>
              <w:t>10</w:t>
            </w:r>
          </w:p>
        </w:tc>
      </w:tr>
      <w:tr w:rsidR="00643D60" w:rsidRPr="00C62163" w14:paraId="1CCAE4C8" w14:textId="77777777" w:rsidTr="00A03144">
        <w:trPr>
          <w:trHeight w:val="454"/>
        </w:trPr>
        <w:tc>
          <w:tcPr>
            <w:tcW w:w="3261" w:type="dxa"/>
            <w:vAlign w:val="center"/>
          </w:tcPr>
          <w:p w14:paraId="6415C155" w14:textId="77777777" w:rsidR="00643D60" w:rsidRPr="00C62163" w:rsidRDefault="00643D60" w:rsidP="00A03144">
            <w:pPr>
              <w:pStyle w:val="Tabela-tekst"/>
            </w:pPr>
            <w:r w:rsidRPr="00C62163">
              <w:t>Dobry stan wód</w:t>
            </w:r>
          </w:p>
        </w:tc>
        <w:tc>
          <w:tcPr>
            <w:tcW w:w="1417" w:type="dxa"/>
            <w:shd w:val="clear" w:color="auto" w:fill="F2F2F2" w:themeFill="background1" w:themeFillShade="F2"/>
            <w:vAlign w:val="center"/>
          </w:tcPr>
          <w:p w14:paraId="31A6D18A" w14:textId="77777777" w:rsidR="00643D60" w:rsidRPr="00C62163" w:rsidRDefault="00643D60" w:rsidP="003110FC">
            <w:pPr>
              <w:pStyle w:val="Tabela-tekst"/>
              <w:jc w:val="center"/>
            </w:pPr>
            <w:r>
              <w:t>5</w:t>
            </w:r>
          </w:p>
        </w:tc>
        <w:tc>
          <w:tcPr>
            <w:tcW w:w="1418" w:type="dxa"/>
            <w:vAlign w:val="center"/>
          </w:tcPr>
          <w:p w14:paraId="67C1780B" w14:textId="77777777" w:rsidR="00643D60" w:rsidRPr="00C62163" w:rsidRDefault="00643D60" w:rsidP="003110FC">
            <w:pPr>
              <w:pStyle w:val="Tabela-tekst"/>
              <w:jc w:val="center"/>
            </w:pPr>
            <w:r>
              <w:t>1</w:t>
            </w:r>
          </w:p>
        </w:tc>
        <w:tc>
          <w:tcPr>
            <w:tcW w:w="1417" w:type="dxa"/>
            <w:vAlign w:val="center"/>
          </w:tcPr>
          <w:p w14:paraId="042720D5" w14:textId="3B43341B" w:rsidR="00643D60" w:rsidRPr="00C62163" w:rsidRDefault="00B623DA" w:rsidP="003110FC">
            <w:pPr>
              <w:pStyle w:val="Tabela-tekst"/>
              <w:jc w:val="center"/>
            </w:pPr>
            <w:r>
              <w:t>0</w:t>
            </w:r>
          </w:p>
        </w:tc>
        <w:tc>
          <w:tcPr>
            <w:tcW w:w="1554" w:type="dxa"/>
            <w:vAlign w:val="center"/>
          </w:tcPr>
          <w:p w14:paraId="6C232EE4" w14:textId="1C32B246" w:rsidR="00643D60" w:rsidRPr="00C62163" w:rsidRDefault="00B623DA" w:rsidP="003110FC">
            <w:pPr>
              <w:pStyle w:val="Tabela-tekst"/>
              <w:jc w:val="center"/>
            </w:pPr>
            <w:r>
              <w:t>1</w:t>
            </w:r>
          </w:p>
        </w:tc>
      </w:tr>
      <w:tr w:rsidR="00643D60" w:rsidRPr="00BC2D1E" w14:paraId="6E154CBB" w14:textId="77777777" w:rsidTr="00A03144">
        <w:trPr>
          <w:trHeight w:val="454"/>
        </w:trPr>
        <w:tc>
          <w:tcPr>
            <w:tcW w:w="3261" w:type="dxa"/>
            <w:vAlign w:val="center"/>
          </w:tcPr>
          <w:p w14:paraId="2EB77B30" w14:textId="77777777" w:rsidR="00643D60" w:rsidRPr="00C62163" w:rsidRDefault="00643D60" w:rsidP="00A03144">
            <w:pPr>
              <w:pStyle w:val="Tabela-tekst"/>
            </w:pPr>
            <w:r w:rsidRPr="00C62163">
              <w:t>Zły stan wód</w:t>
            </w:r>
          </w:p>
        </w:tc>
        <w:tc>
          <w:tcPr>
            <w:tcW w:w="1417" w:type="dxa"/>
            <w:shd w:val="clear" w:color="auto" w:fill="F2F2F2" w:themeFill="background1" w:themeFillShade="F2"/>
            <w:vAlign w:val="center"/>
          </w:tcPr>
          <w:p w14:paraId="4FFDB28F" w14:textId="77777777" w:rsidR="00643D60" w:rsidRPr="00C62163" w:rsidRDefault="00643D60" w:rsidP="003110FC">
            <w:pPr>
              <w:pStyle w:val="Tabela-tekst"/>
              <w:jc w:val="center"/>
            </w:pPr>
            <w:r>
              <w:t>46</w:t>
            </w:r>
          </w:p>
        </w:tc>
        <w:tc>
          <w:tcPr>
            <w:tcW w:w="1418" w:type="dxa"/>
            <w:vAlign w:val="center"/>
          </w:tcPr>
          <w:p w14:paraId="52B7F4C9" w14:textId="77777777" w:rsidR="00643D60" w:rsidRPr="00C62163" w:rsidRDefault="00643D60" w:rsidP="003110FC">
            <w:pPr>
              <w:pStyle w:val="Tabela-tekst"/>
              <w:jc w:val="center"/>
            </w:pPr>
            <w:r>
              <w:t>56</w:t>
            </w:r>
          </w:p>
        </w:tc>
        <w:tc>
          <w:tcPr>
            <w:tcW w:w="1417" w:type="dxa"/>
            <w:vAlign w:val="center"/>
          </w:tcPr>
          <w:p w14:paraId="76369EE1" w14:textId="5FEDDF53" w:rsidR="00643D60" w:rsidRPr="00C62163" w:rsidRDefault="00B623DA" w:rsidP="003110FC">
            <w:pPr>
              <w:pStyle w:val="Tabela-tekst"/>
              <w:jc w:val="center"/>
            </w:pPr>
            <w:r>
              <w:t>47</w:t>
            </w:r>
          </w:p>
        </w:tc>
        <w:tc>
          <w:tcPr>
            <w:tcW w:w="1554" w:type="dxa"/>
            <w:vAlign w:val="center"/>
          </w:tcPr>
          <w:p w14:paraId="287A121B" w14:textId="439D6053" w:rsidR="00643D60" w:rsidRPr="00C62163" w:rsidRDefault="00B623DA" w:rsidP="003110FC">
            <w:pPr>
              <w:pStyle w:val="Tabela-tekst"/>
              <w:jc w:val="center"/>
            </w:pPr>
            <w:r>
              <w:t>9</w:t>
            </w:r>
          </w:p>
        </w:tc>
      </w:tr>
    </w:tbl>
    <w:p w14:paraId="422D813E" w14:textId="77777777" w:rsidR="00643D60" w:rsidRPr="00C62163" w:rsidRDefault="00643D60" w:rsidP="00643D60">
      <w:pPr>
        <w:suppressAutoHyphens/>
        <w:spacing w:before="0" w:after="0"/>
      </w:pPr>
      <w:r w:rsidRPr="00C62163">
        <w:rPr>
          <w:vertAlign w:val="superscript"/>
        </w:rPr>
        <w:t>1)</w:t>
      </w:r>
      <w:r w:rsidRPr="00C62163">
        <w:rPr>
          <w:i/>
          <w:iCs/>
          <w:sz w:val="16"/>
          <w:szCs w:val="16"/>
        </w:rPr>
        <w:t xml:space="preserve">Ocena stanu na podstawie oceny 2014-2019 (GIOŚ) zgodnie z r.kl.jcwp </w:t>
      </w:r>
      <w:r>
        <w:rPr>
          <w:i/>
          <w:iCs/>
          <w:sz w:val="16"/>
          <w:szCs w:val="16"/>
        </w:rPr>
        <w:t>wg</w:t>
      </w:r>
      <w:r w:rsidRPr="00C62163">
        <w:rPr>
          <w:i/>
          <w:iCs/>
          <w:sz w:val="16"/>
          <w:szCs w:val="16"/>
        </w:rPr>
        <w:t xml:space="preserve"> klasyfikacji obowiązującej do 01.2022 r. przeniesiona na nowy układ planistyczny</w:t>
      </w:r>
    </w:p>
    <w:p w14:paraId="66C40329" w14:textId="77777777" w:rsidR="00643D60" w:rsidRPr="00C62163" w:rsidRDefault="00643D60" w:rsidP="00643D60">
      <w:pPr>
        <w:suppressAutoHyphens/>
        <w:spacing w:before="0" w:after="0"/>
      </w:pPr>
      <w:r w:rsidRPr="00C62163">
        <w:rPr>
          <w:vertAlign w:val="superscript"/>
        </w:rPr>
        <w:t>2)</w:t>
      </w:r>
      <w:r w:rsidRPr="00C62163">
        <w:rPr>
          <w:i/>
          <w:iCs/>
          <w:sz w:val="16"/>
          <w:szCs w:val="16"/>
        </w:rPr>
        <w:t xml:space="preserve">Ocena stanu na podstawie oceny 2014-2019 (GIOŚ) przeliczona zgodnie z r.kl.jcwp </w:t>
      </w:r>
      <w:r>
        <w:rPr>
          <w:i/>
          <w:iCs/>
          <w:sz w:val="16"/>
          <w:szCs w:val="16"/>
        </w:rPr>
        <w:t>wg</w:t>
      </w:r>
      <w:r w:rsidRPr="00C62163">
        <w:rPr>
          <w:i/>
          <w:iCs/>
          <w:sz w:val="16"/>
          <w:szCs w:val="16"/>
        </w:rPr>
        <w:t xml:space="preserve"> klasyfikacji obowiązującej od 01.2022 r.</w:t>
      </w:r>
    </w:p>
    <w:p w14:paraId="08BA1B5B" w14:textId="03A124A8" w:rsidR="00643D60" w:rsidRPr="00C62163" w:rsidRDefault="00643D60" w:rsidP="00643D60">
      <w:pPr>
        <w:suppressAutoHyphens/>
        <w:spacing w:before="0" w:after="0"/>
        <w:rPr>
          <w:i/>
          <w:sz w:val="16"/>
          <w:szCs w:val="16"/>
        </w:rPr>
      </w:pPr>
      <w:r w:rsidRPr="00C62163">
        <w:rPr>
          <w:vertAlign w:val="superscript"/>
        </w:rPr>
        <w:t>3)</w:t>
      </w:r>
      <w:r w:rsidRPr="00C62163">
        <w:rPr>
          <w:i/>
          <w:iCs/>
          <w:sz w:val="16"/>
          <w:szCs w:val="16"/>
        </w:rPr>
        <w:t xml:space="preserve">Ocena wykonana przy wykorzystaniu wyników Analizy znaczących oddziaływań </w:t>
      </w:r>
      <w:r w:rsidR="00442AB7">
        <w:rPr>
          <w:i/>
          <w:iCs/>
          <w:sz w:val="16"/>
          <w:szCs w:val="16"/>
        </w:rPr>
        <w:t>-</w:t>
      </w:r>
      <w:r w:rsidRPr="00C62163">
        <w:rPr>
          <w:i/>
          <w:iCs/>
          <w:sz w:val="16"/>
          <w:szCs w:val="16"/>
        </w:rPr>
        <w:t xml:space="preserve"> jcwp (…) dla jcwp niemonitorowanych, dla 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66B83544" w14:textId="7F55A891" w:rsidR="00643D60" w:rsidRPr="00BE4152" w:rsidRDefault="00643D60" w:rsidP="00442AB7">
      <w:pPr>
        <w:pStyle w:val="rdo0"/>
        <w:rPr>
          <w:i w:val="0"/>
          <w:color w:val="000099"/>
          <w:sz w:val="20"/>
          <w:szCs w:val="20"/>
        </w:rPr>
      </w:pPr>
      <w:r w:rsidRPr="00C62163">
        <w:t xml:space="preserve">Źródło: opracowanie </w:t>
      </w:r>
      <w:r w:rsidR="00B84032">
        <w:t>własne</w:t>
      </w:r>
      <w:r w:rsidRPr="00C62163">
        <w:t xml:space="preserve"> na podstawie danych GIOŚ oraz wyników</w:t>
      </w:r>
      <w:r w:rsidRPr="00C62163">
        <w:br/>
        <w:t xml:space="preserve"> Analizy znaczących oddziaływań </w:t>
      </w:r>
      <w:r w:rsidR="00442AB7">
        <w:t>-</w:t>
      </w:r>
      <w:r w:rsidRPr="00C62163">
        <w:t xml:space="preserve"> jcwp (…)</w:t>
      </w:r>
    </w:p>
    <w:p w14:paraId="23424A74" w14:textId="665E295A" w:rsidR="00FD07E0" w:rsidRDefault="00FD07E0" w:rsidP="00B50FFD">
      <w:pPr>
        <w:pStyle w:val="Nagwek4"/>
      </w:pPr>
      <w:r>
        <w:t xml:space="preserve">Syntetyczny raport dotyczący klasyfikacji i oceny stanu </w:t>
      </w:r>
      <w:r w:rsidR="00585AB9">
        <w:t xml:space="preserve">jcwp </w:t>
      </w:r>
      <w:r w:rsidR="006C4947">
        <w:t>-</w:t>
      </w:r>
      <w:r w:rsidR="00585AB9">
        <w:t xml:space="preserve"> podsumowanie</w:t>
      </w:r>
    </w:p>
    <w:p w14:paraId="3656BBE2" w14:textId="77777777" w:rsidR="00F446D9" w:rsidRDefault="00F446D9" w:rsidP="00F446D9">
      <w:r>
        <w:t>Przedstawione w rozdziale informacje stanowią podsumowanie syntetycznego raportu dotyczącego klasyfikacji i oceny stanu jcwp przygotowanego przez GIOŚ</w:t>
      </w:r>
      <w:r>
        <w:rPr>
          <w:rStyle w:val="Odwoanieprzypisudolnego"/>
        </w:rPr>
        <w:footnoteReference w:id="19"/>
      </w:r>
      <w:r>
        <w:t xml:space="preserve">. Dokonane analizy zostały opracowane zgodnie z r.kl.jcwp obowiązującym do 2022 roku z uwzględnieniem układu planistycznego aPGW. </w:t>
      </w:r>
    </w:p>
    <w:p w14:paraId="3872B04F" w14:textId="77777777" w:rsidR="00F446D9" w:rsidRDefault="00F446D9" w:rsidP="00F446D9">
      <w:r>
        <w:t xml:space="preserve">Zgodnie z </w:t>
      </w:r>
      <w:r>
        <w:rPr>
          <w:rFonts w:eastAsia="Times New Roman" w:cs="Calibri"/>
          <w:color w:val="000000"/>
          <w:lang w:eastAsia="pl-PL"/>
        </w:rPr>
        <w:t>r.kl.jcwp dokonano klasyfikacji i oceny stanu jednolitych części wód powierzchniowych za rok 2019 w oparciu o:</w:t>
      </w:r>
    </w:p>
    <w:p w14:paraId="22E28D0F" w14:textId="77777777" w:rsidR="00F446D9" w:rsidRDefault="00F446D9" w:rsidP="00AA3506">
      <w:pPr>
        <w:pStyle w:val="Akapitzlist"/>
        <w:numPr>
          <w:ilvl w:val="0"/>
          <w:numId w:val="131"/>
        </w:numPr>
        <w:suppressAutoHyphens/>
        <w:autoSpaceDN w:val="0"/>
        <w:jc w:val="left"/>
        <w:textAlignment w:val="baseline"/>
      </w:pPr>
      <w:r>
        <w:t>Dane uzyskane w ramach PMŚ z okresu 2014-2019;</w:t>
      </w:r>
    </w:p>
    <w:p w14:paraId="684A416D" w14:textId="77777777" w:rsidR="00F446D9" w:rsidRDefault="00F446D9" w:rsidP="00AA3506">
      <w:pPr>
        <w:pStyle w:val="Akapitzlist"/>
        <w:numPr>
          <w:ilvl w:val="0"/>
          <w:numId w:val="131"/>
        </w:numPr>
        <w:suppressAutoHyphens/>
        <w:autoSpaceDN w:val="0"/>
        <w:jc w:val="left"/>
        <w:textAlignment w:val="baseline"/>
      </w:pPr>
      <w:r>
        <w:t xml:space="preserve">Zasadę dziedziczenia, o której mowa w § 15 </w:t>
      </w:r>
      <w:r>
        <w:rPr>
          <w:rFonts w:eastAsia="Times New Roman" w:cs="Calibri"/>
          <w:color w:val="000000"/>
          <w:lang w:eastAsia="pl-PL"/>
        </w:rPr>
        <w:t>r.kl.jcwp.</w:t>
      </w:r>
    </w:p>
    <w:p w14:paraId="03BCEFA8" w14:textId="51146212" w:rsidR="00F446D9" w:rsidRDefault="00F446D9" w:rsidP="00F446D9">
      <w:r>
        <w:t xml:space="preserve">W ramach prac łącznie przeanalizowano 4849 jcwp RW, 1066 jcwp LW oraz 19 jcwp CW i TW </w:t>
      </w:r>
      <w:r w:rsidRPr="00296227">
        <w:t>stanowiących zarówno jcwp podlegające monitoringowi jak również jcwp niemonitorowane (tabela 5-</w:t>
      </w:r>
      <w:r w:rsidR="00296227">
        <w:t> </w:t>
      </w:r>
      <w:r w:rsidRPr="00296227">
        <w:t>1</w:t>
      </w:r>
      <w:r w:rsidR="00296227" w:rsidRPr="00296227">
        <w:t>6</w:t>
      </w:r>
      <w:r w:rsidRPr="00296227">
        <w:t>). Ponadto</w:t>
      </w:r>
      <w:r w:rsidRPr="00D15434">
        <w:t xml:space="preserve"> </w:t>
      </w:r>
      <w:r>
        <w:t>analizy przeprowadzone w stosunku do jcwp RW dotyczą zarówno części rzecznych jak i zbiornikowych wód powierzchniowych. W odniesieniu do 111 jcwp wykazano brak możliwości przeprowadzenia badań w pełnym zakresie (w ramach PMŚ) ze względu na brak lub niedostateczną ilość wody w punkcie pomiarowo-kontrolnym.</w:t>
      </w:r>
    </w:p>
    <w:p w14:paraId="5FAEAC23" w14:textId="6F52A86D" w:rsidR="007E53F5" w:rsidRDefault="007E53F5" w:rsidP="007E53F5">
      <w:pPr>
        <w:pStyle w:val="Tabela"/>
      </w:pPr>
      <w:bookmarkStart w:id="94" w:name="_Toc68726968"/>
      <w:r>
        <w:t xml:space="preserve">Tabela </w:t>
      </w:r>
      <w:fldSimple w:instr=" STYLEREF 1 \s ">
        <w:r w:rsidR="00061289">
          <w:rPr>
            <w:noProof/>
          </w:rPr>
          <w:t>5</w:t>
        </w:r>
      </w:fldSimple>
      <w:r w:rsidR="007B4050">
        <w:noBreakHyphen/>
      </w:r>
      <w:fldSimple w:instr=" SEQ Tabela \* ARABIC \s 1 ">
        <w:r w:rsidR="00061289">
          <w:rPr>
            <w:noProof/>
          </w:rPr>
          <w:t>16</w:t>
        </w:r>
      </w:fldSimple>
      <w:r>
        <w:tab/>
      </w:r>
      <w:r w:rsidRPr="006D1314">
        <w:t>Liczba jcwp monitorowanych i niemonitorowanych przeanalizowanych pod kątem klasyfikacji i oceny w podziale na kategorie wód</w:t>
      </w:r>
      <w:bookmarkEnd w:id="94"/>
    </w:p>
    <w:tbl>
      <w:tblPr>
        <w:tblW w:w="5000" w:type="pct"/>
        <w:tblCellMar>
          <w:left w:w="10" w:type="dxa"/>
          <w:right w:w="10" w:type="dxa"/>
        </w:tblCellMar>
        <w:tblLook w:val="04A0" w:firstRow="1" w:lastRow="0" w:firstColumn="1" w:lastColumn="0" w:noHBand="0" w:noVBand="1"/>
      </w:tblPr>
      <w:tblGrid>
        <w:gridCol w:w="2274"/>
        <w:gridCol w:w="2266"/>
        <w:gridCol w:w="2266"/>
        <w:gridCol w:w="2256"/>
      </w:tblGrid>
      <w:tr w:rsidR="003659EF" w:rsidRPr="00777792" w14:paraId="6FBBD9CC" w14:textId="77777777" w:rsidTr="00B50FFD">
        <w:trPr>
          <w:trHeight w:val="454"/>
        </w:trPr>
        <w:tc>
          <w:tcPr>
            <w:tcW w:w="2274" w:type="dxa"/>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DD090C9" w14:textId="77777777" w:rsidR="003659EF" w:rsidRPr="00777792" w:rsidRDefault="003659EF" w:rsidP="00B50FFD">
            <w:pPr>
              <w:autoSpaceDN w:val="0"/>
              <w:spacing w:before="40" w:after="40"/>
              <w:jc w:val="center"/>
              <w:textAlignment w:val="baseline"/>
              <w:rPr>
                <w:rFonts w:eastAsia="Times New Roman" w:cs="Calibri"/>
                <w:b/>
                <w:bCs/>
                <w:sz w:val="20"/>
                <w:szCs w:val="20"/>
              </w:rPr>
            </w:pPr>
            <w:r>
              <w:rPr>
                <w:rFonts w:eastAsia="Times New Roman" w:cs="Calibri"/>
                <w:b/>
                <w:bCs/>
                <w:sz w:val="20"/>
                <w:szCs w:val="20"/>
              </w:rPr>
              <w:t>S</w:t>
            </w:r>
            <w:r w:rsidRPr="00777792">
              <w:rPr>
                <w:rFonts w:eastAsia="Times New Roman" w:cs="Calibri"/>
                <w:b/>
                <w:bCs/>
                <w:sz w:val="20"/>
                <w:szCs w:val="20"/>
              </w:rPr>
              <w:t>tatus jcwp</w:t>
            </w:r>
          </w:p>
        </w:tc>
        <w:tc>
          <w:tcPr>
            <w:tcW w:w="6788"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254F56A6" w14:textId="77777777" w:rsidR="003659EF" w:rsidRPr="00777792" w:rsidRDefault="003659EF" w:rsidP="00B50FFD">
            <w:pPr>
              <w:autoSpaceDN w:val="0"/>
              <w:spacing w:before="40" w:after="40"/>
              <w:jc w:val="center"/>
              <w:textAlignment w:val="baseline"/>
              <w:rPr>
                <w:rFonts w:eastAsia="Times New Roman" w:cs="Calibri"/>
                <w:b/>
                <w:bCs/>
                <w:sz w:val="20"/>
                <w:szCs w:val="20"/>
              </w:rPr>
            </w:pPr>
            <w:r w:rsidRPr="00777792">
              <w:rPr>
                <w:rFonts w:eastAsia="Times New Roman" w:cs="Calibri"/>
                <w:b/>
                <w:bCs/>
                <w:sz w:val="20"/>
                <w:szCs w:val="20"/>
              </w:rPr>
              <w:t>Liczba jcwp</w:t>
            </w:r>
          </w:p>
        </w:tc>
      </w:tr>
      <w:tr w:rsidR="003659EF" w:rsidRPr="00777792" w14:paraId="6046525A" w14:textId="77777777" w:rsidTr="00B50FFD">
        <w:trPr>
          <w:trHeight w:val="454"/>
        </w:trPr>
        <w:tc>
          <w:tcPr>
            <w:tcW w:w="2274" w:type="dxa"/>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49F497E" w14:textId="77777777" w:rsidR="003659EF" w:rsidRPr="00777792" w:rsidRDefault="003659EF" w:rsidP="00B50FFD">
            <w:pPr>
              <w:autoSpaceDN w:val="0"/>
              <w:spacing w:before="40" w:after="40"/>
              <w:jc w:val="left"/>
              <w:textAlignment w:val="baseline"/>
              <w:rPr>
                <w:rFonts w:eastAsia="Times New Roman" w:cs="Calibri"/>
                <w:b/>
                <w:bCs/>
                <w:sz w:val="20"/>
                <w:szCs w:val="20"/>
              </w:rPr>
            </w:pP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DD32D48" w14:textId="77777777" w:rsidR="003659EF" w:rsidRPr="00777792" w:rsidRDefault="003659EF" w:rsidP="00B50FFD">
            <w:pPr>
              <w:autoSpaceDN w:val="0"/>
              <w:spacing w:before="40" w:after="40"/>
              <w:jc w:val="center"/>
              <w:textAlignment w:val="baseline"/>
              <w:rPr>
                <w:rFonts w:eastAsia="Times New Roman" w:cs="Calibri"/>
                <w:b/>
                <w:bCs/>
                <w:sz w:val="20"/>
                <w:szCs w:val="20"/>
              </w:rPr>
            </w:pPr>
            <w:r w:rsidRPr="00777792">
              <w:rPr>
                <w:rFonts w:eastAsia="Times New Roman" w:cs="Calibri"/>
                <w:b/>
                <w:bCs/>
                <w:sz w:val="20"/>
                <w:szCs w:val="20"/>
              </w:rPr>
              <w:t>jcwp RW</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97CFA12" w14:textId="77777777" w:rsidR="003659EF" w:rsidRPr="00777792" w:rsidRDefault="003659EF" w:rsidP="00B50FFD">
            <w:pPr>
              <w:autoSpaceDN w:val="0"/>
              <w:spacing w:before="40" w:after="40"/>
              <w:jc w:val="center"/>
              <w:textAlignment w:val="baseline"/>
              <w:rPr>
                <w:rFonts w:eastAsia="Times New Roman" w:cs="Calibri"/>
                <w:b/>
                <w:bCs/>
                <w:sz w:val="20"/>
                <w:szCs w:val="20"/>
              </w:rPr>
            </w:pPr>
            <w:r w:rsidRPr="00777792">
              <w:rPr>
                <w:rFonts w:eastAsia="Times New Roman" w:cs="Calibri"/>
                <w:b/>
                <w:bCs/>
                <w:sz w:val="20"/>
                <w:szCs w:val="20"/>
              </w:rPr>
              <w:t xml:space="preserve">jcwp LW </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A927959" w14:textId="77777777" w:rsidR="003659EF" w:rsidRPr="00777792" w:rsidRDefault="003659EF" w:rsidP="00B50FFD">
            <w:pPr>
              <w:autoSpaceDN w:val="0"/>
              <w:spacing w:before="40" w:after="40"/>
              <w:jc w:val="center"/>
              <w:textAlignment w:val="baseline"/>
              <w:rPr>
                <w:rFonts w:eastAsia="Times New Roman" w:cs="Calibri"/>
                <w:b/>
                <w:bCs/>
                <w:sz w:val="20"/>
                <w:szCs w:val="20"/>
              </w:rPr>
            </w:pPr>
            <w:r w:rsidRPr="00777792">
              <w:rPr>
                <w:rFonts w:eastAsia="Times New Roman" w:cs="Calibri"/>
                <w:b/>
                <w:bCs/>
                <w:sz w:val="20"/>
                <w:szCs w:val="20"/>
              </w:rPr>
              <w:t>jcwp CW i TW</w:t>
            </w:r>
          </w:p>
        </w:tc>
      </w:tr>
      <w:tr w:rsidR="003659EF" w:rsidRPr="00777792" w14:paraId="07A1F611" w14:textId="77777777" w:rsidTr="00B50FFD">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D22CD4" w14:textId="77777777" w:rsidR="003659EF" w:rsidRPr="00777792" w:rsidRDefault="003659EF" w:rsidP="00B50FFD">
            <w:pPr>
              <w:autoSpaceDN w:val="0"/>
              <w:spacing w:before="40" w:after="40"/>
              <w:jc w:val="left"/>
              <w:textAlignment w:val="baseline"/>
              <w:rPr>
                <w:sz w:val="20"/>
              </w:rPr>
            </w:pPr>
            <w:r w:rsidRPr="00777792">
              <w:rPr>
                <w:sz w:val="20"/>
              </w:rPr>
              <w:t>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E0E643C" w14:textId="77777777" w:rsidR="003659EF" w:rsidRPr="00777792" w:rsidRDefault="003659EF" w:rsidP="00B50FFD">
            <w:pPr>
              <w:autoSpaceDN w:val="0"/>
              <w:spacing w:before="40" w:after="40"/>
              <w:jc w:val="center"/>
              <w:textAlignment w:val="baseline"/>
              <w:rPr>
                <w:sz w:val="20"/>
              </w:rPr>
            </w:pPr>
            <w:r w:rsidRPr="00777792">
              <w:rPr>
                <w:sz w:val="20"/>
              </w:rPr>
              <w:t>3315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9281382" w14:textId="77777777" w:rsidR="003659EF" w:rsidRPr="00777792" w:rsidRDefault="003659EF" w:rsidP="00B50FFD">
            <w:pPr>
              <w:autoSpaceDN w:val="0"/>
              <w:spacing w:before="40" w:after="40"/>
              <w:jc w:val="center"/>
              <w:textAlignment w:val="baseline"/>
              <w:rPr>
                <w:sz w:val="20"/>
              </w:rPr>
            </w:pPr>
            <w:r w:rsidRPr="00777792">
              <w:rPr>
                <w:sz w:val="20"/>
              </w:rPr>
              <w:t>713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814787" w14:textId="77777777" w:rsidR="003659EF" w:rsidRPr="00777792" w:rsidRDefault="003659EF" w:rsidP="00B50FFD">
            <w:pPr>
              <w:autoSpaceDN w:val="0"/>
              <w:spacing w:before="40" w:after="40"/>
              <w:jc w:val="center"/>
              <w:textAlignment w:val="baseline"/>
              <w:rPr>
                <w:sz w:val="20"/>
              </w:rPr>
            </w:pPr>
            <w:r w:rsidRPr="00777792">
              <w:rPr>
                <w:sz w:val="20"/>
              </w:rPr>
              <w:t>19</w:t>
            </w:r>
          </w:p>
        </w:tc>
      </w:tr>
      <w:tr w:rsidR="003659EF" w:rsidRPr="00777792" w14:paraId="75A938AF" w14:textId="77777777" w:rsidTr="00B50FFD">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B698C91" w14:textId="77777777" w:rsidR="003659EF" w:rsidRPr="00777792" w:rsidRDefault="003659EF" w:rsidP="00B50FFD">
            <w:pPr>
              <w:autoSpaceDN w:val="0"/>
              <w:spacing w:before="40" w:after="40"/>
              <w:jc w:val="left"/>
              <w:textAlignment w:val="baseline"/>
              <w:rPr>
                <w:sz w:val="20"/>
              </w:rPr>
            </w:pPr>
            <w:r w:rsidRPr="00777792">
              <w:rPr>
                <w:sz w:val="20"/>
              </w:rPr>
              <w:t>niemonitorowane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B427ED3" w14:textId="77777777" w:rsidR="003659EF" w:rsidRPr="00777792" w:rsidRDefault="003659EF" w:rsidP="00B50FFD">
            <w:pPr>
              <w:autoSpaceDN w:val="0"/>
              <w:spacing w:before="40" w:after="40"/>
              <w:jc w:val="center"/>
              <w:textAlignment w:val="baseline"/>
              <w:rPr>
                <w:sz w:val="20"/>
              </w:rPr>
            </w:pPr>
            <w:r w:rsidRPr="00777792">
              <w:rPr>
                <w:sz w:val="20"/>
              </w:rPr>
              <w:t>1534</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1085113" w14:textId="77777777" w:rsidR="003659EF" w:rsidRPr="00777792" w:rsidRDefault="003659EF" w:rsidP="00B50FFD">
            <w:pPr>
              <w:autoSpaceDN w:val="0"/>
              <w:spacing w:before="40" w:after="40"/>
              <w:jc w:val="center"/>
              <w:textAlignment w:val="baseline"/>
              <w:rPr>
                <w:sz w:val="20"/>
              </w:rPr>
            </w:pPr>
            <w:r w:rsidRPr="00777792">
              <w:rPr>
                <w:sz w:val="20"/>
              </w:rPr>
              <w:t>353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71B195F" w14:textId="77777777" w:rsidR="003659EF" w:rsidRPr="00777792" w:rsidRDefault="003659EF" w:rsidP="00B50FFD">
            <w:pPr>
              <w:autoSpaceDN w:val="0"/>
              <w:spacing w:before="40" w:after="40"/>
              <w:jc w:val="center"/>
              <w:textAlignment w:val="baseline"/>
              <w:rPr>
                <w:sz w:val="20"/>
              </w:rPr>
            </w:pPr>
            <w:r w:rsidRPr="00777792">
              <w:rPr>
                <w:sz w:val="20"/>
              </w:rPr>
              <w:t>-</w:t>
            </w:r>
          </w:p>
        </w:tc>
      </w:tr>
      <w:tr w:rsidR="003659EF" w:rsidRPr="00777792" w14:paraId="1D5C1E91" w14:textId="77777777" w:rsidTr="00B50FFD">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7F09658" w14:textId="77777777" w:rsidR="003659EF" w:rsidRPr="00777792" w:rsidRDefault="003659EF" w:rsidP="00B50FFD">
            <w:pPr>
              <w:autoSpaceDN w:val="0"/>
              <w:spacing w:before="40" w:after="40"/>
              <w:jc w:val="center"/>
              <w:textAlignment w:val="baseline"/>
              <w:rPr>
                <w:b/>
                <w:bCs/>
                <w:sz w:val="20"/>
              </w:rPr>
            </w:pPr>
            <w:r w:rsidRPr="00777792">
              <w:rPr>
                <w:b/>
                <w:bCs/>
                <w:sz w:val="20"/>
              </w:rPr>
              <w:t>suma</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3C4A913" w14:textId="77777777" w:rsidR="003659EF" w:rsidRPr="00777792" w:rsidRDefault="003659EF" w:rsidP="00B50FFD">
            <w:pPr>
              <w:autoSpaceDN w:val="0"/>
              <w:spacing w:before="40" w:after="40"/>
              <w:jc w:val="center"/>
              <w:textAlignment w:val="baseline"/>
              <w:rPr>
                <w:b/>
                <w:bCs/>
                <w:sz w:val="20"/>
              </w:rPr>
            </w:pPr>
            <w:r w:rsidRPr="00777792">
              <w:rPr>
                <w:b/>
                <w:bCs/>
                <w:sz w:val="20"/>
              </w:rPr>
              <w:t>4849</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0A972887" w14:textId="77777777" w:rsidR="003659EF" w:rsidRPr="00777792" w:rsidRDefault="003659EF" w:rsidP="00B50FFD">
            <w:pPr>
              <w:autoSpaceDN w:val="0"/>
              <w:spacing w:before="40" w:after="40"/>
              <w:jc w:val="center"/>
              <w:textAlignment w:val="baseline"/>
              <w:rPr>
                <w:b/>
                <w:bCs/>
                <w:sz w:val="20"/>
              </w:rPr>
            </w:pPr>
            <w:r w:rsidRPr="00777792">
              <w:rPr>
                <w:b/>
                <w:bCs/>
                <w:sz w:val="20"/>
              </w:rPr>
              <w:t>1066</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3FA88B9" w14:textId="77777777" w:rsidR="003659EF" w:rsidRPr="00777792" w:rsidRDefault="003659EF" w:rsidP="00B50FFD">
            <w:pPr>
              <w:autoSpaceDN w:val="0"/>
              <w:spacing w:before="40" w:after="40"/>
              <w:jc w:val="center"/>
              <w:textAlignment w:val="baseline"/>
              <w:rPr>
                <w:b/>
                <w:bCs/>
                <w:sz w:val="20"/>
              </w:rPr>
            </w:pPr>
            <w:r w:rsidRPr="00777792">
              <w:rPr>
                <w:b/>
                <w:bCs/>
                <w:sz w:val="20"/>
              </w:rPr>
              <w:t>19</w:t>
            </w:r>
          </w:p>
        </w:tc>
      </w:tr>
    </w:tbl>
    <w:p w14:paraId="02BED863" w14:textId="77777777" w:rsidR="0050629C" w:rsidRPr="0050629C" w:rsidRDefault="0050629C" w:rsidP="0050629C">
      <w:pPr>
        <w:pStyle w:val="rdo0"/>
      </w:pPr>
      <w:r w:rsidRPr="0050629C">
        <w:t>Źródło: opracowanie własne  na podstawie danych GIOŚ</w:t>
      </w:r>
    </w:p>
    <w:p w14:paraId="3A849A3A" w14:textId="6AEA7E44" w:rsidR="002C1C1E" w:rsidRDefault="002C1C1E" w:rsidP="002C1C1E">
      <w:r>
        <w:t>Docelowo w 2020 r. dokonano klasyfikacji jcwp z podziałem na kategorie wód oraz z uwzględnieniem (</w:t>
      </w:r>
      <w:r w:rsidRPr="00433F71">
        <w:t>tabela 5-1</w:t>
      </w:r>
      <w:r w:rsidR="000E0962">
        <w:t>7</w:t>
      </w:r>
      <w:r w:rsidRPr="00433F71">
        <w:t>):</w:t>
      </w:r>
    </w:p>
    <w:p w14:paraId="0C1D82D5" w14:textId="77777777" w:rsidR="002C1C1E" w:rsidRPr="00775E5A" w:rsidRDefault="002C1C1E" w:rsidP="00775E5A">
      <w:pPr>
        <w:pStyle w:val="Akapitzlist"/>
      </w:pPr>
      <w:r w:rsidRPr="00775E5A">
        <w:t>stanu ekologicznego,</w:t>
      </w:r>
    </w:p>
    <w:p w14:paraId="6330E990" w14:textId="77777777" w:rsidR="002C1C1E" w:rsidRPr="00775E5A" w:rsidRDefault="002C1C1E" w:rsidP="00775E5A">
      <w:pPr>
        <w:pStyle w:val="Akapitzlist"/>
      </w:pPr>
      <w:r w:rsidRPr="00775E5A">
        <w:t xml:space="preserve">potencjału ekologicznego, </w:t>
      </w:r>
    </w:p>
    <w:p w14:paraId="667D1E64" w14:textId="77777777" w:rsidR="002C1C1E" w:rsidRPr="00775E5A" w:rsidRDefault="002C1C1E" w:rsidP="00775E5A">
      <w:pPr>
        <w:pStyle w:val="Akapitzlist"/>
      </w:pPr>
      <w:r w:rsidRPr="00775E5A">
        <w:t xml:space="preserve">stanu chemicznego, </w:t>
      </w:r>
    </w:p>
    <w:p w14:paraId="6903BD70" w14:textId="77777777" w:rsidR="002C1C1E" w:rsidRPr="00775E5A" w:rsidRDefault="002C1C1E" w:rsidP="00775E5A">
      <w:pPr>
        <w:pStyle w:val="Akapitzlist"/>
      </w:pPr>
      <w:r w:rsidRPr="00775E5A">
        <w:t>oceny stanu ogólnego.</w:t>
      </w:r>
    </w:p>
    <w:p w14:paraId="4F876D18" w14:textId="40FAF495" w:rsidR="002C1C1E" w:rsidRDefault="002C1C1E" w:rsidP="002C1C1E">
      <w:pPr>
        <w:pStyle w:val="Akapitzlist"/>
        <w:numPr>
          <w:ilvl w:val="0"/>
          <w:numId w:val="0"/>
        </w:numPr>
        <w:rPr>
          <w:rFonts w:eastAsia="Times New Roman" w:cs="Calibri"/>
          <w:color w:val="000000"/>
          <w:lang w:eastAsia="pl-PL"/>
        </w:rPr>
      </w:pPr>
      <w:r>
        <w:rPr>
          <w:rFonts w:eastAsia="Times New Roman" w:cs="Calibri"/>
          <w:color w:val="000000"/>
          <w:lang w:eastAsia="pl-PL"/>
        </w:rPr>
        <w:t xml:space="preserve">Przeprowadzone analizy bazujące na danych monitoringowych oraz zasadzie dziedziczenia dały pełny obraz liczby </w:t>
      </w:r>
      <w:r w:rsidRPr="000E0962">
        <w:rPr>
          <w:rFonts w:eastAsia="Times New Roman" w:cs="Calibri"/>
          <w:color w:val="000000"/>
          <w:lang w:eastAsia="pl-PL"/>
        </w:rPr>
        <w:t>jcwp RW, jcwp LW, jcwp CW i TW, dla których możliwe było wyznaczenie stanu wód (tabela 5-</w:t>
      </w:r>
      <w:r w:rsidR="00E42B9E" w:rsidRPr="000E0962">
        <w:rPr>
          <w:rFonts w:eastAsia="Times New Roman" w:cs="Calibri"/>
          <w:color w:val="000000"/>
          <w:lang w:eastAsia="pl-PL"/>
        </w:rPr>
        <w:t>17</w:t>
      </w:r>
      <w:r w:rsidRPr="000E0962">
        <w:rPr>
          <w:rFonts w:eastAsia="Times New Roman" w:cs="Calibri"/>
          <w:color w:val="000000"/>
          <w:lang w:eastAsia="pl-PL"/>
        </w:rPr>
        <w:t>). Liczba niesklasyfikowanych</w:t>
      </w:r>
      <w:r>
        <w:rPr>
          <w:rFonts w:eastAsia="Times New Roman" w:cs="Calibri"/>
          <w:color w:val="000000"/>
          <w:lang w:eastAsia="pl-PL"/>
        </w:rPr>
        <w:t xml:space="preserve"> jcwp oznacza liczbę jcwp, dla których badania przeprowadzone w ramach PMŚ nie były wystarczające do przeprowadzenia klasyfikacji stanu/potencjału ekologicznego lub stanu chemicznego oraz dla których pomimo tego możliwa była ocena.</w:t>
      </w:r>
    </w:p>
    <w:p w14:paraId="1FC5727E" w14:textId="1B659DC6" w:rsidR="008A1EA7" w:rsidRDefault="008A1EA7" w:rsidP="008A1EA7">
      <w:pPr>
        <w:pStyle w:val="Tabela"/>
      </w:pPr>
      <w:bookmarkStart w:id="95" w:name="_Toc68726969"/>
      <w:r>
        <w:t xml:space="preserve">Tabela </w:t>
      </w:r>
      <w:fldSimple w:instr=" STYLEREF 1 \s ">
        <w:r w:rsidR="00AD38E3">
          <w:rPr>
            <w:noProof/>
          </w:rPr>
          <w:t>5</w:t>
        </w:r>
      </w:fldSimple>
      <w:r w:rsidR="007B4050">
        <w:noBreakHyphen/>
      </w:r>
      <w:fldSimple w:instr=" SEQ Tabela \* ARABIC \s 1 ">
        <w:r w:rsidR="00AD38E3">
          <w:rPr>
            <w:noProof/>
          </w:rPr>
          <w:t>17</w:t>
        </w:r>
      </w:fldSimple>
      <w:r>
        <w:tab/>
      </w:r>
      <w:r w:rsidRPr="00F0176E">
        <w:t>Podsumowanie statystyczne klasyfikacji i oceny jcwp (jcwp monitorowane i niemonitorowane)</w:t>
      </w:r>
      <w:bookmarkEnd w:id="95"/>
    </w:p>
    <w:tbl>
      <w:tblPr>
        <w:tblW w:w="5000" w:type="pct"/>
        <w:tblCellMar>
          <w:left w:w="10" w:type="dxa"/>
          <w:right w:w="10" w:type="dxa"/>
        </w:tblCellMar>
        <w:tblLook w:val="04A0" w:firstRow="1" w:lastRow="0" w:firstColumn="1" w:lastColumn="0" w:noHBand="0" w:noVBand="1"/>
      </w:tblPr>
      <w:tblGrid>
        <w:gridCol w:w="1111"/>
        <w:gridCol w:w="2304"/>
        <w:gridCol w:w="1680"/>
        <w:gridCol w:w="1988"/>
        <w:gridCol w:w="1979"/>
      </w:tblGrid>
      <w:tr w:rsidR="005B03A9" w:rsidRPr="00AB60C5" w14:paraId="508B5832" w14:textId="77777777" w:rsidTr="005B03A9">
        <w:trPr>
          <w:trHeight w:val="454"/>
          <w:tblHeader/>
        </w:trPr>
        <w:tc>
          <w:tcPr>
            <w:tcW w:w="3415" w:type="dxa"/>
            <w:gridSpan w:val="2"/>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3E23030" w14:textId="77777777" w:rsidR="005B03A9" w:rsidRPr="00AB60C5" w:rsidRDefault="005B03A9" w:rsidP="00B50FFD">
            <w:pPr>
              <w:autoSpaceDN w:val="0"/>
              <w:spacing w:before="40" w:after="40"/>
              <w:jc w:val="center"/>
              <w:textAlignment w:val="baseline"/>
              <w:rPr>
                <w:rFonts w:eastAsia="Times New Roman" w:cs="Calibri"/>
                <w:b/>
                <w:bCs/>
                <w:sz w:val="20"/>
                <w:szCs w:val="20"/>
              </w:rPr>
            </w:pPr>
            <w:r w:rsidRPr="00AB60C5">
              <w:rPr>
                <w:rFonts w:eastAsia="Times New Roman" w:cs="Calibri"/>
                <w:b/>
                <w:bCs/>
                <w:sz w:val="20"/>
                <w:szCs w:val="20"/>
              </w:rPr>
              <w:t>Ocena jcwp</w:t>
            </w:r>
          </w:p>
        </w:tc>
        <w:tc>
          <w:tcPr>
            <w:tcW w:w="5647"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75F5D4E" w14:textId="77777777" w:rsidR="005B03A9" w:rsidRPr="00AB60C5" w:rsidRDefault="005B03A9" w:rsidP="00B50FFD">
            <w:pPr>
              <w:autoSpaceDN w:val="0"/>
              <w:spacing w:before="40" w:after="40"/>
              <w:jc w:val="center"/>
              <w:textAlignment w:val="baseline"/>
              <w:rPr>
                <w:rFonts w:eastAsia="Times New Roman" w:cs="Calibri"/>
                <w:b/>
                <w:bCs/>
                <w:sz w:val="20"/>
                <w:szCs w:val="20"/>
              </w:rPr>
            </w:pPr>
            <w:r w:rsidRPr="00AB60C5">
              <w:rPr>
                <w:rFonts w:eastAsia="Times New Roman" w:cs="Calibri"/>
                <w:b/>
                <w:bCs/>
                <w:sz w:val="20"/>
                <w:szCs w:val="20"/>
              </w:rPr>
              <w:t>Liczba jcwp</w:t>
            </w:r>
          </w:p>
        </w:tc>
      </w:tr>
      <w:tr w:rsidR="005B03A9" w:rsidRPr="00AB60C5" w14:paraId="27C68466" w14:textId="77777777" w:rsidTr="005B03A9">
        <w:trPr>
          <w:trHeight w:val="454"/>
          <w:tblHeader/>
        </w:trPr>
        <w:tc>
          <w:tcPr>
            <w:tcW w:w="3415" w:type="dxa"/>
            <w:gridSpan w:val="2"/>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0CC34E5C" w14:textId="77777777" w:rsidR="005B03A9" w:rsidRPr="00AB60C5" w:rsidRDefault="005B03A9" w:rsidP="00B50FFD">
            <w:pPr>
              <w:autoSpaceDN w:val="0"/>
              <w:spacing w:before="40" w:after="40"/>
              <w:jc w:val="left"/>
              <w:textAlignment w:val="baseline"/>
              <w:rPr>
                <w:rFonts w:eastAsia="Times New Roman" w:cs="Calibri"/>
                <w:b/>
                <w:bCs/>
                <w:sz w:val="20"/>
                <w:szCs w:val="20"/>
              </w:rPr>
            </w:pPr>
          </w:p>
        </w:tc>
        <w:tc>
          <w:tcPr>
            <w:tcW w:w="1680"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BA1CAE2" w14:textId="77777777" w:rsidR="005B03A9" w:rsidRPr="00AB60C5" w:rsidRDefault="005B03A9" w:rsidP="00B50FFD">
            <w:pPr>
              <w:autoSpaceDN w:val="0"/>
              <w:spacing w:before="40" w:after="40"/>
              <w:jc w:val="center"/>
              <w:textAlignment w:val="baseline"/>
              <w:rPr>
                <w:rFonts w:eastAsia="Times New Roman" w:cs="Calibri"/>
                <w:b/>
                <w:bCs/>
                <w:sz w:val="20"/>
                <w:szCs w:val="20"/>
              </w:rPr>
            </w:pPr>
            <w:r w:rsidRPr="00AB60C5">
              <w:rPr>
                <w:rFonts w:eastAsia="Times New Roman" w:cs="Calibri"/>
                <w:b/>
                <w:bCs/>
                <w:sz w:val="20"/>
                <w:szCs w:val="20"/>
              </w:rPr>
              <w:t>jcwp RW</w:t>
            </w:r>
          </w:p>
        </w:tc>
        <w:tc>
          <w:tcPr>
            <w:tcW w:w="1988"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8F10110" w14:textId="77777777" w:rsidR="005B03A9" w:rsidRPr="00AB60C5" w:rsidRDefault="005B03A9" w:rsidP="00B50FFD">
            <w:pPr>
              <w:autoSpaceDN w:val="0"/>
              <w:spacing w:before="40" w:after="40"/>
              <w:jc w:val="center"/>
              <w:textAlignment w:val="baseline"/>
              <w:rPr>
                <w:rFonts w:eastAsia="Times New Roman" w:cs="Calibri"/>
                <w:b/>
                <w:bCs/>
                <w:sz w:val="20"/>
                <w:szCs w:val="20"/>
              </w:rPr>
            </w:pPr>
            <w:r w:rsidRPr="00AB60C5">
              <w:rPr>
                <w:rFonts w:eastAsia="Times New Roman" w:cs="Calibri"/>
                <w:b/>
                <w:bCs/>
                <w:sz w:val="20"/>
                <w:szCs w:val="20"/>
              </w:rPr>
              <w:t xml:space="preserve">jcwp LW </w:t>
            </w:r>
          </w:p>
        </w:tc>
        <w:tc>
          <w:tcPr>
            <w:tcW w:w="1979"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0C2AF28" w14:textId="77777777" w:rsidR="005B03A9" w:rsidRPr="00AB60C5" w:rsidRDefault="005B03A9" w:rsidP="00B50FFD">
            <w:pPr>
              <w:autoSpaceDN w:val="0"/>
              <w:spacing w:before="40" w:after="40"/>
              <w:jc w:val="center"/>
              <w:textAlignment w:val="baseline"/>
              <w:rPr>
                <w:rFonts w:eastAsia="Times New Roman" w:cs="Calibri"/>
                <w:b/>
                <w:bCs/>
                <w:sz w:val="20"/>
                <w:szCs w:val="20"/>
              </w:rPr>
            </w:pPr>
            <w:r w:rsidRPr="00AB60C5">
              <w:rPr>
                <w:rFonts w:eastAsia="Times New Roman" w:cs="Calibri"/>
                <w:b/>
                <w:bCs/>
                <w:sz w:val="20"/>
                <w:szCs w:val="20"/>
              </w:rPr>
              <w:t>jcwp CW i TW</w:t>
            </w:r>
          </w:p>
        </w:tc>
      </w:tr>
      <w:tr w:rsidR="005B03A9" w:rsidRPr="00AB60C5" w14:paraId="56DE681C" w14:textId="77777777" w:rsidTr="00B50FFD">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5D201FE" w14:textId="77777777" w:rsidR="005B03A9" w:rsidRPr="00AB60C5" w:rsidRDefault="005B03A9" w:rsidP="00B50FFD">
            <w:pPr>
              <w:autoSpaceDN w:val="0"/>
              <w:spacing w:before="40" w:after="40"/>
              <w:jc w:val="left"/>
              <w:textAlignment w:val="baseline"/>
              <w:rPr>
                <w:b/>
                <w:bCs/>
                <w:sz w:val="20"/>
              </w:rPr>
            </w:pPr>
            <w:r w:rsidRPr="00AB60C5">
              <w:rPr>
                <w:b/>
                <w:bCs/>
                <w:sz w:val="20"/>
              </w:rPr>
              <w:t>stan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4A324F1" w14:textId="77777777" w:rsidR="005B03A9" w:rsidRPr="00AB60C5" w:rsidRDefault="005B03A9" w:rsidP="00B50FFD">
            <w:pPr>
              <w:autoSpaceDN w:val="0"/>
              <w:spacing w:before="40" w:after="40"/>
              <w:jc w:val="left"/>
              <w:textAlignment w:val="baseline"/>
              <w:rPr>
                <w:sz w:val="20"/>
              </w:rPr>
            </w:pPr>
            <w:r w:rsidRPr="00AB60C5">
              <w:rPr>
                <w:sz w:val="20"/>
              </w:rPr>
              <w:t>naturalne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1CD302E" w14:textId="77777777" w:rsidR="005B03A9" w:rsidRPr="00AB60C5" w:rsidRDefault="005B03A9" w:rsidP="00B50FFD">
            <w:pPr>
              <w:autoSpaceDN w:val="0"/>
              <w:spacing w:before="40" w:after="40"/>
              <w:jc w:val="center"/>
              <w:textAlignment w:val="baseline"/>
              <w:rPr>
                <w:sz w:val="20"/>
              </w:rPr>
            </w:pPr>
            <w:r w:rsidRPr="00AB60C5">
              <w:rPr>
                <w:sz w:val="20"/>
              </w:rPr>
              <w:t>3365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7BE2D81" w14:textId="77777777" w:rsidR="005B03A9" w:rsidRPr="00AB60C5" w:rsidRDefault="005B03A9" w:rsidP="00B50FFD">
            <w:pPr>
              <w:autoSpaceDN w:val="0"/>
              <w:spacing w:before="40" w:after="40"/>
              <w:jc w:val="center"/>
              <w:textAlignment w:val="baseline"/>
              <w:rPr>
                <w:sz w:val="20"/>
              </w:rPr>
            </w:pPr>
            <w:r w:rsidRPr="00AB60C5">
              <w:rPr>
                <w:sz w:val="20"/>
              </w:rPr>
              <w:t>866</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5E46AB4" w14:textId="77777777" w:rsidR="005B03A9" w:rsidRPr="00AB60C5" w:rsidRDefault="005B03A9" w:rsidP="00B50FFD">
            <w:pPr>
              <w:autoSpaceDN w:val="0"/>
              <w:spacing w:before="40" w:after="40"/>
              <w:jc w:val="center"/>
              <w:textAlignment w:val="baseline"/>
              <w:rPr>
                <w:sz w:val="20"/>
              </w:rPr>
            </w:pPr>
            <w:r w:rsidRPr="00AB60C5">
              <w:rPr>
                <w:sz w:val="20"/>
              </w:rPr>
              <w:t>9</w:t>
            </w:r>
          </w:p>
        </w:tc>
      </w:tr>
      <w:tr w:rsidR="005B03A9" w:rsidRPr="00AB60C5" w14:paraId="778CFE98" w14:textId="77777777" w:rsidTr="00B50FFD">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D4CE997" w14:textId="77777777" w:rsidR="005B03A9" w:rsidRPr="00AB60C5" w:rsidRDefault="005B03A9" w:rsidP="00B50FFD">
            <w:pPr>
              <w:autoSpaceDN w:val="0"/>
              <w:spacing w:before="40" w:after="40"/>
              <w:jc w:val="left"/>
              <w:textAlignment w:val="baseline"/>
              <w:rPr>
                <w:b/>
                <w:bCs/>
                <w:sz w:val="2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AA2383" w14:textId="77777777" w:rsidR="005B03A9" w:rsidRPr="00AB60C5" w:rsidRDefault="005B03A9" w:rsidP="00B50FFD">
            <w:pPr>
              <w:autoSpaceDN w:val="0"/>
              <w:spacing w:before="40" w:after="40"/>
              <w:jc w:val="left"/>
              <w:textAlignment w:val="baseline"/>
              <w:rPr>
                <w:sz w:val="20"/>
              </w:rPr>
            </w:pPr>
            <w:r w:rsidRPr="00AB60C5">
              <w:rPr>
                <w:sz w:val="20"/>
              </w:rPr>
              <w:t>naturalne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C215ABD" w14:textId="77777777" w:rsidR="005B03A9" w:rsidRPr="00AB60C5" w:rsidRDefault="005B03A9" w:rsidP="00B50FFD">
            <w:pPr>
              <w:autoSpaceDN w:val="0"/>
              <w:spacing w:before="40" w:after="40"/>
              <w:jc w:val="center"/>
              <w:textAlignment w:val="baseline"/>
              <w:rPr>
                <w:sz w:val="20"/>
              </w:rPr>
            </w:pPr>
            <w:r w:rsidRPr="00AB60C5">
              <w:rPr>
                <w:sz w:val="20"/>
              </w:rPr>
              <w:t>24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6A2F221" w14:textId="77777777" w:rsidR="005B03A9" w:rsidRPr="00AB60C5" w:rsidRDefault="005B03A9" w:rsidP="00B50FFD">
            <w:pPr>
              <w:autoSpaceDN w:val="0"/>
              <w:spacing w:before="40" w:after="40"/>
              <w:jc w:val="center"/>
              <w:textAlignment w:val="baseline"/>
              <w:rPr>
                <w:sz w:val="20"/>
              </w:rPr>
            </w:pPr>
            <w:r w:rsidRPr="00AB60C5">
              <w:rPr>
                <w:sz w:val="20"/>
              </w:rPr>
              <w:t>28</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42FC45D" w14:textId="77777777" w:rsidR="005B03A9" w:rsidRPr="00AB60C5" w:rsidRDefault="005B03A9" w:rsidP="00B50FFD">
            <w:pPr>
              <w:autoSpaceDN w:val="0"/>
              <w:spacing w:before="40" w:after="40"/>
              <w:jc w:val="center"/>
              <w:textAlignment w:val="baseline"/>
              <w:rPr>
                <w:sz w:val="20"/>
              </w:rPr>
            </w:pPr>
            <w:r w:rsidRPr="00AB60C5">
              <w:rPr>
                <w:sz w:val="20"/>
              </w:rPr>
              <w:t>-</w:t>
            </w:r>
          </w:p>
        </w:tc>
      </w:tr>
      <w:tr w:rsidR="005B03A9" w:rsidRPr="00AB60C5" w14:paraId="74C4B673" w14:textId="77777777" w:rsidTr="00B50FFD">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710131D" w14:textId="77777777" w:rsidR="005B03A9" w:rsidRPr="00AB60C5" w:rsidRDefault="005B03A9" w:rsidP="00B50FFD">
            <w:pPr>
              <w:autoSpaceDN w:val="0"/>
              <w:spacing w:before="40" w:after="40"/>
              <w:jc w:val="left"/>
              <w:textAlignment w:val="baseline"/>
              <w:rPr>
                <w:b/>
                <w:bCs/>
                <w:sz w:val="20"/>
              </w:rPr>
            </w:pPr>
            <w:r w:rsidRPr="00AB60C5">
              <w:rPr>
                <w:b/>
                <w:bCs/>
                <w:sz w:val="20"/>
              </w:rPr>
              <w:t>potencjał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BA3027" w14:textId="77777777" w:rsidR="005B03A9" w:rsidRPr="00AB60C5" w:rsidRDefault="005B03A9" w:rsidP="00B50FFD">
            <w:pPr>
              <w:autoSpaceDN w:val="0"/>
              <w:spacing w:before="40" w:after="40"/>
              <w:jc w:val="left"/>
              <w:textAlignment w:val="baseline"/>
              <w:rPr>
                <w:sz w:val="20"/>
              </w:rPr>
            </w:pPr>
            <w:r w:rsidRPr="00AB60C5">
              <w:rPr>
                <w:sz w:val="20"/>
              </w:rPr>
              <w:t>silnie zmienione/sztuczne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D6224F" w14:textId="77777777" w:rsidR="005B03A9" w:rsidRPr="00AB60C5" w:rsidRDefault="005B03A9" w:rsidP="00B50FFD">
            <w:pPr>
              <w:autoSpaceDN w:val="0"/>
              <w:spacing w:before="40" w:after="40"/>
              <w:jc w:val="center"/>
              <w:textAlignment w:val="baseline"/>
              <w:rPr>
                <w:sz w:val="20"/>
              </w:rPr>
            </w:pPr>
            <w:r w:rsidRPr="00AB60C5">
              <w:rPr>
                <w:sz w:val="20"/>
              </w:rPr>
              <w:t>1156</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CEEF7E2" w14:textId="77777777" w:rsidR="005B03A9" w:rsidRPr="00AB60C5" w:rsidRDefault="005B03A9" w:rsidP="00B50FFD">
            <w:pPr>
              <w:autoSpaceDN w:val="0"/>
              <w:spacing w:before="40" w:after="40"/>
              <w:jc w:val="center"/>
              <w:textAlignment w:val="baseline"/>
              <w:rPr>
                <w:sz w:val="20"/>
              </w:rPr>
            </w:pPr>
            <w:r w:rsidRPr="00AB60C5">
              <w:rPr>
                <w:sz w:val="20"/>
              </w:rPr>
              <w:t>120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6A86202" w14:textId="77777777" w:rsidR="005B03A9" w:rsidRPr="00AB60C5" w:rsidRDefault="005B03A9" w:rsidP="00B50FFD">
            <w:pPr>
              <w:autoSpaceDN w:val="0"/>
              <w:spacing w:before="40" w:after="40"/>
              <w:jc w:val="center"/>
              <w:textAlignment w:val="baseline"/>
              <w:rPr>
                <w:sz w:val="20"/>
              </w:rPr>
            </w:pPr>
            <w:r w:rsidRPr="00AB60C5">
              <w:rPr>
                <w:sz w:val="20"/>
              </w:rPr>
              <w:t>1</w:t>
            </w:r>
          </w:p>
        </w:tc>
      </w:tr>
      <w:tr w:rsidR="005B03A9" w:rsidRPr="00AB60C5" w14:paraId="258428ED" w14:textId="77777777" w:rsidTr="00B50FFD">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983DCF" w14:textId="77777777" w:rsidR="005B03A9" w:rsidRPr="00AB60C5" w:rsidRDefault="005B03A9" w:rsidP="00B50FFD">
            <w:pPr>
              <w:autoSpaceDN w:val="0"/>
              <w:spacing w:before="40" w:after="40"/>
              <w:jc w:val="left"/>
              <w:textAlignment w:val="baseline"/>
              <w:rPr>
                <w:b/>
                <w:bCs/>
                <w:sz w:val="2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087F48F" w14:textId="77777777" w:rsidR="005B03A9" w:rsidRPr="00AB60C5" w:rsidRDefault="005B03A9" w:rsidP="00B50FFD">
            <w:pPr>
              <w:autoSpaceDN w:val="0"/>
              <w:spacing w:before="40" w:after="40"/>
              <w:jc w:val="left"/>
              <w:textAlignment w:val="baseline"/>
              <w:rPr>
                <w:sz w:val="20"/>
              </w:rPr>
            </w:pPr>
            <w:r w:rsidRPr="00AB60C5">
              <w:rPr>
                <w:sz w:val="20"/>
              </w:rPr>
              <w:t>silnie zmienione/sztuczne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ABDDAEF" w14:textId="77777777" w:rsidR="005B03A9" w:rsidRPr="00AB60C5" w:rsidRDefault="005B03A9" w:rsidP="00B50FFD">
            <w:pPr>
              <w:autoSpaceDN w:val="0"/>
              <w:spacing w:before="40" w:after="40"/>
              <w:jc w:val="center"/>
              <w:textAlignment w:val="baseline"/>
              <w:rPr>
                <w:sz w:val="20"/>
              </w:rPr>
            </w:pPr>
            <w:r w:rsidRPr="00AB60C5">
              <w:rPr>
                <w:sz w:val="20"/>
              </w:rPr>
              <w:t>13</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084B328" w14:textId="77777777" w:rsidR="005B03A9" w:rsidRPr="00AB60C5" w:rsidRDefault="005B03A9" w:rsidP="00B50FFD">
            <w:pPr>
              <w:autoSpaceDN w:val="0"/>
              <w:spacing w:before="40" w:after="40"/>
              <w:jc w:val="center"/>
              <w:textAlignment w:val="baseline"/>
              <w:rPr>
                <w:sz w:val="20"/>
              </w:rPr>
            </w:pPr>
            <w:r w:rsidRPr="00AB60C5">
              <w:rPr>
                <w:sz w:val="20"/>
              </w:rPr>
              <w:t>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DD9BF13" w14:textId="77777777" w:rsidR="005B03A9" w:rsidRPr="00AB60C5" w:rsidRDefault="005B03A9" w:rsidP="00B50FFD">
            <w:pPr>
              <w:autoSpaceDN w:val="0"/>
              <w:spacing w:before="40" w:after="40"/>
              <w:jc w:val="center"/>
              <w:textAlignment w:val="baseline"/>
              <w:rPr>
                <w:sz w:val="20"/>
              </w:rPr>
            </w:pPr>
            <w:r w:rsidRPr="00AB60C5">
              <w:rPr>
                <w:sz w:val="20"/>
              </w:rPr>
              <w:t>-</w:t>
            </w:r>
          </w:p>
        </w:tc>
      </w:tr>
      <w:tr w:rsidR="005B03A9" w:rsidRPr="00AB60C5" w14:paraId="45C431EA" w14:textId="77777777" w:rsidTr="00B50FFD">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A22D633" w14:textId="77777777" w:rsidR="005B03A9" w:rsidRPr="00AB60C5" w:rsidRDefault="005B03A9" w:rsidP="00B50FFD">
            <w:pPr>
              <w:autoSpaceDN w:val="0"/>
              <w:spacing w:before="40" w:after="40"/>
              <w:jc w:val="left"/>
              <w:textAlignment w:val="baseline"/>
              <w:rPr>
                <w:b/>
                <w:bCs/>
                <w:sz w:val="20"/>
              </w:rPr>
            </w:pPr>
            <w:r w:rsidRPr="00AB60C5">
              <w:rPr>
                <w:b/>
                <w:bCs/>
                <w:sz w:val="20"/>
              </w:rPr>
              <w:t>stan chemiczny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5805506" w14:textId="77777777" w:rsidR="005B03A9" w:rsidRPr="00AB60C5" w:rsidRDefault="005B03A9" w:rsidP="00B50FFD">
            <w:pPr>
              <w:autoSpaceDN w:val="0"/>
              <w:spacing w:before="40" w:after="40"/>
              <w:jc w:val="left"/>
              <w:textAlignment w:val="baseline"/>
              <w:rPr>
                <w:sz w:val="20"/>
              </w:rPr>
            </w:pPr>
            <w:r w:rsidRPr="00AB60C5">
              <w:rPr>
                <w:sz w:val="20"/>
              </w:rPr>
              <w:t>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74A6946" w14:textId="77777777" w:rsidR="005B03A9" w:rsidRPr="00AB60C5" w:rsidRDefault="005B03A9" w:rsidP="00B50FFD">
            <w:pPr>
              <w:autoSpaceDN w:val="0"/>
              <w:spacing w:before="40" w:after="40"/>
              <w:jc w:val="center"/>
              <w:textAlignment w:val="baseline"/>
              <w:rPr>
                <w:sz w:val="20"/>
              </w:rPr>
            </w:pPr>
            <w:r w:rsidRPr="00AB60C5">
              <w:rPr>
                <w:sz w:val="20"/>
              </w:rPr>
              <w:t>3114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CB56EB4" w14:textId="77777777" w:rsidR="005B03A9" w:rsidRPr="00AB60C5" w:rsidRDefault="005B03A9" w:rsidP="00B50FFD">
            <w:pPr>
              <w:autoSpaceDN w:val="0"/>
              <w:spacing w:before="40" w:after="40"/>
              <w:jc w:val="center"/>
              <w:textAlignment w:val="baseline"/>
              <w:rPr>
                <w:sz w:val="20"/>
              </w:rPr>
            </w:pPr>
            <w:r w:rsidRPr="00AB60C5">
              <w:rPr>
                <w:sz w:val="20"/>
              </w:rPr>
              <w:t>937</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64EC26" w14:textId="77777777" w:rsidR="005B03A9" w:rsidRPr="00AB60C5" w:rsidRDefault="005B03A9" w:rsidP="00B50FFD">
            <w:pPr>
              <w:autoSpaceDN w:val="0"/>
              <w:spacing w:before="40" w:after="40"/>
              <w:jc w:val="center"/>
              <w:textAlignment w:val="baseline"/>
              <w:rPr>
                <w:sz w:val="20"/>
              </w:rPr>
            </w:pPr>
            <w:r w:rsidRPr="00AB60C5">
              <w:rPr>
                <w:sz w:val="20"/>
              </w:rPr>
              <w:t>10</w:t>
            </w:r>
          </w:p>
        </w:tc>
      </w:tr>
      <w:tr w:rsidR="005B03A9" w:rsidRPr="00AB60C5" w14:paraId="3D6B6A91" w14:textId="77777777" w:rsidTr="00B50FFD">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2BBBC1F" w14:textId="77777777" w:rsidR="005B03A9" w:rsidRPr="00AB60C5" w:rsidRDefault="005B03A9" w:rsidP="00B50FFD">
            <w:pPr>
              <w:autoSpaceDN w:val="0"/>
              <w:spacing w:before="40" w:after="40"/>
              <w:jc w:val="left"/>
              <w:textAlignment w:val="baseline"/>
              <w:rPr>
                <w:b/>
                <w:bCs/>
                <w:sz w:val="20"/>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72CAA22" w14:textId="77777777" w:rsidR="005B03A9" w:rsidRPr="00AB60C5" w:rsidRDefault="005B03A9" w:rsidP="00B50FFD">
            <w:pPr>
              <w:autoSpaceDN w:val="0"/>
              <w:spacing w:before="40" w:after="40"/>
              <w:jc w:val="left"/>
              <w:textAlignment w:val="baseline"/>
              <w:rPr>
                <w:sz w:val="20"/>
              </w:rPr>
            </w:pPr>
            <w:r w:rsidRPr="00AB60C5">
              <w:rPr>
                <w:sz w:val="20"/>
              </w:rPr>
              <w:t>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787AF06" w14:textId="77777777" w:rsidR="005B03A9" w:rsidRPr="00AB60C5" w:rsidRDefault="005B03A9" w:rsidP="00B50FFD">
            <w:pPr>
              <w:autoSpaceDN w:val="0"/>
              <w:spacing w:before="40" w:after="40"/>
              <w:jc w:val="center"/>
              <w:textAlignment w:val="baseline"/>
              <w:rPr>
                <w:sz w:val="20"/>
              </w:rPr>
            </w:pPr>
            <w:r w:rsidRPr="00AB60C5">
              <w:rPr>
                <w:sz w:val="20"/>
              </w:rPr>
              <w:t>17</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B523665" w14:textId="77777777" w:rsidR="005B03A9" w:rsidRPr="00AB60C5" w:rsidRDefault="005B03A9" w:rsidP="00B50FFD">
            <w:pPr>
              <w:autoSpaceDN w:val="0"/>
              <w:spacing w:before="40" w:after="40"/>
              <w:jc w:val="center"/>
              <w:textAlignment w:val="baseline"/>
              <w:rPr>
                <w:sz w:val="20"/>
              </w:rPr>
            </w:pPr>
            <w:r w:rsidRPr="00AB60C5">
              <w:rPr>
                <w:sz w:val="20"/>
              </w:rPr>
              <w:t>1</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BFDA9E4" w14:textId="77777777" w:rsidR="005B03A9" w:rsidRPr="00AB60C5" w:rsidRDefault="005B03A9" w:rsidP="00B50FFD">
            <w:pPr>
              <w:autoSpaceDN w:val="0"/>
              <w:spacing w:before="40" w:after="40"/>
              <w:jc w:val="center"/>
              <w:textAlignment w:val="baseline"/>
              <w:rPr>
                <w:sz w:val="20"/>
              </w:rPr>
            </w:pPr>
            <w:r w:rsidRPr="00AB60C5">
              <w:rPr>
                <w:sz w:val="20"/>
              </w:rPr>
              <w:t>-</w:t>
            </w:r>
          </w:p>
        </w:tc>
      </w:tr>
      <w:tr w:rsidR="005B03A9" w:rsidRPr="00AB60C5" w14:paraId="5FFB4BCC" w14:textId="77777777" w:rsidTr="00B50FFD">
        <w:trPr>
          <w:trHeight w:val="454"/>
        </w:trPr>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E4153D" w14:textId="77777777" w:rsidR="005B03A9" w:rsidRPr="00AB60C5" w:rsidRDefault="005B03A9" w:rsidP="00B50FFD">
            <w:pPr>
              <w:autoSpaceDN w:val="0"/>
              <w:spacing w:before="40" w:after="40"/>
              <w:jc w:val="left"/>
              <w:textAlignment w:val="baseline"/>
              <w:rPr>
                <w:b/>
                <w:bCs/>
                <w:sz w:val="20"/>
              </w:rPr>
            </w:pPr>
            <w:r w:rsidRPr="00AB60C5">
              <w:rPr>
                <w:b/>
                <w:bCs/>
                <w:sz w:val="20"/>
              </w:rPr>
              <w:t>ocena stanu</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50FB9D3" w14:textId="77777777" w:rsidR="005B03A9" w:rsidRPr="00AB60C5" w:rsidRDefault="005B03A9" w:rsidP="00B50FFD">
            <w:pPr>
              <w:autoSpaceDN w:val="0"/>
              <w:spacing w:before="40" w:after="40"/>
              <w:jc w:val="left"/>
              <w:textAlignment w:val="baseline"/>
              <w:rPr>
                <w:sz w:val="20"/>
              </w:rPr>
            </w:pPr>
            <w:r w:rsidRPr="00AB60C5">
              <w:rPr>
                <w:sz w:val="20"/>
              </w:rPr>
              <w:t>ocenione jcwp</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758A660" w14:textId="77777777" w:rsidR="005B03A9" w:rsidRPr="00AB60C5" w:rsidRDefault="005B03A9" w:rsidP="00B50FFD">
            <w:pPr>
              <w:autoSpaceDN w:val="0"/>
              <w:spacing w:before="40" w:after="40"/>
              <w:jc w:val="center"/>
              <w:textAlignment w:val="baseline"/>
              <w:rPr>
                <w:sz w:val="20"/>
              </w:rPr>
            </w:pPr>
            <w:r w:rsidRPr="00AB60C5">
              <w:rPr>
                <w:sz w:val="20"/>
              </w:rPr>
              <w:t>4585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EF378BB" w14:textId="77777777" w:rsidR="005B03A9" w:rsidRPr="00AB60C5" w:rsidRDefault="005B03A9" w:rsidP="00B50FFD">
            <w:pPr>
              <w:autoSpaceDN w:val="0"/>
              <w:spacing w:before="40" w:after="40"/>
              <w:jc w:val="center"/>
              <w:textAlignment w:val="baseline"/>
              <w:rPr>
                <w:sz w:val="20"/>
              </w:rPr>
            </w:pPr>
            <w:r w:rsidRPr="00AB60C5">
              <w:rPr>
                <w:sz w:val="20"/>
              </w:rPr>
              <w:t>1044</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D6B7F31" w14:textId="77777777" w:rsidR="005B03A9" w:rsidRPr="00AB60C5" w:rsidRDefault="005B03A9" w:rsidP="00B50FFD">
            <w:pPr>
              <w:autoSpaceDN w:val="0"/>
              <w:spacing w:before="40" w:after="40"/>
              <w:jc w:val="center"/>
              <w:textAlignment w:val="baseline"/>
              <w:rPr>
                <w:sz w:val="20"/>
              </w:rPr>
            </w:pPr>
            <w:r w:rsidRPr="00AB60C5">
              <w:rPr>
                <w:sz w:val="20"/>
              </w:rPr>
              <w:t>10</w:t>
            </w:r>
          </w:p>
        </w:tc>
      </w:tr>
    </w:tbl>
    <w:p w14:paraId="253D5984" w14:textId="77777777" w:rsidR="0050629C" w:rsidRPr="0050629C" w:rsidRDefault="0050629C" w:rsidP="0050629C">
      <w:pPr>
        <w:pStyle w:val="rdo0"/>
      </w:pPr>
      <w:r w:rsidRPr="0050629C">
        <w:t>Źródło: opracowanie własne  na podstawie danych GIOŚ</w:t>
      </w:r>
    </w:p>
    <w:p w14:paraId="0671A024" w14:textId="181FF3F5" w:rsidR="00775E5A" w:rsidRDefault="00775E5A" w:rsidP="00AA0CAB">
      <w:pPr>
        <w:pStyle w:val="Nagwek5"/>
        <w:rPr>
          <w:lang w:eastAsia="pl-PL"/>
        </w:rPr>
      </w:pPr>
      <w:r>
        <w:rPr>
          <w:lang w:eastAsia="pl-PL"/>
        </w:rPr>
        <w:t>Jcwp RW</w:t>
      </w:r>
    </w:p>
    <w:p w14:paraId="50192B24" w14:textId="77777777" w:rsidR="00775E5A" w:rsidRDefault="00775E5A" w:rsidP="00775E5A">
      <w:r>
        <w:rPr>
          <w:rFonts w:eastAsia="Times New Roman" w:cs="Calibri"/>
          <w:color w:val="000000"/>
          <w:lang w:eastAsia="pl-PL"/>
        </w:rPr>
        <w:t xml:space="preserve">W stosunku do jcwp RW w wyniku wykonanej oceny, stwierdzono zły stan dla 91,5 % jcwp, co przede wszystkim związane było z odnotowaniem stanu chemicznego poniżej dobrego oraz stanu/potencjału ekologicznego umiarkowanego albo gorszego (83,4%). Stan chemiczny poniżej dobrego został odnotowany w stosunku do 87,1% analizowanych jcwp, co głównie było wynikiem przekroczenia wartości EQS w wodzie benzo(a)pirenu (28,9%) oraz biocie difenyloeterów bromowanych (21,3%). Z kolei stan/potencjał ekologiczny w jcwp RW był przede wszystkim determinowany przez umiarkowany stan/potencjał ekologiczny (54,9%). Do elementów decydujących o ocenie stanu/potencjału ekologicznego poniżej dobrego </w:t>
      </w:r>
      <w:r>
        <w:rPr>
          <w:rFonts w:eastAsia="Times New Roman" w:cs="Calibri"/>
          <w:color w:val="000000"/>
          <w:u w:val="single"/>
          <w:lang w:eastAsia="pl-PL"/>
        </w:rPr>
        <w:t>przede wszystkim</w:t>
      </w:r>
      <w:r>
        <w:rPr>
          <w:rFonts w:eastAsia="Times New Roman" w:cs="Calibri"/>
          <w:color w:val="000000"/>
          <w:lang w:eastAsia="pl-PL"/>
        </w:rPr>
        <w:t xml:space="preserve"> można zaliczyć:</w:t>
      </w:r>
    </w:p>
    <w:p w14:paraId="7098E868" w14:textId="77777777" w:rsidR="00775E5A" w:rsidRPr="00775E5A" w:rsidRDefault="00775E5A" w:rsidP="00775E5A">
      <w:pPr>
        <w:pStyle w:val="Akapitzlist"/>
      </w:pPr>
      <w:r w:rsidRPr="00775E5A">
        <w:t>elementy biologiczne: makrobezkręgowce (30,2%), ichtiofauna (28,5%) oraz fitobentos (23,3%);</w:t>
      </w:r>
    </w:p>
    <w:p w14:paraId="3518BFF0" w14:textId="77777777" w:rsidR="00775E5A" w:rsidRPr="00775E5A" w:rsidRDefault="00775E5A" w:rsidP="00775E5A">
      <w:pPr>
        <w:pStyle w:val="Akapitzlist"/>
      </w:pPr>
      <w:r w:rsidRPr="00775E5A">
        <w:t>elementy fizykochemiczne (grupa 3.1-3.5): zasolenie (37,7%) oraz substancje biogenne (35,6%);</w:t>
      </w:r>
    </w:p>
    <w:p w14:paraId="1188323B" w14:textId="598CB2B7" w:rsidR="00775E5A" w:rsidRPr="00775E5A" w:rsidRDefault="00775E5A" w:rsidP="00775E5A">
      <w:pPr>
        <w:pStyle w:val="Akapitzlist"/>
      </w:pPr>
      <w:r w:rsidRPr="00775E5A">
        <w:t xml:space="preserve">elementy fizykochemiczne (3.6): aldehyd mrówkowy (59,8%) oraz węglowodory ropopochodne </w:t>
      </w:r>
      <w:r w:rsidR="006C4947">
        <w:t>-</w:t>
      </w:r>
      <w:r w:rsidRPr="00775E5A">
        <w:t xml:space="preserve"> indeks olejowy (14,2%).</w:t>
      </w:r>
    </w:p>
    <w:p w14:paraId="30FBC552" w14:textId="77777777" w:rsidR="00775E5A" w:rsidRDefault="00775E5A" w:rsidP="00AA0CAB">
      <w:pPr>
        <w:pStyle w:val="Nagwek5"/>
        <w:rPr>
          <w:lang w:eastAsia="pl-PL"/>
        </w:rPr>
      </w:pPr>
      <w:r>
        <w:rPr>
          <w:lang w:eastAsia="pl-PL"/>
        </w:rPr>
        <w:t>Jcwp LW</w:t>
      </w:r>
    </w:p>
    <w:p w14:paraId="45CDA3FE" w14:textId="77777777" w:rsidR="00775E5A" w:rsidRDefault="00775E5A" w:rsidP="00775E5A">
      <w:r>
        <w:rPr>
          <w:rFonts w:eastAsia="Times New Roman" w:cs="Calibri"/>
          <w:color w:val="000000"/>
          <w:lang w:eastAsia="pl-PL"/>
        </w:rPr>
        <w:t xml:space="preserve">W odniesieniu do jcwp LW w wyniku wykonanej oceny, stwierdzono zły stan dla 88,1 % jcwp, co przede wszystkim związane było z odnotowaniem stanu chemicznego poniżej dobrego oraz stanu/potencjału ekologicznego umiarkowanego albo gorszego (51,3%). Stan chemiczny poniżej dobrego został odnotowany w stosunku do 69,4% analizowanych jcwp, co głównie było wynikiem przekroczenia wartości EQS w biocie substancji takich jak: difenyloetery bromowane (33,5%) oraz heptachlor (22,9%). Z kolei stan/potencjał ekologiczny w jcwp LW był przede wszystkim determinowany przez umiarkowany stan/potencjał ekologiczny (36,3%). Do elementów decydujących o ocenie stanu/potencjału ekologicznego poniżej dobrego </w:t>
      </w:r>
      <w:r>
        <w:rPr>
          <w:rFonts w:eastAsia="Times New Roman" w:cs="Calibri"/>
          <w:color w:val="000000"/>
          <w:u w:val="single"/>
          <w:lang w:eastAsia="pl-PL"/>
        </w:rPr>
        <w:t>przede wszystkim</w:t>
      </w:r>
      <w:r>
        <w:rPr>
          <w:rFonts w:eastAsia="Times New Roman" w:cs="Calibri"/>
          <w:color w:val="000000"/>
          <w:lang w:eastAsia="pl-PL"/>
        </w:rPr>
        <w:t xml:space="preserve"> można zaliczyć:</w:t>
      </w:r>
    </w:p>
    <w:p w14:paraId="7D1932DE" w14:textId="77777777" w:rsidR="00775E5A" w:rsidRPr="00775E5A" w:rsidRDefault="00775E5A" w:rsidP="00775E5A">
      <w:pPr>
        <w:pStyle w:val="Akapitzlist"/>
      </w:pPr>
      <w:r w:rsidRPr="00775E5A">
        <w:t>elementy biologiczne: fitoplankton (57,7%), makrofity (17,1%);</w:t>
      </w:r>
    </w:p>
    <w:p w14:paraId="4AC1688E" w14:textId="77777777" w:rsidR="00775E5A" w:rsidRPr="00775E5A" w:rsidRDefault="00775E5A" w:rsidP="00775E5A">
      <w:pPr>
        <w:pStyle w:val="Akapitzlist"/>
      </w:pPr>
      <w:r w:rsidRPr="00775E5A">
        <w:t>elementy fizykochemiczne (grupa 3.1-3.5): przezroczystość (33,2%), azot ogólny (22,1%);</w:t>
      </w:r>
    </w:p>
    <w:p w14:paraId="78D4FDCD" w14:textId="77777777" w:rsidR="00775E5A" w:rsidRPr="00775E5A" w:rsidRDefault="00775E5A" w:rsidP="00775E5A">
      <w:pPr>
        <w:pStyle w:val="Akapitzlist"/>
      </w:pPr>
      <w:r w:rsidRPr="00775E5A">
        <w:t>elementy fizykochemiczne (3.6): aldehyd mrówkowy (81,5%).</w:t>
      </w:r>
    </w:p>
    <w:p w14:paraId="1E19A918" w14:textId="77777777" w:rsidR="00775E5A" w:rsidRDefault="00775E5A" w:rsidP="00AA0CAB">
      <w:pPr>
        <w:pStyle w:val="Nagwek5"/>
        <w:rPr>
          <w:lang w:eastAsia="pl-PL"/>
        </w:rPr>
      </w:pPr>
      <w:r>
        <w:rPr>
          <w:lang w:eastAsia="pl-PL"/>
        </w:rPr>
        <w:t>Jcwp CW i TW</w:t>
      </w:r>
    </w:p>
    <w:p w14:paraId="5978CEDD" w14:textId="77777777" w:rsidR="00775E5A" w:rsidRDefault="00775E5A" w:rsidP="00775E5A">
      <w:r>
        <w:rPr>
          <w:rFonts w:eastAsia="Times New Roman" w:cs="Calibri"/>
          <w:color w:val="000000"/>
          <w:lang w:eastAsia="pl-PL"/>
        </w:rPr>
        <w:t xml:space="preserve">W przypadku wszystkich jcwp CW i TW wykazano zły stan wód, co związane było z odnotowaniem stanu chemicznego poniżej dobrego oraz stanu/potencjału ekologicznego umiarkowanego albo gorszego (100,0%). Stan chemiczny poniżej dobrego głównie spowodowany był przez przekroczenie wartości EQS w biocie następujących substancji: difenyloetery bromowane (27,7%), rtęć i jej związki (24,1%) oraz heptachlor (22,1%). Z kolei stan/potencjał ekologiczny w jcwp CW i TW był przede wszystkim wynikiem złego stanu/potencjału ekologicznego (47,4%). Do elementów decydujących o ocenie stanu/potencjału ekologicznego poniżej dobrego </w:t>
      </w:r>
      <w:r>
        <w:rPr>
          <w:rFonts w:eastAsia="Times New Roman" w:cs="Calibri"/>
          <w:color w:val="000000"/>
          <w:u w:val="single"/>
          <w:lang w:eastAsia="pl-PL"/>
        </w:rPr>
        <w:t>przede wszystkim</w:t>
      </w:r>
      <w:r>
        <w:rPr>
          <w:rFonts w:eastAsia="Times New Roman" w:cs="Calibri"/>
          <w:color w:val="000000"/>
          <w:lang w:eastAsia="pl-PL"/>
        </w:rPr>
        <w:t xml:space="preserve"> można zaliczyć:</w:t>
      </w:r>
    </w:p>
    <w:p w14:paraId="0AA4E9A0" w14:textId="77777777" w:rsidR="00775E5A" w:rsidRPr="00775E5A" w:rsidRDefault="00775E5A" w:rsidP="00775E5A">
      <w:pPr>
        <w:pStyle w:val="Akapitzlist"/>
      </w:pPr>
      <w:r w:rsidRPr="00775E5A">
        <w:t>elementy biologiczne: fitoplankton (48,0%), makrobezkręgowce bentosowe (44,0%);</w:t>
      </w:r>
    </w:p>
    <w:p w14:paraId="73A363D5" w14:textId="77777777" w:rsidR="00775E5A" w:rsidRPr="00775E5A" w:rsidRDefault="00775E5A" w:rsidP="00775E5A">
      <w:pPr>
        <w:pStyle w:val="Akapitzlist"/>
      </w:pPr>
      <w:r w:rsidRPr="00775E5A">
        <w:t>elementy fizykochemiczne (grupa 3.1-3.5): substancje biogenne w tym: azot ogólny (22,0%), azot azotanowy (16,9%), fosfor ogólny (14,3%), azot mineralny (14,3%);</w:t>
      </w:r>
    </w:p>
    <w:p w14:paraId="5E39D1DF" w14:textId="77777777" w:rsidR="00775E5A" w:rsidRPr="00775E5A" w:rsidRDefault="00775E5A" w:rsidP="00775E5A">
      <w:pPr>
        <w:pStyle w:val="Akapitzlist"/>
      </w:pPr>
      <w:r w:rsidRPr="00775E5A">
        <w:t>elementy fizykochemiczne (3.6): aldehyd mrówkowy (50,0%), selen (50,0%).</w:t>
      </w:r>
    </w:p>
    <w:p w14:paraId="141A077C" w14:textId="2D2C9AFB" w:rsidR="00643D60" w:rsidRPr="00BE4152" w:rsidRDefault="00643D60" w:rsidP="00B50FFD">
      <w:pPr>
        <w:pStyle w:val="Nagwek2"/>
      </w:pPr>
      <w:bookmarkStart w:id="96" w:name="_Toc68726849"/>
      <w:r w:rsidRPr="00BE4152">
        <w:t>Wody podziemne</w:t>
      </w:r>
      <w:bookmarkEnd w:id="96"/>
    </w:p>
    <w:p w14:paraId="459DC9DB" w14:textId="77777777" w:rsidR="00643D60" w:rsidRPr="00BE4152" w:rsidRDefault="00643D60" w:rsidP="00B50FFD">
      <w:pPr>
        <w:pStyle w:val="Nagwek3"/>
      </w:pPr>
      <w:bookmarkStart w:id="97" w:name="_Toc68726850"/>
      <w:r w:rsidRPr="00BE4152">
        <w:t>Monitoring wód podziemnych</w:t>
      </w:r>
      <w:bookmarkEnd w:id="97"/>
    </w:p>
    <w:p w14:paraId="5155BE09" w14:textId="77777777" w:rsidR="00643D60" w:rsidRPr="00BE4152" w:rsidRDefault="00643D60" w:rsidP="00643D60">
      <w:pPr>
        <w:suppressAutoHyphens/>
      </w:pPr>
      <w:bookmarkStart w:id="98" w:name="_Toc54269571"/>
      <w:r w:rsidRPr="00BE4152">
        <w:t xml:space="preserve">Zgodnie z zapisami </w:t>
      </w:r>
      <w:r w:rsidRPr="00BE4152">
        <w:rPr>
          <w:lang w:eastAsia="pl-PL"/>
        </w:rPr>
        <w:t xml:space="preserve">r.m.jcw </w:t>
      </w:r>
      <w:r w:rsidRPr="00BE4152">
        <w:t>monitoring jcwpd prowadzi się w sposób umożliwiający:</w:t>
      </w:r>
    </w:p>
    <w:p w14:paraId="61683330" w14:textId="77777777" w:rsidR="00643D60" w:rsidRPr="00BE4152" w:rsidRDefault="00643D60" w:rsidP="00AA3506">
      <w:pPr>
        <w:pStyle w:val="Akapitzlist"/>
        <w:numPr>
          <w:ilvl w:val="0"/>
          <w:numId w:val="33"/>
        </w:numPr>
        <w:ind w:left="364"/>
      </w:pPr>
      <w:r w:rsidRPr="00BE4152">
        <w:t>dokonywanie oceny stanu jcwpd;</w:t>
      </w:r>
    </w:p>
    <w:p w14:paraId="7580A30F" w14:textId="77777777" w:rsidR="00643D60" w:rsidRPr="00BE4152" w:rsidRDefault="00643D60" w:rsidP="00AA3506">
      <w:pPr>
        <w:pStyle w:val="Akapitzlist"/>
        <w:numPr>
          <w:ilvl w:val="0"/>
          <w:numId w:val="33"/>
        </w:numPr>
        <w:ind w:left="364"/>
      </w:pPr>
      <w:r w:rsidRPr="00BE4152">
        <w:t>wykrycie znaczących i utrzymujących się trendów wzrostu stężeń zanieczyszczeń spowodowanych oddziaływaniami antropogenicznymi;</w:t>
      </w:r>
    </w:p>
    <w:p w14:paraId="62FC627E" w14:textId="77777777" w:rsidR="00643D60" w:rsidRPr="00BE4152" w:rsidRDefault="00643D60" w:rsidP="00AA3506">
      <w:pPr>
        <w:pStyle w:val="Akapitzlist"/>
        <w:numPr>
          <w:ilvl w:val="0"/>
          <w:numId w:val="33"/>
        </w:numPr>
        <w:ind w:left="364"/>
      </w:pPr>
      <w:r w:rsidRPr="00BE4152">
        <w:t>ustalenie wpływu stanu jcwpd na obszary chronione uwzględnione w wykazach obszarów chronionych, o których mowa w art. 317 ust. 4 pkt 1 i 4 ustawy.</w:t>
      </w:r>
    </w:p>
    <w:p w14:paraId="23B0754C" w14:textId="77777777" w:rsidR="00CE57D6" w:rsidRPr="00CE57D6" w:rsidRDefault="00CE57D6" w:rsidP="00CE57D6">
      <w:pPr>
        <w:pStyle w:val="Akapitzlist"/>
        <w:keepNext/>
        <w:numPr>
          <w:ilvl w:val="1"/>
          <w:numId w:val="135"/>
        </w:numPr>
        <w:tabs>
          <w:tab w:val="left" w:pos="1134"/>
        </w:tabs>
        <w:suppressAutoHyphens/>
        <w:jc w:val="left"/>
        <w:outlineLvl w:val="3"/>
        <w:rPr>
          <w:b/>
          <w:bCs/>
          <w:vanish/>
          <w:color w:val="003399"/>
        </w:rPr>
      </w:pPr>
    </w:p>
    <w:p w14:paraId="22519A2D" w14:textId="77777777" w:rsidR="00CE57D6" w:rsidRPr="00CE57D6" w:rsidRDefault="00CE57D6" w:rsidP="00CE57D6">
      <w:pPr>
        <w:pStyle w:val="Akapitzlist"/>
        <w:keepNext/>
        <w:numPr>
          <w:ilvl w:val="2"/>
          <w:numId w:val="135"/>
        </w:numPr>
        <w:tabs>
          <w:tab w:val="left" w:pos="1134"/>
        </w:tabs>
        <w:suppressAutoHyphens/>
        <w:jc w:val="left"/>
        <w:outlineLvl w:val="3"/>
        <w:rPr>
          <w:b/>
          <w:bCs/>
          <w:vanish/>
          <w:color w:val="003399"/>
        </w:rPr>
      </w:pPr>
    </w:p>
    <w:p w14:paraId="075B7948" w14:textId="4390BA8D" w:rsidR="00643D60" w:rsidRPr="00BE4152" w:rsidRDefault="00643D60" w:rsidP="00CE57D6">
      <w:pPr>
        <w:pStyle w:val="Nagwek4"/>
      </w:pPr>
      <w:r w:rsidRPr="00BE4152">
        <w:t>Monitoring stanu chemicznego jcwpd</w:t>
      </w:r>
    </w:p>
    <w:p w14:paraId="5B487C26" w14:textId="77777777" w:rsidR="00643D60" w:rsidRPr="00BE4152" w:rsidRDefault="00643D60" w:rsidP="00643D60">
      <w:pPr>
        <w:suppressAutoHyphens/>
      </w:pPr>
      <w:r w:rsidRPr="00BE4152">
        <w:t xml:space="preserve">Monitoring stanu chemicznego jcwpd </w:t>
      </w:r>
      <w:r>
        <w:t xml:space="preserve">jest </w:t>
      </w:r>
      <w:r w:rsidRPr="00BE4152">
        <w:t>prowadzony w ramach PMŚ.</w:t>
      </w:r>
    </w:p>
    <w:p w14:paraId="06CF921A" w14:textId="77777777" w:rsidR="00643D60" w:rsidRPr="00BE4152" w:rsidRDefault="00643D60" w:rsidP="00643D60">
      <w:pPr>
        <w:suppressAutoHyphens/>
      </w:pPr>
      <w:r w:rsidRPr="00BE4152">
        <w:rPr>
          <w:lang w:eastAsia="pl-PL"/>
        </w:rPr>
        <w:t>R.m.jcw</w:t>
      </w:r>
      <w:r w:rsidRPr="00BE4152">
        <w:t xml:space="preserve"> przewiduje, że w ramach monitoringu chemicznego wód podziemnych prowadz</w:t>
      </w:r>
      <w:r>
        <w:t>i</w:t>
      </w:r>
      <w:r w:rsidRPr="00BE4152">
        <w:t xml:space="preserve"> </w:t>
      </w:r>
      <w:r>
        <w:t>się</w:t>
      </w:r>
      <w:r w:rsidRPr="00BE4152">
        <w:t xml:space="preserve"> monitoring diagnostyczny i operacyjny. </w:t>
      </w:r>
    </w:p>
    <w:p w14:paraId="6424B02E" w14:textId="77777777" w:rsidR="00643D60" w:rsidRPr="00BE4152" w:rsidRDefault="00643D60" w:rsidP="00643D60">
      <w:pPr>
        <w:suppressAutoHyphens/>
      </w:pPr>
      <w:r w:rsidRPr="00BE4152">
        <w:t xml:space="preserve">Monitoring stanu chemicznego </w:t>
      </w:r>
      <w:r>
        <w:t xml:space="preserve">jest </w:t>
      </w:r>
      <w:r w:rsidRPr="00BE4152">
        <w:t>prowadzony w celu otrzymania spójnego i całościowego obrazu stanu chemicznego wód podziemnych w ramach każdego dorzecza oraz wykrycia długoterminowych antropogenicznych tendencji wzrostu poziomu zanieczyszczeń.</w:t>
      </w:r>
    </w:p>
    <w:p w14:paraId="6E87D283" w14:textId="77777777" w:rsidR="00643D60" w:rsidRPr="00BE4152" w:rsidRDefault="00643D60" w:rsidP="00AA0CAB">
      <w:pPr>
        <w:pStyle w:val="Nagwek5"/>
      </w:pPr>
      <w:r w:rsidRPr="00BE4152">
        <w:t>Monitoring diagnostyczny</w:t>
      </w:r>
    </w:p>
    <w:p w14:paraId="6BA3EAD1" w14:textId="1DA53167" w:rsidR="00643D60" w:rsidRPr="00BE4152" w:rsidRDefault="00643D60" w:rsidP="00643D60">
      <w:pPr>
        <w:suppressAutoHyphens/>
      </w:pPr>
      <w:r w:rsidRPr="00BE4152">
        <w:t>Zgodnie z przepisami monitoring diagnostyczny stanu chemicznego jcwpd ustala się w celu uzupełnienia i sprawdzenia procedury oceny wpływu oddziaływań oraz oceny znaczących i</w:t>
      </w:r>
      <w:r w:rsidR="00CC32F4">
        <w:t> </w:t>
      </w:r>
      <w:r w:rsidRPr="00BE4152">
        <w:t>utrzymujących się trendów wzrostu stężeń zanieczyszczeń, w obu przypadkach wynikających z</w:t>
      </w:r>
      <w:r w:rsidR="00CC32F4">
        <w:t> </w:t>
      </w:r>
      <w:r w:rsidRPr="00BE4152">
        <w:t>warunków naturalnych i oddziaływań antropogenicznych.</w:t>
      </w:r>
    </w:p>
    <w:p w14:paraId="0A743E41" w14:textId="07851C95" w:rsidR="00643D60" w:rsidRPr="00BE4152" w:rsidRDefault="00643D60" w:rsidP="00643D60">
      <w:pPr>
        <w:suppressAutoHyphens/>
      </w:pPr>
      <w:r w:rsidRPr="00BE4152">
        <w:t>Monitoring diagnostyczny stanu chemicznego jcwpd prowadzi się dla jcwpd, które dostarczają średniorocznie powyżej 100 m</w:t>
      </w:r>
      <w:r w:rsidRPr="00BE4152">
        <w:rPr>
          <w:vertAlign w:val="superscript"/>
        </w:rPr>
        <w:t>3</w:t>
      </w:r>
      <w:r>
        <w:t xml:space="preserve"> na </w:t>
      </w:r>
      <w:r w:rsidRPr="00BE4152">
        <w:t>d</w:t>
      </w:r>
      <w:r>
        <w:t xml:space="preserve">obę </w:t>
      </w:r>
      <w:r w:rsidRPr="00BE4152">
        <w:t xml:space="preserve">wody przeznaczonej do spożycia przez ludzi. Wymóg ten jest transpozycją zapisów RDW, artykuł 7 oraz </w:t>
      </w:r>
      <w:r>
        <w:t>z</w:t>
      </w:r>
      <w:r w:rsidRPr="00BE4152">
        <w:t xml:space="preserve">ałącznik V. </w:t>
      </w:r>
      <w:r>
        <w:t xml:space="preserve">Wymóg ten spełniają obie jcwpd w </w:t>
      </w:r>
      <w:r w:rsidR="00474ABF">
        <w:t xml:space="preserve">obszarze </w:t>
      </w:r>
      <w:r>
        <w:t>dorzecz</w:t>
      </w:r>
      <w:r w:rsidR="00474ABF">
        <w:t>a</w:t>
      </w:r>
      <w:r>
        <w:t xml:space="preserve"> Pregoły (nr </w:t>
      </w:r>
      <w:r w:rsidR="00FF1170">
        <w:t>20 i 21</w:t>
      </w:r>
      <w:r>
        <w:t>)</w:t>
      </w:r>
      <w:r w:rsidRPr="00BE4152">
        <w:t>.</w:t>
      </w:r>
    </w:p>
    <w:p w14:paraId="2884ED80" w14:textId="6D4B2ABD" w:rsidR="00643D60" w:rsidRPr="00BE4152" w:rsidRDefault="00643D60" w:rsidP="00643D60">
      <w:pPr>
        <w:suppressAutoHyphens/>
      </w:pPr>
      <w:r>
        <w:t>R</w:t>
      </w:r>
      <w:r w:rsidRPr="00DF72B6">
        <w:t>.m.jcw</w:t>
      </w:r>
      <w:r w:rsidRPr="00BE4152">
        <w:t xml:space="preserve"> określa zakres 55 parametrów fizykochemicznych, które mogą być uwzględnione w</w:t>
      </w:r>
      <w:r w:rsidR="00CC32F4">
        <w:t> </w:t>
      </w:r>
      <w:r w:rsidRPr="00BE4152">
        <w:t>monitoringu stanu chemicznego. Wśród wymienionych 55 wskaźników ustawodawca wyróżnił 5 elementów ogólnych i 27 elementów nieorganicznych jako obligatoryjne dla monitoringu diagnostycznego</w:t>
      </w:r>
      <w:r>
        <w:t>;</w:t>
      </w:r>
      <w:r w:rsidRPr="00BE4152">
        <w:t xml:space="preserve"> muszą </w:t>
      </w:r>
      <w:r>
        <w:t xml:space="preserve">one </w:t>
      </w:r>
      <w:r w:rsidRPr="00BE4152">
        <w:t>być zawsze oznaczane w ramach jego realizacji. Ponadto jako parametry nieobligatoryjne wskazano</w:t>
      </w:r>
      <w:r w:rsidRPr="004D1DC2">
        <w:t xml:space="preserve"> </w:t>
      </w:r>
      <w:r>
        <w:t>w r.m.jcw</w:t>
      </w:r>
      <w:r w:rsidRPr="00BE4152">
        <w:t xml:space="preserve"> 10 elementów nieorganicznych i 13 elementów organicznych. Ustanowienie szerokiej listy wskaźników oznaczanych w ramach monitoringu diagnostycznego jest uzasadnione ze względu na cel, jaki przyświeca temu monitoringowi, tj. </w:t>
      </w:r>
      <w:r>
        <w:t>m.in.</w:t>
      </w:r>
      <w:r w:rsidRPr="00BE4152">
        <w:t xml:space="preserve"> monitorowanie tła hydrogeochemicznego</w:t>
      </w:r>
      <w:r>
        <w:t xml:space="preserve"> oraz</w:t>
      </w:r>
      <w:r w:rsidRPr="00BE4152">
        <w:t xml:space="preserve"> obserwacje naturalnych i wymuszonych presją tendencji zmian stężeń wskaźników fizykochemicznych.</w:t>
      </w:r>
    </w:p>
    <w:p w14:paraId="0E980F96" w14:textId="47B1399C" w:rsidR="00643D60" w:rsidRPr="00BE4152" w:rsidRDefault="00643D60" w:rsidP="00643D60">
      <w:pPr>
        <w:suppressAutoHyphens/>
      </w:pPr>
      <w:r w:rsidRPr="00BE4152">
        <w:t>Częstotliwość wykonywania badań w monitoringu diagnostycznym stanu chemicznego zdefiniowano następująco: „monitoring diagnostyczny stanu chemicznego jcwpd prowadzi się przynajmniej raz w</w:t>
      </w:r>
      <w:r w:rsidR="00CC32F4">
        <w:t> </w:t>
      </w:r>
      <w:r w:rsidRPr="00BE4152">
        <w:t>ciągu 6-letniego cyklu aktualizacji planu gospodarowania wodami na obszarze dorzecza”, co jest dokładną transpozycją zapisów RDW. W latach 2022</w:t>
      </w:r>
      <w:r>
        <w:t>-</w:t>
      </w:r>
      <w:r w:rsidRPr="00BE4152">
        <w:t>2027 planowane jest przeprowadzenie monitoringu diagnostycznego tylko w pierwszym roku cyklu</w:t>
      </w:r>
      <w:r>
        <w:t>, tj. w roku 2022</w:t>
      </w:r>
      <w:r w:rsidRPr="00BE4152">
        <w:t>. W pozostałych latach badania będą kontynuowane w ramach monitoringu operacyjnego. Opracowanie raportu dotyczącego oceny stanu jcwpd planowane jest w roku następującym po monitoringu diagnostycznym, czyli w</w:t>
      </w:r>
      <w:r w:rsidR="007B0D6B">
        <w:t> </w:t>
      </w:r>
      <w:r w:rsidRPr="00BE4152">
        <w:t>2023</w:t>
      </w:r>
      <w:r w:rsidR="007B0D6B">
        <w:t> </w:t>
      </w:r>
      <w:r>
        <w:t>r</w:t>
      </w:r>
      <w:r w:rsidRPr="00BE4152">
        <w:t xml:space="preserve">. </w:t>
      </w:r>
    </w:p>
    <w:p w14:paraId="7A9A96ED" w14:textId="3CA900E0" w:rsidR="00643D60" w:rsidRPr="00BE4152" w:rsidRDefault="00643D60" w:rsidP="00643D60">
      <w:pPr>
        <w:suppressAutoHyphens/>
      </w:pPr>
      <w:r w:rsidRPr="003A2BED">
        <w:t xml:space="preserve">Wykonawcą monitoringu chemicznego jest </w:t>
      </w:r>
      <w:r w:rsidR="003F0C4B">
        <w:t>PIG</w:t>
      </w:r>
      <w:r w:rsidRPr="003A2BED">
        <w:t xml:space="preserve"> </w:t>
      </w:r>
      <w:r w:rsidR="00442AB7">
        <w:t>-</w:t>
      </w:r>
      <w:r w:rsidRPr="003A2BED">
        <w:t xml:space="preserve"> PIB. W ramach monitoringu diagnostycznego sposób poboru, kondycjonowania i transportu próbek do laboratorium jest zgodny z zakresem akredytacji laboratoriów PIG-PIB AB283 </w:t>
      </w:r>
      <w:r w:rsidRPr="00BE4152">
        <w:t xml:space="preserve">na pobieranie próbek i badania właściwości fizycznych wody. Stosowane są metody zgodne ze </w:t>
      </w:r>
      <w:r w:rsidR="00D06F5B" w:rsidRPr="00BE4152">
        <w:t>znowelizowa</w:t>
      </w:r>
      <w:r w:rsidR="00D06F5B">
        <w:t>nymi</w:t>
      </w:r>
      <w:r w:rsidR="00D06F5B" w:rsidRPr="00BE4152">
        <w:t xml:space="preserve"> </w:t>
      </w:r>
      <w:r w:rsidRPr="00BE4152">
        <w:t>norm</w:t>
      </w:r>
      <w:r>
        <w:t>ami</w:t>
      </w:r>
      <w:r w:rsidRPr="00BE4152">
        <w:t xml:space="preserve"> PN-</w:t>
      </w:r>
      <w:r w:rsidR="00CC32F4">
        <w:t> </w:t>
      </w:r>
      <w:r w:rsidRPr="00BE4152">
        <w:t>ISO</w:t>
      </w:r>
      <w:r w:rsidR="00CC32F4">
        <w:t> </w:t>
      </w:r>
      <w:r w:rsidRPr="00BE4152">
        <w:t>5667-</w:t>
      </w:r>
      <w:r w:rsidR="00CC32F4">
        <w:t> </w:t>
      </w:r>
      <w:r w:rsidRPr="00BE4152">
        <w:t>11:2017-10 z wyłączeniem pkt 5.2, 6.1.2, 6.3 (w zakresie pobierania próbek wód podziemnych), PN-</w:t>
      </w:r>
      <w:r w:rsidR="00CC32F4">
        <w:t> </w:t>
      </w:r>
      <w:r w:rsidRPr="00BE4152">
        <w:t>77/C-04584 (w zakresie pomiaru temperatury wody), PN-EN ISO 10523:2012 (w</w:t>
      </w:r>
      <w:r w:rsidR="00CC32F4">
        <w:t> </w:t>
      </w:r>
      <w:r w:rsidRPr="00BE4152">
        <w:t>zakresie pomiaru odczynu pH metodą potencjometryczną), PN-EN 27888:1999 (w zakresie pomiaru przewodności elektrolitycznej właściwej metodą konduktometryczną), procedurą badawczą ZPPŚ PB-</w:t>
      </w:r>
      <w:r w:rsidR="00CC32F4">
        <w:t> </w:t>
      </w:r>
      <w:r w:rsidRPr="00BE4152">
        <w:t>201 (w zakresie oznaczani</w:t>
      </w:r>
      <w:r>
        <w:t>a</w:t>
      </w:r>
      <w:r w:rsidRPr="00BE4152">
        <w:t xml:space="preserve"> tlenu rozpuszczonego w próbkach wód podziemnych) i procedurą badawczą ZPPŚ PB-202 (w zakresie pomiaru głębokości zwierciadła wód podziemnych). </w:t>
      </w:r>
      <w:r>
        <w:t>Wyłączenia wynikają z faktu</w:t>
      </w:r>
      <w:r w:rsidR="00D06F5B">
        <w:t>,</w:t>
      </w:r>
      <w:r>
        <w:t xml:space="preserve"> iż dotyczą metod poboru próbek, które nie mają zastosowania w ramach monitoringu chemicznego PIG-PIB</w:t>
      </w:r>
      <w:r w:rsidRPr="00BE4152">
        <w:t>.</w:t>
      </w:r>
      <w:r>
        <w:t xml:space="preserve"> </w:t>
      </w:r>
      <w:r w:rsidRPr="00BE4152">
        <w:t xml:space="preserve">Analiza próbek odbywa się zgodnie z zasadami opisanymi w załączniku 7 do </w:t>
      </w:r>
      <w:r w:rsidRPr="00BE4152">
        <w:rPr>
          <w:lang w:eastAsia="pl-PL"/>
        </w:rPr>
        <w:t>r.m.jcw</w:t>
      </w:r>
      <w:r w:rsidRPr="00BE4152">
        <w:t xml:space="preserve"> </w:t>
      </w:r>
      <w:r w:rsidRPr="00AA36EC">
        <w:rPr>
          <w:i/>
        </w:rPr>
        <w:t>Metodyki referencyjne pomiarów i badań w ramach monitoringu jednolitych części wód powierzchniowych i jcwpd</w:t>
      </w:r>
      <w:r w:rsidRPr="00BE4152">
        <w:t>.</w:t>
      </w:r>
    </w:p>
    <w:p w14:paraId="179CED19" w14:textId="77777777" w:rsidR="00643D60" w:rsidRPr="00BE4152" w:rsidRDefault="00643D60" w:rsidP="00AA0CAB">
      <w:pPr>
        <w:pStyle w:val="Nagwek5"/>
      </w:pPr>
      <w:r w:rsidRPr="00BE4152">
        <w:t>Monitoring operacyjny</w:t>
      </w:r>
    </w:p>
    <w:p w14:paraId="7A409A3E" w14:textId="443A3204" w:rsidR="00643D60" w:rsidRPr="00BE4152" w:rsidRDefault="00643D60" w:rsidP="00643D60">
      <w:pPr>
        <w:suppressAutoHyphens/>
      </w:pPr>
      <w:r w:rsidRPr="00BE4152">
        <w:t>Jak wskazują przepisy</w:t>
      </w:r>
      <w:r>
        <w:t>,</w:t>
      </w:r>
      <w:r w:rsidRPr="00BE4152">
        <w:t xml:space="preserve"> monitoring operacyjny stanu chemicznego jcwpd ustala się w celu oceny stanu chemicznego jcwpd uznanych za zagrożone </w:t>
      </w:r>
      <w:r w:rsidR="008F2F72" w:rsidRPr="00BE4152">
        <w:t>nie</w:t>
      </w:r>
      <w:r w:rsidR="008F2F72">
        <w:t>osiągnięcie</w:t>
      </w:r>
      <w:r w:rsidR="008F2F72" w:rsidRPr="00BE4152">
        <w:t xml:space="preserve">m </w:t>
      </w:r>
      <w:r w:rsidRPr="00BE4152">
        <w:t xml:space="preserve">określonych dla nich celów środowiskowych, o których mowa w art. 59 ustawy </w:t>
      </w:r>
      <w:r>
        <w:t>pr.w.,</w:t>
      </w:r>
      <w:r w:rsidRPr="00BE4152">
        <w:t xml:space="preserve"> oraz w celu stwierdzenia występowania znaczących i utrzymujących się trendów wzrostu stężeń zanieczyszczeń spowodowanych oddziaływaniami antropogenicznymi.</w:t>
      </w:r>
    </w:p>
    <w:p w14:paraId="1B6A2547" w14:textId="77777777" w:rsidR="00643D60" w:rsidRPr="00BE4152" w:rsidRDefault="00643D60" w:rsidP="00643D60">
      <w:pPr>
        <w:suppressAutoHyphens/>
      </w:pPr>
      <w:r w:rsidRPr="00BE4152">
        <w:t xml:space="preserve">Art. 59 </w:t>
      </w:r>
      <w:r>
        <w:t xml:space="preserve">ustawy pr.w. </w:t>
      </w:r>
      <w:r w:rsidRPr="00BE4152">
        <w:t>określa następujące cele środowiskowe dla jcwpd:</w:t>
      </w:r>
    </w:p>
    <w:p w14:paraId="5224C5DF" w14:textId="1AA7ED2F" w:rsidR="00643D60" w:rsidRPr="00A03144" w:rsidRDefault="00643D60" w:rsidP="00AA3506">
      <w:pPr>
        <w:pStyle w:val="Numerowanie"/>
        <w:numPr>
          <w:ilvl w:val="0"/>
          <w:numId w:val="45"/>
        </w:numPr>
      </w:pPr>
      <w:r w:rsidRPr="00A03144">
        <w:t>zapobieganie lub ograniczanie wprowadzania do nich zanieczyszczeń;</w:t>
      </w:r>
    </w:p>
    <w:p w14:paraId="67C7D4E0" w14:textId="7BA43F6B" w:rsidR="00643D60" w:rsidRPr="00A03144" w:rsidRDefault="00643D60" w:rsidP="00F06393">
      <w:pPr>
        <w:pStyle w:val="Numerowanie"/>
      </w:pPr>
      <w:r w:rsidRPr="00A03144">
        <w:t>zapobieganie pogorszeniu oraz poprawa ich stanu;</w:t>
      </w:r>
    </w:p>
    <w:p w14:paraId="783E7F8C" w14:textId="1ECB24C3" w:rsidR="00643D60" w:rsidRPr="00A03144" w:rsidRDefault="00643D60" w:rsidP="00F06393">
      <w:pPr>
        <w:pStyle w:val="Numerowanie"/>
      </w:pPr>
      <w:r w:rsidRPr="00A03144">
        <w:t>ich ochrona i podejmowanie działań naprawczych, a także zapewnianie równowagi między poborem a zasilaniem tych wód, tak aby osiągnąć ich dobry stan.</w:t>
      </w:r>
    </w:p>
    <w:p w14:paraId="10B00676" w14:textId="2E734C90" w:rsidR="00643D60" w:rsidRPr="00BE4152" w:rsidRDefault="00643D60" w:rsidP="00643D60">
      <w:pPr>
        <w:suppressAutoHyphens/>
      </w:pPr>
      <w:r w:rsidRPr="00BE4152">
        <w:t>Zgodnie z przepisami monitoring operacyjny stanu chemicznego jcwpd prowadzi się dla jcwpd uznanych, na podstawie monitoringu diagnostycznego oraz oceny wpływu oddziaływań, za zagrożone niespełnieniem określonych dla nich celów środowiskowych, o których mowa w art. 59 ustawy pr.w.</w:t>
      </w:r>
    </w:p>
    <w:p w14:paraId="4BF4A639" w14:textId="77777777" w:rsidR="00643D60" w:rsidRPr="00967C7B" w:rsidRDefault="00643D60" w:rsidP="00643D60">
      <w:pPr>
        <w:pStyle w:val="Raport-tekstpodstawowy"/>
        <w:suppressAutoHyphens/>
        <w:spacing w:before="120" w:line="240" w:lineRule="auto"/>
        <w:ind w:firstLine="0"/>
        <w:rPr>
          <w:sz w:val="22"/>
          <w:szCs w:val="22"/>
        </w:rPr>
      </w:pPr>
      <w:r w:rsidRPr="00BE4152">
        <w:rPr>
          <w:sz w:val="22"/>
        </w:rPr>
        <w:t>Zgodnie z poszerzonymi charakterystykami jcwpd</w:t>
      </w:r>
      <w:r>
        <w:rPr>
          <w:rStyle w:val="Odwoanieprzypisudolnego"/>
          <w:sz w:val="22"/>
        </w:rPr>
        <w:footnoteReference w:id="20"/>
      </w:r>
      <w:r w:rsidRPr="00BE4152">
        <w:rPr>
          <w:sz w:val="22"/>
        </w:rPr>
        <w:t xml:space="preserve"> w </w:t>
      </w:r>
      <w:r>
        <w:rPr>
          <w:sz w:val="22"/>
        </w:rPr>
        <w:t xml:space="preserve">obszarze </w:t>
      </w:r>
      <w:r w:rsidRPr="00BE4152">
        <w:rPr>
          <w:sz w:val="22"/>
        </w:rPr>
        <w:t>dorzecz</w:t>
      </w:r>
      <w:r>
        <w:rPr>
          <w:sz w:val="22"/>
        </w:rPr>
        <w:t>a</w:t>
      </w:r>
      <w:r w:rsidRPr="00BE4152">
        <w:rPr>
          <w:sz w:val="22"/>
        </w:rPr>
        <w:t xml:space="preserve"> </w:t>
      </w:r>
      <w:r>
        <w:rPr>
          <w:sz w:val="22"/>
        </w:rPr>
        <w:t>Pregoły</w:t>
      </w:r>
      <w:r w:rsidRPr="00BE4152">
        <w:rPr>
          <w:sz w:val="22"/>
        </w:rPr>
        <w:t xml:space="preserve"> </w:t>
      </w:r>
      <w:r>
        <w:rPr>
          <w:sz w:val="22"/>
        </w:rPr>
        <w:t xml:space="preserve">nie </w:t>
      </w:r>
      <w:r w:rsidRPr="00BE4152">
        <w:rPr>
          <w:sz w:val="22"/>
        </w:rPr>
        <w:t xml:space="preserve">wskazano </w:t>
      </w:r>
      <w:r>
        <w:rPr>
          <w:sz w:val="22"/>
        </w:rPr>
        <w:t>żadnej</w:t>
      </w:r>
      <w:r w:rsidRPr="00BE4152">
        <w:rPr>
          <w:sz w:val="22"/>
        </w:rPr>
        <w:t xml:space="preserve"> jcwpd zagrożon</w:t>
      </w:r>
      <w:r>
        <w:rPr>
          <w:sz w:val="22"/>
        </w:rPr>
        <w:t>ej</w:t>
      </w:r>
      <w:r w:rsidRPr="00BE4152">
        <w:rPr>
          <w:sz w:val="22"/>
        </w:rPr>
        <w:t xml:space="preserve"> nieosiągnięciem celów środowiskowych w cyklu planistycznym 2022-2027</w:t>
      </w:r>
      <w:r>
        <w:rPr>
          <w:sz w:val="22"/>
        </w:rPr>
        <w:t xml:space="preserve">, w związku z czym </w:t>
      </w:r>
      <w:r w:rsidRPr="00967C7B">
        <w:rPr>
          <w:sz w:val="22"/>
          <w:szCs w:val="22"/>
        </w:rPr>
        <w:t>nie planuje się przeprowadzenia w nim monitoringu operacyjnego.</w:t>
      </w:r>
    </w:p>
    <w:p w14:paraId="0399ABE2" w14:textId="77777777" w:rsidR="00643D60" w:rsidRPr="00BE4152" w:rsidRDefault="00643D60" w:rsidP="00B50FFD">
      <w:pPr>
        <w:pStyle w:val="Nagwek4"/>
      </w:pPr>
      <w:r w:rsidRPr="00BE4152">
        <w:t>Monitoring stanu ilościowego jcwpd</w:t>
      </w:r>
    </w:p>
    <w:p w14:paraId="3963A20B" w14:textId="77777777" w:rsidR="00643D60" w:rsidRPr="00BE4152" w:rsidRDefault="00643D60" w:rsidP="00643D60">
      <w:pPr>
        <w:pStyle w:val="Raport-tekstpodstawowy"/>
        <w:suppressAutoHyphens/>
        <w:spacing w:before="120" w:line="240" w:lineRule="auto"/>
        <w:ind w:firstLine="0"/>
        <w:rPr>
          <w:sz w:val="22"/>
        </w:rPr>
      </w:pPr>
      <w:r w:rsidRPr="00BE4152">
        <w:rPr>
          <w:sz w:val="22"/>
        </w:rPr>
        <w:t>Monitoring stanu ilościowego wód podziemnych realizuje się poprzez:</w:t>
      </w:r>
    </w:p>
    <w:p w14:paraId="3E4C4887" w14:textId="77777777" w:rsidR="00643D60" w:rsidRPr="00BE4152" w:rsidRDefault="00643D60" w:rsidP="00AA3506">
      <w:pPr>
        <w:pStyle w:val="Raport-tekstpodstawowy"/>
        <w:numPr>
          <w:ilvl w:val="0"/>
          <w:numId w:val="106"/>
        </w:numPr>
        <w:suppressAutoHyphens/>
        <w:spacing w:before="120"/>
        <w:ind w:left="364"/>
        <w:rPr>
          <w:sz w:val="22"/>
        </w:rPr>
      </w:pPr>
      <w:r w:rsidRPr="00BE4152">
        <w:rPr>
          <w:sz w:val="22"/>
        </w:rPr>
        <w:t>pomiar położenia zwierciadła wody, wyrażonego w m p.p.t</w:t>
      </w:r>
      <w:r>
        <w:rPr>
          <w:sz w:val="22"/>
        </w:rPr>
        <w:t>.,</w:t>
      </w:r>
      <w:r w:rsidRPr="00BE4152">
        <w:rPr>
          <w:sz w:val="22"/>
        </w:rPr>
        <w:t xml:space="preserve"> lub ciśnienia (w otworach ujmujących wody ze zwierciadłem stabilizującym się powyżej poziomu terenu)</w:t>
      </w:r>
      <w:r>
        <w:rPr>
          <w:sz w:val="22"/>
        </w:rPr>
        <w:t>,</w:t>
      </w:r>
      <w:r w:rsidRPr="00BE4152">
        <w:rPr>
          <w:sz w:val="22"/>
        </w:rPr>
        <w:t xml:space="preserve"> wyrażonego w metrach słupa wody,</w:t>
      </w:r>
    </w:p>
    <w:p w14:paraId="0F87364B" w14:textId="77777777" w:rsidR="00643D60" w:rsidRPr="00BE4152" w:rsidRDefault="00643D60" w:rsidP="00AA3506">
      <w:pPr>
        <w:pStyle w:val="Raport-tekstpodstawowy"/>
        <w:numPr>
          <w:ilvl w:val="0"/>
          <w:numId w:val="106"/>
        </w:numPr>
        <w:suppressAutoHyphens/>
        <w:spacing w:before="120"/>
        <w:ind w:left="364"/>
        <w:rPr>
          <w:sz w:val="22"/>
        </w:rPr>
      </w:pPr>
      <w:r w:rsidRPr="00BE4152">
        <w:rPr>
          <w:sz w:val="22"/>
        </w:rPr>
        <w:t>pomiar wydajności w ujętych źródłach, wyrażone</w:t>
      </w:r>
      <w:r>
        <w:rPr>
          <w:sz w:val="22"/>
        </w:rPr>
        <w:t>j</w:t>
      </w:r>
      <w:r w:rsidRPr="00BE4152">
        <w:rPr>
          <w:sz w:val="22"/>
        </w:rPr>
        <w:t xml:space="preserve"> w l/s,</w:t>
      </w:r>
    </w:p>
    <w:p w14:paraId="513A8727" w14:textId="77777777" w:rsidR="00643D60" w:rsidRPr="00BE4152" w:rsidRDefault="00643D60" w:rsidP="00AA3506">
      <w:pPr>
        <w:pStyle w:val="Raport-tekstpodstawowy"/>
        <w:numPr>
          <w:ilvl w:val="0"/>
          <w:numId w:val="106"/>
        </w:numPr>
        <w:suppressAutoHyphens/>
        <w:spacing w:before="120"/>
        <w:ind w:left="364"/>
        <w:rPr>
          <w:sz w:val="22"/>
        </w:rPr>
      </w:pPr>
      <w:r w:rsidRPr="00BE4152">
        <w:rPr>
          <w:sz w:val="22"/>
        </w:rPr>
        <w:t xml:space="preserve">określenie wielkości poboru </w:t>
      </w:r>
      <w:r>
        <w:rPr>
          <w:sz w:val="22"/>
        </w:rPr>
        <w:t xml:space="preserve">rzeczywistego </w:t>
      </w:r>
      <w:r w:rsidRPr="00BE4152">
        <w:rPr>
          <w:sz w:val="22"/>
        </w:rPr>
        <w:t>wód podziemnych w jcwpd, wyrażon</w:t>
      </w:r>
      <w:r>
        <w:rPr>
          <w:sz w:val="22"/>
        </w:rPr>
        <w:t>ego</w:t>
      </w:r>
      <w:r w:rsidRPr="00BE4152">
        <w:rPr>
          <w:sz w:val="22"/>
        </w:rPr>
        <w:t xml:space="preserve"> w m</w:t>
      </w:r>
      <w:r w:rsidRPr="00AA36EC">
        <w:rPr>
          <w:sz w:val="22"/>
          <w:vertAlign w:val="superscript"/>
        </w:rPr>
        <w:t>3</w:t>
      </w:r>
      <w:r>
        <w:rPr>
          <w:sz w:val="22"/>
        </w:rPr>
        <w:t xml:space="preserve"> na </w:t>
      </w:r>
      <w:r w:rsidRPr="00BE4152">
        <w:rPr>
          <w:sz w:val="22"/>
        </w:rPr>
        <w:t>d</w:t>
      </w:r>
      <w:r>
        <w:rPr>
          <w:sz w:val="22"/>
        </w:rPr>
        <w:t>obę</w:t>
      </w:r>
      <w:r w:rsidRPr="00BE4152">
        <w:rPr>
          <w:sz w:val="22"/>
        </w:rPr>
        <w:t>,</w:t>
      </w:r>
    </w:p>
    <w:p w14:paraId="4D5FCDF1" w14:textId="77777777" w:rsidR="00643D60" w:rsidRPr="00BE4152" w:rsidRDefault="00643D60" w:rsidP="00AA3506">
      <w:pPr>
        <w:pStyle w:val="Raport-tekstpodstawowy"/>
        <w:numPr>
          <w:ilvl w:val="0"/>
          <w:numId w:val="106"/>
        </w:numPr>
        <w:suppressAutoHyphens/>
        <w:spacing w:before="120"/>
        <w:ind w:left="364"/>
        <w:rPr>
          <w:sz w:val="22"/>
        </w:rPr>
      </w:pPr>
      <w:r w:rsidRPr="00BE4152">
        <w:rPr>
          <w:sz w:val="22"/>
        </w:rPr>
        <w:t>określenie ilości dostępnych zasobów wód podziemnych w jcwpd, wyrażon</w:t>
      </w:r>
      <w:r>
        <w:rPr>
          <w:sz w:val="22"/>
        </w:rPr>
        <w:t>ej</w:t>
      </w:r>
      <w:r w:rsidRPr="00BE4152">
        <w:rPr>
          <w:sz w:val="22"/>
        </w:rPr>
        <w:t xml:space="preserve"> w m</w:t>
      </w:r>
      <w:r w:rsidRPr="00AA36EC">
        <w:rPr>
          <w:sz w:val="22"/>
          <w:vertAlign w:val="superscript"/>
        </w:rPr>
        <w:t>3</w:t>
      </w:r>
      <w:r>
        <w:rPr>
          <w:sz w:val="22"/>
        </w:rPr>
        <w:t xml:space="preserve"> na </w:t>
      </w:r>
      <w:r w:rsidRPr="00BE4152">
        <w:rPr>
          <w:sz w:val="22"/>
        </w:rPr>
        <w:t>d</w:t>
      </w:r>
      <w:r>
        <w:rPr>
          <w:sz w:val="22"/>
        </w:rPr>
        <w:t>obę</w:t>
      </w:r>
      <w:r w:rsidRPr="00BE4152">
        <w:rPr>
          <w:sz w:val="22"/>
        </w:rPr>
        <w:t>.</w:t>
      </w:r>
    </w:p>
    <w:p w14:paraId="6F6C6A2B" w14:textId="77777777" w:rsidR="00643D60" w:rsidRPr="007B0D6B" w:rsidRDefault="00643D60" w:rsidP="00AA0CAB">
      <w:pPr>
        <w:pStyle w:val="Nagwek5"/>
      </w:pPr>
      <w:r w:rsidRPr="007B0D6B">
        <w:t>Monitoring położenia zwierciadła wody i wydajności źródeł</w:t>
      </w:r>
    </w:p>
    <w:p w14:paraId="2D31E8BC" w14:textId="5231C84B" w:rsidR="00643D60" w:rsidRPr="00BE4152" w:rsidRDefault="00643D60" w:rsidP="00643D60">
      <w:pPr>
        <w:pStyle w:val="Raport-tekstpodstawowy"/>
        <w:suppressAutoHyphens/>
        <w:spacing w:before="120"/>
        <w:ind w:firstLine="0"/>
        <w:rPr>
          <w:sz w:val="22"/>
        </w:rPr>
      </w:pPr>
      <w:r w:rsidRPr="00BE4152">
        <w:rPr>
          <w:sz w:val="22"/>
        </w:rPr>
        <w:t>Monitoring położenia zwierciadła wód podziemnych i wydajności źródeł obejmuje wykonywanie cyklicznych, systematycznych pomiarów położenia zwierciadła wód podziemnych w otworach obserwacyjnych lub wydajności źródeł w punktach sieci obserwacyjno-badawczej wód podziemnych SOBWP. Monitoringiem położenia zwierciadła wody objęte są zarówno punkty ujmujące wody o</w:t>
      </w:r>
      <w:r w:rsidR="00CC32F4">
        <w:rPr>
          <w:sz w:val="22"/>
        </w:rPr>
        <w:t> </w:t>
      </w:r>
      <w:r w:rsidRPr="00BE4152">
        <w:rPr>
          <w:sz w:val="22"/>
        </w:rPr>
        <w:t>zwierciadle swobodnym (najczęściej płytkie, nieizolowane poziomy wodonośne, będące w kontakcie z</w:t>
      </w:r>
      <w:r w:rsidR="00CC32F4">
        <w:rPr>
          <w:sz w:val="22"/>
        </w:rPr>
        <w:t> </w:t>
      </w:r>
      <w:r w:rsidRPr="00BE4152">
        <w:rPr>
          <w:sz w:val="22"/>
        </w:rPr>
        <w:t xml:space="preserve">ekosystemami lądowymi), jak i te ujmujące wody o zwierciadle napiętym (poziomy izolowane, często stanowiące główne użytkowe poziomy wodonośne, </w:t>
      </w:r>
      <w:r>
        <w:rPr>
          <w:sz w:val="22"/>
        </w:rPr>
        <w:t>będące</w:t>
      </w:r>
      <w:r w:rsidRPr="00BE4152">
        <w:rPr>
          <w:sz w:val="22"/>
        </w:rPr>
        <w:t xml:space="preserve"> źródł</w:t>
      </w:r>
      <w:r>
        <w:rPr>
          <w:sz w:val="22"/>
        </w:rPr>
        <w:t>em</w:t>
      </w:r>
      <w:r w:rsidRPr="00BE4152">
        <w:rPr>
          <w:sz w:val="22"/>
        </w:rPr>
        <w:t xml:space="preserve"> zbiorowego zaopatrzenia w</w:t>
      </w:r>
      <w:r w:rsidR="00CC32F4">
        <w:rPr>
          <w:sz w:val="22"/>
        </w:rPr>
        <w:t> </w:t>
      </w:r>
      <w:r w:rsidRPr="00BE4152">
        <w:rPr>
          <w:sz w:val="22"/>
        </w:rPr>
        <w:t xml:space="preserve">wodę). Pomiary </w:t>
      </w:r>
      <w:r>
        <w:rPr>
          <w:sz w:val="22"/>
        </w:rPr>
        <w:t xml:space="preserve">są </w:t>
      </w:r>
      <w:r w:rsidRPr="00BE4152">
        <w:rPr>
          <w:sz w:val="22"/>
        </w:rPr>
        <w:t>wykonywane na stacjach hydrogeologicznych.</w:t>
      </w:r>
    </w:p>
    <w:p w14:paraId="6EBA4A89" w14:textId="77777777" w:rsidR="00643D60" w:rsidRPr="00BE4152" w:rsidRDefault="00643D60" w:rsidP="00643D60">
      <w:pPr>
        <w:pStyle w:val="Raport-tekstpodstawowy"/>
        <w:suppressAutoHyphens/>
        <w:spacing w:before="120"/>
        <w:ind w:firstLine="0"/>
        <w:rPr>
          <w:sz w:val="22"/>
        </w:rPr>
      </w:pPr>
      <w:r w:rsidRPr="00BE4152">
        <w:rPr>
          <w:sz w:val="22"/>
        </w:rPr>
        <w:t xml:space="preserve">Częstotliwość pomiarów zależy od trybu ich realizacji. Punkty wyposażone w automatykę pomiarową dostarczają pomiaru położenia zwierciadła wody 1 raz na dobę. Punkty, w których pomiary </w:t>
      </w:r>
      <w:r>
        <w:rPr>
          <w:sz w:val="22"/>
        </w:rPr>
        <w:t xml:space="preserve">są </w:t>
      </w:r>
      <w:r w:rsidRPr="00BE4152">
        <w:rPr>
          <w:sz w:val="22"/>
        </w:rPr>
        <w:t>wykonywane w trybie manualnym</w:t>
      </w:r>
      <w:r>
        <w:rPr>
          <w:sz w:val="22"/>
        </w:rPr>
        <w:t>,</w:t>
      </w:r>
      <w:r w:rsidRPr="00BE4152">
        <w:rPr>
          <w:sz w:val="22"/>
        </w:rPr>
        <w:t xml:space="preserve"> dostarczają pomiaru z częstotliwością </w:t>
      </w:r>
      <w:r>
        <w:rPr>
          <w:sz w:val="22"/>
        </w:rPr>
        <w:t xml:space="preserve">1 </w:t>
      </w:r>
      <w:r w:rsidRPr="00BE4152">
        <w:rPr>
          <w:sz w:val="22"/>
        </w:rPr>
        <w:t xml:space="preserve">raz na tydzień, a pomiar </w:t>
      </w:r>
      <w:r>
        <w:rPr>
          <w:sz w:val="22"/>
        </w:rPr>
        <w:t xml:space="preserve">jest </w:t>
      </w:r>
      <w:r w:rsidRPr="00BE4152">
        <w:rPr>
          <w:sz w:val="22"/>
        </w:rPr>
        <w:t>wykonywany w każdy poniedziałek o godzinie 6:00 UTC.</w:t>
      </w:r>
    </w:p>
    <w:p w14:paraId="7BCA6C97" w14:textId="77777777" w:rsidR="00643D60" w:rsidRPr="00BE4152" w:rsidRDefault="00643D60" w:rsidP="00AA0CAB">
      <w:pPr>
        <w:pStyle w:val="Nagwek5"/>
      </w:pPr>
      <w:r w:rsidRPr="00BE4152">
        <w:t>Pobór wód podziemnych</w:t>
      </w:r>
    </w:p>
    <w:p w14:paraId="1FB4E2C1" w14:textId="77777777" w:rsidR="00643D60" w:rsidRPr="00BE4152" w:rsidRDefault="00643D60" w:rsidP="00643D60">
      <w:pPr>
        <w:suppressAutoHyphens/>
      </w:pPr>
      <w:r w:rsidRPr="00BE4152">
        <w:t>Przy określaniu ilości poboru wód podziemnych brane są pod uwagę dwie składowe poboru rzeczywistego:</w:t>
      </w:r>
    </w:p>
    <w:p w14:paraId="796BD05D" w14:textId="77777777" w:rsidR="00643D60" w:rsidRPr="00A03144" w:rsidRDefault="00643D60" w:rsidP="00F06393">
      <w:pPr>
        <w:pStyle w:val="Akapitzlist"/>
      </w:pPr>
      <w:r w:rsidRPr="00A03144">
        <w:t>pobór opomiarowany, obejmujący usługi wodne polegające na zapewnieniu gospodarstwom domowym, podmiotom publicznym oraz podmiotom prowadzącym działalność gospodarczą możliwość korzystania z wód oraz odwodnienia górnicze;</w:t>
      </w:r>
    </w:p>
    <w:p w14:paraId="38258037" w14:textId="77777777" w:rsidR="00643D60" w:rsidRPr="00A03144" w:rsidRDefault="00643D60" w:rsidP="00F06393">
      <w:pPr>
        <w:pStyle w:val="Akapitzlist"/>
      </w:pPr>
      <w:r w:rsidRPr="00A03144">
        <w:t xml:space="preserve">pobór nieopomiarowany, obejmujący sumaryczną ilość wód pobieranych w ramach tzw. zwykłego korzystania z wód, służącego zaspokojeniu potrzeb własnego gospodarstwa domowego lub własnego gospodarstwa rolnego. </w:t>
      </w:r>
    </w:p>
    <w:p w14:paraId="11B47E59" w14:textId="77777777" w:rsidR="00643D60" w:rsidRPr="00BE4152" w:rsidRDefault="00643D60" w:rsidP="00643D60">
      <w:pPr>
        <w:suppressAutoHyphens/>
      </w:pPr>
      <w:r w:rsidRPr="00BE4152">
        <w:t xml:space="preserve">Dane dotyczące rzeczywistego poboru wód podziemnych </w:t>
      </w:r>
      <w:r>
        <w:t xml:space="preserve">są </w:t>
      </w:r>
      <w:r w:rsidRPr="00BE4152">
        <w:t xml:space="preserve">ewidencjonowane </w:t>
      </w:r>
      <w:r>
        <w:t xml:space="preserve">w </w:t>
      </w:r>
      <w:r w:rsidRPr="00BE4152">
        <w:t xml:space="preserve">bazie opłatowej. Identyfikacja ujęć w bazie </w:t>
      </w:r>
      <w:r>
        <w:t xml:space="preserve">jest </w:t>
      </w:r>
      <w:r w:rsidRPr="00BE4152">
        <w:t xml:space="preserve">oparta </w:t>
      </w:r>
      <w:r>
        <w:t>na</w:t>
      </w:r>
      <w:r w:rsidRPr="00BE4152">
        <w:t xml:space="preserve"> numer</w:t>
      </w:r>
      <w:r>
        <w:t>ach</w:t>
      </w:r>
      <w:r w:rsidRPr="00BE4152">
        <w:t xml:space="preserve"> pozwoleń i zgód wodnoprawnych. Uzyskane wartości </w:t>
      </w:r>
      <w:r>
        <w:t xml:space="preserve">są </w:t>
      </w:r>
      <w:r w:rsidRPr="00BE4152">
        <w:t>weryfikowane o dane statystyczne opracowane przez Urząd Statystyczny w Białymstoku. Dane w zakresie odwadniania kopal</w:t>
      </w:r>
      <w:r>
        <w:t>ni</w:t>
      </w:r>
      <w:r w:rsidRPr="00BE4152">
        <w:t xml:space="preserve"> </w:t>
      </w:r>
      <w:r>
        <w:t xml:space="preserve">są </w:t>
      </w:r>
      <w:r w:rsidRPr="00BE4152">
        <w:t>pozyskiwane przez PIG-PIB bezpośrednio z zakładów górniczych poprzez ankietyzację</w:t>
      </w:r>
      <w:r>
        <w:t>, w której uczestniczy ok. 200 zakładów górniczych</w:t>
      </w:r>
      <w:r w:rsidRPr="00BE4152">
        <w:t>. Wielkość poboru nierejestrowanego nie jest ewidencjonowana i jest określana na drodze szacunkowych obliczeń za pomocą szerokiego spektrum metod</w:t>
      </w:r>
      <w:r>
        <w:rPr>
          <w:rStyle w:val="Odwoanieprzypisudolnego"/>
        </w:rPr>
        <w:footnoteReference w:id="21"/>
      </w:r>
      <w:r>
        <w:t>.</w:t>
      </w:r>
    </w:p>
    <w:p w14:paraId="545FD0EE" w14:textId="5ADDD184" w:rsidR="00643D60" w:rsidRPr="00BE4152" w:rsidRDefault="00643D60" w:rsidP="00643D60">
      <w:pPr>
        <w:suppressAutoHyphens/>
      </w:pPr>
      <w:r w:rsidRPr="00BE4152">
        <w:t>Dane opomiarowane powinny być dostępne raz na rok, w miarę przekaz</w:t>
      </w:r>
      <w:r>
        <w:t>yw</w:t>
      </w:r>
      <w:r w:rsidRPr="00BE4152">
        <w:t>ania danych przez PGW</w:t>
      </w:r>
      <w:r w:rsidR="00CC32F4">
        <w:t xml:space="preserve"> </w:t>
      </w:r>
      <w:r w:rsidRPr="00BE4152">
        <w:t xml:space="preserve">WP. Dane nieopomiarowane </w:t>
      </w:r>
      <w:r>
        <w:t xml:space="preserve">są </w:t>
      </w:r>
      <w:r w:rsidRPr="00BE4152">
        <w:t>dostępne w zależności od możliwości wykorzystania danych ze spisów powszechnych (2020</w:t>
      </w:r>
      <w:r>
        <w:t>-</w:t>
      </w:r>
      <w:r w:rsidRPr="00BE4152">
        <w:t xml:space="preserve">2021). </w:t>
      </w:r>
    </w:p>
    <w:p w14:paraId="7ADF27EE" w14:textId="77777777" w:rsidR="00643D60" w:rsidRPr="00BE4152" w:rsidRDefault="00643D60" w:rsidP="00AA0CAB">
      <w:pPr>
        <w:pStyle w:val="Nagwek5"/>
      </w:pPr>
      <w:r>
        <w:t>Zasoby dyspozycyjne wód podziemnych</w:t>
      </w:r>
    </w:p>
    <w:p w14:paraId="5E0BBDC2" w14:textId="0CD07F59" w:rsidR="00643D60" w:rsidRPr="00BE4152" w:rsidRDefault="00643D60" w:rsidP="00643D60">
      <w:pPr>
        <w:suppressAutoHyphens/>
      </w:pPr>
      <w:r w:rsidRPr="00BE4152">
        <w:t xml:space="preserve">Zasoby dyspozycyjne wód podziemnych </w:t>
      </w:r>
      <w:r>
        <w:t xml:space="preserve">są </w:t>
      </w:r>
      <w:r w:rsidRPr="00BE4152">
        <w:t>ustalane w ramach dokumentacji hydrogeologicznej dla jednostki bilansowej wód podziemnych, w określonych warunkach środowiska i hydrogeologicznych (</w:t>
      </w:r>
      <w:r>
        <w:t>Rozporządzenie Ministra Środowiska</w:t>
      </w:r>
      <w:r w:rsidRPr="00BE4152">
        <w:t xml:space="preserve"> z dn</w:t>
      </w:r>
      <w:r>
        <w:t>ia</w:t>
      </w:r>
      <w:r w:rsidRPr="00BE4152">
        <w:t xml:space="preserve"> 18 listopada 2016 r. w sprawie dokumentacji hydrogeologicznej i dokumentacji geologiczno-inżynierskiej (Dz.U. </w:t>
      </w:r>
      <w:r>
        <w:t xml:space="preserve">z </w:t>
      </w:r>
      <w:r w:rsidRPr="00BE4152">
        <w:t>2016</w:t>
      </w:r>
      <w:r>
        <w:t xml:space="preserve"> r.</w:t>
      </w:r>
      <w:r w:rsidRPr="00BE4152">
        <w:t xml:space="preserve"> poz. 2033)</w:t>
      </w:r>
      <w:r>
        <w:t>)</w:t>
      </w:r>
      <w:r w:rsidRPr="00BE4152">
        <w:t xml:space="preserve">. </w:t>
      </w:r>
    </w:p>
    <w:p w14:paraId="037BB5B0" w14:textId="77777777" w:rsidR="00643D60" w:rsidRPr="00BE4152" w:rsidRDefault="00643D60" w:rsidP="00643D60">
      <w:pPr>
        <w:suppressAutoHyphens/>
      </w:pPr>
      <w:r w:rsidRPr="00BE4152">
        <w:t xml:space="preserve">Dla całego obszaru kraju dostępne są wartości modułowe pozwalające na przeliczenie wielkości zasobów dyspozycyjnych (ZD) w jednostkach bilansowych wód podziemnych, tj. w obszarach bilansowych i rejonach wodno-gospodarczych, które </w:t>
      </w:r>
      <w:r>
        <w:t xml:space="preserve">są </w:t>
      </w:r>
      <w:r w:rsidRPr="00BE4152">
        <w:t>przeliczane na wielkość zasobów dostępnych do zagospodarowania w poszczególnych jcwpd (ZDG).</w:t>
      </w:r>
    </w:p>
    <w:p w14:paraId="3BF5DE3B" w14:textId="5B169440" w:rsidR="00643D60" w:rsidRPr="00BE4152" w:rsidRDefault="00643D60" w:rsidP="00643D60">
      <w:pPr>
        <w:suppressAutoHyphens/>
      </w:pPr>
      <w:r w:rsidRPr="00BE4152">
        <w:t xml:space="preserve">Zasoby dyspozycyjne </w:t>
      </w:r>
      <w:r>
        <w:t xml:space="preserve">są </w:t>
      </w:r>
      <w:r w:rsidRPr="00BE4152">
        <w:t xml:space="preserve">aktualizowane corocznie </w:t>
      </w:r>
      <w:r>
        <w:t>na podstawie nowych zatwierdzonych dokumentacji hydrogeologicznych ustalających zasoby dyspozycyjne wód podziemnych, bieżących informacji o</w:t>
      </w:r>
      <w:r w:rsidR="00CC32F4">
        <w:t> </w:t>
      </w:r>
      <w:r>
        <w:t xml:space="preserve">realizowanych projektach i programach prac oraz dokumentacji </w:t>
      </w:r>
      <w:r w:rsidRPr="00BE4152">
        <w:t>mających na celu aktualizację zasobów dyspozycyjnych zwykłych wód podziemnych.</w:t>
      </w:r>
    </w:p>
    <w:p w14:paraId="625B473C" w14:textId="77777777" w:rsidR="00643D60" w:rsidRPr="00BE4152" w:rsidRDefault="00643D60" w:rsidP="00B50FFD">
      <w:pPr>
        <w:pStyle w:val="Nagwek4"/>
      </w:pPr>
      <w:r w:rsidRPr="00BE4152">
        <w:t>Monitoring badawczy jcwpd</w:t>
      </w:r>
    </w:p>
    <w:p w14:paraId="62C8C5C7" w14:textId="3EFEA96B" w:rsidR="00643D60" w:rsidRPr="00BE4152" w:rsidRDefault="00643D60" w:rsidP="00643D60">
      <w:pPr>
        <w:suppressAutoHyphens/>
      </w:pPr>
      <w:r w:rsidRPr="00BE4152">
        <w:t xml:space="preserve">Zgodnie z </w:t>
      </w:r>
      <w:r w:rsidRPr="00BE4152">
        <w:rPr>
          <w:lang w:eastAsia="pl-PL"/>
        </w:rPr>
        <w:t>r.m.jcw</w:t>
      </w:r>
      <w:r w:rsidRPr="00BE4152">
        <w:t xml:space="preserve"> (</w:t>
      </w:r>
      <w:r w:rsidR="00AC2BAF">
        <w:t>par</w:t>
      </w:r>
      <w:r w:rsidR="00EE3AE2">
        <w:t>.</w:t>
      </w:r>
      <w:r w:rsidRPr="00BE4152">
        <w:t xml:space="preserve"> 21) monitoring badawczy jcwpd lub ich części ustala się w celu:</w:t>
      </w:r>
    </w:p>
    <w:p w14:paraId="4B583C3C" w14:textId="634F40D6" w:rsidR="00643D60" w:rsidRPr="00A03144" w:rsidRDefault="00643D60" w:rsidP="00AA3506">
      <w:pPr>
        <w:pStyle w:val="Akapitzlist"/>
        <w:numPr>
          <w:ilvl w:val="0"/>
          <w:numId w:val="107"/>
        </w:numPr>
        <w:ind w:left="350"/>
      </w:pPr>
      <w:r w:rsidRPr="00A03144">
        <w:t>wyjaśnienia przyczyn niespełnienia celów środowiskowych określonych dla danej jcwpd, o</w:t>
      </w:r>
      <w:r w:rsidR="00CC32F4">
        <w:t> </w:t>
      </w:r>
      <w:r w:rsidRPr="00A03144">
        <w:t>ile wyjaśnienie przyczyn nie jest możliwe na podstawie danych oraz informacji uzyskanych w wyniku pomiarów lub badań prowadzonych w ramach monitoringu stanu ilościowego jcwpd bądź monitoringu stanu chemicznego jcwpd;</w:t>
      </w:r>
    </w:p>
    <w:p w14:paraId="130B9494" w14:textId="77777777" w:rsidR="00643D60" w:rsidRPr="00A03144" w:rsidRDefault="00643D60" w:rsidP="00AA3506">
      <w:pPr>
        <w:pStyle w:val="Akapitzlist"/>
        <w:numPr>
          <w:ilvl w:val="0"/>
          <w:numId w:val="107"/>
        </w:numPr>
        <w:ind w:left="350"/>
      </w:pPr>
      <w:r w:rsidRPr="00A03144">
        <w:t>zidentyfikowania zasięgu, rodzaju i stężeń zanieczyszczeń, jeżeli nastąpiło zanieczyszczenie jcwpd;</w:t>
      </w:r>
    </w:p>
    <w:p w14:paraId="3E4FAFE2" w14:textId="77777777" w:rsidR="00643D60" w:rsidRPr="00A03144" w:rsidRDefault="00643D60" w:rsidP="00AA3506">
      <w:pPr>
        <w:pStyle w:val="Akapitzlist"/>
        <w:numPr>
          <w:ilvl w:val="0"/>
          <w:numId w:val="107"/>
        </w:numPr>
        <w:ind w:left="350"/>
      </w:pPr>
      <w:r w:rsidRPr="00A03144">
        <w:t>zidentyfikowania zasięgu znacznego obniżenia poziomu wód podziemnych, powodującego zagrożenie niespełnieniem celów środowiskowych przez daną jcwpd.</w:t>
      </w:r>
    </w:p>
    <w:p w14:paraId="121B3AD6" w14:textId="77777777" w:rsidR="00643D60" w:rsidRDefault="00643D60" w:rsidP="00643D60">
      <w:pPr>
        <w:suppressAutoHyphens/>
      </w:pPr>
      <w:r w:rsidRPr="00BE4152">
        <w:t>Monitoring badawczy stanowi zatem uzupełnienie monitoringu diagnostycznego i operacyjnego oraz standardowego monitoringu stanu ilościowego. Jego zakres i częstotliwość wynika</w:t>
      </w:r>
      <w:r>
        <w:t>ją</w:t>
      </w:r>
      <w:r w:rsidRPr="00BE4152">
        <w:t xml:space="preserve"> z przyczyny jego prowadzenia (zidentyfikowane zanieczyszczenie lub presja) oraz warunków hydrogeologicznych danej jcwpd.</w:t>
      </w:r>
      <w:r>
        <w:t xml:space="preserve"> Monitoring badawczy prowadzony jest poza systemem Państwowego Monitoringu Środowiska.</w:t>
      </w:r>
    </w:p>
    <w:p w14:paraId="39ACCD07" w14:textId="77777777" w:rsidR="00643D60" w:rsidRPr="00015157" w:rsidRDefault="00643D60" w:rsidP="00643D60">
      <w:pPr>
        <w:pStyle w:val="Raport-tekstpodstawowy"/>
        <w:ind w:firstLine="0"/>
        <w:rPr>
          <w:sz w:val="22"/>
          <w:szCs w:val="22"/>
        </w:rPr>
      </w:pPr>
      <w:r w:rsidRPr="00015157">
        <w:rPr>
          <w:sz w:val="22"/>
          <w:szCs w:val="22"/>
        </w:rPr>
        <w:t>W obszarze dorzecza Pregoły realizowany jest monitoring badawczy z zakresu monitoringu przygranicznych obszarów jcwpd.</w:t>
      </w:r>
    </w:p>
    <w:p w14:paraId="3542629B" w14:textId="77777777" w:rsidR="00643D60" w:rsidRPr="00BE4152" w:rsidRDefault="00643D60" w:rsidP="00AA0CAB">
      <w:pPr>
        <w:pStyle w:val="Nagwek5"/>
      </w:pPr>
      <w:r w:rsidRPr="00BE4152">
        <w:t xml:space="preserve">Monitoring przygranicznych obszarów jcwpd </w:t>
      </w:r>
    </w:p>
    <w:p w14:paraId="4ECD9EB6" w14:textId="77777777" w:rsidR="00643D60" w:rsidRPr="00BE4152" w:rsidRDefault="00643D60" w:rsidP="00643D60">
      <w:pPr>
        <w:suppressAutoHyphens/>
      </w:pPr>
      <w:r w:rsidRPr="00BE4152">
        <w:t xml:space="preserve">Za przygraniczne jcwpd uznano jednostki, których przynajmniej jeden z odcinków określających granicę jcwpd pokrywa się z granicą państwową, z wyjątkiem jcwpd graniczących wyłącznie z </w:t>
      </w:r>
      <w:r>
        <w:t>M</w:t>
      </w:r>
      <w:r w:rsidRPr="00BE4152">
        <w:t>orzem</w:t>
      </w:r>
      <w:r>
        <w:t xml:space="preserve"> Bałtyckim</w:t>
      </w:r>
      <w:r w:rsidRPr="00BE4152">
        <w:t>.</w:t>
      </w:r>
    </w:p>
    <w:p w14:paraId="414E941E" w14:textId="77777777" w:rsidR="00643D60" w:rsidRPr="00BE4152" w:rsidRDefault="00643D60" w:rsidP="00643D60">
      <w:pPr>
        <w:suppressAutoHyphens/>
      </w:pPr>
      <w:r w:rsidRPr="00BE4152">
        <w:t xml:space="preserve">Obserwacje monitoringowe poziomu zwierciadła wody oraz badania stanu chemicznego wód podziemnych wzdłuż granic Polski </w:t>
      </w:r>
      <w:r>
        <w:t xml:space="preserve">są </w:t>
      </w:r>
      <w:r w:rsidRPr="00BE4152">
        <w:t xml:space="preserve">prowadzone w ramach zadania państwowej służby hydrogeologicznej pt.: </w:t>
      </w:r>
      <w:r w:rsidRPr="00FB0435">
        <w:rPr>
          <w:i/>
        </w:rPr>
        <w:t>Monitoring wód podziemnych w strefach granicznych RP na potrzeby realizacji umów i współpracy międzynarodowej</w:t>
      </w:r>
      <w:r>
        <w:t>.</w:t>
      </w:r>
    </w:p>
    <w:p w14:paraId="7E95213B" w14:textId="308A4598" w:rsidR="00643D60" w:rsidRDefault="00643D60" w:rsidP="00643D60">
      <w:pPr>
        <w:suppressAutoHyphens/>
      </w:pPr>
      <w:r w:rsidRPr="00BE4152">
        <w:t>Państwowa służba hydrogeologiczna (PSH) uczestniczy we współpracy międzynarodowej i</w:t>
      </w:r>
      <w:r w:rsidR="00CC32F4">
        <w:t> </w:t>
      </w:r>
      <w:r w:rsidRPr="00BE4152">
        <w:t>międzypaństwowej, stanowiącej realizację polityki państwa w zakresie gospodarki i ochrony wód podziemnych. Część działań PSH jest związana z bezpośrednią realizacją zadań koordynowanych przez MI, MKiŚ, PGW</w:t>
      </w:r>
      <w:r w:rsidR="001B1731">
        <w:t xml:space="preserve"> </w:t>
      </w:r>
      <w:r w:rsidRPr="00BE4152">
        <w:t>WP</w:t>
      </w:r>
      <w:r>
        <w:t xml:space="preserve"> i</w:t>
      </w:r>
      <w:r w:rsidRPr="00BE4152">
        <w:t xml:space="preserve"> GIOŚ. Są one realizowane w międzynarodowych </w:t>
      </w:r>
      <w:r>
        <w:t>k</w:t>
      </w:r>
      <w:r w:rsidRPr="00BE4152">
        <w:t xml:space="preserve">omisjach i </w:t>
      </w:r>
      <w:r>
        <w:t>g</w:t>
      </w:r>
      <w:r w:rsidRPr="00BE4152">
        <w:t xml:space="preserve">rupach </w:t>
      </w:r>
      <w:r>
        <w:t>r</w:t>
      </w:r>
      <w:r w:rsidRPr="00BE4152">
        <w:t>oboczych, w</w:t>
      </w:r>
      <w:r w:rsidR="00CC32F4">
        <w:t> </w:t>
      </w:r>
      <w:r w:rsidRPr="00BE4152">
        <w:t xml:space="preserve">pracach których przedstawiciele PIG-PIB uczestniczą jako delegaci lub eksperci. </w:t>
      </w:r>
    </w:p>
    <w:p w14:paraId="3A28C893" w14:textId="7862F43D" w:rsidR="00643D60" w:rsidRPr="00BE4152" w:rsidRDefault="00643D60" w:rsidP="00643D60">
      <w:pPr>
        <w:suppressAutoHyphens/>
      </w:pPr>
      <w:r>
        <w:t>W obszarze dorzecza Pregoły, m</w:t>
      </w:r>
      <w:r w:rsidRPr="005659D6">
        <w:t>onitoring</w:t>
      </w:r>
      <w:r>
        <w:t>iem</w:t>
      </w:r>
      <w:r w:rsidRPr="005659D6">
        <w:t xml:space="preserve"> badawcz</w:t>
      </w:r>
      <w:r>
        <w:t>ym</w:t>
      </w:r>
      <w:r w:rsidRPr="005659D6">
        <w:t xml:space="preserve"> wód podziemnych </w:t>
      </w:r>
      <w:r>
        <w:t>objęty jest obszar</w:t>
      </w:r>
      <w:r w:rsidRPr="005659D6">
        <w:t xml:space="preserve"> </w:t>
      </w:r>
      <w:r w:rsidRPr="007651E9">
        <w:rPr>
          <w:lang w:val="cs-CZ"/>
        </w:rPr>
        <w:t>w</w:t>
      </w:r>
      <w:r w:rsidR="00CC32F4">
        <w:rPr>
          <w:lang w:val="cs-CZ"/>
        </w:rPr>
        <w:t> </w:t>
      </w:r>
      <w:r w:rsidRPr="007651E9">
        <w:rPr>
          <w:lang w:val="cs-CZ"/>
        </w:rPr>
        <w:t>strefie przygranicznej Polski z</w:t>
      </w:r>
      <w:r>
        <w:rPr>
          <w:lang w:val="cs-CZ"/>
        </w:rPr>
        <w:t> </w:t>
      </w:r>
      <w:r w:rsidRPr="007651E9">
        <w:rPr>
          <w:lang w:val="cs-CZ"/>
        </w:rPr>
        <w:t>Rosją</w:t>
      </w:r>
      <w:r>
        <w:rPr>
          <w:lang w:val="cs-CZ"/>
        </w:rPr>
        <w:t xml:space="preserve">, w szczególności </w:t>
      </w:r>
      <w:r w:rsidRPr="007651E9">
        <w:rPr>
          <w:lang w:val="cs-CZ"/>
        </w:rPr>
        <w:t xml:space="preserve">czwartorzędowe poziomy wodonośne, na obszarach cennych przyrodniczo, w tym ekosystemach lądowych zależnych od wód podziemnych. Punkty monitoringu badawczego wykonano także w rejonie transgranicznego dopływu wód podziemnych do GZWP nr 202 </w:t>
      </w:r>
      <w:r w:rsidR="00442AB7">
        <w:rPr>
          <w:lang w:val="cs-CZ"/>
        </w:rPr>
        <w:t>-</w:t>
      </w:r>
      <w:r w:rsidRPr="007651E9">
        <w:rPr>
          <w:lang w:val="cs-CZ"/>
        </w:rPr>
        <w:t xml:space="preserve"> Sandr Gołdap oraz w</w:t>
      </w:r>
      <w:r>
        <w:rPr>
          <w:lang w:val="cs-CZ"/>
        </w:rPr>
        <w:t> </w:t>
      </w:r>
      <w:r w:rsidRPr="007651E9">
        <w:rPr>
          <w:lang w:val="cs-CZ"/>
        </w:rPr>
        <w:t>rejonach narażonych na transgraniczne presje na wody podziemne.</w:t>
      </w:r>
    </w:p>
    <w:p w14:paraId="49A377DC" w14:textId="77777777" w:rsidR="00643D60" w:rsidRPr="00BE4152" w:rsidRDefault="00643D60" w:rsidP="00643D60">
      <w:pPr>
        <w:suppressAutoHyphens/>
      </w:pPr>
      <w:r w:rsidRPr="00BE4152">
        <w:t>Uzgodnienia dotyczące zakresu i formy prowadzenia monitoringu wód podziemnych w strefach przygranicznych, które podlegają działalności poszczególnych komisji międzynarodowych</w:t>
      </w:r>
      <w:r>
        <w:t>,</w:t>
      </w:r>
      <w:r w:rsidRPr="00BE4152">
        <w:t xml:space="preserve"> są nadrzędne nad ustaleniami krajowymi. Liczba punktów monitoringu transgranicznego i obszarów objętych badaniami zależy od decyzji podejmowanych w komisjach do spraw wód granicznych. Z tego powodu trudno obecnie przewidzieć w szczegółach</w:t>
      </w:r>
      <w:r>
        <w:t>,</w:t>
      </w:r>
      <w:r w:rsidRPr="00BE4152">
        <w:t xml:space="preserve"> jaki będzie kształt i </w:t>
      </w:r>
      <w:r>
        <w:t xml:space="preserve">jakie </w:t>
      </w:r>
      <w:r w:rsidRPr="00BE4152">
        <w:t>oczekiwania wobec monitoringu wód podziemnych stref przygranicznych w latach 2022</w:t>
      </w:r>
      <w:r>
        <w:t>-</w:t>
      </w:r>
      <w:r w:rsidRPr="00BE4152">
        <w:t xml:space="preserve">2027. </w:t>
      </w:r>
    </w:p>
    <w:p w14:paraId="1F39FF34" w14:textId="77777777" w:rsidR="00643D60" w:rsidRPr="00BE4152" w:rsidRDefault="00643D60" w:rsidP="00B50FFD">
      <w:pPr>
        <w:pStyle w:val="Nagwek4"/>
      </w:pPr>
      <w:r w:rsidRPr="00BE4152">
        <w:t>Monitoring wpływu stanu jcwpd na obszary chronione</w:t>
      </w:r>
    </w:p>
    <w:p w14:paraId="0F001DEC" w14:textId="77777777" w:rsidR="00643D60" w:rsidRPr="00BE4152" w:rsidRDefault="00643D60" w:rsidP="00643D60">
      <w:pPr>
        <w:suppressAutoHyphens/>
      </w:pPr>
      <w:r w:rsidRPr="00BE4152">
        <w:t>Pozyskanie informacji o stanie wód obszarów chronionych jest jednym z celów monitoringu wód realizowanego w ramach PMŚ (art. 349 ust.</w:t>
      </w:r>
      <w:r>
        <w:t xml:space="preserve"> </w:t>
      </w:r>
      <w:r w:rsidRPr="00BE4152">
        <w:t>1 i 2). Zgodnie z ustawą pr.w. (art. 16 pkt 32) przez obszary chronione, w odniesieniu do wód podziemnych, rozumie się:</w:t>
      </w:r>
    </w:p>
    <w:p w14:paraId="1288AAC6" w14:textId="5A4AF56E" w:rsidR="00643D60" w:rsidRPr="00A03144" w:rsidRDefault="00643D60" w:rsidP="00AA3506">
      <w:pPr>
        <w:pStyle w:val="Akapitzlist"/>
        <w:numPr>
          <w:ilvl w:val="0"/>
          <w:numId w:val="108"/>
        </w:numPr>
        <w:ind w:left="364"/>
      </w:pPr>
      <w:r w:rsidRPr="00A03144">
        <w:t>jednolite części wód przeznaczone do poboru wody na potrzeby zaopatrzenia ludności w</w:t>
      </w:r>
      <w:r w:rsidR="00CC32F4">
        <w:t> </w:t>
      </w:r>
      <w:r w:rsidRPr="00A03144">
        <w:t>wodę przeznaczoną do spożycia przez ludzi;</w:t>
      </w:r>
    </w:p>
    <w:p w14:paraId="200C1EB6" w14:textId="77777777" w:rsidR="00643D60" w:rsidRPr="00A03144" w:rsidRDefault="00643D60" w:rsidP="00AA3506">
      <w:pPr>
        <w:pStyle w:val="Akapitzlist"/>
        <w:numPr>
          <w:ilvl w:val="0"/>
          <w:numId w:val="108"/>
        </w:numPr>
        <w:ind w:left="364"/>
      </w:pPr>
      <w:r w:rsidRPr="00A03144">
        <w:t>obszary przeznaczone do ochrony siedlisk lub gatunków, o których mowa w przepisach u.o.p., dla których utrzymanie lub poprawa stanu wód jest ważnym czynnikiem w ich ochronie.</w:t>
      </w:r>
    </w:p>
    <w:p w14:paraId="0C02E91D" w14:textId="77777777" w:rsidR="00643D60" w:rsidRDefault="00643D60" w:rsidP="00643D60">
      <w:pPr>
        <w:suppressAutoHyphens/>
      </w:pPr>
      <w:r w:rsidRPr="00BE4152">
        <w:t>Wody obszarów chronionych obejmują zarówno wody powierzchniowe</w:t>
      </w:r>
      <w:r>
        <w:t>,</w:t>
      </w:r>
      <w:r w:rsidRPr="00BE4152">
        <w:t xml:space="preserve"> jak i podziemne, zaś ocenie stanu wód obszarów chronionych służą wyniki monitoringu jcwp i jcwpd. W ramach PMŚ nie funkcjonuje odrębna sieć monitoringu obszarów chronionych, tylko z istniejących sieci monitoringowych dobierane są punkty badawcze umożliwiające pozyskanie wyników na potrzeby oceny stanu wód obszarów chronionych.</w:t>
      </w:r>
      <w:r>
        <w:t xml:space="preserve"> </w:t>
      </w:r>
    </w:p>
    <w:p w14:paraId="66B5AB77" w14:textId="77777777" w:rsidR="00643D60" w:rsidRPr="00BE4152" w:rsidRDefault="00643D60" w:rsidP="00643D60">
      <w:pPr>
        <w:suppressAutoHyphens/>
      </w:pPr>
      <w:r w:rsidRPr="00BE4152">
        <w:t>Zgodnie z powyższym monitoring obszarów chronionych realizowany przez PIG-PIB należy traktować jako monitoring uzupełniający, który funkcjonuje na zasadzie wskazania punktów sieci obserwacyjno-badawczej</w:t>
      </w:r>
      <w:r>
        <w:t>,</w:t>
      </w:r>
      <w:r w:rsidRPr="00BE4152">
        <w:t xml:space="preserve"> znajdujących się w obrębie danego obszaru chronionego lub w strefie zasilania. Badania w tych punktach odbywają się zgodnie z przewidzianymi dla nich zasadami monitoringu stanu ilościowego i/lub chemicznego. Wyniki badań z tych punktów są wykorzystywane dla realizacji odpowiednich testów oceny stanu jcwpd, ukierunkowanych na ocenę wpływu wód podziemnych na dany obszar chroniony.</w:t>
      </w:r>
    </w:p>
    <w:p w14:paraId="627FDB54" w14:textId="77777777" w:rsidR="00643D60" w:rsidRPr="00BE4152" w:rsidRDefault="00643D60" w:rsidP="00AA0CAB">
      <w:pPr>
        <w:pStyle w:val="Nagwek5"/>
      </w:pPr>
      <w:r w:rsidRPr="00BE4152">
        <w:t>Monitoring wód podziemnych w strefach zasilania chronionych ekosystemów lądowych bezpośrednio zależnych od wód podziemnych</w:t>
      </w:r>
    </w:p>
    <w:p w14:paraId="5E0E2352" w14:textId="77777777" w:rsidR="00643D60" w:rsidRPr="00BE4152" w:rsidRDefault="00643D60" w:rsidP="00643D60">
      <w:pPr>
        <w:suppressAutoHyphens/>
      </w:pPr>
      <w:r w:rsidRPr="00BE4152">
        <w:t>Na podstawie art. 349 ust. 14 ustawy pr.w. „sprawujący nadzór nad obszarami przeznaczonymi do ochrony siedlisk lub gatunków, ustanowionymi w przepisach ustawy z dnia 16 kwietnia 2004 r. o ochronie przyrody, dla których utrzymanie lub poprawa stanu wód jest ważnym czynnikiem w ich ochronie, sporządza ocenę tych obszarów na podstawie badań własnych przedmiotów ochrony zależnych od stanu wód oraz wyników monitoringu, które powstają w ramach PMŚ”.</w:t>
      </w:r>
    </w:p>
    <w:p w14:paraId="5F6DD9A7" w14:textId="0A5E6DC3" w:rsidR="00643D60" w:rsidRPr="00BE4152" w:rsidRDefault="00643D60" w:rsidP="00643D60">
      <w:pPr>
        <w:suppressAutoHyphens/>
      </w:pPr>
      <w:r w:rsidRPr="00BE4152">
        <w:t xml:space="preserve">W obszarach ochronionych ekosystemów lądowych bezpośrednio zależnych od wód podziemnych oceniany jest wpływ stanu ilościowego, rozumianego tu jako amplituda wahań zwierciadła wód podziemnych, i chemicznego jcwpd </w:t>
      </w:r>
      <w:r w:rsidR="00442AB7">
        <w:t>-</w:t>
      </w:r>
      <w:r w:rsidRPr="00BE4152">
        <w:t xml:space="preserve"> rozumianego jako stan chemiczny i skład chemiczny wód rozpatrywanej jednolitej części, na stan tych ekosystemów. Do monitoringu tego wskazano punkty badawcze, które są jednocześnie punktami monitoringu położenia zwierciadła i/lub chemizmu wód monitoringu diagnostycznego i operacyjnego, znajdujące się w strefie dopływu wód podziemnych do ekosystemu. W związku z tym zakres</w:t>
      </w:r>
      <w:r>
        <w:t>,</w:t>
      </w:r>
      <w:r w:rsidRPr="00BE4152">
        <w:t xml:space="preserve"> częstotliwość i metodyka badań w tych punktach są identyczne jak dla punktów pomiarowo</w:t>
      </w:r>
      <w:r>
        <w:t>-</w:t>
      </w:r>
      <w:r w:rsidRPr="00BE4152">
        <w:t>kontrolnych monitoringu stanu ilościowego i chemicznego.</w:t>
      </w:r>
    </w:p>
    <w:p w14:paraId="1443C5D8" w14:textId="77777777" w:rsidR="00643D60" w:rsidRPr="00BE4152" w:rsidRDefault="00643D60" w:rsidP="00AA0CAB">
      <w:pPr>
        <w:pStyle w:val="Nagwek5"/>
      </w:pPr>
      <w:r w:rsidRPr="00BE4152">
        <w:t>Monitoring wód ujmowanych do zaopatrzenia ludności w wodę do spożycia</w:t>
      </w:r>
    </w:p>
    <w:p w14:paraId="0709B1B6" w14:textId="77777777" w:rsidR="00643D60" w:rsidRPr="00BE4152" w:rsidRDefault="00643D60" w:rsidP="00643D60">
      <w:pPr>
        <w:suppressAutoHyphens/>
      </w:pPr>
      <w:r w:rsidRPr="00BE4152">
        <w:t>Do monitoringu wód ujmowanych do zaopatrzenia ludności w wodę do spożycia wskazano wybrane punkty monitoringu diagnostycznego i operacyjnego stanu chemicznego. Są to przede wszystkim punkty, które stanowią potencjalne źródło zaopatrzenia w wodę przeznaczoną do spożycia przez ludzi, czyli punkty wchodzące w skład ujęć komunalnych, punkty</w:t>
      </w:r>
      <w:r>
        <w:t>,</w:t>
      </w:r>
      <w:r w:rsidRPr="00BE4152">
        <w:t xml:space="preserve"> z których woda </w:t>
      </w:r>
      <w:r>
        <w:t xml:space="preserve">jest </w:t>
      </w:r>
      <w:r w:rsidRPr="00BE4152">
        <w:t>wykorzystywana do spożycia przez ludzi w związku z prowadzoną działalności handlową lub publiczną (m.in. zakłady produkcyjne, szkoły, szpitale)</w:t>
      </w:r>
      <w:r>
        <w:t>,</w:t>
      </w:r>
      <w:r w:rsidRPr="00BE4152">
        <w:t xml:space="preserve"> oraz punkty ujmujące lub monitorujące główne użytkowe poziomy wodonośne (GUPW) i główne zbiorniki wód podziemnych (GZWP). Dla potrzeb tego monitoringu wykorzystuje się wyniki badań w sieci obserwacyjno-badawczej wód podziemnych</w:t>
      </w:r>
      <w:r>
        <w:t>,</w:t>
      </w:r>
      <w:r w:rsidRPr="00BE4152">
        <w:t xml:space="preserve"> wskazane do monitoringu stanu chemicznego.</w:t>
      </w:r>
    </w:p>
    <w:p w14:paraId="19F3361D" w14:textId="77777777" w:rsidR="00643D60" w:rsidRPr="00BE4152" w:rsidRDefault="00643D60" w:rsidP="00B50FFD">
      <w:pPr>
        <w:pStyle w:val="Nagwek4"/>
      </w:pPr>
      <w:r w:rsidRPr="00BE4152">
        <w:t xml:space="preserve">Badania </w:t>
      </w:r>
      <w:r w:rsidRPr="00F73A1D">
        <w:t>stężeń</w:t>
      </w:r>
      <w:r w:rsidRPr="00BE4152">
        <w:t xml:space="preserve"> azotanów na potrzeb</w:t>
      </w:r>
      <w:r>
        <w:t>y</w:t>
      </w:r>
      <w:r w:rsidRPr="00BE4152">
        <w:t xml:space="preserve"> oceny skuteczności programu działań</w:t>
      </w:r>
    </w:p>
    <w:p w14:paraId="226FA358" w14:textId="77777777" w:rsidR="00643D60" w:rsidRPr="00BE4152" w:rsidRDefault="00643D60" w:rsidP="00643D60">
      <w:pPr>
        <w:suppressAutoHyphens/>
      </w:pPr>
      <w:r w:rsidRPr="00BE4152">
        <w:t>Zgodnie z art. 110 ustawy pr.w. w ramach systemu PMŚ prowadzony jest monitoring stężeń azotanów służący dokonaniu oceny skuteczności programu działań.</w:t>
      </w:r>
    </w:p>
    <w:p w14:paraId="2FDA3246" w14:textId="43662667" w:rsidR="00643D60" w:rsidRPr="00BE4152" w:rsidRDefault="00643D60" w:rsidP="00643D60">
      <w:pPr>
        <w:suppressAutoHyphens/>
      </w:pPr>
      <w:r w:rsidRPr="00BE4152">
        <w:t xml:space="preserve">Monitoring stężeń azotanów </w:t>
      </w:r>
      <w:r>
        <w:t xml:space="preserve">jest </w:t>
      </w:r>
      <w:r w:rsidRPr="00BE4152">
        <w:t xml:space="preserve">ukierunkowany na oddziaływanie presji rolniczej na wody podziemne i do 2016 </w:t>
      </w:r>
      <w:r>
        <w:t xml:space="preserve">r. był </w:t>
      </w:r>
      <w:r w:rsidRPr="00BE4152">
        <w:t xml:space="preserve">realizowany w wydzielonych obszarach szczególnie narażonych na zanieczyszczenia azotanami pochodzenia rolniczego, których granice aktualizowano co 4 lata. Od 2018 </w:t>
      </w:r>
      <w:r>
        <w:t xml:space="preserve">r. </w:t>
      </w:r>
      <w:r w:rsidRPr="00BE4152">
        <w:t xml:space="preserve">program działań w celu zmniejszenia zanieczyszczenia wód azotanami pochodzącymi ze źródeł rolniczych oraz </w:t>
      </w:r>
      <w:r w:rsidR="00782899" w:rsidRPr="00BE4152">
        <w:t>zapobiegani</w:t>
      </w:r>
      <w:r w:rsidR="00782899">
        <w:t>e</w:t>
      </w:r>
      <w:r w:rsidR="00782899" w:rsidRPr="00BE4152">
        <w:t xml:space="preserve"> </w:t>
      </w:r>
      <w:r w:rsidRPr="00BE4152">
        <w:t xml:space="preserve">dalszemu zanieczyszczeniu obowiązuje na obszarze całego kraju, dlatego też monitoring stężeń azotanów na potrzeby oceny skuteczności programu działań </w:t>
      </w:r>
      <w:r>
        <w:t>jest</w:t>
      </w:r>
      <w:r w:rsidRPr="00BE4152">
        <w:t xml:space="preserve"> realizowa</w:t>
      </w:r>
      <w:r>
        <w:t>ny</w:t>
      </w:r>
      <w:r w:rsidRPr="00BE4152">
        <w:t xml:space="preserve"> w obszarze całego kraju.</w:t>
      </w:r>
    </w:p>
    <w:p w14:paraId="60C76FF5" w14:textId="77777777" w:rsidR="00643D60" w:rsidRPr="00BE4152" w:rsidRDefault="00643D60" w:rsidP="00643D60">
      <w:pPr>
        <w:suppressAutoHyphens/>
      </w:pPr>
      <w:r w:rsidRPr="00BE4152">
        <w:t xml:space="preserve">Zgodnie z zapisami Dyrektywy Azotanowej monitoring dotyczy jedynie </w:t>
      </w:r>
      <w:r>
        <w:t xml:space="preserve">badań </w:t>
      </w:r>
      <w:r w:rsidRPr="00BE4152">
        <w:t>stężeń azotanów. Niemniej w celu przeprowadzenia kontroli jakości wyników zakres oznaczanych wskaźników wymaga oznaczenia równie</w:t>
      </w:r>
      <w:r>
        <w:t>ż</w:t>
      </w:r>
      <w:r w:rsidRPr="00BE4152">
        <w:t xml:space="preserve"> grupy wskaźników podstawowych, niezbędnych do wykonania analizy bilansu jonowego.</w:t>
      </w:r>
    </w:p>
    <w:p w14:paraId="5E1F039C" w14:textId="5E9F559D" w:rsidR="00643D60" w:rsidRPr="00BE4152" w:rsidRDefault="00643D60" w:rsidP="00643D60">
      <w:pPr>
        <w:suppressAutoHyphens/>
      </w:pPr>
      <w:r w:rsidRPr="00BE4152">
        <w:t>Częstotliwość pomiarów stężeń azotanów na potrzeb</w:t>
      </w:r>
      <w:r>
        <w:t>y</w:t>
      </w:r>
      <w:r w:rsidRPr="00BE4152">
        <w:t xml:space="preserve"> oceny skuteczności programu działań definiuj</w:t>
      </w:r>
      <w:r>
        <w:t>e</w:t>
      </w:r>
      <w:r w:rsidRPr="00BE4152">
        <w:t xml:space="preserve"> Dyrektywa Azotanowa. Monitoring należy prowadzić </w:t>
      </w:r>
      <w:r>
        <w:t>nie rzadziej niż raz</w:t>
      </w:r>
      <w:r w:rsidRPr="00BE4152">
        <w:t xml:space="preserve"> na </w:t>
      </w:r>
      <w:r>
        <w:t>4</w:t>
      </w:r>
      <w:r w:rsidRPr="00BE4152">
        <w:t xml:space="preserve"> lata w przypadku punktów, gdzie stężenie azotanów w co najmniej jednej z poprzednich próbek wynosiło powyżej 25 mg/l, a w pozostałych punktach </w:t>
      </w:r>
      <w:r w:rsidR="00442AB7">
        <w:t>-</w:t>
      </w:r>
      <w:r w:rsidRPr="00BE4152">
        <w:t xml:space="preserve"> co </w:t>
      </w:r>
      <w:r>
        <w:t>8</w:t>
      </w:r>
      <w:r w:rsidRPr="00BE4152">
        <w:t xml:space="preserve"> lat. Częstotliwość monitoringu nawiązuje do </w:t>
      </w:r>
      <w:r>
        <w:t>4-</w:t>
      </w:r>
      <w:r w:rsidRPr="00BE4152">
        <w:t>letnich cykli raportowania wymaganych Dyrektywą Azotanową (2016-2019; 2020-2023, 2024-2027).</w:t>
      </w:r>
    </w:p>
    <w:p w14:paraId="66DA704E" w14:textId="567A64A7" w:rsidR="00643D60" w:rsidRPr="00BE4152" w:rsidRDefault="00643D60" w:rsidP="00643D60">
      <w:pPr>
        <w:suppressAutoHyphens/>
      </w:pPr>
      <w:r w:rsidRPr="00BE4152">
        <w:t xml:space="preserve">Stężenia azotanów </w:t>
      </w:r>
      <w:r>
        <w:t xml:space="preserve">są </w:t>
      </w:r>
      <w:r w:rsidRPr="00BE4152">
        <w:t>badane w ramach monitoringu stanu chemicznego (diagnostycznego i</w:t>
      </w:r>
      <w:r w:rsidR="00CC32F4">
        <w:t> </w:t>
      </w:r>
      <w:r w:rsidRPr="00BE4152">
        <w:t xml:space="preserve">operacyjnego), a wyniki tych badań </w:t>
      </w:r>
      <w:r>
        <w:t>są</w:t>
      </w:r>
      <w:r w:rsidRPr="00BE4152">
        <w:t xml:space="preserve"> wykorzystane do dokonania oceny skuteczności programu działań. W szczególności wyniki pozyskane podczas monitoringu diagnostycznego w 2022</w:t>
      </w:r>
      <w:r>
        <w:t xml:space="preserve"> r.</w:t>
      </w:r>
      <w:r w:rsidRPr="00BE4152">
        <w:t>, który swym zasięgiem obejmuje cały kraj, będą wystarczające do wykonania oceny skuteczności programu działań za okres 2020-2023.</w:t>
      </w:r>
    </w:p>
    <w:p w14:paraId="65134B1B" w14:textId="77777777" w:rsidR="00643D60" w:rsidRPr="00BE4152" w:rsidRDefault="00643D60" w:rsidP="00643D60">
      <w:pPr>
        <w:suppressAutoHyphens/>
      </w:pPr>
      <w:r w:rsidRPr="00BE4152">
        <w:t>W kolejnym cyklu raportowym Dyrektywy Azotanowej 2024-2027 monitoring stanu chemicznego będzie realizowany jedynie w zakresie monitoringu operacyjnego, a więc będzie dotyczyć ograniczonej liczby jcwpd,</w:t>
      </w:r>
      <w:r>
        <w:t xml:space="preserve"> tj. tych</w:t>
      </w:r>
      <w:r w:rsidRPr="00BE4152">
        <w:t xml:space="preserve"> które </w:t>
      </w:r>
      <w:r>
        <w:t xml:space="preserve">są </w:t>
      </w:r>
      <w:r w:rsidRPr="00BE4152">
        <w:t xml:space="preserve">uznane za zagrożone nieosiągnięciem celów środowiskowych. W celu zapewnienia </w:t>
      </w:r>
      <w:r>
        <w:t xml:space="preserve">odpowiedniej puli </w:t>
      </w:r>
      <w:r w:rsidRPr="00BE4152">
        <w:t xml:space="preserve">wyników stężeń azotanów na potrzeby opracowania raportu azotanowego </w:t>
      </w:r>
      <w:r>
        <w:t xml:space="preserve">uwzględnione zostaną również badania z </w:t>
      </w:r>
      <w:r w:rsidRPr="00BE4152">
        <w:t>punkt</w:t>
      </w:r>
      <w:r>
        <w:t>ów</w:t>
      </w:r>
      <w:r w:rsidRPr="00BE4152">
        <w:t xml:space="preserve"> z pozostałych jcwpd, w których w co najmniej jednej z poprzednich próbek stężenie NO</w:t>
      </w:r>
      <w:r w:rsidRPr="00BE4152">
        <w:rPr>
          <w:vertAlign w:val="subscript"/>
        </w:rPr>
        <w:t>3</w:t>
      </w:r>
      <w:r w:rsidRPr="00BE4152">
        <w:t xml:space="preserve"> wyniosło powyżej 25 mg/l</w:t>
      </w:r>
      <w:r>
        <w:t>. Punkty te,</w:t>
      </w:r>
      <w:r w:rsidRPr="00BE4152">
        <w:t xml:space="preserve"> zostaną objęte uzupełniającymi badaniami stężeń azotanów, któr</w:t>
      </w:r>
      <w:r>
        <w:t>e</w:t>
      </w:r>
      <w:r w:rsidRPr="00BE4152">
        <w:t xml:space="preserve"> zaplanowano na 2025</w:t>
      </w:r>
      <w:r>
        <w:t xml:space="preserve"> r</w:t>
      </w:r>
      <w:r w:rsidRPr="00BE4152">
        <w:t>.</w:t>
      </w:r>
    </w:p>
    <w:p w14:paraId="303544CB" w14:textId="77777777" w:rsidR="00643D60" w:rsidRPr="00BE4152" w:rsidRDefault="00643D60" w:rsidP="00643D60">
      <w:pPr>
        <w:suppressAutoHyphens/>
      </w:pPr>
      <w:r w:rsidRPr="00BE4152">
        <w:t>W przypadku badań uzupełniających stężeń azotanów sposób poboru, kondycjonowania i transportu próbek do laboratorium jest taki sam jak w monitoringu diagnostycznym i operacyjnym.</w:t>
      </w:r>
    </w:p>
    <w:p w14:paraId="069CEE80" w14:textId="77777777" w:rsidR="00643D60" w:rsidRPr="00B50FFD" w:rsidRDefault="00643D60" w:rsidP="00B50FFD">
      <w:pPr>
        <w:pStyle w:val="Nagwek4"/>
      </w:pPr>
      <w:r w:rsidRPr="00B50FFD">
        <w:t>Rozpoznanie jakości wód w aspekcie nowych zanieczyszczeń zgodnie z listą obserwacyjną</w:t>
      </w:r>
    </w:p>
    <w:p w14:paraId="4D76544E" w14:textId="77777777" w:rsidR="00643D60" w:rsidRPr="00BE4152" w:rsidRDefault="00643D60" w:rsidP="00643D60">
      <w:pPr>
        <w:suppressAutoHyphens/>
      </w:pPr>
      <w:r w:rsidRPr="00BE4152">
        <w:t xml:space="preserve">Badanie jakości wód w aspekcie nowych zanieczyszczeń nie jest obligatoryjne z punktu widzenia obowiązujących przepisów prawnych na poziomie krajowym i europejskim. Niemniej w preambule </w:t>
      </w:r>
      <w:r>
        <w:t>d</w:t>
      </w:r>
      <w:r w:rsidRPr="00BE4152">
        <w:t>yrektywy 2014/80/UE zmieniającej załącznik II do DWP zawarto zapis uznający konieczność rozpoznawania nowych zanieczyszczeń wód podziemnych i wskazujący potrzebę ustalenia dla nich listy obserwacyjnej. Bieżąca analiza zanieczyszczenia wód podziemnych nowymi związkami zanieczyszczeń w oparciu o dostępne wyniki monitoringowe</w:t>
      </w:r>
      <w:r>
        <w:t>,</w:t>
      </w:r>
      <w:r w:rsidRPr="00BE4152">
        <w:t xml:space="preserve"> jak również aktualizacja zakresu związków na liście obserwacyjnej wód podziemnych </w:t>
      </w:r>
      <w:r>
        <w:t xml:space="preserve">są </w:t>
      </w:r>
      <w:r w:rsidRPr="00BE4152">
        <w:t>wykonywan</w:t>
      </w:r>
      <w:r>
        <w:t>e</w:t>
      </w:r>
      <w:r w:rsidRPr="00BE4152">
        <w:t xml:space="preserve"> w ramach prac grupy eksperckiej WG Groundwater działającej w strukturze Common Implementation Strategy for the Water Framework Directive and </w:t>
      </w:r>
      <w:r>
        <w:t xml:space="preserve">the </w:t>
      </w:r>
      <w:r w:rsidRPr="00BE4152">
        <w:t xml:space="preserve">Floods Directive. Opracowane w 2019 </w:t>
      </w:r>
      <w:r>
        <w:t xml:space="preserve">r. </w:t>
      </w:r>
      <w:r w:rsidRPr="00BE4152">
        <w:t xml:space="preserve">wytyczne pt. „Voluntary groundwater watch list concept &amp; methodology” zawierają listy wskaźników zanieczyszczeń, co do których istnieje duże prawdopodobieństwo obecności w wodach podziemnych, jako rekomendacje do uwzględnienia w lokalnych programach monitoringowych. W zależności od częstotliwości występowania zanieczyszczeń w wodach podziemnych potwierdzonych dostępnymi badaniami monitoringowymi wskaźniki umieszczane są na dwóch rodzajach list, tj. liście wspierającej (ang. </w:t>
      </w:r>
      <w:r w:rsidRPr="00AA36EC">
        <w:rPr>
          <w:i/>
          <w:iCs/>
        </w:rPr>
        <w:t>list facilitating</w:t>
      </w:r>
      <w:r w:rsidRPr="00BE4152">
        <w:t xml:space="preserve">) lub liście obserwacyjnej (ang. </w:t>
      </w:r>
      <w:r w:rsidRPr="00AA36EC">
        <w:rPr>
          <w:i/>
          <w:iCs/>
        </w:rPr>
        <w:t>groundwater watch list</w:t>
      </w:r>
      <w:r w:rsidRPr="00BE4152">
        <w:t>). Niebezpieczne nowe substancje organiczne, których występowanie w wodach podziemnych zostało udokumentowane na ustalonym poziomie ufności</w:t>
      </w:r>
      <w:r>
        <w:t xml:space="preserve">, są </w:t>
      </w:r>
      <w:r w:rsidRPr="00BE4152">
        <w:t>rekomendowane do regulacji na poziomie europejskim w ramach aktualizacji załączników Dyrektywy Wód Podziemnych. Wskaźniki zanieczyszczeń, co do których istnieją dowody o dużej szkodliwości dla zdrowia człowieka i środowiska, lecz ich udokumentowanie nie jest wystarczające</w:t>
      </w:r>
      <w:r>
        <w:t>, są</w:t>
      </w:r>
      <w:r w:rsidRPr="00BE4152">
        <w:t xml:space="preserve"> umieszczane na liście obserwacyjnej. </w:t>
      </w:r>
    </w:p>
    <w:p w14:paraId="4F8D09D4" w14:textId="77777777" w:rsidR="00643D60" w:rsidRDefault="00643D60" w:rsidP="00643D60">
      <w:r>
        <w:t>Na koniec 2020 r. na liście wspierającej rewizję załączników DWP umieszczonych było 12 substancji: 10 związków perfluorowanych PFAS (</w:t>
      </w:r>
      <w:r>
        <w:rPr>
          <w:i/>
          <w:iCs/>
        </w:rPr>
        <w:t xml:space="preserve">kwas perfluorobutanosulfonowy </w:t>
      </w:r>
      <w:r>
        <w:t xml:space="preserve">PFBS, </w:t>
      </w:r>
      <w:r>
        <w:rPr>
          <w:i/>
          <w:iCs/>
        </w:rPr>
        <w:t xml:space="preserve">kwas perfluorooktanowy </w:t>
      </w:r>
      <w:r>
        <w:t xml:space="preserve">PFOA, </w:t>
      </w:r>
      <w:r>
        <w:rPr>
          <w:i/>
          <w:iCs/>
        </w:rPr>
        <w:t xml:space="preserve">kwas perfluorobutanowy </w:t>
      </w:r>
      <w:r>
        <w:t xml:space="preserve">PFBA, </w:t>
      </w:r>
      <w:r>
        <w:rPr>
          <w:i/>
          <w:iCs/>
        </w:rPr>
        <w:t xml:space="preserve">kwas perfluorooktanosulfonowy </w:t>
      </w:r>
      <w:r>
        <w:t xml:space="preserve">PFOS, </w:t>
      </w:r>
      <w:r>
        <w:rPr>
          <w:i/>
          <w:iCs/>
        </w:rPr>
        <w:t xml:space="preserve">kwas perfluoroheksanosulfonowy </w:t>
      </w:r>
      <w:r>
        <w:t xml:space="preserve">PFHxS, </w:t>
      </w:r>
      <w:r>
        <w:rPr>
          <w:i/>
          <w:iCs/>
        </w:rPr>
        <w:t xml:space="preserve">kwas perfluoropentanowy </w:t>
      </w:r>
      <w:r>
        <w:t xml:space="preserve">PFPeA, </w:t>
      </w:r>
      <w:r>
        <w:rPr>
          <w:i/>
          <w:iCs/>
        </w:rPr>
        <w:t xml:space="preserve">kwas perfluoroheksanowy </w:t>
      </w:r>
      <w:r>
        <w:t xml:space="preserve">PFHxA, </w:t>
      </w:r>
      <w:r>
        <w:rPr>
          <w:i/>
          <w:iCs/>
        </w:rPr>
        <w:t xml:space="preserve">kwas perfluoroheptanowy </w:t>
      </w:r>
      <w:r>
        <w:t xml:space="preserve">PFHpA, </w:t>
      </w:r>
      <w:r>
        <w:rPr>
          <w:i/>
          <w:iCs/>
        </w:rPr>
        <w:t xml:space="preserve">kwas perfluorodekanowy </w:t>
      </w:r>
      <w:r>
        <w:t xml:space="preserve">PFDA, </w:t>
      </w:r>
      <w:r>
        <w:rPr>
          <w:i/>
          <w:iCs/>
        </w:rPr>
        <w:t xml:space="preserve">kwas perfluorononanowy </w:t>
      </w:r>
      <w:r>
        <w:t>PFNA) i 2 farmaceutyki (sulfametoksazol oraz karbamazepina). Lista obserwacyjna zawierała 11 substancji (</w:t>
      </w:r>
      <w:r>
        <w:rPr>
          <w:i/>
          <w:iCs/>
        </w:rPr>
        <w:t xml:space="preserve">kwas perfluorododekanowy </w:t>
      </w:r>
      <w:r>
        <w:t xml:space="preserve">PFDoA, </w:t>
      </w:r>
      <w:r>
        <w:rPr>
          <w:i/>
          <w:iCs/>
        </w:rPr>
        <w:t xml:space="preserve">kwas perfluoroundekanowy </w:t>
      </w:r>
      <w:r>
        <w:t>PFUnA, klopidol, krotamiton, kwas amidotryzowy, sulfadiazyna, prymidon, sotalol, ibuprofen, erytromycyna, klarytromycyna).</w:t>
      </w:r>
    </w:p>
    <w:p w14:paraId="70BEED85" w14:textId="77777777" w:rsidR="00643D60" w:rsidRPr="00BE4152" w:rsidRDefault="00643D60" w:rsidP="00643D60">
      <w:pPr>
        <w:suppressAutoHyphens/>
      </w:pPr>
      <w:r>
        <w:t>Powyższe substancje rekomendowane są do uwzględnienia w badaniach monitoringowych w zakresie rozpoznania jakości wód w aspekcie nowych zanieczyszczeń. W kolejnych latach zakres analityczny powinien być dopasowywany do aktualnych wytycznych grupy eksperckiej</w:t>
      </w:r>
      <w:r w:rsidRPr="00BE4152">
        <w:t>.</w:t>
      </w:r>
    </w:p>
    <w:p w14:paraId="67AAE98C" w14:textId="77777777" w:rsidR="00643D60" w:rsidRPr="00BE4152" w:rsidRDefault="00643D60" w:rsidP="00643D60">
      <w:pPr>
        <w:suppressAutoHyphens/>
      </w:pPr>
      <w:r w:rsidRPr="00BE4152">
        <w:t xml:space="preserve">Sugerowana roczna liczba punktów opróbowanych w </w:t>
      </w:r>
      <w:r>
        <w:t xml:space="preserve">obszarze </w:t>
      </w:r>
      <w:r w:rsidRPr="00BE4152">
        <w:t>dorzecz</w:t>
      </w:r>
      <w:r>
        <w:t>a</w:t>
      </w:r>
      <w:r w:rsidRPr="00BE4152">
        <w:t xml:space="preserve"> </w:t>
      </w:r>
      <w:r>
        <w:t>Pregoły wynosi</w:t>
      </w:r>
      <w:r w:rsidRPr="00BE4152">
        <w:t xml:space="preserve"> 5.</w:t>
      </w:r>
    </w:p>
    <w:p w14:paraId="22CE7ECC" w14:textId="77777777" w:rsidR="00643D60" w:rsidRPr="00BE4152" w:rsidRDefault="00643D60" w:rsidP="00B50FFD">
      <w:pPr>
        <w:pStyle w:val="Nagwek3"/>
      </w:pPr>
      <w:bookmarkStart w:id="99" w:name="_Toc68726851"/>
      <w:r w:rsidRPr="00BE4152">
        <w:t>Mapa sieci monitoringu wód podziemnych wraz z prezentacją programów monitoringowych</w:t>
      </w:r>
      <w:bookmarkEnd w:id="99"/>
    </w:p>
    <w:p w14:paraId="76366ABD" w14:textId="77777777" w:rsidR="00CE57D6" w:rsidRPr="00CE57D6" w:rsidRDefault="00CE57D6" w:rsidP="00CE57D6">
      <w:pPr>
        <w:pStyle w:val="Akapitzlist"/>
        <w:keepNext/>
        <w:numPr>
          <w:ilvl w:val="2"/>
          <w:numId w:val="135"/>
        </w:numPr>
        <w:tabs>
          <w:tab w:val="left" w:pos="1134"/>
        </w:tabs>
        <w:suppressAutoHyphens/>
        <w:jc w:val="left"/>
        <w:outlineLvl w:val="3"/>
        <w:rPr>
          <w:b/>
          <w:bCs/>
          <w:vanish/>
          <w:color w:val="003399"/>
        </w:rPr>
      </w:pPr>
    </w:p>
    <w:p w14:paraId="66E310E7" w14:textId="7E5DF96B" w:rsidR="00643D60" w:rsidRPr="00BE4152" w:rsidRDefault="00643D60" w:rsidP="00CE57D6">
      <w:pPr>
        <w:pStyle w:val="Nagwek4"/>
      </w:pPr>
      <w:r w:rsidRPr="00BE4152">
        <w:t>Mapa sieci monitoringu wód podziemnych</w:t>
      </w:r>
      <w:r>
        <w:t xml:space="preserve"> na lata 2022-2027</w:t>
      </w:r>
    </w:p>
    <w:p w14:paraId="300C61FC" w14:textId="77777777" w:rsidR="00643D60" w:rsidRPr="00BE4152" w:rsidRDefault="00643D60" w:rsidP="00643D60">
      <w:pPr>
        <w:suppressAutoHyphens/>
      </w:pPr>
      <w:r w:rsidRPr="00BE4152">
        <w:t xml:space="preserve">Badania monitoringowe wód podziemnych realizuje się w punktach sieci monitoringu wód podziemnych, w której wyróżnia się sieć monitoringu stanu chemicznego i sieć monitoringu stanu ilościowego. Badania wykonywane w punktach sieci monitoringu stanu chemicznego i ilościowego </w:t>
      </w:r>
      <w:r>
        <w:t xml:space="preserve">są </w:t>
      </w:r>
      <w:r w:rsidRPr="00BE4152">
        <w:t>wykorzystywane na potrzeby opracowania oceny stanu jcwpd. Niewielka część punktów tych sieci jest wspólna z punktami sieci monitoringów badawczych, które ze względu na swój charakter mają oddzielne programy badań i odpowiednio dopasowaną strukturę sieci monitoringowych, jak również zasilają ocenę stanu jcwpd w formie zinterpretowanej.</w:t>
      </w:r>
    </w:p>
    <w:p w14:paraId="6617C1E2" w14:textId="77777777" w:rsidR="00643D60" w:rsidRPr="00BE4152" w:rsidRDefault="00643D60" w:rsidP="00B50FFD">
      <w:pPr>
        <w:pStyle w:val="Nagwek4"/>
      </w:pPr>
      <w:r w:rsidRPr="00BE4152">
        <w:t>Mapa sieci monitoringu stanu chemicznego jcwpd</w:t>
      </w:r>
    </w:p>
    <w:p w14:paraId="3875E3ED" w14:textId="75908B13" w:rsidR="00643D60" w:rsidRPr="00BE4152" w:rsidRDefault="00643D60" w:rsidP="00643D60">
      <w:pPr>
        <w:suppressAutoHyphens/>
      </w:pPr>
      <w:r w:rsidRPr="00BE4152">
        <w:t xml:space="preserve">Monitoring stanu chemicznego jcwpd </w:t>
      </w:r>
      <w:r>
        <w:t xml:space="preserve">jest </w:t>
      </w:r>
      <w:r w:rsidRPr="00BE4152">
        <w:t>prowadzony w ramach PMŚ w celu otrzymania spójnego i</w:t>
      </w:r>
      <w:r w:rsidR="00CC32F4">
        <w:t> </w:t>
      </w:r>
      <w:r w:rsidRPr="00BE4152">
        <w:t xml:space="preserve">całościowego obrazu stanu chemicznego wód podziemnych w ramach każdego dorzecza oraz wykrycia długoterminowych antropogenicznych tendencji wzrostu poziomu zanieczyszczeń. Sieć monitoringu stanu chemicznego składa się z punktów, </w:t>
      </w:r>
      <w:r>
        <w:t>które są przypisane do sieci monitoringu diagnostycznego i/lub operacyjnego</w:t>
      </w:r>
      <w:r w:rsidRPr="00BE4152">
        <w:t>.</w:t>
      </w:r>
    </w:p>
    <w:p w14:paraId="1DB5D95C" w14:textId="77777777" w:rsidR="00643D60" w:rsidRPr="00BE4152" w:rsidRDefault="00643D60" w:rsidP="00AA0CAB">
      <w:pPr>
        <w:pStyle w:val="Nagwek5"/>
      </w:pPr>
      <w:r w:rsidRPr="00BE4152">
        <w:t>Monitoring diagnostyczny</w:t>
      </w:r>
    </w:p>
    <w:p w14:paraId="6460653A" w14:textId="77777777" w:rsidR="00643D60" w:rsidRPr="00BE4152" w:rsidRDefault="00643D60" w:rsidP="00643D60">
      <w:pPr>
        <w:suppressAutoHyphens/>
      </w:pPr>
      <w:r>
        <w:t>M</w:t>
      </w:r>
      <w:r w:rsidRPr="00BE4152">
        <w:t xml:space="preserve">onitoring diagnostyczny obejmuje obszar całego kraju. Badania </w:t>
      </w:r>
      <w:r>
        <w:t>są prowadzone</w:t>
      </w:r>
      <w:r w:rsidRPr="00BE4152">
        <w:t xml:space="preserve"> we wszystkich jcwpd </w:t>
      </w:r>
      <w:r>
        <w:t xml:space="preserve">w obszarze </w:t>
      </w:r>
      <w:r w:rsidRPr="00BE4152">
        <w:t xml:space="preserve">dorzecza </w:t>
      </w:r>
      <w:r>
        <w:t>Pregoły</w:t>
      </w:r>
      <w:r w:rsidRPr="00BE4152">
        <w:t>.</w:t>
      </w:r>
    </w:p>
    <w:p w14:paraId="611854DC" w14:textId="4F530466" w:rsidR="00643D60" w:rsidRPr="00BE4152" w:rsidRDefault="00643D60" w:rsidP="00643D60">
      <w:pPr>
        <w:suppressAutoHyphens/>
      </w:pPr>
      <w:r w:rsidRPr="00BE4152">
        <w:t>Zgodnie z Programem monitoringu jcwpd na lata 2022-2027</w:t>
      </w:r>
      <w:r>
        <w:rPr>
          <w:rStyle w:val="Odwoanieprzypisudolnego"/>
        </w:rPr>
        <w:footnoteReference w:id="22"/>
      </w:r>
      <w:r w:rsidRPr="00BE4152">
        <w:t xml:space="preserve"> aktualna liczba punktów sieci monitoringu chemicznego, w których będą prowadzone badania w ramach monitoringu diagnostycznego, w </w:t>
      </w:r>
      <w:r>
        <w:t xml:space="preserve">obszarze </w:t>
      </w:r>
      <w:r w:rsidRPr="00BE4152">
        <w:t>dorzecz</w:t>
      </w:r>
      <w:r>
        <w:t>a</w:t>
      </w:r>
      <w:r w:rsidRPr="00BE4152">
        <w:t xml:space="preserve"> </w:t>
      </w:r>
      <w:r>
        <w:t>Pregoły</w:t>
      </w:r>
      <w:r w:rsidRPr="00BE4152">
        <w:t xml:space="preserve"> wynosi </w:t>
      </w:r>
      <w:r>
        <w:t>30</w:t>
      </w:r>
      <w:r w:rsidRPr="00BE4152">
        <w:t xml:space="preserve"> punk</w:t>
      </w:r>
      <w:r>
        <w:t>tów</w:t>
      </w:r>
      <w:r w:rsidRPr="00BE4152">
        <w:t xml:space="preserve"> </w:t>
      </w:r>
      <w:r w:rsidRPr="008C0B70">
        <w:t xml:space="preserve">(załącznik graficzny nr </w:t>
      </w:r>
      <w:r w:rsidR="00B266BD" w:rsidRPr="008C0B70">
        <w:t>9</w:t>
      </w:r>
      <w:r w:rsidRPr="008C0B70">
        <w:t>).</w:t>
      </w:r>
    </w:p>
    <w:p w14:paraId="7D7C603F" w14:textId="77777777" w:rsidR="00643D60" w:rsidRPr="00BE4152" w:rsidRDefault="00643D60" w:rsidP="00AA0CAB">
      <w:pPr>
        <w:pStyle w:val="Nagwek5"/>
      </w:pPr>
      <w:r w:rsidRPr="00BE4152">
        <w:t>Monitoring operacyjny</w:t>
      </w:r>
    </w:p>
    <w:p w14:paraId="27855968" w14:textId="77777777" w:rsidR="00643D60" w:rsidRPr="00967C7B" w:rsidRDefault="00643D60" w:rsidP="00643D60">
      <w:pPr>
        <w:pStyle w:val="Raport-tekstpodstawowy"/>
        <w:suppressAutoHyphens/>
        <w:ind w:firstLine="0"/>
        <w:rPr>
          <w:sz w:val="22"/>
          <w:szCs w:val="22"/>
        </w:rPr>
      </w:pPr>
      <w:r w:rsidRPr="00967C7B">
        <w:rPr>
          <w:sz w:val="22"/>
          <w:szCs w:val="22"/>
        </w:rPr>
        <w:t>Nie planuje się przeprowadzenia monitoringu operacyjnego w cyklu planistycznym 2022-2027.</w:t>
      </w:r>
    </w:p>
    <w:p w14:paraId="41C3C2D2" w14:textId="77777777" w:rsidR="00643D60" w:rsidRPr="00BE4152" w:rsidRDefault="00643D60" w:rsidP="00B50FFD">
      <w:pPr>
        <w:pStyle w:val="Nagwek4"/>
      </w:pPr>
      <w:r w:rsidRPr="00BE4152">
        <w:t>Mapa sieci monitoringu stanu ilościowego jcwpd</w:t>
      </w:r>
    </w:p>
    <w:p w14:paraId="0E15DC8A" w14:textId="77777777" w:rsidR="00643D60" w:rsidRPr="00BE4152" w:rsidRDefault="00643D60" w:rsidP="003C76C5">
      <w:r w:rsidRPr="00BE4152">
        <w:t>Sieć monitoringu ilościowego wód podziemnych stanowią stacje hydrogeologiczne, na których wykonywane są cykliczne, systematyczne pomiary położenia zwierciadła wód podziemnych lub wydajności źródeł. Monitoringiem położenia zwierciadła wody</w:t>
      </w:r>
      <w:r>
        <w:t xml:space="preserve"> są</w:t>
      </w:r>
      <w:r w:rsidRPr="00BE4152">
        <w:t xml:space="preserve"> objęte zarówno punkty ujmujące wody o zwierciadle swobodnym (najczęściej płytkie, nieizolowane poziomy wodonośne, będące w kontakcie z ekosystemami lądowymi), jak i te ujmujące wody o zwierciadle napiętym (poziomy izolowane, często stanowiące główne użytkowe poziomy wodonośne, </w:t>
      </w:r>
      <w:r>
        <w:t>będące</w:t>
      </w:r>
      <w:r w:rsidRPr="00BE4152">
        <w:t xml:space="preserve"> źródł</w:t>
      </w:r>
      <w:r>
        <w:t>em</w:t>
      </w:r>
      <w:r w:rsidRPr="00BE4152">
        <w:t xml:space="preserve"> zbiorowego zaopatrzenia w wodę).</w:t>
      </w:r>
    </w:p>
    <w:p w14:paraId="77BA6356" w14:textId="0507EB6B" w:rsidR="00643D60" w:rsidRDefault="00643D60" w:rsidP="003C76C5">
      <w:r w:rsidRPr="00BE4152">
        <w:t xml:space="preserve">Zgodnie z Programem </w:t>
      </w:r>
      <w:r w:rsidRPr="00325D1E">
        <w:t>monitoringu jcwpd</w:t>
      </w:r>
      <w:r w:rsidR="00B17A81">
        <w:rPr>
          <w:rStyle w:val="Odwoanieprzypisudolnego"/>
        </w:rPr>
        <w:footnoteReference w:id="23"/>
      </w:r>
      <w:r w:rsidR="00B17A81">
        <w:t xml:space="preserve"> p</w:t>
      </w:r>
      <w:r w:rsidRPr="00325D1E">
        <w:t>unkty</w:t>
      </w:r>
      <w:r w:rsidRPr="00BE4152">
        <w:t xml:space="preserve"> monitoringu stanu ilościowego </w:t>
      </w:r>
      <w:r>
        <w:t xml:space="preserve">są </w:t>
      </w:r>
      <w:r w:rsidRPr="00BE4152">
        <w:t xml:space="preserve">zlokalizowane we wszystkich jcwpd </w:t>
      </w:r>
      <w:r>
        <w:t xml:space="preserve">obszaru </w:t>
      </w:r>
      <w:r w:rsidRPr="00BE4152">
        <w:t xml:space="preserve">dorzecza </w:t>
      </w:r>
      <w:r>
        <w:t>Pregoły.</w:t>
      </w:r>
      <w:r w:rsidRPr="00BE4152">
        <w:t xml:space="preserve"> </w:t>
      </w:r>
      <w:r>
        <w:t>A</w:t>
      </w:r>
      <w:r w:rsidRPr="00BE4152">
        <w:t>ktualna liczba punktów sieci monitoringu ilościowego w</w:t>
      </w:r>
      <w:r w:rsidR="00CC32F4">
        <w:t> </w:t>
      </w:r>
      <w:r>
        <w:t xml:space="preserve">obszarze </w:t>
      </w:r>
      <w:r w:rsidRPr="00BE4152">
        <w:t>dorzecz</w:t>
      </w:r>
      <w:r>
        <w:t>a</w:t>
      </w:r>
      <w:r w:rsidRPr="00BE4152">
        <w:t xml:space="preserve"> </w:t>
      </w:r>
      <w:r>
        <w:t>Pregoły</w:t>
      </w:r>
      <w:r w:rsidRPr="00BE4152">
        <w:t xml:space="preserve"> </w:t>
      </w:r>
      <w:r w:rsidRPr="008C0B70">
        <w:t xml:space="preserve">wynosi 24 (załącznik graficzny nr </w:t>
      </w:r>
      <w:r w:rsidR="00B17A81" w:rsidRPr="008C0B70">
        <w:t>9</w:t>
      </w:r>
      <w:r w:rsidRPr="008C0B70">
        <w:t>).</w:t>
      </w:r>
      <w:r w:rsidRPr="00BE4152">
        <w:t xml:space="preserve"> W miarę możliwości sieć będzie uzupełniana o nowe punkty, które powinny zapewnić optymalną reprezentatywność sieci na potrzeby oceny stanu jcwpd.</w:t>
      </w:r>
    </w:p>
    <w:p w14:paraId="4481C5D7" w14:textId="77777777" w:rsidR="00643D60" w:rsidRPr="00BE4152" w:rsidRDefault="00643D60" w:rsidP="00B50FFD">
      <w:pPr>
        <w:pStyle w:val="Nagwek3"/>
      </w:pPr>
      <w:bookmarkStart w:id="100" w:name="_Toc68726852"/>
      <w:r w:rsidRPr="00BE4152">
        <w:t>Wyniki państwowego monitoringu środowiska w zakresie wód podziemnych</w:t>
      </w:r>
      <w:bookmarkEnd w:id="100"/>
    </w:p>
    <w:p w14:paraId="418F9CA7" w14:textId="77777777" w:rsidR="00643D60" w:rsidRPr="00BE4152" w:rsidRDefault="00643D60" w:rsidP="00643D60">
      <w:pPr>
        <w:suppressAutoHyphens/>
      </w:pPr>
      <w:r w:rsidRPr="00BE4152">
        <w:t>Na ocenę stanu jcwpd składa się interpretacja wyników monitoringu stanu chemicznego i monitoringu stanu ilościowego wód podziemnych.</w:t>
      </w:r>
    </w:p>
    <w:p w14:paraId="3D797A73" w14:textId="58629FED" w:rsidR="00643D60" w:rsidRPr="00BE4152" w:rsidRDefault="00643D60" w:rsidP="00643D60">
      <w:pPr>
        <w:suppressAutoHyphens/>
      </w:pPr>
      <w:r w:rsidRPr="00BE4152">
        <w:t>Zakres wykonywanych prac w ramach oceny stanu jcwpd jest zgodny z zapisami r.kl.jcwpd</w:t>
      </w:r>
      <w:r>
        <w:t xml:space="preserve"> oraz</w:t>
      </w:r>
      <w:r w:rsidRPr="00BE4152">
        <w:t xml:space="preserve"> r.m.jcw.</w:t>
      </w:r>
      <w:r w:rsidR="00A565BC">
        <w:t xml:space="preserve"> </w:t>
      </w:r>
      <w:r w:rsidRPr="00BE4152">
        <w:t xml:space="preserve">Spełnia wymogi RDW </w:t>
      </w:r>
      <w:r>
        <w:t>oraz</w:t>
      </w:r>
      <w:r w:rsidRPr="00BE4152">
        <w:t xml:space="preserve"> DWP. Uwzględnia także wytyczne Komisji Europejskiej przedstawione w poradnikach unijnych, a w szczególności w poradniku </w:t>
      </w:r>
      <w:r w:rsidRPr="1613B0CC">
        <w:rPr>
          <w:i/>
          <w:iCs/>
        </w:rPr>
        <w:t>Guidance on Groundwater Status and Trend Assessment</w:t>
      </w:r>
      <w:r w:rsidRPr="00BE4152">
        <w:t xml:space="preserve"> (CIS Guidance Document No. 18). Ocena stanu jcwpd jest wykonywana na podstawie</w:t>
      </w:r>
      <w:r>
        <w:t xml:space="preserve"> </w:t>
      </w:r>
      <w:r w:rsidRPr="00BE4152">
        <w:t xml:space="preserve">wytycznych określonych w opracowaniu </w:t>
      </w:r>
      <w:r w:rsidRPr="00BE4152">
        <w:rPr>
          <w:i/>
        </w:rPr>
        <w:t>Aktualizacja metodyki oceny stanu jcwpd wraz z</w:t>
      </w:r>
      <w:r w:rsidR="00CC32F4">
        <w:rPr>
          <w:i/>
        </w:rPr>
        <w:t> </w:t>
      </w:r>
      <w:r w:rsidRPr="00BE4152">
        <w:rPr>
          <w:i/>
        </w:rPr>
        <w:t>opracowaniem metodyki analizy odwracania trendów zanieczyszczeń</w:t>
      </w:r>
      <w:r>
        <w:rPr>
          <w:rStyle w:val="Odwoanieprzypisudolnego"/>
          <w:i/>
        </w:rPr>
        <w:footnoteReference w:id="24"/>
      </w:r>
      <w:r w:rsidRPr="00BE4152">
        <w:t>.</w:t>
      </w:r>
    </w:p>
    <w:p w14:paraId="785B6810" w14:textId="77777777" w:rsidR="00643D60" w:rsidRPr="00BE4152" w:rsidRDefault="00643D60" w:rsidP="00643D60">
      <w:pPr>
        <w:suppressAutoHyphens/>
      </w:pPr>
      <w:r w:rsidRPr="00BE4152">
        <w:t xml:space="preserve">Konieczność aktualizacji metodyki oceny stanu jcwpd wynikała ze zmian w przepisach prawa krajowego dotyczących kryteriów i sposobu oceny stanu jcwpd, dostępności danych </w:t>
      </w:r>
      <w:r>
        <w:t>oraz</w:t>
      </w:r>
      <w:r w:rsidRPr="00BE4152">
        <w:t xml:space="preserve"> potrzeby uszczegółowienia lub uzupełnienia poszczególnych testów klasyfikacyjnych i analiz wspierających. Aktualizację metodyki oceny stanu jcwpd przeprowadzono w 2020 r.,</w:t>
      </w:r>
      <w:r w:rsidRPr="00325D1E">
        <w:t>. Wzięto</w:t>
      </w:r>
      <w:r w:rsidRPr="00BE4152">
        <w:t xml:space="preserve"> także pod uwagę doświadczenia z</w:t>
      </w:r>
      <w:r>
        <w:t xml:space="preserve"> </w:t>
      </w:r>
      <w:r w:rsidRPr="00BE4152">
        <w:t>przeprowadzania ocen stanu jcwpd wykonywanych w</w:t>
      </w:r>
      <w:r>
        <w:t xml:space="preserve"> </w:t>
      </w:r>
      <w:r w:rsidRPr="00BE4152">
        <w:t>poprzednich cyklach planistycznych.</w:t>
      </w:r>
    </w:p>
    <w:p w14:paraId="65B4294B" w14:textId="77777777" w:rsidR="00643D60" w:rsidRPr="00BE4152" w:rsidRDefault="00643D60" w:rsidP="00643D60">
      <w:pPr>
        <w:suppressAutoHyphens/>
      </w:pPr>
      <w:r w:rsidRPr="00BE4152">
        <w:t>Rozbudowana została metodyka analizy trendów chemicznych</w:t>
      </w:r>
      <w:r>
        <w:t>,</w:t>
      </w:r>
      <w:r w:rsidRPr="00BE4152">
        <w:t xml:space="preserve"> uwzględniająca analizę odwracania trendów</w:t>
      </w:r>
      <w:r>
        <w:t>,</w:t>
      </w:r>
      <w:r w:rsidRPr="00BE4152">
        <w:t xml:space="preserve"> oraz metodyka analizy położenia zwierciadła wody. Zweryfikowane zostały także kryteria wiarygodności oceny stanu jcwpd i wartości kryterialnych w</w:t>
      </w:r>
      <w:r>
        <w:t xml:space="preserve"> </w:t>
      </w:r>
      <w:r w:rsidRPr="00BE4152">
        <w:t xml:space="preserve">testach klasyfikacyjnych C.2, C.3 i C.5 </w:t>
      </w:r>
      <w:r>
        <w:t>oraz</w:t>
      </w:r>
      <w:r w:rsidRPr="00BE4152">
        <w:t xml:space="preserve"> w ocenie końcowej</w:t>
      </w:r>
      <w:r>
        <w:t>, np. wyniki badań z opracowań o charakterze regionalnym</w:t>
      </w:r>
      <w:r w:rsidRPr="00BE4152">
        <w:t>.</w:t>
      </w:r>
    </w:p>
    <w:p w14:paraId="4BA10946" w14:textId="77777777" w:rsidR="00643D60" w:rsidRPr="00BE4152" w:rsidRDefault="00643D60" w:rsidP="00643D60">
      <w:pPr>
        <w:pStyle w:val="Raport-tekstpodstawowy"/>
        <w:suppressAutoHyphens/>
        <w:spacing w:before="120" w:line="240" w:lineRule="auto"/>
        <w:ind w:firstLine="0"/>
        <w:rPr>
          <w:rFonts w:eastAsiaTheme="minorEastAsia" w:cstheme="minorBidi"/>
          <w:sz w:val="22"/>
        </w:rPr>
      </w:pPr>
      <w:r w:rsidRPr="00BE4152">
        <w:rPr>
          <w:rFonts w:eastAsiaTheme="minorEastAsia" w:cstheme="minorBidi"/>
          <w:sz w:val="22"/>
        </w:rPr>
        <w:t xml:space="preserve">Ocena stanu została wykonana z uwzględnieniem schematyzacji pionowej jcwpd wprowadzonej do charakterystyk i monitoringu jcwpd w 2013 </w:t>
      </w:r>
      <w:r>
        <w:rPr>
          <w:rFonts w:eastAsiaTheme="minorEastAsia" w:cstheme="minorBidi"/>
          <w:sz w:val="22"/>
        </w:rPr>
        <w:t xml:space="preserve">r. </w:t>
      </w:r>
      <w:r w:rsidRPr="00BE4152">
        <w:rPr>
          <w:rFonts w:eastAsiaTheme="minorEastAsia" w:cstheme="minorBidi"/>
          <w:sz w:val="22"/>
        </w:rPr>
        <w:t>i obowiązującej w latach 2016</w:t>
      </w:r>
      <w:r>
        <w:rPr>
          <w:rFonts w:eastAsiaTheme="minorEastAsia" w:cstheme="minorBidi"/>
          <w:sz w:val="22"/>
        </w:rPr>
        <w:t>-</w:t>
      </w:r>
      <w:r w:rsidRPr="00BE4152">
        <w:rPr>
          <w:rFonts w:eastAsiaTheme="minorEastAsia" w:cstheme="minorBidi"/>
          <w:sz w:val="22"/>
        </w:rPr>
        <w:t>2021. Ze względu na skomplikowaną budowę geologiczną i warunki hydrogeologiczne oraz fakt występowania wód podziemnych w</w:t>
      </w:r>
      <w:r>
        <w:rPr>
          <w:rFonts w:eastAsiaTheme="minorEastAsia" w:cstheme="minorBidi"/>
          <w:sz w:val="22"/>
        </w:rPr>
        <w:t xml:space="preserve"> </w:t>
      </w:r>
      <w:r w:rsidRPr="00BE4152">
        <w:rPr>
          <w:rFonts w:eastAsiaTheme="minorEastAsia" w:cstheme="minorBidi"/>
          <w:sz w:val="22"/>
        </w:rPr>
        <w:t>wielopoziomowych strukturach mających charakter wielopiętrowych jednostek hydrogeologicznych przyjęto założenie występowania maksymalnie trzech kompleksów wodonośnych w obrębie jcwpd, do których przyporządkowano występujące na obszarze jcwpd poziomy wodonośne, uwzględniając zarówno warunki hydrogeologiczne, dynamikę, jak i presję antropogeniczną. W wyniku przeprowadzonej agregacji wyróżniono następujące trzy kompleksy wodonośne:</w:t>
      </w:r>
    </w:p>
    <w:p w14:paraId="7BED92E6" w14:textId="77777777" w:rsidR="00643D60" w:rsidRPr="00BE4152" w:rsidRDefault="00643D60" w:rsidP="00AA3506">
      <w:pPr>
        <w:pStyle w:val="Raport-tekstpodstawowy"/>
        <w:numPr>
          <w:ilvl w:val="0"/>
          <w:numId w:val="14"/>
        </w:numPr>
        <w:suppressAutoHyphens/>
        <w:spacing w:before="120" w:line="240" w:lineRule="auto"/>
        <w:ind w:left="284"/>
        <w:rPr>
          <w:rFonts w:eastAsiaTheme="minorEastAsia" w:cstheme="minorBidi"/>
          <w:sz w:val="22"/>
        </w:rPr>
      </w:pPr>
      <w:r w:rsidRPr="00BE4152">
        <w:rPr>
          <w:rFonts w:eastAsiaTheme="minorEastAsia" w:cstheme="minorBidi"/>
          <w:sz w:val="22"/>
        </w:rPr>
        <w:t>Pierwszy kompleks to poziomy wodonośne o zwierciadle swobodnym, lokalnie napiętym, pozostające w bezpośrednim kontakcie z wodami powierzchniowymi i ekosystemami zależnymi od wód. Charakteryzuje się zazwyczaj wysoką podatnością na zanieczyszczenie z powierzchni terenu.</w:t>
      </w:r>
    </w:p>
    <w:p w14:paraId="642984E7" w14:textId="01AFAE5A" w:rsidR="00643D60" w:rsidRPr="00BE4152" w:rsidRDefault="00643D60" w:rsidP="00AA3506">
      <w:pPr>
        <w:pStyle w:val="Raport-tekstpodstawowy"/>
        <w:numPr>
          <w:ilvl w:val="0"/>
          <w:numId w:val="14"/>
        </w:numPr>
        <w:suppressAutoHyphens/>
        <w:spacing w:before="120" w:line="240" w:lineRule="auto"/>
        <w:ind w:left="284"/>
        <w:rPr>
          <w:rFonts w:eastAsiaTheme="minorEastAsia" w:cstheme="minorBidi"/>
          <w:sz w:val="22"/>
        </w:rPr>
      </w:pPr>
      <w:r w:rsidRPr="00BE4152">
        <w:rPr>
          <w:rFonts w:eastAsiaTheme="minorEastAsia" w:cstheme="minorBidi"/>
          <w:sz w:val="22"/>
        </w:rPr>
        <w:t>Drugi kompleks tworzą poziomy wodonośne o zwierciadle napiętym, niepozostające w</w:t>
      </w:r>
      <w:r w:rsidR="00CC32F4">
        <w:rPr>
          <w:rFonts w:eastAsiaTheme="minorEastAsia" w:cstheme="minorBidi"/>
          <w:sz w:val="22"/>
        </w:rPr>
        <w:t> </w:t>
      </w:r>
      <w:r w:rsidRPr="00BE4152">
        <w:rPr>
          <w:rFonts w:eastAsiaTheme="minorEastAsia" w:cstheme="minorBidi"/>
          <w:sz w:val="22"/>
        </w:rPr>
        <w:t>bezpośrednim kontakcie hydraulicznym z wodami pierwszego kompleksu. Kompleks ten często stanowi podstawę zbiorowego zaopatrzenia w wodę do spożycia.</w:t>
      </w:r>
    </w:p>
    <w:p w14:paraId="27DC7BCB" w14:textId="2EEB99DC" w:rsidR="00643D60" w:rsidRPr="00BE4152" w:rsidRDefault="00643D60" w:rsidP="00AA3506">
      <w:pPr>
        <w:numPr>
          <w:ilvl w:val="0"/>
          <w:numId w:val="14"/>
        </w:numPr>
        <w:suppressAutoHyphens/>
        <w:ind w:left="284"/>
      </w:pPr>
      <w:r w:rsidRPr="00BE4152">
        <w:t>Trzeci kompleks to najniżej rozpoznane użytkowe poziomy wodonośne, pozostające niekiedy w</w:t>
      </w:r>
      <w:r w:rsidR="00CC32F4">
        <w:t> </w:t>
      </w:r>
      <w:r w:rsidRPr="00BE4152">
        <w:t>kontakcie z niżej występującymi poziomami wód słonych.</w:t>
      </w:r>
    </w:p>
    <w:p w14:paraId="5085E779" w14:textId="77777777" w:rsidR="00643D60" w:rsidRPr="00BE4152" w:rsidRDefault="00643D60" w:rsidP="00643D60">
      <w:pPr>
        <w:suppressAutoHyphens/>
      </w:pPr>
      <w:r w:rsidRPr="00BE4152">
        <w:t xml:space="preserve">Ocena stanu jcwpd składa się z oceny stanu chemicznego i ilościowego. Obie oceny są w stosunku do siebie równorzędne, a za ostateczny stan wód podziemnych przyjmuje się gorszą z tych dwóch ocen. W ramach oceny wykonuje się łącznie dziewięć testów klasyfikacyjnych, które przeprowadza się w odniesieniu do wszystkich jcwpd, niezależnie od wyników pozostałych testów klasyfikacyjnych. Poszczególne testy </w:t>
      </w:r>
      <w:r>
        <w:t xml:space="preserve">są </w:t>
      </w:r>
      <w:r w:rsidRPr="00BE4152">
        <w:t>ukierunkowane na potrzeby różnych odbiorców wód podziemnych</w:t>
      </w:r>
      <w:r>
        <w:t>,</w:t>
      </w:r>
      <w:r w:rsidRPr="00BE4152">
        <w:t xml:space="preserve"> tzw. receptorów (chronione ekosystemy lądowe zależne od wód podziemnych, wody powierzchniowe, wody przeznaczone do spożycia). Oprócz testów klasyfikacyjnych wykonuje się również dwie analizy wspierające dotyczące zmian długoterminowych. Są to analiza tendencji zmian stężeń wskaźników fizykochemicznych oraz analiza położenia zwierciadła wody. Ponieważ obie analizy zasilają testy klasyfikacyjne, wykonuje się je na początku procedury oceny stanu chemicznego i ilościowego. Wyniki tych analiz wspierają pozostałe testy ilościowe i chemiczne, zwłaszcza końcową ocenę stanu jcwpd.</w:t>
      </w:r>
    </w:p>
    <w:p w14:paraId="3C0DE6CC" w14:textId="77777777" w:rsidR="00643D60" w:rsidRPr="00BE4152" w:rsidRDefault="00643D60" w:rsidP="00643D60">
      <w:pPr>
        <w:suppressAutoHyphens/>
      </w:pPr>
      <w:r w:rsidRPr="00BE4152">
        <w:t>Zgodnie z wytycznymi przedstawionymi w poradnikach unijnych ocena stanu jcwpd powinna być opatrzona również oceną jej wiarygodności.</w:t>
      </w:r>
    </w:p>
    <w:p w14:paraId="7C5BF1C7" w14:textId="77777777" w:rsidR="00643D60" w:rsidRPr="00BE4152" w:rsidRDefault="00643D60" w:rsidP="00643D60">
      <w:pPr>
        <w:suppressAutoHyphens/>
        <w:spacing w:before="0" w:after="240"/>
      </w:pPr>
      <w:r w:rsidRPr="00B60F6E">
        <w:rPr>
          <w:shd w:val="clear" w:color="auto" w:fill="FFFFFF" w:themeFill="background1"/>
        </w:rPr>
        <w:t>W załączniku nr 1 zestawiono punkty sieci monitoringu wód podziemnych na podstawie których</w:t>
      </w:r>
      <w:r>
        <w:t xml:space="preserve"> wykonano ocenę stanu jcwpd z 2019 r </w:t>
      </w:r>
      <w:r w:rsidRPr="00BE4152">
        <w:t>.</w:t>
      </w:r>
    </w:p>
    <w:p w14:paraId="6E575F0B" w14:textId="77777777" w:rsidR="00643D60" w:rsidRPr="000E36D1" w:rsidRDefault="00643D60" w:rsidP="00AA0CAB">
      <w:pPr>
        <w:pStyle w:val="Nagwek5"/>
      </w:pPr>
      <w:r w:rsidRPr="000E36D1">
        <w:t>Wyniki oceny stanu jcwpd w obszarze dorzecza Pregoły</w:t>
      </w:r>
    </w:p>
    <w:p w14:paraId="28E61DA9" w14:textId="77777777" w:rsidR="00643D60" w:rsidRPr="00BE4152" w:rsidRDefault="00643D60" w:rsidP="00643D60">
      <w:pPr>
        <w:suppressAutoHyphens/>
      </w:pPr>
      <w:r w:rsidRPr="00BE4152">
        <w:t>Przeprowadzona ocena stanu w 2020 r.</w:t>
      </w:r>
      <w:r>
        <w:t>, na podstawie danych z 2019 r.</w:t>
      </w:r>
      <w:r w:rsidRPr="00BE4152">
        <w:t xml:space="preserve"> objęła analizą </w:t>
      </w:r>
      <w:r>
        <w:t>2</w:t>
      </w:r>
      <w:r w:rsidRPr="00BE4152">
        <w:t xml:space="preserve"> jcwpd wyznaczone w granicach </w:t>
      </w:r>
      <w:r>
        <w:t xml:space="preserve">obszaru </w:t>
      </w:r>
      <w:r w:rsidRPr="00BE4152">
        <w:t xml:space="preserve">dorzecza </w:t>
      </w:r>
      <w:r>
        <w:t>Pregoły</w:t>
      </w:r>
      <w:r w:rsidRPr="00BE4152">
        <w:t>.</w:t>
      </w:r>
    </w:p>
    <w:p w14:paraId="1F0CAF31" w14:textId="04FF7084" w:rsidR="00B34ED3" w:rsidRDefault="00643D60" w:rsidP="00643D60">
      <w:pPr>
        <w:suppressAutoHyphens/>
      </w:pPr>
      <w:r w:rsidRPr="00BE4152">
        <w:t>W pierwszej kolejności przedstawiono wyniki analiz wspierających</w:t>
      </w:r>
      <w:r>
        <w:t>, czyli a</w:t>
      </w:r>
      <w:r w:rsidRPr="00466754">
        <w:t>naliz</w:t>
      </w:r>
      <w:r>
        <w:t>y</w:t>
      </w:r>
      <w:r w:rsidRPr="00466754">
        <w:t xml:space="preserve"> trendów zmian stężeń wskaźników fizykochemicznych</w:t>
      </w:r>
      <w:r>
        <w:t xml:space="preserve"> i a</w:t>
      </w:r>
      <w:r w:rsidRPr="00466754">
        <w:t>naliz</w:t>
      </w:r>
      <w:r>
        <w:t>y</w:t>
      </w:r>
      <w:r w:rsidRPr="00466754">
        <w:t xml:space="preserve"> położenia zwierciadła wody podziemnej</w:t>
      </w:r>
      <w:r w:rsidRPr="00BE4152">
        <w:t>.</w:t>
      </w:r>
    </w:p>
    <w:p w14:paraId="44A9B9A0" w14:textId="77777777" w:rsidR="00643D60" w:rsidRPr="00BE4152" w:rsidRDefault="00643D60" w:rsidP="00AA0CAB">
      <w:pPr>
        <w:pStyle w:val="Nagwek5"/>
      </w:pPr>
      <w:r w:rsidRPr="00BE4152">
        <w:t>Analiza trendów zmian stężeń wskaźników fizykochemicznych</w:t>
      </w:r>
    </w:p>
    <w:p w14:paraId="3E430C43" w14:textId="036A2B6A" w:rsidR="00643D60" w:rsidRPr="00BE4152" w:rsidRDefault="00643D60" w:rsidP="00643D60">
      <w:pPr>
        <w:suppressAutoHyphens/>
      </w:pPr>
      <w:r w:rsidRPr="00BE4152">
        <w:t>Celem analizy trendów zmian stężeń wskaźników fizykochemicznych jest identyfikacja znaczących i</w:t>
      </w:r>
      <w:r w:rsidR="000E36D1">
        <w:t> </w:t>
      </w:r>
      <w:r w:rsidRPr="00BE4152">
        <w:t xml:space="preserve">utrzymujących się trendów wzrostowych stężeń zanieczyszczeń. Znaczący i utrzymujący się trend wzrostowy oznacza każdy statystycznie i pod względem środowiskowym istotny wzrost stężenia zanieczyszczeń w wodach podziemnych, w związku z którym istnieje konieczność odwrócenia tego trendu. Zgodnie z przepisami DWP </w:t>
      </w:r>
      <w:r>
        <w:t>(z</w:t>
      </w:r>
      <w:r w:rsidRPr="00BE4152">
        <w:t>ałącznik IV, część B, punkt 1</w:t>
      </w:r>
      <w:r>
        <w:t>)</w:t>
      </w:r>
      <w:r w:rsidRPr="00BE4152">
        <w:t xml:space="preserve"> punktem początkowym inicjowania działań mających odwrócić znaczące i utrzymujące się trendy wzrostowe jest stan, kiedy stężenie zanieczyszczenia osiąga 75% wartości parametrów norm jakości wód podziemnych określonych w</w:t>
      </w:r>
      <w:r w:rsidR="000E36D1">
        <w:t> </w:t>
      </w:r>
      <w:r w:rsidRPr="00BE4152">
        <w:t>załączniku I i wartości progowych określonych w r.kl.jcwpd, ustalonych zgodnie z art. 3 DWP (2006/118/WE). Na podstawie powyższych przepisów jako znaczące trendy wzrostowe uznano istotne statystycznie trendy rosnące, dla których stwierdzono przekroczenie 75% wartości progowej dobrego stanu chemicznego. Analiza zmian stężeń wskaźników fizykochemicznych ma na celu prześledzenie w czasie zmian zachodzących zarówno w punktach</w:t>
      </w:r>
      <w:r>
        <w:t>,</w:t>
      </w:r>
      <w:r w:rsidRPr="00BE4152">
        <w:t xml:space="preserve"> jak w </w:t>
      </w:r>
      <w:r>
        <w:t>jcwpd</w:t>
      </w:r>
      <w:r w:rsidRPr="00BE4152">
        <w:t>. Zidentyfikowanie znaczących i</w:t>
      </w:r>
      <w:r w:rsidR="000E36D1">
        <w:t> </w:t>
      </w:r>
      <w:r w:rsidRPr="00BE4152">
        <w:t>utrzymujących się trendów wzrostowych stężeń zanieczyszczeń w obszarach jcwpd uznanych za zagrożone nieosiągnięciem celów środowiskowych pozwala określić</w:t>
      </w:r>
      <w:r>
        <w:t>,</w:t>
      </w:r>
      <w:r w:rsidRPr="00BE4152">
        <w:t xml:space="preserve"> czy dany obszar jcwpd nie wykazuje trwałych tendencji wzrostowych wywołanych antropogenicznie.</w:t>
      </w:r>
    </w:p>
    <w:p w14:paraId="2D3A37B7" w14:textId="5514424A" w:rsidR="00643D60" w:rsidRPr="00BE4152" w:rsidRDefault="00643D60" w:rsidP="00643D60">
      <w:pPr>
        <w:suppressAutoHyphens/>
      </w:pPr>
      <w:r w:rsidRPr="00BE4152">
        <w:t xml:space="preserve">Do przeprowadzenia analizy trendów wartości wskaźników fizykochemicznych wykorzystano wszystkie wyniki analiz oznaczeń składu fizykochemicznego próbek wód podziemnych dostępne w bazie Monitoringu Wód Podziemnych </w:t>
      </w:r>
      <w:r w:rsidR="00442AB7">
        <w:t>-</w:t>
      </w:r>
      <w:r w:rsidRPr="00BE4152">
        <w:t xml:space="preserve"> zarówno wyniki analiz wykonanych przez PIG-PIB w ramach PMŚ na zlecenie GIOŚ, jak i wyniki analiz wykonanych przez PIG-PIB w ramach realizacji innych zadań PSH. Za rok bazowy przyjęto 2007 </w:t>
      </w:r>
      <w:r>
        <w:t xml:space="preserve">r., </w:t>
      </w:r>
      <w:r w:rsidRPr="00BE4152">
        <w:t>a zakres czasowy dotyczył analiz z lat 2007</w:t>
      </w:r>
      <w:r>
        <w:t>-</w:t>
      </w:r>
      <w:r w:rsidRPr="00BE4152">
        <w:t xml:space="preserve">2019. Dla wszystkich punktów i wskaźników, które spełniły przyjęte kryteria i </w:t>
      </w:r>
      <w:r>
        <w:t xml:space="preserve">dla których </w:t>
      </w:r>
      <w:r w:rsidRPr="00BE4152">
        <w:t>możliwe było przeprowadzenie analizy tendencji</w:t>
      </w:r>
      <w:r>
        <w:t>,</w:t>
      </w:r>
      <w:r w:rsidRPr="00BE4152">
        <w:t xml:space="preserve"> sporządzono wykresy wraz z naniesioną linią regresji. Wyniki analiz trendów dla punktów z</w:t>
      </w:r>
      <w:r w:rsidR="000E36D1">
        <w:t> </w:t>
      </w:r>
      <w:r w:rsidRPr="00BE4152">
        <w:t xml:space="preserve">uwzględnieniem podziału na dorzecza </w:t>
      </w:r>
      <w:r w:rsidRPr="00B34ED3">
        <w:t>przedstawia tabela</w:t>
      </w:r>
      <w:r w:rsidR="004A1B76" w:rsidRPr="00B34ED3">
        <w:t xml:space="preserve"> 5-1</w:t>
      </w:r>
      <w:r w:rsidR="00F966E3">
        <w:t>8</w:t>
      </w:r>
      <w:r w:rsidRPr="00B34ED3">
        <w:t>.</w:t>
      </w:r>
    </w:p>
    <w:p w14:paraId="2D782500" w14:textId="529E44CB" w:rsidR="00643D60" w:rsidRPr="00D50186" w:rsidRDefault="00643D60" w:rsidP="006802BB">
      <w:pPr>
        <w:pStyle w:val="Tabela"/>
      </w:pPr>
      <w:bookmarkStart w:id="101" w:name="_Toc68726970"/>
      <w:r w:rsidRPr="00BE4152">
        <w:t xml:space="preserve">Tabela </w:t>
      </w:r>
      <w:fldSimple w:instr=" STYLEREF 1 \s ">
        <w:r w:rsidR="007B4050">
          <w:rPr>
            <w:noProof/>
          </w:rPr>
          <w:t>5</w:t>
        </w:r>
      </w:fldSimple>
      <w:r w:rsidR="007B4050">
        <w:noBreakHyphen/>
      </w:r>
      <w:fldSimple w:instr=" SEQ Tabela \* ARABIC \s 1 ">
        <w:r w:rsidR="007B4050">
          <w:rPr>
            <w:noProof/>
          </w:rPr>
          <w:t>18</w:t>
        </w:r>
      </w:fldSimple>
      <w:r>
        <w:tab/>
      </w:r>
      <w:r w:rsidRPr="00D50186">
        <w:t>Wyniki analizy tendencji zmian stężeń wskaźników fizykochemicznych w punktach w latach 2007-2019</w:t>
      </w:r>
      <w:bookmarkEnd w:id="101"/>
    </w:p>
    <w:tbl>
      <w:tblPr>
        <w:tblW w:w="9012" w:type="dxa"/>
        <w:tblInd w:w="55" w:type="dxa"/>
        <w:tblCellMar>
          <w:left w:w="70" w:type="dxa"/>
          <w:right w:w="70" w:type="dxa"/>
        </w:tblCellMar>
        <w:tblLook w:val="04A0" w:firstRow="1" w:lastRow="0" w:firstColumn="1" w:lastColumn="0" w:noHBand="0" w:noVBand="1"/>
      </w:tblPr>
      <w:tblGrid>
        <w:gridCol w:w="1149"/>
        <w:gridCol w:w="2410"/>
        <w:gridCol w:w="2552"/>
        <w:gridCol w:w="2901"/>
      </w:tblGrid>
      <w:tr w:rsidR="00643D60" w:rsidRPr="00BE4152" w14:paraId="04AC4554" w14:textId="77777777" w:rsidTr="00A03144">
        <w:trPr>
          <w:trHeight w:val="454"/>
        </w:trPr>
        <w:tc>
          <w:tcPr>
            <w:tcW w:w="114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02958" w14:textId="66FB3A67" w:rsidR="00643D60" w:rsidRPr="00BE4152" w:rsidRDefault="00AD77D9" w:rsidP="00807758">
            <w:pPr>
              <w:pStyle w:val="Tabela-tekst"/>
              <w:jc w:val="center"/>
              <w:rPr>
                <w:b/>
                <w:color w:val="000000"/>
              </w:rPr>
            </w:pPr>
            <w:r>
              <w:rPr>
                <w:b/>
                <w:bCs/>
              </w:rPr>
              <w:t>Obszar d</w:t>
            </w:r>
            <w:r w:rsidR="00643D60" w:rsidRPr="00A03144">
              <w:rPr>
                <w:b/>
                <w:bCs/>
              </w:rPr>
              <w:t>orzecz</w:t>
            </w:r>
            <w:r>
              <w:rPr>
                <w:b/>
                <w:bCs/>
              </w:rPr>
              <w:t>a</w:t>
            </w:r>
          </w:p>
        </w:tc>
        <w:tc>
          <w:tcPr>
            <w:tcW w:w="241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3AF0596" w14:textId="77777777" w:rsidR="00643D60" w:rsidRPr="00BE4152" w:rsidRDefault="00643D60" w:rsidP="000E36D1">
            <w:pPr>
              <w:pStyle w:val="Tabela-tekst"/>
              <w:jc w:val="center"/>
              <w:rPr>
                <w:b/>
                <w:color w:val="000000"/>
              </w:rPr>
            </w:pPr>
            <w:r w:rsidRPr="00A03144">
              <w:rPr>
                <w:b/>
                <w:bCs/>
              </w:rPr>
              <w:t>Liczba punktów, w których zidentyfikowano znaczący i utrzymujący się trend wzrostowy</w:t>
            </w:r>
          </w:p>
        </w:tc>
        <w:tc>
          <w:tcPr>
            <w:tcW w:w="255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C7625A1" w14:textId="77777777" w:rsidR="00643D60" w:rsidRPr="00BE4152" w:rsidRDefault="00643D60" w:rsidP="000E36D1">
            <w:pPr>
              <w:pStyle w:val="Tabela-tekst"/>
              <w:jc w:val="center"/>
              <w:rPr>
                <w:b/>
                <w:color w:val="000000"/>
              </w:rPr>
            </w:pPr>
            <w:r w:rsidRPr="00A03144">
              <w:rPr>
                <w:b/>
                <w:bCs/>
              </w:rPr>
              <w:t>Liczba znaczących i utrzymujących się trendów wzrostowych</w:t>
            </w:r>
          </w:p>
        </w:tc>
        <w:tc>
          <w:tcPr>
            <w:tcW w:w="290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B8E7F08" w14:textId="77777777" w:rsidR="00643D60" w:rsidRPr="00BE4152" w:rsidRDefault="00643D60" w:rsidP="000E36D1">
            <w:pPr>
              <w:pStyle w:val="Tabela-tekst"/>
              <w:jc w:val="center"/>
              <w:rPr>
                <w:b/>
                <w:color w:val="000000"/>
              </w:rPr>
            </w:pPr>
            <w:r w:rsidRPr="00A03144">
              <w:rPr>
                <w:b/>
                <w:bCs/>
              </w:rPr>
              <w:t>Wskaźniki ze znaczącym i utrzymującym się trendem wzrostowym</w:t>
            </w:r>
          </w:p>
        </w:tc>
      </w:tr>
      <w:tr w:rsidR="00643D60" w:rsidRPr="0027216C" w14:paraId="09B1B1F6" w14:textId="77777777" w:rsidTr="00A03144">
        <w:trPr>
          <w:trHeight w:val="454"/>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5FEC5ED0" w14:textId="77777777" w:rsidR="00643D60" w:rsidRPr="00BE4152" w:rsidRDefault="00643D60" w:rsidP="00807758">
            <w:pPr>
              <w:pStyle w:val="Tabela-tekst"/>
              <w:jc w:val="center"/>
              <w:rPr>
                <w:color w:val="000000"/>
              </w:rPr>
            </w:pPr>
            <w:r>
              <w:t>Pregoła</w:t>
            </w:r>
          </w:p>
        </w:tc>
        <w:tc>
          <w:tcPr>
            <w:tcW w:w="2410" w:type="dxa"/>
            <w:tcBorders>
              <w:top w:val="nil"/>
              <w:left w:val="nil"/>
              <w:bottom w:val="single" w:sz="4" w:space="0" w:color="auto"/>
              <w:right w:val="single" w:sz="4" w:space="0" w:color="auto"/>
            </w:tcBorders>
            <w:shd w:val="clear" w:color="auto" w:fill="auto"/>
            <w:vAlign w:val="center"/>
            <w:hideMark/>
          </w:tcPr>
          <w:p w14:paraId="09FE2D5A" w14:textId="77777777" w:rsidR="00643D60" w:rsidRPr="00BE4152" w:rsidRDefault="00643D60" w:rsidP="000E36D1">
            <w:pPr>
              <w:pStyle w:val="Tabela-tekst"/>
              <w:jc w:val="center"/>
              <w:rPr>
                <w:color w:val="000000"/>
              </w:rPr>
            </w:pPr>
            <w:r>
              <w:t>1</w:t>
            </w:r>
          </w:p>
        </w:tc>
        <w:tc>
          <w:tcPr>
            <w:tcW w:w="2552" w:type="dxa"/>
            <w:tcBorders>
              <w:top w:val="nil"/>
              <w:left w:val="nil"/>
              <w:bottom w:val="single" w:sz="4" w:space="0" w:color="auto"/>
              <w:right w:val="single" w:sz="4" w:space="0" w:color="auto"/>
            </w:tcBorders>
            <w:shd w:val="clear" w:color="auto" w:fill="auto"/>
            <w:vAlign w:val="center"/>
            <w:hideMark/>
          </w:tcPr>
          <w:p w14:paraId="771E9CB9" w14:textId="77777777" w:rsidR="00643D60" w:rsidRPr="00BE4152" w:rsidRDefault="00643D60" w:rsidP="000E36D1">
            <w:pPr>
              <w:pStyle w:val="Tabela-tekst"/>
              <w:jc w:val="center"/>
              <w:rPr>
                <w:color w:val="000000"/>
              </w:rPr>
            </w:pPr>
            <w:r w:rsidRPr="00BE4152">
              <w:t>1</w:t>
            </w:r>
          </w:p>
        </w:tc>
        <w:tc>
          <w:tcPr>
            <w:tcW w:w="2901" w:type="dxa"/>
            <w:tcBorders>
              <w:top w:val="nil"/>
              <w:left w:val="nil"/>
              <w:bottom w:val="single" w:sz="4" w:space="0" w:color="auto"/>
              <w:right w:val="single" w:sz="4" w:space="0" w:color="auto"/>
            </w:tcBorders>
            <w:shd w:val="clear" w:color="auto" w:fill="auto"/>
            <w:vAlign w:val="center"/>
            <w:hideMark/>
          </w:tcPr>
          <w:p w14:paraId="6C6F6CE6" w14:textId="77777777" w:rsidR="00643D60" w:rsidRPr="00AA36EC" w:rsidRDefault="00643D60" w:rsidP="000E36D1">
            <w:pPr>
              <w:pStyle w:val="Tabela-tekst"/>
              <w:jc w:val="center"/>
              <w:rPr>
                <w:color w:val="000000"/>
                <w:lang w:val="en-GB"/>
              </w:rPr>
            </w:pPr>
            <w:r>
              <w:rPr>
                <w:lang w:val="en-GB"/>
              </w:rPr>
              <w:t>K</w:t>
            </w:r>
          </w:p>
        </w:tc>
      </w:tr>
    </w:tbl>
    <w:p w14:paraId="7EDEF5D8" w14:textId="0314B7D3" w:rsidR="000E36D1" w:rsidRDefault="000E36D1" w:rsidP="000E36D1">
      <w:pPr>
        <w:pStyle w:val="rdo0"/>
      </w:pPr>
      <w:r w:rsidRPr="00B142D6">
        <w:t xml:space="preserve">Źródło: opracowanie </w:t>
      </w:r>
      <w:r w:rsidR="00B84032">
        <w:t>własne</w:t>
      </w:r>
    </w:p>
    <w:p w14:paraId="0104EE55" w14:textId="45B8BB31" w:rsidR="00643D60" w:rsidRPr="00BE4152" w:rsidRDefault="00643D60" w:rsidP="00643D60">
      <w:pPr>
        <w:suppressAutoHyphens/>
        <w:spacing w:before="240"/>
      </w:pPr>
      <w:r w:rsidRPr="00BE4152">
        <w:t>Oprócz analizy pozwalającej sprawdzić</w:t>
      </w:r>
      <w:r>
        <w:t>,</w:t>
      </w:r>
      <w:r w:rsidRPr="00BE4152">
        <w:t xml:space="preserve"> czy </w:t>
      </w:r>
      <w:r>
        <w:t xml:space="preserve">stężenia </w:t>
      </w:r>
      <w:r w:rsidRPr="00BE4152">
        <w:t xml:space="preserve">zanieczyszczenia </w:t>
      </w:r>
      <w:r>
        <w:t>rosną</w:t>
      </w:r>
      <w:r w:rsidRPr="00BE4152">
        <w:t xml:space="preserve"> na przestrzeni lat</w:t>
      </w:r>
      <w:r>
        <w:t>,</w:t>
      </w:r>
      <w:r w:rsidRPr="00BE4152">
        <w:t xml:space="preserve"> wykonano również odwrócenie trendu, które pozwala zidentyfikować zmniejszenie </w:t>
      </w:r>
      <w:r>
        <w:t xml:space="preserve">poziomu </w:t>
      </w:r>
      <w:r w:rsidRPr="00BE4152">
        <w:t xml:space="preserve">zanieczyszczenia wód podziemnych. Punktem początkowym inicjowania działań mających odwrócić znaczące i utrzymujące się trendy wzrostowe jest stan, kiedy stężenie zanieczyszczenia osiąga 75% wartości </w:t>
      </w:r>
      <w:r>
        <w:t>progowej dobrego stanu chemicznego</w:t>
      </w:r>
      <w:r w:rsidRPr="00BE4152">
        <w:t>. Założeniem było przeanalizowanie tych punktów, dla których w latach 2005</w:t>
      </w:r>
      <w:r>
        <w:t>-</w:t>
      </w:r>
      <w:r w:rsidRPr="00BE4152">
        <w:t>2012 zidentyfikowano znaczące i utrzymujące się trendy wzrostowe</w:t>
      </w:r>
      <w:r>
        <w:t>,</w:t>
      </w:r>
      <w:r w:rsidRPr="00BE4152">
        <w:t xml:space="preserve"> i</w:t>
      </w:r>
      <w:r w:rsidR="000E36D1">
        <w:t> </w:t>
      </w:r>
      <w:r w:rsidRPr="00BE4152">
        <w:t>wykazanie</w:t>
      </w:r>
      <w:r>
        <w:t>,</w:t>
      </w:r>
      <w:r w:rsidRPr="00BE4152">
        <w:t xml:space="preserve"> czy istnieje odwrócenie tendencji wzrostowych podczas 15</w:t>
      </w:r>
      <w:r>
        <w:t>-</w:t>
      </w:r>
      <w:r w:rsidRPr="00BE4152">
        <w:t>letniego cyklu badawczego (lata 2005</w:t>
      </w:r>
      <w:r>
        <w:t>-</w:t>
      </w:r>
      <w:r w:rsidRPr="00BE4152">
        <w:t>2019). Do przeprowadzenia analizy odwrócenia tendencji zmian zastosowano poszerzoną metodę regresji liniowej. Jest to model dwuliniowy, w którym następuje jedno załamanie w badanym przedziale czasowym. W poszerzonym modelu regresji dwuliniowej sprawdzana jest istotność statystyczna. W przypadku gdy dla dopasowanych dwóch linii prostych regresji liniowych stwierdzono istotność statystyczną</w:t>
      </w:r>
      <w:r>
        <w:t>,</w:t>
      </w:r>
      <w:r w:rsidRPr="00BE4152">
        <w:t xml:space="preserve"> a dla modelu z jedną prostą regresji liniowej nie wykazano istotności statystycznej stwierdza</w:t>
      </w:r>
      <w:r>
        <w:t xml:space="preserve"> się</w:t>
      </w:r>
      <w:r w:rsidRPr="00BE4152">
        <w:t xml:space="preserve"> odwrócenie trendu. W żadnym punkcie pomiarowym zlokalizowanym w</w:t>
      </w:r>
      <w:r w:rsidR="000E36D1">
        <w:t> </w:t>
      </w:r>
      <w:r w:rsidRPr="00BE4152">
        <w:t xml:space="preserve">granicach </w:t>
      </w:r>
      <w:r>
        <w:t xml:space="preserve">obszaru </w:t>
      </w:r>
      <w:r w:rsidRPr="00BE4152">
        <w:t xml:space="preserve">dorzecza </w:t>
      </w:r>
      <w:r>
        <w:t>Pregoły</w:t>
      </w:r>
      <w:r w:rsidRPr="00BE4152">
        <w:t xml:space="preserve"> nie zaobserwowano odwróceni</w:t>
      </w:r>
      <w:r>
        <w:t>a</w:t>
      </w:r>
      <w:r w:rsidRPr="00BE4152">
        <w:t xml:space="preserve"> trendów.</w:t>
      </w:r>
    </w:p>
    <w:p w14:paraId="3537DCB1" w14:textId="77777777" w:rsidR="00643D60" w:rsidRPr="00BE4152" w:rsidRDefault="00643D60" w:rsidP="00AA0CAB">
      <w:pPr>
        <w:pStyle w:val="Nagwek5"/>
      </w:pPr>
      <w:r w:rsidRPr="00BE4152">
        <w:t>Analiza położenia zwierciadła wody podziemnej</w:t>
      </w:r>
    </w:p>
    <w:p w14:paraId="3B1A336A" w14:textId="77777777" w:rsidR="00643D60" w:rsidRPr="00BE4152" w:rsidRDefault="00643D60" w:rsidP="00643D60">
      <w:pPr>
        <w:suppressAutoHyphens/>
        <w:rPr>
          <w:rFonts w:cs="Arial"/>
        </w:rPr>
      </w:pPr>
      <w:r w:rsidRPr="00BE4152">
        <w:rPr>
          <w:rFonts w:cs="Arial"/>
        </w:rPr>
        <w:t>Analiza położenia zwierciadła wody podziemnej jest opisem sytuacji hydrogeologicznej w punktach monitoringu stanu ilościowego i traktuje się ją jako analizę wstępną, wspierającą pozostałe testy klasyfikacyjne oceny stanu ilościowego wód podziemnych. Polega ona na ustaleniu</w:t>
      </w:r>
      <w:r>
        <w:rPr>
          <w:rFonts w:cs="Arial"/>
        </w:rPr>
        <w:t>,</w:t>
      </w:r>
      <w:r w:rsidRPr="00BE4152">
        <w:rPr>
          <w:rFonts w:cs="Arial"/>
        </w:rPr>
        <w:t xml:space="preserve"> czy w wyniku działań antropogenicznych nie doszło do niekorzystnych zmian położenia zwierciadła lub do zmian kierunków przepływu wód podziemnych, prowadzących do ich zanieczyszczenia </w:t>
      </w:r>
      <w:r>
        <w:rPr>
          <w:rFonts w:cs="Arial"/>
        </w:rPr>
        <w:t>bądź</w:t>
      </w:r>
      <w:r w:rsidRPr="00BE4152">
        <w:rPr>
          <w:rFonts w:cs="Arial"/>
        </w:rPr>
        <w:t xml:space="preserve"> pogorszenia warunków bytowania powiązanych z wodami podziemnymi ekosystemów. Podstawą przeprowadzenia analizy są długoletnie nieprzerwane ciągi obserwacyjne, kilkunastoletnie, a najlepiej ponad trzydziestoletnie. Pozwala to odróżnić ewentualne trendy zmian położenia zwierciadła wody od jego cyklicznych sezonowych lub wieloletnich zmian cyklicznych.</w:t>
      </w:r>
    </w:p>
    <w:p w14:paraId="773348ED" w14:textId="77777777" w:rsidR="00643D60" w:rsidRPr="00BE4152" w:rsidRDefault="00643D60" w:rsidP="00643D60">
      <w:pPr>
        <w:suppressAutoHyphens/>
        <w:rPr>
          <w:rFonts w:cs="Arial"/>
        </w:rPr>
      </w:pPr>
      <w:r w:rsidRPr="00BE4152">
        <w:rPr>
          <w:rFonts w:cs="Arial"/>
        </w:rPr>
        <w:t>Podstawą analizy było stwierdzenie</w:t>
      </w:r>
      <w:r>
        <w:rPr>
          <w:rFonts w:cs="Arial"/>
        </w:rPr>
        <w:t>,</w:t>
      </w:r>
      <w:r w:rsidRPr="00BE4152">
        <w:rPr>
          <w:rFonts w:cs="Arial"/>
        </w:rPr>
        <w:t xml:space="preserve"> jak na tle wielolecia 2009</w:t>
      </w:r>
      <w:r>
        <w:rPr>
          <w:rFonts w:cs="Arial"/>
        </w:rPr>
        <w:t>-</w:t>
      </w:r>
      <w:r w:rsidRPr="00BE4152">
        <w:rPr>
          <w:rFonts w:cs="Arial"/>
        </w:rPr>
        <w:t>2018 i wyznaczonych na tej podstawie stref stanów zostały zakwalifikowane wyniki pomiarów z 2019 r. Dodatkowo uwzględniono: czy średnia z roku hydrologicznego 2019 była niższa niż minimum wielolecia 2009-2018, wyniki i interpretację analizy trendów dla punktów z przynajmniej 20</w:t>
      </w:r>
      <w:r>
        <w:rPr>
          <w:rFonts w:cs="Arial"/>
        </w:rPr>
        <w:t>-</w:t>
      </w:r>
      <w:r w:rsidRPr="00BE4152">
        <w:rPr>
          <w:rFonts w:cs="Arial"/>
        </w:rPr>
        <w:t>letnim okresem obserwacji i brakiem znaczących przerw w obserwacjach, zidentyfikowaną znaczącą antropopresję, strefy stanów wyznaczone pomocniczo dla wielolecia 1991</w:t>
      </w:r>
      <w:r>
        <w:rPr>
          <w:rFonts w:cs="Arial"/>
        </w:rPr>
        <w:t>-</w:t>
      </w:r>
      <w:r w:rsidRPr="00BE4152">
        <w:rPr>
          <w:rFonts w:cs="Arial"/>
        </w:rPr>
        <w:t>2018, wykresy i interpretację ekspercką</w:t>
      </w:r>
      <w:r>
        <w:rPr>
          <w:rFonts w:cs="Arial"/>
        </w:rPr>
        <w:t>.</w:t>
      </w:r>
    </w:p>
    <w:p w14:paraId="0581A556" w14:textId="0CCF0D48" w:rsidR="00643D60" w:rsidRPr="00BE4152" w:rsidRDefault="00643D60" w:rsidP="00643D60">
      <w:pPr>
        <w:suppressAutoHyphens/>
        <w:rPr>
          <w:rFonts w:cs="Arial"/>
        </w:rPr>
      </w:pPr>
      <w:r w:rsidRPr="00BE4152">
        <w:rPr>
          <w:rFonts w:cs="Arial"/>
        </w:rPr>
        <w:t xml:space="preserve">Analizę przeprowadzono na dostępnych danych ze 172 jcwpd wraz z subczęściami </w:t>
      </w:r>
      <w:r w:rsidR="00442AB7">
        <w:rPr>
          <w:rFonts w:cs="Arial"/>
        </w:rPr>
        <w:t>-</w:t>
      </w:r>
      <w:r w:rsidRPr="00BE4152">
        <w:rPr>
          <w:rFonts w:cs="Arial"/>
        </w:rPr>
        <w:t xml:space="preserve"> z uwzględnieniem podziału na kompleksy wodonośne. Następnie rozszerzono wyniki na 174 jcwpd. Strefa stanów niskich przeważająca w przynajmniej jednym kompleksie wodonośnym była podstawą do poszerzonej analizy i jeżeli wyniki nadal potwierdzały taki stan</w:t>
      </w:r>
      <w:r>
        <w:rPr>
          <w:rFonts w:cs="Arial"/>
        </w:rPr>
        <w:t>,</w:t>
      </w:r>
      <w:r w:rsidRPr="00BE4152">
        <w:rPr>
          <w:rFonts w:cs="Arial"/>
        </w:rPr>
        <w:t xml:space="preserve"> cała jcwpd </w:t>
      </w:r>
      <w:r>
        <w:rPr>
          <w:rFonts w:cs="Arial"/>
        </w:rPr>
        <w:t>była</w:t>
      </w:r>
      <w:r w:rsidRPr="00BE4152">
        <w:rPr>
          <w:rFonts w:cs="Arial"/>
        </w:rPr>
        <w:t xml:space="preserve"> wskaz</w:t>
      </w:r>
      <w:r>
        <w:rPr>
          <w:rFonts w:cs="Arial"/>
        </w:rPr>
        <w:t>yw</w:t>
      </w:r>
      <w:r w:rsidRPr="00BE4152">
        <w:rPr>
          <w:rFonts w:cs="Arial"/>
        </w:rPr>
        <w:t>ana do zakwalifikowania do stanu słabego w testach oceny stanu ilościowego.</w:t>
      </w:r>
    </w:p>
    <w:p w14:paraId="59B083D2" w14:textId="5C0BD912" w:rsidR="00643D60" w:rsidRPr="00BE4152" w:rsidRDefault="00643D60" w:rsidP="00643D60">
      <w:pPr>
        <w:suppressAutoHyphens/>
        <w:rPr>
          <w:rFonts w:cs="Arial"/>
        </w:rPr>
      </w:pPr>
      <w:r w:rsidRPr="00BE4152">
        <w:rPr>
          <w:rFonts w:cs="Arial"/>
        </w:rPr>
        <w:t xml:space="preserve">Na terenie Polski w </w:t>
      </w:r>
      <w:r>
        <w:rPr>
          <w:rFonts w:cs="Arial"/>
        </w:rPr>
        <w:t xml:space="preserve">obszarze </w:t>
      </w:r>
      <w:r w:rsidRPr="00BE4152">
        <w:rPr>
          <w:rFonts w:cs="Arial"/>
        </w:rPr>
        <w:t>dorzecz</w:t>
      </w:r>
      <w:r>
        <w:rPr>
          <w:rFonts w:cs="Arial"/>
        </w:rPr>
        <w:t>a</w:t>
      </w:r>
      <w:r w:rsidRPr="00BE4152">
        <w:rPr>
          <w:rFonts w:cs="Arial"/>
        </w:rPr>
        <w:t xml:space="preserve"> </w:t>
      </w:r>
      <w:r>
        <w:rPr>
          <w:rFonts w:cs="Arial"/>
        </w:rPr>
        <w:t>Pregoły</w:t>
      </w:r>
      <w:r w:rsidRPr="00BE4152">
        <w:rPr>
          <w:rFonts w:cs="Arial"/>
        </w:rPr>
        <w:t xml:space="preserve"> znajdują się </w:t>
      </w:r>
      <w:r>
        <w:rPr>
          <w:rFonts w:cs="Arial"/>
        </w:rPr>
        <w:t>2</w:t>
      </w:r>
      <w:r w:rsidRPr="00BE4152">
        <w:rPr>
          <w:rFonts w:cs="Arial"/>
        </w:rPr>
        <w:t xml:space="preserve"> jcwpd</w:t>
      </w:r>
      <w:r>
        <w:rPr>
          <w:rFonts w:cs="Arial"/>
        </w:rPr>
        <w:t xml:space="preserve"> o numerach: 20 i 21 (</w:t>
      </w:r>
      <w:r w:rsidRPr="005B0796">
        <w:rPr>
          <w:rFonts w:cs="Arial"/>
        </w:rPr>
        <w:t>region wodny Łyny i Węgorapy</w:t>
      </w:r>
      <w:r>
        <w:rPr>
          <w:rFonts w:cs="Arial"/>
        </w:rPr>
        <w:t>)</w:t>
      </w:r>
      <w:r w:rsidRPr="00BE4152">
        <w:rPr>
          <w:rFonts w:cs="Arial"/>
        </w:rPr>
        <w:t xml:space="preserve">. W ramach analizy położenia zwierciadła wody podziemnej nie stwierdzono </w:t>
      </w:r>
      <w:r>
        <w:rPr>
          <w:rFonts w:cs="Arial"/>
        </w:rPr>
        <w:t xml:space="preserve">w nich </w:t>
      </w:r>
      <w:r w:rsidRPr="00BE4152">
        <w:rPr>
          <w:rFonts w:cs="Arial"/>
        </w:rPr>
        <w:t xml:space="preserve">wskazań do </w:t>
      </w:r>
      <w:r w:rsidRPr="00B34ED3">
        <w:rPr>
          <w:rFonts w:cs="Arial"/>
        </w:rPr>
        <w:t>stanu słabego (tabela</w:t>
      </w:r>
      <w:r w:rsidR="004A1B76" w:rsidRPr="00B34ED3">
        <w:rPr>
          <w:rFonts w:cs="Arial"/>
        </w:rPr>
        <w:t xml:space="preserve"> 5-1</w:t>
      </w:r>
      <w:r w:rsidR="0010790F">
        <w:rPr>
          <w:rFonts w:cs="Arial"/>
        </w:rPr>
        <w:t>9</w:t>
      </w:r>
      <w:r w:rsidRPr="00B34ED3">
        <w:rPr>
          <w:rFonts w:cs="Arial"/>
        </w:rPr>
        <w:t>).</w:t>
      </w:r>
    </w:p>
    <w:p w14:paraId="63BDF63D" w14:textId="2A1D5B0E" w:rsidR="00643D60" w:rsidRPr="00BE4152" w:rsidRDefault="00643D60" w:rsidP="006802BB">
      <w:pPr>
        <w:pStyle w:val="Tabela"/>
      </w:pPr>
      <w:bookmarkStart w:id="102" w:name="_Toc68726971"/>
      <w:r w:rsidRPr="00BE4152">
        <w:t xml:space="preserve">Tabela </w:t>
      </w:r>
      <w:fldSimple w:instr=" STYLEREF 1 \s ">
        <w:r w:rsidR="00776092">
          <w:rPr>
            <w:noProof/>
          </w:rPr>
          <w:t>5</w:t>
        </w:r>
      </w:fldSimple>
      <w:r w:rsidR="007B4050">
        <w:noBreakHyphen/>
      </w:r>
      <w:fldSimple w:instr=" SEQ Tabela \* ARABIC \s 1 ">
        <w:r w:rsidR="00776092">
          <w:rPr>
            <w:noProof/>
          </w:rPr>
          <w:t>19</w:t>
        </w:r>
      </w:fldSimple>
      <w:r>
        <w:tab/>
      </w:r>
      <w:r w:rsidRPr="00810672">
        <w:t xml:space="preserve">Wyniki analizy położenia zwierciadła wody podziemnej w jcwpd </w:t>
      </w:r>
      <w:r>
        <w:t>nr 20 i 21 zlokalizowanych w</w:t>
      </w:r>
      <w:r w:rsidR="000E36D1">
        <w:t> </w:t>
      </w:r>
      <w:r w:rsidRPr="00810672">
        <w:t>obszar</w:t>
      </w:r>
      <w:r>
        <w:t>ze</w:t>
      </w:r>
      <w:r w:rsidRPr="00810672">
        <w:t xml:space="preserve"> dorzecza </w:t>
      </w:r>
      <w:r>
        <w:t>Pregoły</w:t>
      </w:r>
      <w:bookmarkEnd w:id="102"/>
    </w:p>
    <w:tbl>
      <w:tblPr>
        <w:tblStyle w:val="Tabela-Siatka"/>
        <w:tblW w:w="9067" w:type="dxa"/>
        <w:tblLayout w:type="fixed"/>
        <w:tblLook w:val="04A0" w:firstRow="1" w:lastRow="0" w:firstColumn="1" w:lastColumn="0" w:noHBand="0" w:noVBand="1"/>
      </w:tblPr>
      <w:tblGrid>
        <w:gridCol w:w="3397"/>
        <w:gridCol w:w="2268"/>
        <w:gridCol w:w="1560"/>
        <w:gridCol w:w="1842"/>
      </w:tblGrid>
      <w:tr w:rsidR="00643D60" w:rsidRPr="00BE4152" w14:paraId="7EB6C12E" w14:textId="77777777" w:rsidTr="00A03144">
        <w:trPr>
          <w:trHeight w:val="454"/>
          <w:tblHeader/>
        </w:trPr>
        <w:tc>
          <w:tcPr>
            <w:tcW w:w="3397" w:type="dxa"/>
            <w:shd w:val="clear" w:color="auto" w:fill="BFBFBF" w:themeFill="background1" w:themeFillShade="BF"/>
            <w:vAlign w:val="center"/>
          </w:tcPr>
          <w:p w14:paraId="099C7208" w14:textId="77777777" w:rsidR="00643D60" w:rsidRPr="00A03144" w:rsidRDefault="00643D60" w:rsidP="00807758">
            <w:pPr>
              <w:pStyle w:val="Tabela-tekst"/>
              <w:jc w:val="center"/>
              <w:rPr>
                <w:b/>
                <w:bCs/>
              </w:rPr>
            </w:pPr>
            <w:r w:rsidRPr="00A03144">
              <w:rPr>
                <w:b/>
                <w:bCs/>
              </w:rPr>
              <w:t>Wskazania do oceny stanu ilościowego jcwpd według analizy położenia zwierciadła wody podziemnej</w:t>
            </w:r>
          </w:p>
        </w:tc>
        <w:tc>
          <w:tcPr>
            <w:tcW w:w="2268" w:type="dxa"/>
            <w:shd w:val="clear" w:color="auto" w:fill="BFBFBF" w:themeFill="background1" w:themeFillShade="BF"/>
            <w:vAlign w:val="center"/>
          </w:tcPr>
          <w:p w14:paraId="51CF57A6" w14:textId="77777777" w:rsidR="00643D60" w:rsidRPr="00A03144" w:rsidRDefault="00643D60" w:rsidP="000E36D1">
            <w:pPr>
              <w:pStyle w:val="Tabela-tekst"/>
              <w:jc w:val="center"/>
              <w:rPr>
                <w:b/>
                <w:bCs/>
              </w:rPr>
            </w:pPr>
            <w:r w:rsidRPr="00A03144">
              <w:rPr>
                <w:b/>
                <w:bCs/>
              </w:rPr>
              <w:t>Wiarygodność oceny</w:t>
            </w:r>
          </w:p>
        </w:tc>
        <w:tc>
          <w:tcPr>
            <w:tcW w:w="1560" w:type="dxa"/>
            <w:shd w:val="clear" w:color="auto" w:fill="BFBFBF" w:themeFill="background1" w:themeFillShade="BF"/>
            <w:vAlign w:val="center"/>
          </w:tcPr>
          <w:p w14:paraId="1A6264BB" w14:textId="77777777" w:rsidR="00643D60" w:rsidRPr="00A03144" w:rsidRDefault="00643D60" w:rsidP="000E36D1">
            <w:pPr>
              <w:pStyle w:val="Tabela-tekst"/>
              <w:jc w:val="center"/>
              <w:rPr>
                <w:b/>
                <w:bCs/>
              </w:rPr>
            </w:pPr>
            <w:r w:rsidRPr="00A03144">
              <w:rPr>
                <w:b/>
                <w:bCs/>
              </w:rPr>
              <w:t>Liczba jcwpd</w:t>
            </w:r>
          </w:p>
        </w:tc>
        <w:tc>
          <w:tcPr>
            <w:tcW w:w="1842" w:type="dxa"/>
            <w:shd w:val="clear" w:color="auto" w:fill="BFBFBF" w:themeFill="background1" w:themeFillShade="BF"/>
            <w:vAlign w:val="center"/>
          </w:tcPr>
          <w:p w14:paraId="4BBF2337" w14:textId="77777777" w:rsidR="00643D60" w:rsidRPr="00A03144" w:rsidRDefault="00643D60" w:rsidP="000E36D1">
            <w:pPr>
              <w:pStyle w:val="Tabela-tekst"/>
              <w:jc w:val="center"/>
              <w:rPr>
                <w:b/>
                <w:bCs/>
              </w:rPr>
            </w:pPr>
            <w:r w:rsidRPr="00A03144">
              <w:rPr>
                <w:b/>
                <w:bCs/>
              </w:rPr>
              <w:t>Numery jcwpd</w:t>
            </w:r>
          </w:p>
        </w:tc>
      </w:tr>
      <w:tr w:rsidR="00643D60" w:rsidRPr="00BE4152" w14:paraId="58841472" w14:textId="77777777" w:rsidTr="00A03144">
        <w:trPr>
          <w:trHeight w:val="454"/>
        </w:trPr>
        <w:tc>
          <w:tcPr>
            <w:tcW w:w="3397" w:type="dxa"/>
            <w:vAlign w:val="center"/>
          </w:tcPr>
          <w:p w14:paraId="441DF780" w14:textId="77777777" w:rsidR="00643D60" w:rsidRPr="00BE4152" w:rsidRDefault="00643D60" w:rsidP="00A03144">
            <w:pPr>
              <w:pStyle w:val="Tabela-tekst"/>
              <w:rPr>
                <w:rFonts w:cs="Arial"/>
              </w:rPr>
            </w:pPr>
            <w:r w:rsidRPr="00BE4152">
              <w:rPr>
                <w:rFonts w:cs="Arial"/>
              </w:rPr>
              <w:t>Brak wskazań do stanu słabego</w:t>
            </w:r>
          </w:p>
        </w:tc>
        <w:tc>
          <w:tcPr>
            <w:tcW w:w="2268" w:type="dxa"/>
            <w:vAlign w:val="center"/>
          </w:tcPr>
          <w:p w14:paraId="4CACB1A8" w14:textId="0E4BB7AF" w:rsidR="00643D60" w:rsidRPr="00BE4152" w:rsidRDefault="00643D60" w:rsidP="000E36D1">
            <w:pPr>
              <w:pStyle w:val="Tabela-tekst"/>
              <w:jc w:val="center"/>
              <w:rPr>
                <w:rFonts w:cs="Arial"/>
              </w:rPr>
            </w:pPr>
            <w:r>
              <w:rPr>
                <w:rFonts w:cs="Arial"/>
              </w:rPr>
              <w:t>d</w:t>
            </w:r>
            <w:r w:rsidRPr="00BE4152">
              <w:rPr>
                <w:rFonts w:cs="Arial"/>
              </w:rPr>
              <w:t xml:space="preserve">ostateczna </w:t>
            </w:r>
            <w:r w:rsidR="00442AB7">
              <w:rPr>
                <w:rFonts w:cs="Arial"/>
              </w:rPr>
              <w:t>-</w:t>
            </w:r>
            <w:r w:rsidRPr="00BE4152">
              <w:rPr>
                <w:rFonts w:cs="Arial"/>
              </w:rPr>
              <w:t xml:space="preserve"> DW</w:t>
            </w:r>
          </w:p>
        </w:tc>
        <w:tc>
          <w:tcPr>
            <w:tcW w:w="1560" w:type="dxa"/>
            <w:vAlign w:val="center"/>
          </w:tcPr>
          <w:p w14:paraId="182850CD" w14:textId="77777777" w:rsidR="00643D60" w:rsidRPr="00BE4152" w:rsidRDefault="00643D60" w:rsidP="000E36D1">
            <w:pPr>
              <w:pStyle w:val="Tabela-tekst"/>
              <w:jc w:val="center"/>
              <w:rPr>
                <w:rFonts w:cs="Arial"/>
              </w:rPr>
            </w:pPr>
            <w:r>
              <w:rPr>
                <w:rFonts w:cs="Arial"/>
              </w:rPr>
              <w:t>2</w:t>
            </w:r>
          </w:p>
        </w:tc>
        <w:tc>
          <w:tcPr>
            <w:tcW w:w="1842" w:type="dxa"/>
            <w:vAlign w:val="center"/>
          </w:tcPr>
          <w:p w14:paraId="5DB088FC" w14:textId="77777777" w:rsidR="00643D60" w:rsidRPr="00BE4152" w:rsidRDefault="00643D60" w:rsidP="000E36D1">
            <w:pPr>
              <w:pStyle w:val="Tabela-tekst"/>
              <w:jc w:val="center"/>
              <w:rPr>
                <w:rFonts w:cs="Arial"/>
              </w:rPr>
            </w:pPr>
            <w:r>
              <w:rPr>
                <w:rFonts w:cs="Calibri"/>
              </w:rPr>
              <w:t>20, 21</w:t>
            </w:r>
          </w:p>
        </w:tc>
      </w:tr>
      <w:tr w:rsidR="00643D60" w:rsidRPr="00BE4152" w14:paraId="681E2DD9" w14:textId="77777777" w:rsidTr="00A03144">
        <w:trPr>
          <w:trHeight w:val="454"/>
        </w:trPr>
        <w:tc>
          <w:tcPr>
            <w:tcW w:w="3397" w:type="dxa"/>
            <w:vAlign w:val="center"/>
          </w:tcPr>
          <w:p w14:paraId="5E113EA4" w14:textId="77777777" w:rsidR="00643D60" w:rsidRPr="00BE4152" w:rsidRDefault="00643D60" w:rsidP="00A03144">
            <w:pPr>
              <w:pStyle w:val="Tabela-tekst"/>
              <w:rPr>
                <w:rFonts w:cs="Arial"/>
              </w:rPr>
            </w:pPr>
            <w:r w:rsidRPr="00BE4152">
              <w:rPr>
                <w:rFonts w:cs="Arial"/>
              </w:rPr>
              <w:t>Brak wskazań do stanu słabego</w:t>
            </w:r>
          </w:p>
        </w:tc>
        <w:tc>
          <w:tcPr>
            <w:tcW w:w="2268" w:type="dxa"/>
            <w:vAlign w:val="center"/>
          </w:tcPr>
          <w:p w14:paraId="569D02A0" w14:textId="66A6DB23" w:rsidR="00643D60" w:rsidRPr="00BE4152" w:rsidRDefault="00643D60" w:rsidP="000E36D1">
            <w:pPr>
              <w:pStyle w:val="Tabela-tekst"/>
              <w:jc w:val="center"/>
              <w:rPr>
                <w:rFonts w:cs="Arial"/>
              </w:rPr>
            </w:pPr>
            <w:r>
              <w:rPr>
                <w:rFonts w:cs="Arial"/>
              </w:rPr>
              <w:t>n</w:t>
            </w:r>
            <w:r w:rsidRPr="00BE4152">
              <w:rPr>
                <w:rFonts w:cs="Arial"/>
              </w:rPr>
              <w:t xml:space="preserve">iska </w:t>
            </w:r>
            <w:r w:rsidR="00442AB7">
              <w:rPr>
                <w:rFonts w:cs="Arial"/>
              </w:rPr>
              <w:t>-</w:t>
            </w:r>
            <w:r w:rsidRPr="00BE4152">
              <w:rPr>
                <w:rFonts w:cs="Arial"/>
              </w:rPr>
              <w:t xml:space="preserve"> NW</w:t>
            </w:r>
          </w:p>
        </w:tc>
        <w:tc>
          <w:tcPr>
            <w:tcW w:w="1560" w:type="dxa"/>
            <w:vAlign w:val="center"/>
          </w:tcPr>
          <w:p w14:paraId="607AA74A" w14:textId="77777777" w:rsidR="00643D60" w:rsidRPr="00BE4152" w:rsidRDefault="00643D60" w:rsidP="000E36D1">
            <w:pPr>
              <w:pStyle w:val="Tabela-tekst"/>
              <w:jc w:val="center"/>
              <w:rPr>
                <w:rFonts w:cs="Arial"/>
              </w:rPr>
            </w:pPr>
            <w:r>
              <w:rPr>
                <w:rFonts w:cs="Arial"/>
              </w:rPr>
              <w:t>0</w:t>
            </w:r>
          </w:p>
        </w:tc>
        <w:tc>
          <w:tcPr>
            <w:tcW w:w="1842" w:type="dxa"/>
            <w:vAlign w:val="center"/>
          </w:tcPr>
          <w:p w14:paraId="5C70A2B0" w14:textId="0C96D9CA" w:rsidR="00643D60" w:rsidRPr="00BE4152" w:rsidRDefault="001479C9" w:rsidP="000E36D1">
            <w:pPr>
              <w:pStyle w:val="Tabela-tekst"/>
              <w:jc w:val="center"/>
              <w:rPr>
                <w:rFonts w:cs="Arial"/>
              </w:rPr>
            </w:pPr>
            <w:r>
              <w:rPr>
                <w:rFonts w:cs="Arial"/>
              </w:rPr>
              <w:t>-</w:t>
            </w:r>
          </w:p>
        </w:tc>
      </w:tr>
      <w:tr w:rsidR="00643D60" w:rsidRPr="00BE4152" w14:paraId="3AFF5BC1" w14:textId="77777777" w:rsidTr="00A03144">
        <w:trPr>
          <w:trHeight w:val="454"/>
        </w:trPr>
        <w:tc>
          <w:tcPr>
            <w:tcW w:w="3397" w:type="dxa"/>
            <w:vAlign w:val="center"/>
          </w:tcPr>
          <w:p w14:paraId="68D1DDF5" w14:textId="77777777" w:rsidR="00643D60" w:rsidRPr="00BE4152" w:rsidRDefault="00643D60" w:rsidP="00A03144">
            <w:pPr>
              <w:pStyle w:val="Tabela-tekst"/>
              <w:rPr>
                <w:rFonts w:cs="Arial"/>
              </w:rPr>
            </w:pPr>
            <w:r w:rsidRPr="00BE4152">
              <w:rPr>
                <w:rFonts w:cs="Arial"/>
              </w:rPr>
              <w:t>Wskazania do stanu słabego</w:t>
            </w:r>
          </w:p>
        </w:tc>
        <w:tc>
          <w:tcPr>
            <w:tcW w:w="2268" w:type="dxa"/>
            <w:vAlign w:val="center"/>
          </w:tcPr>
          <w:p w14:paraId="563CF112" w14:textId="4F4EB4BD" w:rsidR="00643D60" w:rsidRPr="00BE4152" w:rsidRDefault="00643D60" w:rsidP="000E36D1">
            <w:pPr>
              <w:pStyle w:val="Tabela-tekst"/>
              <w:jc w:val="center"/>
              <w:rPr>
                <w:rFonts w:cs="Arial"/>
              </w:rPr>
            </w:pPr>
            <w:r>
              <w:rPr>
                <w:rFonts w:cs="Arial"/>
              </w:rPr>
              <w:t>d</w:t>
            </w:r>
            <w:r w:rsidRPr="00BE4152">
              <w:rPr>
                <w:rFonts w:cs="Arial"/>
              </w:rPr>
              <w:t xml:space="preserve">ostateczna </w:t>
            </w:r>
            <w:r w:rsidR="00442AB7">
              <w:rPr>
                <w:rFonts w:cs="Arial"/>
              </w:rPr>
              <w:t>-</w:t>
            </w:r>
            <w:r w:rsidRPr="00BE4152">
              <w:rPr>
                <w:rFonts w:cs="Arial"/>
              </w:rPr>
              <w:t xml:space="preserve"> DW</w:t>
            </w:r>
          </w:p>
        </w:tc>
        <w:tc>
          <w:tcPr>
            <w:tcW w:w="1560" w:type="dxa"/>
            <w:vAlign w:val="center"/>
          </w:tcPr>
          <w:p w14:paraId="7AF91D0C" w14:textId="77777777" w:rsidR="00643D60" w:rsidRPr="00BE4152" w:rsidRDefault="00643D60" w:rsidP="000E36D1">
            <w:pPr>
              <w:pStyle w:val="Tabela-tekst"/>
              <w:jc w:val="center"/>
              <w:rPr>
                <w:rFonts w:cs="Arial"/>
              </w:rPr>
            </w:pPr>
            <w:r w:rsidRPr="00413244">
              <w:rPr>
                <w:rFonts w:cs="Arial"/>
              </w:rPr>
              <w:t>0</w:t>
            </w:r>
          </w:p>
        </w:tc>
        <w:tc>
          <w:tcPr>
            <w:tcW w:w="1842" w:type="dxa"/>
            <w:vAlign w:val="center"/>
          </w:tcPr>
          <w:p w14:paraId="41DC4993" w14:textId="122DDC8C" w:rsidR="00643D60" w:rsidRPr="00BE4152" w:rsidRDefault="001479C9" w:rsidP="000E36D1">
            <w:pPr>
              <w:pStyle w:val="Tabela-tekst"/>
              <w:jc w:val="center"/>
              <w:rPr>
                <w:rFonts w:cs="Arial"/>
              </w:rPr>
            </w:pPr>
            <w:r>
              <w:rPr>
                <w:rFonts w:cs="Arial"/>
              </w:rPr>
              <w:t>-</w:t>
            </w:r>
          </w:p>
        </w:tc>
      </w:tr>
      <w:tr w:rsidR="00643D60" w:rsidRPr="00BE4152" w14:paraId="1D60F765" w14:textId="77777777" w:rsidTr="00A03144">
        <w:trPr>
          <w:trHeight w:val="454"/>
        </w:trPr>
        <w:tc>
          <w:tcPr>
            <w:tcW w:w="3397" w:type="dxa"/>
            <w:vAlign w:val="center"/>
          </w:tcPr>
          <w:p w14:paraId="716FBC4C" w14:textId="77777777" w:rsidR="00643D60" w:rsidRPr="00BE4152" w:rsidRDefault="00643D60" w:rsidP="00A03144">
            <w:pPr>
              <w:pStyle w:val="Tabela-tekst"/>
              <w:rPr>
                <w:rFonts w:cs="Arial"/>
              </w:rPr>
            </w:pPr>
            <w:r w:rsidRPr="00BE4152">
              <w:rPr>
                <w:rFonts w:cs="Arial"/>
              </w:rPr>
              <w:t>Wskazania do stanu słabego</w:t>
            </w:r>
          </w:p>
        </w:tc>
        <w:tc>
          <w:tcPr>
            <w:tcW w:w="2268" w:type="dxa"/>
            <w:vAlign w:val="center"/>
          </w:tcPr>
          <w:p w14:paraId="6697B0DC" w14:textId="41DC09B5" w:rsidR="00643D60" w:rsidRPr="00BE4152" w:rsidRDefault="00643D60" w:rsidP="000E36D1">
            <w:pPr>
              <w:pStyle w:val="Tabela-tekst"/>
              <w:jc w:val="center"/>
              <w:rPr>
                <w:rFonts w:cs="Arial"/>
              </w:rPr>
            </w:pPr>
            <w:r>
              <w:rPr>
                <w:rFonts w:cs="Arial"/>
              </w:rPr>
              <w:t>n</w:t>
            </w:r>
            <w:r w:rsidRPr="00BE4152">
              <w:rPr>
                <w:rFonts w:cs="Arial"/>
              </w:rPr>
              <w:t xml:space="preserve">iska </w:t>
            </w:r>
            <w:r w:rsidR="00442AB7">
              <w:rPr>
                <w:rFonts w:cs="Arial"/>
              </w:rPr>
              <w:t>-</w:t>
            </w:r>
            <w:r w:rsidRPr="00BE4152">
              <w:rPr>
                <w:rFonts w:cs="Arial"/>
              </w:rPr>
              <w:t xml:space="preserve"> NW</w:t>
            </w:r>
          </w:p>
        </w:tc>
        <w:tc>
          <w:tcPr>
            <w:tcW w:w="1560" w:type="dxa"/>
            <w:vAlign w:val="center"/>
          </w:tcPr>
          <w:p w14:paraId="6468CE7F" w14:textId="77777777" w:rsidR="00643D60" w:rsidRPr="00BE4152" w:rsidRDefault="00643D60" w:rsidP="000E36D1">
            <w:pPr>
              <w:pStyle w:val="Tabela-tekst"/>
              <w:jc w:val="center"/>
              <w:rPr>
                <w:rFonts w:cs="Arial"/>
              </w:rPr>
            </w:pPr>
            <w:r w:rsidRPr="00413244">
              <w:rPr>
                <w:rFonts w:cs="Arial"/>
              </w:rPr>
              <w:t>0</w:t>
            </w:r>
          </w:p>
        </w:tc>
        <w:tc>
          <w:tcPr>
            <w:tcW w:w="1842" w:type="dxa"/>
            <w:vAlign w:val="center"/>
          </w:tcPr>
          <w:p w14:paraId="23C6D187" w14:textId="0472A940" w:rsidR="00643D60" w:rsidRPr="00BE4152" w:rsidRDefault="001479C9" w:rsidP="000E36D1">
            <w:pPr>
              <w:pStyle w:val="Tabela-tekst"/>
              <w:jc w:val="center"/>
              <w:rPr>
                <w:rFonts w:cs="Arial"/>
              </w:rPr>
            </w:pPr>
            <w:r>
              <w:rPr>
                <w:rFonts w:cs="Arial"/>
              </w:rPr>
              <w:t>-</w:t>
            </w:r>
          </w:p>
        </w:tc>
      </w:tr>
    </w:tbl>
    <w:p w14:paraId="4CDCDCB6" w14:textId="77777777" w:rsidR="00B84032" w:rsidRDefault="00B84032" w:rsidP="00B84032">
      <w:pPr>
        <w:pStyle w:val="rdo0"/>
      </w:pPr>
      <w:r w:rsidRPr="002D0D68">
        <w:t xml:space="preserve">Źródło: opracowanie </w:t>
      </w:r>
      <w:r>
        <w:t>własne</w:t>
      </w:r>
    </w:p>
    <w:p w14:paraId="2BFF9EE1" w14:textId="10A7CE9A" w:rsidR="00643D60" w:rsidRPr="00BE4152" w:rsidRDefault="00643D60" w:rsidP="00AA0CAB">
      <w:pPr>
        <w:pStyle w:val="Nagwek5"/>
      </w:pPr>
      <w:r w:rsidRPr="00BE4152">
        <w:t>Wyniki testów klasyfikacyjnych</w:t>
      </w:r>
    </w:p>
    <w:p w14:paraId="087EF8A1" w14:textId="77777777" w:rsidR="00643D60" w:rsidRPr="00BE4152" w:rsidRDefault="00643D60" w:rsidP="00643D60">
      <w:pPr>
        <w:suppressAutoHyphens/>
        <w:rPr>
          <w:i/>
        </w:rPr>
      </w:pPr>
      <w:r w:rsidRPr="00BE4152">
        <w:rPr>
          <w:i/>
        </w:rPr>
        <w:t>Ocena stanu chemicznego</w:t>
      </w:r>
    </w:p>
    <w:p w14:paraId="0A14F8A1" w14:textId="47DA56DF" w:rsidR="00643D60" w:rsidRPr="00BE4152" w:rsidRDefault="00643D60" w:rsidP="00643D60">
      <w:pPr>
        <w:suppressAutoHyphens/>
      </w:pPr>
      <w:r w:rsidRPr="00BE4152">
        <w:t xml:space="preserve">Ocenę stanu chemicznego jcwpd znajdujących się na obszarze dorzecza </w:t>
      </w:r>
      <w:r>
        <w:t>Pregoły</w:t>
      </w:r>
      <w:r w:rsidRPr="00BE4152">
        <w:t xml:space="preserve"> przeprowadzono w</w:t>
      </w:r>
      <w:r w:rsidR="000E36D1">
        <w:t> </w:t>
      </w:r>
      <w:r w:rsidRPr="00BE4152">
        <w:t xml:space="preserve">2020 r. na podstawie </w:t>
      </w:r>
      <w:r>
        <w:t>30</w:t>
      </w:r>
      <w:r w:rsidRPr="00BE4152">
        <w:t xml:space="preserve"> punktów pomiarowych opróbowanych w 2019 r. Stan chemiczny </w:t>
      </w:r>
      <w:r>
        <w:t xml:space="preserve">wszystkich </w:t>
      </w:r>
      <w:r w:rsidRPr="00BE4152">
        <w:t xml:space="preserve">jcwpd na obszarze dorzecza </w:t>
      </w:r>
      <w:r>
        <w:t xml:space="preserve">Pregoły określono </w:t>
      </w:r>
      <w:r w:rsidRPr="00B34ED3">
        <w:t xml:space="preserve">jako dobry (tabela </w:t>
      </w:r>
      <w:r w:rsidR="004A1B76" w:rsidRPr="00B34ED3">
        <w:t>5-</w:t>
      </w:r>
      <w:r w:rsidR="0010790F">
        <w:t>20</w:t>
      </w:r>
      <w:r w:rsidRPr="00B34ED3">
        <w:t>).</w:t>
      </w:r>
    </w:p>
    <w:p w14:paraId="6192FE8B" w14:textId="2B59D344" w:rsidR="00643D60" w:rsidRPr="00655C11" w:rsidRDefault="00643D60" w:rsidP="006802BB">
      <w:pPr>
        <w:pStyle w:val="Tabela"/>
      </w:pPr>
      <w:bookmarkStart w:id="103" w:name="_Toc68726972"/>
      <w:r w:rsidRPr="00BE4152">
        <w:t xml:space="preserve">Tabela </w:t>
      </w:r>
      <w:fldSimple w:instr=" STYLEREF 1 \s ">
        <w:r w:rsidR="007B4050">
          <w:rPr>
            <w:noProof/>
          </w:rPr>
          <w:t>5</w:t>
        </w:r>
      </w:fldSimple>
      <w:r w:rsidR="007B4050">
        <w:noBreakHyphen/>
      </w:r>
      <w:fldSimple w:instr=" SEQ Tabela \* ARABIC \s 1 ">
        <w:r w:rsidR="007B4050">
          <w:rPr>
            <w:noProof/>
          </w:rPr>
          <w:t>20</w:t>
        </w:r>
      </w:fldSimple>
      <w:r>
        <w:tab/>
      </w:r>
      <w:r w:rsidRPr="00655C11">
        <w:t xml:space="preserve">Stan chemiczny jcwpd na obszarze dorzecza </w:t>
      </w:r>
      <w:r>
        <w:t>Pregoły</w:t>
      </w:r>
      <w:bookmarkEnd w:id="103"/>
    </w:p>
    <w:tbl>
      <w:tblPr>
        <w:tblStyle w:val="Tabela-Siatka"/>
        <w:tblW w:w="0" w:type="auto"/>
        <w:jc w:val="center"/>
        <w:tblLook w:val="04A0" w:firstRow="1" w:lastRow="0" w:firstColumn="1" w:lastColumn="0" w:noHBand="0" w:noVBand="1"/>
      </w:tblPr>
      <w:tblGrid>
        <w:gridCol w:w="1980"/>
        <w:gridCol w:w="1984"/>
        <w:gridCol w:w="2549"/>
        <w:gridCol w:w="2549"/>
      </w:tblGrid>
      <w:tr w:rsidR="00540FFD" w:rsidRPr="00BE4152" w14:paraId="48E781B6" w14:textId="77777777" w:rsidTr="00540FFD">
        <w:trPr>
          <w:trHeight w:val="454"/>
          <w:tblHeader/>
          <w:jc w:val="center"/>
        </w:trPr>
        <w:tc>
          <w:tcPr>
            <w:tcW w:w="3964" w:type="dxa"/>
            <w:gridSpan w:val="2"/>
            <w:shd w:val="clear" w:color="auto" w:fill="BFBFBF"/>
            <w:vAlign w:val="center"/>
          </w:tcPr>
          <w:p w14:paraId="79915C1E" w14:textId="0FB334CC" w:rsidR="00540FFD" w:rsidRPr="00CB6DB4" w:rsidRDefault="00540FFD" w:rsidP="001479C9">
            <w:pPr>
              <w:pStyle w:val="Tabela-tekst"/>
              <w:jc w:val="center"/>
              <w:rPr>
                <w:b/>
                <w:color w:val="000000"/>
              </w:rPr>
            </w:pPr>
            <w:r w:rsidRPr="00A03144">
              <w:rPr>
                <w:b/>
                <w:bCs/>
              </w:rPr>
              <w:t>Obszar dorzecza</w:t>
            </w:r>
          </w:p>
        </w:tc>
        <w:tc>
          <w:tcPr>
            <w:tcW w:w="5098" w:type="dxa"/>
            <w:gridSpan w:val="2"/>
            <w:shd w:val="clear" w:color="auto" w:fill="BFBFBF"/>
            <w:vAlign w:val="center"/>
          </w:tcPr>
          <w:p w14:paraId="1EE4C1B2" w14:textId="77777777" w:rsidR="00540FFD" w:rsidRPr="00CB6DB4" w:rsidRDefault="00540FFD" w:rsidP="001479C9">
            <w:pPr>
              <w:pStyle w:val="Tabela-tekst"/>
              <w:jc w:val="center"/>
              <w:rPr>
                <w:b/>
                <w:color w:val="000000"/>
              </w:rPr>
            </w:pPr>
            <w:r w:rsidRPr="00A03144">
              <w:rPr>
                <w:b/>
                <w:bCs/>
              </w:rPr>
              <w:t>Numer jcwpd</w:t>
            </w:r>
          </w:p>
        </w:tc>
      </w:tr>
      <w:tr w:rsidR="00540FFD" w:rsidRPr="00BE4152" w14:paraId="6E59EAA9" w14:textId="77777777" w:rsidTr="00540FFD">
        <w:trPr>
          <w:trHeight w:val="454"/>
          <w:tblHeader/>
          <w:jc w:val="center"/>
        </w:trPr>
        <w:tc>
          <w:tcPr>
            <w:tcW w:w="1980" w:type="dxa"/>
            <w:shd w:val="clear" w:color="auto" w:fill="BFBFBF"/>
            <w:vAlign w:val="center"/>
          </w:tcPr>
          <w:p w14:paraId="7467F7DC" w14:textId="77777777" w:rsidR="00540FFD" w:rsidRPr="00CB6DB4" w:rsidRDefault="00540FFD" w:rsidP="001479C9">
            <w:pPr>
              <w:pStyle w:val="Tabela-tekst"/>
              <w:jc w:val="center"/>
              <w:rPr>
                <w:b/>
                <w:color w:val="000000"/>
              </w:rPr>
            </w:pPr>
            <w:r w:rsidRPr="00A03144">
              <w:rPr>
                <w:b/>
                <w:bCs/>
              </w:rPr>
              <w:t>Kod europejski</w:t>
            </w:r>
          </w:p>
        </w:tc>
        <w:tc>
          <w:tcPr>
            <w:tcW w:w="1984" w:type="dxa"/>
            <w:shd w:val="clear" w:color="auto" w:fill="BFBFBF"/>
            <w:vAlign w:val="center"/>
          </w:tcPr>
          <w:p w14:paraId="539C9D78" w14:textId="77777777" w:rsidR="00540FFD" w:rsidRPr="00CB6DB4" w:rsidRDefault="00540FFD" w:rsidP="001479C9">
            <w:pPr>
              <w:pStyle w:val="Tabela-tekst"/>
              <w:jc w:val="center"/>
              <w:rPr>
                <w:b/>
                <w:color w:val="000000"/>
              </w:rPr>
            </w:pPr>
            <w:r w:rsidRPr="00A03144">
              <w:rPr>
                <w:b/>
                <w:bCs/>
              </w:rPr>
              <w:t>Nazwa</w:t>
            </w:r>
          </w:p>
        </w:tc>
        <w:tc>
          <w:tcPr>
            <w:tcW w:w="2549" w:type="dxa"/>
            <w:shd w:val="clear" w:color="auto" w:fill="BFBFBF"/>
            <w:vAlign w:val="center"/>
          </w:tcPr>
          <w:p w14:paraId="73840656" w14:textId="77777777" w:rsidR="00540FFD" w:rsidRPr="00CB6DB4" w:rsidRDefault="00540FFD" w:rsidP="001479C9">
            <w:pPr>
              <w:pStyle w:val="Tabela-tekst"/>
              <w:jc w:val="center"/>
              <w:rPr>
                <w:b/>
                <w:color w:val="000000"/>
              </w:rPr>
            </w:pPr>
            <w:r w:rsidRPr="00A03144">
              <w:rPr>
                <w:b/>
                <w:bCs/>
              </w:rPr>
              <w:t>Stan dobry</w:t>
            </w:r>
          </w:p>
        </w:tc>
        <w:tc>
          <w:tcPr>
            <w:tcW w:w="2549" w:type="dxa"/>
            <w:shd w:val="clear" w:color="auto" w:fill="BFBFBF"/>
            <w:vAlign w:val="center"/>
          </w:tcPr>
          <w:p w14:paraId="2AF40469" w14:textId="77777777" w:rsidR="00540FFD" w:rsidRPr="00CB6DB4" w:rsidRDefault="00540FFD" w:rsidP="001479C9">
            <w:pPr>
              <w:pStyle w:val="Tabela-tekst"/>
              <w:jc w:val="center"/>
              <w:rPr>
                <w:b/>
                <w:color w:val="000000"/>
              </w:rPr>
            </w:pPr>
            <w:r w:rsidRPr="00A03144">
              <w:rPr>
                <w:b/>
                <w:bCs/>
              </w:rPr>
              <w:t>Stan słaby</w:t>
            </w:r>
          </w:p>
        </w:tc>
      </w:tr>
      <w:tr w:rsidR="00540FFD" w:rsidRPr="00BE4152" w14:paraId="22C7E13D" w14:textId="77777777" w:rsidTr="00540FFD">
        <w:trPr>
          <w:trHeight w:val="454"/>
          <w:jc w:val="center"/>
        </w:trPr>
        <w:tc>
          <w:tcPr>
            <w:tcW w:w="1980" w:type="dxa"/>
            <w:vAlign w:val="center"/>
          </w:tcPr>
          <w:p w14:paraId="0A8C5048" w14:textId="77777777" w:rsidR="00540FFD" w:rsidRPr="00BE4152" w:rsidRDefault="00540FFD" w:rsidP="001479C9">
            <w:pPr>
              <w:pStyle w:val="Tabela-tekst"/>
              <w:jc w:val="center"/>
            </w:pPr>
            <w:r>
              <w:t>7</w:t>
            </w:r>
            <w:r w:rsidRPr="00BE4152">
              <w:t>000</w:t>
            </w:r>
          </w:p>
        </w:tc>
        <w:tc>
          <w:tcPr>
            <w:tcW w:w="1984" w:type="dxa"/>
            <w:vAlign w:val="center"/>
          </w:tcPr>
          <w:p w14:paraId="43F08970" w14:textId="77777777" w:rsidR="00540FFD" w:rsidRPr="00BE4152" w:rsidRDefault="00540FFD" w:rsidP="001479C9">
            <w:pPr>
              <w:pStyle w:val="Tabela-tekst"/>
              <w:jc w:val="center"/>
            </w:pPr>
            <w:r>
              <w:t>Pregoła</w:t>
            </w:r>
          </w:p>
        </w:tc>
        <w:tc>
          <w:tcPr>
            <w:tcW w:w="2549" w:type="dxa"/>
            <w:vAlign w:val="center"/>
          </w:tcPr>
          <w:p w14:paraId="7CBB3130" w14:textId="77777777" w:rsidR="00540FFD" w:rsidRPr="00BE4152" w:rsidRDefault="00540FFD" w:rsidP="001479C9">
            <w:pPr>
              <w:pStyle w:val="Tabela-tekst"/>
              <w:jc w:val="center"/>
            </w:pPr>
            <w:r>
              <w:t>20, 21</w:t>
            </w:r>
          </w:p>
        </w:tc>
        <w:tc>
          <w:tcPr>
            <w:tcW w:w="2549" w:type="dxa"/>
            <w:vAlign w:val="center"/>
          </w:tcPr>
          <w:p w14:paraId="345B047C" w14:textId="77777777" w:rsidR="00540FFD" w:rsidRPr="00BE4152" w:rsidRDefault="00540FFD" w:rsidP="001479C9">
            <w:pPr>
              <w:pStyle w:val="Tabela-tekst"/>
              <w:jc w:val="center"/>
            </w:pPr>
            <w:r>
              <w:t>-</w:t>
            </w:r>
          </w:p>
        </w:tc>
      </w:tr>
      <w:tr w:rsidR="00540FFD" w:rsidRPr="00BE4152" w14:paraId="75DB5D0D" w14:textId="77777777" w:rsidTr="00540FFD">
        <w:trPr>
          <w:trHeight w:val="454"/>
          <w:jc w:val="center"/>
        </w:trPr>
        <w:tc>
          <w:tcPr>
            <w:tcW w:w="3964" w:type="dxa"/>
            <w:gridSpan w:val="2"/>
            <w:vAlign w:val="center"/>
          </w:tcPr>
          <w:p w14:paraId="36FB6BDA" w14:textId="102CA99C" w:rsidR="00540FFD" w:rsidRPr="00BE4152" w:rsidRDefault="00540FFD" w:rsidP="001479C9">
            <w:pPr>
              <w:pStyle w:val="Tabela-tekst"/>
              <w:jc w:val="center"/>
            </w:pPr>
            <w:r w:rsidRPr="00BE4152">
              <w:t>Liczba jcwpd</w:t>
            </w:r>
          </w:p>
        </w:tc>
        <w:tc>
          <w:tcPr>
            <w:tcW w:w="2549" w:type="dxa"/>
            <w:vAlign w:val="center"/>
          </w:tcPr>
          <w:p w14:paraId="73972E82" w14:textId="77777777" w:rsidR="00540FFD" w:rsidRPr="00BE4152" w:rsidRDefault="00540FFD" w:rsidP="001479C9">
            <w:pPr>
              <w:pStyle w:val="Tabela-tekst"/>
              <w:jc w:val="center"/>
            </w:pPr>
            <w:r>
              <w:t>2</w:t>
            </w:r>
          </w:p>
        </w:tc>
        <w:tc>
          <w:tcPr>
            <w:tcW w:w="2549" w:type="dxa"/>
            <w:vAlign w:val="center"/>
          </w:tcPr>
          <w:p w14:paraId="09E01D94" w14:textId="77777777" w:rsidR="00540FFD" w:rsidRPr="00BE4152" w:rsidRDefault="00540FFD" w:rsidP="001479C9">
            <w:pPr>
              <w:pStyle w:val="Tabela-tekst"/>
              <w:jc w:val="center"/>
            </w:pPr>
            <w:r>
              <w:t>-</w:t>
            </w:r>
          </w:p>
        </w:tc>
      </w:tr>
    </w:tbl>
    <w:p w14:paraId="7C78190B" w14:textId="77777777" w:rsidR="00B84032" w:rsidRDefault="00B84032" w:rsidP="00B84032">
      <w:pPr>
        <w:pStyle w:val="rdo0"/>
      </w:pPr>
      <w:r w:rsidRPr="002D0D68">
        <w:t xml:space="preserve">Źródło: opracowanie </w:t>
      </w:r>
      <w:r>
        <w:t>własne</w:t>
      </w:r>
    </w:p>
    <w:p w14:paraId="7B8DB4F4" w14:textId="071D34C9" w:rsidR="00EF3FD3" w:rsidRDefault="00643D60" w:rsidP="00643D60">
      <w:pPr>
        <w:suppressAutoHyphens/>
      </w:pPr>
      <w:r w:rsidRPr="00BE4152">
        <w:t xml:space="preserve">Poniżej w zestawieniach tabelarycznych znajdują się wyniki testów klasyfikacyjnych dla jcwpd zlokalizowanych w </w:t>
      </w:r>
      <w:r>
        <w:t xml:space="preserve">obszarze </w:t>
      </w:r>
      <w:r w:rsidRPr="00BE4152">
        <w:t>dorzecz</w:t>
      </w:r>
      <w:r>
        <w:t>a</w:t>
      </w:r>
      <w:r w:rsidRPr="00BE4152">
        <w:t xml:space="preserve"> </w:t>
      </w:r>
      <w:r>
        <w:t>Pregoły</w:t>
      </w:r>
      <w:r w:rsidRPr="00BE4152">
        <w:t xml:space="preserve"> w zakresie stanu chemicznego.</w:t>
      </w:r>
    </w:p>
    <w:p w14:paraId="0663F0F3" w14:textId="15A03A9C" w:rsidR="00643D60" w:rsidRPr="00CF21F7" w:rsidRDefault="00643D60" w:rsidP="006802BB">
      <w:pPr>
        <w:pStyle w:val="Tabela"/>
      </w:pPr>
      <w:bookmarkStart w:id="104" w:name="_Toc68726973"/>
      <w:r w:rsidRPr="00BE4152">
        <w:t xml:space="preserve">Tabela </w:t>
      </w:r>
      <w:fldSimple w:instr=" STYLEREF 1 \s ">
        <w:r w:rsidR="007B4050">
          <w:rPr>
            <w:noProof/>
          </w:rPr>
          <w:t>5</w:t>
        </w:r>
      </w:fldSimple>
      <w:r w:rsidR="007B4050">
        <w:noBreakHyphen/>
      </w:r>
      <w:fldSimple w:instr=" SEQ Tabela \* ARABIC \s 1 ">
        <w:r w:rsidR="007B4050">
          <w:rPr>
            <w:noProof/>
          </w:rPr>
          <w:t>21</w:t>
        </w:r>
      </w:fldSimple>
      <w:r>
        <w:tab/>
      </w:r>
      <w:r w:rsidRPr="00CF21F7">
        <w:t xml:space="preserve">Wyniki testu C.1 </w:t>
      </w:r>
      <w:r w:rsidR="00442AB7">
        <w:t>-</w:t>
      </w:r>
      <w:r w:rsidRPr="00CF21F7">
        <w:t xml:space="preserve"> Ogólna ocena stanu chemicznego jcwpd</w:t>
      </w:r>
      <w:bookmarkEnd w:id="104"/>
    </w:p>
    <w:tbl>
      <w:tblPr>
        <w:tblW w:w="902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0"/>
        <w:gridCol w:w="1250"/>
        <w:gridCol w:w="1153"/>
        <w:gridCol w:w="1862"/>
        <w:gridCol w:w="992"/>
        <w:gridCol w:w="1276"/>
        <w:gridCol w:w="1572"/>
      </w:tblGrid>
      <w:tr w:rsidR="00FE7CD2" w:rsidRPr="00BE4152" w14:paraId="6A7ECBEA" w14:textId="77777777" w:rsidTr="00FE7CD2">
        <w:trPr>
          <w:trHeight w:val="454"/>
          <w:tblHeader/>
        </w:trPr>
        <w:tc>
          <w:tcPr>
            <w:tcW w:w="920" w:type="dxa"/>
            <w:tcBorders>
              <w:bottom w:val="single" w:sz="4" w:space="0" w:color="auto"/>
            </w:tcBorders>
            <w:shd w:val="clear" w:color="auto" w:fill="BFBFBF" w:themeFill="background1" w:themeFillShade="BF"/>
            <w:vAlign w:val="center"/>
            <w:hideMark/>
          </w:tcPr>
          <w:p w14:paraId="431F5AF1" w14:textId="77777777" w:rsidR="00643D60" w:rsidRPr="008920E8" w:rsidRDefault="00643D60" w:rsidP="00E3348F">
            <w:pPr>
              <w:pStyle w:val="Tabela-tekst"/>
              <w:jc w:val="center"/>
              <w:rPr>
                <w:b/>
                <w:color w:val="000000"/>
              </w:rPr>
            </w:pPr>
            <w:r w:rsidRPr="00A03144">
              <w:rPr>
                <w:b/>
                <w:bCs/>
              </w:rPr>
              <w:t>Nazwa dorzecza</w:t>
            </w:r>
          </w:p>
        </w:tc>
        <w:tc>
          <w:tcPr>
            <w:tcW w:w="1250" w:type="dxa"/>
            <w:tcBorders>
              <w:bottom w:val="single" w:sz="4" w:space="0" w:color="auto"/>
            </w:tcBorders>
            <w:shd w:val="clear" w:color="auto" w:fill="BFBFBF" w:themeFill="background1" w:themeFillShade="BF"/>
            <w:vAlign w:val="center"/>
            <w:hideMark/>
          </w:tcPr>
          <w:p w14:paraId="24F0A007" w14:textId="220E00FA" w:rsidR="00643D60" w:rsidRPr="008920E8" w:rsidRDefault="00643D60" w:rsidP="00E3348F">
            <w:pPr>
              <w:pStyle w:val="Tabela-tekst"/>
              <w:jc w:val="center"/>
              <w:rPr>
                <w:b/>
                <w:color w:val="000000"/>
              </w:rPr>
            </w:pPr>
            <w:r w:rsidRPr="00A03144">
              <w:rPr>
                <w:b/>
                <w:bCs/>
              </w:rPr>
              <w:t xml:space="preserve">Powierzchnia </w:t>
            </w:r>
            <w:r w:rsidR="00680907">
              <w:rPr>
                <w:b/>
                <w:bCs/>
              </w:rPr>
              <w:t xml:space="preserve">jcwpd na obszarze </w:t>
            </w:r>
            <w:r w:rsidRPr="00A03144">
              <w:rPr>
                <w:b/>
                <w:bCs/>
              </w:rPr>
              <w:t xml:space="preserve">dorzecza </w:t>
            </w:r>
            <w:r w:rsidR="00FE7CD2">
              <w:rPr>
                <w:b/>
                <w:bCs/>
              </w:rPr>
              <w:t>(</w:t>
            </w:r>
            <w:r w:rsidRPr="00A03144">
              <w:rPr>
                <w:b/>
                <w:bCs/>
              </w:rPr>
              <w:t>km</w:t>
            </w:r>
            <w:r w:rsidRPr="008920E8">
              <w:rPr>
                <w:b/>
                <w:color w:val="000000"/>
                <w:vertAlign w:val="superscript"/>
              </w:rPr>
              <w:t>2</w:t>
            </w:r>
            <w:r w:rsidR="00FE7CD2" w:rsidRPr="00FE7CD2">
              <w:rPr>
                <w:b/>
                <w:color w:val="000000"/>
              </w:rPr>
              <w:t>)</w:t>
            </w:r>
          </w:p>
        </w:tc>
        <w:tc>
          <w:tcPr>
            <w:tcW w:w="1153" w:type="dxa"/>
            <w:shd w:val="clear" w:color="auto" w:fill="BFBFBF" w:themeFill="background1" w:themeFillShade="BF"/>
            <w:vAlign w:val="center"/>
            <w:hideMark/>
          </w:tcPr>
          <w:p w14:paraId="3E37E32B" w14:textId="77777777" w:rsidR="00643D60" w:rsidRPr="008920E8" w:rsidRDefault="00643D60" w:rsidP="00E3348F">
            <w:pPr>
              <w:pStyle w:val="Tabela-tekst"/>
              <w:jc w:val="center"/>
              <w:rPr>
                <w:b/>
                <w:color w:val="000000"/>
              </w:rPr>
            </w:pPr>
            <w:r w:rsidRPr="00A03144">
              <w:rPr>
                <w:b/>
                <w:bCs/>
              </w:rPr>
              <w:t>Wynik oceny stanu</w:t>
            </w:r>
          </w:p>
        </w:tc>
        <w:tc>
          <w:tcPr>
            <w:tcW w:w="1862" w:type="dxa"/>
            <w:shd w:val="clear" w:color="auto" w:fill="BFBFBF" w:themeFill="background1" w:themeFillShade="BF"/>
            <w:vAlign w:val="center"/>
            <w:hideMark/>
          </w:tcPr>
          <w:p w14:paraId="0112AC10" w14:textId="77777777" w:rsidR="00643D60" w:rsidRPr="008920E8" w:rsidRDefault="00643D60" w:rsidP="00E3348F">
            <w:pPr>
              <w:pStyle w:val="Tabela-tekst"/>
              <w:jc w:val="center"/>
              <w:rPr>
                <w:b/>
                <w:color w:val="000000"/>
              </w:rPr>
            </w:pPr>
            <w:r w:rsidRPr="00A03144">
              <w:rPr>
                <w:b/>
                <w:bCs/>
              </w:rPr>
              <w:t>Numery jcwpd</w:t>
            </w:r>
          </w:p>
        </w:tc>
        <w:tc>
          <w:tcPr>
            <w:tcW w:w="992" w:type="dxa"/>
            <w:shd w:val="clear" w:color="auto" w:fill="BFBFBF" w:themeFill="background1" w:themeFillShade="BF"/>
            <w:vAlign w:val="center"/>
            <w:hideMark/>
          </w:tcPr>
          <w:p w14:paraId="445F8135" w14:textId="77777777" w:rsidR="00643D60" w:rsidRPr="008920E8" w:rsidRDefault="00643D60" w:rsidP="00E3348F">
            <w:pPr>
              <w:pStyle w:val="Tabela-tekst"/>
              <w:jc w:val="center"/>
              <w:rPr>
                <w:b/>
                <w:color w:val="000000"/>
              </w:rPr>
            </w:pPr>
            <w:r w:rsidRPr="00A03144">
              <w:rPr>
                <w:b/>
                <w:bCs/>
              </w:rPr>
              <w:t>Liczba jcwpd</w:t>
            </w:r>
          </w:p>
        </w:tc>
        <w:tc>
          <w:tcPr>
            <w:tcW w:w="1276" w:type="dxa"/>
            <w:shd w:val="clear" w:color="auto" w:fill="BFBFBF" w:themeFill="background1" w:themeFillShade="BF"/>
            <w:vAlign w:val="center"/>
            <w:hideMark/>
          </w:tcPr>
          <w:p w14:paraId="1EECAC38" w14:textId="5500C69E" w:rsidR="00643D60" w:rsidRPr="008920E8" w:rsidRDefault="00643D60" w:rsidP="00E3348F">
            <w:pPr>
              <w:pStyle w:val="Tabela-tekst"/>
              <w:jc w:val="center"/>
              <w:rPr>
                <w:b/>
                <w:color w:val="000000"/>
              </w:rPr>
            </w:pPr>
            <w:r w:rsidRPr="00A03144">
              <w:rPr>
                <w:b/>
                <w:bCs/>
              </w:rPr>
              <w:t xml:space="preserve">Powierzchnia jcwpd </w:t>
            </w:r>
            <w:r w:rsidRPr="00A03144">
              <w:rPr>
                <w:b/>
                <w:bCs/>
              </w:rPr>
              <w:br/>
            </w:r>
            <w:r w:rsidR="00FE7CD2">
              <w:rPr>
                <w:b/>
                <w:bCs/>
              </w:rPr>
              <w:t>(</w:t>
            </w:r>
            <w:r w:rsidRPr="00A03144">
              <w:rPr>
                <w:b/>
                <w:bCs/>
              </w:rPr>
              <w:t>km</w:t>
            </w:r>
            <w:r w:rsidRPr="008920E8">
              <w:rPr>
                <w:b/>
                <w:color w:val="000000"/>
                <w:vertAlign w:val="superscript"/>
              </w:rPr>
              <w:t>2</w:t>
            </w:r>
            <w:r w:rsidR="00FE7CD2" w:rsidRPr="00FE7CD2">
              <w:rPr>
                <w:b/>
                <w:color w:val="000000"/>
              </w:rPr>
              <w:t>)</w:t>
            </w:r>
          </w:p>
        </w:tc>
        <w:tc>
          <w:tcPr>
            <w:tcW w:w="1572" w:type="dxa"/>
            <w:shd w:val="clear" w:color="auto" w:fill="BFBFBF" w:themeFill="background1" w:themeFillShade="BF"/>
            <w:vAlign w:val="center"/>
            <w:hideMark/>
          </w:tcPr>
          <w:p w14:paraId="789796BD" w14:textId="54A18CB7" w:rsidR="00643D60" w:rsidRPr="008920E8" w:rsidRDefault="00FE7CD2" w:rsidP="00E3348F">
            <w:pPr>
              <w:pStyle w:val="Tabela-tekst"/>
              <w:jc w:val="center"/>
              <w:rPr>
                <w:b/>
                <w:color w:val="000000"/>
              </w:rPr>
            </w:pPr>
            <w:r>
              <w:rPr>
                <w:b/>
                <w:bCs/>
              </w:rPr>
              <w:t xml:space="preserve">Udział w </w:t>
            </w:r>
            <w:r w:rsidR="00643D60" w:rsidRPr="00A03144">
              <w:rPr>
                <w:b/>
                <w:bCs/>
              </w:rPr>
              <w:t xml:space="preserve">powierzchni </w:t>
            </w:r>
            <w:r w:rsidR="00680907">
              <w:rPr>
                <w:b/>
                <w:bCs/>
              </w:rPr>
              <w:t xml:space="preserve">jcwpd na </w:t>
            </w:r>
            <w:r>
              <w:rPr>
                <w:b/>
                <w:bCs/>
              </w:rPr>
              <w:t>obszar</w:t>
            </w:r>
            <w:r w:rsidR="00680907">
              <w:rPr>
                <w:b/>
                <w:bCs/>
              </w:rPr>
              <w:t>ze</w:t>
            </w:r>
            <w:r>
              <w:rPr>
                <w:b/>
                <w:bCs/>
              </w:rPr>
              <w:t xml:space="preserve"> </w:t>
            </w:r>
            <w:r w:rsidR="00643D60" w:rsidRPr="00A03144">
              <w:rPr>
                <w:b/>
                <w:bCs/>
              </w:rPr>
              <w:t>dorzecza</w:t>
            </w:r>
            <w:r>
              <w:rPr>
                <w:b/>
                <w:bCs/>
              </w:rPr>
              <w:t xml:space="preserve"> (%)</w:t>
            </w:r>
          </w:p>
        </w:tc>
      </w:tr>
      <w:tr w:rsidR="00FE7CD2" w:rsidRPr="00BE4152" w14:paraId="4AF805AE" w14:textId="77777777" w:rsidTr="00FE7CD2">
        <w:trPr>
          <w:trHeight w:val="454"/>
        </w:trPr>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1C892" w14:textId="77777777" w:rsidR="00643D60" w:rsidRPr="008920E8" w:rsidRDefault="00643D60" w:rsidP="00E3348F">
            <w:pPr>
              <w:pStyle w:val="Tabela-tekst"/>
              <w:jc w:val="center"/>
              <w:rPr>
                <w:color w:val="000000"/>
              </w:rP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58467B" w14:textId="77777777" w:rsidR="00643D60" w:rsidRPr="008920E8" w:rsidRDefault="00643D60" w:rsidP="00E3348F">
            <w:pPr>
              <w:pStyle w:val="Tabela-tekst"/>
              <w:jc w:val="center"/>
              <w:rPr>
                <w:color w:val="000000"/>
              </w:rPr>
            </w:pPr>
            <w:r>
              <w:t>7 512</w:t>
            </w:r>
            <w:r w:rsidRPr="00BE4152">
              <w:rPr>
                <w:color w:val="000000"/>
              </w:rPr>
              <w:t>,</w:t>
            </w:r>
            <w:r>
              <w:rPr>
                <w:color w:val="000000"/>
              </w:rPr>
              <w:t>31</w:t>
            </w:r>
          </w:p>
        </w:tc>
        <w:tc>
          <w:tcPr>
            <w:tcW w:w="1153" w:type="dxa"/>
            <w:tcBorders>
              <w:left w:val="single" w:sz="4" w:space="0" w:color="auto"/>
            </w:tcBorders>
            <w:shd w:val="clear" w:color="000000" w:fill="92D050"/>
            <w:vAlign w:val="center"/>
            <w:hideMark/>
          </w:tcPr>
          <w:p w14:paraId="1494B46D" w14:textId="77777777" w:rsidR="00643D60" w:rsidRPr="008920E8" w:rsidRDefault="00643D60" w:rsidP="00E3348F">
            <w:pPr>
              <w:pStyle w:val="Tabela-tekst"/>
              <w:jc w:val="center"/>
              <w:rPr>
                <w:color w:val="000000"/>
              </w:rPr>
            </w:pPr>
            <w:r w:rsidRPr="008920E8">
              <w:t>stan dobry</w:t>
            </w:r>
          </w:p>
        </w:tc>
        <w:tc>
          <w:tcPr>
            <w:tcW w:w="1862" w:type="dxa"/>
            <w:shd w:val="clear" w:color="auto" w:fill="auto"/>
            <w:vAlign w:val="center"/>
            <w:hideMark/>
          </w:tcPr>
          <w:p w14:paraId="27DA87F9" w14:textId="77777777" w:rsidR="00643D60" w:rsidRPr="00DD6CD7" w:rsidRDefault="00643D60" w:rsidP="00E3348F">
            <w:pPr>
              <w:pStyle w:val="Tabela-tekst"/>
              <w:jc w:val="center"/>
              <w:rPr>
                <w:sz w:val="18"/>
                <w:szCs w:val="18"/>
              </w:rPr>
            </w:pPr>
            <w:r>
              <w:rPr>
                <w:sz w:val="18"/>
                <w:szCs w:val="18"/>
              </w:rPr>
              <w:t>20, 21</w:t>
            </w:r>
          </w:p>
        </w:tc>
        <w:tc>
          <w:tcPr>
            <w:tcW w:w="992" w:type="dxa"/>
            <w:shd w:val="clear" w:color="auto" w:fill="auto"/>
            <w:vAlign w:val="center"/>
            <w:hideMark/>
          </w:tcPr>
          <w:p w14:paraId="059F3526" w14:textId="77777777" w:rsidR="00643D60" w:rsidRPr="00DD6CD7" w:rsidRDefault="00643D60" w:rsidP="00E3348F">
            <w:pPr>
              <w:pStyle w:val="Tabela-tekst"/>
              <w:jc w:val="center"/>
              <w:rPr>
                <w:sz w:val="18"/>
                <w:szCs w:val="18"/>
              </w:rPr>
            </w:pPr>
            <w:r>
              <w:rPr>
                <w:sz w:val="18"/>
                <w:szCs w:val="18"/>
              </w:rPr>
              <w:t>2</w:t>
            </w:r>
          </w:p>
        </w:tc>
        <w:tc>
          <w:tcPr>
            <w:tcW w:w="1276" w:type="dxa"/>
            <w:shd w:val="clear" w:color="auto" w:fill="auto"/>
            <w:vAlign w:val="center"/>
            <w:hideMark/>
          </w:tcPr>
          <w:p w14:paraId="47C6B68A" w14:textId="77777777" w:rsidR="00643D60" w:rsidRPr="00DD6CD7" w:rsidRDefault="00643D60" w:rsidP="00E3348F">
            <w:pPr>
              <w:pStyle w:val="Tabela-tekst"/>
              <w:jc w:val="center"/>
              <w:rPr>
                <w:sz w:val="18"/>
                <w:szCs w:val="18"/>
              </w:rPr>
            </w:pPr>
            <w:r>
              <w:t>7 512</w:t>
            </w:r>
            <w:r w:rsidRPr="00BE4152">
              <w:rPr>
                <w:color w:val="000000"/>
              </w:rPr>
              <w:t>,</w:t>
            </w:r>
            <w:r>
              <w:rPr>
                <w:color w:val="000000"/>
              </w:rPr>
              <w:t>31</w:t>
            </w:r>
          </w:p>
        </w:tc>
        <w:tc>
          <w:tcPr>
            <w:tcW w:w="1572" w:type="dxa"/>
            <w:shd w:val="clear" w:color="auto" w:fill="auto"/>
            <w:vAlign w:val="center"/>
            <w:hideMark/>
          </w:tcPr>
          <w:p w14:paraId="2D55ADC4" w14:textId="2CDB27E5" w:rsidR="00643D60" w:rsidRPr="00DD6CD7" w:rsidRDefault="00643D60" w:rsidP="00E3348F">
            <w:pPr>
              <w:pStyle w:val="Tabela-tekst"/>
              <w:jc w:val="center"/>
              <w:rPr>
                <w:sz w:val="18"/>
                <w:szCs w:val="18"/>
              </w:rPr>
            </w:pPr>
            <w:r>
              <w:rPr>
                <w:sz w:val="18"/>
                <w:szCs w:val="18"/>
              </w:rPr>
              <w:t>100,00</w:t>
            </w:r>
          </w:p>
        </w:tc>
      </w:tr>
      <w:tr w:rsidR="00FE7CD2" w:rsidRPr="00BE4152" w14:paraId="50DB2012" w14:textId="77777777" w:rsidTr="00FE7CD2">
        <w:trPr>
          <w:trHeight w:val="454"/>
        </w:trPr>
        <w:tc>
          <w:tcPr>
            <w:tcW w:w="920" w:type="dxa"/>
            <w:vMerge/>
            <w:tcBorders>
              <w:top w:val="single" w:sz="4" w:space="0" w:color="auto"/>
              <w:left w:val="single" w:sz="4" w:space="0" w:color="auto"/>
              <w:bottom w:val="single" w:sz="4" w:space="0" w:color="auto"/>
              <w:right w:val="single" w:sz="4" w:space="0" w:color="auto"/>
            </w:tcBorders>
            <w:vAlign w:val="center"/>
            <w:hideMark/>
          </w:tcPr>
          <w:p w14:paraId="27FEB702" w14:textId="77777777" w:rsidR="00643D60" w:rsidRPr="008920E8" w:rsidRDefault="00643D60" w:rsidP="00EF3FD3">
            <w:pPr>
              <w:pStyle w:val="Tabela-tekst"/>
              <w:spacing w:before="0" w:after="0"/>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71BF968C" w14:textId="77777777" w:rsidR="00643D60" w:rsidRPr="008920E8" w:rsidRDefault="00643D60" w:rsidP="00EF3FD3">
            <w:pPr>
              <w:pStyle w:val="Tabela-tekst"/>
              <w:spacing w:before="0" w:after="0"/>
              <w:jc w:val="center"/>
            </w:pPr>
          </w:p>
        </w:tc>
        <w:tc>
          <w:tcPr>
            <w:tcW w:w="1153" w:type="dxa"/>
            <w:tcBorders>
              <w:left w:val="single" w:sz="4" w:space="0" w:color="auto"/>
            </w:tcBorders>
            <w:shd w:val="clear" w:color="000000" w:fill="FF0000"/>
            <w:noWrap/>
            <w:vAlign w:val="center"/>
            <w:hideMark/>
          </w:tcPr>
          <w:p w14:paraId="5DFF7C5B" w14:textId="77777777" w:rsidR="00643D60" w:rsidRPr="008920E8" w:rsidRDefault="00643D60" w:rsidP="00EF3FD3">
            <w:pPr>
              <w:pStyle w:val="Tabela-tekst"/>
              <w:spacing w:before="0" w:after="0"/>
              <w:jc w:val="center"/>
              <w:rPr>
                <w:color w:val="000000"/>
              </w:rPr>
            </w:pPr>
            <w:r w:rsidRPr="008920E8">
              <w:t xml:space="preserve">stan </w:t>
            </w:r>
            <w:r w:rsidRPr="008920E8">
              <w:rPr>
                <w:color w:val="000000"/>
              </w:rPr>
              <w:t>słaby</w:t>
            </w:r>
          </w:p>
        </w:tc>
        <w:tc>
          <w:tcPr>
            <w:tcW w:w="1862" w:type="dxa"/>
            <w:shd w:val="clear" w:color="auto" w:fill="auto"/>
            <w:vAlign w:val="center"/>
            <w:hideMark/>
          </w:tcPr>
          <w:p w14:paraId="2D52A6DF" w14:textId="77777777" w:rsidR="00643D60" w:rsidRPr="00DD6CD7" w:rsidRDefault="00643D60" w:rsidP="00EF3FD3">
            <w:pPr>
              <w:pStyle w:val="Tabela-tekst"/>
              <w:spacing w:before="0" w:after="0"/>
              <w:jc w:val="center"/>
              <w:rPr>
                <w:sz w:val="18"/>
                <w:szCs w:val="18"/>
              </w:rPr>
            </w:pPr>
            <w:r>
              <w:rPr>
                <w:sz w:val="18"/>
                <w:szCs w:val="18"/>
              </w:rPr>
              <w:t>-</w:t>
            </w:r>
          </w:p>
        </w:tc>
        <w:tc>
          <w:tcPr>
            <w:tcW w:w="992" w:type="dxa"/>
            <w:shd w:val="clear" w:color="auto" w:fill="auto"/>
            <w:vAlign w:val="center"/>
            <w:hideMark/>
          </w:tcPr>
          <w:p w14:paraId="56D87D7F" w14:textId="77777777" w:rsidR="00643D60" w:rsidRPr="00DD6CD7" w:rsidRDefault="00643D60" w:rsidP="00EF3FD3">
            <w:pPr>
              <w:pStyle w:val="Tabela-tekst"/>
              <w:spacing w:before="0" w:after="0"/>
              <w:jc w:val="center"/>
              <w:rPr>
                <w:sz w:val="18"/>
                <w:szCs w:val="18"/>
              </w:rPr>
            </w:pPr>
            <w:r w:rsidRPr="00D527F3">
              <w:rPr>
                <w:sz w:val="18"/>
                <w:szCs w:val="18"/>
              </w:rPr>
              <w:t>-</w:t>
            </w:r>
          </w:p>
        </w:tc>
        <w:tc>
          <w:tcPr>
            <w:tcW w:w="1276" w:type="dxa"/>
            <w:shd w:val="clear" w:color="auto" w:fill="auto"/>
            <w:vAlign w:val="center"/>
            <w:hideMark/>
          </w:tcPr>
          <w:p w14:paraId="4A534BBA" w14:textId="77777777" w:rsidR="00643D60" w:rsidRPr="00DD6CD7" w:rsidRDefault="00643D60" w:rsidP="00EF3FD3">
            <w:pPr>
              <w:pStyle w:val="Tabela-tekst"/>
              <w:spacing w:before="0" w:after="0"/>
              <w:jc w:val="center"/>
              <w:rPr>
                <w:sz w:val="18"/>
                <w:szCs w:val="18"/>
              </w:rPr>
            </w:pPr>
            <w:r w:rsidRPr="00D527F3">
              <w:rPr>
                <w:sz w:val="18"/>
                <w:szCs w:val="18"/>
              </w:rPr>
              <w:t>-</w:t>
            </w:r>
          </w:p>
        </w:tc>
        <w:tc>
          <w:tcPr>
            <w:tcW w:w="1572" w:type="dxa"/>
            <w:shd w:val="clear" w:color="auto" w:fill="auto"/>
            <w:vAlign w:val="center"/>
            <w:hideMark/>
          </w:tcPr>
          <w:p w14:paraId="788CE932" w14:textId="77777777" w:rsidR="00643D60" w:rsidRPr="00DD6CD7" w:rsidRDefault="00643D60" w:rsidP="00EF3FD3">
            <w:pPr>
              <w:pStyle w:val="Tabela-tekst"/>
              <w:spacing w:before="0" w:after="0"/>
              <w:jc w:val="center"/>
              <w:rPr>
                <w:sz w:val="18"/>
                <w:szCs w:val="18"/>
              </w:rPr>
            </w:pPr>
            <w:r w:rsidRPr="00D527F3">
              <w:rPr>
                <w:sz w:val="18"/>
                <w:szCs w:val="18"/>
              </w:rPr>
              <w:t>-</w:t>
            </w:r>
          </w:p>
        </w:tc>
      </w:tr>
    </w:tbl>
    <w:p w14:paraId="2665A7B8" w14:textId="77777777" w:rsidR="00B84032" w:rsidRDefault="00B84032" w:rsidP="00EF3FD3">
      <w:pPr>
        <w:pStyle w:val="rdo0"/>
        <w:spacing w:before="0" w:after="0"/>
      </w:pPr>
      <w:r w:rsidRPr="002D0D68">
        <w:t xml:space="preserve">Źródło: opracowanie </w:t>
      </w:r>
      <w:r>
        <w:t>własne</w:t>
      </w:r>
    </w:p>
    <w:p w14:paraId="016A2497" w14:textId="476AF8A9" w:rsidR="00643D60" w:rsidRDefault="00643D60" w:rsidP="006802BB">
      <w:pPr>
        <w:pStyle w:val="Tabela"/>
      </w:pPr>
      <w:bookmarkStart w:id="105" w:name="_Toc68726974"/>
      <w:r w:rsidRPr="00BE4152">
        <w:t xml:space="preserve">Tabela </w:t>
      </w:r>
      <w:fldSimple w:instr=" STYLEREF 1 \s ">
        <w:r w:rsidR="007B4050">
          <w:rPr>
            <w:noProof/>
          </w:rPr>
          <w:t>5</w:t>
        </w:r>
      </w:fldSimple>
      <w:r w:rsidR="007B4050">
        <w:noBreakHyphen/>
      </w:r>
      <w:fldSimple w:instr=" SEQ Tabela \* ARABIC \s 1 ">
        <w:r w:rsidR="007B4050">
          <w:rPr>
            <w:noProof/>
          </w:rPr>
          <w:t>22</w:t>
        </w:r>
      </w:fldSimple>
      <w:r>
        <w:tab/>
      </w:r>
      <w:r w:rsidRPr="00C23E9C">
        <w:t xml:space="preserve">Wyniki testu C.2/I.2 </w:t>
      </w:r>
      <w:r w:rsidR="00442AB7">
        <w:t>-</w:t>
      </w:r>
      <w:r w:rsidRPr="00C23E9C">
        <w:t xml:space="preserve"> Ocena wpływu ingresji i ascenzji wód słonych lub innych zdegradowanych na stan wód podziemnych</w:t>
      </w:r>
      <w:bookmarkEnd w:id="105"/>
    </w:p>
    <w:tbl>
      <w:tblPr>
        <w:tblW w:w="902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0"/>
        <w:gridCol w:w="1250"/>
        <w:gridCol w:w="1153"/>
        <w:gridCol w:w="1862"/>
        <w:gridCol w:w="992"/>
        <w:gridCol w:w="1276"/>
        <w:gridCol w:w="1572"/>
      </w:tblGrid>
      <w:tr w:rsidR="00FE7CD2" w:rsidRPr="00BE4152" w14:paraId="7361E6E1" w14:textId="77777777" w:rsidTr="00FE7CD2">
        <w:trPr>
          <w:trHeight w:val="454"/>
          <w:tblHeader/>
        </w:trPr>
        <w:tc>
          <w:tcPr>
            <w:tcW w:w="920" w:type="dxa"/>
            <w:tcBorders>
              <w:bottom w:val="single" w:sz="4" w:space="0" w:color="auto"/>
            </w:tcBorders>
            <w:shd w:val="clear" w:color="auto" w:fill="BFBFBF"/>
            <w:vAlign w:val="center"/>
            <w:hideMark/>
          </w:tcPr>
          <w:p w14:paraId="600A645C" w14:textId="77777777" w:rsidR="00FE7CD2" w:rsidRPr="008920E8" w:rsidRDefault="00FE7CD2" w:rsidP="00FE7CD2">
            <w:pPr>
              <w:pStyle w:val="Tabela-tekst"/>
              <w:jc w:val="center"/>
              <w:rPr>
                <w:b/>
                <w:color w:val="000000"/>
              </w:rPr>
            </w:pPr>
            <w:r w:rsidRPr="00A03144">
              <w:rPr>
                <w:b/>
                <w:bCs/>
              </w:rPr>
              <w:t>Nazwa dorzecza</w:t>
            </w:r>
          </w:p>
        </w:tc>
        <w:tc>
          <w:tcPr>
            <w:tcW w:w="1250" w:type="dxa"/>
            <w:tcBorders>
              <w:bottom w:val="single" w:sz="4" w:space="0" w:color="auto"/>
            </w:tcBorders>
            <w:shd w:val="clear" w:color="auto" w:fill="BFBFBF"/>
            <w:vAlign w:val="center"/>
            <w:hideMark/>
          </w:tcPr>
          <w:p w14:paraId="09B8FD69" w14:textId="29A233A4" w:rsidR="00FE7CD2" w:rsidRPr="008920E8" w:rsidRDefault="00FE7CD2" w:rsidP="00FE7CD2">
            <w:pPr>
              <w:pStyle w:val="Tabela-tekst"/>
              <w:jc w:val="center"/>
              <w:rPr>
                <w:b/>
                <w:color w:val="000000"/>
              </w:rPr>
            </w:pPr>
            <w:r w:rsidRPr="00A03144">
              <w:rPr>
                <w:b/>
                <w:bCs/>
              </w:rPr>
              <w:t>Powierzchnia</w:t>
            </w:r>
            <w:r w:rsidR="00680907">
              <w:rPr>
                <w:b/>
                <w:bCs/>
              </w:rPr>
              <w:t xml:space="preserve"> jcwpd na obszarze</w:t>
            </w:r>
            <w:r w:rsidRPr="00A03144">
              <w:rPr>
                <w:b/>
                <w:bCs/>
              </w:rPr>
              <w:t xml:space="preserve"> dorzecza </w:t>
            </w:r>
            <w:r>
              <w:rPr>
                <w:b/>
                <w:bCs/>
              </w:rPr>
              <w:t>(</w:t>
            </w:r>
            <w:r w:rsidRPr="00A03144">
              <w:rPr>
                <w:b/>
                <w:bCs/>
              </w:rPr>
              <w:t>km</w:t>
            </w:r>
            <w:r w:rsidRPr="008920E8">
              <w:rPr>
                <w:b/>
                <w:color w:val="000000"/>
                <w:vertAlign w:val="superscript"/>
              </w:rPr>
              <w:t>2</w:t>
            </w:r>
            <w:r w:rsidRPr="00FE7CD2">
              <w:rPr>
                <w:b/>
                <w:color w:val="000000"/>
              </w:rPr>
              <w:t>)</w:t>
            </w:r>
          </w:p>
        </w:tc>
        <w:tc>
          <w:tcPr>
            <w:tcW w:w="1153" w:type="dxa"/>
            <w:shd w:val="clear" w:color="auto" w:fill="BFBFBF"/>
            <w:vAlign w:val="center"/>
            <w:hideMark/>
          </w:tcPr>
          <w:p w14:paraId="18DE57E0" w14:textId="77777777" w:rsidR="00FE7CD2" w:rsidRPr="008920E8" w:rsidRDefault="00FE7CD2" w:rsidP="00FE7CD2">
            <w:pPr>
              <w:pStyle w:val="Tabela-tekst"/>
              <w:jc w:val="center"/>
              <w:rPr>
                <w:b/>
                <w:color w:val="000000"/>
              </w:rPr>
            </w:pPr>
            <w:r w:rsidRPr="00A03144">
              <w:rPr>
                <w:b/>
                <w:bCs/>
              </w:rPr>
              <w:t xml:space="preserve">Wynik oceny </w:t>
            </w:r>
            <w:r w:rsidRPr="008920E8">
              <w:rPr>
                <w:b/>
                <w:color w:val="000000"/>
              </w:rPr>
              <w:t>stanu</w:t>
            </w:r>
          </w:p>
        </w:tc>
        <w:tc>
          <w:tcPr>
            <w:tcW w:w="1862" w:type="dxa"/>
            <w:shd w:val="clear" w:color="auto" w:fill="BFBFBF"/>
            <w:vAlign w:val="center"/>
            <w:hideMark/>
          </w:tcPr>
          <w:p w14:paraId="24DDDEBB" w14:textId="77777777" w:rsidR="00FE7CD2" w:rsidRPr="008920E8" w:rsidRDefault="00FE7CD2" w:rsidP="00FE7CD2">
            <w:pPr>
              <w:pStyle w:val="Tabela-tekst"/>
              <w:jc w:val="center"/>
              <w:rPr>
                <w:b/>
                <w:color w:val="000000"/>
              </w:rPr>
            </w:pPr>
            <w:r w:rsidRPr="00A03144">
              <w:rPr>
                <w:b/>
                <w:bCs/>
              </w:rPr>
              <w:t>Numery jcwpd</w:t>
            </w:r>
          </w:p>
        </w:tc>
        <w:tc>
          <w:tcPr>
            <w:tcW w:w="992" w:type="dxa"/>
            <w:shd w:val="clear" w:color="auto" w:fill="BFBFBF"/>
            <w:vAlign w:val="center"/>
            <w:hideMark/>
          </w:tcPr>
          <w:p w14:paraId="6EB661CE" w14:textId="77777777" w:rsidR="00FE7CD2" w:rsidRPr="008920E8" w:rsidRDefault="00FE7CD2" w:rsidP="00FE7CD2">
            <w:pPr>
              <w:pStyle w:val="Tabela-tekst"/>
              <w:jc w:val="center"/>
              <w:rPr>
                <w:b/>
                <w:color w:val="000000"/>
              </w:rPr>
            </w:pPr>
            <w:r w:rsidRPr="00A03144">
              <w:rPr>
                <w:b/>
                <w:bCs/>
              </w:rPr>
              <w:t>Liczba jcwpd</w:t>
            </w:r>
          </w:p>
        </w:tc>
        <w:tc>
          <w:tcPr>
            <w:tcW w:w="1276" w:type="dxa"/>
            <w:shd w:val="clear" w:color="auto" w:fill="BFBFBF"/>
            <w:vAlign w:val="center"/>
            <w:hideMark/>
          </w:tcPr>
          <w:p w14:paraId="65D30CAD" w14:textId="52B044AE" w:rsidR="00FE7CD2" w:rsidRPr="008920E8" w:rsidRDefault="00FE7CD2" w:rsidP="00FE7CD2">
            <w:pPr>
              <w:pStyle w:val="Tabela-tekst"/>
              <w:jc w:val="center"/>
              <w:rPr>
                <w:b/>
                <w:color w:val="000000"/>
              </w:rPr>
            </w:pPr>
            <w:r w:rsidRPr="00A03144">
              <w:rPr>
                <w:b/>
                <w:bCs/>
              </w:rPr>
              <w:t xml:space="preserve">Powierzchnia jcwpd </w:t>
            </w:r>
            <w:r w:rsidRPr="00A03144">
              <w:rPr>
                <w:b/>
                <w:bCs/>
              </w:rPr>
              <w:br/>
            </w:r>
            <w:r>
              <w:rPr>
                <w:b/>
                <w:bCs/>
              </w:rPr>
              <w:t>(</w:t>
            </w:r>
            <w:r w:rsidRPr="00A03144">
              <w:rPr>
                <w:b/>
                <w:bCs/>
              </w:rPr>
              <w:t>km</w:t>
            </w:r>
            <w:r w:rsidRPr="008920E8">
              <w:rPr>
                <w:b/>
                <w:color w:val="000000"/>
                <w:vertAlign w:val="superscript"/>
              </w:rPr>
              <w:t>2</w:t>
            </w:r>
            <w:r w:rsidRPr="00FE7CD2">
              <w:rPr>
                <w:b/>
                <w:color w:val="000000"/>
              </w:rPr>
              <w:t>)</w:t>
            </w:r>
          </w:p>
        </w:tc>
        <w:tc>
          <w:tcPr>
            <w:tcW w:w="1572" w:type="dxa"/>
            <w:shd w:val="clear" w:color="auto" w:fill="BFBFBF"/>
            <w:vAlign w:val="center"/>
            <w:hideMark/>
          </w:tcPr>
          <w:p w14:paraId="6C9A37F7" w14:textId="2BB745D2" w:rsidR="00FE7CD2" w:rsidRPr="008920E8" w:rsidRDefault="00FE7CD2" w:rsidP="00FE7CD2">
            <w:pPr>
              <w:pStyle w:val="Tabela-tekst"/>
              <w:jc w:val="center"/>
              <w:rPr>
                <w:b/>
                <w:color w:val="000000"/>
              </w:rPr>
            </w:pPr>
            <w:r>
              <w:rPr>
                <w:b/>
                <w:bCs/>
              </w:rPr>
              <w:t xml:space="preserve">Udział w </w:t>
            </w:r>
            <w:r w:rsidRPr="00A03144">
              <w:rPr>
                <w:b/>
                <w:bCs/>
              </w:rPr>
              <w:t xml:space="preserve">powierzchni </w:t>
            </w:r>
            <w:r w:rsidR="00680907">
              <w:rPr>
                <w:b/>
                <w:bCs/>
              </w:rPr>
              <w:t>jcwpd na obszarze</w:t>
            </w:r>
            <w:r>
              <w:rPr>
                <w:b/>
                <w:bCs/>
              </w:rPr>
              <w:t xml:space="preserve"> </w:t>
            </w:r>
            <w:r w:rsidRPr="00A03144">
              <w:rPr>
                <w:b/>
                <w:bCs/>
              </w:rPr>
              <w:t>dorzecza</w:t>
            </w:r>
            <w:r>
              <w:rPr>
                <w:b/>
                <w:bCs/>
              </w:rPr>
              <w:t xml:space="preserve"> (%)</w:t>
            </w:r>
          </w:p>
        </w:tc>
      </w:tr>
      <w:tr w:rsidR="00643D60" w:rsidRPr="00BE4152" w14:paraId="4494B5A1" w14:textId="77777777" w:rsidTr="00FE7CD2">
        <w:trPr>
          <w:trHeight w:val="454"/>
        </w:trPr>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E3322A" w14:textId="77777777" w:rsidR="00643D60" w:rsidRPr="008920E8" w:rsidRDefault="00643D60" w:rsidP="00E3348F">
            <w:pPr>
              <w:pStyle w:val="Tabela-tekst"/>
              <w:jc w:val="center"/>
              <w:rPr>
                <w:color w:val="000000"/>
              </w:rP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082270" w14:textId="77777777" w:rsidR="00643D60" w:rsidRPr="008920E8" w:rsidRDefault="00643D60" w:rsidP="00E3348F">
            <w:pPr>
              <w:pStyle w:val="Tabela-tekst"/>
              <w:jc w:val="center"/>
              <w:rPr>
                <w:color w:val="000000"/>
              </w:rPr>
            </w:pPr>
            <w:r>
              <w:t>7 512</w:t>
            </w:r>
            <w:r w:rsidRPr="00BE4152">
              <w:rPr>
                <w:color w:val="000000"/>
              </w:rPr>
              <w:t>,</w:t>
            </w:r>
            <w:r>
              <w:rPr>
                <w:color w:val="000000"/>
              </w:rPr>
              <w:t>31</w:t>
            </w:r>
          </w:p>
        </w:tc>
        <w:tc>
          <w:tcPr>
            <w:tcW w:w="1153" w:type="dxa"/>
            <w:tcBorders>
              <w:left w:val="single" w:sz="4" w:space="0" w:color="auto"/>
            </w:tcBorders>
            <w:shd w:val="clear" w:color="000000" w:fill="92D050"/>
            <w:vAlign w:val="center"/>
            <w:hideMark/>
          </w:tcPr>
          <w:p w14:paraId="331E10D5" w14:textId="77777777" w:rsidR="00643D60" w:rsidRPr="008920E8" w:rsidRDefault="00643D60" w:rsidP="00E3348F">
            <w:pPr>
              <w:pStyle w:val="Tabela-tekst"/>
              <w:jc w:val="center"/>
              <w:rPr>
                <w:color w:val="000000"/>
              </w:rPr>
            </w:pPr>
            <w:r w:rsidRPr="008920E8">
              <w:t>stan dobry</w:t>
            </w:r>
          </w:p>
        </w:tc>
        <w:tc>
          <w:tcPr>
            <w:tcW w:w="1862" w:type="dxa"/>
            <w:shd w:val="clear" w:color="auto" w:fill="auto"/>
            <w:vAlign w:val="center"/>
            <w:hideMark/>
          </w:tcPr>
          <w:p w14:paraId="237895AB" w14:textId="77777777" w:rsidR="00643D60" w:rsidRPr="00DD6CD7" w:rsidRDefault="00643D60" w:rsidP="00E3348F">
            <w:pPr>
              <w:pStyle w:val="Tabela-tekst"/>
              <w:jc w:val="center"/>
              <w:rPr>
                <w:sz w:val="18"/>
                <w:szCs w:val="18"/>
              </w:rPr>
            </w:pPr>
            <w:r>
              <w:rPr>
                <w:sz w:val="18"/>
                <w:szCs w:val="18"/>
              </w:rPr>
              <w:t>20, 21</w:t>
            </w:r>
          </w:p>
        </w:tc>
        <w:tc>
          <w:tcPr>
            <w:tcW w:w="992" w:type="dxa"/>
            <w:shd w:val="clear" w:color="auto" w:fill="auto"/>
            <w:vAlign w:val="center"/>
            <w:hideMark/>
          </w:tcPr>
          <w:p w14:paraId="6412963D" w14:textId="77777777" w:rsidR="00643D60" w:rsidRPr="00DD6CD7" w:rsidRDefault="00643D60" w:rsidP="00E3348F">
            <w:pPr>
              <w:pStyle w:val="Tabela-tekst"/>
              <w:jc w:val="center"/>
              <w:rPr>
                <w:sz w:val="18"/>
                <w:szCs w:val="18"/>
              </w:rPr>
            </w:pPr>
            <w:r>
              <w:rPr>
                <w:sz w:val="18"/>
                <w:szCs w:val="18"/>
              </w:rPr>
              <w:t>2</w:t>
            </w:r>
          </w:p>
        </w:tc>
        <w:tc>
          <w:tcPr>
            <w:tcW w:w="1276" w:type="dxa"/>
            <w:shd w:val="clear" w:color="auto" w:fill="auto"/>
            <w:vAlign w:val="center"/>
            <w:hideMark/>
          </w:tcPr>
          <w:p w14:paraId="381A8930" w14:textId="77777777" w:rsidR="00643D60" w:rsidRPr="00DD6CD7" w:rsidRDefault="00643D60" w:rsidP="00E3348F">
            <w:pPr>
              <w:pStyle w:val="Tabela-tekst"/>
              <w:jc w:val="center"/>
              <w:rPr>
                <w:sz w:val="18"/>
                <w:szCs w:val="18"/>
              </w:rPr>
            </w:pPr>
            <w:r>
              <w:t>7 512</w:t>
            </w:r>
            <w:r w:rsidRPr="00BE4152">
              <w:rPr>
                <w:color w:val="000000"/>
              </w:rPr>
              <w:t>,</w:t>
            </w:r>
            <w:r>
              <w:rPr>
                <w:color w:val="000000"/>
              </w:rPr>
              <w:t>31</w:t>
            </w:r>
          </w:p>
        </w:tc>
        <w:tc>
          <w:tcPr>
            <w:tcW w:w="1572" w:type="dxa"/>
            <w:shd w:val="clear" w:color="auto" w:fill="auto"/>
            <w:vAlign w:val="center"/>
            <w:hideMark/>
          </w:tcPr>
          <w:p w14:paraId="6D0DC6E8" w14:textId="6E964B17" w:rsidR="00643D60" w:rsidRPr="00DD6CD7" w:rsidRDefault="00643D60" w:rsidP="00E3348F">
            <w:pPr>
              <w:pStyle w:val="Tabela-tekst"/>
              <w:jc w:val="center"/>
              <w:rPr>
                <w:sz w:val="18"/>
                <w:szCs w:val="18"/>
              </w:rPr>
            </w:pPr>
            <w:r>
              <w:rPr>
                <w:sz w:val="18"/>
                <w:szCs w:val="18"/>
              </w:rPr>
              <w:t>100,00</w:t>
            </w:r>
          </w:p>
        </w:tc>
      </w:tr>
      <w:tr w:rsidR="00643D60" w:rsidRPr="00BE4152" w14:paraId="619104D7" w14:textId="77777777" w:rsidTr="00FE7CD2">
        <w:trPr>
          <w:trHeight w:val="454"/>
        </w:trPr>
        <w:tc>
          <w:tcPr>
            <w:tcW w:w="920" w:type="dxa"/>
            <w:vMerge/>
            <w:tcBorders>
              <w:top w:val="single" w:sz="4" w:space="0" w:color="auto"/>
              <w:left w:val="single" w:sz="4" w:space="0" w:color="auto"/>
              <w:bottom w:val="single" w:sz="4" w:space="0" w:color="auto"/>
              <w:right w:val="single" w:sz="4" w:space="0" w:color="auto"/>
            </w:tcBorders>
            <w:vAlign w:val="center"/>
            <w:hideMark/>
          </w:tcPr>
          <w:p w14:paraId="1808CB5D" w14:textId="77777777" w:rsidR="00643D60" w:rsidRPr="008920E8"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246E7B84" w14:textId="77777777" w:rsidR="00643D60" w:rsidRPr="008920E8" w:rsidRDefault="00643D60" w:rsidP="00E3348F">
            <w:pPr>
              <w:pStyle w:val="Tabela-tekst"/>
              <w:jc w:val="center"/>
            </w:pPr>
          </w:p>
        </w:tc>
        <w:tc>
          <w:tcPr>
            <w:tcW w:w="1153" w:type="dxa"/>
            <w:tcBorders>
              <w:left w:val="single" w:sz="4" w:space="0" w:color="auto"/>
            </w:tcBorders>
            <w:shd w:val="clear" w:color="000000" w:fill="FF0000"/>
            <w:noWrap/>
            <w:vAlign w:val="center"/>
            <w:hideMark/>
          </w:tcPr>
          <w:p w14:paraId="3D852A6E" w14:textId="77777777" w:rsidR="00643D60" w:rsidRPr="008920E8" w:rsidRDefault="00643D60" w:rsidP="00E3348F">
            <w:pPr>
              <w:pStyle w:val="Tabela-tekst"/>
              <w:jc w:val="center"/>
              <w:rPr>
                <w:color w:val="000000"/>
              </w:rPr>
            </w:pPr>
            <w:r w:rsidRPr="008920E8">
              <w:t>stan słaby</w:t>
            </w:r>
          </w:p>
        </w:tc>
        <w:tc>
          <w:tcPr>
            <w:tcW w:w="1862" w:type="dxa"/>
            <w:shd w:val="clear" w:color="auto" w:fill="auto"/>
            <w:vAlign w:val="center"/>
            <w:hideMark/>
          </w:tcPr>
          <w:p w14:paraId="38B98FA2" w14:textId="77777777" w:rsidR="00643D60" w:rsidRPr="00DD6CD7" w:rsidRDefault="00643D60" w:rsidP="00E3348F">
            <w:pPr>
              <w:pStyle w:val="Tabela-tekst"/>
              <w:jc w:val="center"/>
              <w:rPr>
                <w:sz w:val="18"/>
                <w:szCs w:val="18"/>
              </w:rPr>
            </w:pPr>
            <w:r>
              <w:rPr>
                <w:sz w:val="18"/>
                <w:szCs w:val="18"/>
              </w:rPr>
              <w:t>-</w:t>
            </w:r>
          </w:p>
        </w:tc>
        <w:tc>
          <w:tcPr>
            <w:tcW w:w="992" w:type="dxa"/>
            <w:shd w:val="clear" w:color="auto" w:fill="auto"/>
            <w:vAlign w:val="center"/>
            <w:hideMark/>
          </w:tcPr>
          <w:p w14:paraId="41C8133E" w14:textId="77777777" w:rsidR="00643D60" w:rsidRPr="00DD6CD7" w:rsidRDefault="00643D60" w:rsidP="00E3348F">
            <w:pPr>
              <w:pStyle w:val="Tabela-tekst"/>
              <w:jc w:val="center"/>
              <w:rPr>
                <w:sz w:val="18"/>
                <w:szCs w:val="18"/>
              </w:rPr>
            </w:pPr>
            <w:r w:rsidRPr="00D527F3">
              <w:rPr>
                <w:sz w:val="18"/>
                <w:szCs w:val="18"/>
              </w:rPr>
              <w:t>-</w:t>
            </w:r>
          </w:p>
        </w:tc>
        <w:tc>
          <w:tcPr>
            <w:tcW w:w="1276" w:type="dxa"/>
            <w:shd w:val="clear" w:color="auto" w:fill="auto"/>
            <w:vAlign w:val="center"/>
            <w:hideMark/>
          </w:tcPr>
          <w:p w14:paraId="3396FFC0" w14:textId="77777777" w:rsidR="00643D60" w:rsidRPr="00DD6CD7" w:rsidRDefault="00643D60" w:rsidP="00E3348F">
            <w:pPr>
              <w:pStyle w:val="Tabela-tekst"/>
              <w:jc w:val="center"/>
              <w:rPr>
                <w:sz w:val="18"/>
                <w:szCs w:val="18"/>
              </w:rPr>
            </w:pPr>
            <w:r w:rsidRPr="00D527F3">
              <w:rPr>
                <w:sz w:val="18"/>
                <w:szCs w:val="18"/>
              </w:rPr>
              <w:t>-</w:t>
            </w:r>
          </w:p>
        </w:tc>
        <w:tc>
          <w:tcPr>
            <w:tcW w:w="1572" w:type="dxa"/>
            <w:shd w:val="clear" w:color="auto" w:fill="auto"/>
            <w:vAlign w:val="center"/>
            <w:hideMark/>
          </w:tcPr>
          <w:p w14:paraId="42DE3481" w14:textId="77777777" w:rsidR="00643D60" w:rsidRPr="00DD6CD7" w:rsidRDefault="00643D60" w:rsidP="00E3348F">
            <w:pPr>
              <w:pStyle w:val="Tabela-tekst"/>
              <w:jc w:val="center"/>
              <w:rPr>
                <w:sz w:val="18"/>
                <w:szCs w:val="18"/>
              </w:rPr>
            </w:pPr>
            <w:r w:rsidRPr="00D527F3">
              <w:rPr>
                <w:sz w:val="18"/>
                <w:szCs w:val="18"/>
              </w:rPr>
              <w:t>-</w:t>
            </w:r>
          </w:p>
        </w:tc>
      </w:tr>
    </w:tbl>
    <w:p w14:paraId="24E006E7" w14:textId="77777777" w:rsidR="00B84032" w:rsidRDefault="00B84032" w:rsidP="00B84032">
      <w:pPr>
        <w:pStyle w:val="rdo0"/>
      </w:pPr>
      <w:r w:rsidRPr="002D0D68">
        <w:t xml:space="preserve">Źródło: opracowanie </w:t>
      </w:r>
      <w:r>
        <w:t>własne</w:t>
      </w:r>
    </w:p>
    <w:p w14:paraId="52F49A6E" w14:textId="47D0EF44" w:rsidR="00643D60" w:rsidRPr="00257417" w:rsidRDefault="00643D60" w:rsidP="006802BB">
      <w:pPr>
        <w:pStyle w:val="Tabela"/>
      </w:pPr>
      <w:bookmarkStart w:id="106" w:name="_Toc68726975"/>
      <w:r w:rsidRPr="00BE4152">
        <w:t xml:space="preserve">Tabela </w:t>
      </w:r>
      <w:fldSimple w:instr=" STYLEREF 1 \s ">
        <w:r w:rsidR="007B4050">
          <w:rPr>
            <w:noProof/>
          </w:rPr>
          <w:t>5</w:t>
        </w:r>
      </w:fldSimple>
      <w:r w:rsidR="007B4050">
        <w:noBreakHyphen/>
      </w:r>
      <w:fldSimple w:instr=" SEQ Tabela \* ARABIC \s 1 ">
        <w:r w:rsidR="007B4050">
          <w:rPr>
            <w:noProof/>
          </w:rPr>
          <w:t>23</w:t>
        </w:r>
      </w:fldSimple>
      <w:r>
        <w:tab/>
      </w:r>
      <w:r w:rsidRPr="00257417">
        <w:t xml:space="preserve">Wyniki testu C.3 </w:t>
      </w:r>
      <w:r w:rsidR="00442AB7">
        <w:t>-</w:t>
      </w:r>
      <w:r w:rsidRPr="00257417">
        <w:t xml:space="preserve"> Ochrona ekosystemów lądowych zależnych od wód podziemnych</w:t>
      </w:r>
      <w:bookmarkEnd w:id="106"/>
    </w:p>
    <w:tbl>
      <w:tblPr>
        <w:tblW w:w="9012" w:type="dxa"/>
        <w:tblInd w:w="55" w:type="dxa"/>
        <w:tblCellMar>
          <w:left w:w="70" w:type="dxa"/>
          <w:right w:w="70" w:type="dxa"/>
        </w:tblCellMar>
        <w:tblLook w:val="04A0" w:firstRow="1" w:lastRow="0" w:firstColumn="1" w:lastColumn="0" w:noHBand="0" w:noVBand="1"/>
      </w:tblPr>
      <w:tblGrid>
        <w:gridCol w:w="933"/>
        <w:gridCol w:w="1250"/>
        <w:gridCol w:w="1152"/>
        <w:gridCol w:w="1850"/>
        <w:gridCol w:w="992"/>
        <w:gridCol w:w="1276"/>
        <w:gridCol w:w="1559"/>
      </w:tblGrid>
      <w:tr w:rsidR="00FE7CD2" w:rsidRPr="00BE4152" w14:paraId="0F4A57E7" w14:textId="77777777" w:rsidTr="00FE7CD2">
        <w:trPr>
          <w:trHeight w:val="454"/>
          <w:tblHeader/>
        </w:trPr>
        <w:tc>
          <w:tcPr>
            <w:tcW w:w="933"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0CD5439C" w14:textId="77777777" w:rsidR="00FE7CD2" w:rsidRPr="008920E8" w:rsidRDefault="00FE7CD2" w:rsidP="00FE7CD2">
            <w:pPr>
              <w:pStyle w:val="Tabela-tekst"/>
              <w:jc w:val="center"/>
              <w:rPr>
                <w:b/>
                <w:color w:val="000000"/>
              </w:rPr>
            </w:pPr>
            <w:r w:rsidRPr="00A03144">
              <w:rPr>
                <w:b/>
                <w:bCs/>
              </w:rPr>
              <w:t>Nazwa dorzecza</w:t>
            </w:r>
          </w:p>
        </w:tc>
        <w:tc>
          <w:tcPr>
            <w:tcW w:w="1250" w:type="dxa"/>
            <w:tcBorders>
              <w:top w:val="single" w:sz="4" w:space="0" w:color="auto"/>
              <w:left w:val="nil"/>
              <w:bottom w:val="single" w:sz="4" w:space="0" w:color="auto"/>
              <w:right w:val="single" w:sz="4" w:space="0" w:color="auto"/>
            </w:tcBorders>
            <w:shd w:val="clear" w:color="auto" w:fill="BFBFBF"/>
            <w:vAlign w:val="center"/>
            <w:hideMark/>
          </w:tcPr>
          <w:p w14:paraId="6C8F5C62" w14:textId="7E9A6FF1" w:rsidR="00FE7CD2" w:rsidRPr="008920E8" w:rsidRDefault="00FE7CD2" w:rsidP="00FE7CD2">
            <w:pPr>
              <w:pStyle w:val="Tabela-tekst"/>
              <w:jc w:val="center"/>
              <w:rPr>
                <w:b/>
                <w:color w:val="000000"/>
              </w:rPr>
            </w:pPr>
            <w:r w:rsidRPr="00A03144">
              <w:rPr>
                <w:b/>
                <w:bCs/>
              </w:rPr>
              <w:t>Powierzchnia</w:t>
            </w:r>
            <w:r w:rsidR="00680907">
              <w:rPr>
                <w:b/>
                <w:bCs/>
              </w:rPr>
              <w:t xml:space="preserve"> jcwpd na obszarze</w:t>
            </w:r>
            <w:r w:rsidRPr="00A03144">
              <w:rPr>
                <w:b/>
                <w:bCs/>
              </w:rPr>
              <w:t xml:space="preserve"> dorzecza </w:t>
            </w:r>
            <w:r>
              <w:rPr>
                <w:b/>
                <w:bCs/>
              </w:rPr>
              <w:t>(</w:t>
            </w:r>
            <w:r w:rsidRPr="00A03144">
              <w:rPr>
                <w:b/>
                <w:bCs/>
              </w:rPr>
              <w:t>km</w:t>
            </w:r>
            <w:r w:rsidRPr="008920E8">
              <w:rPr>
                <w:b/>
                <w:color w:val="000000"/>
                <w:vertAlign w:val="superscript"/>
              </w:rPr>
              <w:t>2</w:t>
            </w:r>
            <w:r w:rsidRPr="00FE7CD2">
              <w:rPr>
                <w:b/>
                <w:color w:val="000000"/>
              </w:rPr>
              <w:t>)</w:t>
            </w:r>
          </w:p>
        </w:tc>
        <w:tc>
          <w:tcPr>
            <w:tcW w:w="1152" w:type="dxa"/>
            <w:tcBorders>
              <w:top w:val="single" w:sz="4" w:space="0" w:color="auto"/>
              <w:left w:val="nil"/>
              <w:bottom w:val="single" w:sz="4" w:space="0" w:color="auto"/>
              <w:right w:val="single" w:sz="4" w:space="0" w:color="auto"/>
            </w:tcBorders>
            <w:shd w:val="clear" w:color="auto" w:fill="BFBFBF"/>
            <w:vAlign w:val="center"/>
            <w:hideMark/>
          </w:tcPr>
          <w:p w14:paraId="52D81BF4" w14:textId="1F151638" w:rsidR="00FE7CD2" w:rsidRPr="008920E8" w:rsidRDefault="00FE7CD2" w:rsidP="00FE7CD2">
            <w:pPr>
              <w:pStyle w:val="Tabela-tekst"/>
              <w:jc w:val="center"/>
              <w:rPr>
                <w:b/>
                <w:color w:val="000000"/>
              </w:rPr>
            </w:pPr>
            <w:r w:rsidRPr="00A03144">
              <w:rPr>
                <w:b/>
                <w:bCs/>
              </w:rPr>
              <w:t xml:space="preserve">Wynik oceny </w:t>
            </w:r>
            <w:r w:rsidRPr="008920E8">
              <w:rPr>
                <w:b/>
                <w:color w:val="000000"/>
              </w:rPr>
              <w:t>stanu</w:t>
            </w:r>
          </w:p>
        </w:tc>
        <w:tc>
          <w:tcPr>
            <w:tcW w:w="1850" w:type="dxa"/>
            <w:tcBorders>
              <w:top w:val="single" w:sz="4" w:space="0" w:color="auto"/>
              <w:left w:val="nil"/>
              <w:bottom w:val="single" w:sz="4" w:space="0" w:color="auto"/>
              <w:right w:val="single" w:sz="4" w:space="0" w:color="auto"/>
            </w:tcBorders>
            <w:shd w:val="clear" w:color="auto" w:fill="BFBFBF"/>
            <w:vAlign w:val="center"/>
            <w:hideMark/>
          </w:tcPr>
          <w:p w14:paraId="47B53F53" w14:textId="7ABD74E6" w:rsidR="00FE7CD2" w:rsidRPr="008920E8" w:rsidRDefault="00FE7CD2" w:rsidP="00FE7CD2">
            <w:pPr>
              <w:pStyle w:val="Tabela-tekst"/>
              <w:jc w:val="center"/>
              <w:rPr>
                <w:b/>
                <w:color w:val="000000"/>
              </w:rPr>
            </w:pPr>
            <w:r w:rsidRPr="00A03144">
              <w:rPr>
                <w:b/>
                <w:bCs/>
              </w:rPr>
              <w:t>Numery jcwpd</w:t>
            </w:r>
          </w:p>
        </w:tc>
        <w:tc>
          <w:tcPr>
            <w:tcW w:w="992" w:type="dxa"/>
            <w:tcBorders>
              <w:top w:val="single" w:sz="4" w:space="0" w:color="auto"/>
              <w:left w:val="nil"/>
              <w:bottom w:val="single" w:sz="4" w:space="0" w:color="auto"/>
              <w:right w:val="single" w:sz="4" w:space="0" w:color="auto"/>
            </w:tcBorders>
            <w:shd w:val="clear" w:color="auto" w:fill="BFBFBF"/>
            <w:vAlign w:val="center"/>
            <w:hideMark/>
          </w:tcPr>
          <w:p w14:paraId="0F4B2B45" w14:textId="50F4AD88" w:rsidR="00FE7CD2" w:rsidRPr="008920E8" w:rsidRDefault="00FE7CD2" w:rsidP="00FE7CD2">
            <w:pPr>
              <w:pStyle w:val="Tabela-tekst"/>
              <w:jc w:val="center"/>
              <w:rPr>
                <w:b/>
                <w:color w:val="000000"/>
              </w:rPr>
            </w:pPr>
            <w:r w:rsidRPr="00A03144">
              <w:rPr>
                <w:b/>
                <w:bCs/>
              </w:rPr>
              <w:t>Liczba jcwpd</w:t>
            </w:r>
          </w:p>
        </w:tc>
        <w:tc>
          <w:tcPr>
            <w:tcW w:w="1276" w:type="dxa"/>
            <w:tcBorders>
              <w:top w:val="single" w:sz="4" w:space="0" w:color="auto"/>
              <w:left w:val="nil"/>
              <w:bottom w:val="single" w:sz="4" w:space="0" w:color="auto"/>
              <w:right w:val="single" w:sz="4" w:space="0" w:color="auto"/>
            </w:tcBorders>
            <w:shd w:val="clear" w:color="auto" w:fill="BFBFBF"/>
            <w:vAlign w:val="center"/>
            <w:hideMark/>
          </w:tcPr>
          <w:p w14:paraId="51C7C0EB" w14:textId="2E4C0934" w:rsidR="00FE7CD2" w:rsidRPr="008920E8" w:rsidRDefault="00FE7CD2" w:rsidP="00FE7CD2">
            <w:pPr>
              <w:pStyle w:val="Tabela-tekst"/>
              <w:jc w:val="center"/>
              <w:rPr>
                <w:b/>
                <w:color w:val="000000"/>
              </w:rPr>
            </w:pPr>
            <w:r w:rsidRPr="00A03144">
              <w:rPr>
                <w:b/>
                <w:bCs/>
              </w:rPr>
              <w:t xml:space="preserve">Powierzchnia jcwpd </w:t>
            </w:r>
            <w:r w:rsidRPr="00A03144">
              <w:rPr>
                <w:b/>
                <w:bCs/>
              </w:rPr>
              <w:br/>
            </w:r>
            <w:r>
              <w:rPr>
                <w:b/>
                <w:bCs/>
              </w:rPr>
              <w:t>(</w:t>
            </w:r>
            <w:r w:rsidRPr="00A03144">
              <w:rPr>
                <w:b/>
                <w:bCs/>
              </w:rPr>
              <w:t>km</w:t>
            </w:r>
            <w:r w:rsidRPr="008920E8">
              <w:rPr>
                <w:b/>
                <w:color w:val="000000"/>
                <w:vertAlign w:val="superscript"/>
              </w:rPr>
              <w:t>2</w:t>
            </w:r>
            <w:r w:rsidRPr="00FE7CD2">
              <w:rPr>
                <w:b/>
                <w:color w:val="000000"/>
              </w:rPr>
              <w:t>)</w:t>
            </w:r>
          </w:p>
        </w:tc>
        <w:tc>
          <w:tcPr>
            <w:tcW w:w="1559" w:type="dxa"/>
            <w:tcBorders>
              <w:top w:val="single" w:sz="4" w:space="0" w:color="auto"/>
              <w:left w:val="nil"/>
              <w:bottom w:val="single" w:sz="4" w:space="0" w:color="auto"/>
              <w:right w:val="single" w:sz="4" w:space="0" w:color="auto"/>
            </w:tcBorders>
            <w:shd w:val="clear" w:color="auto" w:fill="BFBFBF"/>
            <w:vAlign w:val="center"/>
            <w:hideMark/>
          </w:tcPr>
          <w:p w14:paraId="7740E2D1" w14:textId="46E94B85" w:rsidR="00FE7CD2" w:rsidRPr="008920E8" w:rsidRDefault="00FE7CD2" w:rsidP="00FE7CD2">
            <w:pPr>
              <w:pStyle w:val="Tabela-tekst"/>
              <w:jc w:val="center"/>
              <w:rPr>
                <w:b/>
                <w:color w:val="000000"/>
              </w:rPr>
            </w:pPr>
            <w:r>
              <w:rPr>
                <w:b/>
                <w:bCs/>
              </w:rPr>
              <w:t xml:space="preserve">Udział w </w:t>
            </w:r>
            <w:r w:rsidRPr="00A03144">
              <w:rPr>
                <w:b/>
                <w:bCs/>
              </w:rPr>
              <w:t xml:space="preserve">powierzchni </w:t>
            </w:r>
            <w:r w:rsidR="00680907">
              <w:rPr>
                <w:b/>
                <w:bCs/>
              </w:rPr>
              <w:t>jcwpd na obszarze</w:t>
            </w:r>
            <w:r>
              <w:rPr>
                <w:b/>
                <w:bCs/>
              </w:rPr>
              <w:t xml:space="preserve"> </w:t>
            </w:r>
            <w:r w:rsidRPr="00A03144">
              <w:rPr>
                <w:b/>
                <w:bCs/>
              </w:rPr>
              <w:t>dorzecza</w:t>
            </w:r>
            <w:r>
              <w:rPr>
                <w:b/>
                <w:bCs/>
              </w:rPr>
              <w:t xml:space="preserve"> (%)</w:t>
            </w:r>
          </w:p>
        </w:tc>
      </w:tr>
      <w:tr w:rsidR="00643D60" w:rsidRPr="00BE4152" w14:paraId="06A2ECB1" w14:textId="77777777" w:rsidTr="00FE7CD2">
        <w:trPr>
          <w:trHeight w:val="454"/>
        </w:trPr>
        <w:tc>
          <w:tcPr>
            <w:tcW w:w="9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1AE2A7" w14:textId="77777777" w:rsidR="00643D60" w:rsidRPr="008920E8" w:rsidRDefault="00643D60" w:rsidP="00E3348F">
            <w:pPr>
              <w:pStyle w:val="Tabela-tekst"/>
              <w:jc w:val="center"/>
              <w:rPr>
                <w:color w:val="000000"/>
              </w:rP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76012D" w14:textId="77777777" w:rsidR="00643D60" w:rsidRPr="008920E8" w:rsidRDefault="00643D60" w:rsidP="00E3348F">
            <w:pPr>
              <w:pStyle w:val="Tabela-tekst"/>
              <w:jc w:val="center"/>
              <w:rPr>
                <w:color w:val="000000"/>
              </w:rPr>
            </w:pPr>
            <w:r>
              <w:t>7 512</w:t>
            </w:r>
            <w:r w:rsidRPr="00BE4152">
              <w:rPr>
                <w:color w:val="000000"/>
              </w:rPr>
              <w:t>,</w:t>
            </w:r>
            <w:r>
              <w:rPr>
                <w:color w:val="000000"/>
              </w:rPr>
              <w:t>31</w:t>
            </w:r>
          </w:p>
        </w:tc>
        <w:tc>
          <w:tcPr>
            <w:tcW w:w="1152" w:type="dxa"/>
            <w:tcBorders>
              <w:top w:val="single" w:sz="4" w:space="0" w:color="auto"/>
              <w:left w:val="nil"/>
              <w:bottom w:val="single" w:sz="4" w:space="0" w:color="auto"/>
              <w:right w:val="single" w:sz="4" w:space="0" w:color="auto"/>
            </w:tcBorders>
            <w:shd w:val="clear" w:color="000000" w:fill="92D050"/>
            <w:vAlign w:val="center"/>
            <w:hideMark/>
          </w:tcPr>
          <w:p w14:paraId="6617F363" w14:textId="77777777" w:rsidR="00643D60" w:rsidRPr="008920E8" w:rsidRDefault="00643D60" w:rsidP="00E3348F">
            <w:pPr>
              <w:pStyle w:val="Tabela-tekst"/>
              <w:jc w:val="center"/>
              <w:rPr>
                <w:color w:val="000000"/>
              </w:rPr>
            </w:pPr>
            <w:r w:rsidRPr="008920E8">
              <w:t>stan dobry</w:t>
            </w:r>
          </w:p>
        </w:tc>
        <w:tc>
          <w:tcPr>
            <w:tcW w:w="1850" w:type="dxa"/>
            <w:tcBorders>
              <w:top w:val="single" w:sz="4" w:space="0" w:color="auto"/>
              <w:left w:val="nil"/>
              <w:bottom w:val="single" w:sz="4" w:space="0" w:color="auto"/>
              <w:right w:val="single" w:sz="4" w:space="0" w:color="auto"/>
            </w:tcBorders>
            <w:shd w:val="clear" w:color="auto" w:fill="auto"/>
            <w:vAlign w:val="center"/>
          </w:tcPr>
          <w:p w14:paraId="3FE10737" w14:textId="77777777" w:rsidR="00643D60" w:rsidRPr="00DD6CD7" w:rsidRDefault="00643D60" w:rsidP="00E3348F">
            <w:pPr>
              <w:pStyle w:val="Tabela-tekst"/>
              <w:jc w:val="center"/>
              <w:rPr>
                <w:sz w:val="18"/>
                <w:szCs w:val="18"/>
              </w:rPr>
            </w:pPr>
            <w:r w:rsidRPr="005D2E7F">
              <w:rPr>
                <w:sz w:val="18"/>
                <w:szCs w:val="1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DE9230" w14:textId="77777777" w:rsidR="00643D60" w:rsidRPr="00DD6CD7" w:rsidRDefault="00643D60" w:rsidP="00E3348F">
            <w:pPr>
              <w:pStyle w:val="Tabela-tekst"/>
              <w:jc w:val="center"/>
              <w:rPr>
                <w:sz w:val="18"/>
                <w:szCs w:val="18"/>
              </w:rPr>
            </w:pPr>
            <w:r w:rsidRPr="005D2E7F">
              <w:rPr>
                <w:sz w:val="18"/>
                <w:szCs w:val="18"/>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39B00AD" w14:textId="77777777" w:rsidR="00643D60" w:rsidRPr="00DD6CD7" w:rsidRDefault="00643D60" w:rsidP="00E3348F">
            <w:pPr>
              <w:pStyle w:val="Tabela-tekst"/>
              <w:jc w:val="center"/>
              <w:rPr>
                <w:sz w:val="18"/>
                <w:szCs w:val="18"/>
              </w:rPr>
            </w:pPr>
            <w:r w:rsidRPr="005D2E7F">
              <w:rPr>
                <w:sz w:val="18"/>
                <w:szCs w:val="18"/>
              </w:rPr>
              <w:t>-</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C759A08" w14:textId="77777777" w:rsidR="00643D60" w:rsidRPr="00DD6CD7" w:rsidRDefault="00643D60" w:rsidP="00E3348F">
            <w:pPr>
              <w:pStyle w:val="Tabela-tekst"/>
              <w:jc w:val="center"/>
              <w:rPr>
                <w:sz w:val="18"/>
                <w:szCs w:val="18"/>
              </w:rPr>
            </w:pPr>
            <w:r w:rsidRPr="005D2E7F">
              <w:rPr>
                <w:sz w:val="18"/>
                <w:szCs w:val="18"/>
              </w:rPr>
              <w:t>-</w:t>
            </w:r>
          </w:p>
        </w:tc>
      </w:tr>
      <w:tr w:rsidR="00643D60" w:rsidRPr="00BE4152" w14:paraId="66E345B7" w14:textId="77777777" w:rsidTr="00FE7CD2">
        <w:trPr>
          <w:trHeight w:val="454"/>
        </w:trPr>
        <w:tc>
          <w:tcPr>
            <w:tcW w:w="933" w:type="dxa"/>
            <w:vMerge/>
            <w:tcBorders>
              <w:top w:val="single" w:sz="4" w:space="0" w:color="auto"/>
              <w:left w:val="single" w:sz="4" w:space="0" w:color="auto"/>
              <w:right w:val="single" w:sz="4" w:space="0" w:color="auto"/>
            </w:tcBorders>
            <w:vAlign w:val="center"/>
            <w:hideMark/>
          </w:tcPr>
          <w:p w14:paraId="335EF63A" w14:textId="77777777" w:rsidR="00643D60" w:rsidRPr="008920E8" w:rsidRDefault="00643D60" w:rsidP="00E3348F">
            <w:pPr>
              <w:pStyle w:val="Tabela-tekst"/>
              <w:jc w:val="center"/>
            </w:pPr>
          </w:p>
        </w:tc>
        <w:tc>
          <w:tcPr>
            <w:tcW w:w="1250" w:type="dxa"/>
            <w:vMerge/>
            <w:tcBorders>
              <w:top w:val="single" w:sz="4" w:space="0" w:color="auto"/>
              <w:left w:val="single" w:sz="4" w:space="0" w:color="auto"/>
              <w:right w:val="single" w:sz="4" w:space="0" w:color="auto"/>
            </w:tcBorders>
            <w:vAlign w:val="center"/>
            <w:hideMark/>
          </w:tcPr>
          <w:p w14:paraId="5D18E430" w14:textId="77777777" w:rsidR="00643D60" w:rsidRPr="008920E8" w:rsidRDefault="00643D60" w:rsidP="00E3348F">
            <w:pPr>
              <w:pStyle w:val="Tabela-tekst"/>
              <w:jc w:val="center"/>
            </w:pP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EF6EC77" w14:textId="77777777" w:rsidR="00643D60" w:rsidRPr="008920E8" w:rsidRDefault="00643D60" w:rsidP="00E3348F">
            <w:pPr>
              <w:pStyle w:val="Tabela-tekst"/>
              <w:jc w:val="center"/>
              <w:rPr>
                <w:color w:val="000000"/>
              </w:rPr>
            </w:pPr>
            <w:r w:rsidRPr="008920E8">
              <w:t>brak danych</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14:paraId="01DA61B5" w14:textId="5C1BB6A2" w:rsidR="00643D60" w:rsidRPr="00DD6CD7" w:rsidRDefault="00643D60" w:rsidP="00E3348F">
            <w:pPr>
              <w:pStyle w:val="Tabela-tekst"/>
              <w:jc w:val="center"/>
              <w:rPr>
                <w:sz w:val="18"/>
                <w:szCs w:val="18"/>
              </w:rPr>
            </w:pPr>
            <w:r>
              <w:rPr>
                <w:sz w:val="18"/>
                <w:szCs w:val="18"/>
              </w:rPr>
              <w:t>20,21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1E31361" w14:textId="77777777" w:rsidR="00643D60" w:rsidRPr="00DD6CD7" w:rsidRDefault="00643D60" w:rsidP="00E3348F">
            <w:pPr>
              <w:pStyle w:val="Tabela-tekst"/>
              <w:jc w:val="center"/>
              <w:rPr>
                <w:sz w:val="18"/>
                <w:szCs w:val="18"/>
              </w:rPr>
            </w:pPr>
            <w:r>
              <w:rPr>
                <w:sz w:val="18"/>
                <w:szCs w:val="18"/>
              </w:rPr>
              <w:t>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F6B33AC" w14:textId="77777777" w:rsidR="00643D60" w:rsidRPr="00DD6CD7" w:rsidRDefault="00643D60" w:rsidP="00E3348F">
            <w:pPr>
              <w:pStyle w:val="Tabela-tekst"/>
              <w:jc w:val="center"/>
              <w:rPr>
                <w:sz w:val="18"/>
                <w:szCs w:val="18"/>
              </w:rPr>
            </w:pPr>
            <w:r>
              <w:t>7 512</w:t>
            </w:r>
            <w:r w:rsidRPr="00BE4152">
              <w:rPr>
                <w:color w:val="000000"/>
              </w:rPr>
              <w:t>,</w:t>
            </w:r>
            <w:r>
              <w:rPr>
                <w:color w:val="000000"/>
              </w:rPr>
              <w:t>31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EAA509B" w14:textId="16CB9576" w:rsidR="00643D60" w:rsidRPr="00DD6CD7" w:rsidRDefault="00643D60" w:rsidP="00E3348F">
            <w:pPr>
              <w:pStyle w:val="Tabela-tekst"/>
              <w:jc w:val="center"/>
              <w:rPr>
                <w:sz w:val="18"/>
                <w:szCs w:val="18"/>
              </w:rPr>
            </w:pPr>
            <w:r>
              <w:rPr>
                <w:sz w:val="18"/>
                <w:szCs w:val="18"/>
              </w:rPr>
              <w:t>100,00</w:t>
            </w:r>
          </w:p>
        </w:tc>
      </w:tr>
      <w:tr w:rsidR="00643D60" w:rsidRPr="00BE4152" w14:paraId="53A1AEBE" w14:textId="77777777" w:rsidTr="00FE7CD2">
        <w:trPr>
          <w:trHeight w:val="454"/>
        </w:trPr>
        <w:tc>
          <w:tcPr>
            <w:tcW w:w="933" w:type="dxa"/>
            <w:vMerge/>
            <w:tcBorders>
              <w:left w:val="single" w:sz="4" w:space="0" w:color="auto"/>
              <w:bottom w:val="single" w:sz="4" w:space="0" w:color="auto"/>
              <w:right w:val="single" w:sz="4" w:space="0" w:color="auto"/>
            </w:tcBorders>
            <w:vAlign w:val="center"/>
            <w:hideMark/>
          </w:tcPr>
          <w:p w14:paraId="37F65D9D" w14:textId="77777777" w:rsidR="00643D60" w:rsidRPr="008920E8" w:rsidRDefault="00643D60" w:rsidP="00E3348F">
            <w:pPr>
              <w:pStyle w:val="Tabela-tekst"/>
              <w:jc w:val="center"/>
            </w:pPr>
          </w:p>
        </w:tc>
        <w:tc>
          <w:tcPr>
            <w:tcW w:w="1250" w:type="dxa"/>
            <w:vMerge/>
            <w:tcBorders>
              <w:left w:val="single" w:sz="4" w:space="0" w:color="auto"/>
              <w:bottom w:val="single" w:sz="4" w:space="0" w:color="auto"/>
              <w:right w:val="single" w:sz="4" w:space="0" w:color="auto"/>
            </w:tcBorders>
            <w:vAlign w:val="center"/>
            <w:hideMark/>
          </w:tcPr>
          <w:p w14:paraId="01722B9A" w14:textId="77777777" w:rsidR="00643D60" w:rsidRPr="008920E8" w:rsidRDefault="00643D60" w:rsidP="00E3348F">
            <w:pPr>
              <w:pStyle w:val="Tabela-tekst"/>
              <w:jc w:val="center"/>
            </w:pP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3FF6513" w14:textId="77777777" w:rsidR="00643D60" w:rsidRPr="008920E8" w:rsidRDefault="00643D60" w:rsidP="00E3348F">
            <w:pPr>
              <w:pStyle w:val="Tabela-tekst"/>
              <w:jc w:val="center"/>
              <w:rPr>
                <w:color w:val="000000"/>
              </w:rPr>
            </w:pPr>
            <w:r w:rsidRPr="008920E8">
              <w:t>nie dotyczy</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14:paraId="47D5513C" w14:textId="77777777" w:rsidR="00643D60" w:rsidRPr="00DD6CD7" w:rsidRDefault="00643D60" w:rsidP="00E3348F">
            <w:pPr>
              <w:pStyle w:val="Tabela-tekst"/>
              <w:jc w:val="center"/>
              <w:rPr>
                <w:sz w:val="18"/>
                <w:szCs w:val="18"/>
              </w:rPr>
            </w:pPr>
            <w:r w:rsidRPr="009B239C">
              <w:rPr>
                <w:sz w:val="18"/>
                <w:szCs w:val="1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D9A4D24" w14:textId="77777777" w:rsidR="00643D60" w:rsidRPr="00DD6CD7" w:rsidRDefault="00643D60" w:rsidP="00E3348F">
            <w:pPr>
              <w:pStyle w:val="Tabela-tekst"/>
              <w:jc w:val="center"/>
              <w:rPr>
                <w:sz w:val="18"/>
                <w:szCs w:val="18"/>
              </w:rPr>
            </w:pPr>
            <w:r w:rsidRPr="009B239C">
              <w:rPr>
                <w:sz w:val="18"/>
                <w:szCs w:val="18"/>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38E3440" w14:textId="77777777" w:rsidR="00643D60" w:rsidRPr="00DD6CD7" w:rsidRDefault="00643D60" w:rsidP="00E3348F">
            <w:pPr>
              <w:pStyle w:val="Tabela-tekst"/>
              <w:jc w:val="center"/>
              <w:rPr>
                <w:sz w:val="18"/>
                <w:szCs w:val="18"/>
              </w:rPr>
            </w:pPr>
            <w:r w:rsidRPr="009B239C">
              <w:rPr>
                <w:sz w:val="18"/>
                <w:szCs w:val="18"/>
              </w:rPr>
              <w:t>-</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1772A62" w14:textId="77777777" w:rsidR="00643D60" w:rsidRPr="00DD6CD7" w:rsidRDefault="00643D60" w:rsidP="00E3348F">
            <w:pPr>
              <w:pStyle w:val="Tabela-tekst"/>
              <w:jc w:val="center"/>
              <w:rPr>
                <w:sz w:val="18"/>
                <w:szCs w:val="18"/>
              </w:rPr>
            </w:pPr>
            <w:r w:rsidRPr="009B239C">
              <w:rPr>
                <w:sz w:val="18"/>
                <w:szCs w:val="18"/>
              </w:rPr>
              <w:t>-</w:t>
            </w:r>
          </w:p>
        </w:tc>
      </w:tr>
    </w:tbl>
    <w:p w14:paraId="41758337" w14:textId="77777777" w:rsidR="00B84032" w:rsidRDefault="00B84032" w:rsidP="00B84032">
      <w:pPr>
        <w:pStyle w:val="rdo0"/>
      </w:pPr>
      <w:r w:rsidRPr="002D0D68">
        <w:t xml:space="preserve">Źródło: opracowanie </w:t>
      </w:r>
      <w:r>
        <w:t>własne</w:t>
      </w:r>
    </w:p>
    <w:p w14:paraId="7CB99141" w14:textId="0350DBE8" w:rsidR="00643D60" w:rsidRPr="00257417" w:rsidRDefault="00643D60" w:rsidP="006802BB">
      <w:pPr>
        <w:pStyle w:val="Tabela"/>
      </w:pPr>
      <w:bookmarkStart w:id="107" w:name="_Toc68726976"/>
      <w:r w:rsidRPr="00BE4152">
        <w:t xml:space="preserve">Tabela </w:t>
      </w:r>
      <w:fldSimple w:instr=" STYLEREF 1 \s ">
        <w:r w:rsidR="007B4050">
          <w:rPr>
            <w:noProof/>
          </w:rPr>
          <w:t>5</w:t>
        </w:r>
      </w:fldSimple>
      <w:r w:rsidR="007B4050">
        <w:noBreakHyphen/>
      </w:r>
      <w:fldSimple w:instr=" SEQ Tabela \* ARABIC \s 1 ">
        <w:r w:rsidR="007B4050">
          <w:rPr>
            <w:noProof/>
          </w:rPr>
          <w:t>24</w:t>
        </w:r>
      </w:fldSimple>
      <w:r>
        <w:tab/>
      </w:r>
      <w:r w:rsidRPr="00257417">
        <w:t xml:space="preserve">Wyniki testu C.4 </w:t>
      </w:r>
      <w:r w:rsidR="00442AB7">
        <w:t>-</w:t>
      </w:r>
      <w:r w:rsidRPr="00257417">
        <w:t xml:space="preserve"> Ochrona stanu wód powierzchniowych</w:t>
      </w:r>
      <w:bookmarkEnd w:id="107"/>
    </w:p>
    <w:tbl>
      <w:tblPr>
        <w:tblW w:w="9012" w:type="dxa"/>
        <w:tblInd w:w="55" w:type="dxa"/>
        <w:tblCellMar>
          <w:left w:w="70" w:type="dxa"/>
          <w:right w:w="70" w:type="dxa"/>
        </w:tblCellMar>
        <w:tblLook w:val="04A0" w:firstRow="1" w:lastRow="0" w:firstColumn="1" w:lastColumn="0" w:noHBand="0" w:noVBand="1"/>
      </w:tblPr>
      <w:tblGrid>
        <w:gridCol w:w="936"/>
        <w:gridCol w:w="1250"/>
        <w:gridCol w:w="1150"/>
        <w:gridCol w:w="1849"/>
        <w:gridCol w:w="992"/>
        <w:gridCol w:w="1276"/>
        <w:gridCol w:w="1559"/>
      </w:tblGrid>
      <w:tr w:rsidR="00FE7CD2" w:rsidRPr="00BE4152" w14:paraId="11280C70" w14:textId="77777777" w:rsidTr="00FE7CD2">
        <w:trPr>
          <w:trHeight w:val="454"/>
          <w:tblHeader/>
        </w:trPr>
        <w:tc>
          <w:tcPr>
            <w:tcW w:w="936" w:type="dxa"/>
            <w:tcBorders>
              <w:top w:val="single" w:sz="4" w:space="0" w:color="auto"/>
              <w:left w:val="single" w:sz="4" w:space="0" w:color="auto"/>
              <w:bottom w:val="nil"/>
              <w:right w:val="single" w:sz="4" w:space="0" w:color="auto"/>
            </w:tcBorders>
            <w:shd w:val="clear" w:color="auto" w:fill="BFBFBF"/>
            <w:vAlign w:val="center"/>
            <w:hideMark/>
          </w:tcPr>
          <w:p w14:paraId="760654EF" w14:textId="77777777" w:rsidR="00FE7CD2" w:rsidRPr="00F72BA5" w:rsidRDefault="00FE7CD2" w:rsidP="00FE7CD2">
            <w:pPr>
              <w:suppressAutoHyphens/>
              <w:spacing w:before="0" w:after="0"/>
              <w:jc w:val="center"/>
              <w:rPr>
                <w:rFonts w:eastAsia="Times New Roman"/>
                <w:b/>
                <w:bCs/>
                <w:color w:val="000000"/>
                <w:sz w:val="20"/>
                <w:szCs w:val="20"/>
                <w:lang w:eastAsia="pl-PL"/>
              </w:rPr>
            </w:pPr>
            <w:r w:rsidRPr="00F72BA5">
              <w:rPr>
                <w:rFonts w:eastAsia="Times New Roman"/>
                <w:b/>
                <w:bCs/>
                <w:color w:val="000000"/>
                <w:sz w:val="20"/>
                <w:szCs w:val="20"/>
                <w:lang w:eastAsia="pl-PL"/>
              </w:rPr>
              <w:t>Nazwa dorzecza</w:t>
            </w:r>
          </w:p>
        </w:tc>
        <w:tc>
          <w:tcPr>
            <w:tcW w:w="1250" w:type="dxa"/>
            <w:tcBorders>
              <w:top w:val="single" w:sz="4" w:space="0" w:color="auto"/>
              <w:left w:val="nil"/>
              <w:bottom w:val="nil"/>
              <w:right w:val="single" w:sz="4" w:space="0" w:color="auto"/>
            </w:tcBorders>
            <w:shd w:val="clear" w:color="auto" w:fill="BFBFBF"/>
            <w:vAlign w:val="center"/>
            <w:hideMark/>
          </w:tcPr>
          <w:p w14:paraId="6BF54B6F" w14:textId="02A5EC50" w:rsidR="00FE7CD2" w:rsidRPr="000B7413" w:rsidRDefault="00FE7CD2" w:rsidP="00FE7CD2">
            <w:pPr>
              <w:suppressAutoHyphens/>
              <w:spacing w:before="0" w:after="0"/>
              <w:jc w:val="center"/>
              <w:rPr>
                <w:rFonts w:eastAsia="Times New Roman"/>
                <w:b/>
                <w:bCs/>
                <w:color w:val="000000"/>
                <w:sz w:val="20"/>
                <w:szCs w:val="20"/>
                <w:lang w:eastAsia="pl-PL"/>
              </w:rPr>
            </w:pPr>
            <w:r w:rsidRPr="000B7413">
              <w:rPr>
                <w:b/>
                <w:bCs/>
                <w:sz w:val="20"/>
                <w:szCs w:val="20"/>
              </w:rPr>
              <w:t>Powierzchnia</w:t>
            </w:r>
            <w:r w:rsidR="00680907" w:rsidRPr="000B7413">
              <w:rPr>
                <w:b/>
                <w:bCs/>
                <w:sz w:val="20"/>
                <w:szCs w:val="20"/>
              </w:rPr>
              <w:t xml:space="preserve"> </w:t>
            </w:r>
            <w:r w:rsidR="00680907" w:rsidRPr="00467CEF">
              <w:rPr>
                <w:b/>
                <w:bCs/>
                <w:sz w:val="20"/>
                <w:szCs w:val="20"/>
              </w:rPr>
              <w:t>jcwpd na obszarze</w:t>
            </w:r>
            <w:r w:rsidRPr="000B7413">
              <w:rPr>
                <w:b/>
                <w:bCs/>
                <w:sz w:val="20"/>
                <w:szCs w:val="20"/>
              </w:rPr>
              <w:t xml:space="preserve"> dorzecza (km</w:t>
            </w:r>
            <w:r w:rsidRPr="000B7413">
              <w:rPr>
                <w:b/>
                <w:color w:val="000000"/>
                <w:sz w:val="20"/>
                <w:szCs w:val="20"/>
                <w:vertAlign w:val="superscript"/>
              </w:rPr>
              <w:t>2</w:t>
            </w:r>
            <w:r w:rsidRPr="000B7413">
              <w:rPr>
                <w:b/>
                <w:color w:val="000000"/>
                <w:sz w:val="20"/>
                <w:szCs w:val="20"/>
              </w:rPr>
              <w:t>)</w:t>
            </w:r>
          </w:p>
        </w:tc>
        <w:tc>
          <w:tcPr>
            <w:tcW w:w="1150" w:type="dxa"/>
            <w:tcBorders>
              <w:top w:val="single" w:sz="4" w:space="0" w:color="auto"/>
              <w:left w:val="nil"/>
              <w:bottom w:val="nil"/>
              <w:right w:val="single" w:sz="4" w:space="0" w:color="auto"/>
            </w:tcBorders>
            <w:shd w:val="clear" w:color="auto" w:fill="BFBFBF"/>
            <w:vAlign w:val="center"/>
            <w:hideMark/>
          </w:tcPr>
          <w:p w14:paraId="3C5BCFD8" w14:textId="1FE6B05C" w:rsidR="00FE7CD2" w:rsidRPr="00FE7CD2" w:rsidRDefault="00FE7CD2" w:rsidP="00FE7CD2">
            <w:pPr>
              <w:suppressAutoHyphens/>
              <w:spacing w:before="0" w:after="0"/>
              <w:jc w:val="center"/>
              <w:rPr>
                <w:rFonts w:eastAsia="Times New Roman"/>
                <w:b/>
                <w:bCs/>
                <w:color w:val="000000"/>
                <w:sz w:val="20"/>
                <w:szCs w:val="20"/>
                <w:lang w:eastAsia="pl-PL"/>
              </w:rPr>
            </w:pPr>
            <w:r w:rsidRPr="00FE7CD2">
              <w:rPr>
                <w:b/>
                <w:bCs/>
                <w:sz w:val="20"/>
                <w:szCs w:val="20"/>
              </w:rPr>
              <w:t xml:space="preserve">Wynik oceny </w:t>
            </w:r>
            <w:r w:rsidRPr="00FE7CD2">
              <w:rPr>
                <w:b/>
                <w:color w:val="000000"/>
                <w:sz w:val="20"/>
                <w:szCs w:val="20"/>
              </w:rPr>
              <w:t>stanu</w:t>
            </w:r>
          </w:p>
        </w:tc>
        <w:tc>
          <w:tcPr>
            <w:tcW w:w="1849" w:type="dxa"/>
            <w:tcBorders>
              <w:top w:val="single" w:sz="4" w:space="0" w:color="auto"/>
              <w:left w:val="nil"/>
              <w:bottom w:val="nil"/>
              <w:right w:val="single" w:sz="4" w:space="0" w:color="auto"/>
            </w:tcBorders>
            <w:shd w:val="clear" w:color="auto" w:fill="BFBFBF"/>
            <w:vAlign w:val="center"/>
            <w:hideMark/>
          </w:tcPr>
          <w:p w14:paraId="29416850" w14:textId="1379695A" w:rsidR="00FE7CD2" w:rsidRPr="00FE7CD2" w:rsidRDefault="00FE7CD2" w:rsidP="00FE7CD2">
            <w:pPr>
              <w:suppressAutoHyphens/>
              <w:spacing w:before="0" w:after="0"/>
              <w:jc w:val="center"/>
              <w:rPr>
                <w:rFonts w:eastAsia="Times New Roman"/>
                <w:b/>
                <w:bCs/>
                <w:color w:val="000000"/>
                <w:sz w:val="20"/>
                <w:szCs w:val="20"/>
                <w:lang w:eastAsia="pl-PL"/>
              </w:rPr>
            </w:pPr>
            <w:r w:rsidRPr="00FE7CD2">
              <w:rPr>
                <w:b/>
                <w:bCs/>
                <w:sz w:val="20"/>
                <w:szCs w:val="20"/>
              </w:rPr>
              <w:t>Numery jcwpd</w:t>
            </w:r>
          </w:p>
        </w:tc>
        <w:tc>
          <w:tcPr>
            <w:tcW w:w="992" w:type="dxa"/>
            <w:tcBorders>
              <w:top w:val="single" w:sz="4" w:space="0" w:color="auto"/>
              <w:left w:val="nil"/>
              <w:bottom w:val="nil"/>
              <w:right w:val="single" w:sz="4" w:space="0" w:color="auto"/>
            </w:tcBorders>
            <w:shd w:val="clear" w:color="auto" w:fill="BFBFBF"/>
            <w:vAlign w:val="center"/>
            <w:hideMark/>
          </w:tcPr>
          <w:p w14:paraId="4D4B8C8B" w14:textId="1C04F9D9" w:rsidR="00FE7CD2" w:rsidRPr="00FE7CD2" w:rsidRDefault="00FE7CD2" w:rsidP="00FE7CD2">
            <w:pPr>
              <w:suppressAutoHyphens/>
              <w:spacing w:before="0" w:after="0"/>
              <w:jc w:val="center"/>
              <w:rPr>
                <w:rFonts w:eastAsia="Times New Roman"/>
                <w:b/>
                <w:bCs/>
                <w:color w:val="000000"/>
                <w:sz w:val="20"/>
                <w:szCs w:val="20"/>
                <w:lang w:eastAsia="pl-PL"/>
              </w:rPr>
            </w:pPr>
            <w:r w:rsidRPr="00FE7CD2">
              <w:rPr>
                <w:b/>
                <w:bCs/>
                <w:sz w:val="20"/>
                <w:szCs w:val="20"/>
              </w:rPr>
              <w:t>Liczba jcwpd</w:t>
            </w:r>
          </w:p>
        </w:tc>
        <w:tc>
          <w:tcPr>
            <w:tcW w:w="1276" w:type="dxa"/>
            <w:tcBorders>
              <w:top w:val="single" w:sz="4" w:space="0" w:color="auto"/>
              <w:left w:val="nil"/>
              <w:bottom w:val="nil"/>
              <w:right w:val="single" w:sz="4" w:space="0" w:color="auto"/>
            </w:tcBorders>
            <w:shd w:val="clear" w:color="auto" w:fill="BFBFBF"/>
            <w:vAlign w:val="center"/>
            <w:hideMark/>
          </w:tcPr>
          <w:p w14:paraId="665B9546" w14:textId="23B4FFD2" w:rsidR="00FE7CD2" w:rsidRPr="00FE7CD2" w:rsidRDefault="00FE7CD2" w:rsidP="00FE7CD2">
            <w:pPr>
              <w:suppressAutoHyphens/>
              <w:spacing w:before="0" w:after="0"/>
              <w:jc w:val="center"/>
              <w:rPr>
                <w:rFonts w:eastAsia="Times New Roman"/>
                <w:b/>
                <w:bCs/>
                <w:color w:val="000000"/>
                <w:sz w:val="20"/>
                <w:szCs w:val="20"/>
                <w:lang w:eastAsia="pl-PL"/>
              </w:rPr>
            </w:pPr>
            <w:r w:rsidRPr="00FE7CD2">
              <w:rPr>
                <w:b/>
                <w:bCs/>
                <w:sz w:val="20"/>
                <w:szCs w:val="20"/>
              </w:rPr>
              <w:t xml:space="preserve">Powierzchnia jcwpd </w:t>
            </w:r>
            <w:r w:rsidRPr="00FE7CD2">
              <w:rPr>
                <w:b/>
                <w:bCs/>
                <w:sz w:val="20"/>
                <w:szCs w:val="20"/>
              </w:rPr>
              <w:br/>
              <w:t>(km</w:t>
            </w:r>
            <w:r w:rsidRPr="00FE7CD2">
              <w:rPr>
                <w:b/>
                <w:color w:val="000000"/>
                <w:sz w:val="20"/>
                <w:szCs w:val="20"/>
                <w:vertAlign w:val="superscript"/>
              </w:rPr>
              <w:t>2</w:t>
            </w:r>
            <w:r w:rsidRPr="00FE7CD2">
              <w:rPr>
                <w:b/>
                <w:color w:val="000000"/>
                <w:sz w:val="20"/>
                <w:szCs w:val="20"/>
              </w:rPr>
              <w:t>)</w:t>
            </w:r>
          </w:p>
        </w:tc>
        <w:tc>
          <w:tcPr>
            <w:tcW w:w="1559" w:type="dxa"/>
            <w:tcBorders>
              <w:top w:val="single" w:sz="4" w:space="0" w:color="auto"/>
              <w:left w:val="nil"/>
              <w:bottom w:val="nil"/>
              <w:right w:val="single" w:sz="4" w:space="0" w:color="auto"/>
            </w:tcBorders>
            <w:shd w:val="clear" w:color="auto" w:fill="BFBFBF"/>
            <w:vAlign w:val="center"/>
            <w:hideMark/>
          </w:tcPr>
          <w:p w14:paraId="627A8408" w14:textId="6ABE55FA" w:rsidR="00FE7CD2" w:rsidRPr="00FE7CD2" w:rsidRDefault="00FE7CD2" w:rsidP="00FE7CD2">
            <w:pPr>
              <w:suppressAutoHyphens/>
              <w:spacing w:before="0" w:after="0"/>
              <w:jc w:val="center"/>
              <w:rPr>
                <w:rFonts w:eastAsia="Times New Roman"/>
                <w:b/>
                <w:bCs/>
                <w:color w:val="000000"/>
                <w:sz w:val="20"/>
                <w:szCs w:val="20"/>
                <w:lang w:eastAsia="pl-PL"/>
              </w:rPr>
            </w:pPr>
            <w:r w:rsidRPr="00FE7CD2">
              <w:rPr>
                <w:b/>
                <w:bCs/>
                <w:sz w:val="20"/>
                <w:szCs w:val="20"/>
              </w:rPr>
              <w:t xml:space="preserve">Udział w powierzchni </w:t>
            </w:r>
            <w:r w:rsidR="00680907" w:rsidRPr="00467CEF">
              <w:rPr>
                <w:b/>
                <w:bCs/>
                <w:sz w:val="20"/>
                <w:szCs w:val="20"/>
              </w:rPr>
              <w:t>jcwpd na obszarze</w:t>
            </w:r>
            <w:r w:rsidRPr="00FE7CD2">
              <w:rPr>
                <w:b/>
                <w:bCs/>
                <w:sz w:val="20"/>
                <w:szCs w:val="20"/>
              </w:rPr>
              <w:t xml:space="preserve"> dorzecza (%)</w:t>
            </w:r>
          </w:p>
        </w:tc>
      </w:tr>
      <w:tr w:rsidR="00643D60" w:rsidRPr="00BE4152" w14:paraId="54115B28" w14:textId="77777777" w:rsidTr="00FE7CD2">
        <w:trPr>
          <w:trHeight w:val="454"/>
        </w:trPr>
        <w:tc>
          <w:tcPr>
            <w:tcW w:w="9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71DCE2" w14:textId="77777777" w:rsidR="00643D60" w:rsidRPr="00F72BA5" w:rsidRDefault="00643D60" w:rsidP="00E3348F">
            <w:pPr>
              <w:suppressAutoHyphens/>
              <w:spacing w:before="0" w:after="0"/>
              <w:jc w:val="center"/>
              <w:rPr>
                <w:rFonts w:eastAsia="Times New Roman"/>
                <w:color w:val="000000"/>
                <w:sz w:val="20"/>
                <w:szCs w:val="20"/>
                <w:lang w:eastAsia="pl-PL"/>
              </w:rPr>
            </w:pPr>
            <w:r>
              <w:rPr>
                <w:rFonts w:eastAsia="Times New Roman"/>
                <w:color w:val="000000"/>
                <w:sz w:val="20"/>
                <w:szCs w:val="20"/>
                <w:lang w:eastAsia="pl-PL"/>
              </w:rP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33ACC8" w14:textId="77777777" w:rsidR="00643D60" w:rsidRPr="00F72BA5" w:rsidRDefault="00643D60" w:rsidP="00E3348F">
            <w:pPr>
              <w:suppressAutoHyphens/>
              <w:spacing w:before="0" w:after="0"/>
              <w:jc w:val="center"/>
              <w:rPr>
                <w:rFonts w:eastAsia="Times New Roman"/>
                <w:color w:val="000000"/>
                <w:sz w:val="20"/>
                <w:szCs w:val="20"/>
                <w:lang w:eastAsia="pl-PL"/>
              </w:rPr>
            </w:pPr>
            <w:r>
              <w:rPr>
                <w:rFonts w:eastAsia="Times New Roman"/>
                <w:color w:val="000000"/>
                <w:sz w:val="20"/>
                <w:szCs w:val="20"/>
                <w:lang w:eastAsia="pl-PL"/>
              </w:rPr>
              <w:t>7 512</w:t>
            </w:r>
            <w:r w:rsidRPr="00BE4152">
              <w:rPr>
                <w:rFonts w:eastAsia="Times New Roman"/>
                <w:color w:val="000000"/>
                <w:sz w:val="20"/>
                <w:szCs w:val="20"/>
                <w:lang w:eastAsia="pl-PL"/>
              </w:rPr>
              <w:t>,</w:t>
            </w:r>
            <w:r>
              <w:rPr>
                <w:rFonts w:eastAsia="Times New Roman"/>
                <w:color w:val="000000"/>
                <w:sz w:val="20"/>
                <w:szCs w:val="20"/>
                <w:lang w:eastAsia="pl-PL"/>
              </w:rPr>
              <w:t>31</w:t>
            </w:r>
          </w:p>
        </w:tc>
        <w:tc>
          <w:tcPr>
            <w:tcW w:w="1150" w:type="dxa"/>
            <w:tcBorders>
              <w:top w:val="single" w:sz="4" w:space="0" w:color="auto"/>
              <w:left w:val="nil"/>
              <w:bottom w:val="single" w:sz="4" w:space="0" w:color="auto"/>
              <w:right w:val="single" w:sz="4" w:space="0" w:color="auto"/>
            </w:tcBorders>
            <w:shd w:val="clear" w:color="000000" w:fill="92D050"/>
            <w:vAlign w:val="center"/>
            <w:hideMark/>
          </w:tcPr>
          <w:p w14:paraId="007856F7" w14:textId="77777777" w:rsidR="00643D60" w:rsidRPr="00F72BA5" w:rsidRDefault="00643D60" w:rsidP="00E3348F">
            <w:pPr>
              <w:suppressAutoHyphens/>
              <w:spacing w:before="0" w:after="0"/>
              <w:jc w:val="center"/>
              <w:rPr>
                <w:rFonts w:eastAsia="Times New Roman"/>
                <w:color w:val="000000"/>
                <w:sz w:val="20"/>
                <w:szCs w:val="20"/>
                <w:lang w:eastAsia="pl-PL"/>
              </w:rPr>
            </w:pPr>
            <w:r w:rsidRPr="00F72BA5">
              <w:rPr>
                <w:rFonts w:eastAsia="Times New Roman"/>
                <w:color w:val="000000"/>
                <w:sz w:val="20"/>
                <w:szCs w:val="20"/>
                <w:lang w:eastAsia="pl-PL"/>
              </w:rPr>
              <w:t>stan dobry</w:t>
            </w:r>
          </w:p>
        </w:tc>
        <w:tc>
          <w:tcPr>
            <w:tcW w:w="1849" w:type="dxa"/>
            <w:tcBorders>
              <w:top w:val="single" w:sz="4" w:space="0" w:color="auto"/>
              <w:left w:val="nil"/>
              <w:bottom w:val="single" w:sz="4" w:space="0" w:color="auto"/>
              <w:right w:val="single" w:sz="4" w:space="0" w:color="auto"/>
            </w:tcBorders>
            <w:shd w:val="clear" w:color="auto" w:fill="auto"/>
            <w:vAlign w:val="center"/>
            <w:hideMark/>
          </w:tcPr>
          <w:p w14:paraId="23AD0132" w14:textId="2E3A4D87" w:rsidR="00643D60" w:rsidRPr="00DD6CD7" w:rsidRDefault="00643D60" w:rsidP="00E3348F">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20,21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F13AF3C" w14:textId="77777777" w:rsidR="00643D60" w:rsidRPr="00DD6CD7" w:rsidRDefault="00643D60" w:rsidP="00E3348F">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1366E7E" w14:textId="77777777" w:rsidR="00643D60" w:rsidRPr="00DD6CD7" w:rsidRDefault="00643D60" w:rsidP="00E3348F">
            <w:pPr>
              <w:suppressAutoHyphens/>
              <w:spacing w:before="0" w:after="0"/>
              <w:jc w:val="center"/>
              <w:rPr>
                <w:rFonts w:eastAsia="Times New Roman"/>
                <w:color w:val="000000"/>
                <w:sz w:val="18"/>
                <w:szCs w:val="18"/>
                <w:lang w:eastAsia="pl-PL"/>
              </w:rPr>
            </w:pPr>
            <w:r>
              <w:rPr>
                <w:rFonts w:eastAsia="Times New Roman"/>
                <w:color w:val="000000"/>
                <w:sz w:val="20"/>
                <w:szCs w:val="20"/>
                <w:lang w:eastAsia="pl-PL"/>
              </w:rPr>
              <w:t>7 512</w:t>
            </w:r>
            <w:r w:rsidRPr="00BE4152">
              <w:rPr>
                <w:rFonts w:eastAsia="Times New Roman"/>
                <w:color w:val="000000"/>
                <w:sz w:val="20"/>
                <w:szCs w:val="20"/>
                <w:lang w:eastAsia="pl-PL"/>
              </w:rPr>
              <w:t>,</w:t>
            </w:r>
            <w:r>
              <w:rPr>
                <w:rFonts w:eastAsia="Times New Roman"/>
                <w:color w:val="000000"/>
                <w:sz w:val="20"/>
                <w:szCs w:val="20"/>
                <w:lang w:eastAsia="pl-PL"/>
              </w:rPr>
              <w:t>31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039CA43" w14:textId="3E644AA5" w:rsidR="00643D60" w:rsidRPr="00DD6CD7" w:rsidRDefault="00643D60" w:rsidP="00E3348F">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100,00</w:t>
            </w:r>
          </w:p>
        </w:tc>
      </w:tr>
      <w:tr w:rsidR="00643D60" w:rsidRPr="00BE4152" w14:paraId="7DBAEE9D" w14:textId="77777777" w:rsidTr="00FE7CD2">
        <w:trPr>
          <w:trHeight w:val="454"/>
        </w:trPr>
        <w:tc>
          <w:tcPr>
            <w:tcW w:w="936" w:type="dxa"/>
            <w:vMerge/>
            <w:tcBorders>
              <w:top w:val="single" w:sz="4" w:space="0" w:color="auto"/>
              <w:left w:val="single" w:sz="4" w:space="0" w:color="auto"/>
              <w:bottom w:val="single" w:sz="4" w:space="0" w:color="auto"/>
              <w:right w:val="single" w:sz="4" w:space="0" w:color="auto"/>
            </w:tcBorders>
            <w:vAlign w:val="center"/>
            <w:hideMark/>
          </w:tcPr>
          <w:p w14:paraId="38E3002C" w14:textId="77777777" w:rsidR="00643D60" w:rsidRPr="00F72BA5" w:rsidRDefault="00643D60" w:rsidP="00E3348F">
            <w:pPr>
              <w:suppressAutoHyphens/>
              <w:spacing w:before="0" w:after="0"/>
              <w:jc w:val="center"/>
              <w:rPr>
                <w:rFonts w:eastAsia="Times New Roman"/>
                <w:color w:val="000000"/>
                <w:sz w:val="20"/>
                <w:szCs w:val="20"/>
                <w:lang w:eastAsia="pl-PL"/>
              </w:rP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778A6E60" w14:textId="77777777" w:rsidR="00643D60" w:rsidRPr="00F72BA5" w:rsidRDefault="00643D60" w:rsidP="00E3348F">
            <w:pPr>
              <w:suppressAutoHyphens/>
              <w:spacing w:before="0" w:after="0"/>
              <w:jc w:val="center"/>
              <w:rPr>
                <w:rFonts w:eastAsia="Times New Roman"/>
                <w:color w:val="000000"/>
                <w:sz w:val="20"/>
                <w:szCs w:val="20"/>
                <w:lang w:eastAsia="pl-PL"/>
              </w:rPr>
            </w:pPr>
          </w:p>
        </w:tc>
        <w:tc>
          <w:tcPr>
            <w:tcW w:w="1150" w:type="dxa"/>
            <w:tcBorders>
              <w:top w:val="nil"/>
              <w:left w:val="nil"/>
              <w:bottom w:val="single" w:sz="4" w:space="0" w:color="auto"/>
              <w:right w:val="single" w:sz="4" w:space="0" w:color="auto"/>
            </w:tcBorders>
            <w:shd w:val="clear" w:color="auto" w:fill="auto"/>
            <w:noWrap/>
            <w:vAlign w:val="center"/>
            <w:hideMark/>
          </w:tcPr>
          <w:p w14:paraId="14B94347" w14:textId="77777777" w:rsidR="00643D60" w:rsidRPr="00967C7B" w:rsidRDefault="00643D60" w:rsidP="00E3348F">
            <w:pPr>
              <w:suppressAutoHyphens/>
              <w:spacing w:before="0" w:after="0"/>
              <w:jc w:val="center"/>
              <w:rPr>
                <w:rFonts w:eastAsia="Times New Roman"/>
                <w:color w:val="000000"/>
                <w:sz w:val="20"/>
                <w:szCs w:val="20"/>
                <w:lang w:eastAsia="pl-PL"/>
              </w:rPr>
            </w:pPr>
            <w:r w:rsidRPr="00967C7B">
              <w:rPr>
                <w:rFonts w:eastAsia="Times New Roman"/>
                <w:color w:val="000000"/>
                <w:sz w:val="20"/>
                <w:szCs w:val="20"/>
                <w:lang w:eastAsia="pl-PL"/>
              </w:rPr>
              <w:t>brak danych</w:t>
            </w:r>
          </w:p>
        </w:tc>
        <w:tc>
          <w:tcPr>
            <w:tcW w:w="1849" w:type="dxa"/>
            <w:tcBorders>
              <w:top w:val="nil"/>
              <w:left w:val="nil"/>
              <w:bottom w:val="single" w:sz="4" w:space="0" w:color="auto"/>
              <w:right w:val="single" w:sz="4" w:space="0" w:color="auto"/>
            </w:tcBorders>
            <w:shd w:val="clear" w:color="auto" w:fill="auto"/>
            <w:vAlign w:val="center"/>
            <w:hideMark/>
          </w:tcPr>
          <w:p w14:paraId="2256AB93" w14:textId="77777777" w:rsidR="00643D60" w:rsidRPr="00DD6CD7" w:rsidRDefault="00643D60" w:rsidP="00E3348F">
            <w:pPr>
              <w:suppressAutoHyphens/>
              <w:spacing w:before="0" w:after="0"/>
              <w:jc w:val="center"/>
              <w:rPr>
                <w:rFonts w:eastAsia="Times New Roman"/>
                <w:color w:val="000000"/>
                <w:sz w:val="18"/>
                <w:szCs w:val="18"/>
                <w:lang w:eastAsia="pl-PL"/>
              </w:rPr>
            </w:pPr>
            <w:r w:rsidRPr="009B239C">
              <w:rPr>
                <w:rFonts w:eastAsia="Times New Roman"/>
                <w:color w:val="000000"/>
                <w:sz w:val="18"/>
                <w:szCs w:val="18"/>
                <w:lang w:eastAsia="pl-PL"/>
              </w:rPr>
              <w:t>-</w:t>
            </w:r>
          </w:p>
        </w:tc>
        <w:tc>
          <w:tcPr>
            <w:tcW w:w="992" w:type="dxa"/>
            <w:tcBorders>
              <w:top w:val="nil"/>
              <w:left w:val="nil"/>
              <w:bottom w:val="single" w:sz="4" w:space="0" w:color="auto"/>
              <w:right w:val="single" w:sz="4" w:space="0" w:color="auto"/>
            </w:tcBorders>
            <w:shd w:val="clear" w:color="auto" w:fill="auto"/>
            <w:vAlign w:val="center"/>
            <w:hideMark/>
          </w:tcPr>
          <w:p w14:paraId="7200E364" w14:textId="77777777" w:rsidR="00643D60" w:rsidRPr="00DD6CD7" w:rsidRDefault="00643D60" w:rsidP="00E3348F">
            <w:pPr>
              <w:suppressAutoHyphens/>
              <w:spacing w:before="0" w:after="0"/>
              <w:jc w:val="center"/>
              <w:rPr>
                <w:rFonts w:eastAsia="Times New Roman"/>
                <w:color w:val="000000"/>
                <w:sz w:val="18"/>
                <w:szCs w:val="18"/>
                <w:lang w:eastAsia="pl-PL"/>
              </w:rPr>
            </w:pPr>
            <w:r w:rsidRPr="009B239C">
              <w:rPr>
                <w:rFonts w:eastAsia="Times New Roman"/>
                <w:color w:val="000000"/>
                <w:sz w:val="18"/>
                <w:szCs w:val="18"/>
                <w:lang w:eastAsia="pl-PL"/>
              </w:rPr>
              <w:t>-</w:t>
            </w:r>
          </w:p>
        </w:tc>
        <w:tc>
          <w:tcPr>
            <w:tcW w:w="1276" w:type="dxa"/>
            <w:tcBorders>
              <w:top w:val="nil"/>
              <w:left w:val="nil"/>
              <w:bottom w:val="single" w:sz="4" w:space="0" w:color="auto"/>
              <w:right w:val="single" w:sz="4" w:space="0" w:color="auto"/>
            </w:tcBorders>
            <w:shd w:val="clear" w:color="auto" w:fill="auto"/>
            <w:vAlign w:val="center"/>
            <w:hideMark/>
          </w:tcPr>
          <w:p w14:paraId="27206DFD" w14:textId="77777777" w:rsidR="00643D60" w:rsidRPr="00DD6CD7" w:rsidRDefault="00643D60" w:rsidP="00E3348F">
            <w:pPr>
              <w:suppressAutoHyphens/>
              <w:spacing w:before="0" w:after="0"/>
              <w:jc w:val="center"/>
              <w:rPr>
                <w:rFonts w:eastAsia="Times New Roman"/>
                <w:color w:val="000000"/>
                <w:sz w:val="18"/>
                <w:szCs w:val="18"/>
                <w:lang w:eastAsia="pl-PL"/>
              </w:rPr>
            </w:pPr>
            <w:r w:rsidRPr="009B239C">
              <w:rPr>
                <w:rFonts w:eastAsia="Times New Roman"/>
                <w:color w:val="000000"/>
                <w:sz w:val="18"/>
                <w:szCs w:val="18"/>
                <w:lang w:eastAsia="pl-PL"/>
              </w:rPr>
              <w:t>-</w:t>
            </w:r>
          </w:p>
        </w:tc>
        <w:tc>
          <w:tcPr>
            <w:tcW w:w="1559" w:type="dxa"/>
            <w:tcBorders>
              <w:top w:val="nil"/>
              <w:left w:val="nil"/>
              <w:bottom w:val="single" w:sz="4" w:space="0" w:color="auto"/>
              <w:right w:val="single" w:sz="4" w:space="0" w:color="auto"/>
            </w:tcBorders>
            <w:shd w:val="clear" w:color="auto" w:fill="auto"/>
            <w:vAlign w:val="center"/>
            <w:hideMark/>
          </w:tcPr>
          <w:p w14:paraId="222843BA" w14:textId="77777777" w:rsidR="00643D60" w:rsidRPr="00DD6CD7" w:rsidRDefault="00643D60" w:rsidP="00E3348F">
            <w:pPr>
              <w:suppressAutoHyphens/>
              <w:spacing w:before="0" w:after="0"/>
              <w:jc w:val="center"/>
              <w:rPr>
                <w:rFonts w:eastAsia="Times New Roman"/>
                <w:color w:val="000000"/>
                <w:sz w:val="18"/>
                <w:szCs w:val="18"/>
                <w:lang w:eastAsia="pl-PL"/>
              </w:rPr>
            </w:pPr>
            <w:r w:rsidRPr="009B239C">
              <w:rPr>
                <w:rFonts w:eastAsia="Times New Roman"/>
                <w:color w:val="000000"/>
                <w:sz w:val="18"/>
                <w:szCs w:val="18"/>
                <w:lang w:eastAsia="pl-PL"/>
              </w:rPr>
              <w:t>-</w:t>
            </w:r>
          </w:p>
        </w:tc>
      </w:tr>
    </w:tbl>
    <w:p w14:paraId="5437B0C4" w14:textId="10BAB590" w:rsidR="00EF3FD3" w:rsidRDefault="00B84032" w:rsidP="00B84032">
      <w:pPr>
        <w:pStyle w:val="rdo0"/>
      </w:pPr>
      <w:r w:rsidRPr="002D0D68">
        <w:t xml:space="preserve">Źródło: opracowanie </w:t>
      </w:r>
      <w:r>
        <w:t>własne</w:t>
      </w:r>
    </w:p>
    <w:p w14:paraId="0760F825" w14:textId="3D886B39" w:rsidR="00643D60" w:rsidRPr="005238A1" w:rsidRDefault="00643D60" w:rsidP="006802BB">
      <w:pPr>
        <w:pStyle w:val="Tabela"/>
      </w:pPr>
      <w:bookmarkStart w:id="108" w:name="_Toc68726977"/>
      <w:r w:rsidRPr="00BE4152">
        <w:t xml:space="preserve">Tabela </w:t>
      </w:r>
      <w:fldSimple w:instr=" STYLEREF 1 \s ">
        <w:r w:rsidR="007B4050">
          <w:rPr>
            <w:noProof/>
          </w:rPr>
          <w:t>5</w:t>
        </w:r>
      </w:fldSimple>
      <w:r w:rsidR="007B4050">
        <w:noBreakHyphen/>
      </w:r>
      <w:fldSimple w:instr=" SEQ Tabela \* ARABIC \s 1 ">
        <w:r w:rsidR="007B4050">
          <w:rPr>
            <w:noProof/>
          </w:rPr>
          <w:t>25</w:t>
        </w:r>
      </w:fldSimple>
      <w:r>
        <w:t>.</w:t>
      </w:r>
      <w:r>
        <w:tab/>
      </w:r>
      <w:r w:rsidRPr="005238A1">
        <w:t xml:space="preserve">Wyniki testu C.5 </w:t>
      </w:r>
      <w:r w:rsidR="00442AB7">
        <w:t>-</w:t>
      </w:r>
      <w:r w:rsidRPr="005238A1">
        <w:t xml:space="preserve"> Ochrona wód przeznaczonych do spożycia przez ludzi</w:t>
      </w:r>
      <w:bookmarkEnd w:id="108"/>
    </w:p>
    <w:tbl>
      <w:tblPr>
        <w:tblW w:w="9012" w:type="dxa"/>
        <w:tblInd w:w="55" w:type="dxa"/>
        <w:tblCellMar>
          <w:left w:w="70" w:type="dxa"/>
          <w:right w:w="70" w:type="dxa"/>
        </w:tblCellMar>
        <w:tblLook w:val="04A0" w:firstRow="1" w:lastRow="0" w:firstColumn="1" w:lastColumn="0" w:noHBand="0" w:noVBand="1"/>
      </w:tblPr>
      <w:tblGrid>
        <w:gridCol w:w="937"/>
        <w:gridCol w:w="1250"/>
        <w:gridCol w:w="1148"/>
        <w:gridCol w:w="1850"/>
        <w:gridCol w:w="992"/>
        <w:gridCol w:w="1276"/>
        <w:gridCol w:w="1559"/>
      </w:tblGrid>
      <w:tr w:rsidR="00FE7CD2" w:rsidRPr="00BE4152" w14:paraId="15938C80" w14:textId="77777777" w:rsidTr="00FE7CD2">
        <w:trPr>
          <w:trHeight w:val="454"/>
          <w:tblHeader/>
        </w:trPr>
        <w:tc>
          <w:tcPr>
            <w:tcW w:w="937" w:type="dxa"/>
            <w:tcBorders>
              <w:top w:val="single" w:sz="4" w:space="0" w:color="auto"/>
              <w:left w:val="single" w:sz="4" w:space="0" w:color="auto"/>
              <w:bottom w:val="nil"/>
              <w:right w:val="single" w:sz="4" w:space="0" w:color="auto"/>
            </w:tcBorders>
            <w:shd w:val="clear" w:color="auto" w:fill="BFBFBF"/>
            <w:vAlign w:val="center"/>
            <w:hideMark/>
          </w:tcPr>
          <w:p w14:paraId="2E1C67B4" w14:textId="77777777" w:rsidR="00FE7CD2" w:rsidRPr="00F72BA5" w:rsidRDefault="00FE7CD2" w:rsidP="00FE7CD2">
            <w:pPr>
              <w:pStyle w:val="Tabela-tekst"/>
              <w:jc w:val="center"/>
              <w:rPr>
                <w:b/>
                <w:color w:val="000000"/>
              </w:rPr>
            </w:pPr>
            <w:r w:rsidRPr="00A03144">
              <w:rPr>
                <w:b/>
                <w:bCs/>
              </w:rPr>
              <w:t>Nazwa dorzecza</w:t>
            </w:r>
          </w:p>
        </w:tc>
        <w:tc>
          <w:tcPr>
            <w:tcW w:w="1250" w:type="dxa"/>
            <w:tcBorders>
              <w:top w:val="single" w:sz="4" w:space="0" w:color="auto"/>
              <w:left w:val="nil"/>
              <w:bottom w:val="nil"/>
              <w:right w:val="single" w:sz="4" w:space="0" w:color="auto"/>
            </w:tcBorders>
            <w:shd w:val="clear" w:color="auto" w:fill="BFBFBF"/>
            <w:vAlign w:val="center"/>
            <w:hideMark/>
          </w:tcPr>
          <w:p w14:paraId="12C32A14" w14:textId="440C63B2" w:rsidR="00FE7CD2" w:rsidRPr="00F72BA5" w:rsidRDefault="00FE7CD2" w:rsidP="00FE7CD2">
            <w:pPr>
              <w:pStyle w:val="Tabela-tekst"/>
              <w:jc w:val="center"/>
              <w:rPr>
                <w:b/>
                <w:color w:val="000000"/>
              </w:rPr>
            </w:pPr>
            <w:r w:rsidRPr="00FE7CD2">
              <w:rPr>
                <w:b/>
                <w:bCs/>
              </w:rPr>
              <w:t>Powierzchnia</w:t>
            </w:r>
            <w:r w:rsidR="00680907">
              <w:rPr>
                <w:b/>
                <w:bCs/>
              </w:rPr>
              <w:t xml:space="preserve"> jcwpd na obszarze</w:t>
            </w:r>
            <w:r w:rsidRPr="00FE7CD2">
              <w:rPr>
                <w:b/>
                <w:bCs/>
              </w:rPr>
              <w:t xml:space="preserve"> dorzecza (km</w:t>
            </w:r>
            <w:r w:rsidRPr="00FE7CD2">
              <w:rPr>
                <w:b/>
                <w:color w:val="000000"/>
                <w:vertAlign w:val="superscript"/>
              </w:rPr>
              <w:t>2</w:t>
            </w:r>
            <w:r w:rsidRPr="00FE7CD2">
              <w:rPr>
                <w:b/>
                <w:color w:val="000000"/>
              </w:rPr>
              <w:t>)</w:t>
            </w:r>
          </w:p>
        </w:tc>
        <w:tc>
          <w:tcPr>
            <w:tcW w:w="1148" w:type="dxa"/>
            <w:tcBorders>
              <w:top w:val="single" w:sz="4" w:space="0" w:color="auto"/>
              <w:left w:val="nil"/>
              <w:bottom w:val="nil"/>
              <w:right w:val="single" w:sz="4" w:space="0" w:color="auto"/>
            </w:tcBorders>
            <w:shd w:val="clear" w:color="auto" w:fill="BFBFBF"/>
            <w:vAlign w:val="center"/>
            <w:hideMark/>
          </w:tcPr>
          <w:p w14:paraId="6431F1E4" w14:textId="045EDB70" w:rsidR="00FE7CD2" w:rsidRPr="00F72BA5" w:rsidRDefault="00FE7CD2" w:rsidP="00FE7CD2">
            <w:pPr>
              <w:pStyle w:val="Tabela-tekst"/>
              <w:jc w:val="center"/>
              <w:rPr>
                <w:b/>
                <w:color w:val="000000"/>
              </w:rPr>
            </w:pPr>
            <w:r w:rsidRPr="00FE7CD2">
              <w:rPr>
                <w:b/>
                <w:bCs/>
              </w:rPr>
              <w:t xml:space="preserve">Wynik oceny </w:t>
            </w:r>
            <w:r w:rsidRPr="00FE7CD2">
              <w:rPr>
                <w:b/>
                <w:color w:val="000000"/>
              </w:rPr>
              <w:t>stanu</w:t>
            </w:r>
          </w:p>
        </w:tc>
        <w:tc>
          <w:tcPr>
            <w:tcW w:w="1850" w:type="dxa"/>
            <w:tcBorders>
              <w:top w:val="single" w:sz="4" w:space="0" w:color="auto"/>
              <w:left w:val="nil"/>
              <w:bottom w:val="nil"/>
              <w:right w:val="single" w:sz="4" w:space="0" w:color="auto"/>
            </w:tcBorders>
            <w:shd w:val="clear" w:color="auto" w:fill="BFBFBF"/>
            <w:vAlign w:val="center"/>
            <w:hideMark/>
          </w:tcPr>
          <w:p w14:paraId="6B19B39B" w14:textId="323186B9" w:rsidR="00FE7CD2" w:rsidRPr="00F72BA5" w:rsidRDefault="00FE7CD2" w:rsidP="00FE7CD2">
            <w:pPr>
              <w:pStyle w:val="Tabela-tekst"/>
              <w:jc w:val="center"/>
              <w:rPr>
                <w:b/>
                <w:color w:val="000000"/>
              </w:rPr>
            </w:pPr>
            <w:r w:rsidRPr="00FE7CD2">
              <w:rPr>
                <w:b/>
                <w:bCs/>
              </w:rPr>
              <w:t>Numery jcwpd</w:t>
            </w:r>
          </w:p>
        </w:tc>
        <w:tc>
          <w:tcPr>
            <w:tcW w:w="992" w:type="dxa"/>
            <w:tcBorders>
              <w:top w:val="single" w:sz="4" w:space="0" w:color="auto"/>
              <w:left w:val="nil"/>
              <w:bottom w:val="single" w:sz="4" w:space="0" w:color="auto"/>
              <w:right w:val="single" w:sz="4" w:space="0" w:color="auto"/>
            </w:tcBorders>
            <w:shd w:val="clear" w:color="auto" w:fill="BFBFBF"/>
            <w:vAlign w:val="center"/>
            <w:hideMark/>
          </w:tcPr>
          <w:p w14:paraId="540C4435" w14:textId="6DD0A4AC" w:rsidR="00FE7CD2" w:rsidRPr="00F72BA5" w:rsidRDefault="00FE7CD2" w:rsidP="00FE7CD2">
            <w:pPr>
              <w:pStyle w:val="Tabela-tekst"/>
              <w:jc w:val="center"/>
              <w:rPr>
                <w:b/>
                <w:color w:val="000000"/>
              </w:rPr>
            </w:pPr>
            <w:r w:rsidRPr="00FE7CD2">
              <w:rPr>
                <w:b/>
                <w:bCs/>
              </w:rPr>
              <w:t>Liczba jcwpd</w:t>
            </w:r>
          </w:p>
        </w:tc>
        <w:tc>
          <w:tcPr>
            <w:tcW w:w="1276" w:type="dxa"/>
            <w:tcBorders>
              <w:top w:val="single" w:sz="4" w:space="0" w:color="auto"/>
              <w:left w:val="nil"/>
              <w:bottom w:val="nil"/>
              <w:right w:val="single" w:sz="4" w:space="0" w:color="auto"/>
            </w:tcBorders>
            <w:shd w:val="clear" w:color="auto" w:fill="BFBFBF"/>
            <w:vAlign w:val="center"/>
            <w:hideMark/>
          </w:tcPr>
          <w:p w14:paraId="75A18BAE" w14:textId="5518FF9E" w:rsidR="00FE7CD2" w:rsidRPr="00F72BA5" w:rsidRDefault="00FE7CD2" w:rsidP="00FE7CD2">
            <w:pPr>
              <w:pStyle w:val="Tabela-tekst"/>
              <w:jc w:val="center"/>
              <w:rPr>
                <w:b/>
                <w:color w:val="000000"/>
              </w:rPr>
            </w:pPr>
            <w:r w:rsidRPr="00FE7CD2">
              <w:rPr>
                <w:b/>
                <w:bCs/>
              </w:rPr>
              <w:t xml:space="preserve">Powierzchnia jcwpd </w:t>
            </w:r>
            <w:r w:rsidRPr="00FE7CD2">
              <w:rPr>
                <w:b/>
                <w:bCs/>
              </w:rPr>
              <w:br/>
              <w:t>(km</w:t>
            </w:r>
            <w:r w:rsidRPr="00FE7CD2">
              <w:rPr>
                <w:b/>
                <w:color w:val="000000"/>
                <w:vertAlign w:val="superscript"/>
              </w:rPr>
              <w:t>2</w:t>
            </w:r>
            <w:r w:rsidRPr="00FE7CD2">
              <w:rPr>
                <w:b/>
                <w:color w:val="000000"/>
              </w:rPr>
              <w:t>)</w:t>
            </w:r>
          </w:p>
        </w:tc>
        <w:tc>
          <w:tcPr>
            <w:tcW w:w="1559" w:type="dxa"/>
            <w:tcBorders>
              <w:top w:val="single" w:sz="4" w:space="0" w:color="auto"/>
              <w:left w:val="nil"/>
              <w:bottom w:val="nil"/>
              <w:right w:val="single" w:sz="4" w:space="0" w:color="auto"/>
            </w:tcBorders>
            <w:shd w:val="clear" w:color="auto" w:fill="BFBFBF"/>
            <w:vAlign w:val="center"/>
            <w:hideMark/>
          </w:tcPr>
          <w:p w14:paraId="517877AA" w14:textId="797D62E7" w:rsidR="00FE7CD2" w:rsidRPr="00F72BA5" w:rsidRDefault="00FE7CD2" w:rsidP="00FE7CD2">
            <w:pPr>
              <w:pStyle w:val="Tabela-tekst"/>
              <w:jc w:val="center"/>
              <w:rPr>
                <w:b/>
                <w:color w:val="000000"/>
              </w:rPr>
            </w:pPr>
            <w:r w:rsidRPr="00FE7CD2">
              <w:rPr>
                <w:b/>
                <w:bCs/>
              </w:rPr>
              <w:t xml:space="preserve">Udział w powierzchni </w:t>
            </w:r>
            <w:r w:rsidR="00680907">
              <w:rPr>
                <w:b/>
                <w:bCs/>
              </w:rPr>
              <w:t>jcwpd na obszarze</w:t>
            </w:r>
            <w:r w:rsidRPr="00FE7CD2">
              <w:rPr>
                <w:b/>
                <w:bCs/>
              </w:rPr>
              <w:t xml:space="preserve"> dorzecza (%)</w:t>
            </w:r>
          </w:p>
        </w:tc>
      </w:tr>
      <w:tr w:rsidR="00643D60" w:rsidRPr="00BE4152" w14:paraId="7030684E" w14:textId="77777777" w:rsidTr="00FE7CD2">
        <w:trPr>
          <w:trHeight w:val="454"/>
        </w:trPr>
        <w:tc>
          <w:tcPr>
            <w:tcW w:w="9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81D8E0" w14:textId="77777777" w:rsidR="00643D60" w:rsidRPr="00F72BA5" w:rsidRDefault="00643D60" w:rsidP="00E3348F">
            <w:pPr>
              <w:pStyle w:val="Tabela-tekst"/>
              <w:jc w:val="center"/>
              <w:rPr>
                <w:color w:val="000000"/>
              </w:rP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69E311" w14:textId="77777777" w:rsidR="00643D60" w:rsidRPr="00F72BA5" w:rsidRDefault="00643D60" w:rsidP="00E3348F">
            <w:pPr>
              <w:pStyle w:val="Tabela-tekst"/>
              <w:jc w:val="center"/>
              <w:rPr>
                <w:color w:val="000000"/>
              </w:rPr>
            </w:pPr>
            <w:r>
              <w:t>7 512</w:t>
            </w:r>
            <w:r w:rsidRPr="00BE4152">
              <w:rPr>
                <w:color w:val="000000"/>
              </w:rPr>
              <w:t>,</w:t>
            </w:r>
            <w:r>
              <w:rPr>
                <w:color w:val="000000"/>
              </w:rPr>
              <w:t>31</w:t>
            </w:r>
          </w:p>
        </w:tc>
        <w:tc>
          <w:tcPr>
            <w:tcW w:w="1148" w:type="dxa"/>
            <w:tcBorders>
              <w:top w:val="single" w:sz="4" w:space="0" w:color="auto"/>
              <w:left w:val="nil"/>
              <w:bottom w:val="single" w:sz="4" w:space="0" w:color="auto"/>
              <w:right w:val="single" w:sz="4" w:space="0" w:color="auto"/>
            </w:tcBorders>
            <w:shd w:val="clear" w:color="000000" w:fill="92D050"/>
            <w:vAlign w:val="center"/>
            <w:hideMark/>
          </w:tcPr>
          <w:p w14:paraId="6138C6E9" w14:textId="77777777" w:rsidR="00643D60" w:rsidRPr="00F72BA5" w:rsidRDefault="00643D60" w:rsidP="00E3348F">
            <w:pPr>
              <w:pStyle w:val="Tabela-tekst"/>
              <w:jc w:val="center"/>
              <w:rPr>
                <w:color w:val="000000"/>
              </w:rPr>
            </w:pPr>
            <w:r w:rsidRPr="00F72BA5">
              <w:t>stan dobry</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14:paraId="5A33BA46" w14:textId="0DBD045F" w:rsidR="00643D60" w:rsidRPr="008E3305" w:rsidRDefault="00643D60" w:rsidP="00E3348F">
            <w:pPr>
              <w:pStyle w:val="Tabela-tekst"/>
              <w:jc w:val="center"/>
              <w:rPr>
                <w:sz w:val="18"/>
                <w:szCs w:val="18"/>
              </w:rPr>
            </w:pPr>
            <w:r>
              <w:rPr>
                <w:sz w:val="18"/>
                <w:szCs w:val="18"/>
              </w:rPr>
              <w:t>20,21</w:t>
            </w:r>
          </w:p>
        </w:tc>
        <w:tc>
          <w:tcPr>
            <w:tcW w:w="992" w:type="dxa"/>
            <w:tcBorders>
              <w:top w:val="nil"/>
              <w:left w:val="nil"/>
              <w:bottom w:val="single" w:sz="4" w:space="0" w:color="auto"/>
              <w:right w:val="single" w:sz="4" w:space="0" w:color="auto"/>
            </w:tcBorders>
            <w:shd w:val="clear" w:color="auto" w:fill="auto"/>
            <w:noWrap/>
            <w:vAlign w:val="center"/>
            <w:hideMark/>
          </w:tcPr>
          <w:p w14:paraId="0D7E0346" w14:textId="77777777" w:rsidR="00643D60" w:rsidRPr="008E3305" w:rsidRDefault="00643D60" w:rsidP="00E3348F">
            <w:pPr>
              <w:pStyle w:val="Tabela-tekst"/>
              <w:jc w:val="center"/>
              <w:rPr>
                <w:sz w:val="18"/>
                <w:szCs w:val="18"/>
              </w:rPr>
            </w:pPr>
            <w:r>
              <w:rPr>
                <w:sz w:val="18"/>
                <w:szCs w:val="18"/>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65040DD" w14:textId="77777777" w:rsidR="00643D60" w:rsidRPr="008E3305" w:rsidRDefault="00643D60" w:rsidP="00E3348F">
            <w:pPr>
              <w:pStyle w:val="Tabela-tekst"/>
              <w:jc w:val="center"/>
              <w:rPr>
                <w:sz w:val="18"/>
                <w:szCs w:val="18"/>
              </w:rPr>
            </w:pPr>
            <w:r>
              <w:t>7 512</w:t>
            </w:r>
            <w:r w:rsidRPr="00BE4152">
              <w:rPr>
                <w:color w:val="000000"/>
              </w:rPr>
              <w:t>,</w:t>
            </w:r>
            <w:r>
              <w:rPr>
                <w:color w:val="000000"/>
              </w:rPr>
              <w:t>31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FD52D1C" w14:textId="2890812C" w:rsidR="00643D60" w:rsidRPr="008E3305" w:rsidRDefault="00643D60" w:rsidP="00E3348F">
            <w:pPr>
              <w:pStyle w:val="Tabela-tekst"/>
              <w:jc w:val="center"/>
              <w:rPr>
                <w:sz w:val="18"/>
                <w:szCs w:val="18"/>
              </w:rPr>
            </w:pPr>
            <w:r>
              <w:rPr>
                <w:sz w:val="18"/>
                <w:szCs w:val="18"/>
              </w:rPr>
              <w:t>100,00</w:t>
            </w:r>
          </w:p>
        </w:tc>
      </w:tr>
      <w:tr w:rsidR="00643D60" w:rsidRPr="00BE4152" w14:paraId="72E0D2B9" w14:textId="77777777" w:rsidTr="00FE7CD2">
        <w:trPr>
          <w:trHeight w:val="454"/>
        </w:trPr>
        <w:tc>
          <w:tcPr>
            <w:tcW w:w="937" w:type="dxa"/>
            <w:vMerge/>
            <w:tcBorders>
              <w:top w:val="single" w:sz="4" w:space="0" w:color="auto"/>
              <w:left w:val="single" w:sz="4" w:space="0" w:color="auto"/>
              <w:bottom w:val="single" w:sz="4" w:space="0" w:color="auto"/>
              <w:right w:val="single" w:sz="4" w:space="0" w:color="auto"/>
            </w:tcBorders>
            <w:vAlign w:val="center"/>
            <w:hideMark/>
          </w:tcPr>
          <w:p w14:paraId="0C1E7013" w14:textId="77777777" w:rsidR="00643D60" w:rsidRPr="00F72BA5"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06BE4692" w14:textId="77777777" w:rsidR="00643D60" w:rsidRPr="00F72BA5" w:rsidRDefault="00643D60" w:rsidP="00E3348F">
            <w:pPr>
              <w:pStyle w:val="Tabela-tekst"/>
              <w:jc w:val="center"/>
            </w:pPr>
          </w:p>
        </w:tc>
        <w:tc>
          <w:tcPr>
            <w:tcW w:w="1148" w:type="dxa"/>
            <w:tcBorders>
              <w:top w:val="nil"/>
              <w:left w:val="nil"/>
              <w:bottom w:val="single" w:sz="4" w:space="0" w:color="auto"/>
              <w:right w:val="single" w:sz="4" w:space="0" w:color="auto"/>
            </w:tcBorders>
            <w:shd w:val="clear" w:color="000000" w:fill="FF0000"/>
            <w:noWrap/>
            <w:vAlign w:val="center"/>
            <w:hideMark/>
          </w:tcPr>
          <w:p w14:paraId="4CA61552" w14:textId="77777777" w:rsidR="00643D60" w:rsidRPr="00F72BA5" w:rsidRDefault="00643D60" w:rsidP="00E3348F">
            <w:pPr>
              <w:pStyle w:val="Tabela-tekst"/>
              <w:jc w:val="center"/>
              <w:rPr>
                <w:color w:val="000000"/>
              </w:rPr>
            </w:pPr>
            <w:r>
              <w:t xml:space="preserve">stan </w:t>
            </w:r>
            <w:r w:rsidRPr="00F72BA5">
              <w:rPr>
                <w:color w:val="000000"/>
              </w:rPr>
              <w:t>słaby</w:t>
            </w:r>
          </w:p>
        </w:tc>
        <w:tc>
          <w:tcPr>
            <w:tcW w:w="1850" w:type="dxa"/>
            <w:tcBorders>
              <w:top w:val="nil"/>
              <w:left w:val="nil"/>
              <w:bottom w:val="single" w:sz="4" w:space="0" w:color="auto"/>
              <w:right w:val="single" w:sz="4" w:space="0" w:color="auto"/>
            </w:tcBorders>
            <w:shd w:val="clear" w:color="auto" w:fill="auto"/>
            <w:vAlign w:val="center"/>
            <w:hideMark/>
          </w:tcPr>
          <w:p w14:paraId="1A8CD32B" w14:textId="77777777" w:rsidR="00643D60" w:rsidRPr="008E3305" w:rsidRDefault="00643D60" w:rsidP="00E3348F">
            <w:pPr>
              <w:pStyle w:val="Tabela-tekst"/>
              <w:jc w:val="center"/>
              <w:rPr>
                <w:sz w:val="18"/>
                <w:szCs w:val="18"/>
              </w:rPr>
            </w:pPr>
            <w:r w:rsidRPr="009B239C">
              <w:rPr>
                <w:sz w:val="18"/>
                <w:szCs w:val="18"/>
              </w:rPr>
              <w:t>-</w:t>
            </w:r>
          </w:p>
        </w:tc>
        <w:tc>
          <w:tcPr>
            <w:tcW w:w="992" w:type="dxa"/>
            <w:tcBorders>
              <w:top w:val="nil"/>
              <w:left w:val="nil"/>
              <w:bottom w:val="single" w:sz="4" w:space="0" w:color="auto"/>
              <w:right w:val="single" w:sz="4" w:space="0" w:color="auto"/>
            </w:tcBorders>
            <w:shd w:val="clear" w:color="auto" w:fill="auto"/>
            <w:noWrap/>
            <w:vAlign w:val="center"/>
            <w:hideMark/>
          </w:tcPr>
          <w:p w14:paraId="278DCD13" w14:textId="77777777" w:rsidR="00643D60" w:rsidRPr="008E3305" w:rsidRDefault="00643D60" w:rsidP="00E3348F">
            <w:pPr>
              <w:pStyle w:val="Tabela-tekst"/>
              <w:jc w:val="center"/>
              <w:rPr>
                <w:sz w:val="18"/>
                <w:szCs w:val="18"/>
              </w:rPr>
            </w:pPr>
            <w:r w:rsidRPr="009B239C">
              <w:rPr>
                <w:sz w:val="18"/>
                <w:szCs w:val="18"/>
              </w:rPr>
              <w:t>-</w:t>
            </w:r>
          </w:p>
        </w:tc>
        <w:tc>
          <w:tcPr>
            <w:tcW w:w="1276" w:type="dxa"/>
            <w:tcBorders>
              <w:top w:val="nil"/>
              <w:left w:val="nil"/>
              <w:bottom w:val="single" w:sz="4" w:space="0" w:color="auto"/>
              <w:right w:val="single" w:sz="4" w:space="0" w:color="auto"/>
            </w:tcBorders>
            <w:shd w:val="clear" w:color="auto" w:fill="auto"/>
            <w:noWrap/>
            <w:vAlign w:val="center"/>
            <w:hideMark/>
          </w:tcPr>
          <w:p w14:paraId="06010B14" w14:textId="77777777" w:rsidR="00643D60" w:rsidRPr="008E3305" w:rsidRDefault="00643D60" w:rsidP="00E3348F">
            <w:pPr>
              <w:pStyle w:val="Tabela-tekst"/>
              <w:jc w:val="center"/>
              <w:rPr>
                <w:sz w:val="18"/>
                <w:szCs w:val="18"/>
              </w:rPr>
            </w:pPr>
            <w:r w:rsidRPr="009B239C">
              <w:rPr>
                <w:sz w:val="18"/>
                <w:szCs w:val="18"/>
              </w:rPr>
              <w:t>-</w:t>
            </w:r>
          </w:p>
        </w:tc>
        <w:tc>
          <w:tcPr>
            <w:tcW w:w="1559" w:type="dxa"/>
            <w:tcBorders>
              <w:top w:val="nil"/>
              <w:left w:val="nil"/>
              <w:bottom w:val="single" w:sz="4" w:space="0" w:color="auto"/>
              <w:right w:val="single" w:sz="4" w:space="0" w:color="auto"/>
            </w:tcBorders>
            <w:shd w:val="clear" w:color="auto" w:fill="auto"/>
            <w:noWrap/>
            <w:vAlign w:val="center"/>
            <w:hideMark/>
          </w:tcPr>
          <w:p w14:paraId="7112A214" w14:textId="77777777" w:rsidR="00643D60" w:rsidRPr="008E3305" w:rsidRDefault="00643D60" w:rsidP="00E3348F">
            <w:pPr>
              <w:pStyle w:val="Tabela-tekst"/>
              <w:jc w:val="center"/>
              <w:rPr>
                <w:sz w:val="18"/>
                <w:szCs w:val="18"/>
              </w:rPr>
            </w:pPr>
            <w:r w:rsidRPr="009B239C">
              <w:rPr>
                <w:sz w:val="18"/>
                <w:szCs w:val="18"/>
              </w:rPr>
              <w:t>-</w:t>
            </w:r>
          </w:p>
        </w:tc>
      </w:tr>
      <w:tr w:rsidR="00643D60" w:rsidRPr="00BE4152" w14:paraId="3D246C2B" w14:textId="77777777" w:rsidTr="00FE7CD2">
        <w:trPr>
          <w:trHeight w:val="454"/>
        </w:trPr>
        <w:tc>
          <w:tcPr>
            <w:tcW w:w="937" w:type="dxa"/>
            <w:vMerge/>
            <w:tcBorders>
              <w:top w:val="single" w:sz="4" w:space="0" w:color="auto"/>
              <w:left w:val="single" w:sz="4" w:space="0" w:color="auto"/>
              <w:bottom w:val="single" w:sz="4" w:space="0" w:color="auto"/>
              <w:right w:val="single" w:sz="4" w:space="0" w:color="auto"/>
            </w:tcBorders>
            <w:vAlign w:val="center"/>
            <w:hideMark/>
          </w:tcPr>
          <w:p w14:paraId="3600EDFB" w14:textId="77777777" w:rsidR="00643D60" w:rsidRPr="00F72BA5"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5CB689E1" w14:textId="77777777" w:rsidR="00643D60" w:rsidRPr="00F72BA5" w:rsidRDefault="00643D60" w:rsidP="00E3348F">
            <w:pPr>
              <w:pStyle w:val="Tabela-tekst"/>
              <w:jc w:val="center"/>
            </w:pPr>
          </w:p>
        </w:tc>
        <w:tc>
          <w:tcPr>
            <w:tcW w:w="1148" w:type="dxa"/>
            <w:tcBorders>
              <w:top w:val="nil"/>
              <w:left w:val="nil"/>
              <w:bottom w:val="single" w:sz="4" w:space="0" w:color="auto"/>
              <w:right w:val="single" w:sz="4" w:space="0" w:color="auto"/>
            </w:tcBorders>
            <w:shd w:val="clear" w:color="auto" w:fill="auto"/>
            <w:noWrap/>
            <w:vAlign w:val="center"/>
            <w:hideMark/>
          </w:tcPr>
          <w:p w14:paraId="61D45274" w14:textId="77777777" w:rsidR="00643D60" w:rsidRPr="00F72BA5" w:rsidRDefault="00643D60" w:rsidP="00E3348F">
            <w:pPr>
              <w:pStyle w:val="Tabela-tekst"/>
              <w:jc w:val="center"/>
              <w:rPr>
                <w:color w:val="000000"/>
              </w:rPr>
            </w:pPr>
            <w:r w:rsidRPr="00F72BA5">
              <w:t>brak danych</w:t>
            </w:r>
          </w:p>
        </w:tc>
        <w:tc>
          <w:tcPr>
            <w:tcW w:w="1850" w:type="dxa"/>
            <w:tcBorders>
              <w:top w:val="nil"/>
              <w:left w:val="nil"/>
              <w:bottom w:val="single" w:sz="4" w:space="0" w:color="auto"/>
              <w:right w:val="single" w:sz="4" w:space="0" w:color="auto"/>
            </w:tcBorders>
            <w:shd w:val="clear" w:color="auto" w:fill="auto"/>
            <w:vAlign w:val="center"/>
            <w:hideMark/>
          </w:tcPr>
          <w:p w14:paraId="296C248D" w14:textId="77777777" w:rsidR="00643D60" w:rsidRPr="008E3305" w:rsidRDefault="00643D60" w:rsidP="00E3348F">
            <w:pPr>
              <w:pStyle w:val="Tabela-tekst"/>
              <w:jc w:val="center"/>
              <w:rPr>
                <w:sz w:val="18"/>
                <w:szCs w:val="18"/>
              </w:rPr>
            </w:pPr>
            <w:r w:rsidRPr="009B239C">
              <w:rPr>
                <w:sz w:val="18"/>
                <w:szCs w:val="18"/>
              </w:rPr>
              <w:t>-</w:t>
            </w:r>
          </w:p>
        </w:tc>
        <w:tc>
          <w:tcPr>
            <w:tcW w:w="992" w:type="dxa"/>
            <w:tcBorders>
              <w:top w:val="nil"/>
              <w:left w:val="nil"/>
              <w:bottom w:val="single" w:sz="4" w:space="0" w:color="auto"/>
              <w:right w:val="single" w:sz="4" w:space="0" w:color="auto"/>
            </w:tcBorders>
            <w:shd w:val="clear" w:color="auto" w:fill="auto"/>
            <w:noWrap/>
            <w:vAlign w:val="center"/>
            <w:hideMark/>
          </w:tcPr>
          <w:p w14:paraId="34C30B17" w14:textId="77777777" w:rsidR="00643D60" w:rsidRPr="008E3305" w:rsidRDefault="00643D60" w:rsidP="00E3348F">
            <w:pPr>
              <w:pStyle w:val="Tabela-tekst"/>
              <w:jc w:val="center"/>
              <w:rPr>
                <w:sz w:val="18"/>
                <w:szCs w:val="18"/>
              </w:rPr>
            </w:pPr>
            <w:r w:rsidRPr="009B239C">
              <w:rPr>
                <w:sz w:val="18"/>
                <w:szCs w:val="18"/>
              </w:rPr>
              <w:t>-</w:t>
            </w:r>
          </w:p>
        </w:tc>
        <w:tc>
          <w:tcPr>
            <w:tcW w:w="1276" w:type="dxa"/>
            <w:tcBorders>
              <w:top w:val="nil"/>
              <w:left w:val="nil"/>
              <w:bottom w:val="single" w:sz="4" w:space="0" w:color="auto"/>
              <w:right w:val="single" w:sz="4" w:space="0" w:color="auto"/>
            </w:tcBorders>
            <w:shd w:val="clear" w:color="auto" w:fill="auto"/>
            <w:noWrap/>
            <w:vAlign w:val="center"/>
            <w:hideMark/>
          </w:tcPr>
          <w:p w14:paraId="398D5157" w14:textId="77777777" w:rsidR="00643D60" w:rsidRPr="008E3305" w:rsidRDefault="00643D60" w:rsidP="00E3348F">
            <w:pPr>
              <w:pStyle w:val="Tabela-tekst"/>
              <w:jc w:val="center"/>
              <w:rPr>
                <w:sz w:val="18"/>
                <w:szCs w:val="18"/>
              </w:rPr>
            </w:pPr>
            <w:r w:rsidRPr="009B239C">
              <w:rPr>
                <w:sz w:val="18"/>
                <w:szCs w:val="18"/>
              </w:rPr>
              <w:t>-</w:t>
            </w:r>
          </w:p>
        </w:tc>
        <w:tc>
          <w:tcPr>
            <w:tcW w:w="1559" w:type="dxa"/>
            <w:tcBorders>
              <w:top w:val="nil"/>
              <w:left w:val="nil"/>
              <w:bottom w:val="single" w:sz="4" w:space="0" w:color="auto"/>
              <w:right w:val="single" w:sz="4" w:space="0" w:color="auto"/>
            </w:tcBorders>
            <w:shd w:val="clear" w:color="auto" w:fill="auto"/>
            <w:noWrap/>
            <w:vAlign w:val="center"/>
            <w:hideMark/>
          </w:tcPr>
          <w:p w14:paraId="7D76443A" w14:textId="77777777" w:rsidR="00643D60" w:rsidRPr="008E3305" w:rsidRDefault="00643D60" w:rsidP="00E3348F">
            <w:pPr>
              <w:pStyle w:val="Tabela-tekst"/>
              <w:jc w:val="center"/>
              <w:rPr>
                <w:sz w:val="18"/>
                <w:szCs w:val="18"/>
              </w:rPr>
            </w:pPr>
            <w:r w:rsidRPr="009B239C">
              <w:rPr>
                <w:sz w:val="18"/>
                <w:szCs w:val="18"/>
              </w:rPr>
              <w:t>-</w:t>
            </w:r>
          </w:p>
        </w:tc>
      </w:tr>
    </w:tbl>
    <w:p w14:paraId="77853C98" w14:textId="77777777" w:rsidR="00B84032" w:rsidRDefault="00B84032" w:rsidP="00B84032">
      <w:pPr>
        <w:pStyle w:val="rdo0"/>
      </w:pPr>
      <w:r w:rsidRPr="002D0D68">
        <w:t xml:space="preserve">Źródło: opracowanie </w:t>
      </w:r>
      <w:r>
        <w:t>własne</w:t>
      </w:r>
    </w:p>
    <w:p w14:paraId="44B7ACA6" w14:textId="164A034D" w:rsidR="00643D60" w:rsidRPr="00BE4152" w:rsidRDefault="00643D60" w:rsidP="00643D60">
      <w:pPr>
        <w:suppressAutoHyphens/>
        <w:rPr>
          <w:i/>
        </w:rPr>
      </w:pPr>
      <w:r w:rsidRPr="00BE4152">
        <w:rPr>
          <w:i/>
        </w:rPr>
        <w:t>Ocena stanu ilościowego</w:t>
      </w:r>
    </w:p>
    <w:p w14:paraId="55672283" w14:textId="0EF16AE7" w:rsidR="00643D60" w:rsidRPr="00BE4152" w:rsidRDefault="00643D60" w:rsidP="00643D60">
      <w:pPr>
        <w:suppressAutoHyphens/>
      </w:pPr>
      <w:r w:rsidRPr="00BE4152">
        <w:t xml:space="preserve">Ocenę stanu ilościowego przeprowadzono dla </w:t>
      </w:r>
      <w:r>
        <w:t>2</w:t>
      </w:r>
      <w:r w:rsidRPr="00BE4152">
        <w:t xml:space="preserve"> jcwpd znajdujących się na obszarze dorzecza </w:t>
      </w:r>
      <w:r>
        <w:t>Pregoły</w:t>
      </w:r>
      <w:r w:rsidRPr="00BE4152">
        <w:t xml:space="preserve">. Stan ilościowy </w:t>
      </w:r>
      <w:r>
        <w:t xml:space="preserve">wszystkich </w:t>
      </w:r>
      <w:r w:rsidRPr="00BE4152">
        <w:t xml:space="preserve">jcwpd na obszarze dorzecza </w:t>
      </w:r>
      <w:r>
        <w:t xml:space="preserve">Pregoły określono </w:t>
      </w:r>
      <w:r w:rsidRPr="00B34ED3">
        <w:t xml:space="preserve">jako dobry (tabela </w:t>
      </w:r>
      <w:r w:rsidR="004A1B76" w:rsidRPr="00B34ED3">
        <w:t>5-2</w:t>
      </w:r>
      <w:r w:rsidR="000B26EA">
        <w:t>6</w:t>
      </w:r>
      <w:r w:rsidRPr="00B34ED3">
        <w:t>).</w:t>
      </w:r>
      <w:r w:rsidRPr="00BE4152">
        <w:t xml:space="preserve"> </w:t>
      </w:r>
    </w:p>
    <w:p w14:paraId="70A3DCFE" w14:textId="4E7313C6" w:rsidR="00643D60" w:rsidRPr="008D67DA" w:rsidRDefault="00643D60" w:rsidP="006802BB">
      <w:pPr>
        <w:pStyle w:val="Tabela"/>
      </w:pPr>
      <w:bookmarkStart w:id="109" w:name="_Toc68726978"/>
      <w:r w:rsidRPr="00BE4152">
        <w:t xml:space="preserve">Tabela </w:t>
      </w:r>
      <w:fldSimple w:instr=" STYLEREF 1 \s ">
        <w:r w:rsidR="007B4050">
          <w:rPr>
            <w:noProof/>
          </w:rPr>
          <w:t>5</w:t>
        </w:r>
      </w:fldSimple>
      <w:r w:rsidR="007B4050">
        <w:noBreakHyphen/>
      </w:r>
      <w:fldSimple w:instr=" SEQ Tabela \* ARABIC \s 1 ">
        <w:r w:rsidR="007B4050">
          <w:rPr>
            <w:noProof/>
          </w:rPr>
          <w:t>26</w:t>
        </w:r>
      </w:fldSimple>
      <w:r>
        <w:t>.</w:t>
      </w:r>
      <w:r>
        <w:tab/>
      </w:r>
      <w:r w:rsidRPr="008D67DA">
        <w:t xml:space="preserve">Stan ilościowy jcwpd na obszarze dorzecza </w:t>
      </w:r>
      <w:r>
        <w:t>Pregoły</w:t>
      </w:r>
      <w:bookmarkEnd w:id="109"/>
    </w:p>
    <w:tbl>
      <w:tblPr>
        <w:tblStyle w:val="Tabela-Siatka"/>
        <w:tblW w:w="0" w:type="auto"/>
        <w:jc w:val="center"/>
        <w:tblLook w:val="04A0" w:firstRow="1" w:lastRow="0" w:firstColumn="1" w:lastColumn="0" w:noHBand="0" w:noVBand="1"/>
      </w:tblPr>
      <w:tblGrid>
        <w:gridCol w:w="2659"/>
        <w:gridCol w:w="1447"/>
        <w:gridCol w:w="2411"/>
        <w:gridCol w:w="2412"/>
      </w:tblGrid>
      <w:tr w:rsidR="004F17E6" w:rsidRPr="00BE4152" w14:paraId="66E6DB19" w14:textId="77777777" w:rsidTr="000B26EA">
        <w:trPr>
          <w:trHeight w:val="454"/>
          <w:tblHeader/>
          <w:jc w:val="center"/>
        </w:trPr>
        <w:tc>
          <w:tcPr>
            <w:tcW w:w="4106" w:type="dxa"/>
            <w:gridSpan w:val="2"/>
            <w:shd w:val="clear" w:color="auto" w:fill="BFBFBF" w:themeFill="background1" w:themeFillShade="BF"/>
            <w:vAlign w:val="center"/>
          </w:tcPr>
          <w:p w14:paraId="723DB108" w14:textId="67DC66B3" w:rsidR="004F17E6" w:rsidRPr="00C77C3C" w:rsidRDefault="004F17E6" w:rsidP="001479C9">
            <w:pPr>
              <w:pStyle w:val="Tabela-tekst"/>
              <w:jc w:val="center"/>
              <w:rPr>
                <w:b/>
                <w:color w:val="000000"/>
              </w:rPr>
            </w:pPr>
            <w:r w:rsidRPr="00A03144">
              <w:rPr>
                <w:b/>
                <w:bCs/>
              </w:rPr>
              <w:t>Obszar dorzecza</w:t>
            </w:r>
          </w:p>
        </w:tc>
        <w:tc>
          <w:tcPr>
            <w:tcW w:w="4823" w:type="dxa"/>
            <w:gridSpan w:val="2"/>
            <w:shd w:val="clear" w:color="auto" w:fill="BFBFBF" w:themeFill="background1" w:themeFillShade="BF"/>
            <w:vAlign w:val="center"/>
          </w:tcPr>
          <w:p w14:paraId="1FE31D46" w14:textId="77777777" w:rsidR="004F17E6" w:rsidRPr="00C77C3C" w:rsidRDefault="004F17E6" w:rsidP="001479C9">
            <w:pPr>
              <w:pStyle w:val="Tabela-tekst"/>
              <w:jc w:val="center"/>
              <w:rPr>
                <w:b/>
                <w:color w:val="000000"/>
              </w:rPr>
            </w:pPr>
            <w:r w:rsidRPr="00A03144">
              <w:rPr>
                <w:b/>
                <w:bCs/>
              </w:rPr>
              <w:t>Numer jcwpd</w:t>
            </w:r>
          </w:p>
        </w:tc>
      </w:tr>
      <w:tr w:rsidR="004F17E6" w:rsidRPr="00BE4152" w14:paraId="21D83454" w14:textId="77777777" w:rsidTr="000B26EA">
        <w:trPr>
          <w:trHeight w:val="454"/>
          <w:tblHeader/>
          <w:jc w:val="center"/>
        </w:trPr>
        <w:tc>
          <w:tcPr>
            <w:tcW w:w="2659" w:type="dxa"/>
            <w:shd w:val="clear" w:color="auto" w:fill="BFBFBF" w:themeFill="background1" w:themeFillShade="BF"/>
            <w:vAlign w:val="center"/>
          </w:tcPr>
          <w:p w14:paraId="417031A9" w14:textId="77777777" w:rsidR="004F17E6" w:rsidRPr="00C77C3C" w:rsidRDefault="004F17E6" w:rsidP="001479C9">
            <w:pPr>
              <w:pStyle w:val="Tabela-tekst"/>
              <w:jc w:val="center"/>
              <w:rPr>
                <w:b/>
                <w:color w:val="000000"/>
              </w:rPr>
            </w:pPr>
            <w:r w:rsidRPr="00A03144">
              <w:rPr>
                <w:b/>
                <w:bCs/>
              </w:rPr>
              <w:t>Kod europejski</w:t>
            </w:r>
          </w:p>
        </w:tc>
        <w:tc>
          <w:tcPr>
            <w:tcW w:w="1447" w:type="dxa"/>
            <w:shd w:val="clear" w:color="auto" w:fill="BFBFBF" w:themeFill="background1" w:themeFillShade="BF"/>
            <w:vAlign w:val="center"/>
          </w:tcPr>
          <w:p w14:paraId="082E0999" w14:textId="77777777" w:rsidR="004F17E6" w:rsidRPr="00C77C3C" w:rsidRDefault="004F17E6" w:rsidP="001479C9">
            <w:pPr>
              <w:pStyle w:val="Tabela-tekst"/>
              <w:jc w:val="center"/>
              <w:rPr>
                <w:b/>
                <w:color w:val="000000"/>
              </w:rPr>
            </w:pPr>
            <w:r w:rsidRPr="00A03144">
              <w:rPr>
                <w:b/>
                <w:bCs/>
              </w:rPr>
              <w:t>Nazwa</w:t>
            </w:r>
          </w:p>
        </w:tc>
        <w:tc>
          <w:tcPr>
            <w:tcW w:w="2411" w:type="dxa"/>
            <w:shd w:val="clear" w:color="auto" w:fill="BFBFBF" w:themeFill="background1" w:themeFillShade="BF"/>
            <w:vAlign w:val="center"/>
          </w:tcPr>
          <w:p w14:paraId="60D31D91" w14:textId="77777777" w:rsidR="004F17E6" w:rsidRPr="00C77C3C" w:rsidRDefault="004F17E6" w:rsidP="001479C9">
            <w:pPr>
              <w:pStyle w:val="Tabela-tekst"/>
              <w:jc w:val="center"/>
              <w:rPr>
                <w:b/>
                <w:color w:val="000000"/>
              </w:rPr>
            </w:pPr>
            <w:r w:rsidRPr="00A03144">
              <w:rPr>
                <w:b/>
                <w:bCs/>
              </w:rPr>
              <w:t>Stan dobry</w:t>
            </w:r>
          </w:p>
        </w:tc>
        <w:tc>
          <w:tcPr>
            <w:tcW w:w="2412" w:type="dxa"/>
            <w:shd w:val="clear" w:color="auto" w:fill="BFBFBF" w:themeFill="background1" w:themeFillShade="BF"/>
            <w:vAlign w:val="center"/>
          </w:tcPr>
          <w:p w14:paraId="1E223857" w14:textId="77777777" w:rsidR="004F17E6" w:rsidRPr="00C77C3C" w:rsidRDefault="004F17E6" w:rsidP="001479C9">
            <w:pPr>
              <w:pStyle w:val="Tabela-tekst"/>
              <w:jc w:val="center"/>
              <w:rPr>
                <w:b/>
                <w:color w:val="000000"/>
              </w:rPr>
            </w:pPr>
            <w:r w:rsidRPr="00A03144">
              <w:rPr>
                <w:b/>
                <w:bCs/>
              </w:rPr>
              <w:t>Stan słaby</w:t>
            </w:r>
          </w:p>
        </w:tc>
      </w:tr>
      <w:tr w:rsidR="004F17E6" w:rsidRPr="00BE4152" w14:paraId="3E5CC81C" w14:textId="77777777" w:rsidTr="004F17E6">
        <w:trPr>
          <w:trHeight w:val="454"/>
          <w:jc w:val="center"/>
        </w:trPr>
        <w:tc>
          <w:tcPr>
            <w:tcW w:w="2659" w:type="dxa"/>
            <w:vAlign w:val="center"/>
          </w:tcPr>
          <w:p w14:paraId="7E5C425E" w14:textId="77777777" w:rsidR="004F17E6" w:rsidRPr="00BE4152" w:rsidRDefault="004F17E6" w:rsidP="001479C9">
            <w:pPr>
              <w:pStyle w:val="Tabela-tekst"/>
              <w:jc w:val="center"/>
            </w:pPr>
            <w:r>
              <w:t>7</w:t>
            </w:r>
            <w:r w:rsidRPr="00BE4152">
              <w:t>000</w:t>
            </w:r>
          </w:p>
        </w:tc>
        <w:tc>
          <w:tcPr>
            <w:tcW w:w="1447" w:type="dxa"/>
            <w:vAlign w:val="center"/>
          </w:tcPr>
          <w:p w14:paraId="346B17C5" w14:textId="77777777" w:rsidR="004F17E6" w:rsidRPr="00BE4152" w:rsidRDefault="004F17E6" w:rsidP="001479C9">
            <w:pPr>
              <w:pStyle w:val="Tabela-tekst"/>
              <w:jc w:val="center"/>
            </w:pPr>
            <w:r>
              <w:t>Pregoła</w:t>
            </w:r>
          </w:p>
        </w:tc>
        <w:tc>
          <w:tcPr>
            <w:tcW w:w="2411" w:type="dxa"/>
            <w:vAlign w:val="center"/>
          </w:tcPr>
          <w:p w14:paraId="235D8875" w14:textId="77777777" w:rsidR="004F17E6" w:rsidRPr="00BE4152" w:rsidRDefault="004F17E6" w:rsidP="001479C9">
            <w:pPr>
              <w:pStyle w:val="Tabela-tekst"/>
              <w:jc w:val="center"/>
            </w:pPr>
            <w:r>
              <w:t>20,21</w:t>
            </w:r>
          </w:p>
        </w:tc>
        <w:tc>
          <w:tcPr>
            <w:tcW w:w="2412" w:type="dxa"/>
            <w:vAlign w:val="center"/>
          </w:tcPr>
          <w:p w14:paraId="5648B536" w14:textId="77777777" w:rsidR="004F17E6" w:rsidRPr="00BE4152" w:rsidRDefault="004F17E6" w:rsidP="001479C9">
            <w:pPr>
              <w:pStyle w:val="Tabela-tekst"/>
              <w:jc w:val="center"/>
            </w:pPr>
            <w:r>
              <w:t>-</w:t>
            </w:r>
          </w:p>
        </w:tc>
      </w:tr>
      <w:tr w:rsidR="004F17E6" w:rsidRPr="00BE4152" w14:paraId="528234DB" w14:textId="77777777" w:rsidTr="004F17E6">
        <w:trPr>
          <w:trHeight w:val="454"/>
          <w:jc w:val="center"/>
        </w:trPr>
        <w:tc>
          <w:tcPr>
            <w:tcW w:w="4106" w:type="dxa"/>
            <w:gridSpan w:val="2"/>
            <w:vAlign w:val="center"/>
          </w:tcPr>
          <w:p w14:paraId="35292A01" w14:textId="4A2C3493" w:rsidR="004F17E6" w:rsidRPr="00BE4152" w:rsidRDefault="004F17E6" w:rsidP="001479C9">
            <w:pPr>
              <w:pStyle w:val="Tabela-tekst"/>
              <w:jc w:val="center"/>
            </w:pPr>
            <w:r w:rsidRPr="00BE4152">
              <w:t>Liczba jcwpd</w:t>
            </w:r>
          </w:p>
        </w:tc>
        <w:tc>
          <w:tcPr>
            <w:tcW w:w="2411" w:type="dxa"/>
            <w:vAlign w:val="center"/>
          </w:tcPr>
          <w:p w14:paraId="28259624" w14:textId="77777777" w:rsidR="004F17E6" w:rsidRPr="00BE4152" w:rsidRDefault="004F17E6" w:rsidP="001479C9">
            <w:pPr>
              <w:pStyle w:val="Tabela-tekst"/>
              <w:jc w:val="center"/>
            </w:pPr>
            <w:r>
              <w:t>2</w:t>
            </w:r>
          </w:p>
        </w:tc>
        <w:tc>
          <w:tcPr>
            <w:tcW w:w="2412" w:type="dxa"/>
            <w:vAlign w:val="center"/>
          </w:tcPr>
          <w:p w14:paraId="44FDAA7C" w14:textId="77777777" w:rsidR="004F17E6" w:rsidRPr="00BE4152" w:rsidRDefault="004F17E6" w:rsidP="001479C9">
            <w:pPr>
              <w:pStyle w:val="Tabela-tekst"/>
              <w:jc w:val="center"/>
            </w:pPr>
            <w:r>
              <w:t>-</w:t>
            </w:r>
          </w:p>
        </w:tc>
      </w:tr>
    </w:tbl>
    <w:p w14:paraId="4D729AEA" w14:textId="77777777" w:rsidR="00B84032" w:rsidRDefault="00B84032" w:rsidP="00B84032">
      <w:pPr>
        <w:pStyle w:val="rdo0"/>
      </w:pPr>
      <w:r w:rsidRPr="002D0D68">
        <w:t xml:space="preserve">Źródło: opracowanie </w:t>
      </w:r>
      <w:r>
        <w:t>własne</w:t>
      </w:r>
    </w:p>
    <w:p w14:paraId="68329F48" w14:textId="31242BDB" w:rsidR="00643D60" w:rsidRDefault="00643D60" w:rsidP="007E5892">
      <w:r w:rsidRPr="00BE4152">
        <w:t xml:space="preserve">Poniżej w zestawieniach tabelarycznych znajdują się wyniki testów klasyfikacyjnych dla jcwpd zlokalizowanych w </w:t>
      </w:r>
      <w:r>
        <w:t xml:space="preserve">obszarze </w:t>
      </w:r>
      <w:r w:rsidRPr="00BE4152">
        <w:t>dorzecz</w:t>
      </w:r>
      <w:r>
        <w:t>a</w:t>
      </w:r>
      <w:r w:rsidRPr="00BE4152">
        <w:t xml:space="preserve"> </w:t>
      </w:r>
      <w:r>
        <w:t>Pregoły</w:t>
      </w:r>
      <w:r w:rsidRPr="00BE4152">
        <w:t xml:space="preserve"> w zakresie stanu ilościowego.</w:t>
      </w:r>
    </w:p>
    <w:p w14:paraId="7915724E" w14:textId="03C50ED0" w:rsidR="00643D60" w:rsidRPr="00907860" w:rsidRDefault="00643D60" w:rsidP="006802BB">
      <w:pPr>
        <w:pStyle w:val="Tabela"/>
      </w:pPr>
      <w:bookmarkStart w:id="110" w:name="_Toc68726979"/>
      <w:r w:rsidRPr="00BE4152">
        <w:t xml:space="preserve">Tabela </w:t>
      </w:r>
      <w:fldSimple w:instr=" STYLEREF 1 \s ">
        <w:r w:rsidR="007B4050">
          <w:rPr>
            <w:noProof/>
          </w:rPr>
          <w:t>5</w:t>
        </w:r>
      </w:fldSimple>
      <w:r w:rsidR="007B4050">
        <w:noBreakHyphen/>
      </w:r>
      <w:fldSimple w:instr=" SEQ Tabela \* ARABIC \s 1 ">
        <w:r w:rsidR="007B4050">
          <w:rPr>
            <w:noProof/>
          </w:rPr>
          <w:t>27</w:t>
        </w:r>
      </w:fldSimple>
      <w:r>
        <w:tab/>
      </w:r>
      <w:r w:rsidRPr="00907860">
        <w:t xml:space="preserve">Wyniki testu I.1 </w:t>
      </w:r>
      <w:r w:rsidR="00442AB7">
        <w:t>-</w:t>
      </w:r>
      <w:r w:rsidRPr="00907860">
        <w:t xml:space="preserve"> Bilans wodny</w:t>
      </w:r>
      <w:bookmarkEnd w:id="110"/>
    </w:p>
    <w:tbl>
      <w:tblPr>
        <w:tblW w:w="9012" w:type="dxa"/>
        <w:tblInd w:w="55" w:type="dxa"/>
        <w:tblCellMar>
          <w:left w:w="70" w:type="dxa"/>
          <w:right w:w="70" w:type="dxa"/>
        </w:tblCellMar>
        <w:tblLook w:val="04A0" w:firstRow="1" w:lastRow="0" w:firstColumn="1" w:lastColumn="0" w:noHBand="0" w:noVBand="1"/>
      </w:tblPr>
      <w:tblGrid>
        <w:gridCol w:w="941"/>
        <w:gridCol w:w="1250"/>
        <w:gridCol w:w="1150"/>
        <w:gridCol w:w="1844"/>
        <w:gridCol w:w="992"/>
        <w:gridCol w:w="1276"/>
        <w:gridCol w:w="1559"/>
      </w:tblGrid>
      <w:tr w:rsidR="007B4113" w:rsidRPr="00F34888" w14:paraId="2CEEFE6C" w14:textId="77777777" w:rsidTr="00FE7CD2">
        <w:trPr>
          <w:trHeight w:val="454"/>
          <w:tblHeader/>
        </w:trPr>
        <w:tc>
          <w:tcPr>
            <w:tcW w:w="941"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46CF22C8" w14:textId="77777777" w:rsidR="007B4113" w:rsidRPr="00F34888" w:rsidRDefault="007B4113" w:rsidP="007B4113">
            <w:pPr>
              <w:pStyle w:val="Tabela-tekst"/>
              <w:jc w:val="center"/>
              <w:rPr>
                <w:b/>
                <w:color w:val="000000"/>
              </w:rPr>
            </w:pPr>
            <w:r w:rsidRPr="00A03144">
              <w:rPr>
                <w:b/>
                <w:bCs/>
              </w:rPr>
              <w:t xml:space="preserve">Nazwa </w:t>
            </w:r>
            <w:r w:rsidRPr="00F34888">
              <w:rPr>
                <w:b/>
                <w:color w:val="000000"/>
              </w:rPr>
              <w:t>dorzecza</w:t>
            </w:r>
          </w:p>
        </w:tc>
        <w:tc>
          <w:tcPr>
            <w:tcW w:w="1250" w:type="dxa"/>
            <w:tcBorders>
              <w:top w:val="single" w:sz="4" w:space="0" w:color="auto"/>
              <w:left w:val="nil"/>
              <w:bottom w:val="nil"/>
              <w:right w:val="single" w:sz="4" w:space="0" w:color="auto"/>
            </w:tcBorders>
            <w:shd w:val="clear" w:color="auto" w:fill="BFBFBF" w:themeFill="background1" w:themeFillShade="BF"/>
            <w:vAlign w:val="center"/>
            <w:hideMark/>
          </w:tcPr>
          <w:p w14:paraId="137623A8" w14:textId="52E940F7" w:rsidR="007B4113" w:rsidRPr="00F34888" w:rsidRDefault="007B4113" w:rsidP="007B4113">
            <w:pPr>
              <w:pStyle w:val="Tabela-tekst"/>
              <w:jc w:val="center"/>
              <w:rPr>
                <w:b/>
                <w:color w:val="000000"/>
              </w:rPr>
            </w:pPr>
            <w:r w:rsidRPr="00FE7CD2">
              <w:rPr>
                <w:b/>
                <w:bCs/>
              </w:rPr>
              <w:t xml:space="preserve">Powierzchnia </w:t>
            </w:r>
            <w:r w:rsidR="000B7413">
              <w:rPr>
                <w:b/>
                <w:bCs/>
              </w:rPr>
              <w:t>jcwpd na obszarze</w:t>
            </w:r>
            <w:r w:rsidR="000B7413" w:rsidRPr="00FE7CD2">
              <w:rPr>
                <w:b/>
                <w:bCs/>
              </w:rPr>
              <w:t xml:space="preserve"> </w:t>
            </w:r>
            <w:r w:rsidRPr="00FE7CD2">
              <w:rPr>
                <w:b/>
                <w:bCs/>
              </w:rPr>
              <w:t>dorzecza (km</w:t>
            </w:r>
            <w:r w:rsidRPr="00FE7CD2">
              <w:rPr>
                <w:b/>
                <w:color w:val="000000"/>
                <w:vertAlign w:val="superscript"/>
              </w:rPr>
              <w:t>2</w:t>
            </w:r>
            <w:r w:rsidRPr="00FE7CD2">
              <w:rPr>
                <w:b/>
                <w:color w:val="000000"/>
              </w:rPr>
              <w:t>)</w:t>
            </w:r>
          </w:p>
        </w:tc>
        <w:tc>
          <w:tcPr>
            <w:tcW w:w="1150" w:type="dxa"/>
            <w:tcBorders>
              <w:top w:val="single" w:sz="4" w:space="0" w:color="auto"/>
              <w:left w:val="nil"/>
              <w:bottom w:val="nil"/>
              <w:right w:val="single" w:sz="4" w:space="0" w:color="auto"/>
            </w:tcBorders>
            <w:shd w:val="clear" w:color="auto" w:fill="BFBFBF" w:themeFill="background1" w:themeFillShade="BF"/>
            <w:vAlign w:val="center"/>
            <w:hideMark/>
          </w:tcPr>
          <w:p w14:paraId="3642A512" w14:textId="010AC853" w:rsidR="007B4113" w:rsidRPr="00F34888" w:rsidRDefault="007B4113" w:rsidP="007B4113">
            <w:pPr>
              <w:pStyle w:val="Tabela-tekst"/>
              <w:jc w:val="center"/>
              <w:rPr>
                <w:b/>
                <w:color w:val="000000"/>
              </w:rPr>
            </w:pPr>
            <w:r w:rsidRPr="00FE7CD2">
              <w:rPr>
                <w:b/>
                <w:bCs/>
              </w:rPr>
              <w:t xml:space="preserve">Wynik oceny </w:t>
            </w:r>
            <w:r w:rsidRPr="00FE7CD2">
              <w:rPr>
                <w:b/>
                <w:color w:val="000000"/>
              </w:rPr>
              <w:t>stanu</w:t>
            </w:r>
          </w:p>
        </w:tc>
        <w:tc>
          <w:tcPr>
            <w:tcW w:w="1844" w:type="dxa"/>
            <w:tcBorders>
              <w:top w:val="single" w:sz="4" w:space="0" w:color="auto"/>
              <w:left w:val="nil"/>
              <w:bottom w:val="nil"/>
              <w:right w:val="single" w:sz="4" w:space="0" w:color="auto"/>
            </w:tcBorders>
            <w:shd w:val="clear" w:color="auto" w:fill="BFBFBF" w:themeFill="background1" w:themeFillShade="BF"/>
            <w:vAlign w:val="center"/>
            <w:hideMark/>
          </w:tcPr>
          <w:p w14:paraId="35C3707E" w14:textId="2DEB0D6A" w:rsidR="007B4113" w:rsidRPr="00F34888" w:rsidRDefault="007B4113" w:rsidP="007B4113">
            <w:pPr>
              <w:pStyle w:val="Tabela-tekst"/>
              <w:jc w:val="center"/>
              <w:rPr>
                <w:b/>
                <w:color w:val="000000"/>
              </w:rPr>
            </w:pPr>
            <w:r w:rsidRPr="00FE7CD2">
              <w:rPr>
                <w:b/>
                <w:bCs/>
              </w:rPr>
              <w:t>Numery jcwpd</w:t>
            </w:r>
          </w:p>
        </w:tc>
        <w:tc>
          <w:tcPr>
            <w:tcW w:w="992" w:type="dxa"/>
            <w:tcBorders>
              <w:top w:val="single" w:sz="4" w:space="0" w:color="auto"/>
              <w:left w:val="nil"/>
              <w:bottom w:val="nil"/>
              <w:right w:val="single" w:sz="4" w:space="0" w:color="auto"/>
            </w:tcBorders>
            <w:shd w:val="clear" w:color="auto" w:fill="BFBFBF" w:themeFill="background1" w:themeFillShade="BF"/>
            <w:vAlign w:val="center"/>
            <w:hideMark/>
          </w:tcPr>
          <w:p w14:paraId="25BF5A28" w14:textId="7CD74FC5" w:rsidR="007B4113" w:rsidRPr="00F34888" w:rsidRDefault="007B4113" w:rsidP="007B4113">
            <w:pPr>
              <w:pStyle w:val="Tabela-tekst"/>
              <w:jc w:val="center"/>
              <w:rPr>
                <w:b/>
                <w:color w:val="000000"/>
              </w:rPr>
            </w:pPr>
            <w:r w:rsidRPr="00FE7CD2">
              <w:rPr>
                <w:b/>
                <w:bCs/>
              </w:rPr>
              <w:t>Liczba jcwpd</w:t>
            </w:r>
          </w:p>
        </w:tc>
        <w:tc>
          <w:tcPr>
            <w:tcW w:w="1276" w:type="dxa"/>
            <w:tcBorders>
              <w:top w:val="single" w:sz="4" w:space="0" w:color="auto"/>
              <w:left w:val="nil"/>
              <w:bottom w:val="nil"/>
              <w:right w:val="single" w:sz="4" w:space="0" w:color="auto"/>
            </w:tcBorders>
            <w:shd w:val="clear" w:color="auto" w:fill="BFBFBF" w:themeFill="background1" w:themeFillShade="BF"/>
            <w:vAlign w:val="center"/>
            <w:hideMark/>
          </w:tcPr>
          <w:p w14:paraId="38F275D7" w14:textId="349F6081" w:rsidR="007B4113" w:rsidRPr="00F34888" w:rsidRDefault="007B4113" w:rsidP="007B4113">
            <w:pPr>
              <w:pStyle w:val="Tabela-tekst"/>
              <w:jc w:val="center"/>
              <w:rPr>
                <w:b/>
                <w:color w:val="000000"/>
              </w:rPr>
            </w:pPr>
            <w:r w:rsidRPr="00FE7CD2">
              <w:rPr>
                <w:b/>
                <w:bCs/>
              </w:rPr>
              <w:t xml:space="preserve">Powierzchnia jcwpd </w:t>
            </w:r>
            <w:r w:rsidRPr="00FE7CD2">
              <w:rPr>
                <w:b/>
                <w:bCs/>
              </w:rPr>
              <w:br/>
              <w:t>(km</w:t>
            </w:r>
            <w:r w:rsidRPr="00FE7CD2">
              <w:rPr>
                <w:b/>
                <w:color w:val="000000"/>
                <w:vertAlign w:val="superscript"/>
              </w:rPr>
              <w:t>2</w:t>
            </w:r>
            <w:r w:rsidRPr="00FE7CD2">
              <w:rPr>
                <w:b/>
                <w:color w:val="000000"/>
              </w:rPr>
              <w:t>)</w:t>
            </w:r>
          </w:p>
        </w:tc>
        <w:tc>
          <w:tcPr>
            <w:tcW w:w="1559" w:type="dxa"/>
            <w:tcBorders>
              <w:top w:val="single" w:sz="4" w:space="0" w:color="auto"/>
              <w:left w:val="nil"/>
              <w:bottom w:val="nil"/>
              <w:right w:val="single" w:sz="4" w:space="0" w:color="auto"/>
            </w:tcBorders>
            <w:shd w:val="clear" w:color="auto" w:fill="BFBFBF" w:themeFill="background1" w:themeFillShade="BF"/>
            <w:vAlign w:val="center"/>
            <w:hideMark/>
          </w:tcPr>
          <w:p w14:paraId="489F939E" w14:textId="4EFAF62E" w:rsidR="007B4113" w:rsidRPr="00F34888" w:rsidRDefault="007B4113" w:rsidP="007B4113">
            <w:pPr>
              <w:pStyle w:val="Tabela-tekst"/>
              <w:jc w:val="center"/>
              <w:rPr>
                <w:b/>
                <w:color w:val="000000"/>
              </w:rPr>
            </w:pPr>
            <w:r w:rsidRPr="00FE7CD2">
              <w:rPr>
                <w:b/>
                <w:bCs/>
              </w:rPr>
              <w:t xml:space="preserve">Udział w powierzchni </w:t>
            </w:r>
            <w:r w:rsidR="00680907">
              <w:rPr>
                <w:b/>
                <w:bCs/>
              </w:rPr>
              <w:t>jcwpd na obszarze</w:t>
            </w:r>
            <w:r w:rsidRPr="00FE7CD2">
              <w:rPr>
                <w:b/>
                <w:bCs/>
              </w:rPr>
              <w:t xml:space="preserve"> dorzecza (%)</w:t>
            </w:r>
          </w:p>
        </w:tc>
      </w:tr>
      <w:tr w:rsidR="00643D60" w:rsidRPr="00F34888" w14:paraId="0DEBD511" w14:textId="77777777" w:rsidTr="00FE7CD2">
        <w:trPr>
          <w:trHeight w:val="454"/>
        </w:trPr>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A34FE5" w14:textId="77777777" w:rsidR="00643D60" w:rsidRPr="00F34888" w:rsidRDefault="00643D60" w:rsidP="00E3348F">
            <w:pPr>
              <w:pStyle w:val="Tabela-tekst"/>
              <w:jc w:val="center"/>
              <w:rPr>
                <w:color w:val="000000"/>
              </w:rP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3CFC26" w14:textId="77777777" w:rsidR="00643D60" w:rsidRPr="00F34888" w:rsidRDefault="00643D60" w:rsidP="00E3348F">
            <w:pPr>
              <w:pStyle w:val="Tabela-tekst"/>
              <w:jc w:val="center"/>
              <w:rPr>
                <w:color w:val="000000"/>
              </w:rPr>
            </w:pPr>
            <w:r>
              <w:t>7 512</w:t>
            </w:r>
            <w:r w:rsidRPr="00BE4152">
              <w:rPr>
                <w:color w:val="000000"/>
              </w:rPr>
              <w:t>,</w:t>
            </w:r>
            <w:r>
              <w:rPr>
                <w:color w:val="000000"/>
              </w:rPr>
              <w:t>31</w:t>
            </w:r>
          </w:p>
        </w:tc>
        <w:tc>
          <w:tcPr>
            <w:tcW w:w="1150" w:type="dxa"/>
            <w:tcBorders>
              <w:top w:val="single" w:sz="4" w:space="0" w:color="auto"/>
              <w:left w:val="nil"/>
              <w:bottom w:val="single" w:sz="4" w:space="0" w:color="auto"/>
              <w:right w:val="single" w:sz="4" w:space="0" w:color="auto"/>
            </w:tcBorders>
            <w:shd w:val="clear" w:color="000000" w:fill="92D050"/>
            <w:vAlign w:val="center"/>
            <w:hideMark/>
          </w:tcPr>
          <w:p w14:paraId="61A23696" w14:textId="77777777" w:rsidR="00643D60" w:rsidRPr="00F34888" w:rsidRDefault="00643D60" w:rsidP="00E3348F">
            <w:pPr>
              <w:pStyle w:val="Tabela-tekst"/>
              <w:jc w:val="center"/>
              <w:rPr>
                <w:color w:val="000000"/>
              </w:rPr>
            </w:pPr>
            <w:r w:rsidRPr="00F34888">
              <w:t>stan dobry</w:t>
            </w:r>
          </w:p>
        </w:tc>
        <w:tc>
          <w:tcPr>
            <w:tcW w:w="1844" w:type="dxa"/>
            <w:tcBorders>
              <w:top w:val="single" w:sz="4" w:space="0" w:color="auto"/>
              <w:left w:val="nil"/>
              <w:bottom w:val="single" w:sz="4" w:space="0" w:color="auto"/>
              <w:right w:val="single" w:sz="4" w:space="0" w:color="auto"/>
            </w:tcBorders>
            <w:shd w:val="clear" w:color="auto" w:fill="auto"/>
            <w:vAlign w:val="center"/>
            <w:hideMark/>
          </w:tcPr>
          <w:p w14:paraId="27151134" w14:textId="79D82BE8" w:rsidR="00643D60" w:rsidRPr="00F34888" w:rsidRDefault="00643D60" w:rsidP="00E3348F">
            <w:pPr>
              <w:pStyle w:val="Tabela-tekst"/>
              <w:jc w:val="center"/>
              <w:rPr>
                <w:sz w:val="18"/>
                <w:szCs w:val="18"/>
              </w:rPr>
            </w:pPr>
            <w:r>
              <w:rPr>
                <w:sz w:val="18"/>
                <w:szCs w:val="18"/>
              </w:rPr>
              <w:t>20,21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E41C344" w14:textId="77777777" w:rsidR="00643D60" w:rsidRPr="00F34888" w:rsidRDefault="00643D60" w:rsidP="00E3348F">
            <w:pPr>
              <w:pStyle w:val="Tabela-tekst"/>
              <w:jc w:val="center"/>
              <w:rPr>
                <w:sz w:val="18"/>
                <w:szCs w:val="18"/>
              </w:rPr>
            </w:pPr>
            <w:r>
              <w:rPr>
                <w:sz w:val="18"/>
                <w:szCs w:val="18"/>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BECFD90" w14:textId="77777777" w:rsidR="00643D60" w:rsidRPr="00F34888" w:rsidRDefault="00643D60" w:rsidP="00E3348F">
            <w:pPr>
              <w:pStyle w:val="Tabela-tekst"/>
              <w:jc w:val="center"/>
              <w:rPr>
                <w:sz w:val="18"/>
                <w:szCs w:val="18"/>
              </w:rPr>
            </w:pPr>
            <w:r>
              <w:t>7 512</w:t>
            </w:r>
            <w:r w:rsidRPr="00BE4152">
              <w:rPr>
                <w:color w:val="000000"/>
              </w:rPr>
              <w:t>,</w:t>
            </w:r>
            <w:r>
              <w:rPr>
                <w:color w:val="000000"/>
              </w:rPr>
              <w:t>31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DC872DF" w14:textId="514A7E84" w:rsidR="00643D60" w:rsidRPr="00F34888" w:rsidRDefault="00643D60" w:rsidP="00E3348F">
            <w:pPr>
              <w:pStyle w:val="Tabela-tekst"/>
              <w:jc w:val="center"/>
              <w:rPr>
                <w:sz w:val="18"/>
                <w:szCs w:val="18"/>
              </w:rPr>
            </w:pPr>
            <w:r>
              <w:rPr>
                <w:sz w:val="18"/>
                <w:szCs w:val="18"/>
              </w:rPr>
              <w:t>100,00</w:t>
            </w:r>
          </w:p>
        </w:tc>
      </w:tr>
      <w:tr w:rsidR="00643D60" w:rsidRPr="00F34888" w14:paraId="0EB72558" w14:textId="77777777" w:rsidTr="00FE7CD2">
        <w:trPr>
          <w:trHeight w:val="454"/>
        </w:trPr>
        <w:tc>
          <w:tcPr>
            <w:tcW w:w="941" w:type="dxa"/>
            <w:vMerge/>
            <w:tcBorders>
              <w:top w:val="single" w:sz="4" w:space="0" w:color="auto"/>
              <w:left w:val="single" w:sz="4" w:space="0" w:color="auto"/>
              <w:bottom w:val="single" w:sz="4" w:space="0" w:color="auto"/>
              <w:right w:val="single" w:sz="4" w:space="0" w:color="auto"/>
            </w:tcBorders>
            <w:vAlign w:val="center"/>
            <w:hideMark/>
          </w:tcPr>
          <w:p w14:paraId="2B59B0FD" w14:textId="77777777" w:rsidR="00643D60" w:rsidRPr="00F34888"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2AE79C26" w14:textId="77777777" w:rsidR="00643D60" w:rsidRPr="00F34888" w:rsidRDefault="00643D60" w:rsidP="00E3348F">
            <w:pPr>
              <w:pStyle w:val="Tabela-tekst"/>
              <w:jc w:val="center"/>
            </w:pPr>
          </w:p>
        </w:tc>
        <w:tc>
          <w:tcPr>
            <w:tcW w:w="1150" w:type="dxa"/>
            <w:tcBorders>
              <w:top w:val="nil"/>
              <w:left w:val="nil"/>
              <w:bottom w:val="single" w:sz="4" w:space="0" w:color="auto"/>
              <w:right w:val="single" w:sz="4" w:space="0" w:color="auto"/>
            </w:tcBorders>
            <w:shd w:val="clear" w:color="000000" w:fill="FF0000"/>
            <w:noWrap/>
            <w:vAlign w:val="center"/>
            <w:hideMark/>
          </w:tcPr>
          <w:p w14:paraId="125E272A" w14:textId="77777777" w:rsidR="00643D60" w:rsidRPr="00F34888" w:rsidRDefault="00643D60" w:rsidP="00E3348F">
            <w:pPr>
              <w:pStyle w:val="Tabela-tekst"/>
              <w:jc w:val="center"/>
              <w:rPr>
                <w:color w:val="000000"/>
              </w:rPr>
            </w:pPr>
            <w:r w:rsidRPr="00F34888">
              <w:t>stan słaby</w:t>
            </w:r>
          </w:p>
        </w:tc>
        <w:tc>
          <w:tcPr>
            <w:tcW w:w="1844" w:type="dxa"/>
            <w:tcBorders>
              <w:top w:val="nil"/>
              <w:left w:val="nil"/>
              <w:bottom w:val="single" w:sz="4" w:space="0" w:color="auto"/>
              <w:right w:val="single" w:sz="4" w:space="0" w:color="auto"/>
            </w:tcBorders>
            <w:shd w:val="clear" w:color="auto" w:fill="auto"/>
            <w:vAlign w:val="center"/>
          </w:tcPr>
          <w:p w14:paraId="41112311" w14:textId="77777777" w:rsidR="00643D60" w:rsidRPr="00F34888" w:rsidRDefault="00643D60" w:rsidP="00E3348F">
            <w:pPr>
              <w:pStyle w:val="Tabela-tekst"/>
              <w:jc w:val="center"/>
              <w:rPr>
                <w:sz w:val="18"/>
                <w:szCs w:val="18"/>
              </w:rPr>
            </w:pPr>
            <w:r w:rsidRPr="009B239C">
              <w:rPr>
                <w:sz w:val="18"/>
                <w:szCs w:val="18"/>
              </w:rPr>
              <w:t>-</w:t>
            </w:r>
          </w:p>
        </w:tc>
        <w:tc>
          <w:tcPr>
            <w:tcW w:w="992" w:type="dxa"/>
            <w:tcBorders>
              <w:top w:val="nil"/>
              <w:left w:val="nil"/>
              <w:bottom w:val="single" w:sz="4" w:space="0" w:color="auto"/>
              <w:right w:val="single" w:sz="4" w:space="0" w:color="auto"/>
            </w:tcBorders>
            <w:shd w:val="clear" w:color="auto" w:fill="auto"/>
            <w:vAlign w:val="center"/>
          </w:tcPr>
          <w:p w14:paraId="497B0E7A" w14:textId="77777777" w:rsidR="00643D60" w:rsidRPr="00F34888" w:rsidRDefault="00643D60" w:rsidP="00E3348F">
            <w:pPr>
              <w:pStyle w:val="Tabela-tekst"/>
              <w:jc w:val="center"/>
              <w:rPr>
                <w:sz w:val="18"/>
                <w:szCs w:val="18"/>
              </w:rPr>
            </w:pPr>
            <w:r w:rsidRPr="009B239C">
              <w:rPr>
                <w:sz w:val="18"/>
                <w:szCs w:val="18"/>
              </w:rPr>
              <w:t>-</w:t>
            </w:r>
          </w:p>
        </w:tc>
        <w:tc>
          <w:tcPr>
            <w:tcW w:w="1276" w:type="dxa"/>
            <w:tcBorders>
              <w:top w:val="nil"/>
              <w:left w:val="nil"/>
              <w:bottom w:val="single" w:sz="4" w:space="0" w:color="auto"/>
              <w:right w:val="single" w:sz="4" w:space="0" w:color="auto"/>
            </w:tcBorders>
            <w:shd w:val="clear" w:color="auto" w:fill="auto"/>
            <w:vAlign w:val="center"/>
          </w:tcPr>
          <w:p w14:paraId="10E74D38" w14:textId="77777777" w:rsidR="00643D60" w:rsidRPr="00F34888" w:rsidRDefault="00643D60" w:rsidP="00E3348F">
            <w:pPr>
              <w:pStyle w:val="Tabela-tekst"/>
              <w:jc w:val="center"/>
              <w:rPr>
                <w:sz w:val="18"/>
                <w:szCs w:val="18"/>
              </w:rPr>
            </w:pPr>
            <w:r w:rsidRPr="009B239C">
              <w:rPr>
                <w:sz w:val="18"/>
                <w:szCs w:val="18"/>
              </w:rPr>
              <w:t>-</w:t>
            </w:r>
          </w:p>
        </w:tc>
        <w:tc>
          <w:tcPr>
            <w:tcW w:w="1559" w:type="dxa"/>
            <w:tcBorders>
              <w:top w:val="nil"/>
              <w:left w:val="nil"/>
              <w:bottom w:val="single" w:sz="4" w:space="0" w:color="auto"/>
              <w:right w:val="single" w:sz="4" w:space="0" w:color="auto"/>
            </w:tcBorders>
            <w:shd w:val="clear" w:color="auto" w:fill="auto"/>
            <w:vAlign w:val="center"/>
          </w:tcPr>
          <w:p w14:paraId="148A0A3B" w14:textId="77777777" w:rsidR="00643D60" w:rsidRPr="00F34888" w:rsidRDefault="00643D60" w:rsidP="00E3348F">
            <w:pPr>
              <w:pStyle w:val="Tabela-tekst"/>
              <w:jc w:val="center"/>
              <w:rPr>
                <w:sz w:val="18"/>
                <w:szCs w:val="18"/>
              </w:rPr>
            </w:pPr>
            <w:r w:rsidRPr="009B239C">
              <w:rPr>
                <w:sz w:val="18"/>
                <w:szCs w:val="18"/>
              </w:rPr>
              <w:t>-</w:t>
            </w:r>
          </w:p>
        </w:tc>
      </w:tr>
    </w:tbl>
    <w:p w14:paraId="40ADDB0D" w14:textId="77777777" w:rsidR="00B84032" w:rsidRDefault="00B84032" w:rsidP="00B84032">
      <w:pPr>
        <w:pStyle w:val="rdo0"/>
      </w:pPr>
      <w:r w:rsidRPr="002D0D68">
        <w:t xml:space="preserve">Źródło: opracowanie </w:t>
      </w:r>
      <w:r>
        <w:t>własne</w:t>
      </w:r>
    </w:p>
    <w:p w14:paraId="23206561" w14:textId="4C77D349" w:rsidR="00643D60" w:rsidRPr="00BE4152" w:rsidRDefault="00643D60" w:rsidP="006802BB">
      <w:pPr>
        <w:pStyle w:val="Tabela"/>
      </w:pPr>
      <w:bookmarkStart w:id="111" w:name="_Toc68726980"/>
      <w:r w:rsidRPr="00BE4152">
        <w:t xml:space="preserve">Tabela </w:t>
      </w:r>
      <w:fldSimple w:instr=" STYLEREF 1 \s ">
        <w:r w:rsidR="007B4050">
          <w:rPr>
            <w:noProof/>
          </w:rPr>
          <w:t>5</w:t>
        </w:r>
      </w:fldSimple>
      <w:r w:rsidR="007B4050">
        <w:noBreakHyphen/>
      </w:r>
      <w:fldSimple w:instr=" SEQ Tabela \* ARABIC \s 1 ">
        <w:r w:rsidR="007B4050">
          <w:rPr>
            <w:noProof/>
          </w:rPr>
          <w:t>28</w:t>
        </w:r>
      </w:fldSimple>
      <w:r>
        <w:tab/>
      </w:r>
      <w:r w:rsidRPr="00C77C3C">
        <w:t xml:space="preserve">Wyniki testu I.3 </w:t>
      </w:r>
      <w:r w:rsidR="00442AB7">
        <w:t>-</w:t>
      </w:r>
      <w:r w:rsidRPr="00C77C3C">
        <w:t xml:space="preserve"> Ochrona ekosystemów lądowych zależnych od wód podziemnych</w:t>
      </w:r>
      <w:bookmarkEnd w:id="111"/>
    </w:p>
    <w:tbl>
      <w:tblPr>
        <w:tblW w:w="9012" w:type="dxa"/>
        <w:tblInd w:w="55" w:type="dxa"/>
        <w:tblCellMar>
          <w:left w:w="70" w:type="dxa"/>
          <w:right w:w="70" w:type="dxa"/>
        </w:tblCellMar>
        <w:tblLook w:val="04A0" w:firstRow="1" w:lastRow="0" w:firstColumn="1" w:lastColumn="0" w:noHBand="0" w:noVBand="1"/>
      </w:tblPr>
      <w:tblGrid>
        <w:gridCol w:w="943"/>
        <w:gridCol w:w="1250"/>
        <w:gridCol w:w="1253"/>
        <w:gridCol w:w="1739"/>
        <w:gridCol w:w="992"/>
        <w:gridCol w:w="1276"/>
        <w:gridCol w:w="1559"/>
      </w:tblGrid>
      <w:tr w:rsidR="007B4113" w:rsidRPr="00BE4152" w14:paraId="7844EE6D" w14:textId="77777777" w:rsidTr="007E5892">
        <w:trPr>
          <w:trHeight w:val="454"/>
          <w:tblHeader/>
        </w:trPr>
        <w:tc>
          <w:tcPr>
            <w:tcW w:w="9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DE0DDC" w14:textId="77777777" w:rsidR="007B4113" w:rsidRPr="00A03144" w:rsidRDefault="007B4113" w:rsidP="007B4113">
            <w:pPr>
              <w:pStyle w:val="Tabela-tekst"/>
              <w:jc w:val="center"/>
              <w:rPr>
                <w:b/>
                <w:bCs/>
              </w:rPr>
            </w:pPr>
            <w:r w:rsidRPr="00A03144">
              <w:rPr>
                <w:b/>
                <w:bCs/>
              </w:rPr>
              <w:t>Nazwa dorzecza</w:t>
            </w:r>
          </w:p>
        </w:tc>
        <w:tc>
          <w:tcPr>
            <w:tcW w:w="12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DC67FAC" w14:textId="596E353F" w:rsidR="007B4113" w:rsidRPr="00A03144" w:rsidRDefault="007B4113" w:rsidP="007B4113">
            <w:pPr>
              <w:pStyle w:val="Tabela-tekst"/>
              <w:jc w:val="center"/>
              <w:rPr>
                <w:b/>
                <w:bCs/>
              </w:rPr>
            </w:pPr>
            <w:r w:rsidRPr="00FE7CD2">
              <w:rPr>
                <w:b/>
                <w:bCs/>
              </w:rPr>
              <w:t xml:space="preserve">Powierzchnia </w:t>
            </w:r>
            <w:r w:rsidR="000B7413">
              <w:rPr>
                <w:b/>
                <w:bCs/>
              </w:rPr>
              <w:t>jcwpd na obszarze</w:t>
            </w:r>
            <w:r w:rsidR="000B7413" w:rsidRPr="00FE7CD2">
              <w:rPr>
                <w:b/>
                <w:bCs/>
              </w:rPr>
              <w:t xml:space="preserve"> </w:t>
            </w:r>
            <w:r w:rsidRPr="00FE7CD2">
              <w:rPr>
                <w:b/>
                <w:bCs/>
              </w:rPr>
              <w:t>dorzecza (km</w:t>
            </w:r>
            <w:r w:rsidRPr="00FE7CD2">
              <w:rPr>
                <w:b/>
                <w:color w:val="000000"/>
                <w:vertAlign w:val="superscript"/>
              </w:rPr>
              <w:t>2</w:t>
            </w:r>
            <w:r w:rsidRPr="00FE7CD2">
              <w:rPr>
                <w:b/>
                <w:color w:val="000000"/>
              </w:rPr>
              <w:t>)</w:t>
            </w:r>
          </w:p>
        </w:tc>
        <w:tc>
          <w:tcPr>
            <w:tcW w:w="1253" w:type="dxa"/>
            <w:tcBorders>
              <w:top w:val="single" w:sz="4" w:space="0" w:color="auto"/>
              <w:left w:val="nil"/>
              <w:bottom w:val="nil"/>
              <w:right w:val="single" w:sz="4" w:space="0" w:color="auto"/>
            </w:tcBorders>
            <w:shd w:val="clear" w:color="auto" w:fill="BFBFBF" w:themeFill="background1" w:themeFillShade="BF"/>
            <w:vAlign w:val="center"/>
            <w:hideMark/>
          </w:tcPr>
          <w:p w14:paraId="231CBFA7" w14:textId="64C26296" w:rsidR="007B4113" w:rsidRPr="00A03144" w:rsidRDefault="007B4113" w:rsidP="007B4113">
            <w:pPr>
              <w:pStyle w:val="Tabela-tekst"/>
              <w:jc w:val="center"/>
              <w:rPr>
                <w:b/>
                <w:bCs/>
              </w:rPr>
            </w:pPr>
            <w:r w:rsidRPr="00FE7CD2">
              <w:rPr>
                <w:b/>
                <w:bCs/>
              </w:rPr>
              <w:t xml:space="preserve">Wynik oceny </w:t>
            </w:r>
            <w:r w:rsidRPr="00FE7CD2">
              <w:rPr>
                <w:b/>
                <w:color w:val="000000"/>
              </w:rPr>
              <w:t>stanu</w:t>
            </w:r>
          </w:p>
        </w:tc>
        <w:tc>
          <w:tcPr>
            <w:tcW w:w="1739" w:type="dxa"/>
            <w:tcBorders>
              <w:top w:val="single" w:sz="4" w:space="0" w:color="auto"/>
              <w:left w:val="nil"/>
              <w:bottom w:val="nil"/>
              <w:right w:val="single" w:sz="4" w:space="0" w:color="auto"/>
            </w:tcBorders>
            <w:shd w:val="clear" w:color="auto" w:fill="BFBFBF" w:themeFill="background1" w:themeFillShade="BF"/>
            <w:vAlign w:val="center"/>
            <w:hideMark/>
          </w:tcPr>
          <w:p w14:paraId="20F13F2A" w14:textId="729F41B4" w:rsidR="007B4113" w:rsidRPr="00A03144" w:rsidRDefault="007B4113" w:rsidP="007B4113">
            <w:pPr>
              <w:pStyle w:val="Tabela-tekst"/>
              <w:jc w:val="center"/>
              <w:rPr>
                <w:b/>
                <w:bCs/>
              </w:rPr>
            </w:pPr>
            <w:r w:rsidRPr="00FE7CD2">
              <w:rPr>
                <w:b/>
                <w:bCs/>
              </w:rPr>
              <w:t>Numery jcwpd</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210EB66" w14:textId="767E2FCB" w:rsidR="007B4113" w:rsidRPr="00A03144" w:rsidRDefault="007B4113" w:rsidP="007B4113">
            <w:pPr>
              <w:pStyle w:val="Tabela-tekst"/>
              <w:jc w:val="center"/>
              <w:rPr>
                <w:b/>
                <w:bCs/>
              </w:rPr>
            </w:pPr>
            <w:r w:rsidRPr="00FE7CD2">
              <w:rPr>
                <w:b/>
                <w:bCs/>
              </w:rPr>
              <w:t>Liczba jcwpd</w:t>
            </w:r>
          </w:p>
        </w:tc>
        <w:tc>
          <w:tcPr>
            <w:tcW w:w="1276" w:type="dxa"/>
            <w:tcBorders>
              <w:top w:val="single" w:sz="4" w:space="0" w:color="auto"/>
              <w:left w:val="nil"/>
              <w:bottom w:val="nil"/>
              <w:right w:val="single" w:sz="4" w:space="0" w:color="auto"/>
            </w:tcBorders>
            <w:shd w:val="clear" w:color="auto" w:fill="BFBFBF" w:themeFill="background1" w:themeFillShade="BF"/>
            <w:vAlign w:val="center"/>
            <w:hideMark/>
          </w:tcPr>
          <w:p w14:paraId="3E238A49" w14:textId="2D712FAE" w:rsidR="007B4113" w:rsidRPr="00A03144" w:rsidRDefault="007B4113" w:rsidP="007B4113">
            <w:pPr>
              <w:pStyle w:val="Tabela-tekst"/>
              <w:jc w:val="center"/>
              <w:rPr>
                <w:b/>
                <w:bCs/>
              </w:rPr>
            </w:pPr>
            <w:r w:rsidRPr="00FE7CD2">
              <w:rPr>
                <w:b/>
                <w:bCs/>
              </w:rPr>
              <w:t xml:space="preserve">Powierzchnia jcwpd </w:t>
            </w:r>
            <w:r w:rsidRPr="00FE7CD2">
              <w:rPr>
                <w:b/>
                <w:bCs/>
              </w:rPr>
              <w:br/>
              <w:t>(km</w:t>
            </w:r>
            <w:r w:rsidRPr="00FE7CD2">
              <w:rPr>
                <w:b/>
                <w:color w:val="000000"/>
                <w:vertAlign w:val="superscript"/>
              </w:rPr>
              <w:t>2</w:t>
            </w:r>
            <w:r w:rsidRPr="00FE7CD2">
              <w:rPr>
                <w:b/>
                <w:color w:val="000000"/>
              </w:rPr>
              <w:t>)</w:t>
            </w:r>
          </w:p>
        </w:tc>
        <w:tc>
          <w:tcPr>
            <w:tcW w:w="1559" w:type="dxa"/>
            <w:tcBorders>
              <w:top w:val="single" w:sz="4" w:space="0" w:color="auto"/>
              <w:left w:val="nil"/>
              <w:bottom w:val="nil"/>
              <w:right w:val="single" w:sz="4" w:space="0" w:color="auto"/>
            </w:tcBorders>
            <w:shd w:val="clear" w:color="auto" w:fill="BFBFBF" w:themeFill="background1" w:themeFillShade="BF"/>
            <w:vAlign w:val="center"/>
            <w:hideMark/>
          </w:tcPr>
          <w:p w14:paraId="747CF160" w14:textId="10CB8908" w:rsidR="007B4113" w:rsidRPr="00A03144" w:rsidRDefault="007B4113" w:rsidP="007B4113">
            <w:pPr>
              <w:pStyle w:val="Tabela-tekst"/>
              <w:jc w:val="center"/>
              <w:rPr>
                <w:b/>
                <w:bCs/>
              </w:rPr>
            </w:pPr>
            <w:r w:rsidRPr="00FE7CD2">
              <w:rPr>
                <w:b/>
                <w:bCs/>
              </w:rPr>
              <w:t xml:space="preserve">Udział w powierzchni </w:t>
            </w:r>
            <w:r w:rsidR="00680907">
              <w:rPr>
                <w:b/>
                <w:bCs/>
              </w:rPr>
              <w:t>jcwpd na obszarze</w:t>
            </w:r>
            <w:r w:rsidRPr="00FE7CD2">
              <w:rPr>
                <w:b/>
                <w:bCs/>
              </w:rPr>
              <w:t xml:space="preserve"> dorzecza (%)</w:t>
            </w:r>
          </w:p>
        </w:tc>
      </w:tr>
      <w:tr w:rsidR="00643D60" w:rsidRPr="00BE4152" w14:paraId="352897CD" w14:textId="77777777" w:rsidTr="007E5892">
        <w:trPr>
          <w:trHeight w:val="454"/>
        </w:trPr>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7BC3DD" w14:textId="77777777" w:rsidR="00643D60" w:rsidRPr="00BE4152" w:rsidRDefault="00643D60" w:rsidP="00E3348F">
            <w:pPr>
              <w:pStyle w:val="Tabela-tekst"/>
              <w:jc w:val="center"/>
            </w:pPr>
            <w:r>
              <w:t>Pregoła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1596EE" w14:textId="77777777" w:rsidR="00643D60" w:rsidRPr="00BE4152" w:rsidRDefault="00643D60" w:rsidP="00E3348F">
            <w:pPr>
              <w:pStyle w:val="Tabela-tekst"/>
              <w:jc w:val="center"/>
            </w:pPr>
            <w:r>
              <w:t>7 512</w:t>
            </w:r>
            <w:r w:rsidRPr="00BE4152">
              <w:rPr>
                <w:color w:val="000000"/>
              </w:rPr>
              <w:t>,</w:t>
            </w:r>
            <w:r>
              <w:rPr>
                <w:color w:val="000000"/>
              </w:rPr>
              <w:t>31</w:t>
            </w:r>
          </w:p>
        </w:tc>
        <w:tc>
          <w:tcPr>
            <w:tcW w:w="1253"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014BF14C" w14:textId="77777777" w:rsidR="00643D60" w:rsidRPr="00BE4152" w:rsidRDefault="00643D60" w:rsidP="00E3348F">
            <w:pPr>
              <w:pStyle w:val="Tabela-tekst"/>
              <w:jc w:val="center"/>
            </w:pPr>
            <w:r w:rsidRPr="00BE4152">
              <w:t>stan dobry</w:t>
            </w:r>
          </w:p>
        </w:tc>
        <w:tc>
          <w:tcPr>
            <w:tcW w:w="1739" w:type="dxa"/>
            <w:tcBorders>
              <w:top w:val="single" w:sz="4" w:space="0" w:color="auto"/>
              <w:left w:val="nil"/>
              <w:bottom w:val="single" w:sz="4" w:space="0" w:color="auto"/>
              <w:right w:val="single" w:sz="4" w:space="0" w:color="auto"/>
            </w:tcBorders>
            <w:shd w:val="clear" w:color="auto" w:fill="auto"/>
            <w:vAlign w:val="center"/>
            <w:hideMark/>
          </w:tcPr>
          <w:p w14:paraId="59749300" w14:textId="75194E0D" w:rsidR="00643D60" w:rsidRPr="00BE4152" w:rsidRDefault="00643D60" w:rsidP="00E3348F">
            <w:pPr>
              <w:pStyle w:val="Tabela-tekst"/>
              <w:jc w:val="center"/>
            </w:pPr>
            <w:r>
              <w:t>20,21</w:t>
            </w:r>
          </w:p>
        </w:tc>
        <w:tc>
          <w:tcPr>
            <w:tcW w:w="992" w:type="dxa"/>
            <w:tcBorders>
              <w:top w:val="nil"/>
              <w:left w:val="nil"/>
              <w:bottom w:val="single" w:sz="4" w:space="0" w:color="auto"/>
              <w:right w:val="single" w:sz="4" w:space="0" w:color="auto"/>
            </w:tcBorders>
            <w:shd w:val="clear" w:color="auto" w:fill="auto"/>
            <w:noWrap/>
            <w:vAlign w:val="center"/>
            <w:hideMark/>
          </w:tcPr>
          <w:p w14:paraId="68384F26" w14:textId="77777777" w:rsidR="00643D60" w:rsidRPr="00BE4152" w:rsidRDefault="00643D60" w:rsidP="00E3348F">
            <w:pPr>
              <w:pStyle w:val="Tabela-tekst"/>
              <w:jc w:val="center"/>
            </w:pPr>
            <w:r>
              <w:t>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3415C8A" w14:textId="77777777" w:rsidR="00643D60" w:rsidRPr="00BE4152" w:rsidRDefault="00643D60" w:rsidP="00E3348F">
            <w:pPr>
              <w:pStyle w:val="Tabela-tekst"/>
              <w:jc w:val="center"/>
            </w:pPr>
            <w:r>
              <w:t>7 512</w:t>
            </w:r>
            <w:r w:rsidRPr="00BE4152">
              <w:rPr>
                <w:color w:val="000000"/>
              </w:rPr>
              <w:t>,</w:t>
            </w:r>
            <w:r>
              <w:rPr>
                <w:color w:val="000000"/>
              </w:rPr>
              <w:t>31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D87FE04" w14:textId="250C02BF" w:rsidR="00643D60" w:rsidRPr="00BE4152" w:rsidRDefault="00643D60" w:rsidP="00E3348F">
            <w:pPr>
              <w:pStyle w:val="Tabela-tekst"/>
              <w:jc w:val="center"/>
            </w:pPr>
            <w:r>
              <w:t>100,00</w:t>
            </w:r>
          </w:p>
        </w:tc>
      </w:tr>
      <w:tr w:rsidR="00643D60" w:rsidRPr="00BE4152" w14:paraId="3FA8DAC7" w14:textId="77777777" w:rsidTr="007E5892">
        <w:trPr>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71545DB9" w14:textId="77777777" w:rsidR="00643D60" w:rsidRPr="00BE4152"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4C9C82A2" w14:textId="77777777" w:rsidR="00643D60" w:rsidRPr="00BE4152" w:rsidRDefault="00643D60" w:rsidP="00E3348F">
            <w:pPr>
              <w:pStyle w:val="Tabela-tekst"/>
              <w:jc w:val="center"/>
            </w:pPr>
          </w:p>
        </w:tc>
        <w:tc>
          <w:tcPr>
            <w:tcW w:w="1253" w:type="dxa"/>
            <w:tcBorders>
              <w:top w:val="nil"/>
              <w:left w:val="single" w:sz="4" w:space="0" w:color="auto"/>
              <w:bottom w:val="single" w:sz="4" w:space="0" w:color="auto"/>
              <w:right w:val="single" w:sz="4" w:space="0" w:color="auto"/>
            </w:tcBorders>
            <w:shd w:val="clear" w:color="000000" w:fill="FF0000"/>
            <w:noWrap/>
            <w:vAlign w:val="center"/>
            <w:hideMark/>
          </w:tcPr>
          <w:p w14:paraId="2B4C6794" w14:textId="77777777" w:rsidR="00643D60" w:rsidRPr="00BE4152" w:rsidRDefault="00643D60" w:rsidP="00E3348F">
            <w:pPr>
              <w:pStyle w:val="Tabela-tekst"/>
              <w:jc w:val="center"/>
            </w:pPr>
            <w:r>
              <w:t xml:space="preserve">stan </w:t>
            </w:r>
            <w:r w:rsidRPr="00BE4152">
              <w:t>słaby</w:t>
            </w:r>
          </w:p>
        </w:tc>
        <w:tc>
          <w:tcPr>
            <w:tcW w:w="1739" w:type="dxa"/>
            <w:tcBorders>
              <w:top w:val="nil"/>
              <w:left w:val="nil"/>
              <w:bottom w:val="single" w:sz="4" w:space="0" w:color="auto"/>
              <w:right w:val="single" w:sz="4" w:space="0" w:color="auto"/>
            </w:tcBorders>
            <w:shd w:val="clear" w:color="auto" w:fill="auto"/>
            <w:vAlign w:val="center"/>
            <w:hideMark/>
          </w:tcPr>
          <w:p w14:paraId="2D2E73BB" w14:textId="77777777" w:rsidR="00643D60" w:rsidRPr="00BE4152" w:rsidRDefault="00643D60" w:rsidP="00E3348F">
            <w:pPr>
              <w:pStyle w:val="Tabela-tekst"/>
              <w:jc w:val="center"/>
            </w:pPr>
            <w:r w:rsidRPr="009B239C">
              <w:t>-</w:t>
            </w:r>
          </w:p>
        </w:tc>
        <w:tc>
          <w:tcPr>
            <w:tcW w:w="992" w:type="dxa"/>
            <w:tcBorders>
              <w:top w:val="nil"/>
              <w:left w:val="nil"/>
              <w:bottom w:val="single" w:sz="4" w:space="0" w:color="auto"/>
              <w:right w:val="single" w:sz="4" w:space="0" w:color="auto"/>
            </w:tcBorders>
            <w:shd w:val="clear" w:color="auto" w:fill="auto"/>
            <w:noWrap/>
            <w:vAlign w:val="center"/>
            <w:hideMark/>
          </w:tcPr>
          <w:p w14:paraId="6A1A940A" w14:textId="77777777" w:rsidR="00643D60" w:rsidRPr="00BE4152" w:rsidRDefault="00643D60" w:rsidP="00E3348F">
            <w:pPr>
              <w:pStyle w:val="Tabela-tekst"/>
              <w:jc w:val="center"/>
            </w:pPr>
            <w:r w:rsidRPr="009B239C">
              <w:t>-</w:t>
            </w:r>
          </w:p>
        </w:tc>
        <w:tc>
          <w:tcPr>
            <w:tcW w:w="1276" w:type="dxa"/>
            <w:tcBorders>
              <w:top w:val="nil"/>
              <w:left w:val="nil"/>
              <w:bottom w:val="single" w:sz="4" w:space="0" w:color="auto"/>
              <w:right w:val="single" w:sz="4" w:space="0" w:color="auto"/>
            </w:tcBorders>
            <w:shd w:val="clear" w:color="auto" w:fill="auto"/>
            <w:noWrap/>
            <w:vAlign w:val="center"/>
            <w:hideMark/>
          </w:tcPr>
          <w:p w14:paraId="18AE2BF0" w14:textId="77777777" w:rsidR="00643D60" w:rsidRPr="00BE4152" w:rsidRDefault="00643D60" w:rsidP="00E3348F">
            <w:pPr>
              <w:pStyle w:val="Tabela-tekst"/>
              <w:jc w:val="center"/>
            </w:pPr>
            <w:r w:rsidRPr="009B239C">
              <w:t>-</w:t>
            </w:r>
          </w:p>
        </w:tc>
        <w:tc>
          <w:tcPr>
            <w:tcW w:w="1559" w:type="dxa"/>
            <w:tcBorders>
              <w:top w:val="nil"/>
              <w:left w:val="nil"/>
              <w:bottom w:val="single" w:sz="4" w:space="0" w:color="auto"/>
              <w:right w:val="single" w:sz="4" w:space="0" w:color="auto"/>
            </w:tcBorders>
            <w:shd w:val="clear" w:color="auto" w:fill="auto"/>
            <w:noWrap/>
            <w:vAlign w:val="center"/>
            <w:hideMark/>
          </w:tcPr>
          <w:p w14:paraId="6CD843AB" w14:textId="77777777" w:rsidR="00643D60" w:rsidRPr="00BE4152" w:rsidRDefault="00643D60" w:rsidP="00E3348F">
            <w:pPr>
              <w:pStyle w:val="Tabela-tekst"/>
              <w:jc w:val="center"/>
            </w:pPr>
            <w:r w:rsidRPr="009B239C">
              <w:t>-</w:t>
            </w:r>
          </w:p>
        </w:tc>
      </w:tr>
      <w:tr w:rsidR="00643D60" w:rsidRPr="00BE4152" w14:paraId="64B4B07F" w14:textId="77777777" w:rsidTr="007E5892">
        <w:trPr>
          <w:trHeight w:val="454"/>
        </w:trPr>
        <w:tc>
          <w:tcPr>
            <w:tcW w:w="943" w:type="dxa"/>
            <w:vMerge/>
            <w:tcBorders>
              <w:top w:val="single" w:sz="4" w:space="0" w:color="auto"/>
              <w:left w:val="single" w:sz="4" w:space="0" w:color="auto"/>
              <w:bottom w:val="single" w:sz="4" w:space="0" w:color="auto"/>
              <w:right w:val="single" w:sz="4" w:space="0" w:color="auto"/>
            </w:tcBorders>
            <w:vAlign w:val="center"/>
            <w:hideMark/>
          </w:tcPr>
          <w:p w14:paraId="4BDDCE3F" w14:textId="77777777" w:rsidR="00643D60" w:rsidRPr="00BE4152" w:rsidRDefault="00643D60" w:rsidP="00E3348F">
            <w:pPr>
              <w:pStyle w:val="Tabela-tekst"/>
              <w:jc w:val="cente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173E2B71" w14:textId="77777777" w:rsidR="00643D60" w:rsidRPr="00BE4152" w:rsidRDefault="00643D60" w:rsidP="00E3348F">
            <w:pPr>
              <w:pStyle w:val="Tabela-tekst"/>
              <w:jc w:val="center"/>
            </w:pPr>
          </w:p>
        </w:tc>
        <w:tc>
          <w:tcPr>
            <w:tcW w:w="1253" w:type="dxa"/>
            <w:tcBorders>
              <w:top w:val="nil"/>
              <w:left w:val="single" w:sz="4" w:space="0" w:color="auto"/>
              <w:bottom w:val="single" w:sz="4" w:space="0" w:color="auto"/>
              <w:right w:val="single" w:sz="4" w:space="0" w:color="auto"/>
            </w:tcBorders>
            <w:shd w:val="clear" w:color="auto" w:fill="auto"/>
            <w:noWrap/>
            <w:vAlign w:val="center"/>
            <w:hideMark/>
          </w:tcPr>
          <w:p w14:paraId="47155EC0" w14:textId="77777777" w:rsidR="00643D60" w:rsidRPr="00BE4152" w:rsidRDefault="00643D60" w:rsidP="00E3348F">
            <w:pPr>
              <w:pStyle w:val="Tabela-tekst"/>
              <w:jc w:val="center"/>
            </w:pPr>
            <w:r w:rsidRPr="00BE4152">
              <w:t>nie dotyczy</w:t>
            </w:r>
          </w:p>
        </w:tc>
        <w:tc>
          <w:tcPr>
            <w:tcW w:w="1739" w:type="dxa"/>
            <w:tcBorders>
              <w:top w:val="nil"/>
              <w:left w:val="nil"/>
              <w:bottom w:val="single" w:sz="4" w:space="0" w:color="auto"/>
              <w:right w:val="single" w:sz="4" w:space="0" w:color="auto"/>
            </w:tcBorders>
            <w:shd w:val="clear" w:color="auto" w:fill="auto"/>
            <w:vAlign w:val="center"/>
            <w:hideMark/>
          </w:tcPr>
          <w:p w14:paraId="19E0B748" w14:textId="77777777" w:rsidR="00643D60" w:rsidRPr="00BE4152" w:rsidRDefault="00643D60" w:rsidP="00E3348F">
            <w:pPr>
              <w:pStyle w:val="Tabela-tekst"/>
              <w:jc w:val="center"/>
            </w:pPr>
            <w:r w:rsidRPr="009B239C">
              <w:t>-</w:t>
            </w:r>
          </w:p>
        </w:tc>
        <w:tc>
          <w:tcPr>
            <w:tcW w:w="992" w:type="dxa"/>
            <w:tcBorders>
              <w:top w:val="nil"/>
              <w:left w:val="nil"/>
              <w:bottom w:val="single" w:sz="4" w:space="0" w:color="auto"/>
              <w:right w:val="single" w:sz="4" w:space="0" w:color="auto"/>
            </w:tcBorders>
            <w:shd w:val="clear" w:color="auto" w:fill="auto"/>
            <w:noWrap/>
            <w:vAlign w:val="center"/>
            <w:hideMark/>
          </w:tcPr>
          <w:p w14:paraId="5CE3FC3A" w14:textId="77777777" w:rsidR="00643D60" w:rsidRPr="00BE4152" w:rsidRDefault="00643D60" w:rsidP="00E3348F">
            <w:pPr>
              <w:pStyle w:val="Tabela-tekst"/>
              <w:jc w:val="center"/>
            </w:pPr>
            <w:r w:rsidRPr="009B239C">
              <w:t>-</w:t>
            </w:r>
          </w:p>
        </w:tc>
        <w:tc>
          <w:tcPr>
            <w:tcW w:w="1276" w:type="dxa"/>
            <w:tcBorders>
              <w:top w:val="nil"/>
              <w:left w:val="nil"/>
              <w:bottom w:val="single" w:sz="4" w:space="0" w:color="auto"/>
              <w:right w:val="single" w:sz="4" w:space="0" w:color="auto"/>
            </w:tcBorders>
            <w:shd w:val="clear" w:color="auto" w:fill="auto"/>
            <w:noWrap/>
            <w:vAlign w:val="center"/>
            <w:hideMark/>
          </w:tcPr>
          <w:p w14:paraId="31502A51" w14:textId="77777777" w:rsidR="00643D60" w:rsidRPr="00BE4152" w:rsidRDefault="00643D60" w:rsidP="00E3348F">
            <w:pPr>
              <w:pStyle w:val="Tabela-tekst"/>
              <w:jc w:val="center"/>
            </w:pPr>
            <w:r w:rsidRPr="009B239C">
              <w:t>-</w:t>
            </w:r>
          </w:p>
        </w:tc>
        <w:tc>
          <w:tcPr>
            <w:tcW w:w="1559" w:type="dxa"/>
            <w:tcBorders>
              <w:top w:val="nil"/>
              <w:left w:val="nil"/>
              <w:bottom w:val="single" w:sz="4" w:space="0" w:color="auto"/>
              <w:right w:val="single" w:sz="4" w:space="0" w:color="auto"/>
            </w:tcBorders>
            <w:shd w:val="clear" w:color="auto" w:fill="auto"/>
            <w:noWrap/>
            <w:vAlign w:val="center"/>
            <w:hideMark/>
          </w:tcPr>
          <w:p w14:paraId="6B7438D2" w14:textId="77777777" w:rsidR="00643D60" w:rsidRPr="00BE4152" w:rsidRDefault="00643D60" w:rsidP="00E3348F">
            <w:pPr>
              <w:pStyle w:val="Tabela-tekst"/>
              <w:jc w:val="center"/>
            </w:pPr>
            <w:r w:rsidRPr="009B239C">
              <w:t>-</w:t>
            </w:r>
          </w:p>
        </w:tc>
      </w:tr>
    </w:tbl>
    <w:p w14:paraId="68B9459B" w14:textId="77777777" w:rsidR="00B84032" w:rsidRDefault="00B84032" w:rsidP="00B84032">
      <w:pPr>
        <w:pStyle w:val="rdo0"/>
      </w:pPr>
      <w:r w:rsidRPr="002D0D68">
        <w:t xml:space="preserve">Źródło: opracowanie </w:t>
      </w:r>
      <w:r>
        <w:t>własne</w:t>
      </w:r>
    </w:p>
    <w:p w14:paraId="02E3DAAC" w14:textId="41C7AAFA" w:rsidR="00643D60" w:rsidRPr="00BE4152" w:rsidRDefault="00643D60" w:rsidP="00643D60">
      <w:pPr>
        <w:suppressAutoHyphens/>
      </w:pPr>
      <w:r>
        <w:t>Najczęstszą przyczyną słabego stanu chemicznego jcwpd były przekroczenia wartości progowych dobrego stanu wód podziemnych, a stanu ilościowego przekroczenia zasobów dostępnych przez pobór wód podziemnych</w:t>
      </w:r>
      <w:r w:rsidRPr="004332C7">
        <w:t>. Przyczyną takiej sytuacji jest najlepsza jakość i kompletność danych uwzględnianych w</w:t>
      </w:r>
      <w:r w:rsidR="00A565BC">
        <w:t xml:space="preserve"> </w:t>
      </w:r>
      <w:r w:rsidRPr="004332C7">
        <w:t>testach</w:t>
      </w:r>
      <w:r>
        <w:t xml:space="preserve"> </w:t>
      </w:r>
      <w:r w:rsidRPr="004332C7">
        <w:t>C.1: Ogólna ocena stanu chemicznego</w:t>
      </w:r>
      <w:r>
        <w:t xml:space="preserve"> i </w:t>
      </w:r>
      <w:r w:rsidRPr="004332C7">
        <w:t xml:space="preserve">I.1: Bilans wodny, pozwalająca na szczegółową analizę sytuacji we wszystkich </w:t>
      </w:r>
      <w:r>
        <w:t>jcwpd</w:t>
      </w:r>
      <w:r w:rsidRPr="00BE4152">
        <w:t>.</w:t>
      </w:r>
    </w:p>
    <w:p w14:paraId="7C3C8701" w14:textId="42B33987" w:rsidR="00AD7713" w:rsidRDefault="00643D60" w:rsidP="00643D60">
      <w:r w:rsidRPr="0032055D">
        <w:t xml:space="preserve">Ocenę stanu chemicznego jcwpd na obszarze dorzecza </w:t>
      </w:r>
      <w:r>
        <w:t xml:space="preserve">Pregoły </w:t>
      </w:r>
      <w:r w:rsidRPr="00B34ED3">
        <w:t xml:space="preserve">przedstawia załącznik graficzny </w:t>
      </w:r>
      <w:r w:rsidR="000B0832">
        <w:t xml:space="preserve">nr </w:t>
      </w:r>
      <w:r w:rsidRPr="00B34ED3">
        <w:t>1</w:t>
      </w:r>
      <w:r w:rsidR="00B34ED3" w:rsidRPr="00B34ED3">
        <w:t>6</w:t>
      </w:r>
      <w:r w:rsidRPr="00B34ED3">
        <w:t xml:space="preserve">. Ocenę stanu ilościowego jcwpd na obszarze dorzecza Pregoły prezentuje załącznik graficzny </w:t>
      </w:r>
      <w:r w:rsidR="000B0832">
        <w:t xml:space="preserve">nr </w:t>
      </w:r>
      <w:r w:rsidRPr="00B34ED3">
        <w:t>1</w:t>
      </w:r>
      <w:r w:rsidR="00B34ED3" w:rsidRPr="00B34ED3">
        <w:t>7</w:t>
      </w:r>
      <w:r w:rsidRPr="00B34ED3">
        <w:t>.</w:t>
      </w:r>
      <w:bookmarkEnd w:id="98"/>
    </w:p>
    <w:p w14:paraId="62F75EF0" w14:textId="2577DDF4" w:rsidR="00D91256" w:rsidRDefault="00B15070" w:rsidP="00B50FFD">
      <w:pPr>
        <w:pStyle w:val="Nagwek1"/>
      </w:pPr>
      <w:r>
        <w:br w:type="column"/>
      </w:r>
      <w:bookmarkStart w:id="112" w:name="_Toc68726853"/>
      <w:r w:rsidR="00D91256">
        <w:t>W</w:t>
      </w:r>
      <w:r w:rsidR="00D91256" w:rsidRPr="00D91256">
        <w:t xml:space="preserve">ykaz </w:t>
      </w:r>
      <w:bookmarkStart w:id="113" w:name="_Hlk54261388"/>
      <w:r w:rsidR="00D91256" w:rsidRPr="00D91256">
        <w:t>wielkości emisji i stężeń substancji priorytetowych określonych</w:t>
      </w:r>
      <w:r w:rsidR="00EA234C">
        <w:br/>
      </w:r>
      <w:r w:rsidR="00D91256" w:rsidRPr="00D91256">
        <w:t>w przepisach wydanych na podstawie art.</w:t>
      </w:r>
      <w:r w:rsidR="008355FA">
        <w:t xml:space="preserve"> </w:t>
      </w:r>
      <w:r w:rsidR="00D91256" w:rsidRPr="00D91256">
        <w:t xml:space="preserve">114 </w:t>
      </w:r>
      <w:r w:rsidR="00C35851">
        <w:t xml:space="preserve">ustawy </w:t>
      </w:r>
      <w:r w:rsidR="00FA4331">
        <w:t>P</w:t>
      </w:r>
      <w:r w:rsidR="00C35851">
        <w:t>r</w:t>
      </w:r>
      <w:r w:rsidR="00FA4331">
        <w:t xml:space="preserve">awo </w:t>
      </w:r>
      <w:r w:rsidR="00C35851">
        <w:t>w</w:t>
      </w:r>
      <w:r w:rsidR="00FA4331">
        <w:t>odne</w:t>
      </w:r>
      <w:r w:rsidR="00D91256" w:rsidRPr="00D91256">
        <w:t xml:space="preserve"> oraz innych substancji powodujących zanieczyszczenie, dla których zostały określone środowiskowe normy jakości</w:t>
      </w:r>
      <w:bookmarkEnd w:id="112"/>
      <w:bookmarkEnd w:id="113"/>
    </w:p>
    <w:p w14:paraId="2F30B4BA" w14:textId="77777777" w:rsidR="00DC7C45" w:rsidRDefault="00DC7C45" w:rsidP="00DC7C45">
      <w:pPr>
        <w:suppressAutoHyphens/>
      </w:pPr>
      <w:r>
        <w:t>Cele środowiskowe określone w planach gospodarowania wodami na obszarach dorzeczy osiąga się między innymi poprzez wdrażanie działań ukierunkowanych na stopniową eliminację źródeł zanieczyszczeń powodujących presję na stan chemiczny jcwp. Zgodnie z</w:t>
      </w:r>
      <w:r w:rsidRPr="517CAFD2">
        <w:rPr>
          <w:i/>
          <w:iCs/>
        </w:rPr>
        <w:t xml:space="preserve"> </w:t>
      </w:r>
      <w:r>
        <w:t>r.kl.jcwp stan chemiczny ocenia się na podstawie wartości stężeń substancji priorytetowych oraz substancji szczególnie szkodliwych dla środowiska wodnego.</w:t>
      </w:r>
    </w:p>
    <w:p w14:paraId="7A92019C" w14:textId="0599DAEA" w:rsidR="00DC7C45" w:rsidRPr="00EF355D" w:rsidRDefault="00DC7C45" w:rsidP="00DC7C45">
      <w:pPr>
        <w:suppressAutoHyphens/>
        <w:textAlignment w:val="baseline"/>
        <w:rPr>
          <w:rFonts w:cs="Calibri"/>
          <w:color w:val="000000" w:themeColor="text1"/>
        </w:rPr>
      </w:pPr>
      <w:r w:rsidRPr="00EF355D">
        <w:rPr>
          <w:rFonts w:cs="Calibri"/>
          <w:color w:val="000000" w:themeColor="text1"/>
        </w:rPr>
        <w:t xml:space="preserve">Zgodnie z </w:t>
      </w:r>
      <w:r w:rsidR="00E07FFC">
        <w:rPr>
          <w:rFonts w:cs="Calibri"/>
          <w:color w:val="000000" w:themeColor="text1"/>
        </w:rPr>
        <w:t>RDW</w:t>
      </w:r>
      <w:r w:rsidRPr="00EF355D">
        <w:rPr>
          <w:rFonts w:cs="Calibri"/>
          <w:color w:val="000000" w:themeColor="text1"/>
          <w:shd w:val="clear" w:color="auto" w:fill="FFFFFF"/>
        </w:rPr>
        <w:t xml:space="preserve"> </w:t>
      </w:r>
      <w:r w:rsidRPr="00EF355D">
        <w:rPr>
          <w:rFonts w:cs="Calibri"/>
          <w:color w:val="000000" w:themeColor="text1"/>
        </w:rPr>
        <w:t>substancje priorytetowe określane są jako substancje stanowiące szczególne zagrożenie dla środowiska wodnego</w:t>
      </w:r>
      <w:r>
        <w:rPr>
          <w:rFonts w:cs="Calibri"/>
          <w:color w:val="000000" w:themeColor="text1"/>
        </w:rPr>
        <w:t>.</w:t>
      </w:r>
      <w:r w:rsidRPr="00EF355D">
        <w:rPr>
          <w:rFonts w:cs="Calibri"/>
          <w:color w:val="000000" w:themeColor="text1"/>
        </w:rPr>
        <w:t xml:space="preserve"> Wśród nich wyróżniono grupę substancji niebezpiecznych, czyli substancji, które powodują znaczne ryzyko ze względu na trwałość, toksyczność, bioakumulację, małą podatność na degradację i ryzyko dla zdrowia ludzi. Dla substancji priorytetowych oraz innych substancji zanieczyszczających zostały ustanowione środowiskowe normy jakości</w:t>
      </w:r>
      <w:r>
        <w:rPr>
          <w:rFonts w:cs="Calibri"/>
          <w:color w:val="000000" w:themeColor="text1"/>
        </w:rPr>
        <w:t xml:space="preserve"> (EQS)</w:t>
      </w:r>
      <w:r w:rsidRPr="00EF355D">
        <w:rPr>
          <w:rFonts w:cs="Calibri"/>
          <w:color w:val="000000" w:themeColor="text1"/>
        </w:rPr>
        <w:t xml:space="preserve"> zgodnie z Dyrektywą Parlamentu Europejskiego i Rady 2008/105/WE z dnia 16 grudnia 2008 r. w sprawie środowiskowych norm jakości w dziedzinie polityki wodnej (zaktualizowana na mocy Dyrektywy 2013/39/UE). Polską podstawą prawną </w:t>
      </w:r>
      <w:r>
        <w:rPr>
          <w:rFonts w:cs="Calibri"/>
          <w:color w:val="000000" w:themeColor="text1"/>
        </w:rPr>
        <w:t>przedstawiającą</w:t>
      </w:r>
      <w:r w:rsidRPr="00EF355D">
        <w:rPr>
          <w:rFonts w:cs="Calibri"/>
          <w:color w:val="000000" w:themeColor="text1"/>
        </w:rPr>
        <w:t xml:space="preserve"> pełną listę substancji priorytetowych stanowi załącznik do Rozporządzenia Ministra Gospodarki Morskiej i Żeglugi Śródlądowej z dnia 1 marca 2019 r. w sprawie wykazu substancji priorytetowych (Dz.U 2019.528).</w:t>
      </w:r>
    </w:p>
    <w:p w14:paraId="4E54A6CC" w14:textId="7FD2A3D3" w:rsidR="00DC7C45" w:rsidRPr="00C801FE" w:rsidRDefault="00DC7C45" w:rsidP="00DC7C45">
      <w:pPr>
        <w:suppressAutoHyphens/>
        <w:textAlignment w:val="baseline"/>
        <w:rPr>
          <w:rFonts w:cs="Calibri"/>
        </w:rPr>
      </w:pPr>
      <w:r w:rsidRPr="00C801FE">
        <w:rPr>
          <w:rFonts w:cs="Calibri"/>
        </w:rPr>
        <w:t xml:space="preserve">Jako jeden z celów środowiskowych dla wszystkich </w:t>
      </w:r>
      <w:r>
        <w:t>jcw</w:t>
      </w:r>
      <w:r w:rsidRPr="00C801FE">
        <w:rPr>
          <w:rFonts w:cs="Calibri"/>
        </w:rPr>
        <w:t xml:space="preserve"> wskazuje się dążenie przez wszystkie państwa członkowskie UE do stopniowego redukowania zanieczyszczenia substancjami priorytetowymi i</w:t>
      </w:r>
      <w:r w:rsidR="000A4BFC">
        <w:rPr>
          <w:rFonts w:cs="Calibri"/>
        </w:rPr>
        <w:t> </w:t>
      </w:r>
      <w:r w:rsidRPr="00C801FE">
        <w:rPr>
          <w:rFonts w:cs="Calibri"/>
        </w:rPr>
        <w:t xml:space="preserve">zaprzestania lub stopniowego eliminowania emisji, zrzutów i strat niebezpiecznych substancji priorytetowych. Zgodnie z art. </w:t>
      </w:r>
      <w:r>
        <w:t>317 ust. 1 pkt 8</w:t>
      </w:r>
      <w:r w:rsidRPr="00C801FE">
        <w:rPr>
          <w:rFonts w:cs="Calibri"/>
        </w:rPr>
        <w:t xml:space="preserve"> </w:t>
      </w:r>
      <w:r w:rsidR="00FA4331">
        <w:rPr>
          <w:rFonts w:cs="Calibri"/>
        </w:rPr>
        <w:t xml:space="preserve">ustawy </w:t>
      </w:r>
      <w:r>
        <w:t>pr.w.</w:t>
      </w:r>
      <w:r w:rsidRPr="00C801FE">
        <w:rPr>
          <w:rFonts w:cs="Calibri"/>
        </w:rPr>
        <w:t xml:space="preserve"> w celu opracowania planów gospodarowania wodami na obszarach dorzeczy sporządza się</w:t>
      </w:r>
      <w:r>
        <w:rPr>
          <w:rFonts w:cs="Calibri"/>
        </w:rPr>
        <w:t xml:space="preserve"> wykaz</w:t>
      </w:r>
      <w:r w:rsidRPr="00C801FE">
        <w:rPr>
          <w:rFonts w:cs="Calibri"/>
        </w:rPr>
        <w:t>:</w:t>
      </w:r>
    </w:p>
    <w:p w14:paraId="208FB3F5" w14:textId="70E78A84" w:rsidR="00DC7C45" w:rsidRPr="00A03144" w:rsidRDefault="00DC7C45" w:rsidP="00AA3506">
      <w:pPr>
        <w:pStyle w:val="Literowanie"/>
        <w:numPr>
          <w:ilvl w:val="0"/>
          <w:numId w:val="115"/>
        </w:numPr>
      </w:pPr>
      <w:r w:rsidRPr="00A03144">
        <w:t xml:space="preserve">substancji priorytetowych określonych w przepisach wydanych na podstawie art. 114 </w:t>
      </w:r>
      <w:r w:rsidR="00FA4331">
        <w:t xml:space="preserve">ustawy </w:t>
      </w:r>
      <w:r w:rsidRPr="00A03144">
        <w:t>pr.w.,</w:t>
      </w:r>
    </w:p>
    <w:p w14:paraId="6C297275" w14:textId="77777777" w:rsidR="00807758" w:rsidRDefault="00DC7C45" w:rsidP="00AA3506">
      <w:pPr>
        <w:pStyle w:val="Literowanie"/>
        <w:numPr>
          <w:ilvl w:val="0"/>
          <w:numId w:val="115"/>
        </w:numPr>
      </w:pPr>
      <w:r w:rsidRPr="00A03144">
        <w:t>substancji innych niż wskazane w lit. a, powodujących zanieczyszczenie,</w:t>
      </w:r>
      <w:r w:rsidR="00807758">
        <w:t xml:space="preserve"> </w:t>
      </w:r>
    </w:p>
    <w:p w14:paraId="0841DC6B" w14:textId="67A626C0" w:rsidR="00DC7C45" w:rsidRPr="00C801FE" w:rsidRDefault="00DC7C45" w:rsidP="00807758">
      <w:pPr>
        <w:pStyle w:val="Literowanie"/>
      </w:pPr>
      <w:r w:rsidRPr="00C801FE">
        <w:t>dla których zostały określone środowiskowe normy jakości.</w:t>
      </w:r>
    </w:p>
    <w:p w14:paraId="61B1A520" w14:textId="77777777" w:rsidR="00DC7C45" w:rsidRDefault="00DC7C45" w:rsidP="00DC7C45">
      <w:pPr>
        <w:suppressAutoHyphens/>
      </w:pPr>
      <w:r>
        <w:t xml:space="preserve">W ramach IIaPGW został sporządzony spójny i jednolity w skali kraju wykaz wielkości emisji i stężeń substancji priorytetowych (dalej: Wykaz emisji i stężeń) określonych w przepisach wydanych na podstawie art. 114 pr.w. oraz innych substancji powodujących zanieczyszczenie, dla których zostały określone środowiskowe normy jakości. Opracowany wykaz stężeń ma na celu podsumowanie wyników badań monitoringu substancji priorytetowych oraz substancji szczególnie szkodliwych dla środowiska wodnego. Tym samym, wykaz ten umożliwia ocenę występowania substancji oraz przekroczeń w odniesieniu do monitorowanych parametrów jakościowych. Wykaz wielkości stężeń jest podstawą analizy skuteczności podjętych działań oraz osiągnięcia założeń przyjętych w aPGW. Wykaz nie tylko określa ilościowo liczbę i wielkość przekroczeń EQS, ale stanowi również element służący wyznaczeniu celów, które należy spełnić w ramach drugiej aktualizacji planów gospodarowania wodami na obszarach dorzeczy. Wykaz emisji ma z kolei na celu przedstawienie wielkości zrzutów substancji priorytetowych oraz innych substancji zanieczyszczających do ziemi/wody wraz ze wskazaniem ich lokalizacji względem jednolitych części wód powierzchniowych. Umożliwia to określenie czynnika sprawczego presji i podjęcia kolejnych kroków w celu wyeliminowania/redukcji zanieczyszczeń w wodach powierzchniowych. </w:t>
      </w:r>
    </w:p>
    <w:p w14:paraId="77189590" w14:textId="77777777" w:rsidR="00DC7C45" w:rsidRDefault="00DC7C45" w:rsidP="00DC7C45">
      <w:pPr>
        <w:suppressAutoHyphens/>
      </w:pPr>
      <w:r>
        <w:t xml:space="preserve">Wykaz stężeń został wykonany na podstawie danych monitoringowych z lat 2014-2019. Wykaz emisji natomiast został opracowany na podstawie wykazów sporządzonych przez poszczególne RZGW WP dla okresu 2015-2017, które następnie zostały zaktualizowane w oparciu o dane obejmujące 2018 r., pochodzące z </w:t>
      </w:r>
      <w:bookmarkStart w:id="114" w:name="_Hlk65573551"/>
      <w:r>
        <w:t>Krajowego Rejestru Uwalniania i Transferu Zanieczyszczeń</w:t>
      </w:r>
      <w:bookmarkEnd w:id="114"/>
      <w:r>
        <w:t xml:space="preserve"> (PRTR) oraz opłat za usługi wodne. Wykaz został opracowany zgodnie z wytycznymi Komisji Europejskiej zawartymi w dokumencie pn. </w:t>
      </w:r>
      <w:r w:rsidRPr="517CAFD2">
        <w:rPr>
          <w:i/>
          <w:iCs/>
        </w:rPr>
        <w:t>Guidance Document No. 28</w:t>
      </w:r>
      <w:r>
        <w:t xml:space="preserve">, </w:t>
      </w:r>
      <w:r w:rsidRPr="517CAFD2">
        <w:rPr>
          <w:i/>
          <w:iCs/>
        </w:rPr>
        <w:t>Technical Guidance on the Preperation of an Inventory of Emissions, Discharges and Losses of Priority and Priority Hazardoys Substances</w:t>
      </w:r>
      <w:r>
        <w:rPr>
          <w:rStyle w:val="Odwoanieprzypisudolnego"/>
        </w:rPr>
        <w:footnoteReference w:id="25"/>
      </w:r>
      <w:r>
        <w:t xml:space="preserve"> oraz przy uwzględnieniu zaleceń i wytycznych określonych w </w:t>
      </w:r>
      <w:r w:rsidRPr="517CAFD2">
        <w:rPr>
          <w:i/>
          <w:iCs/>
        </w:rPr>
        <w:t>Przewodniku do opracowania wykazu wielkości emisji i stężeń substancji priorytetowych oraz innych zanieczyszczeń, dla których zostały określone środowiskowe normy jakości</w:t>
      </w:r>
      <w:r>
        <w:t>”</w:t>
      </w:r>
      <w:r>
        <w:rPr>
          <w:rStyle w:val="Odwoanieprzypisudolnego"/>
        </w:rPr>
        <w:footnoteReference w:id="26"/>
      </w:r>
      <w:r>
        <w:t xml:space="preserve">, który implementuje wymagania określone w wytycznych Komisji Europejskiej. </w:t>
      </w:r>
    </w:p>
    <w:p w14:paraId="052EA675" w14:textId="60D9E56B" w:rsidR="00DC7C45" w:rsidRPr="00590617" w:rsidRDefault="00DC7C45" w:rsidP="00DC7C45">
      <w:pPr>
        <w:suppressAutoHyphens/>
      </w:pPr>
      <w:r w:rsidRPr="00590617">
        <w:t xml:space="preserve">Przygotowany Wykaz emisji i stężeń składa się z następujących części będących załącznikiem </w:t>
      </w:r>
      <w:r w:rsidR="000A4BFC" w:rsidRPr="00590617">
        <w:t>nr 4</w:t>
      </w:r>
      <w:r w:rsidRPr="00590617">
        <w:t xml:space="preserve"> do planu gospodarowania wodami:</w:t>
      </w:r>
    </w:p>
    <w:p w14:paraId="69B494C4" w14:textId="5BB4B2A7" w:rsidR="00DC7C45" w:rsidRPr="00541BD7" w:rsidRDefault="00DC7C45" w:rsidP="00AA3506">
      <w:pPr>
        <w:pStyle w:val="Akapitzlist"/>
        <w:numPr>
          <w:ilvl w:val="0"/>
          <w:numId w:val="9"/>
        </w:numPr>
        <w:ind w:left="532"/>
      </w:pPr>
      <w:r w:rsidRPr="00541BD7">
        <w:t>Wykaz wielkości stężeń substancji w jcwp:</w:t>
      </w:r>
    </w:p>
    <w:p w14:paraId="4FBC213B" w14:textId="2E92C2C8" w:rsidR="00DC7C45" w:rsidRPr="00541BD7" w:rsidRDefault="00DC7C45" w:rsidP="00F06393">
      <w:pPr>
        <w:pStyle w:val="Akapitzlist"/>
      </w:pPr>
      <w:r w:rsidRPr="00541BD7">
        <w:t>metryka jcwp;</w:t>
      </w:r>
    </w:p>
    <w:p w14:paraId="7F53C233" w14:textId="796622D0" w:rsidR="00DC7C45" w:rsidRPr="00541BD7" w:rsidRDefault="00DC7C45" w:rsidP="00F06393">
      <w:pPr>
        <w:pStyle w:val="Akapitzlist"/>
      </w:pPr>
      <w:r w:rsidRPr="00541BD7">
        <w:t>wykaz stężeń substancji priorytetowych oraz innych substancji zanieczyszczających;</w:t>
      </w:r>
    </w:p>
    <w:p w14:paraId="4B4E22B3" w14:textId="1B44EB98" w:rsidR="00DC7C45" w:rsidRPr="00541BD7" w:rsidRDefault="00DC7C45" w:rsidP="00F06393">
      <w:pPr>
        <w:pStyle w:val="Akapitzlist"/>
      </w:pPr>
      <w:r w:rsidRPr="00541BD7">
        <w:t>ranking istotności występowania substancji priorytetowych oraz innych substancji zanieczyszczających.</w:t>
      </w:r>
    </w:p>
    <w:p w14:paraId="0F9616C1" w14:textId="3A2742D9" w:rsidR="00DC7C45" w:rsidRPr="00541BD7" w:rsidRDefault="00DC7C45" w:rsidP="00AA3506">
      <w:pPr>
        <w:pStyle w:val="Akapitzlist"/>
        <w:numPr>
          <w:ilvl w:val="0"/>
          <w:numId w:val="9"/>
        </w:numPr>
        <w:ind w:left="532"/>
      </w:pPr>
      <w:r w:rsidRPr="00541BD7">
        <w:t>Wykaz wielkości emisji do jcwp:</w:t>
      </w:r>
    </w:p>
    <w:p w14:paraId="0BF3A8E8" w14:textId="5F208107" w:rsidR="00DC7C45" w:rsidRPr="00541BD7" w:rsidRDefault="00DC7C45" w:rsidP="00F06393">
      <w:pPr>
        <w:pStyle w:val="Akapitzlist"/>
      </w:pPr>
      <w:r w:rsidRPr="00541BD7">
        <w:t>metryka podmiotu emitującego substancje priorytetowe oraz inne substancje zanieczyszczające;</w:t>
      </w:r>
    </w:p>
    <w:p w14:paraId="1DA38800" w14:textId="6F366AF3" w:rsidR="00DC7C45" w:rsidRPr="00541BD7" w:rsidRDefault="00DC7C45" w:rsidP="00F06393">
      <w:pPr>
        <w:pStyle w:val="Akapitzlist"/>
      </w:pPr>
      <w:r w:rsidRPr="00541BD7">
        <w:t xml:space="preserve">wykaz ładunków substancji priorytetowych wyemitowanych przez poszczególne podmioty </w:t>
      </w:r>
      <w:bookmarkStart w:id="115" w:name="_Hlk65598447"/>
      <w:bookmarkStart w:id="116" w:name="_Hlk65573613"/>
      <w:r w:rsidRPr="00541BD7">
        <w:t>posiadające pozwolenie wodnoprawne/zintegrowane na odprowadzanie substancji stanowiących o stanie chemicznym do ziemi/wód</w:t>
      </w:r>
      <w:bookmarkEnd w:id="115"/>
      <w:r w:rsidRPr="00541BD7">
        <w:t>.</w:t>
      </w:r>
      <w:bookmarkEnd w:id="116"/>
      <w:r w:rsidRPr="00541BD7">
        <w:t xml:space="preserve"> </w:t>
      </w:r>
    </w:p>
    <w:p w14:paraId="25A538ED" w14:textId="61A9CFB2" w:rsidR="00DC7C45" w:rsidRDefault="00DC7C45" w:rsidP="00DC7C45">
      <w:pPr>
        <w:suppressAutoHyphens/>
      </w:pPr>
      <w:r>
        <w:t xml:space="preserve">Wykaz emisji i stężeń obejmuje wartości rzeczywiste </w:t>
      </w:r>
      <w:bookmarkStart w:id="117" w:name="_Hlk65574160"/>
      <w:r>
        <w:t>substancji priorytetowych oraz innych substancji zanieczyszczających</w:t>
      </w:r>
      <w:bookmarkEnd w:id="117"/>
      <w:r>
        <w:t xml:space="preserve"> przedstawione w udostępnionych danych i sprawozdawane przez organy odpowiedzialne za monitoring środowiska oraz podmioty zobowiązane do sprawozdawczości wielkości emisji. Dodatkowo sporządzony wykaz obejmuje dane dotyczące jcwp niemonitorowanych na podstawie dokumentu </w:t>
      </w:r>
      <w:r>
        <w:rPr>
          <w:i/>
          <w:iCs/>
        </w:rPr>
        <w:t xml:space="preserve">Analiza znaczących oddziaływań </w:t>
      </w:r>
      <w:r w:rsidR="00BB0E3B">
        <w:rPr>
          <w:i/>
          <w:iCs/>
        </w:rPr>
        <w:t>-</w:t>
      </w:r>
      <w:r>
        <w:rPr>
          <w:i/>
          <w:iCs/>
        </w:rPr>
        <w:t xml:space="preserve"> jcwp (…)</w:t>
      </w:r>
      <w:r w:rsidRPr="009E60C9">
        <w:t xml:space="preserve">. </w:t>
      </w:r>
      <w:r>
        <w:t xml:space="preserve">Uwzględnione dane stanowią element opracowania, pozwalający na wskazanie prawdopodobnego stanu chemicznego niemonitorowanych jcwp. </w:t>
      </w:r>
    </w:p>
    <w:p w14:paraId="4E85962B" w14:textId="3E10B3A3" w:rsidR="00DC7C45" w:rsidRDefault="00DC7C45" w:rsidP="00DC7C45">
      <w:pPr>
        <w:suppressAutoHyphens/>
      </w:pPr>
      <w:r w:rsidRPr="00590617">
        <w:rPr>
          <w:iCs/>
        </w:rPr>
        <w:t xml:space="preserve">Sporządzony został również ranking występowania substancji priorytetowych oraz pozostałych substancji powodujących zanieczyszczenie w wodzie i faunie i florze (biota). </w:t>
      </w:r>
      <w:bookmarkStart w:id="118" w:name="_Hlk65653940"/>
      <w:r w:rsidRPr="00590617">
        <w:rPr>
          <w:iCs/>
        </w:rPr>
        <w:t>Ranking</w:t>
      </w:r>
      <w:r w:rsidRPr="00A72338">
        <w:rPr>
          <w:iCs/>
        </w:rPr>
        <w:t xml:space="preserve"> uwzględnia najnowsze roczne pomiary danej substancji z okresu 2014-2019 (woda) oraz 2016-2019 (biota) i</w:t>
      </w:r>
      <w:bookmarkEnd w:id="118"/>
      <w:r w:rsidR="000A4BFC">
        <w:rPr>
          <w:iCs/>
        </w:rPr>
        <w:t> </w:t>
      </w:r>
      <w:r>
        <w:rPr>
          <w:iCs/>
        </w:rPr>
        <w:t xml:space="preserve">obejmuje następujące etapy: </w:t>
      </w:r>
    </w:p>
    <w:p w14:paraId="75DEC0B1" w14:textId="63767EC0" w:rsidR="00DC7C45" w:rsidRPr="00A03144" w:rsidRDefault="00DC7C45" w:rsidP="00AA3506">
      <w:pPr>
        <w:pStyle w:val="Numerowanie"/>
        <w:numPr>
          <w:ilvl w:val="0"/>
          <w:numId w:val="46"/>
        </w:numPr>
      </w:pPr>
      <w:r w:rsidRPr="00A03144">
        <w:t xml:space="preserve">etap I </w:t>
      </w:r>
      <w:r w:rsidR="00BB0E3B" w:rsidRPr="00A03144">
        <w:t>-</w:t>
      </w:r>
      <w:r w:rsidRPr="00A03144">
        <w:t xml:space="preserve"> wykaz substancji z przekroczeniem normy jakości </w:t>
      </w:r>
      <w:r w:rsidR="00BB0E3B" w:rsidRPr="00A03144">
        <w:t>-</w:t>
      </w:r>
      <w:r w:rsidRPr="00A03144">
        <w:t xml:space="preserve"> obejmuje wykaz substancji o</w:t>
      </w:r>
      <w:r w:rsidR="000A4BFC" w:rsidRPr="00A03144">
        <w:t> </w:t>
      </w:r>
      <w:r w:rsidRPr="00A03144">
        <w:t xml:space="preserve">częstości występowania przekroczeń środowiskowych norm jakości (wyrażonej w procentach) w stosunku do całkowitej wykonanej liczby oznaczeń, z klasyfikacją substancji na tej podstawie w kolejności malejącej; </w:t>
      </w:r>
    </w:p>
    <w:p w14:paraId="7D9334AB" w14:textId="377A284E" w:rsidR="00DC7C45" w:rsidRPr="00A03144" w:rsidRDefault="00DC7C45" w:rsidP="00F06393">
      <w:pPr>
        <w:pStyle w:val="Numerowanie"/>
      </w:pPr>
      <w:r w:rsidRPr="00A03144">
        <w:t xml:space="preserve">etap II </w:t>
      </w:r>
      <w:r w:rsidR="00BB0E3B" w:rsidRPr="00A03144">
        <w:t>-</w:t>
      </w:r>
      <w:r w:rsidRPr="00A03144">
        <w:t xml:space="preserve"> wykaz substancji bez przekroczenia normy jakości </w:t>
      </w:r>
      <w:r w:rsidR="00BB0E3B" w:rsidRPr="00A03144">
        <w:t>-</w:t>
      </w:r>
      <w:r w:rsidRPr="00A03144">
        <w:t xml:space="preserve"> obejmuje wykaz substancji o</w:t>
      </w:r>
      <w:r w:rsidR="000A4BFC" w:rsidRPr="00A03144">
        <w:t> </w:t>
      </w:r>
      <w:r w:rsidRPr="00A03144">
        <w:t xml:space="preserve">częstości występowania (wyrażonej w procentach) poszczególnych substancji w stosunku do całkowitej wykonanej liczby oznaczeń, z klasyfikacją substancji na tej podstawie w kolejności malejącej; </w:t>
      </w:r>
    </w:p>
    <w:p w14:paraId="13587365" w14:textId="2C3DE156" w:rsidR="00DC7C45" w:rsidRPr="00A03144" w:rsidRDefault="00DC7C45" w:rsidP="00F06393">
      <w:pPr>
        <w:pStyle w:val="Numerowanie"/>
      </w:pPr>
      <w:r w:rsidRPr="00A03144">
        <w:t xml:space="preserve">etap III </w:t>
      </w:r>
      <w:r w:rsidR="00BB0E3B" w:rsidRPr="00A03144">
        <w:t>-</w:t>
      </w:r>
      <w:r w:rsidRPr="00A03144">
        <w:t xml:space="preserve"> wykaz substancji, które występowały poniżej granicy oznaczalności bądź nie były w</w:t>
      </w:r>
      <w:r w:rsidR="000A4BFC" w:rsidRPr="00A03144">
        <w:t> </w:t>
      </w:r>
      <w:r w:rsidRPr="00A03144">
        <w:t xml:space="preserve">ogóle badane </w:t>
      </w:r>
      <w:r w:rsidR="00BB0E3B" w:rsidRPr="00A03144">
        <w:t>-</w:t>
      </w:r>
      <w:r w:rsidRPr="00A03144">
        <w:t xml:space="preserve"> obejmuje wykaz substancji niesklasyfikowanych w etapach I i II.</w:t>
      </w:r>
    </w:p>
    <w:p w14:paraId="434F9320" w14:textId="2560CE13" w:rsidR="00DC7C45" w:rsidRDefault="00DC7C45" w:rsidP="00DC7C45">
      <w:pPr>
        <w:suppressAutoHyphens/>
      </w:pPr>
      <w:r>
        <w:t xml:space="preserve">Ranking został przedstawiony w </w:t>
      </w:r>
      <w:r w:rsidRPr="00C53113">
        <w:t xml:space="preserve">formie załącznika </w:t>
      </w:r>
      <w:r w:rsidR="000A4BFC" w:rsidRPr="00C53113">
        <w:t>nr 4</w:t>
      </w:r>
      <w:r>
        <w:t xml:space="preserve"> </w:t>
      </w:r>
      <w:r w:rsidR="00E3348F">
        <w:t xml:space="preserve">do </w:t>
      </w:r>
      <w:r>
        <w:t xml:space="preserve">niniejszego opracowania. </w:t>
      </w:r>
    </w:p>
    <w:p w14:paraId="5ECC1D9F" w14:textId="7A9F7B6F" w:rsidR="00DC7C45" w:rsidRPr="00C53113" w:rsidRDefault="00DC7C45" w:rsidP="00DC7C45">
      <w:pPr>
        <w:suppressAutoHyphens/>
      </w:pPr>
      <w:r>
        <w:t xml:space="preserve">Zgodnie z przeprowadzonymi analizami na obszarze dorzecza Pregoły w latach 2014-2019 odnotowano przekroczenia 5 substancji (w biocie oraz wodzie) należących do grupy substancji priorytetowych oraz pozostałych substancji </w:t>
      </w:r>
      <w:r w:rsidRPr="00C53113">
        <w:t>zanieczyszczających (</w:t>
      </w:r>
      <w:r w:rsidR="004A1B76" w:rsidRPr="00C53113">
        <w:t>t</w:t>
      </w:r>
      <w:r w:rsidRPr="00C53113">
        <w:t xml:space="preserve">abela </w:t>
      </w:r>
      <w:r w:rsidR="000A4BFC" w:rsidRPr="00C53113">
        <w:t>6-1</w:t>
      </w:r>
      <w:r w:rsidRPr="00C53113">
        <w:t>). W</w:t>
      </w:r>
      <w:r>
        <w:t xml:space="preserve"> skali całego dorzecza przeprowadzono ponad 3000 oznaczeń </w:t>
      </w:r>
      <w:bookmarkStart w:id="119" w:name="_Hlk65598500"/>
      <w:r>
        <w:t>stężeń substancji stanowiących o stanie chemicznym jcwp</w:t>
      </w:r>
      <w:bookmarkEnd w:id="119"/>
      <w:r>
        <w:t>, z</w:t>
      </w:r>
      <w:r w:rsidR="007A3811">
        <w:t> </w:t>
      </w:r>
      <w:r>
        <w:t xml:space="preserve">czego ok. 80% stanowiły oznaczenia wykonane dla wody powierzchniowej. Biorąc pod uwagę udział przekroczeń </w:t>
      </w:r>
      <w:r w:rsidRPr="00C53113">
        <w:t xml:space="preserve">wartości granicznych </w:t>
      </w:r>
      <w:bookmarkStart w:id="120" w:name="_Hlk65598509"/>
      <w:r w:rsidRPr="00C53113">
        <w:t>ustanowionych dla substancji priorytetowych oraz innych substancji zanieczyszczających</w:t>
      </w:r>
      <w:bookmarkEnd w:id="120"/>
      <w:r w:rsidRPr="00C53113">
        <w:t xml:space="preserve"> w odniesieniu do liczby oznaczeń, odsetek był porównywalny w przypadku bioty i</w:t>
      </w:r>
      <w:r w:rsidR="000A4BFC" w:rsidRPr="00C53113">
        <w:t> </w:t>
      </w:r>
      <w:r w:rsidRPr="00C53113">
        <w:t>wody (</w:t>
      </w:r>
      <w:r w:rsidR="004A1B76" w:rsidRPr="00C53113">
        <w:t>t</w:t>
      </w:r>
      <w:r w:rsidRPr="00C53113">
        <w:t xml:space="preserve">abela </w:t>
      </w:r>
      <w:r w:rsidR="000A4BFC" w:rsidRPr="00C53113">
        <w:t>6-2</w:t>
      </w:r>
      <w:r w:rsidRPr="00C53113">
        <w:t>).</w:t>
      </w:r>
    </w:p>
    <w:p w14:paraId="0362C6C5" w14:textId="19B668DC" w:rsidR="000A4BFC" w:rsidRDefault="00DC7C45" w:rsidP="00DC7C45">
      <w:pPr>
        <w:suppressAutoHyphens/>
      </w:pPr>
      <w:r w:rsidRPr="00C53113">
        <w:t xml:space="preserve">Substancje, w stosunku do których odnotowano najczęstsze przekroczenia wartości granicznych (≥40% częstości przekroczeń), z podziałem na matryce oraz typ wód zostały przedstawione na </w:t>
      </w:r>
      <w:r w:rsidR="00B55C73">
        <w:t>wykresie</w:t>
      </w:r>
      <w:r w:rsidRPr="00C53113">
        <w:t xml:space="preserve"> </w:t>
      </w:r>
      <w:r w:rsidR="007A3811" w:rsidRPr="00C53113">
        <w:t>6-</w:t>
      </w:r>
      <w:r w:rsidRPr="00C53113">
        <w:t>1.</w:t>
      </w:r>
    </w:p>
    <w:p w14:paraId="5A2CAC68" w14:textId="77777777" w:rsidR="00B55C73" w:rsidRDefault="00DC7C45" w:rsidP="00B55C73">
      <w:pPr>
        <w:keepNext/>
        <w:jc w:val="center"/>
      </w:pPr>
      <w:r>
        <w:rPr>
          <w:noProof/>
        </w:rPr>
        <w:drawing>
          <wp:inline distT="0" distB="0" distL="0" distR="0" wp14:anchorId="6A556B00" wp14:editId="4928E8E9">
            <wp:extent cx="5131435" cy="3148641"/>
            <wp:effectExtent l="0" t="0" r="0" b="0"/>
            <wp:docPr id="6" name="Wykres 6">
              <a:extLst xmlns:a="http://schemas.openxmlformats.org/drawingml/2006/main">
                <a:ext uri="{FF2B5EF4-FFF2-40B4-BE49-F238E27FC236}">
                  <a16:creationId xmlns:a16="http://schemas.microsoft.com/office/drawing/2014/main" id="{8C729E67-06B8-47E7-8BE2-0818229679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53C53C4" w14:textId="32F8F0B6" w:rsidR="00DC7C45" w:rsidRDefault="00B55C73" w:rsidP="006802BB">
      <w:pPr>
        <w:pStyle w:val="Wykres"/>
      </w:pPr>
      <w:bookmarkStart w:id="121" w:name="_Toc68727093"/>
      <w:r>
        <w:t xml:space="preserve">Wykres </w:t>
      </w:r>
      <w:fldSimple w:instr=" STYLEREF 1 \s ">
        <w:r w:rsidR="00EF3FD3">
          <w:rPr>
            <w:noProof/>
          </w:rPr>
          <w:t>6</w:t>
        </w:r>
      </w:fldSimple>
      <w:r w:rsidR="00EF3FD3">
        <w:noBreakHyphen/>
      </w:r>
      <w:fldSimple w:instr=" SEQ Wykres \* ARABIC \s 1 ">
        <w:r w:rsidR="00EF3FD3">
          <w:rPr>
            <w:noProof/>
          </w:rPr>
          <w:t>1</w:t>
        </w:r>
      </w:fldSimple>
      <w:r w:rsidR="00AE005D">
        <w:tab/>
      </w:r>
      <w:r w:rsidRPr="00EA7F9C">
        <w:t xml:space="preserve">Częstość przekroczeń wartości granicznych </w:t>
      </w:r>
      <w:r w:rsidR="00303DFF">
        <w:t xml:space="preserve">EQS </w:t>
      </w:r>
      <w:r w:rsidRPr="00EA7F9C">
        <w:t>(≥40%) w wodzie i biocie w podziale na typ wód (LW: jcwp jeziorne; RW: jcwp rzeczne)</w:t>
      </w:r>
      <w:bookmarkEnd w:id="121"/>
    </w:p>
    <w:p w14:paraId="26B03AE1" w14:textId="77777777" w:rsidR="00B84032" w:rsidRDefault="00B84032" w:rsidP="00B84032">
      <w:pPr>
        <w:pStyle w:val="rdo0"/>
      </w:pPr>
      <w:r w:rsidRPr="002D0D68">
        <w:t xml:space="preserve">Źródło: opracowanie </w:t>
      </w:r>
      <w:r>
        <w:t>własne</w:t>
      </w:r>
    </w:p>
    <w:p w14:paraId="1524A203" w14:textId="77777777" w:rsidR="00DC7C45" w:rsidRDefault="00DC7C45" w:rsidP="007A3811">
      <w:r>
        <w:t xml:space="preserve">Czynniki sprawcze presji powodujące przekroczenia wartości granicznych substancji priorytetowych oraz pozostałych substancji zanieczyszczających zostały przedstawione </w:t>
      </w:r>
      <w:r w:rsidRPr="00C96AA9">
        <w:t xml:space="preserve">w rozdziale </w:t>
      </w:r>
      <w:r>
        <w:t>7 IIaPGW.</w:t>
      </w:r>
      <w:r w:rsidRPr="007A3811">
        <w:rPr>
          <w:b/>
          <w:bCs/>
        </w:rPr>
        <w:t xml:space="preserve"> </w:t>
      </w:r>
    </w:p>
    <w:p w14:paraId="39680882" w14:textId="248FBD3B" w:rsidR="00DC7C45" w:rsidRDefault="00DC7C45" w:rsidP="00DC7C45">
      <w:pPr>
        <w:suppressAutoHyphens/>
      </w:pPr>
      <w:r>
        <w:t xml:space="preserve">Ranking występowania substancji w </w:t>
      </w:r>
      <w:r w:rsidR="00474ABF">
        <w:t xml:space="preserve">obszarze </w:t>
      </w:r>
      <w:r>
        <w:t>dorzecz</w:t>
      </w:r>
      <w:r w:rsidR="00474ABF">
        <w:t>a</w:t>
      </w:r>
      <w:r>
        <w:t xml:space="preserve"> wskazuje na przekroczenia stężeń związków stanowiących typowe zanieczyszczenie antropogeniczne, będące rezultatem działalności człowieka. Ograniczona liczba wykonanych pomiarów uniemożliwia jednak interpretację istotności występowania i przekroczeń stwierdzonych substancji. Można przyjąć, iż presje występujące w </w:t>
      </w:r>
      <w:r w:rsidR="00474ABF">
        <w:t xml:space="preserve">obszarze </w:t>
      </w:r>
      <w:r>
        <w:t>dorzecz</w:t>
      </w:r>
      <w:r w:rsidR="00474ABF">
        <w:t>a</w:t>
      </w:r>
      <w:r>
        <w:t xml:space="preserve"> są analogiczne do tych stwierdzonych w dużych dorzeczach Wisły i Odry, dla których odnotowano przekroczenia substancji pochodzących w większości ze źródeł rozproszonych </w:t>
      </w:r>
      <w:r w:rsidR="00BB0E3B">
        <w:t>-</w:t>
      </w:r>
      <w:r>
        <w:t xml:space="preserve"> przede wszystkim z</w:t>
      </w:r>
      <w:r w:rsidR="004F44C6">
        <w:t> </w:t>
      </w:r>
      <w:r>
        <w:t>depozycji atmosferycznej zanieczyszczeń ze spalania paliw oraz spływy z obszarów zurbanizowanych i rolnych.</w:t>
      </w:r>
      <w:r>
        <w:rPr>
          <w:shd w:val="clear" w:color="auto" w:fill="00FF00"/>
        </w:rPr>
        <w:t xml:space="preserve"> </w:t>
      </w:r>
    </w:p>
    <w:p w14:paraId="671B3EA3" w14:textId="7D8CB7F1" w:rsidR="00DC7C45" w:rsidRDefault="00DC7C45" w:rsidP="00DC7C45">
      <w:pPr>
        <w:suppressAutoHyphens/>
      </w:pPr>
      <w:r>
        <w:t xml:space="preserve">Odnotowane przekroczenia wartości granicznych w biocie, ze względu na liczbę pomiarów, również nie pozwalają na ocenę stanu zanieczyszczeń </w:t>
      </w:r>
      <w:r w:rsidR="00474ABF">
        <w:t>w obszarze dorzecza</w:t>
      </w:r>
      <w:r>
        <w:t>. W tym przypadku, podobnie jak dla wody skalę występowania i kumulacji zanieczyszczeń w biocie należy oceniać podobnie jak w większych dorzeczach poddanych typowym presjom antropogenicznym.</w:t>
      </w:r>
    </w:p>
    <w:p w14:paraId="56C2BBED" w14:textId="278F50C7" w:rsidR="00DC7C45" w:rsidRPr="004F44C6" w:rsidRDefault="004F44C6" w:rsidP="006802BB">
      <w:pPr>
        <w:pStyle w:val="Tabela"/>
      </w:pPr>
      <w:bookmarkStart w:id="122" w:name="_Toc66050533"/>
      <w:bookmarkStart w:id="123" w:name="_Toc68726981"/>
      <w:r>
        <w:t xml:space="preserve">Tabela </w:t>
      </w:r>
      <w:fldSimple w:instr=" STYLEREF 1 \s ">
        <w:r w:rsidR="007B4050">
          <w:rPr>
            <w:noProof/>
          </w:rPr>
          <w:t>6</w:t>
        </w:r>
      </w:fldSimple>
      <w:r w:rsidR="007B4050">
        <w:noBreakHyphen/>
      </w:r>
      <w:fldSimple w:instr=" SEQ Tabela \* ARABIC \s 1 ">
        <w:r w:rsidR="007B4050">
          <w:rPr>
            <w:noProof/>
          </w:rPr>
          <w:t>1</w:t>
        </w:r>
      </w:fldSimple>
      <w:r>
        <w:tab/>
      </w:r>
      <w:r w:rsidRPr="004F44C6">
        <w:t xml:space="preserve">Substancje, dla których zgodnie z r.kl.jcwp stwierdzono przekroczenie środowiskowych norm jakości w obszarze dorzecza Pregoły („+” </w:t>
      </w:r>
      <w:r w:rsidR="00BB0E3B">
        <w:t>-</w:t>
      </w:r>
      <w:r w:rsidRPr="004F44C6">
        <w:t xml:space="preserve"> występuje przekroczenie; „-” </w:t>
      </w:r>
      <w:r w:rsidR="00BB0E3B">
        <w:t>-</w:t>
      </w:r>
      <w:r w:rsidRPr="004F44C6">
        <w:t xml:space="preserve"> nie występuje przekroczenie)</w:t>
      </w:r>
      <w:bookmarkEnd w:id="122"/>
      <w:bookmarkEnd w:id="123"/>
    </w:p>
    <w:tbl>
      <w:tblPr>
        <w:tblW w:w="6091" w:type="dxa"/>
        <w:jc w:val="center"/>
        <w:tblCellMar>
          <w:left w:w="10" w:type="dxa"/>
          <w:right w:w="10" w:type="dxa"/>
        </w:tblCellMar>
        <w:tblLook w:val="0000" w:firstRow="0" w:lastRow="0" w:firstColumn="0" w:lastColumn="0" w:noHBand="0" w:noVBand="0"/>
      </w:tblPr>
      <w:tblGrid>
        <w:gridCol w:w="3685"/>
        <w:gridCol w:w="1220"/>
        <w:gridCol w:w="1186"/>
      </w:tblGrid>
      <w:tr w:rsidR="00DC7C45" w:rsidRPr="001B10C5" w14:paraId="155D76C8" w14:textId="77777777" w:rsidTr="001B10C5">
        <w:trPr>
          <w:trHeight w:val="454"/>
          <w:tblHeader/>
          <w:jc w:val="center"/>
        </w:trPr>
        <w:tc>
          <w:tcPr>
            <w:tcW w:w="3685"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7B04932" w14:textId="77777777" w:rsidR="00DC7C45" w:rsidRPr="001B10C5" w:rsidRDefault="00DC7C45" w:rsidP="00590617">
            <w:pPr>
              <w:pStyle w:val="Tabela-tekst"/>
              <w:jc w:val="center"/>
              <w:rPr>
                <w:b/>
                <w:bCs/>
              </w:rPr>
            </w:pPr>
            <w:r w:rsidRPr="001B10C5">
              <w:rPr>
                <w:b/>
                <w:bCs/>
              </w:rPr>
              <w:t>Nazwa substancji</w:t>
            </w:r>
          </w:p>
        </w:tc>
        <w:tc>
          <w:tcPr>
            <w:tcW w:w="2406"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0F4AB54" w14:textId="77777777" w:rsidR="00DC7C45" w:rsidRPr="001B10C5" w:rsidRDefault="00DC7C45" w:rsidP="00B55C73">
            <w:pPr>
              <w:pStyle w:val="Tabela-tekst"/>
              <w:jc w:val="center"/>
              <w:rPr>
                <w:b/>
                <w:bCs/>
              </w:rPr>
            </w:pPr>
            <w:r w:rsidRPr="001B10C5">
              <w:rPr>
                <w:b/>
                <w:bCs/>
              </w:rPr>
              <w:t>Obszar dorzecza Pregoły</w:t>
            </w:r>
          </w:p>
        </w:tc>
      </w:tr>
      <w:tr w:rsidR="00DC7C45" w:rsidRPr="001B10C5" w14:paraId="593003F6" w14:textId="77777777" w:rsidTr="001B10C5">
        <w:trPr>
          <w:trHeight w:val="454"/>
          <w:tblHeader/>
          <w:jc w:val="center"/>
        </w:trPr>
        <w:tc>
          <w:tcPr>
            <w:tcW w:w="3685" w:type="dxa"/>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3DA29226" w14:textId="77777777" w:rsidR="00DC7C45" w:rsidRPr="001B10C5" w:rsidRDefault="00DC7C45" w:rsidP="001B10C5">
            <w:pPr>
              <w:pStyle w:val="Tabela-tekst"/>
              <w:rPr>
                <w:b/>
                <w:bCs/>
              </w:rPr>
            </w:pPr>
          </w:p>
        </w:tc>
        <w:tc>
          <w:tcPr>
            <w:tcW w:w="122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20CD9E30" w14:textId="77777777" w:rsidR="00DC7C45" w:rsidRPr="00B16CAD" w:rsidRDefault="00DC7C45" w:rsidP="00B55C73">
            <w:pPr>
              <w:pStyle w:val="Tabela-tekst"/>
              <w:jc w:val="center"/>
            </w:pPr>
            <w:r w:rsidRPr="001B10C5">
              <w:rPr>
                <w:b/>
                <w:bCs/>
              </w:rPr>
              <w:t>biota</w:t>
            </w:r>
          </w:p>
        </w:tc>
        <w:tc>
          <w:tcPr>
            <w:tcW w:w="118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B3A5DE0" w14:textId="77777777" w:rsidR="00DC7C45" w:rsidRPr="00B16CAD" w:rsidRDefault="00DC7C45" w:rsidP="00B55C73">
            <w:pPr>
              <w:pStyle w:val="Tabela-tekst"/>
              <w:jc w:val="center"/>
            </w:pPr>
            <w:r w:rsidRPr="001B10C5">
              <w:rPr>
                <w:b/>
                <w:bCs/>
              </w:rPr>
              <w:t>woda</w:t>
            </w:r>
          </w:p>
        </w:tc>
      </w:tr>
      <w:tr w:rsidR="00DC7C45" w:rsidRPr="001B10C5" w14:paraId="737346F7"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4C6F1" w14:textId="77777777" w:rsidR="00DC7C45" w:rsidRPr="001B10C5" w:rsidRDefault="00DC7C45" w:rsidP="001B10C5">
            <w:pPr>
              <w:pStyle w:val="Tabela-tekst"/>
            </w:pPr>
            <w:r w:rsidRPr="001B10C5">
              <w:rPr>
                <w:color w:val="000000"/>
              </w:rPr>
              <w:t>bromowane difenyloetery</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0C579"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47619" w14:textId="77777777" w:rsidR="00DC7C45" w:rsidRPr="001B10C5" w:rsidRDefault="00DC7C45" w:rsidP="00B55C73">
            <w:pPr>
              <w:pStyle w:val="Tabela-tekst"/>
              <w:jc w:val="center"/>
            </w:pPr>
            <w:r w:rsidRPr="001B10C5">
              <w:rPr>
                <w:color w:val="000000"/>
              </w:rPr>
              <w:t>-</w:t>
            </w:r>
          </w:p>
        </w:tc>
      </w:tr>
      <w:tr w:rsidR="00DC7C45" w:rsidRPr="001B10C5" w14:paraId="1463C0FF"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6602D" w14:textId="77777777" w:rsidR="00DC7C45" w:rsidRPr="001B10C5" w:rsidRDefault="00DC7C45" w:rsidP="001B10C5">
            <w:pPr>
              <w:pStyle w:val="Tabela-tekst"/>
            </w:pPr>
            <w:r w:rsidRPr="001B10C5">
              <w:rPr>
                <w:color w:val="000000"/>
              </w:rPr>
              <w:t>fluoranten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46E4B"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82C2F" w14:textId="77777777" w:rsidR="00DC7C45" w:rsidRPr="001B10C5" w:rsidRDefault="00DC7C45" w:rsidP="00B55C73">
            <w:pPr>
              <w:pStyle w:val="Tabela-tekst"/>
              <w:jc w:val="center"/>
            </w:pPr>
            <w:r w:rsidRPr="001B10C5">
              <w:rPr>
                <w:color w:val="000000"/>
              </w:rPr>
              <w:t>+</w:t>
            </w:r>
          </w:p>
        </w:tc>
      </w:tr>
      <w:tr w:rsidR="00DC7C45" w:rsidRPr="001B10C5" w14:paraId="6FF6B0B1"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FB9C6" w14:textId="77777777" w:rsidR="00DC7C45" w:rsidRPr="001B10C5" w:rsidRDefault="00DC7C45" w:rsidP="001B10C5">
            <w:pPr>
              <w:pStyle w:val="Tabela-tekst"/>
            </w:pPr>
            <w:r w:rsidRPr="001B10C5">
              <w:rPr>
                <w:color w:val="000000"/>
              </w:rPr>
              <w:t>benzo(a)piren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6B12D"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7F9CB" w14:textId="77777777" w:rsidR="00DC7C45" w:rsidRPr="001B10C5" w:rsidRDefault="00DC7C45" w:rsidP="00B55C73">
            <w:pPr>
              <w:pStyle w:val="Tabela-tekst"/>
              <w:jc w:val="center"/>
            </w:pPr>
            <w:r w:rsidRPr="001B10C5">
              <w:rPr>
                <w:color w:val="000000"/>
              </w:rPr>
              <w:t>+</w:t>
            </w:r>
          </w:p>
        </w:tc>
      </w:tr>
      <w:tr w:rsidR="00DC7C45" w:rsidRPr="001B10C5" w14:paraId="6D32C43B"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56F3C" w14:textId="77777777" w:rsidR="00DC7C45" w:rsidRPr="001B10C5" w:rsidRDefault="00DC7C45" w:rsidP="001B10C5">
            <w:pPr>
              <w:pStyle w:val="Tabela-tekst"/>
            </w:pPr>
            <w:r w:rsidRPr="001B10C5">
              <w:rPr>
                <w:color w:val="000000"/>
              </w:rPr>
              <w:t>benzo(b)fluoranten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9313B"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27581" w14:textId="77777777" w:rsidR="00DC7C45" w:rsidRPr="001B10C5" w:rsidRDefault="00DC7C45" w:rsidP="00B55C73">
            <w:pPr>
              <w:pStyle w:val="Tabela-tekst"/>
              <w:jc w:val="center"/>
            </w:pPr>
            <w:r w:rsidRPr="001B10C5">
              <w:rPr>
                <w:color w:val="000000"/>
              </w:rPr>
              <w:t>+</w:t>
            </w:r>
          </w:p>
        </w:tc>
      </w:tr>
      <w:tr w:rsidR="00DC7C45" w:rsidRPr="001B10C5" w14:paraId="740DAFC1"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EFAA0" w14:textId="77777777" w:rsidR="00DC7C45" w:rsidRPr="001B10C5" w:rsidRDefault="00DC7C45" w:rsidP="001B10C5">
            <w:pPr>
              <w:pStyle w:val="Tabela-tekst"/>
            </w:pPr>
            <w:r w:rsidRPr="001B10C5">
              <w:rPr>
                <w:color w:val="000000"/>
              </w:rPr>
              <w:t>benzo(g,h,i)perylen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1BB3F"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921AC" w14:textId="77777777" w:rsidR="00DC7C45" w:rsidRPr="001B10C5" w:rsidRDefault="00DC7C45" w:rsidP="00B55C73">
            <w:pPr>
              <w:pStyle w:val="Tabela-tekst"/>
              <w:jc w:val="center"/>
            </w:pPr>
            <w:r w:rsidRPr="001B10C5">
              <w:rPr>
                <w:color w:val="000000"/>
              </w:rPr>
              <w:t>+</w:t>
            </w:r>
          </w:p>
        </w:tc>
      </w:tr>
      <w:tr w:rsidR="00DC7C45" w:rsidRPr="001B10C5" w14:paraId="542D1962"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C6B02" w14:textId="77777777" w:rsidR="00DC7C45" w:rsidRPr="001B10C5" w:rsidRDefault="00DC7C45" w:rsidP="001B10C5">
            <w:pPr>
              <w:pStyle w:val="Tabela-tekst"/>
            </w:pPr>
            <w:r w:rsidRPr="001B10C5">
              <w:rPr>
                <w:color w:val="000000"/>
              </w:rPr>
              <w:t>heptachlor</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21B24"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83819" w14:textId="77777777" w:rsidR="00DC7C45" w:rsidRPr="001B10C5" w:rsidRDefault="00DC7C45" w:rsidP="00B55C73">
            <w:pPr>
              <w:pStyle w:val="Tabela-tekst"/>
              <w:jc w:val="center"/>
            </w:pPr>
            <w:r w:rsidRPr="001B10C5">
              <w:rPr>
                <w:color w:val="000000"/>
              </w:rPr>
              <w:t>-</w:t>
            </w:r>
          </w:p>
        </w:tc>
      </w:tr>
      <w:tr w:rsidR="00DC7C45" w:rsidRPr="001B10C5" w14:paraId="20068ED5"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99A5" w14:textId="77777777" w:rsidR="00DC7C45" w:rsidRPr="001B10C5" w:rsidRDefault="00DC7C45" w:rsidP="001B10C5">
            <w:pPr>
              <w:pStyle w:val="Tabela-tekst"/>
            </w:pPr>
            <w:r w:rsidRPr="001B10C5">
              <w:rPr>
                <w:color w:val="000000"/>
              </w:rPr>
              <w:t>rtęć i jej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A2F01"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9E799" w14:textId="77777777" w:rsidR="00DC7C45" w:rsidRPr="001B10C5" w:rsidRDefault="00DC7C45" w:rsidP="00B55C73">
            <w:pPr>
              <w:pStyle w:val="Tabela-tekst"/>
              <w:jc w:val="center"/>
            </w:pPr>
            <w:r w:rsidRPr="001B10C5">
              <w:rPr>
                <w:color w:val="000000"/>
              </w:rPr>
              <w:t>-</w:t>
            </w:r>
          </w:p>
        </w:tc>
      </w:tr>
      <w:tr w:rsidR="00DC7C45" w:rsidRPr="001B10C5" w14:paraId="4EA5D099"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24856" w14:textId="77777777" w:rsidR="00DC7C45" w:rsidRPr="001B10C5" w:rsidRDefault="00DC7C45" w:rsidP="001B10C5">
            <w:pPr>
              <w:pStyle w:val="Tabela-tekst"/>
            </w:pPr>
            <w:r w:rsidRPr="001B10C5">
              <w:rPr>
                <w:color w:val="000000"/>
              </w:rPr>
              <w:t>ołów i jego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DE59C"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E4766" w14:textId="77777777" w:rsidR="00DC7C45" w:rsidRPr="001B10C5" w:rsidRDefault="00DC7C45" w:rsidP="00B55C73">
            <w:pPr>
              <w:pStyle w:val="Tabela-tekst"/>
              <w:jc w:val="center"/>
            </w:pPr>
            <w:r w:rsidRPr="001B10C5">
              <w:rPr>
                <w:color w:val="000000"/>
              </w:rPr>
              <w:t>+</w:t>
            </w:r>
          </w:p>
        </w:tc>
      </w:tr>
      <w:tr w:rsidR="00DC7C45" w:rsidRPr="001B10C5" w14:paraId="1FF9B861"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04E6E" w14:textId="77777777" w:rsidR="00DC7C45" w:rsidRPr="001B10C5" w:rsidRDefault="00DC7C45" w:rsidP="001B10C5">
            <w:pPr>
              <w:pStyle w:val="Tabela-tekst"/>
            </w:pPr>
            <w:r w:rsidRPr="001B10C5">
              <w:rPr>
                <w:color w:val="000000"/>
              </w:rPr>
              <w:t>kadm i jego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DAB6D"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649CA" w14:textId="77777777" w:rsidR="00DC7C45" w:rsidRPr="001B10C5" w:rsidRDefault="00DC7C45" w:rsidP="00B55C73">
            <w:pPr>
              <w:pStyle w:val="Tabela-tekst"/>
              <w:jc w:val="center"/>
            </w:pPr>
            <w:r w:rsidRPr="001B10C5">
              <w:rPr>
                <w:color w:val="000000"/>
              </w:rPr>
              <w:t>+</w:t>
            </w:r>
          </w:p>
        </w:tc>
      </w:tr>
      <w:tr w:rsidR="00DC7C45" w:rsidRPr="001B10C5" w14:paraId="7745279B"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32D97" w14:textId="77777777" w:rsidR="00DC7C45" w:rsidRPr="001B10C5" w:rsidRDefault="00DC7C45" w:rsidP="001B10C5">
            <w:pPr>
              <w:pStyle w:val="Tabela-tekst"/>
            </w:pPr>
            <w:r w:rsidRPr="001B10C5">
              <w:t>kwas perfluorooktanosulfonowy</w:t>
            </w:r>
          </w:p>
          <w:p w14:paraId="4298D737" w14:textId="77777777" w:rsidR="00DC7C45" w:rsidRPr="001B10C5" w:rsidRDefault="00DC7C45" w:rsidP="001B10C5">
            <w:pPr>
              <w:pStyle w:val="Tabela-tekst"/>
            </w:pPr>
            <w:r w:rsidRPr="001B10C5">
              <w:t>i jego pochodne (PFOS)</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3F41"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89E7F" w14:textId="77777777" w:rsidR="00DC7C45" w:rsidRPr="001B10C5" w:rsidRDefault="00DC7C45" w:rsidP="00B55C73">
            <w:pPr>
              <w:pStyle w:val="Tabela-tekst"/>
              <w:jc w:val="center"/>
            </w:pPr>
            <w:r w:rsidRPr="001B10C5">
              <w:rPr>
                <w:color w:val="000000"/>
              </w:rPr>
              <w:t>-</w:t>
            </w:r>
          </w:p>
        </w:tc>
      </w:tr>
      <w:tr w:rsidR="00DC7C45" w:rsidRPr="001B10C5" w14:paraId="793B0C2C" w14:textId="77777777" w:rsidTr="001B10C5">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D4B5D" w14:textId="77777777" w:rsidR="00DC7C45" w:rsidRPr="001B10C5" w:rsidRDefault="00DC7C45" w:rsidP="001B10C5">
            <w:pPr>
              <w:pStyle w:val="Tabela-tekst"/>
            </w:pPr>
            <w:r w:rsidRPr="001B10C5">
              <w:t>związki tributylocyny</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0F18C" w14:textId="77777777" w:rsidR="00DC7C45" w:rsidRPr="001B10C5" w:rsidRDefault="00DC7C45" w:rsidP="00B55C73">
            <w:pPr>
              <w:pStyle w:val="Tabela-tekst"/>
              <w:jc w:val="center"/>
            </w:pPr>
            <w:r w:rsidRPr="001B10C5">
              <w:rPr>
                <w:color w:val="000000"/>
              </w:rPr>
              <w:t>-</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F5BA1" w14:textId="77777777" w:rsidR="00DC7C45" w:rsidRPr="001B10C5" w:rsidRDefault="00DC7C45" w:rsidP="00B55C73">
            <w:pPr>
              <w:pStyle w:val="Tabela-tekst"/>
              <w:jc w:val="center"/>
            </w:pPr>
            <w:r w:rsidRPr="001B10C5">
              <w:rPr>
                <w:color w:val="000000"/>
              </w:rPr>
              <w:t>+</w:t>
            </w:r>
          </w:p>
        </w:tc>
      </w:tr>
    </w:tbl>
    <w:p w14:paraId="51CF8EF9" w14:textId="77777777" w:rsidR="00B84032" w:rsidRDefault="00B84032" w:rsidP="00B84032">
      <w:pPr>
        <w:pStyle w:val="rdo0"/>
      </w:pPr>
      <w:r w:rsidRPr="002D0D68">
        <w:t xml:space="preserve">Źródło: opracowanie </w:t>
      </w:r>
      <w:r>
        <w:t>własne</w:t>
      </w:r>
    </w:p>
    <w:p w14:paraId="396D042F" w14:textId="77777777" w:rsidR="00C53113" w:rsidRDefault="00C53113">
      <w:pPr>
        <w:spacing w:before="0" w:after="0"/>
        <w:jc w:val="left"/>
        <w:rPr>
          <w:rFonts w:asciiTheme="minorHAnsi" w:hAnsiTheme="minorHAnsi" w:cstheme="minorHAnsi"/>
          <w:i/>
          <w:iCs/>
          <w:color w:val="003399"/>
          <w:sz w:val="18"/>
          <w:szCs w:val="18"/>
        </w:rPr>
      </w:pPr>
      <w:r>
        <w:br w:type="page"/>
      </w:r>
    </w:p>
    <w:p w14:paraId="712DF1F1" w14:textId="1E6E569A" w:rsidR="00DC7C45" w:rsidRPr="004F44C6" w:rsidRDefault="004F44C6" w:rsidP="006802BB">
      <w:pPr>
        <w:pStyle w:val="Tabela"/>
      </w:pPr>
      <w:bookmarkStart w:id="124" w:name="_Toc66050534"/>
      <w:bookmarkStart w:id="125" w:name="_Toc68726982"/>
      <w:r>
        <w:t xml:space="preserve">Tabela </w:t>
      </w:r>
      <w:fldSimple w:instr=" STYLEREF 1 \s ">
        <w:r w:rsidR="007B4050">
          <w:rPr>
            <w:noProof/>
          </w:rPr>
          <w:t>6</w:t>
        </w:r>
      </w:fldSimple>
      <w:r w:rsidR="007B4050">
        <w:noBreakHyphen/>
      </w:r>
      <w:fldSimple w:instr=" SEQ Tabela \* ARABIC \s 1 ">
        <w:r w:rsidR="007B4050">
          <w:rPr>
            <w:noProof/>
          </w:rPr>
          <w:t>2</w:t>
        </w:r>
      </w:fldSimple>
      <w:r>
        <w:tab/>
      </w:r>
      <w:r w:rsidRPr="004F44C6">
        <w:t>Podsumowanie dla oznaczeń wykonanych w wodzie i biocie obszaru dorzecza Pregoły</w:t>
      </w:r>
      <w:bookmarkEnd w:id="124"/>
      <w:bookmarkEnd w:id="125"/>
    </w:p>
    <w:tbl>
      <w:tblPr>
        <w:tblW w:w="5000" w:type="pct"/>
        <w:jc w:val="center"/>
        <w:tblCellMar>
          <w:left w:w="10" w:type="dxa"/>
          <w:right w:w="10" w:type="dxa"/>
        </w:tblCellMar>
        <w:tblLook w:val="0000" w:firstRow="0" w:lastRow="0" w:firstColumn="0" w:lastColumn="0" w:noHBand="0" w:noVBand="0"/>
      </w:tblPr>
      <w:tblGrid>
        <w:gridCol w:w="1029"/>
        <w:gridCol w:w="1093"/>
        <w:gridCol w:w="1559"/>
        <w:gridCol w:w="1698"/>
        <w:gridCol w:w="1559"/>
        <w:gridCol w:w="2124"/>
      </w:tblGrid>
      <w:tr w:rsidR="00DC7C45" w:rsidRPr="00B16CAD" w14:paraId="4F9A536E" w14:textId="77777777" w:rsidTr="001B10C5">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AA7B04D" w14:textId="77777777" w:rsidR="00DC7C45" w:rsidRPr="001B10C5" w:rsidRDefault="00DC7C45" w:rsidP="001B10C5">
            <w:pPr>
              <w:pStyle w:val="Tabela-tekst"/>
              <w:rPr>
                <w:b/>
                <w:bCs/>
              </w:rPr>
            </w:pPr>
            <w:r w:rsidRPr="001B10C5">
              <w:rPr>
                <w:b/>
                <w:bCs/>
              </w:rPr>
              <w:t>Matryca</w:t>
            </w:r>
          </w:p>
        </w:tc>
        <w:tc>
          <w:tcPr>
            <w:tcW w:w="6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5E23364A" w14:textId="77777777" w:rsidR="00DC7C45" w:rsidRPr="001B10C5" w:rsidRDefault="00DC7C45" w:rsidP="00B55C73">
            <w:pPr>
              <w:pStyle w:val="Tabela-tekst"/>
              <w:jc w:val="center"/>
              <w:rPr>
                <w:b/>
                <w:bCs/>
                <w:iCs/>
              </w:rPr>
            </w:pPr>
            <w:r w:rsidRPr="001B10C5">
              <w:rPr>
                <w:b/>
                <w:bCs/>
                <w:iCs/>
              </w:rPr>
              <w:t>Liczba oznaczeń</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7E69731" w14:textId="77777777" w:rsidR="00DC7C45" w:rsidRPr="001B10C5" w:rsidRDefault="00DC7C45" w:rsidP="00B55C73">
            <w:pPr>
              <w:pStyle w:val="Tabela-tekst"/>
              <w:jc w:val="center"/>
              <w:rPr>
                <w:b/>
                <w:bCs/>
                <w:iCs/>
              </w:rPr>
            </w:pPr>
            <w:r w:rsidRPr="001B10C5">
              <w:rPr>
                <w:b/>
                <w:bCs/>
                <w:iCs/>
              </w:rPr>
              <w:t>Występowanie wartości &gt;LOQ</w:t>
            </w:r>
          </w:p>
        </w:tc>
        <w:tc>
          <w:tcPr>
            <w:tcW w:w="93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3442F244" w14:textId="77777777" w:rsidR="00DC7C45" w:rsidRPr="001B10C5" w:rsidRDefault="00DC7C45" w:rsidP="00B55C73">
            <w:pPr>
              <w:pStyle w:val="Tabela-tekst"/>
              <w:jc w:val="center"/>
              <w:rPr>
                <w:b/>
                <w:bCs/>
                <w:iCs/>
              </w:rPr>
            </w:pPr>
            <w:r w:rsidRPr="001B10C5">
              <w:rPr>
                <w:b/>
                <w:bCs/>
                <w:iCs/>
              </w:rPr>
              <w:t>Liczba oznaczeń &gt;EQS</w:t>
            </w:r>
          </w:p>
        </w:tc>
        <w:tc>
          <w:tcPr>
            <w:tcW w:w="86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754EEC7" w14:textId="09332AA4" w:rsidR="00DC7C45" w:rsidRPr="001B10C5" w:rsidRDefault="00DC7C45" w:rsidP="00B55C73">
            <w:pPr>
              <w:pStyle w:val="Tabela-tekst"/>
              <w:jc w:val="center"/>
              <w:rPr>
                <w:b/>
                <w:bCs/>
                <w:iCs/>
              </w:rPr>
            </w:pPr>
            <w:r w:rsidRPr="001B10C5">
              <w:rPr>
                <w:b/>
                <w:bCs/>
                <w:iCs/>
              </w:rPr>
              <w:t>Częstość występowania substancji</w:t>
            </w:r>
            <w:r w:rsidR="001479C9">
              <w:rPr>
                <w:b/>
                <w:bCs/>
                <w:iCs/>
              </w:rPr>
              <w:t xml:space="preserve"> (%)</w:t>
            </w:r>
          </w:p>
        </w:tc>
        <w:tc>
          <w:tcPr>
            <w:tcW w:w="117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058F420" w14:textId="0AC4536B" w:rsidR="00DC7C45" w:rsidRPr="001B10C5" w:rsidRDefault="00DC7C45" w:rsidP="00B55C73">
            <w:pPr>
              <w:pStyle w:val="Tabela-tekst"/>
              <w:jc w:val="center"/>
              <w:rPr>
                <w:b/>
                <w:bCs/>
              </w:rPr>
            </w:pPr>
            <w:r w:rsidRPr="001B10C5">
              <w:rPr>
                <w:b/>
                <w:bCs/>
              </w:rPr>
              <w:t>Udział przekroczeń normy w odniesieniu do ilości wykonanych pomiarów</w:t>
            </w:r>
            <w:r w:rsidR="001479C9">
              <w:rPr>
                <w:b/>
                <w:bCs/>
              </w:rPr>
              <w:t xml:space="preserve"> (%)</w:t>
            </w:r>
          </w:p>
        </w:tc>
      </w:tr>
      <w:tr w:rsidR="00DC7C45" w14:paraId="552A72AD" w14:textId="77777777" w:rsidTr="001B10C5">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E7F7AB3" w14:textId="77777777" w:rsidR="00DC7C45" w:rsidRPr="00B16CAD" w:rsidRDefault="00DC7C45" w:rsidP="001B10C5">
            <w:pPr>
              <w:pStyle w:val="Tabela-tekst"/>
              <w:rPr>
                <w:iCs/>
              </w:rPr>
            </w:pPr>
            <w:r w:rsidRPr="00B16CAD">
              <w:rPr>
                <w:iCs/>
              </w:rPr>
              <w:t>Woda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319C4" w14:textId="77777777" w:rsidR="00DC7C45" w:rsidRPr="009E60C9" w:rsidRDefault="00DC7C45" w:rsidP="00B55C73">
            <w:pPr>
              <w:pStyle w:val="Tabela-tekst"/>
              <w:jc w:val="center"/>
            </w:pPr>
            <w:r>
              <w:t>2 550</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04E0B" w14:textId="77777777" w:rsidR="00DC7C45" w:rsidRPr="009E60C9" w:rsidRDefault="00DC7C45" w:rsidP="00B55C73">
            <w:pPr>
              <w:pStyle w:val="Tabela-tekst"/>
              <w:jc w:val="center"/>
            </w:pPr>
            <w:r>
              <w:t>1 058</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ECDAB" w14:textId="77777777" w:rsidR="00DC7C45" w:rsidRPr="009E60C9" w:rsidRDefault="00DC7C45" w:rsidP="00B55C73">
            <w:pPr>
              <w:pStyle w:val="Tabela-tekst"/>
              <w:jc w:val="center"/>
            </w:pPr>
            <w:r>
              <w:t>64</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4F282" w14:textId="0AF78696" w:rsidR="00DC7C45" w:rsidRPr="009E60C9" w:rsidRDefault="00DC7C45" w:rsidP="00B55C73">
            <w:pPr>
              <w:pStyle w:val="Tabela-tekst"/>
              <w:jc w:val="center"/>
            </w:pPr>
            <w:r>
              <w:rPr>
                <w:color w:val="000000"/>
              </w:rPr>
              <w:t>41,5</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859D1" w14:textId="28C0E0E0" w:rsidR="00DC7C45" w:rsidRPr="009E60C9" w:rsidRDefault="00DC7C45" w:rsidP="00B55C73">
            <w:pPr>
              <w:pStyle w:val="Tabela-tekst"/>
              <w:jc w:val="center"/>
            </w:pPr>
            <w:r>
              <w:rPr>
                <w:color w:val="000000"/>
              </w:rPr>
              <w:t>2,5</w:t>
            </w:r>
          </w:p>
        </w:tc>
      </w:tr>
      <w:tr w:rsidR="00DC7C45" w14:paraId="1AA63BF1" w14:textId="77777777" w:rsidTr="001B10C5">
        <w:trPr>
          <w:trHeight w:val="454"/>
          <w:jc w:val="center"/>
        </w:trPr>
        <w:tc>
          <w:tcPr>
            <w:tcW w:w="56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587E4930" w14:textId="77777777" w:rsidR="00DC7C45" w:rsidRPr="00B16CAD" w:rsidRDefault="00DC7C45" w:rsidP="001B10C5">
            <w:pPr>
              <w:pStyle w:val="Tabela-tekst"/>
            </w:pPr>
            <w:r w:rsidRPr="00B16CAD">
              <w:t>Biota</w:t>
            </w:r>
          </w:p>
        </w:tc>
        <w:tc>
          <w:tcPr>
            <w:tcW w:w="6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A9751" w14:textId="77777777" w:rsidR="00DC7C45" w:rsidRPr="009E60C9" w:rsidRDefault="00DC7C45" w:rsidP="00B55C73">
            <w:pPr>
              <w:pStyle w:val="Tabela-tekst"/>
              <w:jc w:val="center"/>
            </w:pPr>
            <w:r>
              <w:t>571</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F950" w14:textId="77777777" w:rsidR="00DC7C45" w:rsidRPr="009E60C9" w:rsidRDefault="00DC7C45" w:rsidP="00B55C73">
            <w:pPr>
              <w:pStyle w:val="Tabela-tekst"/>
              <w:jc w:val="center"/>
            </w:pPr>
            <w:r>
              <w:t>163</w:t>
            </w:r>
          </w:p>
        </w:tc>
        <w:tc>
          <w:tcPr>
            <w:tcW w:w="93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82158" w14:textId="77777777" w:rsidR="00DC7C45" w:rsidRPr="009E60C9" w:rsidRDefault="00DC7C45" w:rsidP="00B55C73">
            <w:pPr>
              <w:pStyle w:val="Tabela-tekst"/>
              <w:jc w:val="center"/>
            </w:pPr>
            <w:r>
              <w:t>127</w:t>
            </w:r>
          </w:p>
        </w:tc>
        <w:tc>
          <w:tcPr>
            <w:tcW w:w="8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3F80D" w14:textId="54F2D406" w:rsidR="00DC7C45" w:rsidRPr="009E60C9" w:rsidRDefault="00DC7C45" w:rsidP="00B55C73">
            <w:pPr>
              <w:pStyle w:val="Tabela-tekst"/>
              <w:jc w:val="center"/>
            </w:pPr>
            <w:r>
              <w:rPr>
                <w:color w:val="000000"/>
              </w:rPr>
              <w:t>28,5</w:t>
            </w:r>
          </w:p>
        </w:tc>
        <w:tc>
          <w:tcPr>
            <w:tcW w:w="11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FBE59" w14:textId="0A7FC346" w:rsidR="00DC7C45" w:rsidRPr="009E60C9" w:rsidRDefault="00DC7C45" w:rsidP="00B55C73">
            <w:pPr>
              <w:pStyle w:val="Tabela-tekst"/>
              <w:jc w:val="center"/>
            </w:pPr>
            <w:r>
              <w:rPr>
                <w:color w:val="000000"/>
              </w:rPr>
              <w:t>22,2</w:t>
            </w:r>
          </w:p>
        </w:tc>
      </w:tr>
    </w:tbl>
    <w:p w14:paraId="22ACBA01" w14:textId="77777777" w:rsidR="00B84032" w:rsidRDefault="00B84032" w:rsidP="00B84032">
      <w:pPr>
        <w:pStyle w:val="rdo0"/>
      </w:pPr>
      <w:r w:rsidRPr="002D0D68">
        <w:t xml:space="preserve">Źródło: opracowanie </w:t>
      </w:r>
      <w:r>
        <w:t>własne</w:t>
      </w:r>
    </w:p>
    <w:p w14:paraId="3773DFDE" w14:textId="3F8D8995" w:rsidR="00035198" w:rsidRDefault="00442AB7" w:rsidP="00B50FFD">
      <w:pPr>
        <w:pStyle w:val="Nagwek1"/>
      </w:pPr>
      <w:r>
        <w:br w:type="column"/>
      </w:r>
      <w:bookmarkStart w:id="126" w:name="_Toc68726854"/>
      <w:r w:rsidR="00035198" w:rsidRPr="008C0B70">
        <w:t xml:space="preserve">Podsumowanie identyfikacji </w:t>
      </w:r>
      <w:bookmarkStart w:id="127" w:name="_Hlk54212793"/>
      <w:r w:rsidR="00035198" w:rsidRPr="008C0B70">
        <w:t>znaczących oddziaływań antropogenicznych</w:t>
      </w:r>
      <w:r w:rsidR="00EA234C" w:rsidRPr="008C0B70">
        <w:br/>
      </w:r>
      <w:r w:rsidR="00035198" w:rsidRPr="008C0B70">
        <w:t>i oceny ich wpływu na stan wód powierzchniowych i podziemnych</w:t>
      </w:r>
      <w:bookmarkEnd w:id="126"/>
      <w:bookmarkEnd w:id="127"/>
    </w:p>
    <w:p w14:paraId="74186204" w14:textId="3E05FE1A" w:rsidR="002E24BC" w:rsidRPr="00CC55D4" w:rsidRDefault="002E24BC" w:rsidP="002E24BC">
      <w:pPr>
        <w:rPr>
          <w:rFonts w:asciiTheme="minorHAnsi" w:hAnsiTheme="minorHAnsi" w:cstheme="minorHAnsi"/>
        </w:rPr>
      </w:pPr>
      <w:r w:rsidRPr="09A07C3E">
        <w:rPr>
          <w:rFonts w:asciiTheme="minorHAnsi" w:hAnsiTheme="minorHAnsi" w:cstheme="minorBidi"/>
        </w:rPr>
        <w:t xml:space="preserve">Zgodnie z </w:t>
      </w:r>
      <w:r w:rsidRPr="00CC55D4">
        <w:rPr>
          <w:rFonts w:asciiTheme="minorHAnsi" w:hAnsiTheme="minorHAnsi" w:cstheme="minorHAnsi"/>
        </w:rPr>
        <w:t>wymaganiami wskazanymi w art. 5 RDW państwa członkowskie mają obowiązek cyklicznego przeglądu wpływu działalności człowieka na środowisko. W zakresie przeglądu przeprowadzana jest identyfikacja znaczących oddziaływań oraz ich ocena wpływu na stan wód powierzchniowych i</w:t>
      </w:r>
      <w:r w:rsidR="001F198D">
        <w:rPr>
          <w:rFonts w:asciiTheme="minorHAnsi" w:hAnsiTheme="minorHAnsi" w:cstheme="minorHAnsi"/>
        </w:rPr>
        <w:t> </w:t>
      </w:r>
      <w:r w:rsidRPr="00CC55D4">
        <w:rPr>
          <w:rFonts w:asciiTheme="minorHAnsi" w:hAnsiTheme="minorHAnsi" w:cstheme="minorHAnsi"/>
        </w:rPr>
        <w:t>podziemnych. Odpowiednia ocena presji mających wpływ na jcw umożliwia ustalenie środków dla osiągnięcia celów środowiskowych określonych zgodnie z art. 4 RDW</w:t>
      </w:r>
      <w:r w:rsidRPr="00CC55D4" w:rsidDel="0061287B">
        <w:rPr>
          <w:rFonts w:asciiTheme="minorHAnsi" w:hAnsiTheme="minorHAnsi" w:cstheme="minorHAnsi"/>
        </w:rPr>
        <w:t xml:space="preserve"> </w:t>
      </w:r>
      <w:r w:rsidRPr="00CC55D4">
        <w:rPr>
          <w:rFonts w:asciiTheme="minorHAnsi" w:hAnsiTheme="minorHAnsi" w:cstheme="minorHAnsi"/>
        </w:rPr>
        <w:t>lub powołanie się na wyłączenia w ramach tego przepisu.</w:t>
      </w:r>
    </w:p>
    <w:p w14:paraId="667534C7" w14:textId="77777777" w:rsidR="002E24BC" w:rsidRPr="000F4A1C" w:rsidRDefault="002E24BC" w:rsidP="00B50FFD">
      <w:pPr>
        <w:pStyle w:val="Nagwek2"/>
      </w:pPr>
      <w:bookmarkStart w:id="128" w:name="_Toc66305699"/>
      <w:bookmarkStart w:id="129" w:name="_Toc66311171"/>
      <w:bookmarkStart w:id="130" w:name="_Toc68726855"/>
      <w:r w:rsidRPr="000F4A1C">
        <w:t>Wody powierzchniowe</w:t>
      </w:r>
      <w:bookmarkEnd w:id="128"/>
      <w:bookmarkEnd w:id="129"/>
      <w:bookmarkEnd w:id="130"/>
    </w:p>
    <w:p w14:paraId="3976A3EA" w14:textId="77777777" w:rsidR="002E24BC" w:rsidRPr="00084CDD" w:rsidRDefault="002E24BC" w:rsidP="002E24BC">
      <w:r>
        <w:t xml:space="preserve">Kompleksowe - środowiskowe ujęcie problemu identyfikacji znaczącej presji antropogenicznej na jcwp wymaga posiadania kompletu danych dla wszystkich jcwp, co możliwe jest przy połączeniu wyników monitoringu PMŚ i informacji o emisjach do środowiska z metodami umożliwiającymi wiarygodne uzupełnienie danych. </w:t>
      </w:r>
    </w:p>
    <w:p w14:paraId="177B17E2" w14:textId="77777777" w:rsidR="002E24BC" w:rsidRDefault="002E24BC" w:rsidP="002E24BC">
      <w:pPr>
        <w:rPr>
          <w:rFonts w:asciiTheme="minorHAnsi" w:hAnsiTheme="minorHAnsi" w:cstheme="minorHAnsi"/>
        </w:rPr>
      </w:pPr>
      <w:r>
        <w:rPr>
          <w:rFonts w:asciiTheme="minorHAnsi" w:hAnsiTheme="minorHAnsi" w:cstheme="minorHAnsi"/>
        </w:rPr>
        <w:t xml:space="preserve">Identyfikacja znaczących oddziaływań antropogenicznych jcwp wraz z ich analizą i oceną ryzyka nieosiągnięcia celów środowiskowych przeprowadzona została na potrzeby IIaPGW w ramach realizacji </w:t>
      </w:r>
      <w:r w:rsidRPr="00373D5C">
        <w:rPr>
          <w:rFonts w:asciiTheme="minorHAnsi" w:hAnsiTheme="minorHAnsi" w:cstheme="minorHAnsi"/>
          <w:i/>
          <w:iCs/>
        </w:rPr>
        <w:t xml:space="preserve">Analizy znaczących oddziaływań </w:t>
      </w:r>
      <w:r>
        <w:rPr>
          <w:rFonts w:asciiTheme="minorHAnsi" w:hAnsiTheme="minorHAnsi" w:cstheme="minorHAnsi"/>
          <w:i/>
          <w:iCs/>
        </w:rPr>
        <w:t>-</w:t>
      </w:r>
      <w:r w:rsidRPr="00373D5C">
        <w:rPr>
          <w:rFonts w:asciiTheme="minorHAnsi" w:hAnsiTheme="minorHAnsi" w:cstheme="minorHAnsi"/>
          <w:i/>
          <w:iCs/>
        </w:rPr>
        <w:t xml:space="preserve"> jcwp (…)</w:t>
      </w:r>
      <w:r>
        <w:rPr>
          <w:rFonts w:asciiTheme="minorHAnsi" w:hAnsiTheme="minorHAnsi" w:cstheme="minorHAnsi"/>
          <w:i/>
          <w:iCs/>
        </w:rPr>
        <w:t xml:space="preserve"> </w:t>
      </w:r>
      <w:r w:rsidRPr="00373D5C">
        <w:rPr>
          <w:rFonts w:asciiTheme="minorHAnsi" w:hAnsiTheme="minorHAnsi" w:cstheme="minorHAnsi"/>
        </w:rPr>
        <w:t>oraz jej uzup</w:t>
      </w:r>
      <w:r>
        <w:rPr>
          <w:rFonts w:asciiTheme="minorHAnsi" w:hAnsiTheme="minorHAnsi" w:cstheme="minorHAnsi"/>
        </w:rPr>
        <w:t>ełnienia o dane monitoringowe z roku 2019</w:t>
      </w:r>
      <w:r w:rsidRPr="00373D5C">
        <w:rPr>
          <w:rFonts w:asciiTheme="minorHAnsi" w:hAnsiTheme="minorHAnsi" w:cstheme="minorHAnsi"/>
        </w:rPr>
        <w:t>.</w:t>
      </w:r>
      <w:r w:rsidRPr="00373D5C">
        <w:rPr>
          <w:rFonts w:asciiTheme="minorHAnsi" w:hAnsiTheme="minorHAnsi" w:cstheme="minorHAnsi"/>
          <w:i/>
          <w:iCs/>
        </w:rPr>
        <w:t xml:space="preserve"> </w:t>
      </w:r>
    </w:p>
    <w:p w14:paraId="685004B4" w14:textId="77777777" w:rsidR="002E24BC" w:rsidRPr="00373D5C" w:rsidRDefault="002E24BC" w:rsidP="002E24BC">
      <w:pPr>
        <w:rPr>
          <w:rFonts w:asciiTheme="minorHAnsi" w:hAnsiTheme="minorHAnsi" w:cstheme="minorHAnsi"/>
        </w:rPr>
      </w:pPr>
      <w:r w:rsidRPr="00373D5C">
        <w:rPr>
          <w:rFonts w:asciiTheme="minorHAnsi" w:hAnsiTheme="minorHAnsi" w:cstheme="minorHAnsi"/>
        </w:rPr>
        <w:t>Celem</w:t>
      </w:r>
      <w:r>
        <w:rPr>
          <w:rFonts w:asciiTheme="minorHAnsi" w:hAnsiTheme="minorHAnsi" w:cstheme="minorHAnsi"/>
        </w:rPr>
        <w:t xml:space="preserve"> wykonanych analiz było:</w:t>
      </w:r>
    </w:p>
    <w:p w14:paraId="60D151CB" w14:textId="77777777" w:rsidR="002E24BC" w:rsidRPr="00590617" w:rsidRDefault="002E24BC" w:rsidP="00590617">
      <w:pPr>
        <w:pStyle w:val="Akapitzlist"/>
      </w:pPr>
      <w:r w:rsidRPr="00590617">
        <w:t>uzyskanie niezbędnych danych ilościowych i jakościowych charakteryzujących każdą jcwp;</w:t>
      </w:r>
    </w:p>
    <w:p w14:paraId="593BC1DF" w14:textId="13F03ADF" w:rsidR="002E24BC" w:rsidRPr="00590617" w:rsidRDefault="002E24BC" w:rsidP="00590617">
      <w:pPr>
        <w:pStyle w:val="Akapitzlist"/>
      </w:pPr>
      <w:r w:rsidRPr="00590617">
        <w:t>przeprowadzenie analizy presji antropogenicznych dla każdej jcwp (monitorowanej i</w:t>
      </w:r>
      <w:r w:rsidR="001F198D" w:rsidRPr="00590617">
        <w:t> </w:t>
      </w:r>
      <w:r w:rsidRPr="00590617">
        <w:t>niemonitorowanej);</w:t>
      </w:r>
    </w:p>
    <w:p w14:paraId="64895BC8" w14:textId="77777777" w:rsidR="002E24BC" w:rsidRPr="00590617" w:rsidRDefault="002E24BC" w:rsidP="00590617">
      <w:pPr>
        <w:pStyle w:val="Akapitzlist"/>
      </w:pPr>
      <w:r w:rsidRPr="00590617">
        <w:t>zidentyfikowanie jcwp ze znaczącą presją antropogeniczną oraz presją skumulowaną;</w:t>
      </w:r>
    </w:p>
    <w:p w14:paraId="0492E459" w14:textId="77777777" w:rsidR="002E24BC" w:rsidRPr="00590617" w:rsidRDefault="002E24BC" w:rsidP="00590617">
      <w:pPr>
        <w:pStyle w:val="Akapitzlist"/>
      </w:pPr>
      <w:r w:rsidRPr="00590617">
        <w:t>zidentyfikowanie źródła/źródeł znaczących presji antropogenicznych;</w:t>
      </w:r>
    </w:p>
    <w:p w14:paraId="124ED1E6" w14:textId="77777777" w:rsidR="002E24BC" w:rsidRPr="00590617" w:rsidRDefault="002E24BC" w:rsidP="00590617">
      <w:pPr>
        <w:pStyle w:val="Akapitzlist"/>
      </w:pPr>
      <w:r w:rsidRPr="00590617">
        <w:t>wskazanie jcwp z istniejącym ryzykiem nieosiągnięcia wyznaczonych celów środowiskowych.</w:t>
      </w:r>
    </w:p>
    <w:p w14:paraId="74D7146E" w14:textId="77777777" w:rsidR="002E24BC" w:rsidRPr="00CB0E94" w:rsidRDefault="002E24BC" w:rsidP="002E24BC">
      <w:r w:rsidRPr="381BC984">
        <w:rPr>
          <w:rFonts w:asciiTheme="minorHAnsi" w:hAnsiTheme="minorHAnsi" w:cstheme="minorBidi"/>
        </w:rPr>
        <w:t xml:space="preserve">Analizy wykonywane były dla każdej </w:t>
      </w:r>
      <w:r w:rsidRPr="00CB0E94">
        <w:t xml:space="preserve">kategorii jcwp w zakresie następujących rodzajów presji: </w:t>
      </w:r>
    </w:p>
    <w:p w14:paraId="7A37C2C8" w14:textId="77777777" w:rsidR="002E24BC" w:rsidRPr="00590617" w:rsidRDefault="002E24BC" w:rsidP="00590617">
      <w:pPr>
        <w:pStyle w:val="Akapitzlist"/>
      </w:pPr>
      <w:r w:rsidRPr="00590617">
        <w:t>presji wywieranych na stan hydromorfologiczny;</w:t>
      </w:r>
    </w:p>
    <w:p w14:paraId="4838788E" w14:textId="77777777" w:rsidR="002E24BC" w:rsidRPr="00590617" w:rsidRDefault="002E24BC" w:rsidP="00590617">
      <w:pPr>
        <w:pStyle w:val="Akapitzlist"/>
      </w:pPr>
      <w:r w:rsidRPr="00590617">
        <w:t>presji wywieranych na elementy biologiczne;</w:t>
      </w:r>
    </w:p>
    <w:p w14:paraId="3975A9D7" w14:textId="77777777" w:rsidR="002E24BC" w:rsidRPr="00590617" w:rsidRDefault="002E24BC" w:rsidP="00590617">
      <w:pPr>
        <w:pStyle w:val="Akapitzlist"/>
      </w:pPr>
      <w:r w:rsidRPr="00590617">
        <w:t>presji wywieranych na elementy fizykochemiczne;</w:t>
      </w:r>
    </w:p>
    <w:p w14:paraId="7201772B" w14:textId="77777777" w:rsidR="002E24BC" w:rsidRPr="00590617" w:rsidRDefault="002E24BC" w:rsidP="00590617">
      <w:pPr>
        <w:pStyle w:val="Akapitzlist"/>
      </w:pPr>
      <w:r w:rsidRPr="00590617">
        <w:t xml:space="preserve">presji wywieranych na stan chemiczny; </w:t>
      </w:r>
    </w:p>
    <w:p w14:paraId="3D459333" w14:textId="77777777" w:rsidR="002E24BC" w:rsidRPr="00590617" w:rsidRDefault="002E24BC" w:rsidP="00590617">
      <w:pPr>
        <w:pStyle w:val="Akapitzlist"/>
      </w:pPr>
      <w:r w:rsidRPr="00590617">
        <w:t>presji wywieranych na zasoby wód powierzchniowych.</w:t>
      </w:r>
    </w:p>
    <w:p w14:paraId="312CD8A1" w14:textId="77777777" w:rsidR="002E24BC" w:rsidRPr="000B1260" w:rsidRDefault="002E24BC" w:rsidP="002E24BC">
      <w:pPr>
        <w:rPr>
          <w:rFonts w:asciiTheme="minorHAnsi" w:hAnsiTheme="minorHAnsi" w:cstheme="minorBidi"/>
        </w:rPr>
      </w:pPr>
      <w:r w:rsidRPr="2B4F059D">
        <w:rPr>
          <w:rFonts w:asciiTheme="minorHAnsi" w:hAnsiTheme="minorHAnsi" w:cstheme="minorBidi"/>
        </w:rPr>
        <w:t xml:space="preserve">Wyznaczenie </w:t>
      </w:r>
      <w:r>
        <w:rPr>
          <w:rFonts w:asciiTheme="minorHAnsi" w:hAnsiTheme="minorHAnsi" w:cstheme="minorBidi"/>
        </w:rPr>
        <w:t xml:space="preserve">wartości </w:t>
      </w:r>
      <w:r w:rsidRPr="2B4F059D">
        <w:rPr>
          <w:rFonts w:asciiTheme="minorHAnsi" w:hAnsiTheme="minorHAnsi" w:cstheme="minorBidi"/>
        </w:rPr>
        <w:t xml:space="preserve">wskaźników granicznych identyfikujących znaczące presje antropogeniczne pozwoliło na wytypowanie w każdym z powyższych obszarów </w:t>
      </w:r>
      <w:r w:rsidRPr="00AC3027">
        <w:rPr>
          <w:rFonts w:asciiTheme="minorHAnsi" w:hAnsiTheme="minorHAnsi" w:cstheme="minorBidi"/>
        </w:rPr>
        <w:t>jcwp poddanych określonemu rodzajowi presji antropogenicznej</w:t>
      </w:r>
      <w:r w:rsidRPr="2B4F059D">
        <w:rPr>
          <w:rFonts w:asciiTheme="minorHAnsi" w:hAnsiTheme="minorHAnsi" w:cstheme="minorBidi"/>
        </w:rPr>
        <w:t xml:space="preserve">. Sumarycznie, otrzymany wynik identyfikuje wszystkie jcwp o zdiagnozowanej presji znaczącej, przy jednoczesnej identyfikacji presji skumulowanej. </w:t>
      </w:r>
    </w:p>
    <w:p w14:paraId="207F6ECF" w14:textId="77777777" w:rsidR="002E24BC" w:rsidRPr="000B1260" w:rsidRDefault="002E24BC" w:rsidP="002E24BC">
      <w:pPr>
        <w:rPr>
          <w:rFonts w:asciiTheme="minorHAnsi" w:hAnsiTheme="minorHAnsi" w:cstheme="minorHAnsi"/>
        </w:rPr>
      </w:pPr>
      <w:r w:rsidRPr="000B1260">
        <w:rPr>
          <w:rFonts w:asciiTheme="minorHAnsi" w:hAnsiTheme="minorHAnsi" w:cstheme="minorHAnsi"/>
        </w:rPr>
        <w:t xml:space="preserve">Uzyskanie wyniku identyfikacji presji znaczącej na poziomie każdej </w:t>
      </w:r>
      <w:r>
        <w:rPr>
          <w:rFonts w:asciiTheme="minorHAnsi" w:hAnsiTheme="minorHAnsi" w:cstheme="minorHAnsi"/>
        </w:rPr>
        <w:t>jcwp</w:t>
      </w:r>
      <w:r w:rsidRPr="000B1260">
        <w:rPr>
          <w:rFonts w:asciiTheme="minorHAnsi" w:hAnsiTheme="minorHAnsi" w:cstheme="minorHAnsi"/>
        </w:rPr>
        <w:t xml:space="preserve"> było możliwe, dzięki zastosowaniu metod i narzędzi identyfikacji presji antropogenicznej takich jak m.in.:</w:t>
      </w:r>
    </w:p>
    <w:p w14:paraId="53CAB844" w14:textId="6D9912A9" w:rsidR="002E24BC" w:rsidRPr="00892423" w:rsidRDefault="002E24BC" w:rsidP="00AA3506">
      <w:pPr>
        <w:pStyle w:val="Akapitzlist"/>
        <w:numPr>
          <w:ilvl w:val="0"/>
          <w:numId w:val="63"/>
        </w:numPr>
      </w:pPr>
      <w:r w:rsidRPr="00892423">
        <w:t xml:space="preserve">wykorzystanie właściwości zlewni jcwp i </w:t>
      </w:r>
      <w:r w:rsidR="003A3599">
        <w:t>przedstawienie</w:t>
      </w:r>
      <w:r w:rsidR="003A3599" w:rsidRPr="00892423">
        <w:t xml:space="preserve"> </w:t>
      </w:r>
      <w:r w:rsidRPr="00892423">
        <w:t xml:space="preserve">ich </w:t>
      </w:r>
      <w:r w:rsidR="003A3599">
        <w:t>jako</w:t>
      </w:r>
      <w:r w:rsidR="003A3599" w:rsidRPr="00892423">
        <w:t xml:space="preserve"> potencjał</w:t>
      </w:r>
      <w:r w:rsidR="003A3599">
        <w:t>u</w:t>
      </w:r>
      <w:r w:rsidR="003A3599" w:rsidRPr="00892423">
        <w:t xml:space="preserve"> sorpcyjn</w:t>
      </w:r>
      <w:r w:rsidR="003A3599">
        <w:t>ego</w:t>
      </w:r>
      <w:r w:rsidR="003A3599" w:rsidRPr="00892423">
        <w:t xml:space="preserve"> </w:t>
      </w:r>
      <w:r w:rsidRPr="00892423">
        <w:t xml:space="preserve">- czyli wrażliwości na presję antropogeniczną. Potencjał sorpcyjny jcwp jest ilościowym opisem warunków przyrodniczych, w jakich następuje obieg wody i substancji chemicznych zlewni. Poprzez ściśle zdefiniowaną, ilościową klasyfikację właściwości środowiska fizycznogeograficznego decydującego o warunkach ilościowych obiegu wody oraz zaawansowania działań antropogenicznych (np. charakterystyka użytkowania terenu, stopnia przekształcenia struktury hydrograficznej czy nawożenia) możliwe jest przypisanie każdej zlewni jcwp liczbowego określenia potencjału sorpcyjnego.. Każda zlewnia jcwp została zakwalifikowana do ściśle określonej klasy potencjału sorpcyjnego, bazując na sumarycznym indeksie składającym się z sumy indeksów opisujących poszczególne składowe charakteryzujące zlewnię. </w:t>
      </w:r>
    </w:p>
    <w:p w14:paraId="230BE3F8" w14:textId="06366566" w:rsidR="002E24BC" w:rsidRPr="00892423" w:rsidRDefault="002E24BC" w:rsidP="00AA3506">
      <w:pPr>
        <w:pStyle w:val="Akapitzlist"/>
        <w:numPr>
          <w:ilvl w:val="0"/>
          <w:numId w:val="63"/>
        </w:numPr>
      </w:pPr>
      <w:r w:rsidRPr="00892423">
        <w:t>wykorzystanie zasobów danych o stanie hydromorfologicznym wód powierzchniowych (Baza HYMO - bazy danych projektu Identyfikacja presji (…));</w:t>
      </w:r>
      <w:r w:rsidRPr="00DD112C">
        <w:t xml:space="preserve"> (lokalizacja budowli poprzecznych na obszarze dorzecza </w:t>
      </w:r>
      <w:r w:rsidR="00100D7F" w:rsidRPr="00DD112C">
        <w:t>Pregoły</w:t>
      </w:r>
      <w:r w:rsidRPr="00DD112C">
        <w:t xml:space="preserve"> przedstawiona została na załączniku graficznym nr 2</w:t>
      </w:r>
      <w:r w:rsidR="00D61B69" w:rsidRPr="00DD112C">
        <w:t>6</w:t>
      </w:r>
      <w:r w:rsidRPr="00DD112C">
        <w:t>);</w:t>
      </w:r>
    </w:p>
    <w:p w14:paraId="1A355DB7" w14:textId="246DDB0D" w:rsidR="002E24BC" w:rsidRPr="00892423" w:rsidRDefault="002E24BC" w:rsidP="00AA3506">
      <w:pPr>
        <w:pStyle w:val="Akapitzlist"/>
        <w:numPr>
          <w:ilvl w:val="0"/>
          <w:numId w:val="63"/>
        </w:numPr>
      </w:pPr>
      <w:r w:rsidRPr="00892423">
        <w:t>wykorzystanie zasobów danych o istniejących presjach antropogenicznych (bazy danych projektu Identyfikacja presji (…)), wraz z innymi dodatkowymi bazami danych stanowiącymi źródło informacji w zakresie presji w tym sprawozdania z wykonania aKPOŚK (2017), E-PRTR 2018;</w:t>
      </w:r>
      <w:r w:rsidRPr="00DD112C">
        <w:t xml:space="preserve"> (lokalizacja zakładów przemysłowych bazy E-PRTR przedstawiona została na załączniku graficznym nr </w:t>
      </w:r>
      <w:r w:rsidR="00D61B69" w:rsidRPr="00DD112C">
        <w:t>23)</w:t>
      </w:r>
      <w:r w:rsidR="00631542">
        <w:t>.</w:t>
      </w:r>
    </w:p>
    <w:p w14:paraId="0C58E6F0" w14:textId="25794CBA" w:rsidR="002E24BC" w:rsidRPr="00892423" w:rsidRDefault="002E24BC" w:rsidP="003A3599">
      <w:pPr>
        <w:ind w:left="720"/>
      </w:pPr>
      <w:r w:rsidRPr="00892423">
        <w:t>W strukturze bazy Identyfikacji Presji presje antropogeniczne zostały pogrupowane w</w:t>
      </w:r>
      <w:r w:rsidR="00DD112C">
        <w:t> </w:t>
      </w:r>
      <w:r w:rsidRPr="00892423">
        <w:t>punktowe, rozproszone i obszarowe oraz inne (pozostałe) presje antropogeniczne. Kluczowymi danymi w zakresie punktowych źródeł presji są:</w:t>
      </w:r>
    </w:p>
    <w:p w14:paraId="49A0342B" w14:textId="1EC5C1C2" w:rsidR="002E24BC" w:rsidRPr="00892423" w:rsidRDefault="002E24BC" w:rsidP="00AA3506">
      <w:pPr>
        <w:pStyle w:val="Akapitzlist"/>
        <w:numPr>
          <w:ilvl w:val="1"/>
          <w:numId w:val="72"/>
        </w:numPr>
      </w:pPr>
      <w:r w:rsidRPr="00892423">
        <w:t>pobory wód powierzchniowych</w:t>
      </w:r>
      <w:r w:rsidRPr="00DD112C">
        <w:t xml:space="preserve"> (załącznik graficzny nr 2</w:t>
      </w:r>
      <w:r w:rsidR="00D61B69" w:rsidRPr="00DD112C">
        <w:t>1</w:t>
      </w:r>
      <w:r w:rsidRPr="00DD112C">
        <w:t>);</w:t>
      </w:r>
    </w:p>
    <w:p w14:paraId="21FE2B31" w14:textId="58E10853" w:rsidR="002E24BC" w:rsidRPr="00892423" w:rsidRDefault="002E24BC" w:rsidP="00AA3506">
      <w:pPr>
        <w:pStyle w:val="Akapitzlist"/>
        <w:numPr>
          <w:ilvl w:val="1"/>
          <w:numId w:val="72"/>
        </w:numPr>
      </w:pPr>
      <w:r w:rsidRPr="00892423">
        <w:t>pobory wód podziemnych</w:t>
      </w:r>
      <w:r w:rsidRPr="00DD112C">
        <w:t xml:space="preserve"> (załącznik graficzny nr 2</w:t>
      </w:r>
      <w:r w:rsidR="00D61B69" w:rsidRPr="00DD112C">
        <w:t>1</w:t>
      </w:r>
      <w:r w:rsidRPr="00DD112C">
        <w:t>);</w:t>
      </w:r>
    </w:p>
    <w:p w14:paraId="2ECBBAE9" w14:textId="77777777" w:rsidR="002E24BC" w:rsidRPr="00892423" w:rsidRDefault="002E24BC" w:rsidP="00AA3506">
      <w:pPr>
        <w:pStyle w:val="Akapitzlist"/>
        <w:numPr>
          <w:ilvl w:val="1"/>
          <w:numId w:val="72"/>
        </w:numPr>
      </w:pPr>
      <w:r w:rsidRPr="00892423">
        <w:t>przerzuty wód;</w:t>
      </w:r>
    </w:p>
    <w:p w14:paraId="58CE5AC1" w14:textId="16B03BE1" w:rsidR="002E24BC" w:rsidRPr="00892423" w:rsidRDefault="002E24BC" w:rsidP="00AA3506">
      <w:pPr>
        <w:pStyle w:val="Akapitzlist"/>
        <w:numPr>
          <w:ilvl w:val="1"/>
          <w:numId w:val="72"/>
        </w:numPr>
      </w:pPr>
      <w:r w:rsidRPr="00892423">
        <w:t>zrzuty ścieków komunalnych</w:t>
      </w:r>
      <w:r w:rsidRPr="00DD112C">
        <w:t xml:space="preserve"> (załącznik graficzny nr 2</w:t>
      </w:r>
      <w:r w:rsidR="00D61B69" w:rsidRPr="00DD112C">
        <w:t>0</w:t>
      </w:r>
      <w:r w:rsidRPr="00DD112C">
        <w:t>);</w:t>
      </w:r>
    </w:p>
    <w:p w14:paraId="7F7C7D58" w14:textId="53F45149" w:rsidR="002E24BC" w:rsidRPr="00892423" w:rsidRDefault="002E24BC" w:rsidP="00AA3506">
      <w:pPr>
        <w:pStyle w:val="Akapitzlist"/>
        <w:numPr>
          <w:ilvl w:val="1"/>
          <w:numId w:val="72"/>
        </w:numPr>
      </w:pPr>
      <w:r w:rsidRPr="00892423">
        <w:t>zrzuty ścieków bytowych</w:t>
      </w:r>
      <w:r w:rsidRPr="00DD112C">
        <w:t xml:space="preserve"> (załącznik graficzny nr 2</w:t>
      </w:r>
      <w:r w:rsidR="00D61B69" w:rsidRPr="00DD112C">
        <w:t>0</w:t>
      </w:r>
      <w:r w:rsidRPr="00DD112C">
        <w:t>);</w:t>
      </w:r>
      <w:r w:rsidRPr="00892423">
        <w:t xml:space="preserve"> </w:t>
      </w:r>
    </w:p>
    <w:p w14:paraId="65E19400" w14:textId="3347B983" w:rsidR="002E24BC" w:rsidRPr="00892423" w:rsidRDefault="002E24BC" w:rsidP="00AA3506">
      <w:pPr>
        <w:pStyle w:val="Akapitzlist"/>
        <w:numPr>
          <w:ilvl w:val="1"/>
          <w:numId w:val="72"/>
        </w:numPr>
      </w:pPr>
      <w:r w:rsidRPr="00892423">
        <w:t>zrzuty ścieków przemysłowych</w:t>
      </w:r>
      <w:r w:rsidRPr="00DD112C">
        <w:t xml:space="preserve"> (załącznik graficzny nr 2</w:t>
      </w:r>
      <w:r w:rsidR="00D61B69" w:rsidRPr="00DD112C">
        <w:t>0</w:t>
      </w:r>
      <w:r w:rsidRPr="00DD112C">
        <w:t>).</w:t>
      </w:r>
    </w:p>
    <w:p w14:paraId="19F7A7BB" w14:textId="77777777" w:rsidR="002E24BC" w:rsidRPr="00D00223" w:rsidRDefault="002E24BC" w:rsidP="002E24BC">
      <w:pPr>
        <w:ind w:left="1134"/>
        <w:rPr>
          <w:rFonts w:asciiTheme="minorHAnsi" w:hAnsiTheme="minorHAnsi" w:cstheme="minorHAnsi"/>
        </w:rPr>
      </w:pPr>
      <w:r w:rsidRPr="00D00223">
        <w:rPr>
          <w:rFonts w:asciiTheme="minorHAnsi" w:hAnsiTheme="minorHAnsi" w:cstheme="minorHAnsi"/>
        </w:rPr>
        <w:t xml:space="preserve">Natomiast w zakresie rozproszonych i obszarowych źródeł presji kluczowe dane bazy </w:t>
      </w:r>
      <w:r w:rsidRPr="00CE62B2">
        <w:rPr>
          <w:rFonts w:asciiTheme="minorHAnsi" w:hAnsiTheme="minorHAnsi"/>
          <w:i/>
        </w:rPr>
        <w:t>Identyfikacji Presji</w:t>
      </w:r>
      <w:r>
        <w:t xml:space="preserve"> </w:t>
      </w:r>
      <w:r w:rsidRPr="00D00223">
        <w:rPr>
          <w:rFonts w:asciiTheme="minorHAnsi" w:hAnsiTheme="minorHAnsi" w:cstheme="minorHAnsi"/>
        </w:rPr>
        <w:t>stanowią:</w:t>
      </w:r>
    </w:p>
    <w:p w14:paraId="4CEA81B5" w14:textId="77777777" w:rsidR="002E24BC" w:rsidRPr="00892423" w:rsidRDefault="002E24BC" w:rsidP="00AA3506">
      <w:pPr>
        <w:pStyle w:val="Akapitzlist"/>
        <w:numPr>
          <w:ilvl w:val="1"/>
          <w:numId w:val="72"/>
        </w:numPr>
      </w:pPr>
      <w:r w:rsidRPr="00892423">
        <w:t>zużycie nawozów mineralnych;</w:t>
      </w:r>
    </w:p>
    <w:p w14:paraId="5B7ECF40" w14:textId="77777777" w:rsidR="002E24BC" w:rsidRPr="00892423" w:rsidRDefault="002E24BC" w:rsidP="00AA3506">
      <w:pPr>
        <w:pStyle w:val="Akapitzlist"/>
        <w:numPr>
          <w:ilvl w:val="1"/>
          <w:numId w:val="72"/>
        </w:numPr>
      </w:pPr>
      <w:r w:rsidRPr="00892423">
        <w:t>produkcja nawozów naturalnych;</w:t>
      </w:r>
    </w:p>
    <w:p w14:paraId="2AE1A391" w14:textId="77777777" w:rsidR="002E24BC" w:rsidRPr="00892423" w:rsidRDefault="002E24BC" w:rsidP="00AA3506">
      <w:pPr>
        <w:pStyle w:val="Akapitzlist"/>
        <w:numPr>
          <w:ilvl w:val="1"/>
          <w:numId w:val="72"/>
        </w:numPr>
      </w:pPr>
      <w:r w:rsidRPr="00892423">
        <w:t>odpływ miejski;</w:t>
      </w:r>
    </w:p>
    <w:p w14:paraId="2D4CB8EF" w14:textId="77777777" w:rsidR="002E24BC" w:rsidRPr="00892423" w:rsidRDefault="002E24BC" w:rsidP="00AA3506">
      <w:pPr>
        <w:pStyle w:val="Akapitzlist"/>
        <w:numPr>
          <w:ilvl w:val="1"/>
          <w:numId w:val="72"/>
        </w:numPr>
      </w:pPr>
      <w:r w:rsidRPr="00892423">
        <w:t>transport drogowy;</w:t>
      </w:r>
    </w:p>
    <w:p w14:paraId="735F78B2" w14:textId="77777777" w:rsidR="002E24BC" w:rsidRPr="00892423" w:rsidRDefault="002E24BC" w:rsidP="00AA3506">
      <w:pPr>
        <w:pStyle w:val="Akapitzlist"/>
        <w:numPr>
          <w:ilvl w:val="1"/>
          <w:numId w:val="72"/>
        </w:numPr>
      </w:pPr>
      <w:r w:rsidRPr="00892423">
        <w:t>ludność niepodłączona do sieci kanalizacyjnej;</w:t>
      </w:r>
    </w:p>
    <w:p w14:paraId="30A636A2" w14:textId="77777777" w:rsidR="002E24BC" w:rsidRPr="00892423" w:rsidRDefault="002E24BC" w:rsidP="00AA3506">
      <w:pPr>
        <w:pStyle w:val="Akapitzlist"/>
        <w:numPr>
          <w:ilvl w:val="1"/>
          <w:numId w:val="72"/>
        </w:numPr>
      </w:pPr>
      <w:r w:rsidRPr="00892423">
        <w:t>depozycja atmosferyczna.</w:t>
      </w:r>
    </w:p>
    <w:p w14:paraId="738AA2F7" w14:textId="77777777" w:rsidR="002E24BC" w:rsidRPr="00892423" w:rsidRDefault="002E24BC" w:rsidP="00AA3506">
      <w:pPr>
        <w:pStyle w:val="Akapitzlist"/>
        <w:numPr>
          <w:ilvl w:val="0"/>
          <w:numId w:val="63"/>
        </w:numPr>
      </w:pPr>
      <w:r w:rsidRPr="00892423">
        <w:t>identyfikacja presji antropogenicznych na poziomie danych o ładunkach wejściowych.</w:t>
      </w:r>
    </w:p>
    <w:p w14:paraId="289ACDD3" w14:textId="77777777" w:rsidR="002E24BC" w:rsidRPr="000B1260" w:rsidRDefault="002E24BC" w:rsidP="002E24BC">
      <w:pPr>
        <w:rPr>
          <w:rFonts w:asciiTheme="minorHAnsi" w:hAnsiTheme="minorHAnsi" w:cstheme="minorHAnsi"/>
        </w:rPr>
      </w:pPr>
      <w:r w:rsidRPr="000B1260">
        <w:rPr>
          <w:rFonts w:asciiTheme="minorHAnsi" w:hAnsiTheme="minorHAnsi" w:cstheme="minorHAnsi"/>
        </w:rPr>
        <w:t xml:space="preserve">Suma proponowanych rozwiązań umożliwiła uzyskanie kompleksowego i wiarygodnego wyniku identyfikującego znaczącą presję antropogeniczną. Zastosowanie relacji </w:t>
      </w:r>
      <w:r w:rsidRPr="00DD112C">
        <w:rPr>
          <w:rFonts w:asciiTheme="minorHAnsi" w:hAnsiTheme="minorHAnsi" w:cstheme="minorHAnsi"/>
        </w:rPr>
        <w:t>&lt;identyfikacja presji&gt; - &lt;właściwości zlewni jcwp&gt;</w:t>
      </w:r>
      <w:r w:rsidRPr="000B1260">
        <w:rPr>
          <w:rFonts w:asciiTheme="minorHAnsi" w:hAnsiTheme="minorHAnsi" w:cstheme="minorHAnsi"/>
        </w:rPr>
        <w:t xml:space="preserve"> pozw</w:t>
      </w:r>
      <w:r>
        <w:rPr>
          <w:rFonts w:asciiTheme="minorHAnsi" w:hAnsiTheme="minorHAnsi" w:cstheme="minorHAnsi"/>
        </w:rPr>
        <w:t>oliło</w:t>
      </w:r>
      <w:r w:rsidRPr="000B1260">
        <w:rPr>
          <w:rFonts w:asciiTheme="minorHAnsi" w:hAnsiTheme="minorHAnsi" w:cstheme="minorHAnsi"/>
        </w:rPr>
        <w:t xml:space="preserve"> na identyfikację tych </w:t>
      </w:r>
      <w:r>
        <w:rPr>
          <w:rFonts w:asciiTheme="minorHAnsi" w:hAnsiTheme="minorHAnsi" w:cstheme="minorHAnsi"/>
        </w:rPr>
        <w:t>jcwp</w:t>
      </w:r>
      <w:r w:rsidRPr="000B1260">
        <w:rPr>
          <w:rFonts w:asciiTheme="minorHAnsi" w:hAnsiTheme="minorHAnsi" w:cstheme="minorHAnsi"/>
        </w:rPr>
        <w:t>, dla których istniejące procesy antropogeniczne są realnym zagrożeniem do utrzymania lub osiągnięcia wyznaczonych celów środowiskowych.</w:t>
      </w:r>
    </w:p>
    <w:p w14:paraId="55D6E74D" w14:textId="77777777" w:rsidR="002E24BC" w:rsidRPr="002F5DD6" w:rsidRDefault="002E24BC" w:rsidP="002E24BC">
      <w:pPr>
        <w:rPr>
          <w:rFonts w:asciiTheme="minorHAnsi" w:hAnsiTheme="minorHAnsi" w:cstheme="minorHAnsi"/>
        </w:rPr>
      </w:pPr>
      <w:r w:rsidRPr="002F5DD6">
        <w:rPr>
          <w:rFonts w:asciiTheme="minorHAnsi" w:hAnsiTheme="minorHAnsi" w:cstheme="minorHAnsi"/>
        </w:rPr>
        <w:t>Do wyznaczenia poziomu ryzyka nieosiągnięcia celów środowiskowych dla jcwp wykorzystane zostały:</w:t>
      </w:r>
    </w:p>
    <w:p w14:paraId="30745209" w14:textId="77777777" w:rsidR="002E24BC" w:rsidRPr="00892423" w:rsidRDefault="002E24BC" w:rsidP="00AA3506">
      <w:pPr>
        <w:pStyle w:val="Akapitzlist"/>
        <w:numPr>
          <w:ilvl w:val="0"/>
          <w:numId w:val="80"/>
        </w:numPr>
      </w:pPr>
      <w:r w:rsidRPr="00892423">
        <w:t>ocena poziomu presji na elementy biologiczne zależne od elementów fizykochemicznych;</w:t>
      </w:r>
    </w:p>
    <w:p w14:paraId="797BEDAC" w14:textId="77777777" w:rsidR="002E24BC" w:rsidRPr="00892423" w:rsidRDefault="002E24BC" w:rsidP="00AA3506">
      <w:pPr>
        <w:pStyle w:val="Akapitzlist"/>
        <w:numPr>
          <w:ilvl w:val="0"/>
          <w:numId w:val="80"/>
        </w:numPr>
      </w:pPr>
      <w:r w:rsidRPr="00892423">
        <w:t>ocena poziomu presji na elementy biologiczne zależne od stanu hydromorfologicznego;</w:t>
      </w:r>
    </w:p>
    <w:p w14:paraId="2259C77D" w14:textId="77777777" w:rsidR="002E24BC" w:rsidRPr="00892423" w:rsidRDefault="002E24BC" w:rsidP="00AA3506">
      <w:pPr>
        <w:pStyle w:val="Akapitzlist"/>
        <w:numPr>
          <w:ilvl w:val="0"/>
          <w:numId w:val="80"/>
        </w:numPr>
      </w:pPr>
      <w:r w:rsidRPr="00892423">
        <w:t>ocena poziomu presji na elementy fizykochemiczne;</w:t>
      </w:r>
    </w:p>
    <w:p w14:paraId="6946BE61" w14:textId="77777777" w:rsidR="002E24BC" w:rsidRPr="00892423" w:rsidRDefault="002E24BC" w:rsidP="00AA3506">
      <w:pPr>
        <w:pStyle w:val="Akapitzlist"/>
        <w:numPr>
          <w:ilvl w:val="0"/>
          <w:numId w:val="80"/>
        </w:numPr>
      </w:pPr>
      <w:r w:rsidRPr="00892423">
        <w:t>ocena poziomu presji na hydromorfologię;</w:t>
      </w:r>
    </w:p>
    <w:p w14:paraId="5A028360" w14:textId="77777777" w:rsidR="002E24BC" w:rsidRPr="00892423" w:rsidRDefault="002E24BC" w:rsidP="00AA3506">
      <w:pPr>
        <w:pStyle w:val="Akapitzlist"/>
        <w:numPr>
          <w:ilvl w:val="0"/>
          <w:numId w:val="80"/>
        </w:numPr>
      </w:pPr>
      <w:r w:rsidRPr="00892423">
        <w:t>ocena poziomu presji na zasoby wodne;</w:t>
      </w:r>
    </w:p>
    <w:p w14:paraId="2D76E88C" w14:textId="77777777" w:rsidR="002E24BC" w:rsidRPr="00892423" w:rsidRDefault="002E24BC" w:rsidP="00AA3506">
      <w:pPr>
        <w:pStyle w:val="Akapitzlist"/>
        <w:numPr>
          <w:ilvl w:val="0"/>
          <w:numId w:val="80"/>
        </w:numPr>
      </w:pPr>
      <w:r w:rsidRPr="00892423">
        <w:t>ocena poziomu presji na stan chemiczny w zakresie substancji priorytetowych dozwolonych;</w:t>
      </w:r>
    </w:p>
    <w:p w14:paraId="45C40133" w14:textId="77777777" w:rsidR="002E24BC" w:rsidRPr="00892423" w:rsidRDefault="002E24BC" w:rsidP="00AA3506">
      <w:pPr>
        <w:pStyle w:val="Akapitzlist"/>
        <w:numPr>
          <w:ilvl w:val="0"/>
          <w:numId w:val="80"/>
        </w:numPr>
      </w:pPr>
      <w:r w:rsidRPr="00892423">
        <w:t>ocena poziomu presji na stan chemiczny w zakresie substancji priorytetowych zakazanych;</w:t>
      </w:r>
    </w:p>
    <w:p w14:paraId="0B6EE02A" w14:textId="77777777" w:rsidR="002E24BC" w:rsidRPr="00892423" w:rsidRDefault="002E24BC" w:rsidP="00AA3506">
      <w:pPr>
        <w:pStyle w:val="Akapitzlist"/>
        <w:numPr>
          <w:ilvl w:val="0"/>
          <w:numId w:val="80"/>
        </w:numPr>
      </w:pPr>
      <w:r w:rsidRPr="00892423">
        <w:t>potencjał sorpcyjny wykorzystany do korekty oceny ryzyka nieosiągnięcia celów środowiskowych.</w:t>
      </w:r>
    </w:p>
    <w:p w14:paraId="379A6E8B" w14:textId="6FAA0F57" w:rsidR="002E24BC" w:rsidRPr="002F5DD6" w:rsidRDefault="002E24BC" w:rsidP="002E24BC">
      <w:pPr>
        <w:rPr>
          <w:rFonts w:asciiTheme="minorHAnsi" w:hAnsiTheme="minorHAnsi" w:cstheme="minorBidi"/>
        </w:rPr>
      </w:pPr>
      <w:r w:rsidRPr="2B4F059D">
        <w:rPr>
          <w:rFonts w:asciiTheme="minorHAnsi" w:hAnsiTheme="minorHAnsi" w:cstheme="minorBidi"/>
        </w:rPr>
        <w:t xml:space="preserve">Uzyskany wynik stanowi określenie </w:t>
      </w:r>
      <w:r>
        <w:rPr>
          <w:rFonts w:asciiTheme="minorHAnsi" w:hAnsiTheme="minorHAnsi" w:cstheme="minorBidi"/>
        </w:rPr>
        <w:t>poszczególnej</w:t>
      </w:r>
      <w:r w:rsidRPr="2B4F059D">
        <w:rPr>
          <w:rFonts w:asciiTheme="minorHAnsi" w:hAnsiTheme="minorHAnsi" w:cstheme="minorBidi"/>
        </w:rPr>
        <w:t xml:space="preserve"> jcwp jako zagrożonej albo niezagrożonej nieosiągnięciem celu środowiskowego. Za zagrożoną nieosiągnięciem celu środowiskowego uznano każdą jcwp</w:t>
      </w:r>
      <w:r>
        <w:rPr>
          <w:rFonts w:asciiTheme="minorHAnsi" w:hAnsiTheme="minorHAnsi" w:cstheme="minorBidi"/>
        </w:rPr>
        <w:t xml:space="preserve">, </w:t>
      </w:r>
      <w:r w:rsidRPr="2B4F059D">
        <w:rPr>
          <w:rFonts w:asciiTheme="minorHAnsi" w:hAnsiTheme="minorHAnsi" w:cstheme="minorBidi"/>
        </w:rPr>
        <w:t xml:space="preserve">w której dla któregokolwiek elementu stanu wód stwierdzono ryzyko nieosiągnięcia celów </w:t>
      </w:r>
      <w:r w:rsidRPr="001A0D03">
        <w:rPr>
          <w:rFonts w:asciiTheme="minorHAnsi" w:hAnsiTheme="minorHAnsi" w:cstheme="minorBidi"/>
        </w:rPr>
        <w:t>środowiskowych</w:t>
      </w:r>
      <w:r w:rsidR="00256B95" w:rsidRPr="001A0D03">
        <w:rPr>
          <w:rFonts w:asciiTheme="minorHAnsi" w:hAnsiTheme="minorHAnsi" w:cstheme="minorBidi"/>
        </w:rPr>
        <w:t xml:space="preserve">, </w:t>
      </w:r>
      <w:r w:rsidR="001A0D03" w:rsidRPr="001A0D03">
        <w:rPr>
          <w:rFonts w:asciiTheme="minorHAnsi" w:hAnsiTheme="minorHAnsi" w:cstheme="minorBidi"/>
        </w:rPr>
        <w:t xml:space="preserve">przy czym decydującym jest stan elementów biologicznych </w:t>
      </w:r>
      <w:r w:rsidR="006C4947">
        <w:rPr>
          <w:rFonts w:asciiTheme="minorHAnsi" w:hAnsiTheme="minorHAnsi" w:cstheme="minorBidi"/>
        </w:rPr>
        <w:t>-</w:t>
      </w:r>
      <w:r w:rsidR="001A0D03" w:rsidRPr="001A0D03">
        <w:rPr>
          <w:rFonts w:asciiTheme="minorHAnsi" w:hAnsiTheme="minorHAnsi" w:cstheme="minorBidi"/>
        </w:rPr>
        <w:t xml:space="preserve"> biologicznych zależnych od fizykochemii lub biologicznych zależnych od hydromorfologii. Tym samym w ocenie ryzyka nieosiągnięcia celów środowiskowych </w:t>
      </w:r>
      <w:r w:rsidR="002E1B3B">
        <w:rPr>
          <w:rFonts w:asciiTheme="minorHAnsi" w:hAnsiTheme="minorHAnsi" w:cstheme="minorBidi"/>
        </w:rPr>
        <w:t xml:space="preserve">uwzględniona została </w:t>
      </w:r>
      <w:r w:rsidR="00152882">
        <w:rPr>
          <w:rFonts w:asciiTheme="minorHAnsi" w:hAnsiTheme="minorHAnsi" w:cstheme="minorBidi"/>
        </w:rPr>
        <w:t xml:space="preserve">wspomagająca rola </w:t>
      </w:r>
      <w:r w:rsidR="001A0D03" w:rsidRPr="001A0D03">
        <w:rPr>
          <w:rFonts w:asciiTheme="minorHAnsi" w:hAnsiTheme="minorHAnsi" w:cstheme="minorBidi"/>
        </w:rPr>
        <w:t>element</w:t>
      </w:r>
      <w:r w:rsidR="00152882">
        <w:rPr>
          <w:rFonts w:asciiTheme="minorHAnsi" w:hAnsiTheme="minorHAnsi" w:cstheme="minorBidi"/>
        </w:rPr>
        <w:t>ów</w:t>
      </w:r>
      <w:r w:rsidR="001A0D03" w:rsidRPr="001A0D03">
        <w:rPr>
          <w:rFonts w:asciiTheme="minorHAnsi" w:hAnsiTheme="minorHAnsi" w:cstheme="minorBidi"/>
        </w:rPr>
        <w:t xml:space="preserve"> fizykochemiczn</w:t>
      </w:r>
      <w:r w:rsidR="00152882">
        <w:rPr>
          <w:rFonts w:asciiTheme="minorHAnsi" w:hAnsiTheme="minorHAnsi" w:cstheme="minorBidi"/>
        </w:rPr>
        <w:t>ych</w:t>
      </w:r>
      <w:r w:rsidR="001A0D03" w:rsidRPr="001A0D03">
        <w:rPr>
          <w:rFonts w:asciiTheme="minorHAnsi" w:hAnsiTheme="minorHAnsi" w:cstheme="minorBidi"/>
        </w:rPr>
        <w:t xml:space="preserve"> i hydromorfologiczn</w:t>
      </w:r>
      <w:r w:rsidR="00152882">
        <w:rPr>
          <w:rFonts w:asciiTheme="minorHAnsi" w:hAnsiTheme="minorHAnsi" w:cstheme="minorBidi"/>
        </w:rPr>
        <w:t>ych</w:t>
      </w:r>
      <w:r w:rsidR="001A0D03" w:rsidRPr="001A0D03">
        <w:rPr>
          <w:rFonts w:asciiTheme="minorHAnsi" w:hAnsiTheme="minorHAnsi" w:cstheme="minorBidi"/>
        </w:rPr>
        <w:t xml:space="preserve"> w stosunku do elementów biologicznych</w:t>
      </w:r>
      <w:r w:rsidRPr="2B4F059D">
        <w:rPr>
          <w:rFonts w:asciiTheme="minorHAnsi" w:hAnsiTheme="minorHAnsi" w:cstheme="minorBidi"/>
        </w:rPr>
        <w:t xml:space="preserve">. </w:t>
      </w:r>
    </w:p>
    <w:p w14:paraId="3A8FA8AE" w14:textId="6C6901E2" w:rsidR="002E24BC" w:rsidRPr="000F57D7" w:rsidRDefault="002E24BC" w:rsidP="002E24BC">
      <w:pPr>
        <w:pStyle w:val="Punkty"/>
        <w:rPr>
          <w:rFonts w:asciiTheme="minorHAnsi" w:hAnsiTheme="minorHAnsi"/>
        </w:rPr>
      </w:pPr>
      <w:r w:rsidRPr="381BC984">
        <w:rPr>
          <w:rFonts w:asciiTheme="minorHAnsi" w:eastAsia="Times New Roman" w:hAnsiTheme="minorHAnsi" w:cstheme="minorBidi"/>
          <w:lang w:eastAsia="pl-PL"/>
        </w:rPr>
        <w:t>Poziom ryzyka nieosiągnięcia celu środowiskowego odnoszącego się do dobrego stanu/potencjału</w:t>
      </w:r>
      <w:r>
        <w:t xml:space="preserve"> ekologicznego dla każdej jcwp został wyznaczony w pracy </w:t>
      </w:r>
      <w:r w:rsidRPr="381BC984">
        <w:rPr>
          <w:i/>
          <w:iCs/>
        </w:rPr>
        <w:t>Analiza znaczących oddziaływań - jcwp (…)</w:t>
      </w:r>
      <w:r>
        <w:rPr>
          <w:i/>
          <w:iCs/>
        </w:rPr>
        <w:t xml:space="preserve">. </w:t>
      </w:r>
      <w:r w:rsidR="001A0D03" w:rsidRPr="003F4A95">
        <w:t>Uwzględniono zasadę, że elementy biologiczne roślinne (fitoplankton, fitobentos, makrofity) wykazują korelację ze stanem elementów fizykochemicznych, zaś elementy biologiczne zwierzęce (makrobezkręgowce, ichtiofauna) ze stanem hydromorfologii.</w:t>
      </w:r>
      <w:r>
        <w:t xml:space="preserve">. Zasadę tę w pełni zastosowano w przypadku jcwp RW. W jcwp LW, RWr i TW ocena ichtiofauny nie jest korelowana z hydromorfologią, gdyż element ten w tych kategoriach wód jest uzależniony od innych czynników niż stan hydromorfologiczny zbiornika wodnego. </w:t>
      </w:r>
      <w:r w:rsidRPr="381BC984">
        <w:t xml:space="preserve">Zgodnie z wymaganiami RDW w wodach przybrzeżnych ichtiofauna nie podlega monitoringowi i ocenie. </w:t>
      </w:r>
    </w:p>
    <w:p w14:paraId="3447016A" w14:textId="77777777" w:rsidR="002E24BC" w:rsidRDefault="002E24BC" w:rsidP="002E24BC">
      <w:pPr>
        <w:rPr>
          <w:rFonts w:asciiTheme="minorHAnsi" w:hAnsiTheme="minorHAnsi" w:cstheme="minorHAnsi"/>
        </w:rPr>
      </w:pPr>
      <w:r w:rsidRPr="000F57D7">
        <w:rPr>
          <w:rFonts w:asciiTheme="minorHAnsi" w:hAnsiTheme="minorHAnsi" w:cstheme="minorHAnsi"/>
        </w:rPr>
        <w:t>W przypadku substancji priorytetowych i innych substancji zanieczyszczających, ocenę ryzyka nieosiągnięcia celów środowiskowych wykonano odrębnie dla grupy substancji dozwolonych do obrotu i stosowania oraz grupy substancji zakazanych.</w:t>
      </w:r>
    </w:p>
    <w:p w14:paraId="230E100F" w14:textId="77777777" w:rsidR="002E24BC" w:rsidRPr="00451DE0" w:rsidRDefault="002E24BC" w:rsidP="002E24BC">
      <w:pPr>
        <w:suppressAutoHyphens/>
        <w:rPr>
          <w:rFonts w:asciiTheme="minorHAnsi" w:hAnsiTheme="minorHAnsi" w:cstheme="minorHAnsi"/>
        </w:rPr>
      </w:pPr>
      <w:r>
        <w:rPr>
          <w:rFonts w:asciiTheme="minorHAnsi" w:hAnsiTheme="minorHAnsi" w:cstheme="minorHAnsi"/>
        </w:rPr>
        <w:t>Natomiast p</w:t>
      </w:r>
      <w:r w:rsidRPr="00F4288F">
        <w:rPr>
          <w:rFonts w:asciiTheme="minorHAnsi" w:hAnsiTheme="minorHAnsi" w:cstheme="minorHAnsi"/>
        </w:rPr>
        <w:t>resj</w:t>
      </w:r>
      <w:r>
        <w:rPr>
          <w:rFonts w:asciiTheme="minorHAnsi" w:hAnsiTheme="minorHAnsi" w:cstheme="minorHAnsi"/>
        </w:rPr>
        <w:t>ę</w:t>
      </w:r>
      <w:r w:rsidRPr="00F4288F">
        <w:rPr>
          <w:rFonts w:asciiTheme="minorHAnsi" w:hAnsiTheme="minorHAnsi" w:cstheme="minorHAnsi"/>
        </w:rPr>
        <w:t xml:space="preserve"> znacząc</w:t>
      </w:r>
      <w:r>
        <w:rPr>
          <w:rFonts w:asciiTheme="minorHAnsi" w:hAnsiTheme="minorHAnsi" w:cstheme="minorHAnsi"/>
        </w:rPr>
        <w:t>ą</w:t>
      </w:r>
      <w:r w:rsidRPr="00F4288F">
        <w:rPr>
          <w:rFonts w:asciiTheme="minorHAnsi" w:hAnsiTheme="minorHAnsi" w:cstheme="minorHAnsi"/>
        </w:rPr>
        <w:t xml:space="preserve"> na stan ilościowy wód </w:t>
      </w:r>
      <w:r>
        <w:rPr>
          <w:rFonts w:asciiTheme="minorHAnsi" w:hAnsiTheme="minorHAnsi" w:cstheme="minorHAnsi"/>
        </w:rPr>
        <w:t>wskazywano</w:t>
      </w:r>
      <w:r w:rsidRPr="00451DE0">
        <w:rPr>
          <w:rFonts w:asciiTheme="minorHAnsi" w:hAnsiTheme="minorHAnsi" w:cstheme="minorHAnsi"/>
        </w:rPr>
        <w:t xml:space="preserve"> w przypadku stwierdzenia:</w:t>
      </w:r>
    </w:p>
    <w:p w14:paraId="6D8ACD0A" w14:textId="77777777" w:rsidR="002E24BC" w:rsidRPr="0057178D" w:rsidRDefault="002E24BC" w:rsidP="00AA3506">
      <w:pPr>
        <w:pStyle w:val="Akapitzlist"/>
        <w:numPr>
          <w:ilvl w:val="0"/>
          <w:numId w:val="78"/>
        </w:numPr>
      </w:pPr>
      <w:r w:rsidRPr="0057178D">
        <w:t>ryzyka zaniku przepływu, zarówno stwierdzonego w raportach GIOŚ jak również</w:t>
      </w:r>
    </w:p>
    <w:p w14:paraId="00E8DE51" w14:textId="77777777" w:rsidR="002E24BC" w:rsidRPr="0057178D" w:rsidRDefault="002E24BC" w:rsidP="00AA3506">
      <w:pPr>
        <w:pStyle w:val="Akapitzlist"/>
        <w:numPr>
          <w:ilvl w:val="0"/>
          <w:numId w:val="78"/>
        </w:numPr>
      </w:pPr>
      <w:r w:rsidRPr="0057178D">
        <w:t xml:space="preserve">ryzyka zaniku przepływu zdefiniowanego jako konsekwencja zakończenia odwadniania kopalń. </w:t>
      </w:r>
    </w:p>
    <w:p w14:paraId="00A56946" w14:textId="77777777" w:rsidR="002E24BC" w:rsidRDefault="002E24BC" w:rsidP="002E24BC">
      <w:r>
        <w:t xml:space="preserve">Presja znacząca była również przypisywana w przypadku łącznego występowania: </w:t>
      </w:r>
    </w:p>
    <w:p w14:paraId="64C45D79" w14:textId="77777777" w:rsidR="002E24BC" w:rsidRPr="0057178D" w:rsidRDefault="002E24BC" w:rsidP="00AA3506">
      <w:pPr>
        <w:pStyle w:val="Akapitzlist"/>
        <w:numPr>
          <w:ilvl w:val="0"/>
          <w:numId w:val="79"/>
        </w:numPr>
      </w:pPr>
      <w:r w:rsidRPr="0057178D">
        <w:t>ryzyka znaczącej presji poborów wraz z ryzykiem słabego stanu ilościowego jcwpd,</w:t>
      </w:r>
    </w:p>
    <w:p w14:paraId="5C42D564" w14:textId="77777777" w:rsidR="002E24BC" w:rsidRPr="0057178D" w:rsidRDefault="002E24BC" w:rsidP="00AA3506">
      <w:pPr>
        <w:pStyle w:val="Akapitzlist"/>
        <w:numPr>
          <w:ilvl w:val="0"/>
          <w:numId w:val="79"/>
        </w:numPr>
      </w:pPr>
      <w:r w:rsidRPr="0057178D">
        <w:t>ryzyka znaczącej presji poborów wraz z ryzykiem silnego lub ekstremalnego zagrożenia suszą,</w:t>
      </w:r>
    </w:p>
    <w:p w14:paraId="0B01342C" w14:textId="77777777" w:rsidR="002E24BC" w:rsidRPr="0057178D" w:rsidRDefault="002E24BC" w:rsidP="00AA3506">
      <w:pPr>
        <w:pStyle w:val="Akapitzlist"/>
        <w:numPr>
          <w:ilvl w:val="0"/>
          <w:numId w:val="79"/>
        </w:numPr>
      </w:pPr>
      <w:r w:rsidRPr="0057178D">
        <w:t>ryzyka słabego stanu ilościowego jcwpd wraz z występowaniem silnego lub ekstremalnego zagrożenia suszą.</w:t>
      </w:r>
    </w:p>
    <w:p w14:paraId="483B4377" w14:textId="77777777" w:rsidR="002E24BC" w:rsidRPr="000F57D7" w:rsidRDefault="002E24BC" w:rsidP="002E24BC">
      <w:pPr>
        <w:rPr>
          <w:rFonts w:asciiTheme="minorHAnsi" w:hAnsiTheme="minorHAnsi" w:cstheme="minorBidi"/>
        </w:rPr>
      </w:pPr>
      <w:r w:rsidRPr="381BC984">
        <w:rPr>
          <w:rFonts w:asciiTheme="minorHAnsi" w:hAnsiTheme="minorHAnsi" w:cstheme="minorBidi"/>
        </w:rPr>
        <w:t xml:space="preserve">Przeprowadzone analizy </w:t>
      </w:r>
      <w:r>
        <w:rPr>
          <w:rFonts w:asciiTheme="minorHAnsi" w:hAnsiTheme="minorHAnsi" w:cstheme="minorBidi"/>
        </w:rPr>
        <w:t xml:space="preserve">presji </w:t>
      </w:r>
      <w:r w:rsidRPr="381BC984">
        <w:rPr>
          <w:rFonts w:asciiTheme="minorHAnsi" w:hAnsiTheme="minorHAnsi" w:cstheme="minorBidi"/>
        </w:rPr>
        <w:t xml:space="preserve">obejmowały również aspekt </w:t>
      </w:r>
      <w:r>
        <w:rPr>
          <w:rFonts w:asciiTheme="minorHAnsi" w:hAnsiTheme="minorHAnsi" w:cstheme="minorBidi"/>
        </w:rPr>
        <w:t xml:space="preserve">występowania </w:t>
      </w:r>
      <w:r w:rsidRPr="381BC984">
        <w:rPr>
          <w:rFonts w:asciiTheme="minorHAnsi" w:hAnsiTheme="minorHAnsi" w:cstheme="minorBidi"/>
        </w:rPr>
        <w:t xml:space="preserve">obszarów chronionych. Ocena ryzyka nieosiągnięcia celu środowiskowego odnoszącego się do dobrego stanu/potencjału ekologicznego i dobrego stanu chemicznego została przeniesiona z opracowania </w:t>
      </w:r>
      <w:r w:rsidRPr="381BC984">
        <w:rPr>
          <w:rFonts w:asciiTheme="minorHAnsi" w:hAnsiTheme="minorHAnsi" w:cstheme="minorBidi"/>
          <w:i/>
          <w:iCs/>
        </w:rPr>
        <w:t>Analiza znaczących oddziaływań - jcwp</w:t>
      </w:r>
      <w:r w:rsidRPr="381BC984">
        <w:rPr>
          <w:rFonts w:asciiTheme="minorHAnsi" w:hAnsiTheme="minorHAnsi" w:cstheme="minorBidi"/>
        </w:rPr>
        <w:t xml:space="preserve"> (…) z uwzględnieniem nowych danych z PMŚ za 2019 rok wraz z dokonaniem korekty ryzyka o następujące czynniki: </w:t>
      </w:r>
    </w:p>
    <w:p w14:paraId="24981103" w14:textId="77777777" w:rsidR="002E24BC" w:rsidRPr="000F57D7" w:rsidRDefault="002E24BC" w:rsidP="00590617">
      <w:pPr>
        <w:pStyle w:val="Akapitzlist"/>
      </w:pPr>
      <w:r w:rsidRPr="381BC984">
        <w:t xml:space="preserve">Dla wód przeznaczonych do poboru wody na potrzeby zaopatrzenia ludności w wodę przeznaczoną do spożycia przez ludzi </w:t>
      </w:r>
      <w:r>
        <w:t>-</w:t>
      </w:r>
      <w:r w:rsidRPr="381BC984">
        <w:t xml:space="preserve"> uwzględnienie obecności zrzutów ścieków powyżej ujęcia</w:t>
      </w:r>
      <w:r>
        <w:t>;</w:t>
      </w:r>
    </w:p>
    <w:p w14:paraId="78D15F54" w14:textId="77777777" w:rsidR="002E24BC" w:rsidRPr="000F57D7" w:rsidRDefault="002E24BC" w:rsidP="00590617">
      <w:pPr>
        <w:pStyle w:val="Akapitzlist"/>
      </w:pPr>
      <w:r w:rsidRPr="381BC984">
        <w:t>Dla wód przeznaczonych do celów rekreacyjnych, w tym kąpieliskowych - uwzględnienie obecności zrzutów ścieków w otoczeniu obszarów, korekta ryzyka w zależności od występowania w promieniu 1 km przelewów burzowych i zrzutu ścieków.</w:t>
      </w:r>
    </w:p>
    <w:p w14:paraId="1342FF0C" w14:textId="77777777" w:rsidR="002E24BC" w:rsidRPr="00590617" w:rsidRDefault="002E24BC" w:rsidP="00590617">
      <w:pPr>
        <w:pStyle w:val="Akapitzlist"/>
      </w:pPr>
      <w:r w:rsidRPr="00590617">
        <w:t>Dla obszarów wrażliwych na eutrofizację wywołaną zanieczyszczeniami pochodzącymi ze źródeł komunalnych - analiza danych monitoringowych dla wskaźników fizykochemicznych będących markerami zanieczyszczeń ze źródeł komunalnych - BZT5, OWO, azot ogólny, fosfor ogólny.</w:t>
      </w:r>
    </w:p>
    <w:p w14:paraId="0C3F27A2" w14:textId="77777777" w:rsidR="002E24BC" w:rsidRPr="00590617" w:rsidRDefault="002E24BC" w:rsidP="00590617">
      <w:pPr>
        <w:pStyle w:val="Akapitzlist"/>
      </w:pPr>
      <w:r w:rsidRPr="00590617">
        <w:t>Dla obszarów przeznaczonych do ochrony siedlisk lub gatunków, ustanowionych w u.o.p, dla których utrzymanie lub poprawa stanu wód jest ważnym czynnikiem w ich ochronie, ocena ryzyka nieosiągnięcia celów środowiskowych została przeprowadzona zgodnie z kartą metodyczną C3 z pracy Analiza znaczących oddziaływań - jcwp (…).</w:t>
      </w:r>
    </w:p>
    <w:p w14:paraId="6DE03522" w14:textId="77777777" w:rsidR="002E24BC" w:rsidRDefault="002E24BC" w:rsidP="002E24BC">
      <w:r w:rsidRPr="006F01BA">
        <w:rPr>
          <w:rFonts w:asciiTheme="minorHAnsi" w:hAnsiTheme="minorHAnsi"/>
        </w:rPr>
        <w:t>Podczas analizy presji mogących powodować ryzyko nieosiągnięcia celów środowiskowych w danej jcw uwzględnione zostały presje skumulowane</w:t>
      </w:r>
      <w:r>
        <w:t>:</w:t>
      </w:r>
    </w:p>
    <w:p w14:paraId="4D635DE6" w14:textId="77777777" w:rsidR="002E24BC" w:rsidRDefault="002E24BC" w:rsidP="00590617">
      <w:pPr>
        <w:pStyle w:val="Akapitzlist"/>
      </w:pPr>
      <w:r>
        <w:t>pochodzące ze źródeł z innych zlewni;</w:t>
      </w:r>
    </w:p>
    <w:p w14:paraId="781626D4" w14:textId="77777777" w:rsidR="002E24BC" w:rsidRDefault="002E24BC" w:rsidP="00590617">
      <w:pPr>
        <w:pStyle w:val="Akapitzlist"/>
      </w:pPr>
      <w:r>
        <w:t>związane z wpływem zjawisk tj. susza hydrologiczna czy hydrogeologiczna, które mogą istotnie wpłynąć na stan ilościowy i jakościowy jcwp oraz powodować trudność we wdrożeniu działań zaplanowanych w ramach IIaPGW, takie jak zaniki przepływu wody. Oddziaływania te mogą negatywnie wpływać na skuteczność zaplanowanego w danej jcwp działania;</w:t>
      </w:r>
    </w:p>
    <w:p w14:paraId="04DC90E6" w14:textId="77777777" w:rsidR="002E24BC" w:rsidRDefault="002E24BC" w:rsidP="00590617">
      <w:pPr>
        <w:pStyle w:val="Akapitzlist"/>
      </w:pPr>
      <w:r>
        <w:t>z wodami podziemnymi, które mogą zwiększać ryzyko nieosiągnięcia celów środowiskowych jcwp zwłaszcza będących pod presją poborów lub zlokalizowanych w zlewniach bardzo lub ekstremalnie zagrożonych suszą, w efekcie mogąc powodować także trudność we wdrożeniu działań zaplanowanych w ramach IIaPGW. Podstawowe dane wykorzystane w celu analizy oddziaływań skumulowanych dot. jcwpd stanowiła ocena ryzyka nieosiągnięcia celów środowiskowych z punktu widzenia stanu ilościowego jcwpd.</w:t>
      </w:r>
    </w:p>
    <w:p w14:paraId="1CAF8107" w14:textId="137A31B7" w:rsidR="002E24BC" w:rsidRDefault="002E24BC" w:rsidP="002E24BC">
      <w:pPr>
        <w:pStyle w:val="Punkty"/>
        <w:ind w:left="567"/>
      </w:pPr>
      <w:r w:rsidRPr="005E2A50">
        <w:t xml:space="preserve">Zobrazowanie przestrzenne </w:t>
      </w:r>
      <w:r w:rsidR="00521A68">
        <w:t>jcwp RW z występującą presją poborów</w:t>
      </w:r>
      <w:r w:rsidRPr="005E2A50">
        <w:t xml:space="preserve"> na obszarze dorzecza </w:t>
      </w:r>
      <w:r w:rsidR="006A6DEA" w:rsidRPr="005E2A50">
        <w:t>Pregoły</w:t>
      </w:r>
      <w:r w:rsidRPr="005E2A50">
        <w:t xml:space="preserve"> przedstawia załącznik graficzny nr </w:t>
      </w:r>
      <w:r w:rsidR="008C0B70" w:rsidRPr="005E2A50">
        <w:t>28</w:t>
      </w:r>
      <w:r w:rsidRPr="005E2A50">
        <w:t>.</w:t>
      </w:r>
    </w:p>
    <w:p w14:paraId="13F5A93C" w14:textId="77777777" w:rsidR="002E24BC" w:rsidRDefault="002E24BC" w:rsidP="002E24BC">
      <w:pPr>
        <w:rPr>
          <w:rFonts w:asciiTheme="minorHAnsi" w:hAnsiTheme="minorHAnsi" w:cstheme="minorBidi"/>
        </w:rPr>
      </w:pPr>
      <w:r w:rsidRPr="25651FEC">
        <w:rPr>
          <w:rFonts w:asciiTheme="minorHAnsi" w:hAnsiTheme="minorHAnsi" w:cstheme="minorBidi"/>
        </w:rPr>
        <w:t>Zastosowane podejście metodyczne analizy i identyfikacji presji znaczących pozwoliło na uzyskanie maksymalnie pełnej informacji o presjach występujących na obszarze dorzecz</w:t>
      </w:r>
      <w:r>
        <w:rPr>
          <w:rFonts w:asciiTheme="minorHAnsi" w:hAnsiTheme="minorHAnsi" w:cstheme="minorBidi"/>
        </w:rPr>
        <w:t>a</w:t>
      </w:r>
      <w:r w:rsidRPr="25651FEC">
        <w:rPr>
          <w:rFonts w:asciiTheme="minorHAnsi" w:hAnsiTheme="minorHAnsi" w:cstheme="minorBidi"/>
        </w:rPr>
        <w:t>.</w:t>
      </w:r>
    </w:p>
    <w:p w14:paraId="526A2568" w14:textId="77777777" w:rsidR="002E24BC" w:rsidRPr="00AE6EED" w:rsidRDefault="002E24BC" w:rsidP="002E24BC">
      <w:pPr>
        <w:rPr>
          <w:rFonts w:asciiTheme="minorHAnsi" w:hAnsiTheme="minorHAnsi" w:cstheme="minorHAnsi"/>
        </w:rPr>
      </w:pPr>
      <w:r>
        <w:rPr>
          <w:rFonts w:asciiTheme="minorHAnsi" w:hAnsiTheme="minorHAnsi" w:cstheme="minorHAnsi"/>
        </w:rPr>
        <w:t xml:space="preserve">Informacje o uzyskanych wynikach identyfikacji </w:t>
      </w:r>
      <w:r w:rsidRPr="00E23DEE">
        <w:rPr>
          <w:rFonts w:asciiTheme="minorHAnsi" w:hAnsiTheme="minorHAnsi" w:cstheme="minorHAnsi"/>
        </w:rPr>
        <w:t>znaczących oddziaływań antropogenicznych</w:t>
      </w:r>
      <w:r w:rsidRPr="00E23DEE">
        <w:rPr>
          <w:rFonts w:asciiTheme="minorHAnsi" w:hAnsiTheme="minorHAnsi" w:cstheme="minorHAnsi"/>
        </w:rPr>
        <w:br/>
        <w:t>i oceny ich wpływu na stan wód powierzchniowych</w:t>
      </w:r>
      <w:r>
        <w:rPr>
          <w:rFonts w:asciiTheme="minorHAnsi" w:hAnsiTheme="minorHAnsi" w:cstheme="minorHAnsi"/>
        </w:rPr>
        <w:t xml:space="preserve"> w podziale na poszczególne kategorie wód przedstawione zostały poniżej.</w:t>
      </w:r>
    </w:p>
    <w:p w14:paraId="4D29F2FA" w14:textId="77777777" w:rsidR="002E24BC" w:rsidRPr="004972FC" w:rsidRDefault="002E24BC" w:rsidP="00AA0CAB">
      <w:pPr>
        <w:pStyle w:val="Nagwek5"/>
      </w:pPr>
      <w:r w:rsidRPr="004972FC">
        <w:t xml:space="preserve">Jcwp RW </w:t>
      </w:r>
    </w:p>
    <w:p w14:paraId="5D5B45BF" w14:textId="0095A0FC" w:rsidR="002E24BC" w:rsidRDefault="002E24BC" w:rsidP="002E24BC">
      <w:pPr>
        <w:rPr>
          <w:rFonts w:asciiTheme="minorHAnsi" w:hAnsiTheme="minorHAnsi" w:cstheme="minorBidi"/>
        </w:rPr>
      </w:pPr>
      <w:r w:rsidRPr="7984EA19">
        <w:rPr>
          <w:rFonts w:asciiTheme="minorHAnsi" w:hAnsiTheme="minorHAnsi" w:cstheme="minorBidi"/>
        </w:rPr>
        <w:t>Przeprowadzone analizy i identyfikacja znaczących oddziaływań antropogenicznych na jcwp RW w</w:t>
      </w:r>
      <w:r w:rsidR="00D37052">
        <w:rPr>
          <w:rFonts w:asciiTheme="minorHAnsi" w:hAnsiTheme="minorHAnsi" w:cstheme="minorBidi"/>
        </w:rPr>
        <w:t> </w:t>
      </w:r>
      <w:r w:rsidRPr="7984EA19">
        <w:rPr>
          <w:rFonts w:asciiTheme="minorHAnsi" w:hAnsiTheme="minorHAnsi" w:cstheme="minorBidi"/>
        </w:rPr>
        <w:t xml:space="preserve">obszarze dorzecza </w:t>
      </w:r>
      <w:r w:rsidR="00E116D2">
        <w:rPr>
          <w:rFonts w:asciiTheme="minorHAnsi" w:hAnsiTheme="minorHAnsi" w:cstheme="minorBidi"/>
        </w:rPr>
        <w:t>Pregoły</w:t>
      </w:r>
      <w:r w:rsidRPr="7984EA19">
        <w:rPr>
          <w:rFonts w:asciiTheme="minorHAnsi" w:hAnsiTheme="minorHAnsi" w:cstheme="minorBidi"/>
        </w:rPr>
        <w:t xml:space="preserve"> wykazały zagrożenie nieosiągnięciem celów środowiskowych dla </w:t>
      </w:r>
      <w:r w:rsidR="00D74793" w:rsidRPr="7984EA19">
        <w:rPr>
          <w:rFonts w:asciiTheme="minorHAnsi" w:hAnsiTheme="minorHAnsi" w:cstheme="minorBidi"/>
        </w:rPr>
        <w:t>9</w:t>
      </w:r>
      <w:r w:rsidR="00D74793">
        <w:rPr>
          <w:rFonts w:asciiTheme="minorHAnsi" w:hAnsiTheme="minorHAnsi" w:cstheme="minorBidi"/>
        </w:rPr>
        <w:t>4</w:t>
      </w:r>
      <w:r w:rsidRPr="7984EA19">
        <w:rPr>
          <w:rFonts w:asciiTheme="minorHAnsi" w:hAnsiTheme="minorHAnsi" w:cstheme="minorBidi"/>
        </w:rPr>
        <w:t xml:space="preserve">% jcwp RW obszaru dorzecza </w:t>
      </w:r>
      <w:r w:rsidR="00E116D2">
        <w:rPr>
          <w:rFonts w:asciiTheme="minorHAnsi" w:hAnsiTheme="minorHAnsi" w:cstheme="minorBidi"/>
        </w:rPr>
        <w:t>Pr</w:t>
      </w:r>
      <w:r w:rsidR="001A0D03">
        <w:rPr>
          <w:rFonts w:asciiTheme="minorHAnsi" w:hAnsiTheme="minorHAnsi" w:cstheme="minorBidi"/>
        </w:rPr>
        <w:t>e</w:t>
      </w:r>
      <w:r w:rsidR="00E116D2">
        <w:rPr>
          <w:rFonts w:asciiTheme="minorHAnsi" w:hAnsiTheme="minorHAnsi" w:cstheme="minorBidi"/>
        </w:rPr>
        <w:t>goły</w:t>
      </w:r>
      <w:r w:rsidRPr="7984EA19">
        <w:rPr>
          <w:rFonts w:asciiTheme="minorHAnsi" w:hAnsiTheme="minorHAnsi" w:cstheme="minorBidi"/>
        </w:rPr>
        <w:t xml:space="preserve">. </w:t>
      </w:r>
    </w:p>
    <w:p w14:paraId="118FA3EE" w14:textId="7A685D66" w:rsidR="002E24BC" w:rsidRDefault="002E24BC" w:rsidP="002E24BC">
      <w:pPr>
        <w:rPr>
          <w:b/>
          <w:bCs/>
        </w:rPr>
      </w:pPr>
      <w:r>
        <w:rPr>
          <w:rFonts w:asciiTheme="minorHAnsi" w:hAnsiTheme="minorHAnsi" w:cstheme="minorHAnsi"/>
        </w:rPr>
        <w:t>Zestawienie liczby jcwp RW ze zidentyfikowanymi poszczególnymi kategoriami presji wraz z</w:t>
      </w:r>
      <w:r w:rsidR="00D37052">
        <w:rPr>
          <w:rFonts w:asciiTheme="minorHAnsi" w:hAnsiTheme="minorHAnsi" w:cstheme="minorHAnsi"/>
        </w:rPr>
        <w:t> </w:t>
      </w:r>
      <w:r>
        <w:rPr>
          <w:rFonts w:asciiTheme="minorHAnsi" w:hAnsiTheme="minorHAnsi" w:cstheme="minorHAnsi"/>
        </w:rPr>
        <w:t xml:space="preserve">określeniem udziału w ogólnej liczbie jcwp RW obszaru dorzecza </w:t>
      </w:r>
      <w:r w:rsidR="00C66D17" w:rsidRPr="007F1ED0">
        <w:rPr>
          <w:rFonts w:asciiTheme="minorHAnsi" w:hAnsiTheme="minorHAnsi" w:cstheme="minorHAnsi"/>
        </w:rPr>
        <w:t>Pregoły</w:t>
      </w:r>
      <w:r>
        <w:rPr>
          <w:rFonts w:asciiTheme="minorHAnsi" w:hAnsiTheme="minorHAnsi" w:cstheme="minorHAnsi"/>
        </w:rPr>
        <w:t xml:space="preserve"> prezentuje poniższa tabela</w:t>
      </w:r>
      <w:r w:rsidR="006A6DEA">
        <w:rPr>
          <w:rFonts w:asciiTheme="minorHAnsi" w:hAnsiTheme="minorHAnsi" w:cstheme="minorHAnsi"/>
        </w:rPr>
        <w:t xml:space="preserve"> 7-1</w:t>
      </w:r>
      <w:r w:rsidR="001A0D03">
        <w:rPr>
          <w:rFonts w:asciiTheme="minorHAnsi" w:hAnsiTheme="minorHAnsi" w:cstheme="minorHAnsi"/>
        </w:rPr>
        <w:t xml:space="preserve"> i wykres 7-1</w:t>
      </w:r>
      <w:r>
        <w:rPr>
          <w:rFonts w:asciiTheme="minorHAnsi" w:hAnsiTheme="minorHAnsi" w:cstheme="minorHAnsi"/>
        </w:rPr>
        <w:t>.</w:t>
      </w:r>
    </w:p>
    <w:p w14:paraId="4E909862" w14:textId="570112C9" w:rsidR="002E24BC" w:rsidRPr="00E94950" w:rsidRDefault="002E24BC" w:rsidP="006802BB">
      <w:pPr>
        <w:pStyle w:val="Tabela"/>
        <w:rPr>
          <w:bCs/>
          <w:i/>
        </w:rPr>
      </w:pPr>
      <w:bookmarkStart w:id="131" w:name="_Toc66311270"/>
      <w:bookmarkStart w:id="132" w:name="_Toc68726983"/>
      <w:r w:rsidRPr="00E94950">
        <w:rPr>
          <w:bCs/>
        </w:rPr>
        <w:t xml:space="preserve">Tabela </w:t>
      </w:r>
      <w:r w:rsidR="007B4050">
        <w:rPr>
          <w:bCs/>
        </w:rPr>
        <w:fldChar w:fldCharType="begin"/>
      </w:r>
      <w:r w:rsidR="007B4050">
        <w:rPr>
          <w:bCs/>
        </w:rPr>
        <w:instrText xml:space="preserve"> STYLEREF 1 \s </w:instrText>
      </w:r>
      <w:r w:rsidR="007B4050">
        <w:rPr>
          <w:bCs/>
        </w:rPr>
        <w:fldChar w:fldCharType="separate"/>
      </w:r>
      <w:r w:rsidR="007B4050">
        <w:rPr>
          <w:bCs/>
          <w:noProof/>
        </w:rPr>
        <w:t>7</w:t>
      </w:r>
      <w:r w:rsidR="007B4050">
        <w:rPr>
          <w:bCs/>
        </w:rPr>
        <w:fldChar w:fldCharType="end"/>
      </w:r>
      <w:r w:rsidR="007B4050">
        <w:rPr>
          <w:bCs/>
        </w:rPr>
        <w:noBreakHyphen/>
      </w:r>
      <w:r w:rsidR="007B4050">
        <w:rPr>
          <w:bCs/>
        </w:rPr>
        <w:fldChar w:fldCharType="begin"/>
      </w:r>
      <w:r w:rsidR="007B4050">
        <w:rPr>
          <w:bCs/>
        </w:rPr>
        <w:instrText xml:space="preserve"> SEQ Tabela \* ARABIC \s 1 </w:instrText>
      </w:r>
      <w:r w:rsidR="007B4050">
        <w:rPr>
          <w:bCs/>
        </w:rPr>
        <w:fldChar w:fldCharType="separate"/>
      </w:r>
      <w:r w:rsidR="007B4050">
        <w:rPr>
          <w:bCs/>
          <w:noProof/>
        </w:rPr>
        <w:t>1</w:t>
      </w:r>
      <w:r w:rsidR="007B4050">
        <w:rPr>
          <w:bCs/>
        </w:rPr>
        <w:fldChar w:fldCharType="end"/>
      </w:r>
      <w:r>
        <w:rPr>
          <w:bCs/>
        </w:rPr>
        <w:tab/>
      </w:r>
      <w:r w:rsidRPr="00E94950">
        <w:t xml:space="preserve">Podsumowanie analizy znaczących oddziaływań antropogenicznych wraz z oceną ryzyka nieosiągnięcia celów środowiskowych dla jcwp RW </w:t>
      </w:r>
      <w:r>
        <w:t>-</w:t>
      </w:r>
      <w:r w:rsidRPr="00E94950">
        <w:t xml:space="preserve"> obszar dorzecza </w:t>
      </w:r>
      <w:bookmarkEnd w:id="131"/>
      <w:r w:rsidR="006A6DEA">
        <w:t>Pregoły</w:t>
      </w:r>
      <w:bookmarkEnd w:id="132"/>
    </w:p>
    <w:tbl>
      <w:tblPr>
        <w:tblW w:w="9040" w:type="dxa"/>
        <w:tblInd w:w="-5" w:type="dxa"/>
        <w:tblCellMar>
          <w:left w:w="70" w:type="dxa"/>
          <w:right w:w="70" w:type="dxa"/>
        </w:tblCellMar>
        <w:tblLook w:val="04A0" w:firstRow="1" w:lastRow="0" w:firstColumn="1" w:lastColumn="0" w:noHBand="0" w:noVBand="1"/>
      </w:tblPr>
      <w:tblGrid>
        <w:gridCol w:w="889"/>
        <w:gridCol w:w="1096"/>
        <w:gridCol w:w="772"/>
        <w:gridCol w:w="806"/>
        <w:gridCol w:w="594"/>
        <w:gridCol w:w="582"/>
        <w:gridCol w:w="785"/>
        <w:gridCol w:w="855"/>
        <w:gridCol w:w="709"/>
        <w:gridCol w:w="710"/>
        <w:gridCol w:w="1133"/>
        <w:gridCol w:w="109"/>
      </w:tblGrid>
      <w:tr w:rsidR="00F46A0D" w:rsidRPr="001E74C4" w14:paraId="74161CF6" w14:textId="77777777" w:rsidTr="001E0A70">
        <w:trPr>
          <w:trHeight w:val="361"/>
        </w:trPr>
        <w:tc>
          <w:tcPr>
            <w:tcW w:w="889"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1C32C6EA" w14:textId="192A5972" w:rsidR="002E24BC" w:rsidRPr="001E74C4" w:rsidRDefault="00AD77D9" w:rsidP="00840CCD">
            <w:pPr>
              <w:jc w:val="center"/>
              <w:rPr>
                <w:rFonts w:asciiTheme="minorHAnsi" w:hAnsiTheme="minorHAnsi"/>
                <w:b/>
                <w:color w:val="000000"/>
                <w:sz w:val="20"/>
              </w:rPr>
            </w:pPr>
            <w:r>
              <w:rPr>
                <w:rFonts w:asciiTheme="minorHAnsi" w:hAnsiTheme="minorHAnsi"/>
                <w:b/>
                <w:color w:val="000000"/>
                <w:sz w:val="20"/>
              </w:rPr>
              <w:t>Obszar d</w:t>
            </w:r>
            <w:r w:rsidR="002E24BC" w:rsidRPr="001E74C4">
              <w:rPr>
                <w:rFonts w:asciiTheme="minorHAnsi" w:hAnsiTheme="minorHAnsi"/>
                <w:b/>
                <w:color w:val="000000"/>
                <w:sz w:val="20"/>
              </w:rPr>
              <w:t>orzecz</w:t>
            </w:r>
            <w:r>
              <w:rPr>
                <w:rFonts w:asciiTheme="minorHAnsi" w:hAnsiTheme="minorHAnsi"/>
                <w:b/>
                <w:color w:val="000000"/>
                <w:sz w:val="20"/>
              </w:rPr>
              <w:t>a</w:t>
            </w:r>
          </w:p>
        </w:tc>
        <w:tc>
          <w:tcPr>
            <w:tcW w:w="1096"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6305B448" w14:textId="77777777" w:rsidR="002E24BC" w:rsidRPr="001E74C4" w:rsidRDefault="002E24BC" w:rsidP="00840CCD">
            <w:pPr>
              <w:jc w:val="center"/>
              <w:rPr>
                <w:rFonts w:asciiTheme="minorHAnsi" w:hAnsiTheme="minorHAnsi"/>
                <w:b/>
                <w:color w:val="000000"/>
                <w:sz w:val="20"/>
              </w:rPr>
            </w:pPr>
            <w:r w:rsidRPr="001E74C4">
              <w:rPr>
                <w:rFonts w:asciiTheme="minorHAnsi" w:hAnsiTheme="minorHAnsi"/>
                <w:b/>
                <w:color w:val="000000"/>
                <w:sz w:val="20"/>
              </w:rPr>
              <w:t>Liczba jcwp RW</w:t>
            </w:r>
          </w:p>
        </w:tc>
        <w:tc>
          <w:tcPr>
            <w:tcW w:w="5813"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CE20D9D" w14:textId="77777777" w:rsidR="002E24BC" w:rsidRPr="001E74C4" w:rsidRDefault="002E24BC" w:rsidP="00840CCD">
            <w:pPr>
              <w:jc w:val="center"/>
              <w:rPr>
                <w:rFonts w:asciiTheme="minorHAnsi" w:hAnsiTheme="minorHAnsi"/>
                <w:b/>
                <w:color w:val="000000"/>
                <w:sz w:val="20"/>
              </w:rPr>
            </w:pPr>
            <w:r w:rsidRPr="001E74C4">
              <w:rPr>
                <w:rFonts w:asciiTheme="minorHAnsi" w:hAnsiTheme="minorHAnsi"/>
                <w:b/>
                <w:color w:val="000000" w:themeColor="text1"/>
                <w:sz w:val="20"/>
              </w:rPr>
              <w:t>Liczba jcwp RW ze zidentyfikowaną znaczącą presją*</w:t>
            </w:r>
          </w:p>
        </w:tc>
        <w:tc>
          <w:tcPr>
            <w:tcW w:w="1242" w:type="dxa"/>
            <w:gridSpan w:val="2"/>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3731299C" w14:textId="77777777" w:rsidR="002E24BC" w:rsidRPr="001E74C4" w:rsidRDefault="002E24BC" w:rsidP="00840CCD">
            <w:pPr>
              <w:jc w:val="center"/>
              <w:rPr>
                <w:rFonts w:asciiTheme="minorHAnsi" w:hAnsiTheme="minorHAnsi"/>
                <w:b/>
                <w:color w:val="000000"/>
                <w:sz w:val="20"/>
              </w:rPr>
            </w:pPr>
            <w:r w:rsidRPr="001E74C4">
              <w:rPr>
                <w:rFonts w:asciiTheme="minorHAnsi" w:hAnsiTheme="minorHAnsi"/>
                <w:b/>
                <w:color w:val="000000"/>
                <w:sz w:val="20"/>
              </w:rPr>
              <w:t>Ocena ryzyka [liczba jcwp zagrożonych]</w:t>
            </w:r>
          </w:p>
        </w:tc>
      </w:tr>
      <w:tr w:rsidR="009D021A" w:rsidRPr="001E74C4" w14:paraId="05574586" w14:textId="77777777" w:rsidTr="009D021A">
        <w:trPr>
          <w:trHeight w:val="456"/>
        </w:trPr>
        <w:tc>
          <w:tcPr>
            <w:tcW w:w="889" w:type="dxa"/>
            <w:vMerge/>
            <w:tcBorders>
              <w:left w:val="single" w:sz="4" w:space="0" w:color="auto"/>
              <w:bottom w:val="single" w:sz="4" w:space="0" w:color="auto"/>
              <w:right w:val="single" w:sz="4" w:space="0" w:color="auto"/>
            </w:tcBorders>
            <w:vAlign w:val="center"/>
            <w:hideMark/>
          </w:tcPr>
          <w:p w14:paraId="0F61FAA9" w14:textId="77777777" w:rsidR="002E24BC" w:rsidRPr="001E74C4" w:rsidRDefault="002E24BC" w:rsidP="00840CCD">
            <w:pPr>
              <w:rPr>
                <w:rFonts w:asciiTheme="minorHAnsi" w:hAnsiTheme="minorHAnsi"/>
                <w:b/>
                <w:color w:val="000000"/>
                <w:sz w:val="20"/>
              </w:rPr>
            </w:pPr>
          </w:p>
        </w:tc>
        <w:tc>
          <w:tcPr>
            <w:tcW w:w="1096" w:type="dxa"/>
            <w:vMerge/>
            <w:tcBorders>
              <w:left w:val="single" w:sz="4" w:space="0" w:color="auto"/>
              <w:bottom w:val="single" w:sz="4" w:space="0" w:color="auto"/>
              <w:right w:val="single" w:sz="4" w:space="0" w:color="auto"/>
            </w:tcBorders>
            <w:vAlign w:val="center"/>
            <w:hideMark/>
          </w:tcPr>
          <w:p w14:paraId="3CD9F173" w14:textId="77777777" w:rsidR="002E24BC" w:rsidRPr="001E74C4" w:rsidRDefault="002E24BC" w:rsidP="00840CCD">
            <w:pPr>
              <w:rPr>
                <w:rFonts w:asciiTheme="minorHAnsi" w:hAnsiTheme="minorHAnsi"/>
                <w:b/>
                <w:color w:val="000000"/>
                <w:sz w:val="20"/>
              </w:rPr>
            </w:pPr>
          </w:p>
        </w:tc>
        <w:tc>
          <w:tcPr>
            <w:tcW w:w="77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0108A45"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BIO_HM</w:t>
            </w:r>
          </w:p>
        </w:tc>
        <w:tc>
          <w:tcPr>
            <w:tcW w:w="80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5952319"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BIO_FIZ</w:t>
            </w:r>
          </w:p>
        </w:tc>
        <w:tc>
          <w:tcPr>
            <w:tcW w:w="54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5707277"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CHEM</w:t>
            </w:r>
          </w:p>
        </w:tc>
        <w:tc>
          <w:tcPr>
            <w:tcW w:w="62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E406C9"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FIZ</w:t>
            </w:r>
          </w:p>
        </w:tc>
        <w:tc>
          <w:tcPr>
            <w:tcW w:w="7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7E538C3"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CHEM_B</w:t>
            </w:r>
          </w:p>
        </w:tc>
        <w:tc>
          <w:tcPr>
            <w:tcW w:w="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FBF98B0"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CHEM_SZ</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451578D"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OCH</w:t>
            </w:r>
          </w:p>
        </w:tc>
        <w:tc>
          <w:tcPr>
            <w:tcW w:w="71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F989E3B" w14:textId="77777777" w:rsidR="002E24BC" w:rsidRPr="00590617" w:rsidRDefault="002E24BC" w:rsidP="00840CCD">
            <w:pPr>
              <w:jc w:val="center"/>
              <w:rPr>
                <w:rFonts w:asciiTheme="minorHAnsi" w:hAnsiTheme="minorHAnsi"/>
                <w:b/>
                <w:bCs/>
                <w:color w:val="000000"/>
                <w:sz w:val="18"/>
              </w:rPr>
            </w:pPr>
            <w:r w:rsidRPr="00590617">
              <w:rPr>
                <w:rFonts w:asciiTheme="minorHAnsi" w:hAnsiTheme="minorHAnsi"/>
                <w:b/>
                <w:bCs/>
                <w:color w:val="000000"/>
                <w:sz w:val="18"/>
              </w:rPr>
              <w:t>IL</w:t>
            </w:r>
          </w:p>
        </w:tc>
        <w:tc>
          <w:tcPr>
            <w:tcW w:w="1242" w:type="dxa"/>
            <w:gridSpan w:val="2"/>
            <w:vMerge/>
            <w:tcBorders>
              <w:left w:val="single" w:sz="4" w:space="0" w:color="auto"/>
              <w:bottom w:val="single" w:sz="4" w:space="0" w:color="auto"/>
              <w:right w:val="single" w:sz="4" w:space="0" w:color="auto"/>
            </w:tcBorders>
            <w:vAlign w:val="center"/>
            <w:hideMark/>
          </w:tcPr>
          <w:p w14:paraId="3CFB0763" w14:textId="77777777" w:rsidR="002E24BC" w:rsidRPr="001E74C4" w:rsidRDefault="002E24BC" w:rsidP="00521A68">
            <w:pPr>
              <w:jc w:val="center"/>
              <w:rPr>
                <w:rFonts w:asciiTheme="minorHAnsi" w:hAnsiTheme="minorHAnsi"/>
                <w:b/>
                <w:color w:val="000000"/>
                <w:sz w:val="20"/>
              </w:rPr>
            </w:pPr>
          </w:p>
        </w:tc>
      </w:tr>
      <w:tr w:rsidR="006A6DEA" w:rsidRPr="001E74C4" w14:paraId="5160B26D" w14:textId="77777777" w:rsidTr="009D021A">
        <w:trPr>
          <w:trHeight w:val="288"/>
        </w:trPr>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2D005" w14:textId="493196AA" w:rsidR="006A6DEA" w:rsidRPr="001E74C4" w:rsidRDefault="006A6DEA" w:rsidP="00521A68">
            <w:pPr>
              <w:jc w:val="center"/>
              <w:rPr>
                <w:rFonts w:asciiTheme="minorHAnsi" w:hAnsiTheme="minorHAnsi"/>
                <w:color w:val="000000"/>
                <w:sz w:val="20"/>
              </w:rPr>
            </w:pPr>
            <w:r>
              <w:rPr>
                <w:rFonts w:cs="Calibri"/>
                <w:color w:val="000000"/>
                <w:sz w:val="20"/>
                <w:szCs w:val="20"/>
              </w:rPr>
              <w:t>Pregoły</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6CC2F4FA" w14:textId="28842FEF" w:rsidR="006A6DEA" w:rsidRPr="001E74C4" w:rsidRDefault="006A6DEA" w:rsidP="00521A68">
            <w:pPr>
              <w:jc w:val="center"/>
              <w:rPr>
                <w:rFonts w:asciiTheme="minorHAnsi" w:hAnsiTheme="minorHAnsi"/>
                <w:color w:val="000000"/>
                <w:sz w:val="20"/>
              </w:rPr>
            </w:pPr>
            <w:r>
              <w:rPr>
                <w:rFonts w:cs="Calibri"/>
                <w:color w:val="000000"/>
                <w:sz w:val="20"/>
                <w:szCs w:val="20"/>
              </w:rPr>
              <w:t>82</w:t>
            </w:r>
          </w:p>
        </w:tc>
        <w:tc>
          <w:tcPr>
            <w:tcW w:w="772" w:type="dxa"/>
            <w:tcBorders>
              <w:top w:val="single" w:sz="4" w:space="0" w:color="auto"/>
              <w:left w:val="nil"/>
              <w:bottom w:val="single" w:sz="4" w:space="0" w:color="auto"/>
              <w:right w:val="single" w:sz="4" w:space="0" w:color="auto"/>
            </w:tcBorders>
            <w:shd w:val="clear" w:color="auto" w:fill="auto"/>
            <w:noWrap/>
            <w:vAlign w:val="bottom"/>
            <w:hideMark/>
          </w:tcPr>
          <w:p w14:paraId="0E3D1EA0" w14:textId="297577FF" w:rsidR="006A6DEA" w:rsidRPr="001E74C4" w:rsidRDefault="006A6DEA" w:rsidP="00521A68">
            <w:pPr>
              <w:jc w:val="center"/>
              <w:rPr>
                <w:rFonts w:asciiTheme="minorHAnsi" w:hAnsiTheme="minorHAnsi"/>
                <w:color w:val="000000"/>
                <w:sz w:val="20"/>
              </w:rPr>
            </w:pPr>
            <w:r>
              <w:rPr>
                <w:rFonts w:cs="Calibri"/>
                <w:color w:val="000000"/>
                <w:sz w:val="20"/>
                <w:szCs w:val="20"/>
              </w:rPr>
              <w:t>44</w:t>
            </w:r>
          </w:p>
        </w:tc>
        <w:tc>
          <w:tcPr>
            <w:tcW w:w="806" w:type="dxa"/>
            <w:tcBorders>
              <w:top w:val="single" w:sz="4" w:space="0" w:color="auto"/>
              <w:left w:val="nil"/>
              <w:bottom w:val="single" w:sz="4" w:space="0" w:color="auto"/>
              <w:right w:val="single" w:sz="4" w:space="0" w:color="auto"/>
            </w:tcBorders>
            <w:shd w:val="clear" w:color="auto" w:fill="auto"/>
            <w:noWrap/>
            <w:vAlign w:val="bottom"/>
            <w:hideMark/>
          </w:tcPr>
          <w:p w14:paraId="59CC8E5B" w14:textId="1D6F7808" w:rsidR="006A6DEA" w:rsidRPr="001E74C4" w:rsidRDefault="006A6DEA" w:rsidP="00521A68">
            <w:pPr>
              <w:jc w:val="center"/>
              <w:rPr>
                <w:rFonts w:asciiTheme="minorHAnsi" w:hAnsiTheme="minorHAnsi"/>
                <w:color w:val="000000"/>
                <w:sz w:val="20"/>
              </w:rPr>
            </w:pPr>
            <w:r>
              <w:rPr>
                <w:rFonts w:cs="Calibri"/>
                <w:color w:val="000000"/>
                <w:sz w:val="20"/>
                <w:szCs w:val="20"/>
              </w:rPr>
              <w:t>44</w:t>
            </w:r>
          </w:p>
        </w:tc>
        <w:tc>
          <w:tcPr>
            <w:tcW w:w="548" w:type="dxa"/>
            <w:tcBorders>
              <w:top w:val="single" w:sz="4" w:space="0" w:color="auto"/>
              <w:left w:val="nil"/>
              <w:bottom w:val="single" w:sz="4" w:space="0" w:color="auto"/>
              <w:right w:val="single" w:sz="4" w:space="0" w:color="auto"/>
            </w:tcBorders>
            <w:shd w:val="clear" w:color="auto" w:fill="auto"/>
            <w:noWrap/>
            <w:vAlign w:val="bottom"/>
            <w:hideMark/>
          </w:tcPr>
          <w:p w14:paraId="177E15AC" w14:textId="73D5D451" w:rsidR="006A6DEA" w:rsidRPr="001E74C4" w:rsidRDefault="006A6DEA" w:rsidP="00521A68">
            <w:pPr>
              <w:jc w:val="center"/>
              <w:rPr>
                <w:rFonts w:asciiTheme="minorHAnsi" w:hAnsiTheme="minorHAnsi"/>
                <w:color w:val="000000"/>
                <w:sz w:val="20"/>
              </w:rPr>
            </w:pPr>
            <w:r>
              <w:rPr>
                <w:rFonts w:cs="Calibri"/>
                <w:color w:val="000000"/>
                <w:sz w:val="20"/>
                <w:szCs w:val="20"/>
              </w:rPr>
              <w:t>55</w:t>
            </w:r>
          </w:p>
        </w:tc>
        <w:tc>
          <w:tcPr>
            <w:tcW w:w="628" w:type="dxa"/>
            <w:tcBorders>
              <w:top w:val="single" w:sz="4" w:space="0" w:color="auto"/>
              <w:left w:val="nil"/>
              <w:bottom w:val="single" w:sz="4" w:space="0" w:color="auto"/>
              <w:right w:val="single" w:sz="4" w:space="0" w:color="auto"/>
            </w:tcBorders>
            <w:vAlign w:val="bottom"/>
          </w:tcPr>
          <w:p w14:paraId="5B122E71" w14:textId="28F1B37B" w:rsidR="006A6DEA" w:rsidRPr="001E74C4" w:rsidRDefault="006A6DEA" w:rsidP="00521A68">
            <w:pPr>
              <w:jc w:val="center"/>
              <w:rPr>
                <w:rFonts w:asciiTheme="minorHAnsi" w:hAnsiTheme="minorHAnsi"/>
                <w:color w:val="000000"/>
                <w:sz w:val="20"/>
              </w:rPr>
            </w:pPr>
            <w:r>
              <w:rPr>
                <w:rFonts w:cs="Calibri"/>
                <w:color w:val="000000"/>
                <w:sz w:val="20"/>
                <w:szCs w:val="20"/>
              </w:rPr>
              <w:t>50</w:t>
            </w:r>
          </w:p>
        </w:tc>
        <w:tc>
          <w:tcPr>
            <w:tcW w:w="7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C7F6A" w14:textId="3C1530A1" w:rsidR="006A6DEA" w:rsidRPr="001E74C4" w:rsidRDefault="006A6DEA" w:rsidP="00521A68">
            <w:pPr>
              <w:jc w:val="center"/>
              <w:rPr>
                <w:rFonts w:asciiTheme="minorHAnsi" w:hAnsiTheme="minorHAnsi"/>
                <w:color w:val="000000"/>
                <w:sz w:val="20"/>
              </w:rPr>
            </w:pPr>
            <w:r>
              <w:rPr>
                <w:rFonts w:cs="Calibri"/>
                <w:color w:val="000000"/>
                <w:sz w:val="20"/>
                <w:szCs w:val="20"/>
              </w:rPr>
              <w:t>27</w:t>
            </w:r>
          </w:p>
        </w:tc>
        <w:tc>
          <w:tcPr>
            <w:tcW w:w="855" w:type="dxa"/>
            <w:tcBorders>
              <w:top w:val="single" w:sz="4" w:space="0" w:color="auto"/>
              <w:left w:val="nil"/>
              <w:bottom w:val="single" w:sz="4" w:space="0" w:color="auto"/>
              <w:right w:val="single" w:sz="4" w:space="0" w:color="auto"/>
            </w:tcBorders>
            <w:shd w:val="clear" w:color="auto" w:fill="auto"/>
            <w:noWrap/>
            <w:vAlign w:val="bottom"/>
            <w:hideMark/>
          </w:tcPr>
          <w:p w14:paraId="2000E199" w14:textId="179414B9" w:rsidR="006A6DEA" w:rsidRPr="001E74C4" w:rsidRDefault="006A6DEA" w:rsidP="00521A68">
            <w:pPr>
              <w:jc w:val="center"/>
              <w:rPr>
                <w:rFonts w:asciiTheme="minorHAnsi" w:hAnsiTheme="minorHAnsi"/>
                <w:color w:val="000000"/>
                <w:sz w:val="20"/>
              </w:rPr>
            </w:pPr>
            <w:r>
              <w:rPr>
                <w:rFonts w:cs="Calibri"/>
                <w:color w:val="000000"/>
                <w:sz w:val="20"/>
                <w:szCs w:val="20"/>
              </w:rPr>
              <w:t>21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CDB671F" w14:textId="3BCBF0E7" w:rsidR="006A6DEA" w:rsidRPr="001E74C4" w:rsidRDefault="006A6DEA" w:rsidP="00521A68">
            <w:pPr>
              <w:jc w:val="center"/>
              <w:rPr>
                <w:rFonts w:asciiTheme="minorHAnsi" w:hAnsiTheme="minorHAnsi"/>
                <w:color w:val="000000"/>
                <w:sz w:val="20"/>
              </w:rPr>
            </w:pPr>
            <w:r>
              <w:rPr>
                <w:rFonts w:cs="Calibri"/>
                <w:color w:val="000000"/>
                <w:sz w:val="20"/>
                <w:szCs w:val="20"/>
              </w:rPr>
              <w:t>72</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14:paraId="68100778" w14:textId="16E6773E" w:rsidR="006A6DEA" w:rsidRPr="001E74C4" w:rsidRDefault="006A6DEA" w:rsidP="00521A68">
            <w:pPr>
              <w:jc w:val="center"/>
              <w:rPr>
                <w:rFonts w:asciiTheme="minorHAnsi" w:hAnsiTheme="minorHAnsi"/>
                <w:color w:val="000000"/>
                <w:sz w:val="20"/>
              </w:rPr>
            </w:pPr>
            <w:r>
              <w:rPr>
                <w:rFonts w:cs="Calibri"/>
                <w:color w:val="000000"/>
                <w:sz w:val="20"/>
                <w:szCs w:val="20"/>
              </w:rPr>
              <w:t>2</w:t>
            </w:r>
          </w:p>
        </w:tc>
        <w:tc>
          <w:tcPr>
            <w:tcW w:w="124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FB866C" w14:textId="2135F389" w:rsidR="006A6DEA" w:rsidRPr="001E74C4" w:rsidRDefault="006A6DEA" w:rsidP="00521A68">
            <w:pPr>
              <w:jc w:val="center"/>
              <w:rPr>
                <w:rFonts w:asciiTheme="minorHAnsi" w:hAnsiTheme="minorHAnsi"/>
                <w:color w:val="000000"/>
                <w:sz w:val="20"/>
              </w:rPr>
            </w:pPr>
            <w:r>
              <w:rPr>
                <w:rFonts w:cs="Calibri"/>
                <w:color w:val="000000"/>
                <w:sz w:val="20"/>
                <w:szCs w:val="20"/>
              </w:rPr>
              <w:t>77</w:t>
            </w:r>
          </w:p>
        </w:tc>
      </w:tr>
      <w:tr w:rsidR="006A6DEA" w:rsidRPr="001E74C4" w14:paraId="3F3C1095" w14:textId="77777777" w:rsidTr="009D021A">
        <w:trPr>
          <w:trHeight w:val="288"/>
        </w:trPr>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A9ED99" w14:textId="2D81960F" w:rsidR="006A6DEA" w:rsidRPr="001E74C4" w:rsidRDefault="006A6DEA" w:rsidP="00521A68">
            <w:pPr>
              <w:jc w:val="center"/>
              <w:rPr>
                <w:rFonts w:asciiTheme="minorHAnsi" w:hAnsiTheme="minorHAnsi"/>
                <w:color w:val="000000"/>
                <w:sz w:val="20"/>
              </w:rPr>
            </w:pPr>
            <w:r w:rsidRPr="001E74C4">
              <w:rPr>
                <w:rFonts w:asciiTheme="minorHAnsi" w:hAnsiTheme="minorHAnsi"/>
                <w:color w:val="000000"/>
                <w:sz w:val="20"/>
              </w:rPr>
              <w:t>Udział w ogólnej liczbie jcwp RW</w:t>
            </w:r>
            <w:r w:rsidR="001479C9">
              <w:rPr>
                <w:rFonts w:asciiTheme="minorHAnsi" w:hAnsiTheme="minorHAnsi"/>
                <w:color w:val="000000"/>
                <w:sz w:val="20"/>
              </w:rPr>
              <w:t xml:space="preserve"> (%)</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30CAC92" w14:textId="5F667DD0" w:rsidR="006A6DEA" w:rsidRPr="001E74C4" w:rsidRDefault="006A6DEA" w:rsidP="00521A68">
            <w:pPr>
              <w:jc w:val="center"/>
              <w:rPr>
                <w:rFonts w:asciiTheme="minorHAnsi" w:hAnsiTheme="minorHAnsi"/>
                <w:color w:val="000000"/>
                <w:sz w:val="20"/>
              </w:rPr>
            </w:pPr>
            <w:r w:rsidRPr="00957D06">
              <w:rPr>
                <w:rFonts w:cs="Calibri"/>
                <w:color w:val="000000"/>
                <w:sz w:val="20"/>
                <w:szCs w:val="20"/>
              </w:rPr>
              <w:t>54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78453A66" w14:textId="79F56F86" w:rsidR="006A6DEA" w:rsidRPr="001E74C4" w:rsidRDefault="006A6DEA" w:rsidP="00521A68">
            <w:pPr>
              <w:jc w:val="center"/>
              <w:rPr>
                <w:rFonts w:asciiTheme="minorHAnsi" w:hAnsiTheme="minorHAnsi"/>
                <w:color w:val="000000"/>
                <w:sz w:val="20"/>
              </w:rPr>
            </w:pPr>
            <w:r w:rsidRPr="00957D06">
              <w:rPr>
                <w:rFonts w:cs="Calibri"/>
                <w:color w:val="000000"/>
                <w:sz w:val="20"/>
                <w:szCs w:val="20"/>
              </w:rPr>
              <w:t>54</w:t>
            </w:r>
          </w:p>
        </w:tc>
        <w:tc>
          <w:tcPr>
            <w:tcW w:w="548" w:type="dxa"/>
            <w:tcBorders>
              <w:top w:val="single" w:sz="4" w:space="0" w:color="auto"/>
              <w:left w:val="nil"/>
              <w:bottom w:val="single" w:sz="4" w:space="0" w:color="auto"/>
              <w:right w:val="single" w:sz="4" w:space="0" w:color="auto"/>
            </w:tcBorders>
            <w:shd w:val="clear" w:color="auto" w:fill="auto"/>
            <w:noWrap/>
            <w:vAlign w:val="center"/>
          </w:tcPr>
          <w:p w14:paraId="12DE4156" w14:textId="57C45526" w:rsidR="006A6DEA" w:rsidRPr="001E74C4" w:rsidRDefault="006A6DEA" w:rsidP="00521A68">
            <w:pPr>
              <w:jc w:val="center"/>
              <w:rPr>
                <w:rFonts w:asciiTheme="minorHAnsi" w:hAnsiTheme="minorHAnsi"/>
                <w:color w:val="000000"/>
                <w:sz w:val="20"/>
              </w:rPr>
            </w:pPr>
            <w:r w:rsidRPr="00957D06">
              <w:rPr>
                <w:rFonts w:cs="Calibri"/>
                <w:color w:val="000000"/>
                <w:sz w:val="20"/>
                <w:szCs w:val="20"/>
              </w:rPr>
              <w:t>67</w:t>
            </w:r>
          </w:p>
        </w:tc>
        <w:tc>
          <w:tcPr>
            <w:tcW w:w="628" w:type="dxa"/>
            <w:tcBorders>
              <w:top w:val="single" w:sz="4" w:space="0" w:color="auto"/>
              <w:left w:val="nil"/>
              <w:bottom w:val="single" w:sz="4" w:space="0" w:color="auto"/>
              <w:right w:val="single" w:sz="4" w:space="0" w:color="auto"/>
            </w:tcBorders>
            <w:vAlign w:val="center"/>
          </w:tcPr>
          <w:p w14:paraId="737D3178" w14:textId="22037B2F" w:rsidR="006A6DEA" w:rsidRPr="001E74C4" w:rsidRDefault="006A6DEA" w:rsidP="00521A68">
            <w:pPr>
              <w:jc w:val="center"/>
              <w:rPr>
                <w:rFonts w:asciiTheme="minorHAnsi" w:hAnsiTheme="minorHAnsi"/>
                <w:color w:val="000000"/>
                <w:sz w:val="20"/>
              </w:rPr>
            </w:pPr>
            <w:r w:rsidRPr="00957D06">
              <w:rPr>
                <w:rFonts w:cs="Calibri"/>
                <w:color w:val="000000"/>
                <w:sz w:val="20"/>
                <w:szCs w:val="20"/>
              </w:rPr>
              <w:t>61</w:t>
            </w:r>
          </w:p>
        </w:tc>
        <w:tc>
          <w:tcPr>
            <w:tcW w:w="7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DFAF66" w14:textId="6B31EA36" w:rsidR="006A6DEA" w:rsidRPr="001E74C4" w:rsidRDefault="006A6DEA" w:rsidP="00521A68">
            <w:pPr>
              <w:jc w:val="center"/>
              <w:rPr>
                <w:rFonts w:asciiTheme="minorHAnsi" w:hAnsiTheme="minorHAnsi"/>
                <w:color w:val="000000"/>
                <w:sz w:val="20"/>
              </w:rPr>
            </w:pPr>
            <w:r w:rsidRPr="00957D06">
              <w:rPr>
                <w:rFonts w:cs="Calibri"/>
                <w:color w:val="000000"/>
                <w:sz w:val="20"/>
                <w:szCs w:val="20"/>
              </w:rPr>
              <w:t>33</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345897A0" w14:textId="7A996E85" w:rsidR="006A6DEA" w:rsidRPr="001E74C4" w:rsidRDefault="006A6DEA" w:rsidP="00521A68">
            <w:pPr>
              <w:jc w:val="center"/>
              <w:rPr>
                <w:rFonts w:asciiTheme="minorHAnsi" w:hAnsiTheme="minorHAnsi"/>
                <w:color w:val="000000"/>
                <w:sz w:val="20"/>
              </w:rPr>
            </w:pPr>
            <w:r w:rsidRPr="00957D06">
              <w:rPr>
                <w:rFonts w:cs="Calibri"/>
                <w:color w:val="000000"/>
                <w:sz w:val="20"/>
                <w:szCs w:val="20"/>
              </w:rPr>
              <w:t>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5BD981C" w14:textId="74F30A3B" w:rsidR="006A6DEA" w:rsidRPr="001E74C4" w:rsidRDefault="006A6DEA" w:rsidP="00521A68">
            <w:pPr>
              <w:jc w:val="center"/>
              <w:rPr>
                <w:rFonts w:asciiTheme="minorHAnsi" w:hAnsiTheme="minorHAnsi"/>
                <w:color w:val="000000"/>
                <w:sz w:val="20"/>
              </w:rPr>
            </w:pPr>
            <w:r w:rsidRPr="00957D06">
              <w:rPr>
                <w:rFonts w:cs="Calibri"/>
                <w:color w:val="000000"/>
                <w:sz w:val="20"/>
                <w:szCs w:val="20"/>
              </w:rPr>
              <w:t>88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58152DA" w14:textId="2ADC79F0" w:rsidR="006A6DEA" w:rsidRPr="001E74C4" w:rsidRDefault="006A6DEA" w:rsidP="00521A68">
            <w:pPr>
              <w:jc w:val="center"/>
              <w:rPr>
                <w:rFonts w:asciiTheme="minorHAnsi" w:hAnsiTheme="minorHAnsi"/>
                <w:color w:val="000000"/>
                <w:sz w:val="20"/>
              </w:rPr>
            </w:pPr>
            <w:r w:rsidRPr="00957D06">
              <w:rPr>
                <w:rFonts w:cs="Calibri"/>
                <w:color w:val="000000"/>
                <w:sz w:val="20"/>
                <w:szCs w:val="20"/>
              </w:rPr>
              <w:t>2</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14:paraId="1D541F28" w14:textId="673EB371" w:rsidR="006A6DEA" w:rsidRPr="001E74C4" w:rsidRDefault="006A6DEA" w:rsidP="00521A68">
            <w:pPr>
              <w:jc w:val="center"/>
              <w:rPr>
                <w:rFonts w:asciiTheme="minorHAnsi" w:hAnsiTheme="minorHAnsi"/>
                <w:color w:val="000000"/>
                <w:sz w:val="20"/>
              </w:rPr>
            </w:pPr>
            <w:r w:rsidRPr="00957D06">
              <w:rPr>
                <w:rFonts w:cs="Calibri"/>
                <w:color w:val="000000"/>
                <w:sz w:val="20"/>
                <w:szCs w:val="20"/>
              </w:rPr>
              <w:t>94</w:t>
            </w:r>
          </w:p>
        </w:tc>
      </w:tr>
      <w:tr w:rsidR="007F1ED0" w:rsidRPr="001E74C4" w14:paraId="301BDF55"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tcPr>
          <w:p w14:paraId="1B809D36" w14:textId="77777777" w:rsidR="007F1ED0" w:rsidRPr="001E74C4" w:rsidRDefault="007F1ED0" w:rsidP="00840CCD">
            <w:pPr>
              <w:spacing w:before="0" w:after="0"/>
              <w:rPr>
                <w:rFonts w:asciiTheme="minorHAnsi" w:hAnsiTheme="minorHAnsi"/>
                <w:b/>
                <w:i/>
                <w:color w:val="000000"/>
                <w:sz w:val="16"/>
              </w:rPr>
            </w:pPr>
            <w:bookmarkStart w:id="133" w:name="_Hlk67268590"/>
            <w:r w:rsidRPr="001E74C4">
              <w:rPr>
                <w:rFonts w:asciiTheme="minorHAnsi" w:hAnsiTheme="minorHAnsi"/>
                <w:b/>
                <w:i/>
                <w:color w:val="000000"/>
                <w:sz w:val="16"/>
              </w:rPr>
              <w:t>*Wskazane wartości oznaczają liczbę jcwp ze zidentyfikowanym danym rodzajem presji znaczącej. Presje znaczące występować mogą łącznie w jcwp.</w:t>
            </w:r>
          </w:p>
        </w:tc>
      </w:tr>
      <w:tr w:rsidR="007F1ED0" w:rsidRPr="001E74C4" w14:paraId="62EA1E7B"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7A6DD750" w14:textId="77777777"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BIO_HM</w:t>
            </w:r>
            <w:r w:rsidRPr="001E74C4">
              <w:rPr>
                <w:rFonts w:asciiTheme="minorHAnsi" w:hAnsiTheme="minorHAnsi"/>
                <w:i/>
                <w:color w:val="000000"/>
                <w:sz w:val="16"/>
              </w:rPr>
              <w:t xml:space="preserve"> - presja na elementy biologiczne zależne od hydromorfologii</w:t>
            </w:r>
          </w:p>
        </w:tc>
      </w:tr>
      <w:tr w:rsidR="007F1ED0" w:rsidRPr="001E74C4" w14:paraId="460BA98A"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0321E2EF" w14:textId="77777777"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BIO_FIZ</w:t>
            </w:r>
            <w:r w:rsidRPr="001E74C4">
              <w:rPr>
                <w:rFonts w:asciiTheme="minorHAnsi" w:hAnsiTheme="minorHAnsi"/>
                <w:i/>
                <w:color w:val="000000"/>
                <w:sz w:val="16"/>
              </w:rPr>
              <w:t xml:space="preserve"> - presja na elementy biologiczne zależne od fizykochemii</w:t>
            </w:r>
          </w:p>
        </w:tc>
      </w:tr>
      <w:tr w:rsidR="007F1ED0" w:rsidRPr="001E74C4" w14:paraId="4FB3F1D1"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tcPr>
          <w:p w14:paraId="2287D2EF" w14:textId="77777777" w:rsidR="007F1ED0" w:rsidRPr="001E74C4" w:rsidRDefault="007F1ED0" w:rsidP="00840CCD">
            <w:pPr>
              <w:spacing w:before="0" w:after="0"/>
              <w:rPr>
                <w:rFonts w:asciiTheme="minorHAnsi" w:hAnsiTheme="minorHAnsi"/>
                <w:b/>
                <w:i/>
                <w:color w:val="000000"/>
                <w:sz w:val="16"/>
              </w:rPr>
            </w:pPr>
            <w:r w:rsidRPr="001E74C4">
              <w:rPr>
                <w:rFonts w:asciiTheme="minorHAnsi" w:hAnsiTheme="minorHAnsi"/>
                <w:b/>
                <w:i/>
                <w:color w:val="000000"/>
                <w:sz w:val="16"/>
              </w:rPr>
              <w:t xml:space="preserve">FIZ </w:t>
            </w:r>
            <w:r>
              <w:rPr>
                <w:rFonts w:asciiTheme="minorHAnsi" w:hAnsiTheme="minorHAnsi"/>
                <w:i/>
                <w:color w:val="000000"/>
                <w:sz w:val="16"/>
              </w:rPr>
              <w:t>-</w:t>
            </w:r>
            <w:r w:rsidRPr="001E74C4">
              <w:rPr>
                <w:rFonts w:asciiTheme="minorHAnsi" w:hAnsiTheme="minorHAnsi"/>
                <w:i/>
                <w:color w:val="000000"/>
                <w:sz w:val="16"/>
              </w:rPr>
              <w:t xml:space="preserve"> presja na elementy fizykochemiczne</w:t>
            </w:r>
          </w:p>
        </w:tc>
      </w:tr>
      <w:tr w:rsidR="007F1ED0" w:rsidRPr="001E74C4" w14:paraId="1E9FEB38"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44237081" w14:textId="7D18C225"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CHEM</w:t>
            </w:r>
            <w:r w:rsidRPr="001E74C4">
              <w:rPr>
                <w:rFonts w:asciiTheme="minorHAnsi" w:hAnsiTheme="minorHAnsi"/>
                <w:i/>
                <w:color w:val="000000"/>
                <w:sz w:val="16"/>
              </w:rPr>
              <w:t xml:space="preserve"> - presja na cechy chemiczne</w:t>
            </w:r>
            <w:r>
              <w:rPr>
                <w:rFonts w:asciiTheme="minorHAnsi" w:hAnsiTheme="minorHAnsi"/>
                <w:i/>
                <w:color w:val="000000"/>
                <w:sz w:val="16"/>
              </w:rPr>
              <w:t xml:space="preserve"> (woda, substancje dozwolone</w:t>
            </w:r>
          </w:p>
        </w:tc>
      </w:tr>
      <w:tr w:rsidR="007F1ED0" w:rsidRPr="001E74C4" w14:paraId="7A6D86F9"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05005FF2" w14:textId="1486DA2D"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CHEM_B</w:t>
            </w:r>
            <w:r w:rsidRPr="001E74C4">
              <w:rPr>
                <w:rFonts w:asciiTheme="minorHAnsi" w:hAnsiTheme="minorHAnsi"/>
                <w:i/>
                <w:color w:val="000000"/>
                <w:sz w:val="16"/>
              </w:rPr>
              <w:t xml:space="preserve"> - presja na cechy chemiczne (biota</w:t>
            </w:r>
            <w:r>
              <w:rPr>
                <w:rFonts w:asciiTheme="minorHAnsi" w:hAnsiTheme="minorHAnsi"/>
                <w:i/>
                <w:color w:val="000000"/>
                <w:sz w:val="16"/>
              </w:rPr>
              <w:t>, substancje dozwolone</w:t>
            </w:r>
            <w:r w:rsidRPr="001E74C4">
              <w:rPr>
                <w:rFonts w:asciiTheme="minorHAnsi" w:hAnsiTheme="minorHAnsi"/>
                <w:i/>
                <w:color w:val="000000"/>
                <w:sz w:val="16"/>
              </w:rPr>
              <w:t>)</w:t>
            </w:r>
          </w:p>
        </w:tc>
      </w:tr>
      <w:tr w:rsidR="007F1ED0" w:rsidRPr="001E74C4" w14:paraId="7C75215B"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6BF6F72B" w14:textId="7C4AAAAC"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CHEM_SZ</w:t>
            </w:r>
            <w:r w:rsidRPr="001E74C4">
              <w:rPr>
                <w:rFonts w:asciiTheme="minorHAnsi" w:hAnsiTheme="minorHAnsi"/>
                <w:i/>
                <w:color w:val="000000"/>
                <w:sz w:val="16"/>
              </w:rPr>
              <w:t xml:space="preserve"> - presja na cechy chemiczne (substancje zakazane</w:t>
            </w:r>
            <w:r>
              <w:rPr>
                <w:rFonts w:asciiTheme="minorHAnsi" w:hAnsiTheme="minorHAnsi"/>
                <w:i/>
                <w:color w:val="000000"/>
                <w:sz w:val="16"/>
              </w:rPr>
              <w:t>, biota i woda</w:t>
            </w:r>
            <w:r w:rsidRPr="001E74C4">
              <w:rPr>
                <w:rFonts w:asciiTheme="minorHAnsi" w:hAnsiTheme="minorHAnsi"/>
                <w:i/>
                <w:color w:val="000000"/>
                <w:sz w:val="16"/>
              </w:rPr>
              <w:t>)</w:t>
            </w:r>
          </w:p>
        </w:tc>
      </w:tr>
      <w:tr w:rsidR="007F1ED0" w:rsidRPr="001E74C4" w14:paraId="0958B85B"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3849FC16" w14:textId="13A32D36"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OCH</w:t>
            </w:r>
            <w:r w:rsidRPr="001E74C4">
              <w:rPr>
                <w:rFonts w:asciiTheme="minorHAnsi" w:hAnsiTheme="minorHAnsi"/>
                <w:i/>
                <w:color w:val="000000"/>
                <w:sz w:val="16"/>
              </w:rPr>
              <w:t xml:space="preserve"> - presja na obszary chronione w rozumieniu</w:t>
            </w:r>
            <w:r>
              <w:rPr>
                <w:rFonts w:asciiTheme="minorHAnsi" w:hAnsiTheme="minorHAnsi"/>
                <w:i/>
                <w:color w:val="000000"/>
                <w:sz w:val="16"/>
              </w:rPr>
              <w:t xml:space="preserve"> ustawy</w:t>
            </w:r>
            <w:r w:rsidRPr="001E74C4">
              <w:rPr>
                <w:rFonts w:asciiTheme="minorHAnsi" w:hAnsiTheme="minorHAnsi"/>
                <w:i/>
                <w:color w:val="000000"/>
                <w:sz w:val="16"/>
              </w:rPr>
              <w:t xml:space="preserve"> pr.w.</w:t>
            </w:r>
          </w:p>
        </w:tc>
      </w:tr>
      <w:tr w:rsidR="007F1ED0" w:rsidRPr="001E74C4" w14:paraId="7D555E66"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789B6A99" w14:textId="77777777" w:rsidR="007F1ED0" w:rsidRPr="001E74C4" w:rsidRDefault="007F1ED0" w:rsidP="00840CCD">
            <w:pPr>
              <w:spacing w:before="0" w:after="0"/>
              <w:rPr>
                <w:rFonts w:asciiTheme="minorHAnsi" w:hAnsiTheme="minorHAnsi"/>
                <w:i/>
                <w:color w:val="000000"/>
                <w:sz w:val="16"/>
              </w:rPr>
            </w:pPr>
            <w:r w:rsidRPr="001E74C4">
              <w:rPr>
                <w:rFonts w:asciiTheme="minorHAnsi" w:hAnsiTheme="minorHAnsi"/>
                <w:b/>
                <w:i/>
                <w:color w:val="000000"/>
                <w:sz w:val="16"/>
              </w:rPr>
              <w:t>IL</w:t>
            </w:r>
            <w:r w:rsidRPr="001E74C4">
              <w:rPr>
                <w:rFonts w:asciiTheme="minorHAnsi" w:hAnsiTheme="minorHAnsi"/>
                <w:i/>
                <w:color w:val="000000"/>
                <w:sz w:val="16"/>
              </w:rPr>
              <w:t xml:space="preserve"> - presja ilościowa na zasoby wodne</w:t>
            </w:r>
          </w:p>
        </w:tc>
      </w:tr>
      <w:tr w:rsidR="007F1ED0" w:rsidRPr="00F13DBB" w14:paraId="07F90D40" w14:textId="77777777" w:rsidTr="003F4A95">
        <w:trPr>
          <w:gridAfter w:val="1"/>
          <w:wAfter w:w="109" w:type="dxa"/>
          <w:trHeight w:val="288"/>
        </w:trPr>
        <w:tc>
          <w:tcPr>
            <w:tcW w:w="8931" w:type="dxa"/>
            <w:gridSpan w:val="11"/>
            <w:tcBorders>
              <w:top w:val="nil"/>
              <w:left w:val="nil"/>
              <w:bottom w:val="nil"/>
              <w:right w:val="nil"/>
            </w:tcBorders>
            <w:shd w:val="clear" w:color="auto" w:fill="auto"/>
            <w:noWrap/>
            <w:vAlign w:val="center"/>
            <w:hideMark/>
          </w:tcPr>
          <w:p w14:paraId="359AA001" w14:textId="77777777" w:rsidR="007F1ED0" w:rsidRPr="00F13DBB" w:rsidRDefault="007F1ED0" w:rsidP="00840CCD">
            <w:pPr>
              <w:spacing w:before="0" w:after="0"/>
              <w:rPr>
                <w:rFonts w:asciiTheme="minorHAnsi" w:hAnsiTheme="minorHAnsi"/>
                <w:i/>
                <w:iCs/>
                <w:color w:val="000000"/>
                <w:sz w:val="16"/>
                <w:szCs w:val="16"/>
              </w:rPr>
            </w:pPr>
            <w:r w:rsidRPr="001E74C4">
              <w:rPr>
                <w:rFonts w:asciiTheme="minorHAnsi" w:hAnsiTheme="minorHAnsi"/>
                <w:b/>
                <w:i/>
                <w:color w:val="000000"/>
                <w:sz w:val="16"/>
              </w:rPr>
              <w:t>jcwp zagrożone</w:t>
            </w:r>
            <w:r w:rsidRPr="001E74C4">
              <w:rPr>
                <w:rFonts w:asciiTheme="minorHAnsi" w:hAnsiTheme="minorHAnsi"/>
                <w:i/>
                <w:color w:val="000000"/>
                <w:sz w:val="16"/>
              </w:rPr>
              <w:t xml:space="preserve"> - jcwp zagrożone nieosiągnięciem celów środowiskowych</w:t>
            </w:r>
          </w:p>
        </w:tc>
      </w:tr>
    </w:tbl>
    <w:bookmarkEnd w:id="133"/>
    <w:p w14:paraId="787DFD47" w14:textId="209513FE" w:rsidR="002E24BC"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w:t>
      </w:r>
      <w:r>
        <w:t>-</w:t>
      </w:r>
      <w:r w:rsidRPr="00E94950">
        <w:t xml:space="preserve"> aktualizacja</w:t>
      </w:r>
    </w:p>
    <w:p w14:paraId="5F2B88A3" w14:textId="37069732" w:rsidR="007F1ED0" w:rsidRDefault="007F1ED0" w:rsidP="007F1ED0">
      <w:pPr>
        <w:rPr>
          <w:rFonts w:asciiTheme="minorHAnsi" w:hAnsiTheme="minorHAnsi"/>
        </w:rPr>
      </w:pPr>
      <w:r w:rsidRPr="00EF3FD3">
        <w:rPr>
          <w:rFonts w:asciiTheme="minorHAnsi" w:hAnsiTheme="minorHAnsi"/>
        </w:rPr>
        <w:t xml:space="preserve">Uzyskane wyniki wskazują, iż spośród wszystkich jcwp RW największa liczba jcwp poddana jest presji na elementy fizykochemiczne (67%), oraz presji na cechy chemiczne </w:t>
      </w:r>
      <w:r w:rsidR="006C4947">
        <w:rPr>
          <w:rFonts w:asciiTheme="minorHAnsi" w:hAnsiTheme="minorHAnsi"/>
        </w:rPr>
        <w:t>-</w:t>
      </w:r>
      <w:r w:rsidRPr="00EF3FD3">
        <w:rPr>
          <w:rFonts w:asciiTheme="minorHAnsi" w:hAnsiTheme="minorHAnsi"/>
        </w:rPr>
        <w:t xml:space="preserve"> woda i substancje dozwolone (61%). Presja w zakresie obszarów chronionych dotyczy 88% jcwp RW na obszarze dorzecza Pregoły (wykres 7-1).</w:t>
      </w:r>
    </w:p>
    <w:p w14:paraId="57E2295A" w14:textId="77777777" w:rsidR="00EF3FD3" w:rsidRDefault="007F1ED0" w:rsidP="00EF3FD3">
      <w:pPr>
        <w:pStyle w:val="Wykres"/>
        <w:ind w:left="0" w:firstLine="0"/>
      </w:pPr>
      <w:r>
        <w:rPr>
          <w:noProof/>
        </w:rPr>
        <w:drawing>
          <wp:inline distT="0" distB="0" distL="0" distR="0" wp14:anchorId="49AE2D10" wp14:editId="39AFB72E">
            <wp:extent cx="5760720" cy="3060700"/>
            <wp:effectExtent l="0" t="0" r="11430" b="6350"/>
            <wp:docPr id="25" name="Chart 25">
              <a:extLst xmlns:a="http://schemas.openxmlformats.org/drawingml/2006/main">
                <a:ext uri="{FF2B5EF4-FFF2-40B4-BE49-F238E27FC236}">
                  <a16:creationId xmlns:a16="http://schemas.microsoft.com/office/drawing/2014/main" id="{077B1038-95E8-47F5-A9A9-2415BA7905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134" w:name="_Toc66311427"/>
    </w:p>
    <w:p w14:paraId="3CBC4EDC" w14:textId="1DF0E0A1" w:rsidR="00EF3FD3" w:rsidRDefault="00EF3FD3" w:rsidP="00EF3FD3">
      <w:pPr>
        <w:pStyle w:val="Legenda"/>
      </w:pPr>
      <w:bookmarkStart w:id="135" w:name="_Toc68727094"/>
      <w:r>
        <w:t xml:space="preserve">Wykres </w:t>
      </w:r>
      <w:fldSimple w:instr=" STYLEREF 1 \s ">
        <w:r>
          <w:rPr>
            <w:noProof/>
          </w:rPr>
          <w:t>7</w:t>
        </w:r>
      </w:fldSimple>
      <w:r>
        <w:noBreakHyphen/>
      </w:r>
      <w:fldSimple w:instr=" SEQ Wykres \* ARABIC \s 1 ">
        <w:r>
          <w:rPr>
            <w:noProof/>
          </w:rPr>
          <w:t>1</w:t>
        </w:r>
      </w:fldSimple>
      <w:r>
        <w:tab/>
      </w:r>
      <w:r w:rsidRPr="003B0814">
        <w:t>Udział liczby jcwp RW ze zidentyfikowaną daną presją znaczącą w ogólnej liczbie jcwp RW</w:t>
      </w:r>
      <w:r>
        <w:t xml:space="preserve"> na </w:t>
      </w:r>
      <w:r w:rsidRPr="003B0814">
        <w:t>obszar</w:t>
      </w:r>
      <w:r>
        <w:t>ze</w:t>
      </w:r>
      <w:r w:rsidRPr="003B0814">
        <w:t xml:space="preserve"> dorzecza Pregoły</w:t>
      </w:r>
      <w:bookmarkEnd w:id="135"/>
    </w:p>
    <w:bookmarkEnd w:id="134"/>
    <w:p w14:paraId="3CECD5D1" w14:textId="017C2F65" w:rsidR="002E24BC" w:rsidRPr="00E94950"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 aktualizacja</w:t>
      </w:r>
    </w:p>
    <w:p w14:paraId="64D3863E" w14:textId="00A9B5B5" w:rsidR="006A6DEA" w:rsidRDefault="006A6DEA" w:rsidP="002E24BC">
      <w:pPr>
        <w:rPr>
          <w:rFonts w:asciiTheme="minorHAnsi" w:hAnsiTheme="minorHAnsi"/>
        </w:rPr>
      </w:pPr>
      <w:r w:rsidRPr="00685CD8">
        <w:rPr>
          <w:rFonts w:asciiTheme="minorHAnsi" w:hAnsiTheme="minorHAnsi"/>
        </w:rPr>
        <w:t xml:space="preserve">Podczas oceny presji </w:t>
      </w:r>
      <w:r w:rsidRPr="09A07C3E">
        <w:rPr>
          <w:rFonts w:asciiTheme="minorHAnsi" w:hAnsiTheme="minorHAnsi"/>
        </w:rPr>
        <w:t xml:space="preserve">na elementy biologiczne </w:t>
      </w:r>
      <w:r w:rsidRPr="00685CD8">
        <w:rPr>
          <w:rFonts w:asciiTheme="minorHAnsi" w:hAnsiTheme="minorHAnsi"/>
        </w:rPr>
        <w:t>zależn</w:t>
      </w:r>
      <w:r>
        <w:rPr>
          <w:rFonts w:asciiTheme="minorHAnsi" w:hAnsiTheme="minorHAnsi"/>
        </w:rPr>
        <w:t xml:space="preserve">e </w:t>
      </w:r>
      <w:r w:rsidRPr="00685CD8">
        <w:rPr>
          <w:rFonts w:asciiTheme="minorHAnsi" w:hAnsiTheme="minorHAnsi"/>
        </w:rPr>
        <w:t>od fizykochemii presję znaczącą umiarkowaną lub silną wskazano w 19 jcwp (najniższa ocena z monitoringu dla wskaźników IFPL, IO i MIR w danej jcwp była poniżej klasy II). W przypadku elementów zależnych od hydromorfologii były to 29 jcwp (najniższa ocena z monitoringu dla wskaźników MMI</w:t>
      </w:r>
      <w:r w:rsidR="00421110">
        <w:rPr>
          <w:rFonts w:asciiTheme="minorHAnsi" w:hAnsiTheme="minorHAnsi"/>
        </w:rPr>
        <w:t>_</w:t>
      </w:r>
      <w:r w:rsidRPr="00685CD8">
        <w:rPr>
          <w:rFonts w:asciiTheme="minorHAnsi" w:hAnsiTheme="minorHAnsi"/>
        </w:rPr>
        <w:t xml:space="preserve">PL i EFI+PL/IBI_PL w danej jcwp była poniżej klasy II, a w przypadku braku monitoringu najniższa ocena według oceny hydromorfologicznej wskazywała na presję znaczącą umiarkowaną, silną lub bardzo silną). W 19 jcwp wskazano jednocześnie presję znaczącą umiarkowaną lub silną na elementy biologiczne zależne zarówno od hydromorfologii, jak i od </w:t>
      </w:r>
      <w:r w:rsidRPr="006A6DEA">
        <w:rPr>
          <w:rFonts w:asciiTheme="minorHAnsi" w:hAnsiTheme="minorHAnsi"/>
        </w:rPr>
        <w:t xml:space="preserve">trofii </w:t>
      </w:r>
      <w:r w:rsidR="002E24BC" w:rsidRPr="006A6DEA">
        <w:rPr>
          <w:rFonts w:asciiTheme="minorHAnsi" w:hAnsiTheme="minorHAnsi"/>
        </w:rPr>
        <w:t>(tabela 7-2).</w:t>
      </w:r>
      <w:r w:rsidR="002E24BC" w:rsidRPr="09A07C3E">
        <w:rPr>
          <w:rFonts w:asciiTheme="minorHAnsi" w:hAnsiTheme="minorHAnsi"/>
        </w:rPr>
        <w:t xml:space="preserve"> </w:t>
      </w:r>
    </w:p>
    <w:p w14:paraId="21D1F821" w14:textId="72B87B1B" w:rsidR="002E24BC" w:rsidRPr="00E94950" w:rsidRDefault="002E24BC" w:rsidP="006802BB">
      <w:pPr>
        <w:pStyle w:val="Tabela"/>
        <w:rPr>
          <w:bCs/>
          <w:i/>
        </w:rPr>
      </w:pPr>
      <w:bookmarkStart w:id="136" w:name="_Toc66311271"/>
      <w:bookmarkStart w:id="137" w:name="_Toc68726984"/>
      <w:r w:rsidRPr="00E94950">
        <w:rPr>
          <w:bCs/>
        </w:rPr>
        <w:t xml:space="preserve">Tabela </w:t>
      </w:r>
      <w:r w:rsidR="007B4050">
        <w:rPr>
          <w:bCs/>
        </w:rPr>
        <w:fldChar w:fldCharType="begin"/>
      </w:r>
      <w:r w:rsidR="007B4050">
        <w:rPr>
          <w:bCs/>
        </w:rPr>
        <w:instrText xml:space="preserve"> STYLEREF 1 \s </w:instrText>
      </w:r>
      <w:r w:rsidR="007B4050">
        <w:rPr>
          <w:bCs/>
        </w:rPr>
        <w:fldChar w:fldCharType="separate"/>
      </w:r>
      <w:r w:rsidR="007B4050">
        <w:rPr>
          <w:bCs/>
          <w:noProof/>
        </w:rPr>
        <w:t>7</w:t>
      </w:r>
      <w:r w:rsidR="007B4050">
        <w:rPr>
          <w:bCs/>
        </w:rPr>
        <w:fldChar w:fldCharType="end"/>
      </w:r>
      <w:r w:rsidR="007B4050">
        <w:rPr>
          <w:bCs/>
        </w:rPr>
        <w:noBreakHyphen/>
      </w:r>
      <w:r w:rsidR="007B4050">
        <w:rPr>
          <w:bCs/>
        </w:rPr>
        <w:fldChar w:fldCharType="begin"/>
      </w:r>
      <w:r w:rsidR="007B4050">
        <w:rPr>
          <w:bCs/>
        </w:rPr>
        <w:instrText xml:space="preserve"> SEQ Tabela \* ARABIC \s 1 </w:instrText>
      </w:r>
      <w:r w:rsidR="007B4050">
        <w:rPr>
          <w:bCs/>
        </w:rPr>
        <w:fldChar w:fldCharType="separate"/>
      </w:r>
      <w:r w:rsidR="007B4050">
        <w:rPr>
          <w:bCs/>
          <w:noProof/>
        </w:rPr>
        <w:t>2</w:t>
      </w:r>
      <w:r w:rsidR="007B4050">
        <w:rPr>
          <w:bCs/>
        </w:rPr>
        <w:fldChar w:fldCharType="end"/>
      </w:r>
      <w:r>
        <w:rPr>
          <w:bCs/>
        </w:rPr>
        <w:tab/>
      </w:r>
      <w:r w:rsidRPr="00F61A2A">
        <w:t>Liczba jcwp</w:t>
      </w:r>
      <w:r>
        <w:t xml:space="preserve"> RW</w:t>
      </w:r>
      <w:r w:rsidRPr="00F61A2A">
        <w:t>, dla których wskazano presję znaczącą umiarkowaną lub silną na elementy biologiczne, w obszar</w:t>
      </w:r>
      <w:r w:rsidR="00D74793">
        <w:t>ze</w:t>
      </w:r>
      <w:r w:rsidRPr="00F61A2A">
        <w:t xml:space="preserve"> dorzecza </w:t>
      </w:r>
      <w:bookmarkEnd w:id="136"/>
      <w:r w:rsidR="00C66D17">
        <w:t>Pregoły</w:t>
      </w:r>
      <w:bookmarkEnd w:id="137"/>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6"/>
        <w:gridCol w:w="1984"/>
        <w:gridCol w:w="1701"/>
        <w:gridCol w:w="1985"/>
      </w:tblGrid>
      <w:tr w:rsidR="002E24BC" w:rsidRPr="002F5E05" w14:paraId="64A1B9F2" w14:textId="77777777" w:rsidTr="00840CCD">
        <w:trPr>
          <w:trHeight w:val="1603"/>
          <w:tblHeader/>
        </w:trPr>
        <w:tc>
          <w:tcPr>
            <w:tcW w:w="3256" w:type="dxa"/>
            <w:shd w:val="clear" w:color="000000" w:fill="BFBFBF"/>
            <w:noWrap/>
            <w:vAlign w:val="center"/>
            <w:hideMark/>
          </w:tcPr>
          <w:p w14:paraId="0F28CA48" w14:textId="77777777" w:rsidR="002E24BC" w:rsidRPr="00643373" w:rsidRDefault="002E24BC" w:rsidP="00840CCD">
            <w:pPr>
              <w:jc w:val="center"/>
              <w:rPr>
                <w:b/>
                <w:sz w:val="20"/>
              </w:rPr>
            </w:pPr>
            <w:r w:rsidRPr="00643373">
              <w:rPr>
                <w:b/>
                <w:sz w:val="20"/>
              </w:rPr>
              <w:t>Region wodny</w:t>
            </w:r>
          </w:p>
        </w:tc>
        <w:tc>
          <w:tcPr>
            <w:tcW w:w="1984" w:type="dxa"/>
            <w:shd w:val="clear" w:color="000000" w:fill="BFBFBF"/>
            <w:vAlign w:val="center"/>
            <w:hideMark/>
          </w:tcPr>
          <w:p w14:paraId="2AE4D9CA" w14:textId="77777777" w:rsidR="002E24BC" w:rsidRPr="00643373" w:rsidRDefault="002E24BC" w:rsidP="00840CCD">
            <w:pPr>
              <w:jc w:val="center"/>
              <w:rPr>
                <w:b/>
                <w:sz w:val="20"/>
              </w:rPr>
            </w:pPr>
            <w:r w:rsidRPr="00643373">
              <w:rPr>
                <w:b/>
                <w:sz w:val="20"/>
              </w:rPr>
              <w:t>Presja znacząca umiarkowana lub silna na elementy biologiczne zależne od hydromorfologii</w:t>
            </w:r>
          </w:p>
        </w:tc>
        <w:tc>
          <w:tcPr>
            <w:tcW w:w="1701" w:type="dxa"/>
            <w:shd w:val="clear" w:color="000000" w:fill="BFBFBF"/>
            <w:vAlign w:val="center"/>
            <w:hideMark/>
          </w:tcPr>
          <w:p w14:paraId="2883E59D" w14:textId="77777777" w:rsidR="002E24BC" w:rsidRPr="00643373" w:rsidRDefault="002E24BC" w:rsidP="00840CCD">
            <w:pPr>
              <w:jc w:val="center"/>
              <w:rPr>
                <w:b/>
                <w:sz w:val="20"/>
              </w:rPr>
            </w:pPr>
            <w:r w:rsidRPr="00643373">
              <w:rPr>
                <w:b/>
                <w:sz w:val="20"/>
              </w:rPr>
              <w:t>Presja znacząca umiarkowana lub silna na elementy biologiczne zależne od trofii</w:t>
            </w:r>
          </w:p>
        </w:tc>
        <w:tc>
          <w:tcPr>
            <w:tcW w:w="1985" w:type="dxa"/>
            <w:shd w:val="clear" w:color="000000" w:fill="BFBFBF"/>
            <w:vAlign w:val="center"/>
            <w:hideMark/>
          </w:tcPr>
          <w:p w14:paraId="670C7998" w14:textId="77777777" w:rsidR="002E24BC" w:rsidRPr="00643373" w:rsidRDefault="002E24BC" w:rsidP="00840CCD">
            <w:pPr>
              <w:jc w:val="center"/>
              <w:rPr>
                <w:b/>
                <w:sz w:val="20"/>
              </w:rPr>
            </w:pPr>
            <w:r w:rsidRPr="00643373">
              <w:rPr>
                <w:b/>
                <w:sz w:val="20"/>
              </w:rPr>
              <w:t>Presja znacząca umiarkowana lub silna na elementy biologiczne zależne od hydromorfologii i od trofii</w:t>
            </w:r>
          </w:p>
        </w:tc>
      </w:tr>
      <w:tr w:rsidR="006A6DEA" w:rsidRPr="002F5E05" w14:paraId="75B01513" w14:textId="77777777" w:rsidTr="002F51A8">
        <w:trPr>
          <w:trHeight w:val="291"/>
        </w:trPr>
        <w:tc>
          <w:tcPr>
            <w:tcW w:w="3256" w:type="dxa"/>
            <w:shd w:val="clear" w:color="auto" w:fill="auto"/>
            <w:noWrap/>
            <w:hideMark/>
          </w:tcPr>
          <w:p w14:paraId="2B67712D" w14:textId="3C2B52B0" w:rsidR="006A6DEA" w:rsidRPr="002F5E05" w:rsidRDefault="006A6DEA" w:rsidP="006A6DEA">
            <w:pPr>
              <w:rPr>
                <w:color w:val="000000"/>
                <w:sz w:val="20"/>
                <w:szCs w:val="20"/>
              </w:rPr>
            </w:pPr>
            <w:r w:rsidRPr="00DD6C52">
              <w:rPr>
                <w:rFonts w:asciiTheme="minorHAnsi" w:hAnsiTheme="minorHAnsi" w:cstheme="minorHAnsi"/>
                <w:sz w:val="20"/>
                <w:szCs w:val="20"/>
              </w:rPr>
              <w:t>Łyny i Węgorapy</w:t>
            </w:r>
          </w:p>
        </w:tc>
        <w:tc>
          <w:tcPr>
            <w:tcW w:w="1984" w:type="dxa"/>
            <w:shd w:val="clear" w:color="auto" w:fill="auto"/>
            <w:noWrap/>
            <w:hideMark/>
          </w:tcPr>
          <w:p w14:paraId="3A6D9348" w14:textId="3436C667" w:rsidR="006A6DEA" w:rsidRPr="002F5E05" w:rsidRDefault="006A6DEA" w:rsidP="006A6DEA">
            <w:pPr>
              <w:jc w:val="center"/>
              <w:rPr>
                <w:rFonts w:asciiTheme="minorHAnsi" w:hAnsiTheme="minorHAnsi" w:cstheme="minorHAnsi"/>
                <w:color w:val="000000"/>
                <w:sz w:val="20"/>
                <w:szCs w:val="20"/>
              </w:rPr>
            </w:pPr>
            <w:r w:rsidRPr="00DD6C52">
              <w:rPr>
                <w:rFonts w:asciiTheme="minorHAnsi" w:hAnsiTheme="minorHAnsi" w:cstheme="minorHAnsi"/>
                <w:sz w:val="20"/>
                <w:szCs w:val="20"/>
              </w:rPr>
              <w:t>29</w:t>
            </w:r>
          </w:p>
        </w:tc>
        <w:tc>
          <w:tcPr>
            <w:tcW w:w="1701" w:type="dxa"/>
            <w:shd w:val="clear" w:color="auto" w:fill="auto"/>
            <w:noWrap/>
            <w:hideMark/>
          </w:tcPr>
          <w:p w14:paraId="18B7F305" w14:textId="4FDB96BA" w:rsidR="006A6DEA" w:rsidRPr="002F5E05" w:rsidRDefault="006A6DEA" w:rsidP="006A6DEA">
            <w:pPr>
              <w:jc w:val="center"/>
              <w:rPr>
                <w:rFonts w:asciiTheme="minorHAnsi" w:hAnsiTheme="minorHAnsi" w:cstheme="minorHAnsi"/>
                <w:color w:val="000000"/>
                <w:sz w:val="20"/>
                <w:szCs w:val="20"/>
              </w:rPr>
            </w:pPr>
            <w:r w:rsidRPr="00DD6C52">
              <w:rPr>
                <w:rFonts w:asciiTheme="minorHAnsi" w:hAnsiTheme="minorHAnsi" w:cstheme="minorHAnsi"/>
                <w:sz w:val="20"/>
                <w:szCs w:val="20"/>
              </w:rPr>
              <w:t>19</w:t>
            </w:r>
          </w:p>
        </w:tc>
        <w:tc>
          <w:tcPr>
            <w:tcW w:w="1985" w:type="dxa"/>
            <w:shd w:val="clear" w:color="auto" w:fill="auto"/>
            <w:noWrap/>
            <w:hideMark/>
          </w:tcPr>
          <w:p w14:paraId="63F2D3B1" w14:textId="3FBB265C" w:rsidR="006A6DEA" w:rsidRPr="002F5E05" w:rsidRDefault="006A6DEA" w:rsidP="006A6DEA">
            <w:pPr>
              <w:jc w:val="center"/>
              <w:rPr>
                <w:rFonts w:asciiTheme="minorHAnsi" w:hAnsiTheme="minorHAnsi" w:cstheme="minorHAnsi"/>
                <w:color w:val="000000"/>
                <w:sz w:val="20"/>
                <w:szCs w:val="20"/>
              </w:rPr>
            </w:pPr>
            <w:r w:rsidRPr="00DD6C52">
              <w:rPr>
                <w:rFonts w:asciiTheme="minorHAnsi" w:hAnsiTheme="minorHAnsi" w:cstheme="minorHAnsi"/>
                <w:sz w:val="20"/>
                <w:szCs w:val="20"/>
              </w:rPr>
              <w:t>19</w:t>
            </w:r>
          </w:p>
        </w:tc>
      </w:tr>
    </w:tbl>
    <w:p w14:paraId="2405CDFB" w14:textId="2BD4DE2D" w:rsidR="002E24BC" w:rsidRPr="00E94950"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 aktualizacja</w:t>
      </w:r>
    </w:p>
    <w:p w14:paraId="0DBBDCD8" w14:textId="77777777" w:rsidR="002E24BC" w:rsidRPr="00C66D17" w:rsidRDefault="002E24BC" w:rsidP="002E24BC">
      <w:pPr>
        <w:rPr>
          <w:rFonts w:asciiTheme="minorHAnsi" w:hAnsiTheme="minorHAnsi"/>
        </w:rPr>
      </w:pPr>
      <w:r>
        <w:rPr>
          <w:rFonts w:asciiTheme="minorHAnsi" w:hAnsiTheme="minorHAnsi"/>
        </w:rPr>
        <w:t>Najczęstsze ź</w:t>
      </w:r>
      <w:r w:rsidRPr="006041E3">
        <w:rPr>
          <w:rFonts w:asciiTheme="minorHAnsi" w:hAnsiTheme="minorHAnsi"/>
        </w:rPr>
        <w:t xml:space="preserve">ródła presji znaczącej umiarkowanej i silnej na elementy biologiczne zależne od hydromorfologii </w:t>
      </w:r>
      <w:r w:rsidRPr="00C66D17">
        <w:rPr>
          <w:rFonts w:asciiTheme="minorHAnsi" w:hAnsiTheme="minorHAnsi"/>
        </w:rPr>
        <w:t>to (wykres 7-2):</w:t>
      </w:r>
    </w:p>
    <w:p w14:paraId="23005A04" w14:textId="77777777" w:rsidR="006A6DEA" w:rsidRPr="00C66D17" w:rsidRDefault="006A6DEA" w:rsidP="00590617">
      <w:pPr>
        <w:pStyle w:val="Akapitzlist"/>
      </w:pPr>
      <w:r w:rsidRPr="00C66D17">
        <w:t>budowle piętrzące (29 jcwp),</w:t>
      </w:r>
    </w:p>
    <w:p w14:paraId="5F8A0EBD" w14:textId="77777777" w:rsidR="006A6DEA" w:rsidRPr="00C66D17" w:rsidRDefault="006A6DEA" w:rsidP="00590617">
      <w:pPr>
        <w:pStyle w:val="Akapitzlist"/>
      </w:pPr>
      <w:r w:rsidRPr="00C66D17">
        <w:t>prostowanie koryt (19 jcwp),</w:t>
      </w:r>
    </w:p>
    <w:p w14:paraId="4E6446D8" w14:textId="77777777" w:rsidR="006A6DEA" w:rsidRPr="00C66D17" w:rsidRDefault="006A6DEA" w:rsidP="00590617">
      <w:pPr>
        <w:pStyle w:val="Akapitzlist"/>
      </w:pPr>
      <w:r w:rsidRPr="00C66D17">
        <w:t xml:space="preserve">obiekty mostowe (2 jcwp), </w:t>
      </w:r>
    </w:p>
    <w:p w14:paraId="77FEB2AB" w14:textId="77777777" w:rsidR="006A6DEA" w:rsidRPr="00C66D17" w:rsidRDefault="006A6DEA" w:rsidP="00590617">
      <w:pPr>
        <w:pStyle w:val="Akapitzlist"/>
      </w:pPr>
      <w:r w:rsidRPr="00C66D17">
        <w:t>górnictwo (1 jcwp),</w:t>
      </w:r>
    </w:p>
    <w:p w14:paraId="01194109" w14:textId="77777777" w:rsidR="006A6DEA" w:rsidRPr="00C66D17" w:rsidRDefault="006A6DEA" w:rsidP="00590617">
      <w:pPr>
        <w:pStyle w:val="Akapitzlist"/>
      </w:pPr>
      <w:r w:rsidRPr="00C66D17">
        <w:t>wały przeciwpowodziowe (1 jcwp).</w:t>
      </w:r>
    </w:p>
    <w:p w14:paraId="74231B52" w14:textId="77777777" w:rsidR="006A6DEA" w:rsidRPr="00C66D17" w:rsidRDefault="006A6DEA" w:rsidP="006A6DEA">
      <w:pPr>
        <w:rPr>
          <w:rFonts w:asciiTheme="minorHAnsi" w:hAnsiTheme="minorHAnsi"/>
        </w:rPr>
      </w:pPr>
      <w:r w:rsidRPr="00C66D17">
        <w:rPr>
          <w:rFonts w:asciiTheme="minorHAnsi" w:hAnsiTheme="minorHAnsi"/>
        </w:rPr>
        <w:t xml:space="preserve">W przypadku 10 jcwp RW nie zidentyfikowano źródła presji na elementy biologiczne zależne od hydromorfologii. </w:t>
      </w:r>
    </w:p>
    <w:p w14:paraId="43705E0E" w14:textId="741F155D" w:rsidR="002E24BC" w:rsidRPr="006A6DEA" w:rsidRDefault="006A6DEA" w:rsidP="006A6DEA">
      <w:pPr>
        <w:rPr>
          <w:rFonts w:asciiTheme="minorHAnsi" w:hAnsiTheme="minorHAnsi"/>
        </w:rPr>
      </w:pPr>
      <w:r w:rsidRPr="00C66D17">
        <w:rPr>
          <w:rFonts w:asciiTheme="minorHAnsi" w:hAnsiTheme="minorHAnsi"/>
        </w:rPr>
        <w:t>Źródłami presji znaczącej umiarkowanej i silnej na elementy biologiczne zależne od fizykochemii (trofii) były najczęściej</w:t>
      </w:r>
      <w:r w:rsidRPr="00C66D17">
        <w:rPr>
          <w:rFonts w:asciiTheme="minorHAnsi" w:hAnsiTheme="minorHAnsi"/>
          <w:shd w:val="clear" w:color="auto" w:fill="FFFFFF" w:themeFill="background1"/>
        </w:rPr>
        <w:t xml:space="preserve"> </w:t>
      </w:r>
      <w:r w:rsidR="002E24BC" w:rsidRPr="00C66D17">
        <w:rPr>
          <w:rFonts w:asciiTheme="minorHAnsi" w:hAnsiTheme="minorHAnsi"/>
          <w:shd w:val="clear" w:color="auto" w:fill="FFFFFF" w:themeFill="background1"/>
        </w:rPr>
        <w:t>(wykres 7-3</w:t>
      </w:r>
      <w:r w:rsidR="002E24BC" w:rsidRPr="00C66D17">
        <w:rPr>
          <w:rFonts w:asciiTheme="minorHAnsi" w:hAnsiTheme="minorHAnsi"/>
        </w:rPr>
        <w:t>):</w:t>
      </w:r>
    </w:p>
    <w:p w14:paraId="070AAD1E" w14:textId="77777777" w:rsidR="006A6DEA" w:rsidRPr="00590617" w:rsidRDefault="006A6DEA" w:rsidP="00590617">
      <w:pPr>
        <w:pStyle w:val="Akapitzlist"/>
      </w:pPr>
      <w:r w:rsidRPr="00590617">
        <w:t>nawożenie i depozycja (25 jcwp),</w:t>
      </w:r>
    </w:p>
    <w:p w14:paraId="3F9FFDE3" w14:textId="77777777" w:rsidR="006A6DEA" w:rsidRPr="00590617" w:rsidRDefault="006A6DEA" w:rsidP="00590617">
      <w:pPr>
        <w:pStyle w:val="Akapitzlist"/>
      </w:pPr>
      <w:r w:rsidRPr="00590617">
        <w:t>źródła przemysłowe (16 jcwp),</w:t>
      </w:r>
    </w:p>
    <w:p w14:paraId="77DBCAD3" w14:textId="77777777" w:rsidR="006A6DEA" w:rsidRPr="00590617" w:rsidRDefault="006A6DEA" w:rsidP="00590617">
      <w:pPr>
        <w:pStyle w:val="Akapitzlist"/>
      </w:pPr>
      <w:r w:rsidRPr="00590617">
        <w:t>odpływ miejski (wody opadowe) (10 jcwp),</w:t>
      </w:r>
    </w:p>
    <w:p w14:paraId="4600E6EE" w14:textId="77777777" w:rsidR="006A6DEA" w:rsidRPr="00590617" w:rsidRDefault="006A6DEA" w:rsidP="00590617">
      <w:pPr>
        <w:pStyle w:val="Akapitzlist"/>
      </w:pPr>
      <w:r w:rsidRPr="00590617">
        <w:t>źródła bytowe i komunalne (punktowe i rozproszone) (6 jcwp),</w:t>
      </w:r>
    </w:p>
    <w:p w14:paraId="2BA8100E" w14:textId="77777777" w:rsidR="006A6DEA" w:rsidRPr="00590617" w:rsidRDefault="006A6DEA" w:rsidP="00590617">
      <w:pPr>
        <w:pStyle w:val="Akapitzlist"/>
      </w:pPr>
      <w:r w:rsidRPr="00590617">
        <w:t>źródła bytowe i komunalne (punktowe) (13 jcwp),</w:t>
      </w:r>
    </w:p>
    <w:p w14:paraId="697CA986" w14:textId="77777777" w:rsidR="006A6DEA" w:rsidRPr="00590617" w:rsidRDefault="006A6DEA" w:rsidP="00590617">
      <w:pPr>
        <w:pStyle w:val="Akapitzlist"/>
      </w:pPr>
      <w:r w:rsidRPr="00590617">
        <w:t>źródła bytowe i komunalne (rozproszone) (13 jcwp).</w:t>
      </w:r>
    </w:p>
    <w:p w14:paraId="37E85CC0" w14:textId="22C618DB" w:rsidR="002E24BC" w:rsidRPr="001B5CE5" w:rsidRDefault="002E24BC" w:rsidP="002E24BC">
      <w:r w:rsidRPr="006041E3">
        <w:t xml:space="preserve">W przypadku </w:t>
      </w:r>
      <w:r w:rsidR="001E2720">
        <w:t xml:space="preserve">1 jcwp RW z </w:t>
      </w:r>
      <w:r w:rsidR="001E2720">
        <w:rPr>
          <w:rFonts w:asciiTheme="minorHAnsi" w:hAnsiTheme="minorHAnsi"/>
        </w:rPr>
        <w:t xml:space="preserve">presją znaczącą umiarkowaną i silną na elementy biologiczne </w:t>
      </w:r>
      <w:r w:rsidRPr="006041E3">
        <w:t xml:space="preserve">nie zidentyfikowano źródeł presji lub nie posiadano danych o presji. </w:t>
      </w:r>
    </w:p>
    <w:p w14:paraId="683AF722" w14:textId="67B562F2" w:rsidR="002E24BC" w:rsidRDefault="007F1ED0" w:rsidP="007F1ED0">
      <w:pPr>
        <w:spacing w:before="60" w:after="60"/>
        <w:jc w:val="center"/>
      </w:pPr>
      <w:r>
        <w:rPr>
          <w:noProof/>
        </w:rPr>
        <w:drawing>
          <wp:inline distT="0" distB="0" distL="0" distR="0" wp14:anchorId="34A1DAE6" wp14:editId="40577322">
            <wp:extent cx="5753100" cy="3289300"/>
            <wp:effectExtent l="0" t="0" r="0" b="6350"/>
            <wp:docPr id="26" name="Chart 2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927B4D6" w14:textId="349F2E0D" w:rsidR="002E24BC" w:rsidRPr="008473C4" w:rsidRDefault="002E24BC" w:rsidP="006802BB">
      <w:pPr>
        <w:pStyle w:val="Wykres"/>
        <w:rPr>
          <w:i/>
        </w:rPr>
      </w:pPr>
      <w:bookmarkStart w:id="138" w:name="_Toc66311428"/>
      <w:bookmarkStart w:id="139" w:name="_Toc68727095"/>
      <w:r>
        <w:t>W</w:t>
      </w:r>
      <w:r w:rsidRPr="00E94950">
        <w:t xml:space="preserve">ykres </w:t>
      </w:r>
      <w:fldSimple w:instr=" STYLEREF 1 \s ">
        <w:r w:rsidR="00EF3FD3">
          <w:rPr>
            <w:noProof/>
          </w:rPr>
          <w:t>7</w:t>
        </w:r>
      </w:fldSimple>
      <w:r w:rsidR="00EF3FD3">
        <w:noBreakHyphen/>
      </w:r>
      <w:fldSimple w:instr=" SEQ Wykres \* ARABIC \s 1 ">
        <w:r w:rsidR="00EF3FD3">
          <w:rPr>
            <w:noProof/>
          </w:rPr>
          <w:t>2</w:t>
        </w:r>
      </w:fldSimple>
      <w:r>
        <w:tab/>
      </w:r>
      <w:r w:rsidR="007F1ED0">
        <w:t>U</w:t>
      </w:r>
      <w:r w:rsidRPr="003F0CE8">
        <w:t xml:space="preserve">dział liczby jcwp </w:t>
      </w:r>
      <w:r>
        <w:t>o</w:t>
      </w:r>
      <w:r w:rsidRPr="003F0CE8">
        <w:t xml:space="preserve"> zidentyfikowan</w:t>
      </w:r>
      <w:r>
        <w:t>ej</w:t>
      </w:r>
      <w:r w:rsidRPr="003F0CE8">
        <w:t xml:space="preserve"> </w:t>
      </w:r>
      <w:r w:rsidRPr="25E7D9B2">
        <w:t>presji</w:t>
      </w:r>
      <w:r w:rsidRPr="003F0CE8">
        <w:t xml:space="preserve"> znacząc</w:t>
      </w:r>
      <w:r w:rsidR="00AD788C">
        <w:t>ej</w:t>
      </w:r>
      <w:r w:rsidRPr="003F0CE8">
        <w:t xml:space="preserve"> </w:t>
      </w:r>
      <w:r w:rsidRPr="7A439822">
        <w:t>umiarkowan</w:t>
      </w:r>
      <w:r w:rsidR="00AD788C">
        <w:t>ej</w:t>
      </w:r>
      <w:r w:rsidRPr="7A439822">
        <w:t xml:space="preserve"> i siln</w:t>
      </w:r>
      <w:r w:rsidR="00AD788C">
        <w:t>ej</w:t>
      </w:r>
      <w:r w:rsidRPr="7A439822">
        <w:t xml:space="preserve"> </w:t>
      </w:r>
      <w:r>
        <w:t xml:space="preserve">na </w:t>
      </w:r>
      <w:r w:rsidRPr="003F0CE8">
        <w:t>elementy</w:t>
      </w:r>
      <w:r w:rsidRPr="008473C4">
        <w:t xml:space="preserve"> biologiczne zależne od hydromorfologii w region</w:t>
      </w:r>
      <w:r w:rsidR="00AD788C">
        <w:t>ie</w:t>
      </w:r>
      <w:r w:rsidRPr="008473C4">
        <w:t xml:space="preserve"> wodn</w:t>
      </w:r>
      <w:r w:rsidR="00AD788C">
        <w:t>ym Łyny i Węgorapy</w:t>
      </w:r>
      <w:r w:rsidRPr="008473C4">
        <w:t xml:space="preserve"> obszaru dorzecza </w:t>
      </w:r>
      <w:bookmarkEnd w:id="138"/>
      <w:r w:rsidR="002F51A8">
        <w:t>Pregoły</w:t>
      </w:r>
      <w:bookmarkEnd w:id="139"/>
    </w:p>
    <w:p w14:paraId="43513548" w14:textId="2EAD3B9E" w:rsidR="002E24BC"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w:t>
      </w:r>
      <w:r w:rsidR="006C4947">
        <w:t>-</w:t>
      </w:r>
      <w:r w:rsidRPr="00E94950">
        <w:t xml:space="preserve"> aktualizacja</w:t>
      </w:r>
    </w:p>
    <w:p w14:paraId="6F5F794B" w14:textId="49C75C15" w:rsidR="001E2720" w:rsidRDefault="007F1ED0" w:rsidP="001E2720">
      <w:pPr>
        <w:pStyle w:val="rdo0"/>
        <w:jc w:val="center"/>
      </w:pPr>
      <w:r>
        <w:rPr>
          <w:noProof/>
        </w:rPr>
        <w:drawing>
          <wp:inline distT="0" distB="0" distL="0" distR="0" wp14:anchorId="00247F07" wp14:editId="2C2D9CA2">
            <wp:extent cx="5760720" cy="3204210"/>
            <wp:effectExtent l="0" t="0" r="0" b="0"/>
            <wp:docPr id="29" name="Chart 29">
              <a:extLst xmlns:a="http://schemas.openxmlformats.org/drawingml/2006/main">
                <a:ext uri="{FF2B5EF4-FFF2-40B4-BE49-F238E27FC236}">
                  <a16:creationId xmlns:a16="http://schemas.microsoft.com/office/drawing/2014/main" id="{00000000-0008-0000-1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F0CDA3D" w14:textId="0AD39640" w:rsidR="002E24BC" w:rsidRPr="008473C4" w:rsidRDefault="002E24BC" w:rsidP="006802BB">
      <w:pPr>
        <w:pStyle w:val="Wykres"/>
        <w:rPr>
          <w:i/>
        </w:rPr>
      </w:pPr>
      <w:bookmarkStart w:id="140" w:name="_Toc66311429"/>
      <w:bookmarkStart w:id="141" w:name="_Toc68727096"/>
      <w:r>
        <w:t>W</w:t>
      </w:r>
      <w:r w:rsidRPr="00E94950">
        <w:t xml:space="preserve">ykres </w:t>
      </w:r>
      <w:fldSimple w:instr=" STYLEREF 1 \s ">
        <w:r w:rsidR="00EF3FD3">
          <w:rPr>
            <w:noProof/>
          </w:rPr>
          <w:t>7</w:t>
        </w:r>
      </w:fldSimple>
      <w:r w:rsidR="00EF3FD3">
        <w:noBreakHyphen/>
      </w:r>
      <w:fldSimple w:instr=" SEQ Wykres \* ARABIC \s 1 ">
        <w:r w:rsidR="00EF3FD3">
          <w:rPr>
            <w:noProof/>
          </w:rPr>
          <w:t>3</w:t>
        </w:r>
      </w:fldSimple>
      <w:r>
        <w:tab/>
      </w:r>
      <w:r w:rsidR="007F1ED0">
        <w:t>U</w:t>
      </w:r>
      <w:r w:rsidRPr="003F0CE8">
        <w:t xml:space="preserve">dział liczby jcwp ze zidentyfikowaną presją znaczącą </w:t>
      </w:r>
      <w:r w:rsidRPr="66316C05">
        <w:t xml:space="preserve">umiarkowaną i silną </w:t>
      </w:r>
      <w:r>
        <w:t>na</w:t>
      </w:r>
      <w:r w:rsidRPr="008473C4">
        <w:t xml:space="preserve"> elementy biologiczne zależne od </w:t>
      </w:r>
      <w:r>
        <w:t>fizykochemi</w:t>
      </w:r>
      <w:r w:rsidRPr="008473C4">
        <w:t>i</w:t>
      </w:r>
      <w:r>
        <w:t xml:space="preserve"> (trofii)</w:t>
      </w:r>
      <w:r w:rsidRPr="008473C4">
        <w:t xml:space="preserve"> w </w:t>
      </w:r>
      <w:r w:rsidR="00AD788C" w:rsidRPr="008473C4">
        <w:t>region</w:t>
      </w:r>
      <w:r w:rsidR="00AD788C">
        <w:t>ie</w:t>
      </w:r>
      <w:r w:rsidR="00AD788C" w:rsidRPr="008473C4">
        <w:t xml:space="preserve"> wodn</w:t>
      </w:r>
      <w:r w:rsidR="00AD788C">
        <w:t>ym Łyny i Węgorapy</w:t>
      </w:r>
      <w:r w:rsidRPr="008473C4">
        <w:t xml:space="preserve"> obszaru dorzecza </w:t>
      </w:r>
      <w:bookmarkEnd w:id="140"/>
      <w:r w:rsidR="002F51A8">
        <w:t>Pregoły</w:t>
      </w:r>
      <w:bookmarkEnd w:id="141"/>
    </w:p>
    <w:p w14:paraId="3B1D3A57" w14:textId="72C8189A" w:rsidR="002E24BC"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w:t>
      </w:r>
      <w:r>
        <w:t>-</w:t>
      </w:r>
      <w:r w:rsidRPr="00E94950">
        <w:t xml:space="preserve"> aktualizacja</w:t>
      </w:r>
    </w:p>
    <w:p w14:paraId="56601781" w14:textId="0F0F918D" w:rsidR="002E24BC" w:rsidRPr="00CB027D" w:rsidRDefault="002F51A8" w:rsidP="002F51A8">
      <w:pPr>
        <w:spacing w:line="257" w:lineRule="auto"/>
      </w:pPr>
      <w:r w:rsidRPr="00001F32">
        <w:rPr>
          <w:rFonts w:asciiTheme="minorHAnsi" w:hAnsiTheme="minorHAnsi"/>
        </w:rPr>
        <w:t xml:space="preserve">Ogólna ocena ryzyka nieosiągnięcia celów środowiskowych wykazała, że dla elementów biologicznych zależnych od hydromorfologii w ok. 54% jcwp (44 jcwp) </w:t>
      </w:r>
      <w:r w:rsidR="007F1ED0">
        <w:rPr>
          <w:rFonts w:asciiTheme="minorHAnsi" w:hAnsiTheme="minorHAnsi"/>
        </w:rPr>
        <w:t xml:space="preserve">obszaru </w:t>
      </w:r>
      <w:r w:rsidRPr="00001F32">
        <w:rPr>
          <w:rFonts w:asciiTheme="minorHAnsi" w:hAnsiTheme="minorHAnsi"/>
        </w:rPr>
        <w:t xml:space="preserve">dorzecza Pregoły występuje znaczące ryzyko nieosiągnięcia celów środowiskowych (ryzyko znaczące umiarkowane, silne i bardzo silne). Brak ryzyka lub ryzyko nieznaczące wskazano dla ok. 46% </w:t>
      </w:r>
      <w:r w:rsidRPr="008C0B70">
        <w:rPr>
          <w:rFonts w:asciiTheme="minorHAnsi" w:hAnsiTheme="minorHAnsi"/>
        </w:rPr>
        <w:t>jcwp (</w:t>
      </w:r>
      <w:r w:rsidR="002E24BC" w:rsidRPr="008C0B70">
        <w:rPr>
          <w:rFonts w:cs="Calibri"/>
          <w:lang w:val="pl"/>
        </w:rPr>
        <w:t>wykres 7-4</w:t>
      </w:r>
      <w:r w:rsidRPr="008C0B70">
        <w:rPr>
          <w:rFonts w:cs="Calibri"/>
          <w:lang w:val="pl"/>
        </w:rPr>
        <w:t>)</w:t>
      </w:r>
    </w:p>
    <w:p w14:paraId="3F729E4F" w14:textId="243BA86E" w:rsidR="002E24BC" w:rsidRDefault="007F1ED0" w:rsidP="002F51A8">
      <w:pPr>
        <w:keepNext/>
        <w:spacing w:line="257" w:lineRule="auto"/>
        <w:jc w:val="center"/>
      </w:pPr>
      <w:r>
        <w:rPr>
          <w:noProof/>
        </w:rPr>
        <w:drawing>
          <wp:inline distT="0" distB="0" distL="0" distR="0" wp14:anchorId="1FB95051" wp14:editId="3CC5EF74">
            <wp:extent cx="5760720" cy="3072130"/>
            <wp:effectExtent l="0" t="0" r="0" b="0"/>
            <wp:docPr id="228" name="Chart 228">
              <a:extLst xmlns:a="http://schemas.openxmlformats.org/drawingml/2006/main">
                <a:ext uri="{FF2B5EF4-FFF2-40B4-BE49-F238E27FC236}">
                  <a16:creationId xmlns:a16="http://schemas.microsoft.com/office/drawing/2014/main" id="{00000000-0008-0000-2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B300C80" w14:textId="72AA9427" w:rsidR="002E24BC" w:rsidRDefault="002E24BC" w:rsidP="006802BB">
      <w:pPr>
        <w:pStyle w:val="Wykres"/>
      </w:pPr>
      <w:bookmarkStart w:id="142" w:name="_Toc66311430"/>
      <w:bookmarkStart w:id="143" w:name="_Toc68727097"/>
      <w:r>
        <w:t xml:space="preserve">Wykres </w:t>
      </w:r>
      <w:fldSimple w:instr=" STYLEREF 1 \s ">
        <w:r w:rsidR="00EF3FD3">
          <w:rPr>
            <w:noProof/>
          </w:rPr>
          <w:t>7</w:t>
        </w:r>
      </w:fldSimple>
      <w:r w:rsidR="00EF3FD3">
        <w:noBreakHyphen/>
      </w:r>
      <w:fldSimple w:instr=" SEQ Wykres \* ARABIC \s 1 ">
        <w:r w:rsidR="00EF3FD3">
          <w:rPr>
            <w:noProof/>
          </w:rPr>
          <w:t>4</w:t>
        </w:r>
      </w:fldSimple>
      <w:r>
        <w:tab/>
      </w:r>
      <w:r w:rsidRPr="001407A3">
        <w:t xml:space="preserve">Zestawienie oceny ryzyka nieosiągnięcia celów środowiskowych dla elementów biologicznych zależnych od hydromorfologii w </w:t>
      </w:r>
      <w:r w:rsidR="00AD788C" w:rsidRPr="008473C4">
        <w:t>region</w:t>
      </w:r>
      <w:r w:rsidR="00AD788C">
        <w:t>ie</w:t>
      </w:r>
      <w:r w:rsidR="00AD788C" w:rsidRPr="008473C4">
        <w:t xml:space="preserve"> wodn</w:t>
      </w:r>
      <w:r w:rsidR="00AD788C">
        <w:t>ym Łyny i Węgorapy</w:t>
      </w:r>
      <w:r w:rsidR="00AD788C" w:rsidRPr="008473C4">
        <w:t xml:space="preserve"> obszaru</w:t>
      </w:r>
      <w:r w:rsidRPr="001407A3">
        <w:t xml:space="preserve"> dorzecza </w:t>
      </w:r>
      <w:bookmarkEnd w:id="142"/>
      <w:r w:rsidR="002F51A8">
        <w:t>Pregoły</w:t>
      </w:r>
      <w:bookmarkEnd w:id="143"/>
    </w:p>
    <w:p w14:paraId="6D5C4F22" w14:textId="02B65FB4" w:rsidR="002E24BC" w:rsidRDefault="002E24BC" w:rsidP="002E24BC">
      <w:pPr>
        <w:pStyle w:val="rdo0"/>
      </w:pPr>
      <w:r w:rsidRPr="566A615C">
        <w:t xml:space="preserve">Źródło: opracowanie </w:t>
      </w:r>
      <w:r w:rsidR="00B84032">
        <w:t xml:space="preserve">własne </w:t>
      </w:r>
      <w:r w:rsidRPr="566A615C">
        <w:t xml:space="preserve">na podstawie Analizy znaczących oddziaływań </w:t>
      </w:r>
      <w:r>
        <w:t>-</w:t>
      </w:r>
      <w:r w:rsidRPr="566A615C">
        <w:t xml:space="preserve"> jcwp (…) </w:t>
      </w:r>
      <w:r>
        <w:t>-</w:t>
      </w:r>
      <w:r w:rsidRPr="566A615C">
        <w:t xml:space="preserve"> aktualizacja</w:t>
      </w:r>
    </w:p>
    <w:p w14:paraId="11858134" w14:textId="695F5089" w:rsidR="002E24BC" w:rsidRPr="002572E8" w:rsidRDefault="002F51A8" w:rsidP="002E24BC">
      <w:pPr>
        <w:spacing w:line="257" w:lineRule="auto"/>
        <w:rPr>
          <w:rFonts w:cs="Calibri"/>
          <w:lang w:val="pl"/>
        </w:rPr>
      </w:pPr>
      <w:r w:rsidRPr="00066558">
        <w:rPr>
          <w:rFonts w:asciiTheme="minorHAnsi" w:hAnsiTheme="minorHAnsi"/>
        </w:rPr>
        <w:t xml:space="preserve">W przypadku elementów biologicznych zależnych od trofii znaczące ryzyko nieosiągnięcia celów środowiskowych (ryzyko znaczące umiarkowane, silne i bardzo silne) wskazano dla ok. 54% jcwp. W przypadku 30 jcwp ryzyko nie wystąpiło lub było nieznaczące. Dla 8 jcwp nie było możliwości oceny </w:t>
      </w:r>
      <w:r w:rsidRPr="008C0B70">
        <w:rPr>
          <w:rFonts w:asciiTheme="minorHAnsi" w:hAnsiTheme="minorHAnsi"/>
        </w:rPr>
        <w:t>ryzyka (wykres 7-5).</w:t>
      </w:r>
    </w:p>
    <w:p w14:paraId="72088894" w14:textId="6ACFEF26" w:rsidR="002E24BC" w:rsidRDefault="007F1ED0" w:rsidP="002E24BC">
      <w:pPr>
        <w:keepNext/>
        <w:tabs>
          <w:tab w:val="left" w:pos="1134"/>
        </w:tabs>
        <w:spacing w:line="257" w:lineRule="auto"/>
        <w:jc w:val="center"/>
      </w:pPr>
      <w:r>
        <w:rPr>
          <w:noProof/>
        </w:rPr>
        <w:drawing>
          <wp:inline distT="0" distB="0" distL="0" distR="0" wp14:anchorId="46166995" wp14:editId="3FDFE457">
            <wp:extent cx="5394960" cy="2916555"/>
            <wp:effectExtent l="0" t="0" r="0" b="0"/>
            <wp:docPr id="229" name="Chart 229">
              <a:extLst xmlns:a="http://schemas.openxmlformats.org/drawingml/2006/main">
                <a:ext uri="{FF2B5EF4-FFF2-40B4-BE49-F238E27FC236}">
                  <a16:creationId xmlns:a16="http://schemas.microsoft.com/office/drawing/2014/main" id="{00000000-0008-0000-2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C6C809D" w14:textId="430CEAE4" w:rsidR="002E24BC" w:rsidRDefault="002E24BC" w:rsidP="006802BB">
      <w:pPr>
        <w:pStyle w:val="Wykres"/>
      </w:pPr>
      <w:bookmarkStart w:id="144" w:name="_Toc66311431"/>
      <w:bookmarkStart w:id="145" w:name="_Toc68727098"/>
      <w:r>
        <w:t xml:space="preserve">Wykres </w:t>
      </w:r>
      <w:fldSimple w:instr=" STYLEREF 1 \s ">
        <w:r w:rsidR="00EF3FD3">
          <w:rPr>
            <w:noProof/>
          </w:rPr>
          <w:t>7</w:t>
        </w:r>
      </w:fldSimple>
      <w:r w:rsidR="00EF3FD3">
        <w:noBreakHyphen/>
      </w:r>
      <w:fldSimple w:instr=" SEQ Wykres \* ARABIC \s 1 ">
        <w:r w:rsidR="00EF3FD3">
          <w:rPr>
            <w:noProof/>
          </w:rPr>
          <w:t>5</w:t>
        </w:r>
      </w:fldSimple>
      <w:r>
        <w:tab/>
      </w:r>
      <w:r w:rsidRPr="4AFC44CA">
        <w:rPr>
          <w:lang w:val="pl"/>
        </w:rPr>
        <w:t xml:space="preserve">Zestawienie oceny ryzyka nieosiągnięcia celów środowiskowych dla elementów biologicznych zależnych od </w:t>
      </w:r>
      <w:r w:rsidRPr="0CA6F2A0">
        <w:rPr>
          <w:lang w:val="pl"/>
        </w:rPr>
        <w:t>fizykochemii</w:t>
      </w:r>
      <w:r w:rsidRPr="4AFC44CA">
        <w:rPr>
          <w:lang w:val="pl"/>
        </w:rPr>
        <w:t xml:space="preserve"> </w:t>
      </w:r>
      <w:r w:rsidRPr="008473C4">
        <w:t xml:space="preserve">w </w:t>
      </w:r>
      <w:r w:rsidR="00AD788C" w:rsidRPr="008473C4">
        <w:t>region</w:t>
      </w:r>
      <w:r w:rsidR="00AD788C">
        <w:t>ie</w:t>
      </w:r>
      <w:r w:rsidR="00AD788C" w:rsidRPr="008473C4">
        <w:t xml:space="preserve"> wodn</w:t>
      </w:r>
      <w:r w:rsidR="00AD788C">
        <w:t>ym Łyny i Węgorapy</w:t>
      </w:r>
      <w:r w:rsidR="00AD788C" w:rsidRPr="008473C4">
        <w:t xml:space="preserve"> obszaru</w:t>
      </w:r>
      <w:r w:rsidRPr="008473C4">
        <w:t xml:space="preserve"> dorzecza </w:t>
      </w:r>
      <w:bookmarkEnd w:id="144"/>
      <w:r w:rsidR="002F51A8">
        <w:t>Pregoły</w:t>
      </w:r>
      <w:bookmarkEnd w:id="145"/>
    </w:p>
    <w:p w14:paraId="798EE1C5" w14:textId="1EE5A890" w:rsidR="002E24BC" w:rsidRDefault="002E24BC" w:rsidP="002E24BC">
      <w:pPr>
        <w:pStyle w:val="rdo0"/>
      </w:pPr>
      <w:r w:rsidRPr="4AFC44CA">
        <w:t xml:space="preserve">Źródło: opracowanie </w:t>
      </w:r>
      <w:r w:rsidR="00B84032">
        <w:t>własne</w:t>
      </w:r>
      <w:r w:rsidRPr="4AFC44CA">
        <w:t xml:space="preserve"> na podstawie Analizy znaczących oddziaływań </w:t>
      </w:r>
      <w:r>
        <w:t>-</w:t>
      </w:r>
      <w:r w:rsidRPr="4AFC44CA">
        <w:t xml:space="preserve"> jcwp (…) </w:t>
      </w:r>
      <w:r>
        <w:t>-</w:t>
      </w:r>
      <w:r w:rsidRPr="4AFC44CA">
        <w:t xml:space="preserve"> aktualizacja</w:t>
      </w:r>
    </w:p>
    <w:p w14:paraId="76B8BEB5" w14:textId="0E60DA77" w:rsidR="002F51A8" w:rsidRPr="00E07DF9" w:rsidRDefault="002F51A8" w:rsidP="002F51A8">
      <w:pPr>
        <w:spacing w:before="0" w:after="0"/>
        <w:textAlignment w:val="baseline"/>
        <w:rPr>
          <w:rFonts w:ascii="Segoe UI" w:eastAsia="Times New Roman" w:hAnsi="Segoe UI" w:cs="Segoe UI"/>
          <w:sz w:val="18"/>
          <w:szCs w:val="18"/>
          <w:lang w:eastAsia="pl-PL"/>
        </w:rPr>
      </w:pPr>
      <w:r w:rsidRPr="00E07DF9">
        <w:rPr>
          <w:rFonts w:eastAsia="Times New Roman" w:cs="Calibri"/>
          <w:lang w:eastAsia="pl-PL"/>
        </w:rPr>
        <w:t xml:space="preserve">Ocena presji na elementy stanu chemicznego jcwp w </w:t>
      </w:r>
      <w:r w:rsidR="00474ABF">
        <w:rPr>
          <w:rFonts w:eastAsia="Times New Roman" w:cs="Calibri"/>
          <w:lang w:eastAsia="pl-PL"/>
        </w:rPr>
        <w:t xml:space="preserve">obszarze </w:t>
      </w:r>
      <w:r w:rsidRPr="00E07DF9">
        <w:rPr>
          <w:rFonts w:eastAsia="Times New Roman" w:cs="Calibri"/>
          <w:lang w:eastAsia="pl-PL"/>
        </w:rPr>
        <w:t>dorzecz</w:t>
      </w:r>
      <w:r w:rsidR="00474ABF">
        <w:rPr>
          <w:rFonts w:eastAsia="Times New Roman" w:cs="Calibri"/>
          <w:lang w:eastAsia="pl-PL"/>
        </w:rPr>
        <w:t>a</w:t>
      </w:r>
      <w:r w:rsidRPr="00E07DF9">
        <w:rPr>
          <w:rFonts w:eastAsia="Times New Roman" w:cs="Calibri"/>
          <w:lang w:eastAsia="pl-PL"/>
        </w:rPr>
        <w:t xml:space="preserve"> wskazuje na występowanie źródeł substancji zanieczyszczających przedostających się do wód oraz bioty. Ze względu na głównie antropogeniczne pochodzenie substancji stanowiących o stanie chemicznym jcwp, najczęstszym powodem nieosiągania celu środowiskowego jest dopływ zanieczyszczeń pochodzących ze źródeł punktowych i obszarowych. Informacja o skali występowania oraz rodzaju substancji powodujących przekroczenia </w:t>
      </w:r>
      <w:r w:rsidR="00474ABF">
        <w:t>w obszarze dorzecza</w:t>
      </w:r>
      <w:r w:rsidRPr="00E07DF9">
        <w:rPr>
          <w:rFonts w:eastAsia="Times New Roman" w:cs="Calibri"/>
          <w:lang w:eastAsia="pl-PL"/>
        </w:rPr>
        <w:t xml:space="preserve"> została przedstawiona w rozdziale 6 omawiającym opracowany wykaz emisji i stężeń substancji priorytetowych.  </w:t>
      </w:r>
    </w:p>
    <w:p w14:paraId="2879145A" w14:textId="1E8D26C2" w:rsidR="002F51A8" w:rsidRPr="00E07DF9" w:rsidRDefault="002F51A8" w:rsidP="002F51A8">
      <w:pPr>
        <w:spacing w:before="0" w:after="0"/>
        <w:textAlignment w:val="baseline"/>
        <w:rPr>
          <w:rFonts w:ascii="Segoe UI" w:eastAsia="Times New Roman" w:hAnsi="Segoe UI" w:cs="Segoe UI"/>
          <w:sz w:val="18"/>
          <w:szCs w:val="18"/>
          <w:lang w:eastAsia="pl-PL"/>
        </w:rPr>
      </w:pPr>
      <w:r w:rsidRPr="00E07DF9">
        <w:rPr>
          <w:rFonts w:eastAsia="Times New Roman" w:cs="Calibri"/>
          <w:lang w:eastAsia="pl-PL"/>
        </w:rPr>
        <w:t>W pracy </w:t>
      </w:r>
      <w:r w:rsidRPr="00342117">
        <w:rPr>
          <w:rFonts w:eastAsia="Times New Roman" w:cs="Calibri"/>
          <w:i/>
          <w:iCs/>
          <w:lang w:eastAsia="pl-PL"/>
        </w:rPr>
        <w:t xml:space="preserve">Analiza znaczących oddziaływań </w:t>
      </w:r>
      <w:r w:rsidR="006C4947">
        <w:rPr>
          <w:rFonts w:eastAsia="Times New Roman" w:cs="Calibri"/>
          <w:i/>
          <w:iCs/>
          <w:lang w:eastAsia="pl-PL"/>
        </w:rPr>
        <w:t>-</w:t>
      </w:r>
      <w:r w:rsidRPr="00342117">
        <w:rPr>
          <w:rFonts w:eastAsia="Times New Roman" w:cs="Calibri"/>
          <w:i/>
          <w:iCs/>
          <w:lang w:eastAsia="pl-PL"/>
        </w:rPr>
        <w:t> jcwp (…)</w:t>
      </w:r>
      <w:r w:rsidRPr="00E07DF9">
        <w:rPr>
          <w:rFonts w:eastAsia="Times New Roman" w:cs="Calibri"/>
          <w:lang w:eastAsia="pl-PL"/>
        </w:rPr>
        <w:t xml:space="preserve"> zostały wyznaczone prawdopodobne, główne źródła presji powodujące przekroczenie wartości granicznych substancji priorytetowych. Przeprowadzone analizy wykazy, że za obniżenie stanu chemicznego jcwp rzecznych </w:t>
      </w:r>
      <w:r w:rsidR="00474ABF">
        <w:t xml:space="preserve">w obszarze dorzecza </w:t>
      </w:r>
      <w:r w:rsidRPr="00E07DF9">
        <w:rPr>
          <w:rFonts w:eastAsia="Times New Roman" w:cs="Calibri"/>
          <w:lang w:eastAsia="pl-PL"/>
        </w:rPr>
        <w:t>Pregoły odpowiadają substancje zanieczyszczające pochodzące ze źródeł rozproszonych: WWA, związki tributylocyny i ołów. Związane jest to z niekontrolowaną (ze względu na warunki meteorologiczno-hydrologiczne) depozycją i rozproszonym transportem zanieczyszczeń do wód powierzchniowych. Dodatkowo nieosiągnięciu celu środowiskowego w regionie wodnym Łyny i</w:t>
      </w:r>
      <w:r w:rsidR="00AD788C">
        <w:rPr>
          <w:rFonts w:eastAsia="Times New Roman" w:cs="Calibri"/>
          <w:lang w:eastAsia="pl-PL"/>
        </w:rPr>
        <w:t> </w:t>
      </w:r>
      <w:r w:rsidRPr="00E07DF9">
        <w:rPr>
          <w:rFonts w:eastAsia="Times New Roman" w:cs="Calibri"/>
          <w:lang w:eastAsia="pl-PL"/>
        </w:rPr>
        <w:t xml:space="preserve">Węgorapy sprzyja dopływ substancji pochodzących z rolnictwa/leśnictwa </w:t>
      </w:r>
      <w:r w:rsidR="006C4947">
        <w:rPr>
          <w:rFonts w:eastAsia="Times New Roman" w:cs="Calibri"/>
          <w:lang w:eastAsia="pl-PL"/>
        </w:rPr>
        <w:t>-</w:t>
      </w:r>
      <w:r w:rsidRPr="00E07DF9">
        <w:rPr>
          <w:rFonts w:eastAsia="Times New Roman" w:cs="Calibri"/>
          <w:lang w:eastAsia="pl-PL"/>
        </w:rPr>
        <w:t xml:space="preserve"> zarówno tych ciągle stosowanych jak również zakazanych w produkcji i stosowaniu. </w:t>
      </w:r>
    </w:p>
    <w:p w14:paraId="480E7811" w14:textId="77777777" w:rsidR="002F51A8" w:rsidRDefault="002F51A8" w:rsidP="002F51A8">
      <w:pPr>
        <w:textAlignment w:val="baseline"/>
        <w:rPr>
          <w:rFonts w:eastAsia="Times New Roman" w:cs="Calibri"/>
          <w:lang w:eastAsia="pl-PL"/>
        </w:rPr>
      </w:pPr>
      <w:r w:rsidRPr="00E07DF9">
        <w:rPr>
          <w:rFonts w:eastAsia="Times New Roman" w:cs="Calibri"/>
          <w:lang w:eastAsia="pl-PL"/>
        </w:rPr>
        <w:t>Istotnym dla analizy stanu chemicznego jest, iż za złą ocenę odpowiada również przekroczenie wartości dopuszczalnych w biocie. Dotyczy to zarówno takich zanieczyszczeń jak rtęć, bromowane difenyloetery jak również substancji pochodzących z nieznanego źródła jak np. heptachlor i PFOS. W przypadku pochodzenia substancji priorytetowych w organizmach, odmienna jest droga bezpośredniego transportu do matrycy. Substancje zarówno dopływające z innych zlewni, jak i spływające z pobliskich obszarów, ulegają akumulacji w osadzie i materii zawieszonej, gdzie następnie w wyniku procesu bioakumulacji i biomagnifikacji przedostają się do organizmów podlegających badaniom w ramach monitoringu. Stwierdzone przekroczenia wartości granicznych substancji w biocie są efektem nawet kilkuletniego pobierania zanieczyszczeń, pochodzących ze wszystkich dróg migracji. Jednocześnie droga eliminacji substancji z organizmu jest znikoma, co oznacza, że przekroczenia wartości granicznych w biocie, ze względu na substancje priorytetowe, nie stanowią odpowiedzi na aktualny stan tych samych zanieczyszczeń w wodzie.</w:t>
      </w:r>
    </w:p>
    <w:p w14:paraId="6E2106EE" w14:textId="54ADCBE6" w:rsidR="002F51A8" w:rsidRDefault="002F51A8" w:rsidP="002F51A8">
      <w:pPr>
        <w:textAlignment w:val="baseline"/>
        <w:rPr>
          <w:rFonts w:eastAsia="Times New Roman" w:cs="Calibri"/>
          <w:lang w:eastAsia="pl-PL"/>
        </w:rPr>
      </w:pPr>
      <w:r w:rsidRPr="00FF04DC">
        <w:rPr>
          <w:rFonts w:eastAsia="Times New Roman" w:cs="Calibri"/>
          <w:lang w:eastAsia="pl-PL"/>
        </w:rPr>
        <w:t xml:space="preserve">Dominującymi znaczącymi presjami fizykochemicznymi (wskaźnikami) </w:t>
      </w:r>
      <w:r w:rsidR="00474ABF">
        <w:t xml:space="preserve">w obszarze dorzecza </w:t>
      </w:r>
      <w:r w:rsidRPr="00FF04DC">
        <w:rPr>
          <w:rFonts w:eastAsia="Times New Roman" w:cs="Calibri"/>
          <w:lang w:eastAsia="pl-PL"/>
        </w:rPr>
        <w:t>Pregoły</w:t>
      </w:r>
      <w:r w:rsidR="00474ABF">
        <w:rPr>
          <w:rFonts w:eastAsia="Times New Roman" w:cs="Calibri"/>
          <w:lang w:eastAsia="pl-PL"/>
        </w:rPr>
        <w:t xml:space="preserve"> </w:t>
      </w:r>
      <w:r w:rsidRPr="00FF04DC">
        <w:rPr>
          <w:rFonts w:eastAsia="Times New Roman" w:cs="Calibri"/>
          <w:lang w:eastAsia="pl-PL"/>
        </w:rPr>
        <w:t>są azot ogólny i fosfor ogólny, których głównym źródłem presji są obszary rolnicze i depozycja atmosferyczna</w:t>
      </w:r>
      <w:r>
        <w:rPr>
          <w:rFonts w:eastAsia="Times New Roman" w:cs="Calibri"/>
          <w:lang w:eastAsia="pl-PL"/>
        </w:rPr>
        <w:t>.</w:t>
      </w:r>
      <w:r w:rsidRPr="00FF04DC">
        <w:rPr>
          <w:rFonts w:eastAsia="Times New Roman" w:cs="Calibri"/>
          <w:lang w:eastAsia="pl-PL"/>
        </w:rPr>
        <w:t xml:space="preserve"> Dla pozostałych wskaźników fizykochemicznych dominującym źródłem ładunków BZT</w:t>
      </w:r>
      <w:r w:rsidRPr="00CD2F36">
        <w:rPr>
          <w:rFonts w:eastAsia="Times New Roman" w:cs="Calibri"/>
          <w:vertAlign w:val="subscript"/>
          <w:lang w:eastAsia="pl-PL"/>
        </w:rPr>
        <w:t>5</w:t>
      </w:r>
      <w:r w:rsidRPr="00FF04DC">
        <w:rPr>
          <w:rFonts w:eastAsia="Times New Roman" w:cs="Calibri"/>
          <w:lang w:eastAsia="pl-PL"/>
        </w:rPr>
        <w:t>, miedzi i cynku jest odpływ miejski, dla ogólnego węgla organicznego dopływ z innej zlewni jcwp.  </w:t>
      </w:r>
      <w:r>
        <w:rPr>
          <w:rFonts w:eastAsia="Times New Roman" w:cs="Calibri"/>
          <w:lang w:eastAsia="pl-PL"/>
        </w:rPr>
        <w:br/>
        <w:t>poniższy wykres przedstawia udział poszczególnych rodzajów presji w odniesieniu do jcwp RW i LW (wykres 7-6).</w:t>
      </w:r>
    </w:p>
    <w:p w14:paraId="65B0D18D" w14:textId="1A5793AE" w:rsidR="002E24BC" w:rsidRDefault="00D23BDB" w:rsidP="002F51A8">
      <w:pPr>
        <w:jc w:val="center"/>
        <w:rPr>
          <w:rFonts w:asciiTheme="minorHAnsi" w:hAnsiTheme="minorHAnsi"/>
        </w:rPr>
      </w:pPr>
      <w:r>
        <w:rPr>
          <w:noProof/>
        </w:rPr>
        <w:drawing>
          <wp:inline distT="0" distB="0" distL="0" distR="0" wp14:anchorId="2CC93781" wp14:editId="2B6C8FE0">
            <wp:extent cx="5760720" cy="4516755"/>
            <wp:effectExtent l="0" t="0" r="0" b="0"/>
            <wp:docPr id="230" name="Chart 230">
              <a:extLst xmlns:a="http://schemas.openxmlformats.org/drawingml/2006/main">
                <a:ext uri="{FF2B5EF4-FFF2-40B4-BE49-F238E27FC236}">
                  <a16:creationId xmlns:a16="http://schemas.microsoft.com/office/drawing/2014/main" id="{9D996D9A-D6F4-4276-9FB2-5E569CF914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B63FEEA" w14:textId="334F2E0B" w:rsidR="002E24BC" w:rsidRPr="00E94950" w:rsidRDefault="002E24BC" w:rsidP="003F4A95">
      <w:pPr>
        <w:pStyle w:val="Wykres"/>
        <w:rPr>
          <w:i/>
        </w:rPr>
      </w:pPr>
      <w:bookmarkStart w:id="146" w:name="_Toc66311432"/>
      <w:bookmarkStart w:id="147" w:name="_Toc68727099"/>
      <w:r w:rsidRPr="7984EA19">
        <w:t xml:space="preserve">Wykres </w:t>
      </w:r>
      <w:fldSimple w:instr=" STYLEREF 1 \s ">
        <w:r w:rsidR="00EF3FD3">
          <w:rPr>
            <w:noProof/>
          </w:rPr>
          <w:t>7</w:t>
        </w:r>
      </w:fldSimple>
      <w:r w:rsidR="00EF3FD3">
        <w:noBreakHyphen/>
      </w:r>
      <w:fldSimple w:instr=" SEQ Wykres \* ARABIC \s 1 ">
        <w:r w:rsidR="00EF3FD3">
          <w:rPr>
            <w:noProof/>
          </w:rPr>
          <w:t>6</w:t>
        </w:r>
      </w:fldSimple>
      <w:r>
        <w:tab/>
      </w:r>
      <w:r w:rsidRPr="00CF3D4F">
        <w:t xml:space="preserve">Dominujące źródła presji na wskaźniki fizykochemiczne </w:t>
      </w:r>
      <w:r>
        <w:t>jcwp RW na</w:t>
      </w:r>
      <w:r w:rsidRPr="7984EA19">
        <w:t xml:space="preserve"> obszar</w:t>
      </w:r>
      <w:r>
        <w:t>ze</w:t>
      </w:r>
      <w:r w:rsidRPr="7984EA19">
        <w:t xml:space="preserve"> dorzecza </w:t>
      </w:r>
      <w:r w:rsidR="002F51A8">
        <w:t>Pregoły</w:t>
      </w:r>
      <w:bookmarkEnd w:id="146"/>
      <w:bookmarkEnd w:id="147"/>
    </w:p>
    <w:p w14:paraId="5637380A" w14:textId="34169F3D" w:rsidR="002E24BC" w:rsidRPr="00E94950" w:rsidRDefault="002E24BC" w:rsidP="002E24BC">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 aktualizacja</w:t>
      </w:r>
    </w:p>
    <w:p w14:paraId="4F88D1C1" w14:textId="6BD64A01" w:rsidR="002E24BC" w:rsidRDefault="002F51A8" w:rsidP="002E24BC">
      <w:pPr>
        <w:rPr>
          <w:rFonts w:asciiTheme="minorHAnsi" w:hAnsiTheme="minorHAnsi"/>
        </w:rPr>
      </w:pPr>
      <w:r w:rsidRPr="7984EA19">
        <w:rPr>
          <w:rFonts w:asciiTheme="minorHAnsi" w:hAnsiTheme="minorHAnsi"/>
        </w:rPr>
        <w:t xml:space="preserve">Przeprowadzona ocena ryzyka nieosiągnięcia celów pozwoliła na wskazanie jcwp RW zagrożonych nieosiągnięciem celów środowiskowych. W obszarze dorzecza </w:t>
      </w:r>
      <w:r w:rsidR="00C66D17">
        <w:rPr>
          <w:rFonts w:asciiTheme="minorHAnsi" w:hAnsiTheme="minorHAnsi"/>
        </w:rPr>
        <w:t>Pregoły</w:t>
      </w:r>
      <w:r w:rsidRPr="7984EA19">
        <w:rPr>
          <w:rFonts w:asciiTheme="minorHAnsi" w:hAnsiTheme="minorHAnsi"/>
        </w:rPr>
        <w:t xml:space="preserve"> w poszczególnych regionach wodnych co najmniej 9</w:t>
      </w:r>
      <w:r>
        <w:rPr>
          <w:rFonts w:asciiTheme="minorHAnsi" w:hAnsiTheme="minorHAnsi"/>
        </w:rPr>
        <w:t>4</w:t>
      </w:r>
      <w:r w:rsidRPr="7984EA19">
        <w:rPr>
          <w:rFonts w:asciiTheme="minorHAnsi" w:hAnsiTheme="minorHAnsi"/>
        </w:rPr>
        <w:t xml:space="preserve"> % jcwp jest zagrożonych nieosiągnięciem celów środowiskowych</w:t>
      </w:r>
      <w:r w:rsidR="002E24BC" w:rsidRPr="7984EA19">
        <w:rPr>
          <w:rFonts w:asciiTheme="minorHAnsi" w:hAnsiTheme="minorHAnsi"/>
        </w:rPr>
        <w:t xml:space="preserve">. </w:t>
      </w:r>
    </w:p>
    <w:p w14:paraId="47EAFED3" w14:textId="3F604DAC" w:rsidR="002E24BC" w:rsidRPr="00E94950" w:rsidRDefault="002E24BC" w:rsidP="006802BB">
      <w:pPr>
        <w:pStyle w:val="Legenda"/>
        <w:rPr>
          <w:i/>
        </w:rPr>
      </w:pPr>
      <w:bookmarkStart w:id="148" w:name="_Toc66311272"/>
      <w:bookmarkStart w:id="149" w:name="_Toc68726985"/>
      <w:r w:rsidRPr="00E94950">
        <w:t xml:space="preserve">Tabela </w:t>
      </w:r>
      <w:fldSimple w:instr=" STYLEREF 1 \s ">
        <w:r w:rsidR="007B4050">
          <w:rPr>
            <w:noProof/>
          </w:rPr>
          <w:t>7</w:t>
        </w:r>
      </w:fldSimple>
      <w:r w:rsidR="007B4050">
        <w:noBreakHyphen/>
      </w:r>
      <w:fldSimple w:instr=" SEQ Tabela \* ARABIC \s 1 ">
        <w:r w:rsidR="007B4050">
          <w:rPr>
            <w:noProof/>
          </w:rPr>
          <w:t>3</w:t>
        </w:r>
      </w:fldSimple>
      <w:r>
        <w:tab/>
      </w:r>
      <w:r w:rsidR="00E07FFC">
        <w:t xml:space="preserve">Liczba </w:t>
      </w:r>
      <w:r w:rsidRPr="00ED5D03">
        <w:t xml:space="preserve">jcwp RW zagrożonych nieosiągnięciem celów środowiskowych </w:t>
      </w:r>
      <w:r w:rsidR="00E07FFC">
        <w:t>na obszarze</w:t>
      </w:r>
      <w:r w:rsidRPr="00ED5D03">
        <w:t xml:space="preserve"> dorzecza</w:t>
      </w:r>
      <w:r w:rsidRPr="00F61A2A">
        <w:t xml:space="preserve"> </w:t>
      </w:r>
      <w:bookmarkEnd w:id="148"/>
      <w:r w:rsidR="00DD0299">
        <w:t>Pregoły</w:t>
      </w:r>
      <w:bookmarkEnd w:id="149"/>
    </w:p>
    <w:tbl>
      <w:tblPr>
        <w:tblW w:w="6941" w:type="dxa"/>
        <w:jc w:val="center"/>
        <w:tblCellMar>
          <w:left w:w="70" w:type="dxa"/>
          <w:right w:w="70" w:type="dxa"/>
        </w:tblCellMar>
        <w:tblLook w:val="04A0" w:firstRow="1" w:lastRow="0" w:firstColumn="1" w:lastColumn="0" w:noHBand="0" w:noVBand="1"/>
      </w:tblPr>
      <w:tblGrid>
        <w:gridCol w:w="2678"/>
        <w:gridCol w:w="2137"/>
        <w:gridCol w:w="2126"/>
      </w:tblGrid>
      <w:tr w:rsidR="002E24BC" w:rsidRPr="00ED5D03" w14:paraId="5AFFEC2C" w14:textId="77777777" w:rsidTr="00DD0299">
        <w:trPr>
          <w:trHeight w:val="504"/>
          <w:jc w:val="center"/>
        </w:trPr>
        <w:tc>
          <w:tcPr>
            <w:tcW w:w="2678" w:type="dxa"/>
            <w:tcBorders>
              <w:top w:val="single" w:sz="4" w:space="0" w:color="auto"/>
              <w:left w:val="single" w:sz="4" w:space="0" w:color="auto"/>
              <w:bottom w:val="single" w:sz="4" w:space="0" w:color="auto"/>
              <w:right w:val="single" w:sz="4" w:space="0" w:color="auto"/>
            </w:tcBorders>
            <w:shd w:val="clear" w:color="DDEBF7" w:fill="BFBFBF"/>
            <w:vAlign w:val="center"/>
            <w:hideMark/>
          </w:tcPr>
          <w:p w14:paraId="1D3EC17E" w14:textId="77777777" w:rsidR="002E24BC" w:rsidRPr="00ED5D03" w:rsidRDefault="002E24BC" w:rsidP="00840CCD">
            <w:pPr>
              <w:jc w:val="center"/>
              <w:rPr>
                <w:b/>
                <w:bCs/>
                <w:color w:val="000000"/>
                <w:sz w:val="20"/>
                <w:szCs w:val="20"/>
              </w:rPr>
            </w:pPr>
            <w:r w:rsidRPr="00ED5D03">
              <w:rPr>
                <w:b/>
                <w:bCs/>
                <w:color w:val="000000"/>
                <w:sz w:val="20"/>
                <w:szCs w:val="20"/>
              </w:rPr>
              <w:t>Region wodny</w:t>
            </w:r>
          </w:p>
        </w:tc>
        <w:tc>
          <w:tcPr>
            <w:tcW w:w="2137" w:type="dxa"/>
            <w:tcBorders>
              <w:top w:val="single" w:sz="4" w:space="0" w:color="auto"/>
              <w:left w:val="nil"/>
              <w:bottom w:val="single" w:sz="4" w:space="0" w:color="auto"/>
              <w:right w:val="single" w:sz="4" w:space="0" w:color="auto"/>
            </w:tcBorders>
            <w:shd w:val="clear" w:color="DDEBF7" w:fill="BFBFBF"/>
            <w:vAlign w:val="center"/>
            <w:hideMark/>
          </w:tcPr>
          <w:p w14:paraId="0B91B447" w14:textId="77777777" w:rsidR="002E24BC" w:rsidRPr="00ED5D03" w:rsidRDefault="002E24BC" w:rsidP="00840CCD">
            <w:pPr>
              <w:jc w:val="center"/>
              <w:rPr>
                <w:b/>
                <w:bCs/>
                <w:color w:val="000000"/>
                <w:sz w:val="20"/>
                <w:szCs w:val="20"/>
              </w:rPr>
            </w:pPr>
            <w:r w:rsidRPr="00ED5D03">
              <w:rPr>
                <w:b/>
                <w:bCs/>
                <w:color w:val="000000"/>
                <w:sz w:val="20"/>
                <w:szCs w:val="20"/>
              </w:rPr>
              <w:t>Liczba jcwp niezagrożonych</w:t>
            </w:r>
            <w:r>
              <w:rPr>
                <w:b/>
                <w:bCs/>
                <w:color w:val="000000"/>
                <w:sz w:val="20"/>
                <w:szCs w:val="20"/>
              </w:rPr>
              <w:t xml:space="preserve"> nieosiągnięciem celów środowiskowych</w:t>
            </w:r>
          </w:p>
        </w:tc>
        <w:tc>
          <w:tcPr>
            <w:tcW w:w="2126" w:type="dxa"/>
            <w:tcBorders>
              <w:top w:val="single" w:sz="4" w:space="0" w:color="auto"/>
              <w:left w:val="nil"/>
              <w:bottom w:val="single" w:sz="4" w:space="0" w:color="auto"/>
              <w:right w:val="single" w:sz="4" w:space="0" w:color="auto"/>
            </w:tcBorders>
            <w:shd w:val="clear" w:color="DDEBF7" w:fill="BFBFBF"/>
            <w:vAlign w:val="center"/>
            <w:hideMark/>
          </w:tcPr>
          <w:p w14:paraId="6FBDAF6D" w14:textId="77777777" w:rsidR="002E24BC" w:rsidRPr="00ED5D03" w:rsidRDefault="002E24BC" w:rsidP="00840CCD">
            <w:pPr>
              <w:jc w:val="center"/>
              <w:rPr>
                <w:b/>
                <w:bCs/>
                <w:color w:val="000000"/>
                <w:sz w:val="20"/>
                <w:szCs w:val="20"/>
              </w:rPr>
            </w:pPr>
            <w:r w:rsidRPr="00ED5D03">
              <w:rPr>
                <w:b/>
                <w:bCs/>
                <w:color w:val="000000"/>
                <w:sz w:val="20"/>
                <w:szCs w:val="20"/>
              </w:rPr>
              <w:t>Liczba jcwp zagrożonych</w:t>
            </w:r>
            <w:r>
              <w:rPr>
                <w:b/>
                <w:bCs/>
                <w:color w:val="000000"/>
                <w:sz w:val="20"/>
                <w:szCs w:val="20"/>
              </w:rPr>
              <w:t xml:space="preserve"> nieosiągnięciem celów środowiskowych</w:t>
            </w:r>
          </w:p>
        </w:tc>
      </w:tr>
      <w:tr w:rsidR="00DD0299" w:rsidRPr="00ED5D03" w14:paraId="4451B4AA" w14:textId="77777777" w:rsidTr="00DD0299">
        <w:trPr>
          <w:trHeight w:val="288"/>
          <w:jc w:val="center"/>
        </w:trPr>
        <w:tc>
          <w:tcPr>
            <w:tcW w:w="26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42C54" w14:textId="3B7F62A9" w:rsidR="00DD0299" w:rsidRPr="00ED5D03" w:rsidRDefault="00DD0299" w:rsidP="00DD0299">
            <w:pPr>
              <w:ind w:firstLineChars="100" w:firstLine="220"/>
              <w:rPr>
                <w:color w:val="000000"/>
                <w:sz w:val="20"/>
                <w:szCs w:val="20"/>
              </w:rPr>
            </w:pPr>
            <w:r>
              <w:rPr>
                <w:rFonts w:cs="Calibri"/>
                <w:color w:val="000000"/>
              </w:rPr>
              <w:t>Łyny i Węgorapy</w:t>
            </w:r>
          </w:p>
        </w:tc>
        <w:tc>
          <w:tcPr>
            <w:tcW w:w="2137" w:type="dxa"/>
            <w:tcBorders>
              <w:top w:val="single" w:sz="4" w:space="0" w:color="auto"/>
              <w:left w:val="nil"/>
              <w:bottom w:val="single" w:sz="4" w:space="0" w:color="auto"/>
              <w:right w:val="single" w:sz="4" w:space="0" w:color="auto"/>
            </w:tcBorders>
            <w:shd w:val="clear" w:color="auto" w:fill="auto"/>
            <w:noWrap/>
            <w:vAlign w:val="bottom"/>
            <w:hideMark/>
          </w:tcPr>
          <w:p w14:paraId="4BF54BE9" w14:textId="0253A23B" w:rsidR="00DD0299" w:rsidRPr="00ED5D03" w:rsidRDefault="00DD0299" w:rsidP="00DD0299">
            <w:pPr>
              <w:jc w:val="center"/>
              <w:rPr>
                <w:color w:val="000000"/>
                <w:sz w:val="20"/>
                <w:szCs w:val="20"/>
              </w:rPr>
            </w:pPr>
            <w:r>
              <w:rPr>
                <w:rFonts w:cs="Calibri"/>
                <w:color w:val="000000"/>
              </w:rPr>
              <w:t>5</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1C6E08BB" w14:textId="1741339C" w:rsidR="00DD0299" w:rsidRPr="00ED5D03" w:rsidRDefault="00DD0299" w:rsidP="00DD0299">
            <w:pPr>
              <w:jc w:val="center"/>
              <w:rPr>
                <w:color w:val="000000"/>
                <w:sz w:val="20"/>
                <w:szCs w:val="20"/>
              </w:rPr>
            </w:pPr>
            <w:r>
              <w:rPr>
                <w:rFonts w:cs="Calibri"/>
                <w:color w:val="000000"/>
              </w:rPr>
              <w:t>77</w:t>
            </w:r>
          </w:p>
        </w:tc>
      </w:tr>
    </w:tbl>
    <w:p w14:paraId="4EEB315F" w14:textId="0920F508" w:rsidR="002E24BC" w:rsidRPr="00E94950" w:rsidRDefault="002E24BC" w:rsidP="00B13D49">
      <w:pPr>
        <w:pStyle w:val="rdo0"/>
      </w:pPr>
      <w:r>
        <w:t>Ź</w:t>
      </w:r>
      <w:r w:rsidRPr="00E94950">
        <w:t xml:space="preserve">ródło: opracowanie </w:t>
      </w:r>
      <w:r w:rsidR="00B84032">
        <w:t>własne</w:t>
      </w:r>
      <w:r w:rsidRPr="00E94950">
        <w:t xml:space="preserve"> na </w:t>
      </w:r>
      <w:r w:rsidRPr="00B13D49">
        <w:t>podstawie</w:t>
      </w:r>
      <w:r w:rsidRPr="00E94950">
        <w:t xml:space="preserve"> Analizy znaczących oddziaływań </w:t>
      </w:r>
      <w:r>
        <w:t>-</w:t>
      </w:r>
      <w:r w:rsidRPr="00E94950">
        <w:t xml:space="preserve"> jcwp (…) - aktualizacja</w:t>
      </w:r>
    </w:p>
    <w:p w14:paraId="2D5B5AC0" w14:textId="09DD2AF9" w:rsidR="002E24BC" w:rsidRPr="008804D3" w:rsidRDefault="002E24BC" w:rsidP="002E24BC">
      <w:pPr>
        <w:rPr>
          <w:rFonts w:asciiTheme="minorHAnsi" w:hAnsiTheme="minorHAnsi"/>
        </w:rPr>
      </w:pPr>
      <w:r w:rsidRPr="008804D3">
        <w:rPr>
          <w:rFonts w:asciiTheme="minorHAnsi" w:hAnsiTheme="minorHAnsi"/>
        </w:rPr>
        <w:t xml:space="preserve">Informacja dotycząca </w:t>
      </w:r>
      <w:r>
        <w:rPr>
          <w:rFonts w:asciiTheme="minorHAnsi" w:hAnsiTheme="minorHAnsi"/>
        </w:rPr>
        <w:t xml:space="preserve">presji znaczących oraz </w:t>
      </w:r>
      <w:r w:rsidRPr="008804D3">
        <w:rPr>
          <w:rFonts w:asciiTheme="minorHAnsi" w:hAnsiTheme="minorHAnsi"/>
        </w:rPr>
        <w:t xml:space="preserve">oceny ryzyka nieosiągnięcia celów środowiskowych dla poszczególnych jcwp RW zawarta jest w załączniku nr 1 (Zestawienie główne). Zobrazowanie przestrzenne jcwp RW z </w:t>
      </w:r>
      <w:r w:rsidRPr="00DD0299">
        <w:rPr>
          <w:rFonts w:asciiTheme="minorHAnsi" w:hAnsiTheme="minorHAnsi"/>
        </w:rPr>
        <w:t xml:space="preserve">oceną ryzyka nieosiągnięcia celów środowiskowych stanowi załącznik graficzny nr </w:t>
      </w:r>
      <w:r w:rsidR="00DD0299" w:rsidRPr="00DD0299">
        <w:rPr>
          <w:rFonts w:asciiTheme="minorHAnsi" w:hAnsiTheme="minorHAnsi"/>
        </w:rPr>
        <w:t>18</w:t>
      </w:r>
      <w:r w:rsidRPr="00DD0299">
        <w:rPr>
          <w:rFonts w:asciiTheme="minorHAnsi" w:hAnsiTheme="minorHAnsi"/>
        </w:rPr>
        <w:t>.1.</w:t>
      </w:r>
    </w:p>
    <w:p w14:paraId="70FF6C29" w14:textId="77777777" w:rsidR="002E24BC" w:rsidRPr="00A04658" w:rsidRDefault="002E24BC" w:rsidP="00AA0CAB">
      <w:pPr>
        <w:pStyle w:val="Nagwek5"/>
      </w:pPr>
      <w:r w:rsidRPr="00A04658">
        <w:t>Jcwp LW</w:t>
      </w:r>
    </w:p>
    <w:p w14:paraId="02413DE1" w14:textId="4ACC6137" w:rsidR="00DD0299" w:rsidRDefault="00DD0299" w:rsidP="00DD0299">
      <w:pPr>
        <w:rPr>
          <w:rFonts w:asciiTheme="minorHAnsi" w:hAnsiTheme="minorHAnsi" w:cstheme="minorHAnsi"/>
        </w:rPr>
      </w:pPr>
      <w:r w:rsidRPr="002572A3">
        <w:rPr>
          <w:rFonts w:asciiTheme="minorHAnsi" w:hAnsiTheme="minorHAnsi" w:cstheme="minorHAnsi"/>
        </w:rPr>
        <w:t>P</w:t>
      </w:r>
      <w:r>
        <w:rPr>
          <w:rFonts w:asciiTheme="minorHAnsi" w:hAnsiTheme="minorHAnsi" w:cstheme="minorHAnsi"/>
        </w:rPr>
        <w:t>rzeprowadzone analizy i identyfikacja znaczących oddziaływań antropogenicznych jcwp LW w</w:t>
      </w:r>
      <w:r w:rsidR="00C30EE7">
        <w:rPr>
          <w:rFonts w:asciiTheme="minorHAnsi" w:hAnsiTheme="minorHAnsi" w:cstheme="minorHAnsi"/>
        </w:rPr>
        <w:t> </w:t>
      </w:r>
      <w:r>
        <w:rPr>
          <w:rFonts w:asciiTheme="minorHAnsi" w:hAnsiTheme="minorHAnsi" w:cstheme="minorHAnsi"/>
        </w:rPr>
        <w:t>obszarze dorzecza Pregoły wykazały zagrożenie nieosiągnięci</w:t>
      </w:r>
      <w:r w:rsidRPr="3AFAD0E7">
        <w:rPr>
          <w:rFonts w:asciiTheme="minorHAnsi" w:hAnsiTheme="minorHAnsi" w:cstheme="minorBidi"/>
        </w:rPr>
        <w:t>a</w:t>
      </w:r>
      <w:r>
        <w:rPr>
          <w:rFonts w:asciiTheme="minorHAnsi" w:hAnsiTheme="minorHAnsi" w:cstheme="minorHAnsi"/>
        </w:rPr>
        <w:t xml:space="preserve"> celów środowiskowych </w:t>
      </w:r>
      <w:r w:rsidRPr="00D1242D">
        <w:rPr>
          <w:rFonts w:asciiTheme="minorHAnsi" w:hAnsiTheme="minorHAnsi" w:cstheme="minorHAnsi"/>
        </w:rPr>
        <w:t xml:space="preserve">dla </w:t>
      </w:r>
      <w:r>
        <w:rPr>
          <w:rFonts w:asciiTheme="minorHAnsi" w:hAnsiTheme="minorHAnsi" w:cstheme="minorHAnsi"/>
        </w:rPr>
        <w:t>48% jcwp LW obszaru dorzecza Pregoły. Spośród zidentyfikowanych presji znaczących największa liczba jcwp LW poddana jest presji na</w:t>
      </w:r>
      <w:r w:rsidR="00D23BDB">
        <w:rPr>
          <w:rFonts w:asciiTheme="minorHAnsi" w:hAnsiTheme="minorHAnsi" w:cstheme="minorHAnsi"/>
        </w:rPr>
        <w:t xml:space="preserve"> cechy chemiczne oraz presji na</w:t>
      </w:r>
      <w:r>
        <w:rPr>
          <w:rFonts w:asciiTheme="minorHAnsi" w:hAnsiTheme="minorHAnsi" w:cstheme="minorHAnsi"/>
        </w:rPr>
        <w:t xml:space="preserve"> </w:t>
      </w:r>
      <w:r w:rsidRPr="003A1C45">
        <w:rPr>
          <w:rFonts w:asciiTheme="minorHAnsi" w:hAnsiTheme="minorHAnsi" w:cstheme="minorHAnsi"/>
        </w:rPr>
        <w:t xml:space="preserve">elementy biologiczne zależne od </w:t>
      </w:r>
      <w:r>
        <w:rPr>
          <w:rFonts w:asciiTheme="minorHAnsi" w:hAnsiTheme="minorHAnsi" w:cstheme="minorHAnsi"/>
        </w:rPr>
        <w:t xml:space="preserve">fizykochemii </w:t>
      </w:r>
    </w:p>
    <w:p w14:paraId="258BE7B2" w14:textId="66A84071" w:rsidR="002E24BC" w:rsidRDefault="00DD0299" w:rsidP="00DD0299">
      <w:pPr>
        <w:rPr>
          <w:rFonts w:asciiTheme="minorHAnsi" w:hAnsiTheme="minorHAnsi" w:cstheme="minorHAnsi"/>
        </w:rPr>
      </w:pPr>
      <w:r>
        <w:rPr>
          <w:rFonts w:asciiTheme="minorHAnsi" w:hAnsiTheme="minorHAnsi" w:cstheme="minorHAnsi"/>
        </w:rPr>
        <w:t>Zestawienie liczby jcwp LW ze zidentyfikowanymi poszczególnymi kategoriami presji wraz z</w:t>
      </w:r>
      <w:r w:rsidR="00C30EE7">
        <w:rPr>
          <w:rFonts w:asciiTheme="minorHAnsi" w:hAnsiTheme="minorHAnsi" w:cstheme="minorHAnsi"/>
        </w:rPr>
        <w:t> </w:t>
      </w:r>
      <w:r>
        <w:rPr>
          <w:rFonts w:asciiTheme="minorHAnsi" w:hAnsiTheme="minorHAnsi" w:cstheme="minorHAnsi"/>
        </w:rPr>
        <w:t>określeniem udziału w ogólnej liczbie jcwp LW obszaru dorzecza Pregoły prezentuje poniższa tabela</w:t>
      </w:r>
      <w:r w:rsidR="002E24BC">
        <w:rPr>
          <w:rFonts w:asciiTheme="minorHAnsi" w:hAnsiTheme="minorHAnsi" w:cstheme="minorHAnsi"/>
        </w:rPr>
        <w:t>.</w:t>
      </w:r>
    </w:p>
    <w:p w14:paraId="0344643F" w14:textId="23ACCB30" w:rsidR="002E24BC" w:rsidRPr="00E94950" w:rsidRDefault="002E24BC" w:rsidP="006802BB">
      <w:pPr>
        <w:pStyle w:val="Tabela"/>
        <w:rPr>
          <w:bCs/>
          <w:i/>
        </w:rPr>
      </w:pPr>
      <w:bookmarkStart w:id="150" w:name="_Toc66311274"/>
      <w:bookmarkStart w:id="151" w:name="_Toc68726986"/>
      <w:r w:rsidRPr="00E94950">
        <w:rPr>
          <w:bCs/>
        </w:rPr>
        <w:t xml:space="preserve">Tabela </w:t>
      </w:r>
      <w:r w:rsidR="007B4050">
        <w:rPr>
          <w:bCs/>
        </w:rPr>
        <w:fldChar w:fldCharType="begin"/>
      </w:r>
      <w:r w:rsidR="007B4050">
        <w:rPr>
          <w:bCs/>
        </w:rPr>
        <w:instrText xml:space="preserve"> STYLEREF 1 \s </w:instrText>
      </w:r>
      <w:r w:rsidR="007B4050">
        <w:rPr>
          <w:bCs/>
        </w:rPr>
        <w:fldChar w:fldCharType="separate"/>
      </w:r>
      <w:r w:rsidR="007B4050">
        <w:rPr>
          <w:bCs/>
          <w:noProof/>
        </w:rPr>
        <w:t>7</w:t>
      </w:r>
      <w:r w:rsidR="007B4050">
        <w:rPr>
          <w:bCs/>
        </w:rPr>
        <w:fldChar w:fldCharType="end"/>
      </w:r>
      <w:r w:rsidR="007B4050">
        <w:rPr>
          <w:bCs/>
        </w:rPr>
        <w:noBreakHyphen/>
      </w:r>
      <w:r w:rsidR="007B4050">
        <w:rPr>
          <w:bCs/>
        </w:rPr>
        <w:fldChar w:fldCharType="begin"/>
      </w:r>
      <w:r w:rsidR="007B4050">
        <w:rPr>
          <w:bCs/>
        </w:rPr>
        <w:instrText xml:space="preserve"> SEQ Tabela \* ARABIC \s 1 </w:instrText>
      </w:r>
      <w:r w:rsidR="007B4050">
        <w:rPr>
          <w:bCs/>
        </w:rPr>
        <w:fldChar w:fldCharType="separate"/>
      </w:r>
      <w:r w:rsidR="007B4050">
        <w:rPr>
          <w:bCs/>
          <w:noProof/>
        </w:rPr>
        <w:t>4</w:t>
      </w:r>
      <w:r w:rsidR="007B4050">
        <w:rPr>
          <w:bCs/>
        </w:rPr>
        <w:fldChar w:fldCharType="end"/>
      </w:r>
      <w:r>
        <w:rPr>
          <w:bCs/>
        </w:rPr>
        <w:tab/>
      </w:r>
      <w:bookmarkEnd w:id="150"/>
      <w:r w:rsidR="00DD0299" w:rsidRPr="00DD0299">
        <w:t>Podsumowanie analizy znaczących oddziaływań antropogenicznych wraz z oceną ryzyka nieosiągnięcia celów środowiskowych dla jcwp LW - obszar dorzecza Pregoł</w:t>
      </w:r>
      <w:r w:rsidR="00C30EE7">
        <w:t>y</w:t>
      </w:r>
      <w:bookmarkEnd w:id="151"/>
    </w:p>
    <w:tbl>
      <w:tblPr>
        <w:tblW w:w="9187" w:type="dxa"/>
        <w:tblInd w:w="-5" w:type="dxa"/>
        <w:tblCellMar>
          <w:left w:w="70" w:type="dxa"/>
          <w:right w:w="70" w:type="dxa"/>
        </w:tblCellMar>
        <w:tblLook w:val="04A0" w:firstRow="1" w:lastRow="0" w:firstColumn="1" w:lastColumn="0" w:noHBand="0" w:noVBand="1"/>
      </w:tblPr>
      <w:tblGrid>
        <w:gridCol w:w="920"/>
        <w:gridCol w:w="781"/>
        <w:gridCol w:w="842"/>
        <w:gridCol w:w="280"/>
        <w:gridCol w:w="530"/>
        <w:gridCol w:w="773"/>
        <w:gridCol w:w="773"/>
        <w:gridCol w:w="899"/>
        <w:gridCol w:w="935"/>
        <w:gridCol w:w="1137"/>
        <w:gridCol w:w="1275"/>
        <w:gridCol w:w="115"/>
      </w:tblGrid>
      <w:tr w:rsidR="00C8729D" w:rsidRPr="000A7234" w14:paraId="3C3790F5" w14:textId="77777777" w:rsidTr="009544AF">
        <w:trPr>
          <w:trHeight w:val="361"/>
          <w:tblHeader/>
        </w:trPr>
        <w:tc>
          <w:tcPr>
            <w:tcW w:w="920"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71C66A6C" w14:textId="12E9F2FC" w:rsidR="002E24BC" w:rsidRPr="000A7234" w:rsidRDefault="00AD77D9" w:rsidP="00840CCD">
            <w:pPr>
              <w:jc w:val="center"/>
              <w:rPr>
                <w:rFonts w:asciiTheme="minorHAnsi" w:hAnsiTheme="minorHAnsi"/>
                <w:b/>
                <w:bCs/>
                <w:color w:val="000000"/>
                <w:sz w:val="20"/>
                <w:szCs w:val="20"/>
              </w:rPr>
            </w:pPr>
            <w:r>
              <w:rPr>
                <w:rFonts w:asciiTheme="minorHAnsi" w:hAnsiTheme="minorHAnsi"/>
                <w:b/>
                <w:bCs/>
                <w:color w:val="000000"/>
                <w:sz w:val="20"/>
                <w:szCs w:val="20"/>
              </w:rPr>
              <w:t>Obszar d</w:t>
            </w:r>
            <w:r w:rsidR="002E24BC" w:rsidRPr="000A7234">
              <w:rPr>
                <w:rFonts w:asciiTheme="minorHAnsi" w:hAnsiTheme="minorHAnsi"/>
                <w:b/>
                <w:bCs/>
                <w:color w:val="000000"/>
                <w:sz w:val="20"/>
                <w:szCs w:val="20"/>
              </w:rPr>
              <w:t>orzecz</w:t>
            </w:r>
            <w:r>
              <w:rPr>
                <w:rFonts w:asciiTheme="minorHAnsi" w:hAnsiTheme="minorHAnsi"/>
                <w:b/>
                <w:bCs/>
                <w:color w:val="000000"/>
                <w:sz w:val="20"/>
                <w:szCs w:val="20"/>
              </w:rPr>
              <w:t>a</w:t>
            </w:r>
          </w:p>
        </w:tc>
        <w:tc>
          <w:tcPr>
            <w:tcW w:w="781"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63EDB183" w14:textId="77777777" w:rsidR="002E24BC" w:rsidRPr="000A7234" w:rsidRDefault="002E24BC" w:rsidP="00840CCD">
            <w:pPr>
              <w:jc w:val="center"/>
              <w:rPr>
                <w:rFonts w:asciiTheme="minorHAnsi" w:hAnsiTheme="minorHAnsi"/>
                <w:b/>
                <w:bCs/>
                <w:color w:val="000000"/>
                <w:sz w:val="20"/>
                <w:szCs w:val="20"/>
              </w:rPr>
            </w:pPr>
            <w:r w:rsidRPr="000A7234">
              <w:rPr>
                <w:rFonts w:asciiTheme="minorHAnsi" w:hAnsiTheme="minorHAnsi"/>
                <w:b/>
                <w:bCs/>
                <w:color w:val="000000"/>
                <w:sz w:val="20"/>
                <w:szCs w:val="20"/>
              </w:rPr>
              <w:t>Liczba jcwp LW</w:t>
            </w:r>
          </w:p>
        </w:tc>
        <w:tc>
          <w:tcPr>
            <w:tcW w:w="1049" w:type="dxa"/>
            <w:gridSpan w:val="2"/>
            <w:tcBorders>
              <w:top w:val="single" w:sz="4" w:space="0" w:color="auto"/>
              <w:left w:val="nil"/>
              <w:bottom w:val="single" w:sz="4" w:space="0" w:color="auto"/>
              <w:right w:val="nil"/>
            </w:tcBorders>
            <w:shd w:val="clear" w:color="DDEBF7" w:fill="BFBFBF"/>
          </w:tcPr>
          <w:p w14:paraId="30BFDE4F" w14:textId="77777777" w:rsidR="002E24BC" w:rsidRPr="000A7234" w:rsidRDefault="002E24BC" w:rsidP="00840CCD">
            <w:pPr>
              <w:jc w:val="center"/>
              <w:rPr>
                <w:rFonts w:asciiTheme="minorHAnsi" w:hAnsiTheme="minorHAnsi"/>
                <w:b/>
                <w:bCs/>
                <w:color w:val="000000"/>
                <w:sz w:val="20"/>
                <w:szCs w:val="20"/>
              </w:rPr>
            </w:pPr>
          </w:p>
        </w:tc>
        <w:tc>
          <w:tcPr>
            <w:tcW w:w="5047" w:type="dxa"/>
            <w:gridSpan w:val="6"/>
            <w:tcBorders>
              <w:top w:val="single" w:sz="4" w:space="0" w:color="auto"/>
              <w:left w:val="nil"/>
              <w:bottom w:val="single" w:sz="4" w:space="0" w:color="auto"/>
              <w:right w:val="single" w:sz="4" w:space="0" w:color="auto"/>
            </w:tcBorders>
            <w:shd w:val="clear" w:color="DDEBF7" w:fill="BFBFBF"/>
            <w:noWrap/>
            <w:vAlign w:val="center"/>
            <w:hideMark/>
          </w:tcPr>
          <w:p w14:paraId="4BC04FDF" w14:textId="77777777" w:rsidR="002E24BC" w:rsidRPr="000A7234" w:rsidRDefault="002E24BC" w:rsidP="00840CCD">
            <w:pPr>
              <w:jc w:val="center"/>
              <w:rPr>
                <w:rFonts w:asciiTheme="minorHAnsi" w:hAnsiTheme="minorHAnsi"/>
                <w:b/>
                <w:bCs/>
                <w:color w:val="000000"/>
                <w:sz w:val="20"/>
                <w:szCs w:val="20"/>
              </w:rPr>
            </w:pPr>
            <w:r w:rsidRPr="000A7234">
              <w:rPr>
                <w:rFonts w:asciiTheme="minorHAnsi" w:hAnsiTheme="minorHAnsi"/>
                <w:b/>
                <w:bCs/>
                <w:color w:val="000000"/>
                <w:sz w:val="20"/>
                <w:szCs w:val="20"/>
              </w:rPr>
              <w:t>Liczba jcwp LW ze zidentyfikowaną znaczącą presją*</w:t>
            </w:r>
          </w:p>
        </w:tc>
        <w:tc>
          <w:tcPr>
            <w:tcW w:w="1390" w:type="dxa"/>
            <w:gridSpan w:val="2"/>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2BC4E951" w14:textId="77777777" w:rsidR="002E24BC" w:rsidRPr="000A7234" w:rsidRDefault="002E24BC" w:rsidP="00840CCD">
            <w:pPr>
              <w:jc w:val="center"/>
              <w:rPr>
                <w:rFonts w:asciiTheme="minorHAnsi" w:hAnsiTheme="minorHAnsi"/>
                <w:b/>
                <w:bCs/>
                <w:color w:val="000000"/>
                <w:sz w:val="20"/>
                <w:szCs w:val="20"/>
              </w:rPr>
            </w:pPr>
            <w:r w:rsidRPr="000A7234">
              <w:rPr>
                <w:rFonts w:asciiTheme="minorHAnsi" w:hAnsiTheme="minorHAnsi"/>
                <w:b/>
                <w:bCs/>
                <w:color w:val="000000"/>
                <w:sz w:val="20"/>
                <w:szCs w:val="20"/>
              </w:rPr>
              <w:t>Ocena ryzyka [liczba jcwp zagrożonych]</w:t>
            </w:r>
          </w:p>
        </w:tc>
      </w:tr>
      <w:tr w:rsidR="0017799E" w:rsidRPr="000A7234" w14:paraId="422C35CC" w14:textId="77777777" w:rsidTr="009544AF">
        <w:trPr>
          <w:trHeight w:val="456"/>
          <w:tblHeader/>
        </w:trPr>
        <w:tc>
          <w:tcPr>
            <w:tcW w:w="920" w:type="dxa"/>
            <w:vMerge/>
            <w:tcBorders>
              <w:top w:val="single" w:sz="4" w:space="0" w:color="auto"/>
              <w:left w:val="single" w:sz="4" w:space="0" w:color="auto"/>
              <w:bottom w:val="single" w:sz="4" w:space="0" w:color="auto"/>
              <w:right w:val="single" w:sz="4" w:space="0" w:color="auto"/>
            </w:tcBorders>
            <w:vAlign w:val="center"/>
            <w:hideMark/>
          </w:tcPr>
          <w:p w14:paraId="3AC0DA40" w14:textId="77777777" w:rsidR="002E24BC" w:rsidRPr="000A7234" w:rsidRDefault="002E24BC" w:rsidP="00C30EE7">
            <w:pPr>
              <w:jc w:val="center"/>
              <w:rPr>
                <w:rFonts w:asciiTheme="minorHAnsi" w:hAnsiTheme="minorHAnsi"/>
                <w:b/>
                <w:bCs/>
                <w:color w:val="000000"/>
                <w:sz w:val="20"/>
                <w:szCs w:val="20"/>
              </w:rPr>
            </w:pPr>
          </w:p>
        </w:tc>
        <w:tc>
          <w:tcPr>
            <w:tcW w:w="781" w:type="dxa"/>
            <w:vMerge/>
            <w:tcBorders>
              <w:top w:val="single" w:sz="4" w:space="0" w:color="auto"/>
              <w:left w:val="single" w:sz="4" w:space="0" w:color="auto"/>
              <w:bottom w:val="single" w:sz="4" w:space="0" w:color="auto"/>
              <w:right w:val="single" w:sz="4" w:space="0" w:color="auto"/>
            </w:tcBorders>
            <w:vAlign w:val="center"/>
            <w:hideMark/>
          </w:tcPr>
          <w:p w14:paraId="13819B86" w14:textId="77777777" w:rsidR="002E24BC" w:rsidRPr="000A7234" w:rsidRDefault="002E24BC" w:rsidP="00C30EE7">
            <w:pPr>
              <w:jc w:val="center"/>
              <w:rPr>
                <w:rFonts w:asciiTheme="minorHAnsi" w:hAnsiTheme="minorHAnsi"/>
                <w:b/>
                <w:bCs/>
                <w:color w:val="000000"/>
                <w:sz w:val="20"/>
                <w:szCs w:val="20"/>
              </w:rPr>
            </w:pPr>
          </w:p>
        </w:tc>
        <w:tc>
          <w:tcPr>
            <w:tcW w:w="769" w:type="dxa"/>
            <w:tcBorders>
              <w:top w:val="nil"/>
              <w:left w:val="nil"/>
              <w:bottom w:val="single" w:sz="4" w:space="0" w:color="auto"/>
              <w:right w:val="single" w:sz="4" w:space="0" w:color="auto"/>
            </w:tcBorders>
            <w:shd w:val="clear" w:color="DDEBF7" w:fill="BFBFBF"/>
            <w:noWrap/>
            <w:vAlign w:val="center"/>
            <w:hideMark/>
          </w:tcPr>
          <w:p w14:paraId="6E382816"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BIO_HM</w:t>
            </w:r>
          </w:p>
        </w:tc>
        <w:tc>
          <w:tcPr>
            <w:tcW w:w="810" w:type="dxa"/>
            <w:gridSpan w:val="2"/>
            <w:tcBorders>
              <w:top w:val="nil"/>
              <w:left w:val="nil"/>
              <w:bottom w:val="single" w:sz="4" w:space="0" w:color="auto"/>
              <w:right w:val="single" w:sz="4" w:space="0" w:color="auto"/>
            </w:tcBorders>
            <w:shd w:val="clear" w:color="DDEBF7" w:fill="BFBFBF"/>
            <w:noWrap/>
            <w:vAlign w:val="center"/>
            <w:hideMark/>
          </w:tcPr>
          <w:p w14:paraId="7B66CDF9"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BIO_FIZ</w:t>
            </w:r>
          </w:p>
        </w:tc>
        <w:tc>
          <w:tcPr>
            <w:tcW w:w="773" w:type="dxa"/>
            <w:tcBorders>
              <w:top w:val="single" w:sz="4" w:space="0" w:color="auto"/>
              <w:left w:val="nil"/>
              <w:bottom w:val="single" w:sz="4" w:space="0" w:color="auto"/>
              <w:right w:val="single" w:sz="4" w:space="0" w:color="auto"/>
            </w:tcBorders>
            <w:shd w:val="clear" w:color="DDEBF7" w:fill="BFBFBF"/>
            <w:vAlign w:val="center"/>
          </w:tcPr>
          <w:p w14:paraId="31F8BE92"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FIZ</w:t>
            </w:r>
          </w:p>
        </w:tc>
        <w:tc>
          <w:tcPr>
            <w:tcW w:w="773" w:type="dxa"/>
            <w:tcBorders>
              <w:top w:val="nil"/>
              <w:left w:val="single" w:sz="4" w:space="0" w:color="auto"/>
              <w:bottom w:val="single" w:sz="4" w:space="0" w:color="auto"/>
              <w:right w:val="single" w:sz="4" w:space="0" w:color="auto"/>
            </w:tcBorders>
            <w:shd w:val="clear" w:color="DDEBF7" w:fill="BFBFBF"/>
            <w:noWrap/>
            <w:vAlign w:val="center"/>
            <w:hideMark/>
          </w:tcPr>
          <w:p w14:paraId="2EB3BD48"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CHEM</w:t>
            </w:r>
          </w:p>
        </w:tc>
        <w:tc>
          <w:tcPr>
            <w:tcW w:w="899" w:type="dxa"/>
            <w:tcBorders>
              <w:top w:val="nil"/>
              <w:left w:val="nil"/>
              <w:bottom w:val="single" w:sz="4" w:space="0" w:color="auto"/>
              <w:right w:val="single" w:sz="4" w:space="0" w:color="auto"/>
            </w:tcBorders>
            <w:shd w:val="clear" w:color="DDEBF7" w:fill="BFBFBF"/>
            <w:noWrap/>
            <w:vAlign w:val="center"/>
            <w:hideMark/>
          </w:tcPr>
          <w:p w14:paraId="40714F9E"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CHEM_B</w:t>
            </w:r>
          </w:p>
        </w:tc>
        <w:tc>
          <w:tcPr>
            <w:tcW w:w="935" w:type="dxa"/>
            <w:tcBorders>
              <w:top w:val="nil"/>
              <w:left w:val="nil"/>
              <w:bottom w:val="single" w:sz="4" w:space="0" w:color="auto"/>
              <w:right w:val="single" w:sz="4" w:space="0" w:color="auto"/>
            </w:tcBorders>
            <w:shd w:val="clear" w:color="DDEBF7" w:fill="BFBFBF"/>
            <w:noWrap/>
            <w:vAlign w:val="center"/>
            <w:hideMark/>
          </w:tcPr>
          <w:p w14:paraId="56083FC8"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CHEM_SZ</w:t>
            </w:r>
          </w:p>
        </w:tc>
        <w:tc>
          <w:tcPr>
            <w:tcW w:w="1137" w:type="dxa"/>
            <w:tcBorders>
              <w:top w:val="nil"/>
              <w:left w:val="nil"/>
              <w:bottom w:val="single" w:sz="4" w:space="0" w:color="auto"/>
              <w:right w:val="single" w:sz="4" w:space="0" w:color="auto"/>
            </w:tcBorders>
            <w:shd w:val="clear" w:color="DDEBF7" w:fill="BFBFBF"/>
            <w:noWrap/>
            <w:vAlign w:val="center"/>
            <w:hideMark/>
          </w:tcPr>
          <w:p w14:paraId="1583BE44" w14:textId="77777777" w:rsidR="002E24BC" w:rsidRPr="00EF73BF" w:rsidRDefault="002E24BC" w:rsidP="00840CCD">
            <w:pPr>
              <w:jc w:val="center"/>
              <w:rPr>
                <w:rFonts w:asciiTheme="minorHAnsi" w:hAnsiTheme="minorHAnsi"/>
                <w:b/>
                <w:bCs/>
                <w:color w:val="000000"/>
                <w:sz w:val="20"/>
                <w:szCs w:val="20"/>
              </w:rPr>
            </w:pPr>
            <w:r w:rsidRPr="00EF73BF">
              <w:rPr>
                <w:rFonts w:asciiTheme="minorHAnsi" w:hAnsiTheme="minorHAnsi"/>
                <w:b/>
                <w:bCs/>
                <w:color w:val="000000"/>
                <w:sz w:val="20"/>
                <w:szCs w:val="20"/>
              </w:rPr>
              <w:t>OCH</w:t>
            </w:r>
          </w:p>
        </w:tc>
        <w:tc>
          <w:tcPr>
            <w:tcW w:w="1390" w:type="dxa"/>
            <w:gridSpan w:val="2"/>
            <w:vMerge/>
            <w:tcBorders>
              <w:top w:val="single" w:sz="4" w:space="0" w:color="auto"/>
              <w:left w:val="single" w:sz="4" w:space="0" w:color="auto"/>
              <w:bottom w:val="single" w:sz="4" w:space="0" w:color="auto"/>
              <w:right w:val="single" w:sz="4" w:space="0" w:color="auto"/>
            </w:tcBorders>
            <w:vAlign w:val="center"/>
            <w:hideMark/>
          </w:tcPr>
          <w:p w14:paraId="7A26EBAD" w14:textId="77777777" w:rsidR="002E24BC" w:rsidRPr="000A7234" w:rsidRDefault="002E24BC" w:rsidP="00C30EE7">
            <w:pPr>
              <w:jc w:val="center"/>
              <w:rPr>
                <w:rFonts w:asciiTheme="minorHAnsi" w:hAnsiTheme="minorHAnsi"/>
                <w:b/>
                <w:bCs/>
                <w:color w:val="000000"/>
                <w:sz w:val="20"/>
                <w:szCs w:val="20"/>
              </w:rPr>
            </w:pPr>
          </w:p>
        </w:tc>
      </w:tr>
      <w:tr w:rsidR="00DD0299" w:rsidRPr="000A7234" w14:paraId="35291304" w14:textId="77777777" w:rsidTr="009544AF">
        <w:trPr>
          <w:trHeight w:val="288"/>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8A6F5" w14:textId="1073C4D2" w:rsidR="00DD0299" w:rsidRPr="000A7234" w:rsidRDefault="00DD0299" w:rsidP="00C30EE7">
            <w:pPr>
              <w:jc w:val="center"/>
              <w:rPr>
                <w:rFonts w:asciiTheme="minorHAnsi" w:hAnsiTheme="minorHAnsi"/>
                <w:color w:val="000000"/>
                <w:sz w:val="20"/>
                <w:szCs w:val="20"/>
              </w:rPr>
            </w:pPr>
            <w:r>
              <w:rPr>
                <w:rFonts w:cs="Calibri"/>
                <w:color w:val="000000"/>
                <w:sz w:val="20"/>
                <w:szCs w:val="20"/>
              </w:rPr>
              <w:t>Pregoły</w:t>
            </w:r>
          </w:p>
        </w:tc>
        <w:tc>
          <w:tcPr>
            <w:tcW w:w="781" w:type="dxa"/>
            <w:tcBorders>
              <w:top w:val="single" w:sz="4" w:space="0" w:color="auto"/>
              <w:left w:val="nil"/>
              <w:bottom w:val="single" w:sz="4" w:space="0" w:color="auto"/>
              <w:right w:val="single" w:sz="4" w:space="0" w:color="auto"/>
            </w:tcBorders>
            <w:shd w:val="clear" w:color="auto" w:fill="auto"/>
            <w:noWrap/>
            <w:vAlign w:val="bottom"/>
            <w:hideMark/>
          </w:tcPr>
          <w:p w14:paraId="0DC9C24C" w14:textId="28FF7F0E" w:rsidR="00DD0299" w:rsidRPr="000A7234" w:rsidRDefault="00DD0299" w:rsidP="00C30EE7">
            <w:pPr>
              <w:jc w:val="center"/>
              <w:rPr>
                <w:rFonts w:asciiTheme="minorHAnsi" w:hAnsiTheme="minorHAnsi"/>
                <w:color w:val="000000"/>
                <w:sz w:val="20"/>
                <w:szCs w:val="20"/>
              </w:rPr>
            </w:pPr>
            <w:r>
              <w:rPr>
                <w:rFonts w:cs="Calibri"/>
                <w:color w:val="000000"/>
                <w:sz w:val="20"/>
                <w:szCs w:val="20"/>
              </w:rPr>
              <w:t>105</w:t>
            </w:r>
          </w:p>
        </w:tc>
        <w:tc>
          <w:tcPr>
            <w:tcW w:w="769" w:type="dxa"/>
            <w:tcBorders>
              <w:top w:val="nil"/>
              <w:left w:val="nil"/>
              <w:bottom w:val="single" w:sz="4" w:space="0" w:color="auto"/>
              <w:right w:val="single" w:sz="4" w:space="0" w:color="auto"/>
            </w:tcBorders>
            <w:shd w:val="clear" w:color="auto" w:fill="auto"/>
            <w:noWrap/>
            <w:vAlign w:val="bottom"/>
          </w:tcPr>
          <w:p w14:paraId="102FA76B" w14:textId="3824AB13" w:rsidR="00DD0299" w:rsidRPr="000A7234" w:rsidRDefault="00DD0299" w:rsidP="00C30EE7">
            <w:pPr>
              <w:jc w:val="center"/>
              <w:rPr>
                <w:rFonts w:asciiTheme="minorHAnsi" w:hAnsiTheme="minorHAnsi"/>
                <w:color w:val="000000"/>
                <w:sz w:val="20"/>
                <w:szCs w:val="20"/>
              </w:rPr>
            </w:pPr>
            <w:r>
              <w:rPr>
                <w:rFonts w:cs="Calibri"/>
                <w:color w:val="000000"/>
                <w:sz w:val="20"/>
                <w:szCs w:val="20"/>
              </w:rPr>
              <w:t>14</w:t>
            </w:r>
          </w:p>
        </w:tc>
        <w:tc>
          <w:tcPr>
            <w:tcW w:w="810" w:type="dxa"/>
            <w:gridSpan w:val="2"/>
            <w:tcBorders>
              <w:top w:val="nil"/>
              <w:left w:val="nil"/>
              <w:bottom w:val="single" w:sz="4" w:space="0" w:color="auto"/>
              <w:right w:val="single" w:sz="4" w:space="0" w:color="auto"/>
            </w:tcBorders>
            <w:shd w:val="clear" w:color="auto" w:fill="auto"/>
            <w:noWrap/>
            <w:vAlign w:val="bottom"/>
          </w:tcPr>
          <w:p w14:paraId="0F366421" w14:textId="7F7D8143" w:rsidR="00DD0299" w:rsidRPr="000A7234" w:rsidRDefault="00DD0299" w:rsidP="00C30EE7">
            <w:pPr>
              <w:jc w:val="center"/>
              <w:rPr>
                <w:rFonts w:asciiTheme="minorHAnsi" w:hAnsiTheme="minorHAnsi"/>
                <w:color w:val="000000"/>
                <w:sz w:val="20"/>
                <w:szCs w:val="20"/>
              </w:rPr>
            </w:pPr>
            <w:r>
              <w:rPr>
                <w:rFonts w:cs="Calibri"/>
                <w:color w:val="000000"/>
                <w:sz w:val="20"/>
                <w:szCs w:val="20"/>
              </w:rPr>
              <w:t>50</w:t>
            </w:r>
          </w:p>
        </w:tc>
        <w:tc>
          <w:tcPr>
            <w:tcW w:w="773" w:type="dxa"/>
            <w:tcBorders>
              <w:top w:val="single" w:sz="4" w:space="0" w:color="auto"/>
              <w:left w:val="nil"/>
              <w:bottom w:val="single" w:sz="4" w:space="0" w:color="auto"/>
              <w:right w:val="single" w:sz="4" w:space="0" w:color="auto"/>
            </w:tcBorders>
            <w:shd w:val="clear" w:color="auto" w:fill="auto"/>
            <w:vAlign w:val="bottom"/>
          </w:tcPr>
          <w:p w14:paraId="34ABF891" w14:textId="5E679561" w:rsidR="00DD0299" w:rsidRPr="000A7234" w:rsidRDefault="00DD0299" w:rsidP="00C30EE7">
            <w:pPr>
              <w:jc w:val="center"/>
              <w:rPr>
                <w:color w:val="000000"/>
                <w:sz w:val="20"/>
                <w:szCs w:val="20"/>
              </w:rPr>
            </w:pPr>
            <w:r>
              <w:rPr>
                <w:rFonts w:cs="Calibri"/>
                <w:color w:val="000000"/>
                <w:sz w:val="20"/>
                <w:szCs w:val="20"/>
              </w:rPr>
              <w:t>38</w:t>
            </w:r>
          </w:p>
        </w:tc>
        <w:tc>
          <w:tcPr>
            <w:tcW w:w="773" w:type="dxa"/>
            <w:tcBorders>
              <w:top w:val="nil"/>
              <w:left w:val="single" w:sz="4" w:space="0" w:color="auto"/>
              <w:bottom w:val="single" w:sz="4" w:space="0" w:color="auto"/>
              <w:right w:val="single" w:sz="4" w:space="0" w:color="auto"/>
            </w:tcBorders>
            <w:shd w:val="clear" w:color="auto" w:fill="auto"/>
            <w:noWrap/>
            <w:vAlign w:val="bottom"/>
          </w:tcPr>
          <w:p w14:paraId="446B9D74" w14:textId="4B87BCB7" w:rsidR="00DD0299" w:rsidRPr="000A7234" w:rsidRDefault="00DD0299" w:rsidP="00C30EE7">
            <w:pPr>
              <w:jc w:val="center"/>
              <w:rPr>
                <w:rFonts w:asciiTheme="minorHAnsi" w:hAnsiTheme="minorHAnsi"/>
                <w:color w:val="000000"/>
                <w:sz w:val="20"/>
                <w:szCs w:val="20"/>
              </w:rPr>
            </w:pPr>
            <w:r>
              <w:rPr>
                <w:rFonts w:cs="Calibri"/>
                <w:color w:val="000000"/>
                <w:sz w:val="20"/>
                <w:szCs w:val="20"/>
              </w:rPr>
              <w:t>52</w:t>
            </w:r>
          </w:p>
        </w:tc>
        <w:tc>
          <w:tcPr>
            <w:tcW w:w="899" w:type="dxa"/>
            <w:tcBorders>
              <w:top w:val="nil"/>
              <w:left w:val="nil"/>
              <w:bottom w:val="single" w:sz="4" w:space="0" w:color="auto"/>
              <w:right w:val="single" w:sz="4" w:space="0" w:color="auto"/>
            </w:tcBorders>
            <w:shd w:val="clear" w:color="auto" w:fill="auto"/>
            <w:noWrap/>
            <w:vAlign w:val="bottom"/>
          </w:tcPr>
          <w:p w14:paraId="6F844F9E" w14:textId="3DD2DF0D" w:rsidR="00DD0299" w:rsidRPr="000A7234" w:rsidRDefault="00DD0299" w:rsidP="00C30EE7">
            <w:pPr>
              <w:jc w:val="center"/>
              <w:rPr>
                <w:rFonts w:asciiTheme="minorHAnsi" w:hAnsiTheme="minorHAnsi"/>
                <w:color w:val="000000"/>
                <w:sz w:val="20"/>
                <w:szCs w:val="20"/>
              </w:rPr>
            </w:pPr>
            <w:r>
              <w:rPr>
                <w:rFonts w:cs="Calibri"/>
                <w:color w:val="000000"/>
                <w:sz w:val="20"/>
                <w:szCs w:val="20"/>
              </w:rPr>
              <w:t>24</w:t>
            </w:r>
          </w:p>
        </w:tc>
        <w:tc>
          <w:tcPr>
            <w:tcW w:w="935" w:type="dxa"/>
            <w:tcBorders>
              <w:top w:val="nil"/>
              <w:left w:val="nil"/>
              <w:bottom w:val="single" w:sz="4" w:space="0" w:color="auto"/>
              <w:right w:val="single" w:sz="4" w:space="0" w:color="auto"/>
            </w:tcBorders>
            <w:shd w:val="clear" w:color="auto" w:fill="auto"/>
            <w:noWrap/>
            <w:vAlign w:val="bottom"/>
          </w:tcPr>
          <w:p w14:paraId="41EF507E" w14:textId="3C7A336D" w:rsidR="00DD0299" w:rsidRPr="000A7234" w:rsidRDefault="00DD0299" w:rsidP="00C30EE7">
            <w:pPr>
              <w:jc w:val="center"/>
              <w:rPr>
                <w:rFonts w:asciiTheme="minorHAnsi" w:hAnsiTheme="minorHAnsi"/>
                <w:color w:val="000000"/>
                <w:sz w:val="20"/>
                <w:szCs w:val="20"/>
              </w:rPr>
            </w:pPr>
            <w:r>
              <w:rPr>
                <w:rFonts w:cs="Calibri"/>
                <w:color w:val="000000"/>
                <w:sz w:val="20"/>
                <w:szCs w:val="20"/>
              </w:rPr>
              <w:t>16</w:t>
            </w:r>
          </w:p>
        </w:tc>
        <w:tc>
          <w:tcPr>
            <w:tcW w:w="1137" w:type="dxa"/>
            <w:tcBorders>
              <w:top w:val="nil"/>
              <w:left w:val="nil"/>
              <w:bottom w:val="single" w:sz="4" w:space="0" w:color="auto"/>
              <w:right w:val="single" w:sz="4" w:space="0" w:color="auto"/>
            </w:tcBorders>
            <w:shd w:val="clear" w:color="auto" w:fill="auto"/>
            <w:noWrap/>
            <w:vAlign w:val="bottom"/>
          </w:tcPr>
          <w:p w14:paraId="14EFC16D" w14:textId="06AA4223" w:rsidR="00DD0299" w:rsidRPr="000A7234" w:rsidRDefault="00DD0299" w:rsidP="00C30EE7">
            <w:pPr>
              <w:jc w:val="center"/>
              <w:rPr>
                <w:rFonts w:asciiTheme="minorHAnsi" w:hAnsiTheme="minorHAnsi"/>
                <w:color w:val="000000"/>
                <w:sz w:val="20"/>
                <w:szCs w:val="20"/>
              </w:rPr>
            </w:pPr>
            <w:r>
              <w:rPr>
                <w:rFonts w:cs="Calibri"/>
                <w:color w:val="000000"/>
                <w:sz w:val="20"/>
                <w:szCs w:val="20"/>
              </w:rPr>
              <w:t>49</w:t>
            </w:r>
          </w:p>
        </w:tc>
        <w:tc>
          <w:tcPr>
            <w:tcW w:w="1390" w:type="dxa"/>
            <w:gridSpan w:val="2"/>
            <w:tcBorders>
              <w:top w:val="nil"/>
              <w:left w:val="nil"/>
              <w:bottom w:val="single" w:sz="4" w:space="0" w:color="auto"/>
              <w:right w:val="single" w:sz="4" w:space="0" w:color="auto"/>
            </w:tcBorders>
            <w:noWrap/>
            <w:vAlign w:val="bottom"/>
          </w:tcPr>
          <w:p w14:paraId="4CDC294B" w14:textId="451E1A4B" w:rsidR="00DD0299" w:rsidRPr="000A7234" w:rsidRDefault="00DD0299" w:rsidP="00C30EE7">
            <w:pPr>
              <w:jc w:val="center"/>
              <w:rPr>
                <w:rFonts w:asciiTheme="minorHAnsi" w:hAnsiTheme="minorHAnsi"/>
                <w:color w:val="000000"/>
                <w:sz w:val="20"/>
                <w:szCs w:val="20"/>
              </w:rPr>
            </w:pPr>
            <w:r>
              <w:rPr>
                <w:rFonts w:cs="Calibri"/>
                <w:color w:val="000000"/>
                <w:sz w:val="20"/>
                <w:szCs w:val="20"/>
              </w:rPr>
              <w:t>50</w:t>
            </w:r>
          </w:p>
        </w:tc>
      </w:tr>
      <w:tr w:rsidR="00DD0299" w:rsidRPr="000A7234" w14:paraId="542BF5BD" w14:textId="77777777" w:rsidTr="009544AF">
        <w:trPr>
          <w:trHeight w:val="288"/>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CB4218" w14:textId="2CD307C6" w:rsidR="00DD0299" w:rsidRPr="000A7234" w:rsidRDefault="00DD0299" w:rsidP="00C30EE7">
            <w:pPr>
              <w:jc w:val="center"/>
              <w:rPr>
                <w:rFonts w:asciiTheme="minorHAnsi" w:hAnsiTheme="minorHAnsi"/>
                <w:color w:val="000000"/>
                <w:sz w:val="20"/>
                <w:szCs w:val="20"/>
              </w:rPr>
            </w:pPr>
            <w:r w:rsidRPr="000A7234">
              <w:rPr>
                <w:rFonts w:asciiTheme="minorHAnsi" w:hAnsiTheme="minorHAnsi"/>
                <w:color w:val="000000"/>
                <w:sz w:val="20"/>
                <w:szCs w:val="20"/>
              </w:rPr>
              <w:t>Udział w ogólnej liczbie jcwp LW</w:t>
            </w:r>
            <w:r w:rsidR="001479C9">
              <w:rPr>
                <w:rFonts w:asciiTheme="minorHAnsi" w:hAnsiTheme="minorHAnsi"/>
                <w:color w:val="000000"/>
                <w:sz w:val="20"/>
                <w:szCs w:val="20"/>
              </w:rPr>
              <w:t xml:space="preserve"> (%)</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7B34AB1" w14:textId="36DE0694" w:rsidR="00DD0299" w:rsidRPr="000A7234" w:rsidRDefault="00DD0299" w:rsidP="00C30EE7">
            <w:pPr>
              <w:jc w:val="center"/>
              <w:rPr>
                <w:rFonts w:asciiTheme="minorHAnsi" w:hAnsiTheme="minorHAnsi"/>
                <w:color w:val="000000"/>
                <w:sz w:val="20"/>
                <w:szCs w:val="20"/>
              </w:rPr>
            </w:pPr>
            <w:r>
              <w:rPr>
                <w:rFonts w:cs="Calibri"/>
                <w:color w:val="000000"/>
                <w:sz w:val="20"/>
                <w:szCs w:val="20"/>
              </w:rPr>
              <w:t>13</w:t>
            </w:r>
          </w:p>
        </w:tc>
        <w:tc>
          <w:tcPr>
            <w:tcW w:w="810" w:type="dxa"/>
            <w:gridSpan w:val="2"/>
            <w:tcBorders>
              <w:top w:val="single" w:sz="4" w:space="0" w:color="auto"/>
              <w:left w:val="nil"/>
              <w:bottom w:val="single" w:sz="4" w:space="0" w:color="auto"/>
              <w:right w:val="single" w:sz="4" w:space="0" w:color="auto"/>
            </w:tcBorders>
            <w:shd w:val="clear" w:color="auto" w:fill="auto"/>
            <w:noWrap/>
            <w:vAlign w:val="center"/>
          </w:tcPr>
          <w:p w14:paraId="24453614" w14:textId="7EAF38D3" w:rsidR="00DD0299" w:rsidRPr="000A7234" w:rsidRDefault="00DD0299" w:rsidP="00C30EE7">
            <w:pPr>
              <w:jc w:val="center"/>
              <w:rPr>
                <w:rFonts w:asciiTheme="minorHAnsi" w:hAnsiTheme="minorHAnsi"/>
                <w:color w:val="000000"/>
                <w:sz w:val="20"/>
                <w:szCs w:val="20"/>
              </w:rPr>
            </w:pPr>
            <w:r>
              <w:rPr>
                <w:rFonts w:cs="Calibri"/>
                <w:color w:val="000000"/>
                <w:sz w:val="20"/>
                <w:szCs w:val="20"/>
              </w:rPr>
              <w:t>48</w:t>
            </w:r>
          </w:p>
        </w:tc>
        <w:tc>
          <w:tcPr>
            <w:tcW w:w="773" w:type="dxa"/>
            <w:tcBorders>
              <w:top w:val="single" w:sz="4" w:space="0" w:color="auto"/>
              <w:left w:val="nil"/>
              <w:bottom w:val="single" w:sz="4" w:space="0" w:color="auto"/>
              <w:right w:val="single" w:sz="4" w:space="0" w:color="auto"/>
            </w:tcBorders>
            <w:shd w:val="clear" w:color="auto" w:fill="auto"/>
            <w:vAlign w:val="center"/>
          </w:tcPr>
          <w:p w14:paraId="0E386593" w14:textId="2323E76C" w:rsidR="00DD0299" w:rsidRPr="000A7234" w:rsidRDefault="00DD0299" w:rsidP="00C30EE7">
            <w:pPr>
              <w:jc w:val="center"/>
              <w:rPr>
                <w:color w:val="000000"/>
                <w:sz w:val="20"/>
                <w:szCs w:val="20"/>
              </w:rPr>
            </w:pPr>
            <w:r>
              <w:rPr>
                <w:rFonts w:cs="Calibri"/>
                <w:color w:val="000000"/>
                <w:sz w:val="20"/>
                <w:szCs w:val="20"/>
              </w:rPr>
              <w:t>36</w:t>
            </w: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D76BF" w14:textId="3371DBF3" w:rsidR="00DD0299" w:rsidRPr="000A7234" w:rsidRDefault="00DD0299" w:rsidP="00C30EE7">
            <w:pPr>
              <w:jc w:val="center"/>
              <w:rPr>
                <w:rFonts w:asciiTheme="minorHAnsi" w:hAnsiTheme="minorHAnsi"/>
                <w:color w:val="000000"/>
                <w:sz w:val="20"/>
                <w:szCs w:val="20"/>
              </w:rPr>
            </w:pPr>
            <w:r>
              <w:rPr>
                <w:rFonts w:cs="Calibri"/>
                <w:color w:val="000000"/>
                <w:sz w:val="20"/>
                <w:szCs w:val="20"/>
              </w:rPr>
              <w:t>50</w:t>
            </w:r>
          </w:p>
        </w:tc>
        <w:tc>
          <w:tcPr>
            <w:tcW w:w="899" w:type="dxa"/>
            <w:tcBorders>
              <w:top w:val="single" w:sz="4" w:space="0" w:color="auto"/>
              <w:left w:val="nil"/>
              <w:bottom w:val="single" w:sz="4" w:space="0" w:color="auto"/>
              <w:right w:val="single" w:sz="4" w:space="0" w:color="auto"/>
            </w:tcBorders>
            <w:shd w:val="clear" w:color="auto" w:fill="auto"/>
            <w:noWrap/>
            <w:vAlign w:val="center"/>
          </w:tcPr>
          <w:p w14:paraId="47E135A8" w14:textId="320FB838" w:rsidR="00DD0299" w:rsidRPr="000A7234" w:rsidRDefault="00DD0299" w:rsidP="00C30EE7">
            <w:pPr>
              <w:jc w:val="center"/>
              <w:rPr>
                <w:rFonts w:asciiTheme="minorHAnsi" w:hAnsiTheme="minorHAnsi"/>
                <w:color w:val="000000"/>
                <w:sz w:val="20"/>
                <w:szCs w:val="20"/>
              </w:rPr>
            </w:pPr>
            <w:r>
              <w:rPr>
                <w:rFonts w:cs="Calibri"/>
                <w:color w:val="000000"/>
                <w:sz w:val="20"/>
                <w:szCs w:val="20"/>
              </w:rPr>
              <w:t>23</w:t>
            </w:r>
          </w:p>
        </w:tc>
        <w:tc>
          <w:tcPr>
            <w:tcW w:w="935" w:type="dxa"/>
            <w:tcBorders>
              <w:top w:val="single" w:sz="4" w:space="0" w:color="auto"/>
              <w:left w:val="nil"/>
              <w:bottom w:val="single" w:sz="4" w:space="0" w:color="auto"/>
              <w:right w:val="single" w:sz="4" w:space="0" w:color="auto"/>
            </w:tcBorders>
            <w:shd w:val="clear" w:color="auto" w:fill="auto"/>
            <w:noWrap/>
            <w:vAlign w:val="center"/>
          </w:tcPr>
          <w:p w14:paraId="25D457AF" w14:textId="201B0600" w:rsidR="00DD0299" w:rsidRPr="000A7234" w:rsidRDefault="00DD0299" w:rsidP="00C30EE7">
            <w:pPr>
              <w:jc w:val="center"/>
              <w:rPr>
                <w:rFonts w:asciiTheme="minorHAnsi" w:hAnsiTheme="minorHAnsi"/>
                <w:color w:val="000000"/>
                <w:sz w:val="20"/>
                <w:szCs w:val="20"/>
              </w:rPr>
            </w:pPr>
            <w:r>
              <w:rPr>
                <w:rFonts w:cs="Calibri"/>
                <w:color w:val="000000"/>
                <w:sz w:val="20"/>
                <w:szCs w:val="20"/>
              </w:rPr>
              <w:t>15</w:t>
            </w:r>
          </w:p>
        </w:tc>
        <w:tc>
          <w:tcPr>
            <w:tcW w:w="1137" w:type="dxa"/>
            <w:tcBorders>
              <w:top w:val="single" w:sz="4" w:space="0" w:color="auto"/>
              <w:left w:val="nil"/>
              <w:bottom w:val="single" w:sz="4" w:space="0" w:color="auto"/>
              <w:right w:val="single" w:sz="4" w:space="0" w:color="auto"/>
            </w:tcBorders>
            <w:shd w:val="clear" w:color="auto" w:fill="auto"/>
            <w:noWrap/>
            <w:vAlign w:val="center"/>
          </w:tcPr>
          <w:p w14:paraId="5E348C65" w14:textId="47C1F6AE" w:rsidR="00DD0299" w:rsidRPr="000A7234" w:rsidRDefault="00DD0299" w:rsidP="00C30EE7">
            <w:pPr>
              <w:jc w:val="center"/>
              <w:rPr>
                <w:rFonts w:asciiTheme="minorHAnsi" w:hAnsiTheme="minorHAnsi"/>
                <w:color w:val="000000"/>
                <w:sz w:val="20"/>
                <w:szCs w:val="20"/>
              </w:rPr>
            </w:pPr>
            <w:r>
              <w:rPr>
                <w:rFonts w:cs="Calibri"/>
                <w:color w:val="000000"/>
                <w:sz w:val="20"/>
                <w:szCs w:val="20"/>
              </w:rPr>
              <w:t>47</w:t>
            </w:r>
          </w:p>
        </w:tc>
        <w:tc>
          <w:tcPr>
            <w:tcW w:w="1390" w:type="dxa"/>
            <w:gridSpan w:val="2"/>
            <w:tcBorders>
              <w:top w:val="single" w:sz="4" w:space="0" w:color="auto"/>
              <w:left w:val="nil"/>
              <w:bottom w:val="single" w:sz="4" w:space="0" w:color="auto"/>
              <w:right w:val="single" w:sz="4" w:space="0" w:color="auto"/>
            </w:tcBorders>
            <w:noWrap/>
            <w:vAlign w:val="center"/>
          </w:tcPr>
          <w:p w14:paraId="20FAE4E5" w14:textId="77215264" w:rsidR="00DD0299" w:rsidRPr="000A7234" w:rsidRDefault="00DD0299" w:rsidP="00C30EE7">
            <w:pPr>
              <w:jc w:val="center"/>
              <w:rPr>
                <w:rFonts w:asciiTheme="minorHAnsi" w:hAnsiTheme="minorHAnsi"/>
                <w:color w:val="000000"/>
                <w:sz w:val="20"/>
                <w:szCs w:val="20"/>
              </w:rPr>
            </w:pPr>
            <w:r>
              <w:rPr>
                <w:rFonts w:cs="Calibri"/>
                <w:color w:val="000000"/>
                <w:sz w:val="20"/>
                <w:szCs w:val="20"/>
              </w:rPr>
              <w:t>48</w:t>
            </w:r>
          </w:p>
        </w:tc>
      </w:tr>
      <w:tr w:rsidR="00D23BDB" w:rsidRPr="001E74C4" w14:paraId="032B8882"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tcPr>
          <w:p w14:paraId="7BE10937" w14:textId="77777777" w:rsidR="00D23BDB" w:rsidRPr="001E74C4" w:rsidRDefault="00D23BDB" w:rsidP="00382E11">
            <w:pPr>
              <w:spacing w:before="0" w:after="0"/>
              <w:rPr>
                <w:rFonts w:asciiTheme="minorHAnsi" w:hAnsiTheme="minorHAnsi"/>
                <w:b/>
                <w:i/>
                <w:color w:val="000000"/>
                <w:sz w:val="16"/>
              </w:rPr>
            </w:pPr>
            <w:r w:rsidRPr="001E74C4">
              <w:rPr>
                <w:rFonts w:asciiTheme="minorHAnsi" w:hAnsiTheme="minorHAnsi"/>
                <w:b/>
                <w:i/>
                <w:color w:val="000000"/>
                <w:sz w:val="16"/>
              </w:rPr>
              <w:t>*Wskazane wartości oznaczają liczbę jcwp ze zidentyfikowanym danym rodzajem presji znaczącej. Presje znaczące występować mogą łącznie w jcwp.</w:t>
            </w:r>
          </w:p>
        </w:tc>
      </w:tr>
      <w:tr w:rsidR="00D23BDB" w:rsidRPr="001E74C4" w14:paraId="53765DC2"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38208AB7"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BIO_HM</w:t>
            </w:r>
            <w:r w:rsidRPr="001E74C4">
              <w:rPr>
                <w:rFonts w:asciiTheme="minorHAnsi" w:hAnsiTheme="minorHAnsi"/>
                <w:i/>
                <w:color w:val="000000"/>
                <w:sz w:val="16"/>
              </w:rPr>
              <w:t xml:space="preserve"> - presja na elementy biologiczne zależne od hydromorfologii</w:t>
            </w:r>
          </w:p>
        </w:tc>
      </w:tr>
      <w:tr w:rsidR="00D23BDB" w:rsidRPr="001E74C4" w14:paraId="7EA924F7"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7EF7ACB2"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BIO_FIZ</w:t>
            </w:r>
            <w:r w:rsidRPr="001E74C4">
              <w:rPr>
                <w:rFonts w:asciiTheme="minorHAnsi" w:hAnsiTheme="minorHAnsi"/>
                <w:i/>
                <w:color w:val="000000"/>
                <w:sz w:val="16"/>
              </w:rPr>
              <w:t xml:space="preserve"> - presja na elementy biologiczne zależne od fizykochemii</w:t>
            </w:r>
          </w:p>
        </w:tc>
      </w:tr>
      <w:tr w:rsidR="00D23BDB" w:rsidRPr="001E74C4" w14:paraId="1928E6D0"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tcPr>
          <w:p w14:paraId="39FC251F" w14:textId="77777777" w:rsidR="00D23BDB" w:rsidRPr="001E74C4" w:rsidRDefault="00D23BDB" w:rsidP="00382E11">
            <w:pPr>
              <w:spacing w:before="0" w:after="0"/>
              <w:rPr>
                <w:rFonts w:asciiTheme="minorHAnsi" w:hAnsiTheme="minorHAnsi"/>
                <w:b/>
                <w:i/>
                <w:color w:val="000000"/>
                <w:sz w:val="16"/>
              </w:rPr>
            </w:pPr>
            <w:r w:rsidRPr="001E74C4">
              <w:rPr>
                <w:rFonts w:asciiTheme="minorHAnsi" w:hAnsiTheme="minorHAnsi"/>
                <w:b/>
                <w:i/>
                <w:color w:val="000000"/>
                <w:sz w:val="16"/>
              </w:rPr>
              <w:t xml:space="preserve">FIZ </w:t>
            </w:r>
            <w:r>
              <w:rPr>
                <w:rFonts w:asciiTheme="minorHAnsi" w:hAnsiTheme="minorHAnsi"/>
                <w:i/>
                <w:color w:val="000000"/>
                <w:sz w:val="16"/>
              </w:rPr>
              <w:t>-</w:t>
            </w:r>
            <w:r w:rsidRPr="001E74C4">
              <w:rPr>
                <w:rFonts w:asciiTheme="minorHAnsi" w:hAnsiTheme="minorHAnsi"/>
                <w:i/>
                <w:color w:val="000000"/>
                <w:sz w:val="16"/>
              </w:rPr>
              <w:t xml:space="preserve"> presja na elementy fizykochemiczne</w:t>
            </w:r>
          </w:p>
        </w:tc>
      </w:tr>
      <w:tr w:rsidR="00D23BDB" w:rsidRPr="001E74C4" w14:paraId="0B86F8D9"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512B7727"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CHEM</w:t>
            </w:r>
            <w:r w:rsidRPr="001E74C4">
              <w:rPr>
                <w:rFonts w:asciiTheme="minorHAnsi" w:hAnsiTheme="minorHAnsi"/>
                <w:i/>
                <w:color w:val="000000"/>
                <w:sz w:val="16"/>
              </w:rPr>
              <w:t xml:space="preserve"> - presja na cechy chemiczne</w:t>
            </w:r>
            <w:r>
              <w:rPr>
                <w:rFonts w:asciiTheme="minorHAnsi" w:hAnsiTheme="minorHAnsi"/>
                <w:i/>
                <w:color w:val="000000"/>
                <w:sz w:val="16"/>
              </w:rPr>
              <w:t xml:space="preserve"> (woda, substancje dozwolone</w:t>
            </w:r>
          </w:p>
        </w:tc>
      </w:tr>
      <w:tr w:rsidR="00D23BDB" w:rsidRPr="001E74C4" w14:paraId="6DB2782B"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540562F7"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CHEM_B</w:t>
            </w:r>
            <w:r w:rsidRPr="001E74C4">
              <w:rPr>
                <w:rFonts w:asciiTheme="minorHAnsi" w:hAnsiTheme="minorHAnsi"/>
                <w:i/>
                <w:color w:val="000000"/>
                <w:sz w:val="16"/>
              </w:rPr>
              <w:t xml:space="preserve"> - presja na cechy chemiczne (biota</w:t>
            </w:r>
            <w:r>
              <w:rPr>
                <w:rFonts w:asciiTheme="minorHAnsi" w:hAnsiTheme="minorHAnsi"/>
                <w:i/>
                <w:color w:val="000000"/>
                <w:sz w:val="16"/>
              </w:rPr>
              <w:t>, substancje dozwolone</w:t>
            </w:r>
            <w:r w:rsidRPr="001E74C4">
              <w:rPr>
                <w:rFonts w:asciiTheme="minorHAnsi" w:hAnsiTheme="minorHAnsi"/>
                <w:i/>
                <w:color w:val="000000"/>
                <w:sz w:val="16"/>
              </w:rPr>
              <w:t>)</w:t>
            </w:r>
          </w:p>
        </w:tc>
      </w:tr>
      <w:tr w:rsidR="00D23BDB" w:rsidRPr="001E74C4" w14:paraId="3B5C87C8"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72B8ECAC"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CHEM_SZ</w:t>
            </w:r>
            <w:r w:rsidRPr="001E74C4">
              <w:rPr>
                <w:rFonts w:asciiTheme="minorHAnsi" w:hAnsiTheme="minorHAnsi"/>
                <w:i/>
                <w:color w:val="000000"/>
                <w:sz w:val="16"/>
              </w:rPr>
              <w:t xml:space="preserve"> - presja na cechy chemiczne (substancje zakazane</w:t>
            </w:r>
            <w:r>
              <w:rPr>
                <w:rFonts w:asciiTheme="minorHAnsi" w:hAnsiTheme="minorHAnsi"/>
                <w:i/>
                <w:color w:val="000000"/>
                <w:sz w:val="16"/>
              </w:rPr>
              <w:t>, biota i woda</w:t>
            </w:r>
            <w:r w:rsidRPr="001E74C4">
              <w:rPr>
                <w:rFonts w:asciiTheme="minorHAnsi" w:hAnsiTheme="minorHAnsi"/>
                <w:i/>
                <w:color w:val="000000"/>
                <w:sz w:val="16"/>
              </w:rPr>
              <w:t>)</w:t>
            </w:r>
          </w:p>
        </w:tc>
      </w:tr>
      <w:tr w:rsidR="00D23BDB" w:rsidRPr="001E74C4" w14:paraId="79FA197E"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67D1E2E3"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OCH</w:t>
            </w:r>
            <w:r w:rsidRPr="001E74C4">
              <w:rPr>
                <w:rFonts w:asciiTheme="minorHAnsi" w:hAnsiTheme="minorHAnsi"/>
                <w:i/>
                <w:color w:val="000000"/>
                <w:sz w:val="16"/>
              </w:rPr>
              <w:t xml:space="preserve"> - presja na obszary chronione w rozumieniu</w:t>
            </w:r>
            <w:r>
              <w:rPr>
                <w:rFonts w:asciiTheme="minorHAnsi" w:hAnsiTheme="minorHAnsi"/>
                <w:i/>
                <w:color w:val="000000"/>
                <w:sz w:val="16"/>
              </w:rPr>
              <w:t xml:space="preserve"> ustawy</w:t>
            </w:r>
            <w:r w:rsidRPr="001E74C4">
              <w:rPr>
                <w:rFonts w:asciiTheme="minorHAnsi" w:hAnsiTheme="minorHAnsi"/>
                <w:i/>
                <w:color w:val="000000"/>
                <w:sz w:val="16"/>
              </w:rPr>
              <w:t xml:space="preserve"> pr.w.</w:t>
            </w:r>
          </w:p>
        </w:tc>
      </w:tr>
      <w:tr w:rsidR="00D23BDB" w:rsidRPr="001E74C4" w14:paraId="437555C1"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0AB100B8" w14:textId="77777777" w:rsidR="00D23BDB" w:rsidRPr="001E74C4" w:rsidRDefault="00D23BDB" w:rsidP="00382E11">
            <w:pPr>
              <w:spacing w:before="0" w:after="0"/>
              <w:rPr>
                <w:rFonts w:asciiTheme="minorHAnsi" w:hAnsiTheme="minorHAnsi"/>
                <w:i/>
                <w:color w:val="000000"/>
                <w:sz w:val="16"/>
              </w:rPr>
            </w:pPr>
            <w:r w:rsidRPr="001E74C4">
              <w:rPr>
                <w:rFonts w:asciiTheme="minorHAnsi" w:hAnsiTheme="minorHAnsi"/>
                <w:b/>
                <w:i/>
                <w:color w:val="000000"/>
                <w:sz w:val="16"/>
              </w:rPr>
              <w:t>IL</w:t>
            </w:r>
            <w:r w:rsidRPr="001E74C4">
              <w:rPr>
                <w:rFonts w:asciiTheme="minorHAnsi" w:hAnsiTheme="minorHAnsi"/>
                <w:i/>
                <w:color w:val="000000"/>
                <w:sz w:val="16"/>
              </w:rPr>
              <w:t xml:space="preserve"> - presja ilościowa na zasoby wodne</w:t>
            </w:r>
          </w:p>
        </w:tc>
      </w:tr>
      <w:tr w:rsidR="00D23BDB" w:rsidRPr="00F13DBB" w14:paraId="2FAA82BC" w14:textId="77777777" w:rsidTr="003F4A95">
        <w:trPr>
          <w:gridAfter w:val="1"/>
          <w:wAfter w:w="115" w:type="dxa"/>
          <w:trHeight w:val="288"/>
        </w:trPr>
        <w:tc>
          <w:tcPr>
            <w:tcW w:w="9072" w:type="dxa"/>
            <w:gridSpan w:val="11"/>
            <w:tcBorders>
              <w:top w:val="nil"/>
              <w:left w:val="nil"/>
              <w:bottom w:val="nil"/>
              <w:right w:val="nil"/>
            </w:tcBorders>
            <w:shd w:val="clear" w:color="auto" w:fill="auto"/>
            <w:noWrap/>
            <w:vAlign w:val="center"/>
            <w:hideMark/>
          </w:tcPr>
          <w:p w14:paraId="0767AED3" w14:textId="77777777" w:rsidR="00D23BDB" w:rsidRPr="00F13DBB" w:rsidRDefault="00D23BDB" w:rsidP="00D23BDB">
            <w:pPr>
              <w:spacing w:before="0" w:after="0"/>
              <w:rPr>
                <w:rFonts w:asciiTheme="minorHAnsi" w:hAnsiTheme="minorHAnsi"/>
                <w:i/>
                <w:iCs/>
                <w:color w:val="000000"/>
                <w:sz w:val="16"/>
                <w:szCs w:val="16"/>
              </w:rPr>
            </w:pPr>
            <w:r w:rsidRPr="001E74C4">
              <w:rPr>
                <w:rFonts w:asciiTheme="minorHAnsi" w:hAnsiTheme="minorHAnsi"/>
                <w:b/>
                <w:i/>
                <w:color w:val="000000"/>
                <w:sz w:val="16"/>
              </w:rPr>
              <w:t>jcwp zagrożone</w:t>
            </w:r>
            <w:r w:rsidRPr="001E74C4">
              <w:rPr>
                <w:rFonts w:asciiTheme="minorHAnsi" w:hAnsiTheme="minorHAnsi"/>
                <w:i/>
                <w:color w:val="000000"/>
                <w:sz w:val="16"/>
              </w:rPr>
              <w:t xml:space="preserve"> - jcwp zagrożone nieosiągnięciem celów środowiskowych</w:t>
            </w:r>
          </w:p>
        </w:tc>
      </w:tr>
    </w:tbl>
    <w:p w14:paraId="1F820FA7" w14:textId="557A24CE" w:rsidR="002E24BC" w:rsidRDefault="002E24BC" w:rsidP="00D23BDB">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w:t>
      </w:r>
      <w:r>
        <w:t>-</w:t>
      </w:r>
      <w:r w:rsidRPr="00E94950">
        <w:t xml:space="preserve"> aktualizacja</w:t>
      </w:r>
    </w:p>
    <w:p w14:paraId="5B9F3C21" w14:textId="3CD53744" w:rsidR="002E24BC" w:rsidRPr="009A4173" w:rsidRDefault="00D23BDB" w:rsidP="002E24BC">
      <w:pPr>
        <w:rPr>
          <w:rFonts w:asciiTheme="minorHAnsi" w:hAnsiTheme="minorHAnsi"/>
        </w:rPr>
      </w:pPr>
      <w:r w:rsidRPr="00EF3FD3">
        <w:rPr>
          <w:rFonts w:asciiTheme="minorHAnsi" w:hAnsiTheme="minorHAnsi"/>
        </w:rPr>
        <w:t xml:space="preserve">Uzyskane wyniki wskazują, iż spośród wszystkich jcwp LW największa liczba jcwp poddana jest presji  na cechy chemiczne </w:t>
      </w:r>
      <w:r w:rsidR="006C4947">
        <w:rPr>
          <w:rFonts w:asciiTheme="minorHAnsi" w:hAnsiTheme="minorHAnsi"/>
        </w:rPr>
        <w:t>-</w:t>
      </w:r>
      <w:r w:rsidRPr="00EF3FD3">
        <w:rPr>
          <w:rFonts w:asciiTheme="minorHAnsi" w:hAnsiTheme="minorHAnsi"/>
        </w:rPr>
        <w:t xml:space="preserve"> woda, substancje dozwolone (50%) oraz presji na elementy biologiczne zależne od fizykochemi (48%). Presja w zakresie obszarów chronionych dotyczy 47% jcwp LW na obszarze dorzecza Pregoły (wykres 7-7).</w:t>
      </w:r>
    </w:p>
    <w:p w14:paraId="493F9260" w14:textId="77777777" w:rsidR="00EF3FD3" w:rsidRDefault="00D23BDB" w:rsidP="00EF3FD3">
      <w:pPr>
        <w:pStyle w:val="Wykres"/>
      </w:pPr>
      <w:r>
        <w:rPr>
          <w:noProof/>
        </w:rPr>
        <w:drawing>
          <wp:inline distT="0" distB="0" distL="0" distR="0" wp14:anchorId="5DF51B39" wp14:editId="1F223FC3">
            <wp:extent cx="5708015" cy="3269615"/>
            <wp:effectExtent l="0" t="0" r="6985" b="6985"/>
            <wp:docPr id="232" name="Chart 232">
              <a:extLst xmlns:a="http://schemas.openxmlformats.org/drawingml/2006/main">
                <a:ext uri="{FF2B5EF4-FFF2-40B4-BE49-F238E27FC236}">
                  <a16:creationId xmlns:a16="http://schemas.microsoft.com/office/drawing/2014/main" id="{6E17047C-D560-41E4-8B80-950D475B0E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Start w:id="152" w:name="_Toc66311436"/>
    </w:p>
    <w:p w14:paraId="5BADED25" w14:textId="72F74CB0" w:rsidR="00EF3FD3" w:rsidRDefault="00EF3FD3" w:rsidP="00EF3FD3">
      <w:pPr>
        <w:pStyle w:val="Legenda"/>
      </w:pPr>
      <w:bookmarkStart w:id="153" w:name="_Toc68727100"/>
      <w:r>
        <w:t xml:space="preserve">Wykres </w:t>
      </w:r>
      <w:fldSimple w:instr=" STYLEREF 1 \s ">
        <w:r>
          <w:rPr>
            <w:noProof/>
          </w:rPr>
          <w:t>7</w:t>
        </w:r>
      </w:fldSimple>
      <w:r>
        <w:noBreakHyphen/>
      </w:r>
      <w:fldSimple w:instr=" SEQ Wykres \* ARABIC \s 1 ">
        <w:r>
          <w:rPr>
            <w:noProof/>
          </w:rPr>
          <w:t>7</w:t>
        </w:r>
      </w:fldSimple>
      <w:r>
        <w:tab/>
      </w:r>
      <w:r w:rsidRPr="006F6A83">
        <w:t>Udział jcwp LW ze zidentyfikowaną daną presją znaczącą w ogólnej liczbie jcwp LW - obszar dorzecza Pregoły</w:t>
      </w:r>
      <w:bookmarkEnd w:id="153"/>
    </w:p>
    <w:bookmarkEnd w:id="152"/>
    <w:p w14:paraId="00ABADE1" w14:textId="1FE88EF7" w:rsidR="002E24BC" w:rsidRPr="00E94950" w:rsidRDefault="002E24BC" w:rsidP="00B84032">
      <w:pPr>
        <w:pStyle w:val="rdo0"/>
      </w:pPr>
      <w:r>
        <w:t>Ź</w:t>
      </w:r>
      <w:r w:rsidRPr="00E94950">
        <w:t xml:space="preserve">ródło: opracowanie </w:t>
      </w:r>
      <w:r w:rsidR="00B84032">
        <w:t>własne</w:t>
      </w:r>
      <w:r w:rsidRPr="00E94950">
        <w:t xml:space="preserve"> na podstawie Analizy znaczących oddziaływań </w:t>
      </w:r>
      <w:r>
        <w:t>-</w:t>
      </w:r>
      <w:r w:rsidRPr="00E94950">
        <w:t xml:space="preserve"> jcwp (…) - aktualizacja</w:t>
      </w:r>
    </w:p>
    <w:p w14:paraId="13BA9DB3" w14:textId="77777777" w:rsidR="00DD0299" w:rsidRDefault="00DD0299" w:rsidP="00DD0299">
      <w:pPr>
        <w:rPr>
          <w:rFonts w:asciiTheme="minorHAnsi" w:hAnsiTheme="minorHAnsi"/>
        </w:rPr>
      </w:pPr>
      <w:r w:rsidRPr="381BC984">
        <w:rPr>
          <w:rFonts w:asciiTheme="minorHAnsi" w:hAnsiTheme="minorHAnsi"/>
        </w:rPr>
        <w:t xml:space="preserve">Najistotniejszym czynnikiem oddziałującym na jakość </w:t>
      </w:r>
      <w:r>
        <w:rPr>
          <w:rFonts w:asciiTheme="minorHAnsi" w:hAnsiTheme="minorHAnsi"/>
        </w:rPr>
        <w:t>jcwp LW</w:t>
      </w:r>
      <w:r w:rsidRPr="381BC984">
        <w:rPr>
          <w:rFonts w:asciiTheme="minorHAnsi" w:hAnsiTheme="minorHAnsi"/>
        </w:rPr>
        <w:t xml:space="preserve"> są zanieczyszczenia pochodzące ze spływów obszarowych z terenów użytkowanych rolniczo. Ładunki azotu i fosforu z terenów rolniczych (grunty orne, pastwiska, obszary intensywnej hodowli) a także z rozproszonej zabudowy wiejskiej oraz rekreacyjnej (położonej w zlewni bezpośredniej jezior) nasilają eutrofizację wód jezior. W przypadku niektórych jezior ładunek biogenów pochodzących z depozycji atmosferycznej oraz z terenów leśnych może mieć też istotny udział w całkowitym ładunku powstającym w zlewni jeziora. Znaczenie ładunków zanieczyszczeń ze źródeł punktowych (głównie ścieki komunalne) w kształtowaniu jakości wód jezior w ostatnich latach ulega ograniczeniu, przy czym wprowadzane są one do jezior głównie za pośrednictwem dopływów. Bezpośrednie zrzuty do jezior są rzadkie.</w:t>
      </w:r>
    </w:p>
    <w:p w14:paraId="79409A5D" w14:textId="34054493" w:rsidR="00DD0299" w:rsidRPr="00631245" w:rsidRDefault="00DD0299" w:rsidP="00DD0299">
      <w:pPr>
        <w:rPr>
          <w:rFonts w:asciiTheme="minorHAnsi" w:hAnsiTheme="minorHAnsi"/>
        </w:rPr>
      </w:pPr>
      <w:r w:rsidRPr="00091CA4">
        <w:rPr>
          <w:rFonts w:cs="Calibri"/>
          <w:color w:val="000000"/>
          <w:shd w:val="clear" w:color="auto" w:fill="FFFFFF"/>
        </w:rPr>
        <w:t>W przypadku jcwp jeziornych, zły stan chemiczny również był związany z dopływem zanieczyszczeń ze źródeł rozproszonych (benzo(a)piren, ołów) oraz dopływem substancji, których produkcja/stosowanie jest obecnie prawnie zakazane (z tego względu źródło presji zostało określone jako nieznane). W grupie tych substancji znajdują się przede wszystkim środki ochrony roślin stosowane zarówno w rolnictwie jak i leśnictwie. Ich obecność w wodach powierzchniowych jest prawdopodobnie związana z ich sukcesywnym wymywaniem z okolicznych obszarów rolnych i leśnych, które przeważają w</w:t>
      </w:r>
      <w:r w:rsidR="00312280">
        <w:rPr>
          <w:rFonts w:cs="Calibri"/>
          <w:color w:val="000000"/>
          <w:shd w:val="clear" w:color="auto" w:fill="FFFFFF"/>
        </w:rPr>
        <w:t> </w:t>
      </w:r>
      <w:r w:rsidRPr="00091CA4">
        <w:rPr>
          <w:rFonts w:cs="Calibri"/>
          <w:color w:val="000000"/>
          <w:shd w:val="clear" w:color="auto" w:fill="FFFFFF"/>
        </w:rPr>
        <w:t>większości jcwp </w:t>
      </w:r>
      <w:r>
        <w:rPr>
          <w:rFonts w:cs="Calibri"/>
          <w:color w:val="000000"/>
          <w:shd w:val="clear" w:color="auto" w:fill="FFFFFF"/>
        </w:rPr>
        <w:t>LW</w:t>
      </w:r>
      <w:r w:rsidRPr="00091CA4">
        <w:rPr>
          <w:rFonts w:cs="Calibri"/>
          <w:color w:val="000000"/>
          <w:shd w:val="clear" w:color="auto" w:fill="FFFFFF"/>
        </w:rPr>
        <w:t>. </w:t>
      </w:r>
    </w:p>
    <w:p w14:paraId="0B7BAB38" w14:textId="590C6478" w:rsidR="002E24BC" w:rsidRDefault="00DD0299" w:rsidP="00DD0299">
      <w:pPr>
        <w:rPr>
          <w:rFonts w:asciiTheme="minorHAnsi" w:hAnsiTheme="minorHAnsi"/>
        </w:rPr>
      </w:pPr>
      <w:r w:rsidRPr="006041E3">
        <w:rPr>
          <w:rFonts w:asciiTheme="minorHAnsi" w:hAnsiTheme="minorHAnsi"/>
        </w:rPr>
        <w:t xml:space="preserve">Przeprowadzona ocena ryzyka nieosiągnięcia celów </w:t>
      </w:r>
      <w:r>
        <w:rPr>
          <w:rFonts w:asciiTheme="minorHAnsi" w:hAnsiTheme="minorHAnsi"/>
        </w:rPr>
        <w:t>wykazała zagrożenie nieosiągnięciem celów środowiskowych dla</w:t>
      </w:r>
      <w:r w:rsidRPr="006041E3">
        <w:rPr>
          <w:rFonts w:asciiTheme="minorHAnsi" w:hAnsiTheme="minorHAnsi"/>
        </w:rPr>
        <w:t xml:space="preserve"> </w:t>
      </w:r>
      <w:r>
        <w:rPr>
          <w:rFonts w:asciiTheme="minorHAnsi" w:hAnsiTheme="minorHAnsi"/>
        </w:rPr>
        <w:t>ponad 48%</w:t>
      </w:r>
      <w:r w:rsidRPr="006041E3">
        <w:rPr>
          <w:rFonts w:asciiTheme="minorHAnsi" w:hAnsiTheme="minorHAnsi"/>
        </w:rPr>
        <w:t xml:space="preserve"> jcwp </w:t>
      </w:r>
      <w:r>
        <w:rPr>
          <w:rFonts w:asciiTheme="minorHAnsi" w:hAnsiTheme="minorHAnsi"/>
        </w:rPr>
        <w:t>LW w obszarze dorzecza Pregoły (wykres 7-8)</w:t>
      </w:r>
      <w:r w:rsidR="002E24BC" w:rsidRPr="006041E3">
        <w:rPr>
          <w:rFonts w:asciiTheme="minorHAnsi" w:hAnsiTheme="minorHAnsi"/>
        </w:rPr>
        <w:t xml:space="preserve">. </w:t>
      </w:r>
    </w:p>
    <w:p w14:paraId="22643147" w14:textId="41708EF0" w:rsidR="002E24BC" w:rsidRDefault="007D5C9F" w:rsidP="002E24BC">
      <w:pPr>
        <w:jc w:val="center"/>
        <w:rPr>
          <w:b/>
          <w:bCs/>
        </w:rPr>
      </w:pPr>
      <w:r>
        <w:rPr>
          <w:noProof/>
        </w:rPr>
        <w:drawing>
          <wp:inline distT="0" distB="0" distL="0" distR="0" wp14:anchorId="1628556C" wp14:editId="2461C79C">
            <wp:extent cx="5652135" cy="2943860"/>
            <wp:effectExtent l="0" t="0" r="5715" b="8890"/>
            <wp:docPr id="237" name="Chart 237">
              <a:extLst xmlns:a="http://schemas.openxmlformats.org/drawingml/2006/main">
                <a:ext uri="{FF2B5EF4-FFF2-40B4-BE49-F238E27FC236}">
                  <a16:creationId xmlns:a16="http://schemas.microsoft.com/office/drawing/2014/main" id="{9E3656DE-7DA7-4A7A-898A-37EA53F1C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8C33187" w14:textId="429B9362" w:rsidR="002E24BC" w:rsidRPr="00E94950" w:rsidRDefault="002E24BC" w:rsidP="006802BB">
      <w:pPr>
        <w:pStyle w:val="Wykres"/>
        <w:rPr>
          <w:i/>
        </w:rPr>
      </w:pPr>
      <w:bookmarkStart w:id="154" w:name="_Toc66311437"/>
      <w:bookmarkStart w:id="155" w:name="_Toc68727101"/>
      <w:r w:rsidRPr="00E94950">
        <w:t xml:space="preserve">Wykres </w:t>
      </w:r>
      <w:fldSimple w:instr=" STYLEREF 1 \s ">
        <w:r w:rsidR="00EF3FD3">
          <w:rPr>
            <w:noProof/>
          </w:rPr>
          <w:t>7</w:t>
        </w:r>
      </w:fldSimple>
      <w:r w:rsidR="00EF3FD3">
        <w:noBreakHyphen/>
      </w:r>
      <w:fldSimple w:instr=" SEQ Wykres \* ARABIC \s 1 ">
        <w:r w:rsidR="00EF3FD3">
          <w:rPr>
            <w:noProof/>
          </w:rPr>
          <w:t>8</w:t>
        </w:r>
      </w:fldSimple>
      <w:r>
        <w:tab/>
      </w:r>
      <w:r w:rsidRPr="008804D3">
        <w:t xml:space="preserve">Udział jcwp </w:t>
      </w:r>
      <w:r>
        <w:t>LW</w:t>
      </w:r>
      <w:r w:rsidRPr="008804D3">
        <w:t xml:space="preserve"> zagrożonych nieosiągnięciem celów środowiskowych w ogólnej liczbie jcwp </w:t>
      </w:r>
      <w:r>
        <w:t>LW</w:t>
      </w:r>
      <w:r w:rsidRPr="008804D3">
        <w:t xml:space="preserve"> obszaru dorzecza </w:t>
      </w:r>
      <w:bookmarkEnd w:id="154"/>
      <w:r w:rsidR="00C66D17">
        <w:t>Pregoły</w:t>
      </w:r>
      <w:bookmarkEnd w:id="155"/>
    </w:p>
    <w:p w14:paraId="735005D8" w14:textId="1CF9BFDD" w:rsidR="002E24BC" w:rsidRPr="00E94950" w:rsidRDefault="002E24BC" w:rsidP="002E24BC">
      <w:pPr>
        <w:pStyle w:val="rdo0"/>
      </w:pPr>
      <w:r>
        <w:t>Ź</w:t>
      </w:r>
      <w:r w:rsidRPr="00E94950">
        <w:t xml:space="preserve">ródło: opracowanie </w:t>
      </w:r>
      <w:r w:rsidR="00B84032">
        <w:t xml:space="preserve">własne </w:t>
      </w:r>
      <w:r w:rsidRPr="00E94950">
        <w:t xml:space="preserve"> na podstawie Analizy znaczących oddziaływań </w:t>
      </w:r>
      <w:r>
        <w:t>-</w:t>
      </w:r>
      <w:r w:rsidRPr="00E94950">
        <w:t xml:space="preserve"> jcwp (…) - aktualizacja</w:t>
      </w:r>
    </w:p>
    <w:p w14:paraId="3DAB9CBB" w14:textId="545D2F53" w:rsidR="002E24BC" w:rsidRPr="008804D3" w:rsidRDefault="002E24BC" w:rsidP="002E24BC">
      <w:pPr>
        <w:rPr>
          <w:rFonts w:asciiTheme="minorHAnsi" w:hAnsiTheme="minorHAnsi"/>
        </w:rPr>
      </w:pPr>
      <w:r w:rsidRPr="008804D3">
        <w:rPr>
          <w:rFonts w:asciiTheme="minorHAnsi" w:hAnsiTheme="minorHAnsi"/>
        </w:rPr>
        <w:t xml:space="preserve">Informacja dotycząca </w:t>
      </w:r>
      <w:r>
        <w:rPr>
          <w:rFonts w:asciiTheme="minorHAnsi" w:hAnsiTheme="minorHAnsi"/>
        </w:rPr>
        <w:t xml:space="preserve">presji znaczących oraz </w:t>
      </w:r>
      <w:r w:rsidRPr="008804D3">
        <w:rPr>
          <w:rFonts w:asciiTheme="minorHAnsi" w:hAnsiTheme="minorHAnsi"/>
        </w:rPr>
        <w:t xml:space="preserve">oceny ryzyka nieosiągnięcia celów środowiskowych dla poszczególnych jcwp </w:t>
      </w:r>
      <w:r>
        <w:rPr>
          <w:rFonts w:asciiTheme="minorHAnsi" w:hAnsiTheme="minorHAnsi"/>
        </w:rPr>
        <w:t>LW</w:t>
      </w:r>
      <w:r w:rsidRPr="008804D3">
        <w:rPr>
          <w:rFonts w:asciiTheme="minorHAnsi" w:hAnsiTheme="minorHAnsi"/>
        </w:rPr>
        <w:t xml:space="preserve"> zawarta jest w załączniku nr 1 (Zestawienie główne). Zobrazowanie przestrzenne jcwp </w:t>
      </w:r>
      <w:r>
        <w:rPr>
          <w:rFonts w:asciiTheme="minorHAnsi" w:hAnsiTheme="minorHAnsi"/>
        </w:rPr>
        <w:t>L</w:t>
      </w:r>
      <w:r w:rsidRPr="008804D3">
        <w:rPr>
          <w:rFonts w:asciiTheme="minorHAnsi" w:hAnsiTheme="minorHAnsi"/>
        </w:rPr>
        <w:t xml:space="preserve">W z oceną ryzyka nieosiągnięcia celów </w:t>
      </w:r>
      <w:r w:rsidRPr="00DD0299">
        <w:rPr>
          <w:rFonts w:asciiTheme="minorHAnsi" w:hAnsiTheme="minorHAnsi"/>
        </w:rPr>
        <w:t xml:space="preserve">środowiskowych stanowi załącznik graficzny nr </w:t>
      </w:r>
      <w:r w:rsidR="00DD0299" w:rsidRPr="00DD0299">
        <w:rPr>
          <w:rFonts w:asciiTheme="minorHAnsi" w:hAnsiTheme="minorHAnsi"/>
        </w:rPr>
        <w:t>18.2.</w:t>
      </w:r>
    </w:p>
    <w:p w14:paraId="0AB5FC13" w14:textId="77777777" w:rsidR="002E24BC" w:rsidRPr="007A63A7" w:rsidRDefault="002E24BC" w:rsidP="00B50FFD">
      <w:pPr>
        <w:pStyle w:val="Nagwek2"/>
      </w:pPr>
      <w:bookmarkStart w:id="156" w:name="_Toc66305700"/>
      <w:bookmarkStart w:id="157" w:name="_Toc66311172"/>
      <w:bookmarkStart w:id="158" w:name="_Hlk54212886"/>
      <w:bookmarkStart w:id="159" w:name="_Toc68726856"/>
      <w:r w:rsidRPr="00A16A94">
        <w:t xml:space="preserve">Wody </w:t>
      </w:r>
      <w:r>
        <w:t>podziemne</w:t>
      </w:r>
      <w:bookmarkEnd w:id="156"/>
      <w:bookmarkEnd w:id="157"/>
      <w:bookmarkEnd w:id="159"/>
    </w:p>
    <w:bookmarkEnd w:id="158"/>
    <w:p w14:paraId="02940E91" w14:textId="607F8939" w:rsidR="002E24BC" w:rsidRPr="003F4A95" w:rsidRDefault="002E24BC" w:rsidP="002E24BC">
      <w:pPr>
        <w:rPr>
          <w:rFonts w:asciiTheme="minorHAnsi" w:hAnsiTheme="minorHAnsi" w:cstheme="minorHAnsi"/>
          <w:color w:val="000000"/>
        </w:rPr>
      </w:pPr>
      <w:r w:rsidRPr="008049A5">
        <w:rPr>
          <w:rFonts w:asciiTheme="minorHAnsi" w:hAnsiTheme="minorHAnsi" w:cstheme="minorHAnsi"/>
          <w:color w:val="000000"/>
        </w:rPr>
        <w:t xml:space="preserve">Dla wszystkich 174 jcwpd w Polsce opracowano </w:t>
      </w:r>
      <w:r>
        <w:rPr>
          <w:rFonts w:asciiTheme="minorHAnsi" w:hAnsiTheme="minorHAnsi" w:cstheme="minorHAnsi"/>
          <w:color w:val="000000"/>
        </w:rPr>
        <w:t xml:space="preserve">tzw. </w:t>
      </w:r>
      <w:r w:rsidRPr="008049A5">
        <w:rPr>
          <w:rFonts w:asciiTheme="minorHAnsi" w:hAnsiTheme="minorHAnsi" w:cstheme="minorHAnsi"/>
          <w:color w:val="000000"/>
        </w:rPr>
        <w:t>wstępne charakterystyki, mające na celu ocenę ryzyka nie</w:t>
      </w:r>
      <w:r w:rsidR="00A41DBE">
        <w:rPr>
          <w:rFonts w:asciiTheme="minorHAnsi" w:hAnsiTheme="minorHAnsi" w:cstheme="minorHAnsi"/>
          <w:color w:val="000000"/>
        </w:rPr>
        <w:t>osiągnięcia</w:t>
      </w:r>
      <w:r w:rsidR="00A41DBE" w:rsidRPr="008049A5">
        <w:rPr>
          <w:rFonts w:asciiTheme="minorHAnsi" w:hAnsiTheme="minorHAnsi" w:cstheme="minorHAnsi"/>
          <w:color w:val="000000"/>
        </w:rPr>
        <w:t xml:space="preserve"> </w:t>
      </w:r>
      <w:r w:rsidRPr="008049A5">
        <w:rPr>
          <w:rFonts w:asciiTheme="minorHAnsi" w:hAnsiTheme="minorHAnsi" w:cstheme="minorHAnsi"/>
          <w:color w:val="000000"/>
        </w:rPr>
        <w:t>celów środowiskowych ustalonych dla każdej części wód podziemnych na mocy art. 4 RDW. W</w:t>
      </w:r>
      <w:r w:rsidR="00474ABF">
        <w:rPr>
          <w:rFonts w:asciiTheme="minorHAnsi" w:hAnsiTheme="minorHAnsi" w:cstheme="minorHAnsi"/>
          <w:color w:val="000000"/>
        </w:rPr>
        <w:t xml:space="preserve"> obszarze</w:t>
      </w:r>
      <w:r w:rsidRPr="008049A5">
        <w:rPr>
          <w:rFonts w:asciiTheme="minorHAnsi" w:hAnsiTheme="minorHAnsi" w:cstheme="minorHAnsi"/>
          <w:color w:val="000000"/>
        </w:rPr>
        <w:t xml:space="preserve"> dorzecz</w:t>
      </w:r>
      <w:r w:rsidR="00474ABF">
        <w:rPr>
          <w:rFonts w:asciiTheme="minorHAnsi" w:hAnsiTheme="minorHAnsi" w:cstheme="minorHAnsi"/>
          <w:color w:val="000000"/>
        </w:rPr>
        <w:t>a</w:t>
      </w:r>
      <w:r w:rsidRPr="008049A5">
        <w:rPr>
          <w:rFonts w:asciiTheme="minorHAnsi" w:hAnsiTheme="minorHAnsi" w:cstheme="minorHAnsi"/>
          <w:color w:val="000000"/>
        </w:rPr>
        <w:t xml:space="preserve"> </w:t>
      </w:r>
      <w:r w:rsidR="00C66D17">
        <w:rPr>
          <w:rFonts w:asciiTheme="minorHAnsi" w:hAnsiTheme="minorHAnsi" w:cstheme="minorHAnsi"/>
          <w:color w:val="000000"/>
        </w:rPr>
        <w:t>Pregoły</w:t>
      </w:r>
      <w:r w:rsidRPr="008049A5">
        <w:rPr>
          <w:rFonts w:asciiTheme="minorHAnsi" w:hAnsiTheme="minorHAnsi" w:cstheme="minorHAnsi"/>
          <w:color w:val="000000"/>
        </w:rPr>
        <w:t xml:space="preserve"> przeanalizowano 94 jcwpd. Do analizy wykorzystano zgodnie z</w:t>
      </w:r>
      <w:r w:rsidR="00312280">
        <w:rPr>
          <w:rFonts w:asciiTheme="minorHAnsi" w:hAnsiTheme="minorHAnsi" w:cstheme="minorHAnsi"/>
          <w:color w:val="000000"/>
        </w:rPr>
        <w:t> </w:t>
      </w:r>
      <w:r w:rsidRPr="008049A5">
        <w:rPr>
          <w:rFonts w:asciiTheme="minorHAnsi" w:hAnsiTheme="minorHAnsi" w:cstheme="minorHAnsi"/>
          <w:color w:val="000000"/>
        </w:rPr>
        <w:t>Załącznikiem II.2 RDW istniejące dane z zakresu hydrogeologii, hydrologii, geologii, pedologii, przeznaczenia gruntów w zlewni, wielkości zasobów i wykorzystania wód podziemnych oraz innych niezbędnych</w:t>
      </w:r>
      <w:r>
        <w:rPr>
          <w:rFonts w:asciiTheme="minorHAnsi" w:hAnsiTheme="minorHAnsi" w:cstheme="minorHAnsi"/>
          <w:color w:val="000000"/>
        </w:rPr>
        <w:t xml:space="preserve"> danych</w:t>
      </w:r>
      <w:r w:rsidRPr="008049A5">
        <w:rPr>
          <w:rFonts w:asciiTheme="minorHAnsi" w:hAnsiTheme="minorHAnsi" w:cstheme="minorHAnsi"/>
          <w:color w:val="000000"/>
        </w:rPr>
        <w:t xml:space="preserve">. </w:t>
      </w:r>
    </w:p>
    <w:p w14:paraId="04FF83DB" w14:textId="7198A1C4" w:rsidR="002E24BC" w:rsidRPr="008049A5" w:rsidRDefault="002E24BC" w:rsidP="002E24BC">
      <w:pPr>
        <w:autoSpaceDE w:val="0"/>
        <w:autoSpaceDN w:val="0"/>
        <w:adjustRightInd w:val="0"/>
        <w:rPr>
          <w:rFonts w:asciiTheme="minorHAnsi" w:hAnsiTheme="minorHAnsi" w:cstheme="minorHAnsi"/>
        </w:rPr>
      </w:pPr>
      <w:r w:rsidRPr="008049A5">
        <w:rPr>
          <w:rFonts w:asciiTheme="minorHAnsi" w:hAnsiTheme="minorHAnsi" w:cstheme="minorHAnsi"/>
          <w:bCs/>
        </w:rPr>
        <w:t>Podstawą wyznaczenia jcwpd zagrożonych nieosiągn</w:t>
      </w:r>
      <w:r w:rsidRPr="008049A5">
        <w:rPr>
          <w:rFonts w:asciiTheme="minorHAnsi" w:hAnsiTheme="minorHAnsi" w:cstheme="minorHAnsi"/>
          <w:color w:val="000000"/>
        </w:rPr>
        <w:t xml:space="preserve">ięciem celów środowiskowych był przegląd presji na wody podziemne, a następnie analiza skutków środowiskowych </w:t>
      </w:r>
      <w:r w:rsidRPr="008049A5">
        <w:rPr>
          <w:rFonts w:asciiTheme="minorHAnsi" w:hAnsiTheme="minorHAnsi" w:cstheme="minorHAnsi"/>
        </w:rPr>
        <w:t>wywołanych oddziaływaniami antropogenicznymi</w:t>
      </w:r>
      <w:r w:rsidRPr="008049A5">
        <w:rPr>
          <w:rFonts w:asciiTheme="minorHAnsi" w:eastAsia="TimesNewRoman" w:hAnsiTheme="minorHAnsi" w:cstheme="minorHAnsi"/>
        </w:rPr>
        <w:t xml:space="preserve"> </w:t>
      </w:r>
      <w:r w:rsidRPr="008049A5">
        <w:rPr>
          <w:rFonts w:asciiTheme="minorHAnsi" w:hAnsiTheme="minorHAnsi" w:cstheme="minorHAnsi"/>
        </w:rPr>
        <w:t>na układ kr</w:t>
      </w:r>
      <w:r w:rsidRPr="008049A5">
        <w:rPr>
          <w:rFonts w:asciiTheme="minorHAnsi" w:eastAsia="TimesNewRoman" w:hAnsiTheme="minorHAnsi" w:cstheme="minorHAnsi"/>
        </w:rPr>
        <w:t>ąż</w:t>
      </w:r>
      <w:r w:rsidRPr="008049A5">
        <w:rPr>
          <w:rFonts w:asciiTheme="minorHAnsi" w:hAnsiTheme="minorHAnsi" w:cstheme="minorHAnsi"/>
        </w:rPr>
        <w:t>enia wód podziemnych oraz ich stan chemiczny zarówno w skali regionalnej, jak również w obrębie poszczególnych jcwpd. W analizie uwzględnione były warunki hydrogeologiczne oraz analiza</w:t>
      </w:r>
      <w:r>
        <w:rPr>
          <w:rFonts w:asciiTheme="minorHAnsi" w:hAnsiTheme="minorHAnsi" w:cstheme="minorHAnsi"/>
        </w:rPr>
        <w:t xml:space="preserve"> trendów</w:t>
      </w:r>
      <w:r w:rsidRPr="008049A5">
        <w:rPr>
          <w:rFonts w:asciiTheme="minorHAnsi" w:hAnsiTheme="minorHAnsi" w:cstheme="minorHAnsi"/>
        </w:rPr>
        <w:t xml:space="preserve"> zmian</w:t>
      </w:r>
      <w:r>
        <w:rPr>
          <w:rFonts w:asciiTheme="minorHAnsi" w:hAnsiTheme="minorHAnsi" w:cstheme="minorHAnsi"/>
        </w:rPr>
        <w:t xml:space="preserve"> wartości</w:t>
      </w:r>
      <w:r w:rsidRPr="008049A5">
        <w:rPr>
          <w:rFonts w:asciiTheme="minorHAnsi" w:hAnsiTheme="minorHAnsi" w:cstheme="minorHAnsi"/>
        </w:rPr>
        <w:t xml:space="preserve"> wskaźników jakości wód podziemnych w</w:t>
      </w:r>
      <w:r w:rsidR="00312280">
        <w:rPr>
          <w:rFonts w:asciiTheme="minorHAnsi" w:hAnsiTheme="minorHAnsi" w:cstheme="minorHAnsi"/>
        </w:rPr>
        <w:t> </w:t>
      </w:r>
      <w:r w:rsidRPr="008049A5">
        <w:rPr>
          <w:rFonts w:asciiTheme="minorHAnsi" w:hAnsiTheme="minorHAnsi" w:cstheme="minorHAnsi"/>
        </w:rPr>
        <w:t xml:space="preserve">obrębie poszczególnych jcwpd. </w:t>
      </w:r>
    </w:p>
    <w:p w14:paraId="59721E5C" w14:textId="774C316C" w:rsidR="002E24BC" w:rsidRPr="00207239" w:rsidRDefault="002E24BC" w:rsidP="002E24BC">
      <w:pPr>
        <w:rPr>
          <w:rFonts w:asciiTheme="minorHAnsi" w:eastAsiaTheme="majorEastAsia" w:hAnsiTheme="minorHAnsi" w:cstheme="minorBidi"/>
        </w:rPr>
      </w:pPr>
      <w:r w:rsidRPr="02F022B1">
        <w:rPr>
          <w:rFonts w:asciiTheme="minorHAnsi" w:eastAsiaTheme="majorEastAsia" w:hAnsiTheme="minorHAnsi" w:cstheme="minorBidi"/>
        </w:rPr>
        <w:t xml:space="preserve">Końcowym etapem przeprowadzonych analiz presji było zestawienie </w:t>
      </w:r>
      <w:r w:rsidRPr="02F022B1">
        <w:rPr>
          <w:rFonts w:asciiTheme="minorHAnsi" w:hAnsiTheme="minorHAnsi" w:cstheme="minorBidi"/>
        </w:rPr>
        <w:t>otrzymanych wyników. Następnie, z uwzględnieniem wyników przeprowadzonej oceny stanu jcwpd wykonano ocenę ryzyka nieosiągnięcia przez jcwpd celów środowiskowych</w:t>
      </w:r>
      <w:r w:rsidRPr="009A04B0">
        <w:rPr>
          <w:rFonts w:asciiTheme="minorHAnsi" w:hAnsiTheme="minorHAnsi" w:cstheme="minorBidi"/>
        </w:rPr>
        <w:t xml:space="preserve">. </w:t>
      </w:r>
      <w:r w:rsidRPr="00207239">
        <w:rPr>
          <w:rFonts w:asciiTheme="minorHAnsi" w:eastAsiaTheme="majorEastAsia" w:hAnsiTheme="minorHAnsi" w:cstheme="minorBidi"/>
        </w:rPr>
        <w:t xml:space="preserve">W ocenie ryzyka uwzględniono ocenę stanu wód podziemnych przeprowadzoną w oparciu o dane z monitoringu z roku 2016 i 2019. Wyniki analizy presji przedstawiono w opracowaniu </w:t>
      </w:r>
      <w:r w:rsidRPr="00A54CFD">
        <w:rPr>
          <w:rFonts w:asciiTheme="minorHAnsi" w:eastAsiaTheme="majorEastAsia" w:hAnsiTheme="minorHAnsi" w:cstheme="minorBidi"/>
          <w:i/>
        </w:rPr>
        <w:t xml:space="preserve">Dalsza charakterystyka wód podziemnych zgodnie z załącznikiem II.2 Ramowej Dyrektywy Wodnej wraz z oceną ryzyka. </w:t>
      </w:r>
      <w:r w:rsidRPr="00A54CFD">
        <w:rPr>
          <w:rFonts w:asciiTheme="minorHAnsi" w:eastAsiaTheme="majorEastAsia" w:hAnsiTheme="minorHAnsi" w:cstheme="minorBidi"/>
          <w:i/>
          <w:iCs/>
        </w:rPr>
        <w:t>Wersja 2</w:t>
      </w:r>
      <w:r w:rsidR="002E1B5D" w:rsidRPr="00A54CFD">
        <w:rPr>
          <w:rStyle w:val="Odwoanieprzypisudolnego"/>
          <w:rFonts w:asciiTheme="minorHAnsi" w:eastAsiaTheme="majorEastAsia" w:hAnsiTheme="minorHAnsi"/>
          <w:i/>
          <w:iCs/>
        </w:rPr>
        <w:footnoteReference w:id="27"/>
      </w:r>
      <w:r w:rsidR="002E1B5D" w:rsidRPr="00A54CFD">
        <w:rPr>
          <w:rFonts w:asciiTheme="minorHAnsi" w:eastAsiaTheme="majorEastAsia" w:hAnsiTheme="minorHAnsi" w:cstheme="minorBidi"/>
        </w:rPr>
        <w:t>.</w:t>
      </w:r>
      <w:r w:rsidRPr="00A54CFD">
        <w:rPr>
          <w:rFonts w:asciiTheme="minorHAnsi" w:eastAsiaTheme="majorEastAsia" w:hAnsiTheme="minorHAnsi" w:cstheme="minorBidi"/>
        </w:rPr>
        <w:t xml:space="preserve"> </w:t>
      </w:r>
    </w:p>
    <w:p w14:paraId="33999D36" w14:textId="17C02E58" w:rsidR="00ED1214" w:rsidRPr="008049A5" w:rsidRDefault="00ED1214" w:rsidP="00ED1214">
      <w:pPr>
        <w:rPr>
          <w:rFonts w:asciiTheme="minorHAnsi" w:eastAsiaTheme="majorEastAsia" w:hAnsiTheme="minorHAnsi" w:cstheme="minorBidi"/>
        </w:rPr>
      </w:pPr>
      <w:r w:rsidRPr="00E55F17">
        <w:rPr>
          <w:rFonts w:asciiTheme="minorHAnsi" w:eastAsiaTheme="majorEastAsia" w:hAnsiTheme="minorHAnsi" w:cstheme="minorBidi"/>
        </w:rPr>
        <w:t>Efektem końcowym analizy materiałów dotyczących zagrożeń ilościowych i chemicznych oraz najnowszej oceny stanu wód podziemnych (za 2019 r</w:t>
      </w:r>
      <w:r w:rsidR="002E1B5D" w:rsidRPr="00E55F17">
        <w:rPr>
          <w:rFonts w:asciiTheme="minorHAnsi" w:eastAsiaTheme="majorEastAsia" w:hAnsiTheme="minorHAnsi" w:cstheme="minorBidi"/>
        </w:rPr>
        <w:t>.</w:t>
      </w:r>
      <w:r w:rsidRPr="00E55F17">
        <w:rPr>
          <w:rFonts w:asciiTheme="minorHAnsi" w:eastAsiaTheme="majorEastAsia" w:hAnsiTheme="minorHAnsi" w:cstheme="minorBidi"/>
        </w:rPr>
        <w:t xml:space="preserve">) było zakwalifikowanie w obszarze dorzecza </w:t>
      </w:r>
      <w:r w:rsidR="00C66D17" w:rsidRPr="00E55F17">
        <w:rPr>
          <w:rFonts w:asciiTheme="minorHAnsi" w:eastAsiaTheme="majorEastAsia" w:hAnsiTheme="minorHAnsi" w:cstheme="minorBidi"/>
        </w:rPr>
        <w:t>Pregoły</w:t>
      </w:r>
      <w:r w:rsidRPr="00E55F17">
        <w:rPr>
          <w:rFonts w:asciiTheme="minorHAnsi" w:eastAsiaTheme="majorEastAsia" w:hAnsiTheme="minorHAnsi" w:cstheme="minorBidi"/>
        </w:rPr>
        <w:t xml:space="preserve"> </w:t>
      </w:r>
      <w:r w:rsidR="00E55F17" w:rsidRPr="008D5880">
        <w:rPr>
          <w:rFonts w:asciiTheme="minorHAnsi" w:eastAsiaTheme="majorEastAsia" w:hAnsiTheme="minorHAnsi" w:cstheme="minorBidi"/>
          <w:bCs/>
        </w:rPr>
        <w:t>nie stwierdzono żadnych jcwpd zagrożonych nieosiągnięciem celów środowiskowych</w:t>
      </w:r>
      <w:r w:rsidRPr="00E55F17">
        <w:rPr>
          <w:rFonts w:asciiTheme="minorHAnsi" w:eastAsiaTheme="majorEastAsia" w:hAnsiTheme="minorHAnsi" w:cstheme="minorHAnsi"/>
          <w:bCs/>
        </w:rPr>
        <w:t>.</w:t>
      </w:r>
      <w:r w:rsidRPr="2B4F059D">
        <w:rPr>
          <w:rFonts w:asciiTheme="minorHAnsi" w:eastAsiaTheme="majorEastAsia" w:hAnsiTheme="minorHAnsi" w:cstheme="minorBidi"/>
        </w:rPr>
        <w:t xml:space="preserve"> </w:t>
      </w:r>
    </w:p>
    <w:p w14:paraId="44CF23D6" w14:textId="2730F9B5" w:rsidR="002E24BC" w:rsidRPr="008049A5" w:rsidRDefault="00ED1214" w:rsidP="00ED1214">
      <w:pPr>
        <w:rPr>
          <w:rFonts w:asciiTheme="minorHAnsi" w:eastAsiaTheme="majorEastAsia" w:hAnsiTheme="minorHAnsi" w:cstheme="minorBidi"/>
        </w:rPr>
      </w:pPr>
      <w:r>
        <w:rPr>
          <w:rFonts w:asciiTheme="minorHAnsi" w:eastAsiaTheme="majorEastAsia" w:hAnsiTheme="minorHAnsi" w:cstheme="minorHAnsi"/>
          <w:bCs/>
        </w:rPr>
        <w:t>D</w:t>
      </w:r>
      <w:r w:rsidRPr="008049A5">
        <w:rPr>
          <w:rFonts w:asciiTheme="minorHAnsi" w:eastAsiaTheme="majorEastAsia" w:hAnsiTheme="minorHAnsi" w:cstheme="minorHAnsi"/>
          <w:bCs/>
        </w:rPr>
        <w:t>la wszystkich jcwpd bez względu na stopień zagrożenia i ocenę ryzyka nieosiągnięcia celów środowiskowych</w:t>
      </w:r>
      <w:r>
        <w:rPr>
          <w:rFonts w:asciiTheme="minorHAnsi" w:eastAsiaTheme="majorEastAsia" w:hAnsiTheme="minorHAnsi" w:cstheme="minorHAnsi"/>
          <w:bCs/>
        </w:rPr>
        <w:t xml:space="preserve"> opracowano tzw. dalsze charakterystyki zawierające</w:t>
      </w:r>
      <w:r w:rsidRPr="008049A5">
        <w:rPr>
          <w:rFonts w:asciiTheme="minorHAnsi" w:eastAsiaTheme="majorEastAsia" w:hAnsiTheme="minorHAnsi" w:cstheme="minorHAnsi"/>
          <w:bCs/>
        </w:rPr>
        <w:t xml:space="preserve"> istotne informacje na temat wpływu działalności człowieka na stan wód podziemnych oraz informacje w </w:t>
      </w:r>
      <w:r>
        <w:rPr>
          <w:rFonts w:asciiTheme="minorHAnsi" w:eastAsiaTheme="majorEastAsia" w:hAnsiTheme="minorHAnsi" w:cstheme="minorHAnsi"/>
          <w:bCs/>
        </w:rPr>
        <w:t xml:space="preserve">takim </w:t>
      </w:r>
      <w:r w:rsidRPr="008049A5">
        <w:rPr>
          <w:rFonts w:asciiTheme="minorHAnsi" w:eastAsiaTheme="majorEastAsia" w:hAnsiTheme="minorHAnsi" w:cstheme="minorHAnsi"/>
          <w:bCs/>
        </w:rPr>
        <w:t xml:space="preserve">zakresie jaki został określony </w:t>
      </w:r>
      <w:r>
        <w:rPr>
          <w:rFonts w:asciiTheme="minorHAnsi" w:eastAsiaTheme="majorEastAsia" w:hAnsiTheme="minorHAnsi" w:cstheme="minorHAnsi"/>
          <w:bCs/>
        </w:rPr>
        <w:t>zgodnie z</w:t>
      </w:r>
      <w:r w:rsidRPr="008049A5">
        <w:rPr>
          <w:rFonts w:asciiTheme="minorHAnsi" w:eastAsiaTheme="majorEastAsia" w:hAnsiTheme="minorHAnsi" w:cstheme="minorHAnsi"/>
          <w:bCs/>
        </w:rPr>
        <w:t xml:space="preserve"> Załącznik</w:t>
      </w:r>
      <w:r>
        <w:rPr>
          <w:rFonts w:asciiTheme="minorHAnsi" w:eastAsiaTheme="majorEastAsia" w:hAnsiTheme="minorHAnsi" w:cstheme="minorHAnsi"/>
          <w:bCs/>
        </w:rPr>
        <w:t>iem</w:t>
      </w:r>
      <w:r w:rsidRPr="008049A5">
        <w:rPr>
          <w:rFonts w:asciiTheme="minorHAnsi" w:eastAsiaTheme="majorEastAsia" w:hAnsiTheme="minorHAnsi" w:cstheme="minorHAnsi"/>
          <w:bCs/>
        </w:rPr>
        <w:t xml:space="preserve"> II.2 RDW</w:t>
      </w:r>
      <w:r w:rsidR="002E24BC" w:rsidRPr="008049A5">
        <w:rPr>
          <w:rFonts w:asciiTheme="minorHAnsi" w:eastAsiaTheme="majorEastAsia" w:hAnsiTheme="minorHAnsi" w:cstheme="minorHAnsi"/>
          <w:bCs/>
        </w:rPr>
        <w:t xml:space="preserve">. </w:t>
      </w:r>
    </w:p>
    <w:p w14:paraId="599EA14E" w14:textId="30C7A085" w:rsidR="002E24BC" w:rsidRPr="008049A5" w:rsidRDefault="002E24BC" w:rsidP="002E24BC">
      <w:pPr>
        <w:rPr>
          <w:rFonts w:asciiTheme="minorHAnsi" w:eastAsiaTheme="majorEastAsia" w:hAnsiTheme="minorHAnsi" w:cstheme="minorHAnsi"/>
          <w:bCs/>
        </w:rPr>
      </w:pPr>
      <w:r w:rsidRPr="00C66D17">
        <w:rPr>
          <w:rFonts w:asciiTheme="minorHAnsi" w:eastAsiaTheme="majorEastAsia" w:hAnsiTheme="minorHAnsi" w:cstheme="minorHAnsi"/>
          <w:bCs/>
        </w:rPr>
        <w:t xml:space="preserve">Rozkład przestrzenny jcwpd zagrożonych nieosiągnięciem celów środowiskowych został przedstawiony </w:t>
      </w:r>
      <w:r w:rsidRPr="00C66D17">
        <w:rPr>
          <w:rFonts w:asciiTheme="minorHAnsi" w:eastAsiaTheme="majorEastAsia" w:hAnsiTheme="minorHAnsi" w:cstheme="minorHAnsi"/>
        </w:rPr>
        <w:t xml:space="preserve">na załączniku graficznym nr </w:t>
      </w:r>
      <w:r w:rsidR="00ED1214" w:rsidRPr="00C66D17">
        <w:rPr>
          <w:rFonts w:asciiTheme="minorHAnsi" w:eastAsiaTheme="majorEastAsia" w:hAnsiTheme="minorHAnsi" w:cstheme="minorHAnsi"/>
          <w:bCs/>
        </w:rPr>
        <w:t>19</w:t>
      </w:r>
      <w:r w:rsidR="002E1B5D">
        <w:rPr>
          <w:rFonts w:asciiTheme="minorHAnsi" w:eastAsiaTheme="majorEastAsia" w:hAnsiTheme="minorHAnsi" w:cstheme="minorHAnsi"/>
          <w:bCs/>
        </w:rPr>
        <w:t>.</w:t>
      </w:r>
    </w:p>
    <w:p w14:paraId="5C197389" w14:textId="77777777" w:rsidR="002E24BC" w:rsidRPr="00447459" w:rsidRDefault="002E24BC" w:rsidP="002E24BC">
      <w:pPr>
        <w:rPr>
          <w:rFonts w:asciiTheme="minorHAnsi" w:hAnsiTheme="minorHAnsi" w:cstheme="minorHAnsi"/>
          <w:color w:val="000000"/>
        </w:rPr>
      </w:pPr>
      <w:r w:rsidRPr="00447459">
        <w:rPr>
          <w:rFonts w:asciiTheme="minorHAnsi" w:hAnsiTheme="minorHAnsi" w:cstheme="minorHAnsi"/>
          <w:color w:val="000000"/>
        </w:rPr>
        <w:t>W ramach identyfikacji znaczących oddziaływań antropogenicznych, mających wpływ na stan jcwpd, przeanalizowano wszystkie presje i podzielono je na kategorie ze względu na czynniki sprawcze:</w:t>
      </w:r>
    </w:p>
    <w:p w14:paraId="5772362B" w14:textId="77777777" w:rsidR="002E24BC" w:rsidRPr="00447459" w:rsidRDefault="002E24BC" w:rsidP="00AA3506">
      <w:pPr>
        <w:numPr>
          <w:ilvl w:val="0"/>
          <w:numId w:val="100"/>
        </w:numPr>
        <w:contextualSpacing/>
        <w:rPr>
          <w:rFonts w:asciiTheme="minorHAnsi" w:hAnsiTheme="minorHAnsi" w:cstheme="minorHAnsi"/>
          <w:color w:val="000000"/>
        </w:rPr>
      </w:pPr>
      <w:r w:rsidRPr="00447459">
        <w:rPr>
          <w:rFonts w:asciiTheme="minorHAnsi" w:hAnsiTheme="minorHAnsi" w:cstheme="minorHAnsi"/>
          <w:color w:val="000000"/>
        </w:rPr>
        <w:t xml:space="preserve">punktowe źródła zanieczyszczeń; </w:t>
      </w:r>
    </w:p>
    <w:p w14:paraId="539502EF" w14:textId="77777777" w:rsidR="002E24BC" w:rsidRPr="00447459" w:rsidRDefault="002E24BC" w:rsidP="00AA3506">
      <w:pPr>
        <w:numPr>
          <w:ilvl w:val="0"/>
          <w:numId w:val="100"/>
        </w:numPr>
        <w:contextualSpacing/>
        <w:rPr>
          <w:rFonts w:asciiTheme="minorHAnsi" w:hAnsiTheme="minorHAnsi" w:cstheme="minorHAnsi"/>
          <w:color w:val="000000"/>
        </w:rPr>
      </w:pPr>
      <w:r w:rsidRPr="00447459">
        <w:rPr>
          <w:rFonts w:asciiTheme="minorHAnsi" w:hAnsiTheme="minorHAnsi" w:cstheme="minorHAnsi"/>
          <w:color w:val="000000"/>
        </w:rPr>
        <w:t>rozproszone</w:t>
      </w:r>
      <w:r>
        <w:rPr>
          <w:rFonts w:asciiTheme="minorHAnsi" w:hAnsiTheme="minorHAnsi" w:cstheme="minorHAnsi"/>
          <w:color w:val="000000"/>
        </w:rPr>
        <w:t>/</w:t>
      </w:r>
      <w:r w:rsidRPr="00447459">
        <w:rPr>
          <w:rFonts w:asciiTheme="minorHAnsi" w:hAnsiTheme="minorHAnsi" w:cstheme="minorHAnsi"/>
          <w:color w:val="000000"/>
        </w:rPr>
        <w:t xml:space="preserve">obszarowe źródła zanieczyszczeń; </w:t>
      </w:r>
    </w:p>
    <w:p w14:paraId="169E7992" w14:textId="42BEA941" w:rsidR="002E24BC" w:rsidRPr="00447459" w:rsidRDefault="002E24BC" w:rsidP="00AA3506">
      <w:pPr>
        <w:numPr>
          <w:ilvl w:val="0"/>
          <w:numId w:val="100"/>
        </w:numPr>
        <w:rPr>
          <w:rFonts w:asciiTheme="minorHAnsi" w:hAnsiTheme="minorHAnsi" w:cstheme="minorHAnsi"/>
          <w:color w:val="000000"/>
        </w:rPr>
      </w:pPr>
      <w:r w:rsidRPr="00447459">
        <w:rPr>
          <w:rFonts w:asciiTheme="minorHAnsi" w:hAnsiTheme="minorHAnsi" w:cstheme="minorHAnsi"/>
          <w:color w:val="000000"/>
        </w:rPr>
        <w:t xml:space="preserve">pobory wód. </w:t>
      </w:r>
    </w:p>
    <w:p w14:paraId="58AA9B59" w14:textId="0085303E" w:rsidR="002E24BC" w:rsidRPr="009A04B0" w:rsidRDefault="002E24BC" w:rsidP="002E24BC">
      <w:pPr>
        <w:rPr>
          <w:rFonts w:asciiTheme="minorHAnsi" w:hAnsiTheme="minorHAnsi" w:cstheme="minorHAnsi"/>
          <w:color w:val="000000"/>
        </w:rPr>
      </w:pPr>
      <w:r w:rsidRPr="00447459">
        <w:rPr>
          <w:rFonts w:asciiTheme="minorHAnsi" w:hAnsiTheme="minorHAnsi" w:cstheme="minorHAnsi"/>
          <w:color w:val="000000"/>
        </w:rPr>
        <w:t xml:space="preserve">Wszystkie wymienione presje oddziałują na wody podziemne w różnym stopniu, a ich oddziaływania mogą się kumulować i negatywnie wpływać na </w:t>
      </w:r>
      <w:r>
        <w:rPr>
          <w:rFonts w:asciiTheme="minorHAnsi" w:hAnsiTheme="minorHAnsi" w:cstheme="minorHAnsi"/>
          <w:color w:val="000000"/>
        </w:rPr>
        <w:t>stan</w:t>
      </w:r>
      <w:r w:rsidRPr="00447459">
        <w:rPr>
          <w:rFonts w:asciiTheme="minorHAnsi" w:hAnsiTheme="minorHAnsi" w:cstheme="minorHAnsi"/>
          <w:color w:val="000000"/>
        </w:rPr>
        <w:t xml:space="preserve"> </w:t>
      </w:r>
      <w:r w:rsidRPr="009A04B0">
        <w:rPr>
          <w:rFonts w:asciiTheme="minorHAnsi" w:hAnsiTheme="minorHAnsi" w:cstheme="minorHAnsi"/>
          <w:color w:val="000000"/>
        </w:rPr>
        <w:t xml:space="preserve">wód powierzchniowych oraz stan ekosystemów zależnych od wód podziemnych. Zostały one uwzględnione w trakcie wykonywania oceny stanu jcwpd w roku 2020 (na danych z monitoringu z 2019 r.) </w:t>
      </w:r>
      <w:r w:rsidRPr="009A04B0">
        <w:rPr>
          <w:rFonts w:asciiTheme="minorHAnsi" w:hAnsiTheme="minorHAnsi" w:cstheme="minorHAnsi"/>
          <w:iCs/>
        </w:rPr>
        <w:t>Wykaz wykorzystanych danych został podany w</w:t>
      </w:r>
      <w:r w:rsidR="003543DC">
        <w:rPr>
          <w:rFonts w:asciiTheme="minorHAnsi" w:hAnsiTheme="minorHAnsi" w:cstheme="minorHAnsi"/>
          <w:iCs/>
        </w:rPr>
        <w:t> </w:t>
      </w:r>
      <w:r w:rsidRPr="009A04B0">
        <w:rPr>
          <w:rFonts w:asciiTheme="minorHAnsi" w:hAnsiTheme="minorHAnsi" w:cstheme="minorHAnsi"/>
          <w:iCs/>
        </w:rPr>
        <w:t>Metodyce opracowania projektów IIaPGW.</w:t>
      </w:r>
    </w:p>
    <w:p w14:paraId="24167FD9" w14:textId="77777777" w:rsidR="002E24BC" w:rsidRPr="009A04B0" w:rsidRDefault="002E24BC" w:rsidP="002E24BC">
      <w:pPr>
        <w:tabs>
          <w:tab w:val="left" w:pos="851"/>
        </w:tabs>
        <w:ind w:left="851" w:hanging="851"/>
        <w:rPr>
          <w:rFonts w:asciiTheme="minorHAnsi" w:eastAsiaTheme="majorEastAsia" w:hAnsiTheme="minorHAnsi" w:cstheme="minorHAnsi"/>
          <w:b/>
        </w:rPr>
      </w:pPr>
      <w:r w:rsidRPr="009A04B0">
        <w:rPr>
          <w:rFonts w:asciiTheme="minorHAnsi" w:eastAsiaTheme="majorEastAsia" w:hAnsiTheme="minorHAnsi" w:cstheme="minorHAnsi"/>
          <w:b/>
        </w:rPr>
        <w:t>Punktowe źródła zanieczyszczeń</w:t>
      </w:r>
    </w:p>
    <w:p w14:paraId="0E336B7F" w14:textId="40FC84B1" w:rsidR="002E24BC" w:rsidRPr="00447459" w:rsidRDefault="002E24BC" w:rsidP="002E24BC">
      <w:pPr>
        <w:rPr>
          <w:rFonts w:asciiTheme="minorHAnsi" w:hAnsiTheme="minorHAnsi" w:cstheme="minorBidi"/>
          <w:color w:val="000000"/>
        </w:rPr>
      </w:pPr>
      <w:r w:rsidRPr="009A04B0">
        <w:rPr>
          <w:rFonts w:asciiTheme="minorHAnsi" w:hAnsiTheme="minorHAnsi" w:cstheme="minorHAnsi"/>
          <w:color w:val="000000"/>
        </w:rPr>
        <w:t xml:space="preserve">Głównymi czynnikami presji punktowych źródeł </w:t>
      </w:r>
      <w:r w:rsidRPr="00C66D17">
        <w:rPr>
          <w:rFonts w:asciiTheme="minorHAnsi" w:hAnsiTheme="minorHAnsi" w:cstheme="minorHAnsi"/>
          <w:color w:val="000000"/>
        </w:rPr>
        <w:t>zanieczyszczeń są (wykres 7-</w:t>
      </w:r>
      <w:r w:rsidR="00585159" w:rsidRPr="00C66D17">
        <w:rPr>
          <w:rFonts w:asciiTheme="minorHAnsi" w:hAnsiTheme="minorHAnsi" w:cstheme="minorHAnsi"/>
          <w:color w:val="000000"/>
        </w:rPr>
        <w:t>9</w:t>
      </w:r>
      <w:r w:rsidRPr="00C66D17">
        <w:rPr>
          <w:rFonts w:asciiTheme="minorHAnsi" w:hAnsiTheme="minorHAnsi" w:cstheme="minorHAnsi"/>
          <w:color w:val="000000"/>
        </w:rPr>
        <w:t>):</w:t>
      </w:r>
      <w:r w:rsidRPr="009A04B0">
        <w:rPr>
          <w:rFonts w:asciiTheme="minorHAnsi" w:hAnsiTheme="minorHAnsi" w:cstheme="minorHAnsi"/>
          <w:color w:val="000000"/>
        </w:rPr>
        <w:t xml:space="preserve"> </w:t>
      </w:r>
    </w:p>
    <w:p w14:paraId="65AF9B6F" w14:textId="77777777" w:rsidR="002E24BC" w:rsidRPr="009A04B0" w:rsidRDefault="002E24BC" w:rsidP="00AA3506">
      <w:pPr>
        <w:pStyle w:val="Akapitzlist"/>
        <w:numPr>
          <w:ilvl w:val="0"/>
          <w:numId w:val="73"/>
        </w:numPr>
      </w:pPr>
      <w:r w:rsidRPr="009A04B0">
        <w:t xml:space="preserve">składowiska odpadów przemysłowych; </w:t>
      </w:r>
    </w:p>
    <w:p w14:paraId="1CEAE949" w14:textId="77777777" w:rsidR="002E24BC" w:rsidRDefault="002E24BC" w:rsidP="00AA3506">
      <w:pPr>
        <w:pStyle w:val="Akapitzlist"/>
        <w:numPr>
          <w:ilvl w:val="0"/>
          <w:numId w:val="73"/>
        </w:numPr>
      </w:pPr>
      <w:r w:rsidRPr="00207239">
        <w:t xml:space="preserve">składowiska odpadów komunalnych; </w:t>
      </w:r>
    </w:p>
    <w:p w14:paraId="7B0467F0" w14:textId="2C99C185" w:rsidR="005A3D9C" w:rsidRDefault="002E24BC" w:rsidP="00AA3506">
      <w:pPr>
        <w:pStyle w:val="Akapitzlist"/>
        <w:numPr>
          <w:ilvl w:val="0"/>
          <w:numId w:val="73"/>
        </w:numPr>
      </w:pPr>
      <w:r w:rsidRPr="00207239">
        <w:t>składowiska inne</w:t>
      </w:r>
      <w:r w:rsidR="00C63C1E">
        <w:t xml:space="preserve"> </w:t>
      </w:r>
      <w:r w:rsidR="00C63C1E" w:rsidRPr="00C63C1E">
        <w:t>niż niebezpieczne i obojętne</w:t>
      </w:r>
      <w:r w:rsidRPr="00207239">
        <w:t>;</w:t>
      </w:r>
    </w:p>
    <w:p w14:paraId="14D25B49" w14:textId="77777777" w:rsidR="005A3D9C" w:rsidRDefault="005A3D9C">
      <w:pPr>
        <w:spacing w:before="0" w:after="0"/>
        <w:jc w:val="left"/>
      </w:pPr>
      <w:r>
        <w:br w:type="page"/>
      </w:r>
    </w:p>
    <w:p w14:paraId="6F573D1C" w14:textId="26400137" w:rsidR="002E24BC" w:rsidRDefault="00585159" w:rsidP="002E24BC">
      <w:pPr>
        <w:jc w:val="center"/>
        <w:rPr>
          <w:color w:val="000000"/>
        </w:rPr>
      </w:pPr>
      <w:r>
        <w:rPr>
          <w:noProof/>
        </w:rPr>
        <w:drawing>
          <wp:inline distT="0" distB="0" distL="0" distR="0" wp14:anchorId="007B702E" wp14:editId="5C58F471">
            <wp:extent cx="3838755" cy="2343150"/>
            <wp:effectExtent l="0" t="0" r="9525" b="0"/>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0D05768" w14:textId="4099F240" w:rsidR="002E24BC" w:rsidRPr="003E2CDB" w:rsidRDefault="002E24BC" w:rsidP="006802BB">
      <w:pPr>
        <w:pStyle w:val="Wykres"/>
      </w:pPr>
      <w:bookmarkStart w:id="160" w:name="_Toc66311440"/>
      <w:bookmarkStart w:id="161" w:name="_Toc68727102"/>
      <w:r w:rsidRPr="004B1955">
        <w:t xml:space="preserve">Wykres </w:t>
      </w:r>
      <w:fldSimple w:instr=" STYLEREF 1 \s ">
        <w:r w:rsidR="00EF3FD3">
          <w:rPr>
            <w:noProof/>
          </w:rPr>
          <w:t>7</w:t>
        </w:r>
      </w:fldSimple>
      <w:r w:rsidR="00EF3FD3">
        <w:noBreakHyphen/>
      </w:r>
      <w:fldSimple w:instr=" SEQ Wykres \* ARABIC \s 1 ">
        <w:r w:rsidR="00EF3FD3">
          <w:rPr>
            <w:noProof/>
          </w:rPr>
          <w:t>9</w:t>
        </w:r>
      </w:fldSimple>
      <w:r w:rsidRPr="003E2CDB">
        <w:tab/>
      </w:r>
      <w:bookmarkEnd w:id="160"/>
      <w:r w:rsidR="005A2CE6">
        <w:t>U</w:t>
      </w:r>
      <w:r w:rsidR="00936CE7" w:rsidRPr="00936CE7">
        <w:t xml:space="preserve">dział </w:t>
      </w:r>
      <w:r w:rsidR="005A2CE6">
        <w:t>różnych typów składowisk</w:t>
      </w:r>
      <w:r w:rsidR="00936CE7" w:rsidRPr="00936CE7">
        <w:t xml:space="preserve"> </w:t>
      </w:r>
      <w:r w:rsidR="00936CE7">
        <w:t>na</w:t>
      </w:r>
      <w:r w:rsidR="00936CE7" w:rsidRPr="00936CE7">
        <w:t xml:space="preserve"> obszarze dorzecza</w:t>
      </w:r>
      <w:r w:rsidR="00936CE7">
        <w:t xml:space="preserve"> </w:t>
      </w:r>
      <w:r w:rsidR="00585159">
        <w:t>Pregoły</w:t>
      </w:r>
      <w:bookmarkEnd w:id="161"/>
    </w:p>
    <w:p w14:paraId="23E814B7" w14:textId="77777777" w:rsidR="00F52758" w:rsidRDefault="00F52758" w:rsidP="00F52758">
      <w:pPr>
        <w:pStyle w:val="rdo0"/>
      </w:pPr>
      <w:r w:rsidRPr="002D0D68">
        <w:t xml:space="preserve">Źródło: opracowanie </w:t>
      </w:r>
      <w:r>
        <w:t>własne</w:t>
      </w:r>
    </w:p>
    <w:p w14:paraId="2846E0A8" w14:textId="10A3FDD7" w:rsidR="00585159" w:rsidRDefault="00585159" w:rsidP="00585159">
      <w:pPr>
        <w:rPr>
          <w:rFonts w:asciiTheme="minorHAnsi" w:hAnsiTheme="minorHAnsi" w:cstheme="minorHAnsi"/>
          <w:color w:val="000000"/>
        </w:rPr>
      </w:pPr>
      <w:r>
        <w:rPr>
          <w:iCs/>
        </w:rPr>
        <w:t>Punktowe źródła zanieczyszczeń analizowano głównie pod kątem ich wpływu na stan chemiczny jcwpd. Szczegółowo analizowano rozmieszczenie i potencjalne oddziaływanie punktowych ognisk zanieczyszczeń na obszarach gdzie naturalne właściwości ochronne warstw wodonośnych są słabe, a</w:t>
      </w:r>
      <w:r w:rsidR="003543DC">
        <w:rPr>
          <w:iCs/>
        </w:rPr>
        <w:t> </w:t>
      </w:r>
      <w:r>
        <w:rPr>
          <w:iCs/>
        </w:rPr>
        <w:t xml:space="preserve">które wyrażone są m.in. poprzez stopień zagrożenia głównego użytkowego poziomu wodonośnego, izolację od powierzchni terenu, a także głębokość występowania wód podziemnych i rodzaj ośrodka wodonośnego </w:t>
      </w:r>
      <w:r w:rsidR="006C4947">
        <w:rPr>
          <w:iCs/>
        </w:rPr>
        <w:t>-</w:t>
      </w:r>
      <w:r>
        <w:rPr>
          <w:iCs/>
        </w:rPr>
        <w:t xml:space="preserve"> porowy, szczelinowo-porowy lub szczelinowo-krasowy.</w:t>
      </w:r>
      <w:r>
        <w:rPr>
          <w:rFonts w:asciiTheme="minorHAnsi" w:hAnsiTheme="minorHAnsi" w:cstheme="minorHAnsi"/>
          <w:color w:val="000000"/>
        </w:rPr>
        <w:t xml:space="preserve"> </w:t>
      </w:r>
    </w:p>
    <w:p w14:paraId="42254800" w14:textId="35C667BB" w:rsidR="00585159" w:rsidRDefault="00585159" w:rsidP="00585159">
      <w:pPr>
        <w:rPr>
          <w:rFonts w:asciiTheme="minorHAnsi" w:hAnsiTheme="minorHAnsi" w:cstheme="minorHAnsi"/>
          <w:color w:val="000000"/>
        </w:rPr>
      </w:pPr>
      <w:r>
        <w:rPr>
          <w:rFonts w:asciiTheme="minorHAnsi" w:hAnsiTheme="minorHAnsi" w:cstheme="minorHAnsi"/>
          <w:color w:val="000000"/>
        </w:rPr>
        <w:t xml:space="preserve">Rozmieszczenie składowisk przemysłowych i komunalnych na jcwpd na obszarze dorzecza Pregoły </w:t>
      </w:r>
      <w:r w:rsidRPr="008C0B70">
        <w:rPr>
          <w:rFonts w:asciiTheme="minorHAnsi" w:hAnsiTheme="minorHAnsi" w:cstheme="minorHAnsi"/>
          <w:color w:val="000000"/>
        </w:rPr>
        <w:t>przedstawiono na załączniku graficznym nr 22.</w:t>
      </w:r>
    </w:p>
    <w:p w14:paraId="72DB4094" w14:textId="77777777" w:rsidR="002E24BC" w:rsidRPr="00447459" w:rsidRDefault="002E24BC" w:rsidP="002E24BC">
      <w:pPr>
        <w:tabs>
          <w:tab w:val="left" w:pos="851"/>
        </w:tabs>
        <w:ind w:left="851" w:hanging="851"/>
        <w:rPr>
          <w:rFonts w:asciiTheme="minorHAnsi" w:eastAsiaTheme="majorEastAsia" w:hAnsiTheme="minorHAnsi" w:cstheme="minorBidi"/>
          <w:b/>
        </w:rPr>
      </w:pPr>
      <w:r w:rsidRPr="0CA93A98">
        <w:rPr>
          <w:rFonts w:asciiTheme="minorHAnsi" w:eastAsiaTheme="majorEastAsia" w:hAnsiTheme="minorHAnsi" w:cstheme="minorBidi"/>
          <w:b/>
        </w:rPr>
        <w:t>Rozproszone źródła zanieczyszczeń</w:t>
      </w:r>
    </w:p>
    <w:p w14:paraId="747563A8" w14:textId="77777777" w:rsidR="00585159" w:rsidRDefault="00585159" w:rsidP="00585159">
      <w:pPr>
        <w:rPr>
          <w:iCs/>
        </w:rPr>
      </w:pPr>
      <w:r>
        <w:rPr>
          <w:iCs/>
        </w:rPr>
        <w:t>Czynnikami sprawczymi rozproszonych i obszarowych źródeł zanieczyszczeń są między innymi:</w:t>
      </w:r>
    </w:p>
    <w:p w14:paraId="567D1FBD" w14:textId="77777777" w:rsidR="00585159" w:rsidRDefault="00585159" w:rsidP="00AA3506">
      <w:pPr>
        <w:pStyle w:val="Akapitzlist"/>
        <w:numPr>
          <w:ilvl w:val="0"/>
          <w:numId w:val="93"/>
        </w:numPr>
      </w:pPr>
      <w:r>
        <w:t>obszary intensywnego użytkowania rolniczego;</w:t>
      </w:r>
    </w:p>
    <w:p w14:paraId="19376B4E" w14:textId="77777777" w:rsidR="00585159" w:rsidRDefault="00585159" w:rsidP="00AA3506">
      <w:pPr>
        <w:pStyle w:val="Akapitzlist"/>
        <w:numPr>
          <w:ilvl w:val="0"/>
          <w:numId w:val="93"/>
        </w:numPr>
      </w:pPr>
      <w:r>
        <w:t>sposób użytkowania terenu;</w:t>
      </w:r>
    </w:p>
    <w:p w14:paraId="7E1C5A69" w14:textId="77777777" w:rsidR="00585159" w:rsidRDefault="00585159" w:rsidP="00AA3506">
      <w:pPr>
        <w:pStyle w:val="Akapitzlist"/>
        <w:numPr>
          <w:ilvl w:val="0"/>
          <w:numId w:val="93"/>
        </w:numPr>
      </w:pPr>
      <w:r>
        <w:t>wielkość nawożenia gruntów wykorzystywanych rolniczo;</w:t>
      </w:r>
    </w:p>
    <w:p w14:paraId="20C56E80" w14:textId="77777777" w:rsidR="00585159" w:rsidRDefault="00585159" w:rsidP="00AA3506">
      <w:pPr>
        <w:pStyle w:val="Akapitzlist"/>
        <w:numPr>
          <w:ilvl w:val="0"/>
          <w:numId w:val="93"/>
        </w:numPr>
        <w:rPr>
          <w:iCs/>
        </w:rPr>
      </w:pPr>
      <w:r>
        <w:t>intensywność hodowli zwierzęcej w obszarze jcwpd;</w:t>
      </w:r>
    </w:p>
    <w:p w14:paraId="512CDDD2" w14:textId="0EB8F8A0" w:rsidR="00585159" w:rsidRDefault="00585159" w:rsidP="00AA3506">
      <w:pPr>
        <w:pStyle w:val="Akapitzlist"/>
        <w:numPr>
          <w:ilvl w:val="0"/>
          <w:numId w:val="93"/>
        </w:numPr>
        <w:rPr>
          <w:iCs/>
        </w:rPr>
      </w:pPr>
      <w:r>
        <w:rPr>
          <w:iCs/>
        </w:rPr>
        <w:t xml:space="preserve">stopień skanalizowania gmin </w:t>
      </w:r>
      <w:r>
        <w:t>(do analiz wzięto jako wskaźnik powierzchnię obszaru jcwpd nie objętą siecią kanalizacyjna)</w:t>
      </w:r>
      <w:r>
        <w:rPr>
          <w:iCs/>
        </w:rPr>
        <w:t>.</w:t>
      </w:r>
    </w:p>
    <w:p w14:paraId="41469968" w14:textId="77777777" w:rsidR="00585159" w:rsidRDefault="00585159" w:rsidP="00585159">
      <w:pPr>
        <w:rPr>
          <w:iCs/>
        </w:rPr>
      </w:pPr>
      <w:r>
        <w:rPr>
          <w:iCs/>
        </w:rPr>
        <w:t>Rozproszone i obszarowe źródła zanieczyszczeń mają negatywny wpływ na stan chemiczny wód podziemnych. Podwyższone stężenia związków azotu przedostających się do wód podziemnych są wynikiem braku kanalizacji lub nieszczelnej podziemnej infrastruktury technicznej na terenach zurbanizowanych, stosowania nawozów mineralnych i naturalnych na terenach użytkowanych rolniczo.</w:t>
      </w:r>
    </w:p>
    <w:p w14:paraId="0B7E1C89" w14:textId="77777777" w:rsidR="002E24BC" w:rsidRPr="009A04B0" w:rsidRDefault="002E24BC" w:rsidP="00AA0CAB">
      <w:pPr>
        <w:pStyle w:val="Nagwek5"/>
      </w:pPr>
      <w:r w:rsidRPr="009A04B0">
        <w:t>Pobory wody</w:t>
      </w:r>
    </w:p>
    <w:p w14:paraId="0A035037" w14:textId="4D2A7B15" w:rsidR="00585159" w:rsidRDefault="00585159" w:rsidP="00585159">
      <w:pPr>
        <w:rPr>
          <w:iCs/>
        </w:rPr>
      </w:pPr>
      <w:r>
        <w:rPr>
          <w:iCs/>
        </w:rPr>
        <w:t>Obszar dorzecza Pregoły jest terenem o słabo odczuwalnej presji związanej z poborem wód podziemnych. Dostępne do zagospodarowania zasoby wód podziemnych są eksploatowane w</w:t>
      </w:r>
      <w:r w:rsidR="007E5892">
        <w:rPr>
          <w:iCs/>
        </w:rPr>
        <w:t> </w:t>
      </w:r>
      <w:r>
        <w:rPr>
          <w:iCs/>
        </w:rPr>
        <w:t>wysokości około 30%. Całkowita ilość wody ujmowanej w skali całego obszaru dorzecza Pregoły wynosi 47 724 tys. m</w:t>
      </w:r>
      <w:r>
        <w:rPr>
          <w:iCs/>
          <w:vertAlign w:val="superscript"/>
        </w:rPr>
        <w:t>3</w:t>
      </w:r>
      <w:r>
        <w:rPr>
          <w:iCs/>
        </w:rPr>
        <w:t xml:space="preserve"> na rok (pobór rejestrowany w 2018 r.). Nie prowadzi się tu żadnych odwodnień kopalnianych. Z eksploatacją wód podziemnych związane jest występowanie niewielkich lejów depresji o zasięgu ograniczonym jedynie do bezpośredniego sąsiedztwa ujęć. Nie odnotowuje się tu żadnych lejów depresji w skali regionalnej. Nie przewiduje się również znaczącego zwiększenia eksploatacji wód podziemnych i w związku z tym niewielka presja związana z poborami utrzyma się na tym samym poziomie.</w:t>
      </w:r>
    </w:p>
    <w:p w14:paraId="5CFCCC28" w14:textId="53FFC147" w:rsidR="00585159" w:rsidRDefault="00585159" w:rsidP="00585159">
      <w:pPr>
        <w:rPr>
          <w:rFonts w:asciiTheme="minorHAnsi" w:hAnsiTheme="minorHAnsi" w:cstheme="minorHAnsi"/>
          <w:color w:val="000000"/>
        </w:rPr>
      </w:pPr>
      <w:r>
        <w:rPr>
          <w:rFonts w:asciiTheme="minorHAnsi" w:hAnsiTheme="minorHAnsi" w:cstheme="minorHAnsi"/>
          <w:color w:val="000000"/>
        </w:rPr>
        <w:t xml:space="preserve">Stopień wykorzystania zasobów dostępnych do zagospodarowania wód podziemnych na obszarze dorzecza Pregoły, z podziałem na jcwpd, przedstawia </w:t>
      </w:r>
      <w:r w:rsidRPr="008C0B70">
        <w:rPr>
          <w:rFonts w:asciiTheme="minorHAnsi" w:hAnsiTheme="minorHAnsi" w:cstheme="minorHAnsi"/>
          <w:color w:val="000000"/>
        </w:rPr>
        <w:t xml:space="preserve">załącznik graficzny </w:t>
      </w:r>
      <w:r w:rsidR="00AA3254">
        <w:rPr>
          <w:rFonts w:asciiTheme="minorHAnsi" w:hAnsiTheme="minorHAnsi" w:cstheme="minorHAnsi"/>
          <w:color w:val="000000"/>
        </w:rPr>
        <w:t xml:space="preserve">nr </w:t>
      </w:r>
      <w:r w:rsidRPr="008C0B70">
        <w:rPr>
          <w:rFonts w:asciiTheme="minorHAnsi" w:hAnsiTheme="minorHAnsi" w:cstheme="minorHAnsi"/>
          <w:color w:val="000000"/>
        </w:rPr>
        <w:t>24.</w:t>
      </w:r>
    </w:p>
    <w:p w14:paraId="30AD7B59" w14:textId="0FB993A5" w:rsidR="00807CA3" w:rsidRDefault="00807CA3" w:rsidP="00807CA3">
      <w:pPr>
        <w:rPr>
          <w:iCs/>
        </w:rPr>
      </w:pPr>
      <w:r>
        <w:rPr>
          <w:iCs/>
        </w:rPr>
        <w:t>Podczas oceny ryzyka nieosiągnięcia celów środowiskowych wzięto pod uwagę praktycznie wszystkie elementy mające znaczenie dla oceny stanu wód podziemnych, zarówno ilościowego, jak i</w:t>
      </w:r>
      <w:r w:rsidR="003543DC">
        <w:rPr>
          <w:iCs/>
        </w:rPr>
        <w:t> </w:t>
      </w:r>
      <w:r>
        <w:rPr>
          <w:iCs/>
        </w:rPr>
        <w:t>chemicznego.</w:t>
      </w:r>
    </w:p>
    <w:p w14:paraId="0A61CB2B" w14:textId="77777777" w:rsidR="00807CA3" w:rsidRDefault="00807CA3" w:rsidP="00807CA3">
      <w:pPr>
        <w:rPr>
          <w:iCs/>
        </w:rPr>
      </w:pPr>
      <w:r>
        <w:rPr>
          <w:iCs/>
        </w:rPr>
        <w:t xml:space="preserve">Elementem wpływającym na wyniki oceny stanu chemicznego wód podziemnych był przede wszystkim sposób użytkowania terenu i rozmieszczenie źródeł zanieczyszczeń. Zagrożenie wód podziemnych zanieczyszczeniami pochodzenia antropogenicznego zależy między innymi od głębokości występowania warstw wodonośnych czy też stopnia izolacji od powierzchni terenu przez utwory słabo przepuszczalne. </w:t>
      </w:r>
    </w:p>
    <w:p w14:paraId="64BBEF2F" w14:textId="1977EC0A" w:rsidR="00807CA3" w:rsidRDefault="00807CA3" w:rsidP="00807CA3">
      <w:pPr>
        <w:rPr>
          <w:iCs/>
        </w:rPr>
      </w:pPr>
      <w:r>
        <w:rPr>
          <w:iCs/>
        </w:rPr>
        <w:t xml:space="preserve">W wyniku przeprowadzonej analizy presji i oddziaływań antropogenicznych, </w:t>
      </w:r>
      <w:r w:rsidR="00474ABF">
        <w:t xml:space="preserve">w obszarze dorzecza </w:t>
      </w:r>
      <w:r>
        <w:rPr>
          <w:iCs/>
        </w:rPr>
        <w:t>Pregoły nie wskazano żadnej jcwpd jako zagrożonej nieosiągnięciem celów środowiskowych w cyklu planistycznym 2022-2027</w:t>
      </w:r>
      <w:r w:rsidR="00AC1C29">
        <w:rPr>
          <w:iCs/>
        </w:rPr>
        <w:t xml:space="preserve"> (</w:t>
      </w:r>
      <w:r w:rsidR="001D2766">
        <w:rPr>
          <w:iCs/>
        </w:rPr>
        <w:t>tabela 7-5)</w:t>
      </w:r>
      <w:r>
        <w:rPr>
          <w:iCs/>
        </w:rPr>
        <w:t>.</w:t>
      </w:r>
    </w:p>
    <w:p w14:paraId="59307086" w14:textId="081301B8" w:rsidR="00642D24" w:rsidRPr="00642D24" w:rsidRDefault="00642D24" w:rsidP="006802BB">
      <w:pPr>
        <w:pStyle w:val="Tabela"/>
        <w:rPr>
          <w:bCs/>
          <w:i/>
        </w:rPr>
      </w:pPr>
      <w:bookmarkStart w:id="162" w:name="_Toc68726987"/>
      <w:r w:rsidRPr="00642D24">
        <w:rPr>
          <w:bCs/>
        </w:rPr>
        <w:t xml:space="preserve">Tabela </w:t>
      </w:r>
      <w:r w:rsidR="007B4050">
        <w:rPr>
          <w:bCs/>
        </w:rPr>
        <w:fldChar w:fldCharType="begin"/>
      </w:r>
      <w:r w:rsidR="007B4050">
        <w:rPr>
          <w:bCs/>
        </w:rPr>
        <w:instrText xml:space="preserve"> STYLEREF 1 \s </w:instrText>
      </w:r>
      <w:r w:rsidR="007B4050">
        <w:rPr>
          <w:bCs/>
        </w:rPr>
        <w:fldChar w:fldCharType="separate"/>
      </w:r>
      <w:r w:rsidR="007B4050">
        <w:rPr>
          <w:bCs/>
          <w:noProof/>
        </w:rPr>
        <w:t>7</w:t>
      </w:r>
      <w:r w:rsidR="007B4050">
        <w:rPr>
          <w:bCs/>
        </w:rPr>
        <w:fldChar w:fldCharType="end"/>
      </w:r>
      <w:r w:rsidR="007B4050">
        <w:rPr>
          <w:bCs/>
        </w:rPr>
        <w:noBreakHyphen/>
      </w:r>
      <w:r w:rsidR="007B4050">
        <w:rPr>
          <w:bCs/>
        </w:rPr>
        <w:fldChar w:fldCharType="begin"/>
      </w:r>
      <w:r w:rsidR="007B4050">
        <w:rPr>
          <w:bCs/>
        </w:rPr>
        <w:instrText xml:space="preserve"> SEQ Tabela \* ARABIC \s 1 </w:instrText>
      </w:r>
      <w:r w:rsidR="007B4050">
        <w:rPr>
          <w:bCs/>
        </w:rPr>
        <w:fldChar w:fldCharType="separate"/>
      </w:r>
      <w:r w:rsidR="007B4050">
        <w:rPr>
          <w:bCs/>
          <w:noProof/>
        </w:rPr>
        <w:t>5</w:t>
      </w:r>
      <w:r w:rsidR="007B4050">
        <w:rPr>
          <w:bCs/>
        </w:rPr>
        <w:fldChar w:fldCharType="end"/>
      </w:r>
      <w:r w:rsidRPr="00642D24">
        <w:rPr>
          <w:bCs/>
        </w:rPr>
        <w:tab/>
      </w:r>
      <w:r w:rsidRPr="00642D24">
        <w:t>Podsumowanie analizy znaczących oddziaływań antropogenicznych wraz z oceną ryzyka nieosiągnięcia celów środowiskowych dla jcwp</w:t>
      </w:r>
      <w:r w:rsidR="00E55F17">
        <w:t>d na</w:t>
      </w:r>
      <w:r w:rsidRPr="00642D24">
        <w:t xml:space="preserve"> obszar</w:t>
      </w:r>
      <w:r w:rsidR="00E55F17">
        <w:t>ze</w:t>
      </w:r>
      <w:r w:rsidRPr="00642D24">
        <w:t xml:space="preserve"> dorzecza </w:t>
      </w:r>
      <w:r w:rsidR="00E55F17" w:rsidRPr="00642D24">
        <w:t>Pregoł</w:t>
      </w:r>
      <w:r w:rsidR="00E55F17">
        <w:t>y</w:t>
      </w:r>
      <w:bookmarkEnd w:id="162"/>
    </w:p>
    <w:tbl>
      <w:tblPr>
        <w:tblW w:w="9142" w:type="dxa"/>
        <w:tblInd w:w="70" w:type="dxa"/>
        <w:tblCellMar>
          <w:left w:w="70" w:type="dxa"/>
          <w:right w:w="70" w:type="dxa"/>
        </w:tblCellMar>
        <w:tblLook w:val="04A0" w:firstRow="1" w:lastRow="0" w:firstColumn="1" w:lastColumn="0" w:noHBand="0" w:noVBand="1"/>
      </w:tblPr>
      <w:tblGrid>
        <w:gridCol w:w="1560"/>
        <w:gridCol w:w="1275"/>
        <w:gridCol w:w="2127"/>
        <w:gridCol w:w="1842"/>
        <w:gridCol w:w="2338"/>
      </w:tblGrid>
      <w:tr w:rsidR="00642D24" w:rsidRPr="00642D24" w14:paraId="03339B77" w14:textId="77777777" w:rsidTr="00EF3FD3">
        <w:trPr>
          <w:cantSplit/>
          <w:trHeight w:val="744"/>
          <w:tblHeader/>
        </w:trPr>
        <w:tc>
          <w:tcPr>
            <w:tcW w:w="1560"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3259B2FA" w14:textId="77777777" w:rsidR="00642D24" w:rsidRPr="00642D24" w:rsidRDefault="00642D24" w:rsidP="00DC4EC5">
            <w:pPr>
              <w:spacing w:before="0" w:after="0"/>
              <w:jc w:val="center"/>
              <w:rPr>
                <w:rFonts w:eastAsia="Times New Roman"/>
                <w:b/>
                <w:bCs/>
                <w:sz w:val="20"/>
                <w:szCs w:val="20"/>
                <w:lang w:eastAsia="pl-PL"/>
              </w:rPr>
            </w:pPr>
            <w:r w:rsidRPr="00642D24">
              <w:rPr>
                <w:rFonts w:eastAsia="Times New Roman"/>
                <w:b/>
                <w:bCs/>
                <w:sz w:val="20"/>
                <w:szCs w:val="20"/>
                <w:lang w:eastAsia="pl-PL"/>
              </w:rPr>
              <w:t>Kod jcwpd</w:t>
            </w:r>
          </w:p>
        </w:tc>
        <w:tc>
          <w:tcPr>
            <w:tcW w:w="1275" w:type="dxa"/>
            <w:tcBorders>
              <w:top w:val="single" w:sz="4" w:space="0" w:color="auto"/>
              <w:left w:val="nil"/>
              <w:bottom w:val="nil"/>
              <w:right w:val="single" w:sz="4" w:space="0" w:color="auto"/>
            </w:tcBorders>
            <w:shd w:val="clear" w:color="auto" w:fill="BFBFBF" w:themeFill="background1" w:themeFillShade="BF"/>
            <w:vAlign w:val="center"/>
            <w:hideMark/>
          </w:tcPr>
          <w:p w14:paraId="3633E2AF" w14:textId="77777777" w:rsidR="00642D24" w:rsidRPr="00642D24" w:rsidRDefault="00642D24" w:rsidP="00DC4EC5">
            <w:pPr>
              <w:spacing w:before="0" w:after="0"/>
              <w:jc w:val="center"/>
              <w:rPr>
                <w:rFonts w:eastAsia="Times New Roman"/>
                <w:b/>
                <w:bCs/>
                <w:sz w:val="20"/>
                <w:szCs w:val="20"/>
                <w:lang w:eastAsia="pl-PL"/>
              </w:rPr>
            </w:pPr>
            <w:r w:rsidRPr="00642D24">
              <w:rPr>
                <w:rFonts w:eastAsia="Times New Roman"/>
                <w:b/>
                <w:bCs/>
                <w:sz w:val="20"/>
                <w:szCs w:val="20"/>
                <w:lang w:eastAsia="pl-PL"/>
              </w:rPr>
              <w:t>Stan jcwpd</w:t>
            </w:r>
          </w:p>
        </w:tc>
        <w:tc>
          <w:tcPr>
            <w:tcW w:w="2127" w:type="dxa"/>
            <w:tcBorders>
              <w:top w:val="single" w:sz="4" w:space="0" w:color="auto"/>
              <w:left w:val="nil"/>
              <w:bottom w:val="nil"/>
              <w:right w:val="single" w:sz="4" w:space="0" w:color="auto"/>
            </w:tcBorders>
            <w:shd w:val="clear" w:color="auto" w:fill="BFBFBF" w:themeFill="background1" w:themeFillShade="BF"/>
            <w:vAlign w:val="center"/>
            <w:hideMark/>
          </w:tcPr>
          <w:p w14:paraId="7F8C2072" w14:textId="77777777" w:rsidR="00642D24" w:rsidRPr="00642D24" w:rsidRDefault="00642D24" w:rsidP="00DC4EC5">
            <w:pPr>
              <w:spacing w:before="0" w:after="0"/>
              <w:jc w:val="center"/>
              <w:rPr>
                <w:rFonts w:eastAsia="Times New Roman"/>
                <w:b/>
                <w:bCs/>
                <w:sz w:val="20"/>
                <w:szCs w:val="20"/>
                <w:lang w:eastAsia="pl-PL"/>
              </w:rPr>
            </w:pPr>
            <w:r w:rsidRPr="00642D24">
              <w:rPr>
                <w:rFonts w:eastAsia="Times New Roman"/>
                <w:b/>
                <w:bCs/>
                <w:sz w:val="20"/>
                <w:szCs w:val="20"/>
                <w:lang w:eastAsia="pl-PL"/>
              </w:rPr>
              <w:t>Cel środowiskowy</w:t>
            </w:r>
          </w:p>
        </w:tc>
        <w:tc>
          <w:tcPr>
            <w:tcW w:w="184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C5C38E" w14:textId="77777777" w:rsidR="00642D24" w:rsidRPr="00642D24" w:rsidRDefault="00642D24" w:rsidP="00DC4EC5">
            <w:pPr>
              <w:spacing w:before="0" w:after="0"/>
              <w:jc w:val="center"/>
              <w:rPr>
                <w:rFonts w:cs="Arial"/>
                <w:b/>
                <w:bCs/>
                <w:sz w:val="20"/>
                <w:szCs w:val="20"/>
              </w:rPr>
            </w:pPr>
            <w:r w:rsidRPr="00642D24">
              <w:rPr>
                <w:rFonts w:eastAsia="Times New Roman"/>
                <w:b/>
                <w:bCs/>
                <w:sz w:val="20"/>
                <w:szCs w:val="20"/>
                <w:lang w:eastAsia="pl-PL"/>
              </w:rPr>
              <w:t>Ocena ryzyka nieosiągnięcia celu</w:t>
            </w:r>
          </w:p>
        </w:tc>
        <w:tc>
          <w:tcPr>
            <w:tcW w:w="2338"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6EBE817" w14:textId="77777777" w:rsidR="00642D24" w:rsidRPr="00642D24" w:rsidRDefault="00642D24" w:rsidP="00DC4EC5">
            <w:pPr>
              <w:spacing w:before="0" w:after="0"/>
              <w:jc w:val="center"/>
              <w:rPr>
                <w:rFonts w:eastAsia="Times New Roman"/>
                <w:b/>
                <w:bCs/>
                <w:sz w:val="20"/>
                <w:szCs w:val="20"/>
                <w:lang w:eastAsia="pl-PL"/>
              </w:rPr>
            </w:pPr>
            <w:r w:rsidRPr="00642D24">
              <w:rPr>
                <w:rFonts w:eastAsia="Times New Roman"/>
                <w:b/>
                <w:bCs/>
                <w:sz w:val="20"/>
                <w:szCs w:val="20"/>
                <w:lang w:eastAsia="pl-PL"/>
              </w:rPr>
              <w:t>Rodzaj presji</w:t>
            </w:r>
          </w:p>
        </w:tc>
      </w:tr>
      <w:tr w:rsidR="00642D24" w:rsidRPr="00642D24" w14:paraId="54EC6E90" w14:textId="77777777" w:rsidTr="00DC4EC5">
        <w:trPr>
          <w:cantSplit/>
          <w:trHeight w:val="51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FE74A"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PLGW700020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1B8F187"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dobry</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14:paraId="6F16AB52" w14:textId="77777777" w:rsidR="00642D24" w:rsidRPr="00642D24" w:rsidRDefault="00642D24" w:rsidP="00DC4EC5">
            <w:pPr>
              <w:spacing w:before="0" w:after="0"/>
              <w:jc w:val="center"/>
              <w:rPr>
                <w:rFonts w:asciiTheme="minorHAnsi" w:hAnsiTheme="minorHAnsi" w:cs="Arial"/>
                <w:color w:val="000000"/>
                <w:sz w:val="20"/>
                <w:szCs w:val="20"/>
              </w:rPr>
            </w:pPr>
            <w:r w:rsidRPr="00642D24">
              <w:rPr>
                <w:rFonts w:asciiTheme="minorHAnsi" w:hAnsiTheme="minorHAnsi" w:cs="Arial"/>
                <w:color w:val="000000"/>
                <w:sz w:val="20"/>
                <w:szCs w:val="20"/>
              </w:rPr>
              <w:t>utrzymanie dobrego stanu chemicznego i ilościowego</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53B75C7A"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niezagrożona</w:t>
            </w:r>
          </w:p>
        </w:tc>
        <w:tc>
          <w:tcPr>
            <w:tcW w:w="2338" w:type="dxa"/>
            <w:tcBorders>
              <w:top w:val="single" w:sz="4" w:space="0" w:color="auto"/>
              <w:left w:val="nil"/>
              <w:bottom w:val="single" w:sz="4" w:space="0" w:color="auto"/>
              <w:right w:val="single" w:sz="4" w:space="0" w:color="auto"/>
            </w:tcBorders>
            <w:vAlign w:val="center"/>
          </w:tcPr>
          <w:p w14:paraId="3C639F8B" w14:textId="77777777" w:rsidR="00642D24" w:rsidRPr="00642D24" w:rsidRDefault="00642D24" w:rsidP="00DC4EC5">
            <w:pPr>
              <w:spacing w:before="0" w:after="0"/>
              <w:jc w:val="center"/>
              <w:rPr>
                <w:rFonts w:cs="Arial"/>
                <w:sz w:val="20"/>
                <w:szCs w:val="20"/>
              </w:rPr>
            </w:pPr>
            <w:r w:rsidRPr="00642D24">
              <w:rPr>
                <w:rFonts w:cs="Arial"/>
                <w:sz w:val="20"/>
                <w:szCs w:val="20"/>
              </w:rPr>
              <w:t>brak presji</w:t>
            </w:r>
          </w:p>
        </w:tc>
      </w:tr>
      <w:tr w:rsidR="00642D24" w:rsidRPr="00642D24" w14:paraId="32AE33EE" w14:textId="77777777" w:rsidTr="00DC4EC5">
        <w:trPr>
          <w:cantSplit/>
          <w:trHeight w:val="51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A66B4"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PLGW700021</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022B971"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dobry</w:t>
            </w:r>
          </w:p>
        </w:tc>
        <w:tc>
          <w:tcPr>
            <w:tcW w:w="2127" w:type="dxa"/>
            <w:tcBorders>
              <w:top w:val="single" w:sz="4" w:space="0" w:color="auto"/>
              <w:left w:val="nil"/>
              <w:bottom w:val="single" w:sz="4" w:space="0" w:color="auto"/>
              <w:right w:val="single" w:sz="4" w:space="0" w:color="auto"/>
            </w:tcBorders>
            <w:shd w:val="clear" w:color="auto" w:fill="auto"/>
            <w:vAlign w:val="center"/>
          </w:tcPr>
          <w:p w14:paraId="2F310AC7" w14:textId="77777777" w:rsidR="00642D24" w:rsidRPr="00642D24" w:rsidRDefault="00642D24" w:rsidP="00DC4EC5">
            <w:pPr>
              <w:spacing w:before="0" w:after="0"/>
              <w:jc w:val="center"/>
              <w:rPr>
                <w:rFonts w:asciiTheme="minorHAnsi" w:hAnsiTheme="minorHAnsi" w:cs="Arial"/>
                <w:color w:val="000000"/>
                <w:sz w:val="20"/>
                <w:szCs w:val="20"/>
              </w:rPr>
            </w:pPr>
            <w:r w:rsidRPr="00642D24">
              <w:rPr>
                <w:rFonts w:asciiTheme="minorHAnsi" w:hAnsiTheme="minorHAnsi" w:cs="Arial"/>
                <w:color w:val="000000"/>
                <w:sz w:val="20"/>
                <w:szCs w:val="20"/>
              </w:rPr>
              <w:t>utrzymanie dobrego stanu chemicznego i ilościowego</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07774F42" w14:textId="77777777" w:rsidR="00642D24" w:rsidRPr="00642D24" w:rsidRDefault="00642D24" w:rsidP="00DC4EC5">
            <w:pPr>
              <w:spacing w:before="0" w:after="0"/>
              <w:jc w:val="center"/>
              <w:rPr>
                <w:rFonts w:asciiTheme="minorHAnsi" w:hAnsiTheme="minorHAnsi" w:cs="Arial"/>
                <w:sz w:val="20"/>
                <w:szCs w:val="20"/>
              </w:rPr>
            </w:pPr>
            <w:r w:rsidRPr="00642D24">
              <w:rPr>
                <w:rFonts w:asciiTheme="minorHAnsi" w:hAnsiTheme="minorHAnsi" w:cs="Arial"/>
                <w:sz w:val="20"/>
                <w:szCs w:val="20"/>
              </w:rPr>
              <w:t>niezagrożona</w:t>
            </w:r>
          </w:p>
        </w:tc>
        <w:tc>
          <w:tcPr>
            <w:tcW w:w="2338" w:type="dxa"/>
            <w:tcBorders>
              <w:top w:val="single" w:sz="4" w:space="0" w:color="auto"/>
              <w:left w:val="nil"/>
              <w:bottom w:val="single" w:sz="4" w:space="0" w:color="auto"/>
              <w:right w:val="single" w:sz="4" w:space="0" w:color="auto"/>
            </w:tcBorders>
            <w:vAlign w:val="center"/>
          </w:tcPr>
          <w:p w14:paraId="07285E16" w14:textId="77777777" w:rsidR="00642D24" w:rsidRPr="00642D24" w:rsidRDefault="00642D24" w:rsidP="00DC4EC5">
            <w:pPr>
              <w:spacing w:before="0" w:after="0"/>
              <w:jc w:val="center"/>
              <w:rPr>
                <w:rFonts w:cs="Arial"/>
                <w:sz w:val="20"/>
                <w:szCs w:val="20"/>
              </w:rPr>
            </w:pPr>
            <w:r w:rsidRPr="00642D24">
              <w:rPr>
                <w:rFonts w:cs="Arial"/>
                <w:sz w:val="20"/>
                <w:szCs w:val="20"/>
              </w:rPr>
              <w:t>brak presji</w:t>
            </w:r>
          </w:p>
        </w:tc>
      </w:tr>
    </w:tbl>
    <w:p w14:paraId="600B054E" w14:textId="2C8B9BC8" w:rsidR="00642D24" w:rsidRPr="00E94950" w:rsidRDefault="00642D24" w:rsidP="00642D24">
      <w:pPr>
        <w:pStyle w:val="rdo0"/>
      </w:pPr>
      <w:r w:rsidRPr="00642D24">
        <w:t xml:space="preserve">Źródło: opracowanie </w:t>
      </w:r>
      <w:r w:rsidR="00F52758">
        <w:t xml:space="preserve">własne </w:t>
      </w:r>
      <w:r w:rsidRPr="00642D24">
        <w:t>na podstawie Analizy znaczących oddziaływań - jcwp (…) - aktualizacja</w:t>
      </w:r>
    </w:p>
    <w:p w14:paraId="00ADD5B2" w14:textId="2D967F96" w:rsidR="002E24BC" w:rsidRDefault="00807CA3" w:rsidP="002E24BC">
      <w:r>
        <w:t xml:space="preserve">Informacja dotycząca presji znaczących oraz oceny ryzyka nieosiągnięcia celów środowiskowych dla jcwpd na obszarze dorzecza Pregoły zawarta jest w załączniku nr 1 (Zestawienie główne). Ocenę ryzyka nieosiągnięcia celów środowiskowych dla jcwpd na obszarze dorzecza Pregoły przedstawiono na </w:t>
      </w:r>
      <w:r w:rsidRPr="008C0B70">
        <w:t>załączniku graficznym nr 19.</w:t>
      </w:r>
    </w:p>
    <w:p w14:paraId="01A955D8" w14:textId="77777777" w:rsidR="00CC545B" w:rsidRDefault="00CC545B">
      <w:pPr>
        <w:spacing w:before="0" w:after="0"/>
        <w:jc w:val="left"/>
      </w:pPr>
      <w:r>
        <w:br w:type="page"/>
      </w:r>
    </w:p>
    <w:p w14:paraId="52ADD2C4" w14:textId="4A9A60B2" w:rsidR="00AF6038" w:rsidRPr="00FB2962" w:rsidRDefault="00AF6038" w:rsidP="00B50FFD">
      <w:pPr>
        <w:pStyle w:val="Nagwek1"/>
      </w:pPr>
      <w:bookmarkStart w:id="163" w:name="_Toc68726857"/>
      <w:r w:rsidRPr="00FB2962">
        <w:t xml:space="preserve">Cele środowiskowe dla </w:t>
      </w:r>
      <w:r w:rsidR="009C0526">
        <w:t>jcw</w:t>
      </w:r>
      <w:r w:rsidRPr="00FB2962">
        <w:t xml:space="preserve"> i obszarów chronionych</w:t>
      </w:r>
      <w:bookmarkEnd w:id="163"/>
    </w:p>
    <w:p w14:paraId="615F01E2" w14:textId="77777777" w:rsidR="00FB2962" w:rsidRDefault="00FB2962" w:rsidP="00FB2962">
      <w:pPr>
        <w:autoSpaceDE w:val="0"/>
        <w:autoSpaceDN w:val="0"/>
        <w:adjustRightInd w:val="0"/>
        <w:rPr>
          <w:rFonts w:asciiTheme="minorHAnsi" w:hAnsiTheme="minorHAnsi" w:cstheme="minorHAnsi"/>
        </w:rPr>
      </w:pPr>
      <w:bookmarkStart w:id="164" w:name="_Toc66305702"/>
      <w:bookmarkStart w:id="165" w:name="_Toc66311174"/>
      <w:r>
        <w:rPr>
          <w:rFonts w:asciiTheme="minorHAnsi" w:hAnsiTheme="minorHAnsi" w:cstheme="minorHAnsi"/>
        </w:rPr>
        <w:t>Plany gospodarowania wodami wskazują ustalone cele środowiskowe dla jcw i obszarów chronionych wraz z prezentacją wyników przeprowadzonej oceny stopnia osiągnięcia celów środowiskowych.</w:t>
      </w:r>
    </w:p>
    <w:p w14:paraId="14D8232E" w14:textId="77777777" w:rsidR="00FB2962" w:rsidRDefault="00FB2962" w:rsidP="00FB2962">
      <w:pPr>
        <w:autoSpaceDE w:val="0"/>
        <w:autoSpaceDN w:val="0"/>
        <w:adjustRightInd w:val="0"/>
        <w:rPr>
          <w:rFonts w:asciiTheme="minorHAnsi" w:hAnsiTheme="minorHAnsi" w:cstheme="minorHAnsi"/>
        </w:rPr>
      </w:pPr>
      <w:r>
        <w:rPr>
          <w:rFonts w:asciiTheme="minorHAnsi" w:hAnsiTheme="minorHAnsi" w:cstheme="minorHAnsi"/>
        </w:rPr>
        <w:t>W ramach IIaPGW przeprowadzona została ocena stopnia osiągnięcia celów środowiskowych będąca podstawą do wskazania ostatecznych celów dla jcw.</w:t>
      </w:r>
    </w:p>
    <w:p w14:paraId="42CA5AA7" w14:textId="602AFB63" w:rsidR="00FB2962" w:rsidRDefault="00FB2962" w:rsidP="00FB2962">
      <w:pPr>
        <w:autoSpaceDE w:val="0"/>
        <w:autoSpaceDN w:val="0"/>
        <w:adjustRightInd w:val="0"/>
        <w:rPr>
          <w:rFonts w:asciiTheme="minorHAnsi" w:hAnsiTheme="minorHAnsi" w:cstheme="minorHAnsi"/>
        </w:rPr>
      </w:pPr>
      <w:r>
        <w:rPr>
          <w:rFonts w:asciiTheme="minorHAnsi" w:hAnsiTheme="minorHAnsi" w:cstheme="minorHAnsi"/>
        </w:rPr>
        <w:t>Poniżej przedstawione zostały informacje dotyczące ustalonych celów środowiskowych dla poszczególnych kategorii wód i obszarów chronionych, wraz z prezentacją oceny stopnia wdrożenia celów oraz informacji o wyznaczonych odstępstwach z art. 4 RDW.</w:t>
      </w:r>
    </w:p>
    <w:p w14:paraId="0C2044AC" w14:textId="117F8CB6" w:rsidR="00A34EB6" w:rsidRPr="00A34EB6" w:rsidRDefault="00A34EB6" w:rsidP="00A34EB6">
      <w:pPr>
        <w:spacing w:before="0" w:after="0"/>
        <w:jc w:val="left"/>
        <w:rPr>
          <w:rFonts w:asciiTheme="minorHAnsi" w:hAnsiTheme="minorHAnsi" w:cstheme="minorHAnsi"/>
        </w:rPr>
      </w:pPr>
      <w:r w:rsidRPr="00A34EB6">
        <w:rPr>
          <w:rFonts w:asciiTheme="minorHAnsi" w:hAnsiTheme="minorHAnsi" w:cstheme="minorHAnsi"/>
        </w:rPr>
        <w:t xml:space="preserve">Ponadto w załączniku nr 5.1 wskazano cele środowiskowe poszczególnych jcw w obszarze dorzecza Pregoły, zaś w załączniku nr </w:t>
      </w:r>
      <w:r w:rsidR="009E1FEB">
        <w:rPr>
          <w:rFonts w:asciiTheme="minorHAnsi" w:hAnsiTheme="minorHAnsi" w:cstheme="minorHAnsi"/>
        </w:rPr>
        <w:t>8</w:t>
      </w:r>
      <w:r w:rsidRPr="00A34EB6">
        <w:rPr>
          <w:rFonts w:asciiTheme="minorHAnsi" w:hAnsiTheme="minorHAnsi" w:cstheme="minorHAnsi"/>
        </w:rPr>
        <w:t xml:space="preserve"> zestawiono te z jcwp, dla których ustalono odstępstwa. Zobrazowania mapowe </w:t>
      </w:r>
      <w:r w:rsidRPr="0006613B">
        <w:rPr>
          <w:rFonts w:asciiTheme="minorHAnsi" w:hAnsiTheme="minorHAnsi" w:cstheme="minorHAnsi"/>
        </w:rPr>
        <w:t>jcw</w:t>
      </w:r>
      <w:r w:rsidR="0006613B" w:rsidRPr="0006613B">
        <w:rPr>
          <w:rFonts w:asciiTheme="minorHAnsi" w:hAnsiTheme="minorHAnsi" w:cstheme="minorHAnsi"/>
        </w:rPr>
        <w:t>p</w:t>
      </w:r>
      <w:r w:rsidRPr="00A34EB6">
        <w:rPr>
          <w:rFonts w:asciiTheme="minorHAnsi" w:hAnsiTheme="minorHAnsi" w:cstheme="minorHAnsi"/>
        </w:rPr>
        <w:t xml:space="preserve"> w obszarze dorzecza</w:t>
      </w:r>
      <w:r>
        <w:rPr>
          <w:rFonts w:asciiTheme="minorHAnsi" w:hAnsiTheme="minorHAnsi" w:cstheme="minorHAnsi"/>
        </w:rPr>
        <w:t xml:space="preserve"> Pregoły</w:t>
      </w:r>
      <w:r w:rsidRPr="00A34EB6">
        <w:rPr>
          <w:rFonts w:asciiTheme="minorHAnsi" w:hAnsiTheme="minorHAnsi" w:cstheme="minorHAnsi"/>
        </w:rPr>
        <w:t xml:space="preserve">, dla których ustalono odstępstwa znajdują się w załącznikach graficznych nr </w:t>
      </w:r>
      <w:r w:rsidR="0006613B">
        <w:rPr>
          <w:rFonts w:asciiTheme="minorHAnsi" w:hAnsiTheme="minorHAnsi" w:cstheme="minorHAnsi"/>
        </w:rPr>
        <w:t>33 i 34</w:t>
      </w:r>
      <w:r w:rsidRPr="00A34EB6">
        <w:rPr>
          <w:rFonts w:asciiTheme="minorHAnsi" w:hAnsiTheme="minorHAnsi" w:cstheme="minorHAnsi"/>
        </w:rPr>
        <w:t>.</w:t>
      </w:r>
    </w:p>
    <w:p w14:paraId="64157D95" w14:textId="77777777" w:rsidR="000714F1" w:rsidRPr="00B7403A" w:rsidRDefault="000714F1" w:rsidP="00B50FFD">
      <w:pPr>
        <w:pStyle w:val="Nagwek2"/>
      </w:pPr>
      <w:bookmarkStart w:id="166" w:name="_Toc68726858"/>
      <w:r w:rsidRPr="00B7403A">
        <w:t>Cele środowiskowe jcwp</w:t>
      </w:r>
      <w:bookmarkEnd w:id="164"/>
      <w:bookmarkEnd w:id="165"/>
      <w:bookmarkEnd w:id="166"/>
    </w:p>
    <w:p w14:paraId="277F9971" w14:textId="0AD1E229" w:rsidR="000714F1" w:rsidRPr="00FB2962" w:rsidRDefault="000714F1" w:rsidP="000714F1">
      <w:pPr>
        <w:rPr>
          <w:iCs/>
        </w:rPr>
      </w:pPr>
      <w:r>
        <w:t xml:space="preserve">W cyklu planistycznym 2016-2021 cele środowiskowe ustalone były w odniesieniu do wymagań dla stanu lub potencjału ekologicznego oraz stanu </w:t>
      </w:r>
      <w:r w:rsidRPr="00C66D17">
        <w:t xml:space="preserve">chemicznego (tabela 8-1, tabela 8-2). </w:t>
      </w:r>
      <w:r w:rsidR="00FB2962" w:rsidRPr="00C66D17">
        <w:rPr>
          <w:iCs/>
        </w:rPr>
        <w:t>W</w:t>
      </w:r>
      <w:r w:rsidR="00FB2962" w:rsidRPr="00FB2962">
        <w:rPr>
          <w:iCs/>
        </w:rPr>
        <w:t xml:space="preserve"> przypadku jcw stanowiących obszary chronione przeznaczone do poboru wody na potrzeby zaopatrzenia ludności w</w:t>
      </w:r>
      <w:r w:rsidR="007E5892">
        <w:rPr>
          <w:iCs/>
        </w:rPr>
        <w:t> </w:t>
      </w:r>
      <w:r w:rsidR="00FB2962" w:rsidRPr="00FB2962">
        <w:rPr>
          <w:iCs/>
        </w:rPr>
        <w:t xml:space="preserve">wodę do spożycia oraz części wód przeznaczonych do celów rekreacyjnych wyznaczony był dodatkowy cel środowiskowy, odnoszący się do norm jakości wody dla tych wód. Dla jcwp przeznaczonych do poboru wody na potrzeby zaopatrzenia ludności w wodę do spożycia, w celach wskazano również, że jakość wody nie powinna ulegać pogorszeniu. </w:t>
      </w:r>
      <w:r w:rsidR="00B33CAB">
        <w:rPr>
          <w:iCs/>
        </w:rPr>
        <w:t>Na obszarze dorzecza Pregoły nie występują jcwp przeznaczone na cele zaopatrzenia w wodę przeznaczoną do spożycia</w:t>
      </w:r>
      <w:r w:rsidR="00851A52">
        <w:rPr>
          <w:iCs/>
        </w:rPr>
        <w:t>.</w:t>
      </w:r>
    </w:p>
    <w:p w14:paraId="652E557F" w14:textId="225340CE" w:rsidR="000714F1" w:rsidRDefault="000714F1" w:rsidP="006802BB">
      <w:pPr>
        <w:pStyle w:val="Tabela"/>
      </w:pPr>
      <w:bookmarkStart w:id="167" w:name="_Toc66311279"/>
      <w:bookmarkStart w:id="168" w:name="_Toc68726988"/>
      <w:r>
        <w:t xml:space="preserve">Tabela </w:t>
      </w:r>
      <w:fldSimple w:instr=" STYLEREF 1 \s ">
        <w:r w:rsidR="007B4050">
          <w:rPr>
            <w:noProof/>
          </w:rPr>
          <w:t>8</w:t>
        </w:r>
      </w:fldSimple>
      <w:r w:rsidR="007B4050">
        <w:noBreakHyphen/>
      </w:r>
      <w:fldSimple w:instr=" SEQ Tabela \* ARABIC \s 1 ">
        <w:r w:rsidR="007B4050">
          <w:rPr>
            <w:noProof/>
          </w:rPr>
          <w:t>1</w:t>
        </w:r>
      </w:fldSimple>
      <w:r>
        <w:tab/>
        <w:t xml:space="preserve">Liczba jcwp RW z poszczególnymi celami środowiskowymi </w:t>
      </w:r>
      <w:r w:rsidR="00901174">
        <w:rPr>
          <w:color w:val="000000" w:themeColor="text1"/>
        </w:rPr>
        <w:t>na</w:t>
      </w:r>
      <w:r>
        <w:rPr>
          <w:color w:val="000000" w:themeColor="text1"/>
        </w:rPr>
        <w:t xml:space="preserve"> </w:t>
      </w:r>
      <w:r w:rsidR="005E61AF">
        <w:rPr>
          <w:color w:val="000000" w:themeColor="text1"/>
        </w:rPr>
        <w:t xml:space="preserve">obszarze </w:t>
      </w:r>
      <w:r>
        <w:rPr>
          <w:color w:val="000000" w:themeColor="text1"/>
        </w:rPr>
        <w:t>dorzecz</w:t>
      </w:r>
      <w:r w:rsidR="005E61AF">
        <w:rPr>
          <w:color w:val="000000" w:themeColor="text1"/>
        </w:rPr>
        <w:t>a</w:t>
      </w:r>
      <w:r>
        <w:rPr>
          <w:color w:val="000000" w:themeColor="text1"/>
        </w:rPr>
        <w:t xml:space="preserve"> </w:t>
      </w:r>
      <w:r w:rsidR="00FB2962">
        <w:rPr>
          <w:color w:val="000000" w:themeColor="text1"/>
        </w:rPr>
        <w:t>Pregoły</w:t>
      </w:r>
      <w:r>
        <w:rPr>
          <w:color w:val="000000" w:themeColor="text1"/>
        </w:rPr>
        <w:t xml:space="preserve"> w aPGW</w:t>
      </w:r>
      <w:bookmarkEnd w:id="167"/>
      <w:r w:rsidR="00CD0948">
        <w:rPr>
          <w:color w:val="000000" w:themeColor="text1"/>
        </w:rPr>
        <w:t xml:space="preserve"> (2016-2021)</w:t>
      </w:r>
      <w:bookmarkEnd w:id="168"/>
    </w:p>
    <w:tbl>
      <w:tblPr>
        <w:tblW w:w="5000" w:type="pct"/>
        <w:tblLook w:val="04A0" w:firstRow="1" w:lastRow="0" w:firstColumn="1" w:lastColumn="0" w:noHBand="0" w:noVBand="1"/>
      </w:tblPr>
      <w:tblGrid>
        <w:gridCol w:w="4107"/>
        <w:gridCol w:w="4955"/>
      </w:tblGrid>
      <w:tr w:rsidR="00FB2962" w:rsidRPr="00286E5A" w14:paraId="2AF81A58" w14:textId="77777777" w:rsidTr="00EF3FD3">
        <w:trPr>
          <w:trHeight w:val="454"/>
        </w:trPr>
        <w:tc>
          <w:tcPr>
            <w:tcW w:w="2266"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92D3FC" w14:textId="4C5C3604" w:rsidR="00FB2962" w:rsidRPr="00286E5A" w:rsidRDefault="00FB2962" w:rsidP="00EF73BF">
            <w:pPr>
              <w:spacing w:before="40" w:after="40" w:line="257" w:lineRule="auto"/>
              <w:jc w:val="center"/>
              <w:rPr>
                <w:rFonts w:asciiTheme="minorHAnsi" w:hAnsiTheme="minorHAnsi" w:cstheme="minorHAnsi"/>
                <w:b/>
                <w:bCs/>
                <w:color w:val="000000"/>
                <w:sz w:val="20"/>
                <w:szCs w:val="20"/>
                <w:lang w:val="en-US"/>
              </w:rPr>
            </w:pPr>
            <w:r w:rsidRPr="00286E5A">
              <w:rPr>
                <w:rFonts w:asciiTheme="minorHAnsi" w:hAnsiTheme="minorHAnsi" w:cstheme="minorHAnsi"/>
                <w:b/>
                <w:bCs/>
                <w:color w:val="000000"/>
                <w:sz w:val="20"/>
                <w:szCs w:val="20"/>
                <w:lang w:val="en-US"/>
              </w:rPr>
              <w:t xml:space="preserve">Cele środowiskowe jcwp </w:t>
            </w:r>
            <w:r w:rsidR="00901174">
              <w:rPr>
                <w:rFonts w:asciiTheme="minorHAnsi" w:hAnsiTheme="minorHAnsi" w:cstheme="minorHAnsi"/>
                <w:b/>
                <w:bCs/>
                <w:color w:val="000000"/>
                <w:sz w:val="20"/>
                <w:szCs w:val="20"/>
                <w:lang w:val="en-US"/>
              </w:rPr>
              <w:t>RW</w:t>
            </w:r>
          </w:p>
        </w:tc>
        <w:tc>
          <w:tcPr>
            <w:tcW w:w="2734"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B534D2E" w14:textId="2AE908D7" w:rsidR="00FB2962" w:rsidRPr="00495D4F" w:rsidRDefault="00FB2962" w:rsidP="00FB2962">
            <w:pPr>
              <w:spacing w:before="40" w:after="40" w:line="257" w:lineRule="auto"/>
              <w:jc w:val="center"/>
              <w:rPr>
                <w:rFonts w:asciiTheme="minorHAnsi" w:hAnsiTheme="minorHAnsi" w:cstheme="minorHAnsi"/>
                <w:b/>
                <w:bCs/>
                <w:color w:val="000000"/>
                <w:sz w:val="20"/>
                <w:szCs w:val="20"/>
                <w:lang w:val="en-US"/>
              </w:rPr>
            </w:pPr>
            <w:r w:rsidRPr="00495D4F">
              <w:rPr>
                <w:rFonts w:cs="Calibri"/>
                <w:b/>
                <w:bCs/>
                <w:color w:val="000000"/>
                <w:sz w:val="20"/>
                <w:szCs w:val="20"/>
              </w:rPr>
              <w:t>Region wodny</w:t>
            </w:r>
          </w:p>
        </w:tc>
      </w:tr>
      <w:tr w:rsidR="00FB2962" w:rsidRPr="00286E5A" w14:paraId="252417C3" w14:textId="77777777" w:rsidTr="00EF3FD3">
        <w:trPr>
          <w:trHeight w:val="454"/>
        </w:trPr>
        <w:tc>
          <w:tcPr>
            <w:tcW w:w="2266"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177884" w14:textId="77777777" w:rsidR="00FB2962" w:rsidRPr="00286E5A" w:rsidRDefault="00FB2962" w:rsidP="00FB2962">
            <w:pPr>
              <w:spacing w:before="40" w:after="40" w:line="257" w:lineRule="auto"/>
              <w:jc w:val="left"/>
              <w:rPr>
                <w:rFonts w:asciiTheme="minorHAnsi" w:eastAsia="Times New Roman" w:hAnsiTheme="minorHAnsi" w:cstheme="minorHAnsi"/>
                <w:b/>
                <w:bCs/>
                <w:color w:val="000000"/>
                <w:sz w:val="20"/>
                <w:szCs w:val="20"/>
                <w:lang w:val="en-US"/>
              </w:rPr>
            </w:pPr>
          </w:p>
        </w:tc>
        <w:tc>
          <w:tcPr>
            <w:tcW w:w="2734" w:type="pct"/>
            <w:tcBorders>
              <w:top w:val="single" w:sz="4" w:space="0" w:color="auto"/>
              <w:left w:val="nil"/>
              <w:bottom w:val="single" w:sz="4" w:space="0" w:color="auto"/>
              <w:right w:val="single" w:sz="4" w:space="0" w:color="auto"/>
            </w:tcBorders>
            <w:shd w:val="clear" w:color="auto" w:fill="BFBFBF" w:themeFill="background1" w:themeFillShade="BF"/>
            <w:vAlign w:val="bottom"/>
          </w:tcPr>
          <w:p w14:paraId="41982962" w14:textId="4904E21E" w:rsidR="00FB2962" w:rsidRPr="00495D4F" w:rsidRDefault="00FB2962" w:rsidP="00FB2962">
            <w:pPr>
              <w:spacing w:before="40" w:after="40" w:line="257" w:lineRule="auto"/>
              <w:jc w:val="center"/>
              <w:rPr>
                <w:rFonts w:asciiTheme="minorHAnsi" w:hAnsiTheme="minorHAnsi" w:cstheme="minorHAnsi"/>
                <w:b/>
                <w:bCs/>
                <w:color w:val="000000"/>
                <w:sz w:val="20"/>
                <w:szCs w:val="20"/>
                <w:lang w:val="en-US"/>
              </w:rPr>
            </w:pPr>
            <w:r w:rsidRPr="00495D4F">
              <w:rPr>
                <w:rFonts w:cs="Calibri"/>
                <w:b/>
                <w:bCs/>
                <w:color w:val="000000"/>
                <w:sz w:val="20"/>
                <w:szCs w:val="20"/>
              </w:rPr>
              <w:t>Łyny i Węgorapy</w:t>
            </w:r>
          </w:p>
        </w:tc>
      </w:tr>
      <w:tr w:rsidR="00FB2962" w:rsidRPr="00286E5A" w14:paraId="1AEC0E72" w14:textId="77777777" w:rsidTr="00495D4F">
        <w:trPr>
          <w:trHeight w:val="454"/>
        </w:trPr>
        <w:tc>
          <w:tcPr>
            <w:tcW w:w="2266" w:type="pct"/>
            <w:tcBorders>
              <w:top w:val="nil"/>
              <w:left w:val="single" w:sz="4" w:space="0" w:color="auto"/>
              <w:bottom w:val="single" w:sz="4" w:space="0" w:color="auto"/>
              <w:right w:val="single" w:sz="4" w:space="0" w:color="auto"/>
            </w:tcBorders>
            <w:vAlign w:val="center"/>
            <w:hideMark/>
          </w:tcPr>
          <w:p w14:paraId="77DBD274" w14:textId="77777777" w:rsidR="00FB2962" w:rsidRPr="00286E5A" w:rsidRDefault="00FB2962" w:rsidP="00FB2962">
            <w:pPr>
              <w:spacing w:before="40" w:after="40" w:line="257" w:lineRule="auto"/>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stan ekologiczny</w:t>
            </w:r>
          </w:p>
        </w:tc>
        <w:tc>
          <w:tcPr>
            <w:tcW w:w="2734" w:type="pct"/>
            <w:tcBorders>
              <w:top w:val="single" w:sz="4" w:space="0" w:color="auto"/>
              <w:left w:val="nil"/>
              <w:bottom w:val="single" w:sz="4" w:space="0" w:color="auto"/>
              <w:right w:val="single" w:sz="4" w:space="0" w:color="auto"/>
            </w:tcBorders>
            <w:vAlign w:val="center"/>
          </w:tcPr>
          <w:p w14:paraId="025B35A8" w14:textId="115AECA7" w:rsidR="00FB2962" w:rsidRPr="00495D4F" w:rsidRDefault="00FB2962" w:rsidP="00FB2962">
            <w:pPr>
              <w:spacing w:before="40" w:after="40" w:line="257" w:lineRule="auto"/>
              <w:jc w:val="center"/>
              <w:rPr>
                <w:rFonts w:asciiTheme="minorHAnsi" w:hAnsiTheme="minorHAnsi" w:cstheme="minorHAnsi"/>
                <w:color w:val="000000"/>
                <w:sz w:val="20"/>
                <w:szCs w:val="20"/>
                <w:lang w:val="en-US"/>
              </w:rPr>
            </w:pPr>
            <w:r w:rsidRPr="00495D4F">
              <w:rPr>
                <w:rFonts w:cs="Calibri"/>
                <w:color w:val="000000"/>
                <w:sz w:val="20"/>
                <w:szCs w:val="20"/>
              </w:rPr>
              <w:t>114</w:t>
            </w:r>
          </w:p>
        </w:tc>
      </w:tr>
      <w:tr w:rsidR="00693DAA" w:rsidRPr="00286E5A" w14:paraId="2CFFCADE" w14:textId="77777777" w:rsidTr="00495D4F">
        <w:trPr>
          <w:trHeight w:val="454"/>
        </w:trPr>
        <w:tc>
          <w:tcPr>
            <w:tcW w:w="2266" w:type="pct"/>
            <w:tcBorders>
              <w:top w:val="nil"/>
              <w:left w:val="single" w:sz="4" w:space="0" w:color="auto"/>
              <w:bottom w:val="single" w:sz="4" w:space="0" w:color="auto"/>
              <w:right w:val="single" w:sz="4" w:space="0" w:color="auto"/>
            </w:tcBorders>
            <w:vAlign w:val="center"/>
          </w:tcPr>
          <w:p w14:paraId="0238EC17" w14:textId="3F980F45" w:rsidR="00693DAA" w:rsidRPr="00286E5A" w:rsidRDefault="00693DAA" w:rsidP="00693DAA">
            <w:pPr>
              <w:spacing w:before="40" w:after="40" w:line="257" w:lineRule="auto"/>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potencjał ekologiczny</w:t>
            </w:r>
          </w:p>
        </w:tc>
        <w:tc>
          <w:tcPr>
            <w:tcW w:w="2734" w:type="pct"/>
            <w:tcBorders>
              <w:top w:val="single" w:sz="4" w:space="0" w:color="auto"/>
              <w:left w:val="nil"/>
              <w:bottom w:val="single" w:sz="4" w:space="0" w:color="auto"/>
              <w:right w:val="single" w:sz="4" w:space="0" w:color="auto"/>
            </w:tcBorders>
            <w:vAlign w:val="center"/>
          </w:tcPr>
          <w:p w14:paraId="5CC5D817" w14:textId="478EAE2C" w:rsidR="00693DAA" w:rsidRPr="00495D4F" w:rsidRDefault="00693DAA" w:rsidP="00693DAA">
            <w:pPr>
              <w:spacing w:before="40" w:after="40" w:line="257" w:lineRule="auto"/>
              <w:jc w:val="center"/>
              <w:rPr>
                <w:rFonts w:cs="Calibri"/>
                <w:color w:val="000000"/>
                <w:sz w:val="20"/>
                <w:szCs w:val="20"/>
              </w:rPr>
            </w:pPr>
            <w:r w:rsidRPr="00495D4F">
              <w:rPr>
                <w:rFonts w:cs="Calibri"/>
                <w:color w:val="000000"/>
                <w:sz w:val="20"/>
                <w:szCs w:val="20"/>
              </w:rPr>
              <w:t>6</w:t>
            </w:r>
          </w:p>
        </w:tc>
      </w:tr>
      <w:tr w:rsidR="00FB2962" w:rsidRPr="00286E5A" w14:paraId="24295266" w14:textId="77777777" w:rsidTr="00495D4F">
        <w:trPr>
          <w:trHeight w:val="454"/>
        </w:trPr>
        <w:tc>
          <w:tcPr>
            <w:tcW w:w="2266" w:type="pct"/>
            <w:tcBorders>
              <w:top w:val="nil"/>
              <w:left w:val="single" w:sz="4" w:space="0" w:color="auto"/>
              <w:bottom w:val="single" w:sz="4" w:space="0" w:color="auto"/>
              <w:right w:val="single" w:sz="4" w:space="0" w:color="auto"/>
            </w:tcBorders>
            <w:vAlign w:val="center"/>
            <w:hideMark/>
          </w:tcPr>
          <w:p w14:paraId="6CF2EBC6" w14:textId="77777777" w:rsidR="00FB2962" w:rsidRPr="00286E5A" w:rsidRDefault="00FB2962" w:rsidP="00FB2962">
            <w:pPr>
              <w:spacing w:before="40" w:after="40" w:line="257" w:lineRule="auto"/>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stan chemiczny</w:t>
            </w:r>
          </w:p>
        </w:tc>
        <w:tc>
          <w:tcPr>
            <w:tcW w:w="2734" w:type="pct"/>
            <w:tcBorders>
              <w:top w:val="single" w:sz="4" w:space="0" w:color="auto"/>
              <w:left w:val="nil"/>
              <w:bottom w:val="single" w:sz="4" w:space="0" w:color="auto"/>
              <w:right w:val="single" w:sz="4" w:space="0" w:color="auto"/>
            </w:tcBorders>
            <w:vAlign w:val="center"/>
          </w:tcPr>
          <w:p w14:paraId="5153703D" w14:textId="68358CD8" w:rsidR="00FB2962" w:rsidRPr="00495D4F" w:rsidRDefault="00FB2962" w:rsidP="00FB2962">
            <w:pPr>
              <w:spacing w:before="40" w:after="40" w:line="257" w:lineRule="auto"/>
              <w:jc w:val="center"/>
              <w:rPr>
                <w:rFonts w:asciiTheme="minorHAnsi" w:hAnsiTheme="minorHAnsi" w:cstheme="minorHAnsi"/>
                <w:color w:val="000000"/>
                <w:sz w:val="20"/>
                <w:szCs w:val="20"/>
                <w:lang w:val="en-US"/>
              </w:rPr>
            </w:pPr>
            <w:r w:rsidRPr="00495D4F">
              <w:rPr>
                <w:rFonts w:cs="Calibri"/>
                <w:color w:val="000000"/>
                <w:sz w:val="20"/>
                <w:szCs w:val="20"/>
              </w:rPr>
              <w:t>120</w:t>
            </w:r>
          </w:p>
        </w:tc>
      </w:tr>
    </w:tbl>
    <w:p w14:paraId="6FDB5F32" w14:textId="004FD7B9" w:rsidR="00FB2962" w:rsidRPr="00FB2962" w:rsidRDefault="00FB2962" w:rsidP="00FB2962">
      <w:pPr>
        <w:tabs>
          <w:tab w:val="left" w:pos="1134"/>
        </w:tabs>
        <w:spacing w:after="0"/>
        <w:ind w:left="1134" w:hanging="1134"/>
        <w:jc w:val="right"/>
        <w:rPr>
          <w:color w:val="000099"/>
          <w:sz w:val="18"/>
          <w:szCs w:val="18"/>
        </w:rPr>
      </w:pPr>
      <w:bookmarkStart w:id="169" w:name="_Toc66311280"/>
      <w:r w:rsidRPr="00FB2962">
        <w:rPr>
          <w:i/>
          <w:iCs/>
          <w:color w:val="000099"/>
          <w:sz w:val="18"/>
          <w:szCs w:val="18"/>
        </w:rPr>
        <w:t xml:space="preserve">Źródło: opracowanie </w:t>
      </w:r>
      <w:r w:rsidR="007A0C82">
        <w:rPr>
          <w:i/>
          <w:iCs/>
          <w:color w:val="000099"/>
          <w:sz w:val="18"/>
          <w:szCs w:val="18"/>
        </w:rPr>
        <w:t>własne</w:t>
      </w:r>
      <w:r w:rsidR="007A3A07">
        <w:rPr>
          <w:i/>
          <w:iCs/>
          <w:color w:val="000099"/>
          <w:sz w:val="18"/>
          <w:szCs w:val="18"/>
        </w:rPr>
        <w:t xml:space="preserve"> </w:t>
      </w:r>
    </w:p>
    <w:p w14:paraId="31F986B2" w14:textId="08B1118A" w:rsidR="000714F1" w:rsidRDefault="000714F1" w:rsidP="003F4A95">
      <w:pPr>
        <w:pStyle w:val="Tabela"/>
      </w:pPr>
      <w:r>
        <w:br w:type="column"/>
      </w:r>
      <w:bookmarkStart w:id="170" w:name="_Toc68726989"/>
      <w:r>
        <w:t xml:space="preserve">Tabela </w:t>
      </w:r>
      <w:fldSimple w:instr=" STYLEREF 1 \s ">
        <w:r w:rsidR="007B4050">
          <w:rPr>
            <w:noProof/>
          </w:rPr>
          <w:t>8</w:t>
        </w:r>
      </w:fldSimple>
      <w:r w:rsidR="007B4050">
        <w:noBreakHyphen/>
      </w:r>
      <w:fldSimple w:instr=" SEQ Tabela \* ARABIC \s 1 ">
        <w:r w:rsidR="007B4050">
          <w:rPr>
            <w:noProof/>
          </w:rPr>
          <w:t>2</w:t>
        </w:r>
      </w:fldSimple>
      <w:r>
        <w:tab/>
        <w:t xml:space="preserve">Liczba jcwp LW z poszczególnymi celami środowiskowymi w </w:t>
      </w:r>
      <w:r w:rsidR="00474ABF">
        <w:t xml:space="preserve">obszarze </w:t>
      </w:r>
      <w:r>
        <w:t>dorzecz</w:t>
      </w:r>
      <w:r w:rsidR="00474ABF">
        <w:t>a</w:t>
      </w:r>
      <w:r>
        <w:t xml:space="preserve"> </w:t>
      </w:r>
      <w:r w:rsidR="00495D4F">
        <w:t>Pregoły</w:t>
      </w:r>
      <w:r>
        <w:t xml:space="preserve"> w aPGW</w:t>
      </w:r>
      <w:bookmarkEnd w:id="169"/>
      <w:r w:rsidR="00546F62">
        <w:t xml:space="preserve"> </w:t>
      </w:r>
      <w:r w:rsidR="00546F62">
        <w:rPr>
          <w:bCs/>
        </w:rPr>
        <w:t>(2016-2021)</w:t>
      </w:r>
      <w:bookmarkEnd w:id="170"/>
    </w:p>
    <w:tbl>
      <w:tblPr>
        <w:tblW w:w="5000" w:type="pct"/>
        <w:tblLook w:val="04A0" w:firstRow="1" w:lastRow="0" w:firstColumn="1" w:lastColumn="0" w:noHBand="0" w:noVBand="1"/>
      </w:tblPr>
      <w:tblGrid>
        <w:gridCol w:w="5948"/>
        <w:gridCol w:w="3114"/>
      </w:tblGrid>
      <w:tr w:rsidR="00495D4F" w:rsidRPr="00286E5A" w14:paraId="706CBB00" w14:textId="77777777" w:rsidTr="00EF3FD3">
        <w:trPr>
          <w:trHeight w:val="454"/>
        </w:trPr>
        <w:tc>
          <w:tcPr>
            <w:tcW w:w="3282"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14:paraId="4CB1375A" w14:textId="69EC5131" w:rsidR="00495D4F" w:rsidRPr="00286E5A" w:rsidRDefault="00495D4F" w:rsidP="00495D4F">
            <w:pPr>
              <w:spacing w:before="40" w:after="40"/>
              <w:jc w:val="center"/>
              <w:rPr>
                <w:rFonts w:asciiTheme="minorHAnsi" w:hAnsiTheme="minorHAnsi" w:cstheme="minorHAnsi"/>
                <w:b/>
                <w:bCs/>
                <w:color w:val="000000"/>
                <w:sz w:val="20"/>
                <w:szCs w:val="20"/>
                <w:lang w:val="en-US"/>
              </w:rPr>
            </w:pPr>
            <w:r w:rsidRPr="00286E5A">
              <w:rPr>
                <w:rFonts w:asciiTheme="minorHAnsi" w:hAnsiTheme="minorHAnsi" w:cstheme="minorHAnsi"/>
                <w:b/>
                <w:bCs/>
                <w:color w:val="000000"/>
                <w:sz w:val="20"/>
                <w:szCs w:val="20"/>
                <w:lang w:val="en-US"/>
              </w:rPr>
              <w:t xml:space="preserve">Cel środowiskowy jcwp </w:t>
            </w:r>
            <w:r w:rsidR="00901174">
              <w:rPr>
                <w:rFonts w:asciiTheme="minorHAnsi" w:hAnsiTheme="minorHAnsi" w:cstheme="minorHAnsi"/>
                <w:b/>
                <w:bCs/>
                <w:color w:val="000000"/>
                <w:sz w:val="20"/>
                <w:szCs w:val="20"/>
                <w:lang w:val="en-US"/>
              </w:rPr>
              <w:t>LW</w:t>
            </w:r>
          </w:p>
        </w:tc>
        <w:tc>
          <w:tcPr>
            <w:tcW w:w="1718"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09651678" w14:textId="69DF0B4B" w:rsidR="00495D4F" w:rsidRPr="00495D4F" w:rsidRDefault="00495D4F" w:rsidP="00495D4F">
            <w:pPr>
              <w:spacing w:before="40" w:after="40"/>
              <w:jc w:val="center"/>
              <w:rPr>
                <w:rFonts w:cs="Calibri"/>
                <w:b/>
                <w:bCs/>
                <w:color w:val="000000"/>
                <w:sz w:val="20"/>
                <w:szCs w:val="20"/>
              </w:rPr>
            </w:pPr>
            <w:r w:rsidRPr="00495D4F">
              <w:rPr>
                <w:rFonts w:cs="Calibri"/>
                <w:b/>
                <w:bCs/>
                <w:color w:val="000000"/>
                <w:sz w:val="20"/>
                <w:szCs w:val="20"/>
              </w:rPr>
              <w:t>Region wodny</w:t>
            </w:r>
          </w:p>
        </w:tc>
      </w:tr>
      <w:tr w:rsidR="00495D4F" w:rsidRPr="00286E5A" w14:paraId="587052A5" w14:textId="77777777" w:rsidTr="00EF3FD3">
        <w:trPr>
          <w:trHeight w:val="454"/>
        </w:trPr>
        <w:tc>
          <w:tcPr>
            <w:tcW w:w="3282"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64EF1D4" w14:textId="77777777" w:rsidR="00495D4F" w:rsidRPr="00286E5A" w:rsidRDefault="00495D4F" w:rsidP="00495D4F">
            <w:pPr>
              <w:spacing w:before="40" w:after="40"/>
              <w:jc w:val="left"/>
              <w:rPr>
                <w:rFonts w:asciiTheme="minorHAnsi" w:eastAsia="Times New Roman" w:hAnsiTheme="minorHAnsi" w:cstheme="minorHAnsi"/>
                <w:b/>
                <w:bCs/>
                <w:color w:val="000000"/>
                <w:sz w:val="20"/>
                <w:szCs w:val="20"/>
                <w:lang w:val="en-US"/>
              </w:rPr>
            </w:pPr>
          </w:p>
        </w:tc>
        <w:tc>
          <w:tcPr>
            <w:tcW w:w="1718"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71803509" w14:textId="2CC1375B" w:rsidR="00495D4F" w:rsidRPr="00495D4F" w:rsidRDefault="00495D4F" w:rsidP="00495D4F">
            <w:pPr>
              <w:spacing w:before="40" w:after="40"/>
              <w:jc w:val="center"/>
              <w:rPr>
                <w:rFonts w:cs="Calibri"/>
                <w:b/>
                <w:bCs/>
                <w:color w:val="000000"/>
                <w:sz w:val="20"/>
                <w:szCs w:val="20"/>
              </w:rPr>
            </w:pPr>
            <w:r w:rsidRPr="00495D4F">
              <w:rPr>
                <w:rFonts w:cs="Calibri"/>
                <w:b/>
                <w:bCs/>
                <w:color w:val="000000"/>
                <w:sz w:val="20"/>
                <w:szCs w:val="20"/>
              </w:rPr>
              <w:t>Łyny i Węgorapy</w:t>
            </w:r>
          </w:p>
        </w:tc>
      </w:tr>
      <w:tr w:rsidR="00495D4F" w:rsidRPr="00286E5A" w14:paraId="3ECAAC07" w14:textId="77777777" w:rsidTr="00495D4F">
        <w:trPr>
          <w:trHeight w:val="454"/>
        </w:trPr>
        <w:tc>
          <w:tcPr>
            <w:tcW w:w="3282" w:type="pct"/>
            <w:tcBorders>
              <w:top w:val="nil"/>
              <w:left w:val="single" w:sz="4" w:space="0" w:color="auto"/>
              <w:bottom w:val="single" w:sz="4" w:space="0" w:color="auto"/>
              <w:right w:val="single" w:sz="4" w:space="0" w:color="auto"/>
            </w:tcBorders>
            <w:noWrap/>
            <w:vAlign w:val="center"/>
            <w:hideMark/>
          </w:tcPr>
          <w:p w14:paraId="681F5636" w14:textId="77777777" w:rsidR="00495D4F" w:rsidRPr="00286E5A" w:rsidRDefault="00495D4F" w:rsidP="00495D4F">
            <w:pPr>
              <w:spacing w:before="40" w:after="40"/>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bardzo dobry stan ekologiczny</w:t>
            </w:r>
          </w:p>
        </w:tc>
        <w:tc>
          <w:tcPr>
            <w:tcW w:w="1718" w:type="pct"/>
            <w:tcBorders>
              <w:top w:val="single" w:sz="4" w:space="0" w:color="auto"/>
              <w:left w:val="nil"/>
              <w:bottom w:val="single" w:sz="4" w:space="0" w:color="auto"/>
              <w:right w:val="single" w:sz="4" w:space="0" w:color="auto"/>
            </w:tcBorders>
            <w:vAlign w:val="center"/>
          </w:tcPr>
          <w:p w14:paraId="5D435D06" w14:textId="0B75623F" w:rsidR="00495D4F" w:rsidRPr="00495D4F" w:rsidRDefault="00495D4F" w:rsidP="00495D4F">
            <w:pPr>
              <w:spacing w:before="40" w:after="40"/>
              <w:jc w:val="center"/>
              <w:rPr>
                <w:rFonts w:cs="Calibri"/>
                <w:color w:val="000000"/>
                <w:sz w:val="20"/>
                <w:szCs w:val="20"/>
              </w:rPr>
            </w:pPr>
            <w:r w:rsidRPr="00495D4F">
              <w:rPr>
                <w:rFonts w:cs="Calibri"/>
                <w:color w:val="000000"/>
                <w:sz w:val="20"/>
                <w:szCs w:val="20"/>
              </w:rPr>
              <w:t>3</w:t>
            </w:r>
          </w:p>
        </w:tc>
      </w:tr>
      <w:tr w:rsidR="00495D4F" w:rsidRPr="00286E5A" w14:paraId="61446BF7" w14:textId="77777777" w:rsidTr="00495D4F">
        <w:trPr>
          <w:trHeight w:val="454"/>
        </w:trPr>
        <w:tc>
          <w:tcPr>
            <w:tcW w:w="3282" w:type="pct"/>
            <w:tcBorders>
              <w:top w:val="nil"/>
              <w:left w:val="single" w:sz="4" w:space="0" w:color="auto"/>
              <w:bottom w:val="single" w:sz="4" w:space="0" w:color="auto"/>
              <w:right w:val="single" w:sz="4" w:space="0" w:color="auto"/>
            </w:tcBorders>
            <w:noWrap/>
            <w:vAlign w:val="center"/>
            <w:hideMark/>
          </w:tcPr>
          <w:p w14:paraId="00365EB7" w14:textId="77777777" w:rsidR="00495D4F" w:rsidRPr="00286E5A" w:rsidRDefault="00495D4F" w:rsidP="00495D4F">
            <w:pPr>
              <w:spacing w:before="40" w:after="40"/>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potencjał ekologiczny</w:t>
            </w:r>
          </w:p>
        </w:tc>
        <w:tc>
          <w:tcPr>
            <w:tcW w:w="1718" w:type="pct"/>
            <w:tcBorders>
              <w:top w:val="single" w:sz="4" w:space="0" w:color="auto"/>
              <w:left w:val="nil"/>
              <w:bottom w:val="single" w:sz="4" w:space="0" w:color="auto"/>
              <w:right w:val="single" w:sz="4" w:space="0" w:color="auto"/>
            </w:tcBorders>
            <w:vAlign w:val="center"/>
          </w:tcPr>
          <w:p w14:paraId="546C5BB8" w14:textId="3146C99A" w:rsidR="00495D4F" w:rsidRPr="00495D4F" w:rsidRDefault="00495D4F" w:rsidP="00495D4F">
            <w:pPr>
              <w:spacing w:before="40" w:after="40"/>
              <w:jc w:val="center"/>
              <w:rPr>
                <w:rFonts w:cs="Calibri"/>
                <w:color w:val="000000"/>
                <w:sz w:val="20"/>
                <w:szCs w:val="20"/>
              </w:rPr>
            </w:pPr>
            <w:r w:rsidRPr="00495D4F">
              <w:rPr>
                <w:rFonts w:cs="Calibri"/>
                <w:color w:val="000000"/>
                <w:sz w:val="20"/>
                <w:szCs w:val="20"/>
              </w:rPr>
              <w:t>1</w:t>
            </w:r>
          </w:p>
        </w:tc>
      </w:tr>
      <w:tr w:rsidR="00495D4F" w:rsidRPr="00286E5A" w14:paraId="2463EB10" w14:textId="77777777" w:rsidTr="00495D4F">
        <w:trPr>
          <w:trHeight w:val="454"/>
        </w:trPr>
        <w:tc>
          <w:tcPr>
            <w:tcW w:w="3282" w:type="pct"/>
            <w:tcBorders>
              <w:top w:val="nil"/>
              <w:left w:val="single" w:sz="4" w:space="0" w:color="auto"/>
              <w:bottom w:val="single" w:sz="4" w:space="0" w:color="auto"/>
              <w:right w:val="single" w:sz="4" w:space="0" w:color="auto"/>
            </w:tcBorders>
            <w:noWrap/>
            <w:vAlign w:val="center"/>
            <w:hideMark/>
          </w:tcPr>
          <w:p w14:paraId="18EEBCCC" w14:textId="77777777" w:rsidR="00495D4F" w:rsidRPr="00286E5A" w:rsidRDefault="00495D4F" w:rsidP="00495D4F">
            <w:pPr>
              <w:spacing w:before="40" w:after="40"/>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stan ekologiczny</w:t>
            </w:r>
          </w:p>
        </w:tc>
        <w:tc>
          <w:tcPr>
            <w:tcW w:w="1718" w:type="pct"/>
            <w:tcBorders>
              <w:top w:val="single" w:sz="4" w:space="0" w:color="auto"/>
              <w:left w:val="nil"/>
              <w:bottom w:val="single" w:sz="4" w:space="0" w:color="auto"/>
              <w:right w:val="single" w:sz="4" w:space="0" w:color="auto"/>
            </w:tcBorders>
            <w:vAlign w:val="center"/>
          </w:tcPr>
          <w:p w14:paraId="24B68A8B" w14:textId="03B0F410" w:rsidR="00495D4F" w:rsidRPr="00495D4F" w:rsidRDefault="00495D4F" w:rsidP="00495D4F">
            <w:pPr>
              <w:spacing w:before="40" w:after="40"/>
              <w:jc w:val="center"/>
              <w:rPr>
                <w:rFonts w:cs="Calibri"/>
                <w:color w:val="000000"/>
                <w:sz w:val="20"/>
                <w:szCs w:val="20"/>
              </w:rPr>
            </w:pPr>
            <w:r w:rsidRPr="00495D4F">
              <w:rPr>
                <w:rFonts w:cs="Calibri"/>
                <w:color w:val="000000"/>
                <w:sz w:val="20"/>
                <w:szCs w:val="20"/>
              </w:rPr>
              <w:t>96</w:t>
            </w:r>
          </w:p>
        </w:tc>
      </w:tr>
      <w:tr w:rsidR="00495D4F" w:rsidRPr="00286E5A" w14:paraId="15DE9C10" w14:textId="77777777" w:rsidTr="00495D4F">
        <w:trPr>
          <w:trHeight w:val="454"/>
        </w:trPr>
        <w:tc>
          <w:tcPr>
            <w:tcW w:w="3282" w:type="pct"/>
            <w:tcBorders>
              <w:top w:val="nil"/>
              <w:left w:val="single" w:sz="4" w:space="0" w:color="auto"/>
              <w:bottom w:val="single" w:sz="4" w:space="0" w:color="auto"/>
              <w:right w:val="single" w:sz="4" w:space="0" w:color="auto"/>
            </w:tcBorders>
            <w:noWrap/>
            <w:vAlign w:val="center"/>
            <w:hideMark/>
          </w:tcPr>
          <w:p w14:paraId="0A5F6493" w14:textId="77777777" w:rsidR="00495D4F" w:rsidRPr="00286E5A" w:rsidRDefault="00495D4F" w:rsidP="00495D4F">
            <w:pPr>
              <w:spacing w:before="40" w:after="40"/>
              <w:jc w:val="left"/>
              <w:rPr>
                <w:rFonts w:asciiTheme="minorHAnsi" w:hAnsiTheme="minorHAnsi" w:cstheme="minorHAnsi"/>
                <w:color w:val="000000"/>
                <w:sz w:val="20"/>
                <w:szCs w:val="20"/>
              </w:rPr>
            </w:pPr>
            <w:r w:rsidRPr="00286E5A">
              <w:rPr>
                <w:rFonts w:asciiTheme="minorHAnsi" w:hAnsiTheme="minorHAnsi" w:cstheme="minorHAnsi"/>
                <w:color w:val="000000"/>
                <w:sz w:val="20"/>
                <w:szCs w:val="20"/>
              </w:rPr>
              <w:t>mniej rygorystyczny cel środowiskowy - brak możliwości technicznych</w:t>
            </w:r>
          </w:p>
        </w:tc>
        <w:tc>
          <w:tcPr>
            <w:tcW w:w="1718" w:type="pct"/>
            <w:tcBorders>
              <w:top w:val="single" w:sz="4" w:space="0" w:color="auto"/>
              <w:left w:val="nil"/>
              <w:bottom w:val="single" w:sz="4" w:space="0" w:color="auto"/>
              <w:right w:val="single" w:sz="4" w:space="0" w:color="auto"/>
            </w:tcBorders>
            <w:vAlign w:val="center"/>
          </w:tcPr>
          <w:p w14:paraId="00A0E479" w14:textId="368FB87E" w:rsidR="00495D4F" w:rsidRPr="00582E06" w:rsidRDefault="00495D4F" w:rsidP="00495D4F">
            <w:pPr>
              <w:spacing w:before="40" w:after="40"/>
              <w:jc w:val="center"/>
              <w:rPr>
                <w:rFonts w:cs="Calibri"/>
                <w:color w:val="000000"/>
                <w:sz w:val="20"/>
                <w:szCs w:val="20"/>
              </w:rPr>
            </w:pPr>
            <w:r w:rsidRPr="00582E06">
              <w:rPr>
                <w:rFonts w:cs="Calibri"/>
                <w:color w:val="000000"/>
                <w:sz w:val="20"/>
                <w:szCs w:val="20"/>
              </w:rPr>
              <w:t>1</w:t>
            </w:r>
          </w:p>
        </w:tc>
      </w:tr>
      <w:tr w:rsidR="00495D4F" w:rsidRPr="00286E5A" w14:paraId="711FB648" w14:textId="77777777" w:rsidTr="00495D4F">
        <w:trPr>
          <w:trHeight w:val="454"/>
        </w:trPr>
        <w:tc>
          <w:tcPr>
            <w:tcW w:w="3282" w:type="pct"/>
            <w:tcBorders>
              <w:top w:val="nil"/>
              <w:left w:val="single" w:sz="4" w:space="0" w:color="auto"/>
              <w:bottom w:val="single" w:sz="4" w:space="0" w:color="auto"/>
              <w:right w:val="single" w:sz="4" w:space="0" w:color="auto"/>
            </w:tcBorders>
            <w:noWrap/>
            <w:vAlign w:val="center"/>
            <w:hideMark/>
          </w:tcPr>
          <w:p w14:paraId="1815D134" w14:textId="77777777" w:rsidR="00495D4F" w:rsidRPr="00286E5A" w:rsidRDefault="00495D4F" w:rsidP="00495D4F">
            <w:pPr>
              <w:spacing w:before="40" w:after="40"/>
              <w:jc w:val="left"/>
              <w:rPr>
                <w:rFonts w:asciiTheme="minorHAnsi" w:hAnsiTheme="minorHAnsi" w:cstheme="minorHAnsi"/>
                <w:color w:val="000000"/>
                <w:sz w:val="20"/>
                <w:szCs w:val="20"/>
                <w:lang w:val="en-US"/>
              </w:rPr>
            </w:pPr>
            <w:r w:rsidRPr="00286E5A">
              <w:rPr>
                <w:rFonts w:asciiTheme="minorHAnsi" w:hAnsiTheme="minorHAnsi" w:cstheme="minorHAnsi"/>
                <w:color w:val="000000"/>
                <w:sz w:val="20"/>
                <w:szCs w:val="20"/>
                <w:lang w:val="en-US"/>
              </w:rPr>
              <w:t>dobry stan chemiczny</w:t>
            </w:r>
          </w:p>
        </w:tc>
        <w:tc>
          <w:tcPr>
            <w:tcW w:w="1718" w:type="pct"/>
            <w:tcBorders>
              <w:top w:val="single" w:sz="4" w:space="0" w:color="auto"/>
              <w:left w:val="nil"/>
              <w:bottom w:val="single" w:sz="4" w:space="0" w:color="auto"/>
              <w:right w:val="single" w:sz="4" w:space="0" w:color="auto"/>
            </w:tcBorders>
            <w:vAlign w:val="center"/>
          </w:tcPr>
          <w:p w14:paraId="6CBB0BCE" w14:textId="42A599D5" w:rsidR="00495D4F" w:rsidRPr="00582E06" w:rsidRDefault="00495D4F" w:rsidP="00495D4F">
            <w:pPr>
              <w:spacing w:before="40" w:after="40"/>
              <w:jc w:val="center"/>
              <w:rPr>
                <w:rFonts w:cs="Calibri"/>
                <w:color w:val="000000"/>
                <w:sz w:val="20"/>
                <w:szCs w:val="20"/>
              </w:rPr>
            </w:pPr>
            <w:r w:rsidRPr="00582E06">
              <w:rPr>
                <w:rFonts w:cs="Calibri"/>
                <w:color w:val="000000"/>
                <w:sz w:val="20"/>
                <w:szCs w:val="20"/>
              </w:rPr>
              <w:t>101</w:t>
            </w:r>
          </w:p>
        </w:tc>
      </w:tr>
    </w:tbl>
    <w:p w14:paraId="21DDAE4C" w14:textId="0902BBBA" w:rsidR="00495D4F" w:rsidRPr="00495D4F" w:rsidRDefault="00495D4F" w:rsidP="00445D9B">
      <w:pPr>
        <w:pStyle w:val="rdo0"/>
      </w:pPr>
      <w:r w:rsidRPr="00495D4F">
        <w:t xml:space="preserve">Źródło: opracowanie </w:t>
      </w:r>
      <w:r w:rsidR="007A0C82">
        <w:t>w</w:t>
      </w:r>
      <w:r w:rsidR="00FA7A54">
        <w:t>ł</w:t>
      </w:r>
      <w:r w:rsidR="007A0C82">
        <w:t>asne</w:t>
      </w:r>
      <w:r w:rsidRPr="00495D4F">
        <w:t>,</w:t>
      </w:r>
      <w:r w:rsidR="00445D9B" w:rsidRPr="00445D9B">
        <w:t xml:space="preserve"> </w:t>
      </w:r>
      <w:r w:rsidR="00445D9B" w:rsidRPr="002A0524">
        <w:t xml:space="preserve">na podstawie danych </w:t>
      </w:r>
      <w:r w:rsidR="00445D9B">
        <w:t>aPGW</w:t>
      </w:r>
    </w:p>
    <w:p w14:paraId="2622ADA6" w14:textId="258F9E44" w:rsidR="000714F1" w:rsidRDefault="000714F1" w:rsidP="000714F1">
      <w:pPr>
        <w:rPr>
          <w:rFonts w:asciiTheme="minorHAnsi" w:hAnsiTheme="minorHAnsi" w:cstheme="minorHAnsi"/>
        </w:rPr>
      </w:pPr>
      <w:r>
        <w:rPr>
          <w:rFonts w:asciiTheme="minorHAnsi" w:hAnsiTheme="minorHAnsi" w:cstheme="minorHAnsi"/>
        </w:rPr>
        <w:t>W trakcie wyznaczania celów środowiskowych dla wód powierzchniowych na IV cykl planistyczny (2022-2027) bazowano na procedurze przyjętej w cyklu poprzednim 2016-2021 (aPGW). Analogicznie, cele środowiskowe ustalono w odniesieniu do wymagań dla stanu lub potencjału ekologicznego oraz stanu chemicznego. Podczas oceny stanu wód i wyznaczania celów środowiskowych wykorzystano najnowsze dane i opracowania, w tym nowe metodyki określania stanu elementów biologicznych i</w:t>
      </w:r>
      <w:r w:rsidR="003C2125">
        <w:rPr>
          <w:rFonts w:asciiTheme="minorHAnsi" w:hAnsiTheme="minorHAnsi" w:cstheme="minorHAnsi"/>
        </w:rPr>
        <w:t> </w:t>
      </w:r>
      <w:r>
        <w:rPr>
          <w:rFonts w:asciiTheme="minorHAnsi" w:hAnsiTheme="minorHAnsi" w:cstheme="minorHAnsi"/>
        </w:rPr>
        <w:t>hydromorfologicznych, aktualizację wyznaczania SZCW i SCW, oraz zweryfikowaną typologię wód</w:t>
      </w:r>
      <w:r w:rsidRPr="00DA1CEF">
        <w:rPr>
          <w:rFonts w:asciiTheme="minorHAnsi" w:hAnsiTheme="minorHAnsi" w:cstheme="minorHAnsi"/>
        </w:rPr>
        <w:t>.</w:t>
      </w:r>
      <w:r>
        <w:rPr>
          <w:rFonts w:asciiTheme="minorHAnsi" w:hAnsiTheme="minorHAnsi" w:cstheme="minorHAnsi"/>
        </w:rPr>
        <w:t xml:space="preserve"> </w:t>
      </w:r>
    </w:p>
    <w:p w14:paraId="1B6C8DFA" w14:textId="77777777" w:rsidR="000714F1" w:rsidRDefault="000714F1" w:rsidP="000714F1">
      <w:pPr>
        <w:keepNext/>
        <w:rPr>
          <w:rFonts w:asciiTheme="minorHAnsi" w:hAnsiTheme="minorHAnsi" w:cstheme="minorHAnsi"/>
          <w:iCs/>
        </w:rPr>
      </w:pPr>
      <w:r>
        <w:rPr>
          <w:rFonts w:asciiTheme="minorHAnsi" w:hAnsiTheme="minorHAnsi" w:cstheme="minorHAnsi"/>
          <w:iCs/>
        </w:rPr>
        <w:t xml:space="preserve">Zgodnie z </w:t>
      </w:r>
      <w:r>
        <w:rPr>
          <w:rFonts w:asciiTheme="minorHAnsi" w:hAnsiTheme="minorHAnsi" w:cstheme="minorHAnsi"/>
        </w:rPr>
        <w:t xml:space="preserve">art. 4 ust. 1 RDW </w:t>
      </w:r>
      <w:r>
        <w:rPr>
          <w:rFonts w:asciiTheme="minorHAnsi" w:hAnsiTheme="minorHAnsi" w:cstheme="minorHAnsi"/>
          <w:iCs/>
        </w:rPr>
        <w:t xml:space="preserve">celem dla wód powierzchniowych jest: </w:t>
      </w:r>
    </w:p>
    <w:p w14:paraId="2E8F6D0A" w14:textId="77777777" w:rsidR="000714F1" w:rsidRDefault="000714F1" w:rsidP="00AA3506">
      <w:pPr>
        <w:pStyle w:val="Punkty"/>
        <w:numPr>
          <w:ilvl w:val="0"/>
          <w:numId w:val="77"/>
        </w:numPr>
        <w:autoSpaceDN w:val="0"/>
        <w:ind w:left="284" w:hanging="284"/>
        <w:rPr>
          <w:rFonts w:asciiTheme="minorHAnsi" w:hAnsiTheme="minorHAnsi" w:cstheme="minorHAnsi"/>
        </w:rPr>
      </w:pPr>
      <w:r>
        <w:t>niepogarszanie się stanu wód powierzchniowych oraz ochrona i przywrócenie dobrego stanu jcw;</w:t>
      </w:r>
    </w:p>
    <w:p w14:paraId="4F56DB78" w14:textId="77777777" w:rsidR="000714F1" w:rsidRDefault="000714F1" w:rsidP="00AA3506">
      <w:pPr>
        <w:pStyle w:val="Punkty"/>
        <w:numPr>
          <w:ilvl w:val="0"/>
          <w:numId w:val="77"/>
        </w:numPr>
        <w:autoSpaceDN w:val="0"/>
        <w:ind w:left="284" w:hanging="284"/>
      </w:pPr>
      <w:r>
        <w:t xml:space="preserve">osiągnięcie, co najmniej dobrego stanu lub potencjału ekologicznego wód powierzchniowych; </w:t>
      </w:r>
    </w:p>
    <w:p w14:paraId="522E6555" w14:textId="77777777" w:rsidR="000714F1" w:rsidRDefault="000714F1" w:rsidP="00AA3506">
      <w:pPr>
        <w:pStyle w:val="Punkty"/>
        <w:numPr>
          <w:ilvl w:val="0"/>
          <w:numId w:val="77"/>
        </w:numPr>
        <w:autoSpaceDN w:val="0"/>
        <w:ind w:left="284" w:hanging="284"/>
      </w:pPr>
      <w:r>
        <w:t>stopniowe eliminowanie, a w rezultacie zaprzestanie zrzutów do wód powierzchniowych substancji priorytetowych i niebezpiecznych, a także zapobieganie dopływowi zanieczyszczeń do wód podziemnych;</w:t>
      </w:r>
    </w:p>
    <w:p w14:paraId="58F24671" w14:textId="77777777" w:rsidR="000714F1" w:rsidRDefault="000714F1" w:rsidP="00AA3506">
      <w:pPr>
        <w:pStyle w:val="Punkty"/>
        <w:numPr>
          <w:ilvl w:val="0"/>
          <w:numId w:val="77"/>
        </w:numPr>
        <w:autoSpaceDN w:val="0"/>
        <w:ind w:left="284" w:hanging="284"/>
      </w:pPr>
      <w:r>
        <w:t>odwrócenie każdej znaczącej i ciągłej tendencji wzrostu stężenia każdego zanieczyszczenia wynikającego z wpływu działalności człowieka w celu stopniowej redukcji zanieczyszczenia wód podziemnych;</w:t>
      </w:r>
    </w:p>
    <w:p w14:paraId="618551B6" w14:textId="77777777" w:rsidR="000714F1" w:rsidRDefault="000714F1" w:rsidP="00AA3506">
      <w:pPr>
        <w:pStyle w:val="Punkty"/>
        <w:numPr>
          <w:ilvl w:val="0"/>
          <w:numId w:val="77"/>
        </w:numPr>
        <w:autoSpaceDN w:val="0"/>
        <w:ind w:left="284" w:hanging="284"/>
      </w:pPr>
      <w:r>
        <w:t>osiągnięcie zgodności ze wszystkimi normami i celami określonymi w ustawodawstwie wspólnotowym dla obszarów chronionych.</w:t>
      </w:r>
    </w:p>
    <w:p w14:paraId="529CAC33" w14:textId="77777777" w:rsidR="000714F1" w:rsidRDefault="000714F1" w:rsidP="003C76C5">
      <w:pPr>
        <w:rPr>
          <w:lang w:eastAsia="zh-TW"/>
        </w:rPr>
      </w:pPr>
      <w:r>
        <w:rPr>
          <w:lang w:eastAsia="zh-TW"/>
        </w:rPr>
        <w:t>Zgodnie z powyższym, celem środowiskowym dla części wód niewyznaczonych jako SCW lub SZCW, którym w konsekwencji nadano status NAT, jest:</w:t>
      </w:r>
    </w:p>
    <w:p w14:paraId="5F870EBF" w14:textId="77777777" w:rsidR="000714F1" w:rsidRDefault="000714F1" w:rsidP="00AA3506">
      <w:pPr>
        <w:pStyle w:val="Punkty"/>
        <w:numPr>
          <w:ilvl w:val="0"/>
          <w:numId w:val="77"/>
        </w:numPr>
        <w:autoSpaceDN w:val="0"/>
        <w:ind w:left="284" w:hanging="284"/>
        <w:rPr>
          <w:rFonts w:asciiTheme="minorHAnsi" w:eastAsia="PMingLiU" w:hAnsiTheme="minorHAnsi" w:cstheme="minorHAnsi"/>
          <w:lang w:eastAsia="zh-TW"/>
        </w:rPr>
      </w:pPr>
      <w:r>
        <w:t xml:space="preserve">dobry stan </w:t>
      </w:r>
      <w:r>
        <w:rPr>
          <w:rFonts w:eastAsia="PMingLiU"/>
        </w:rPr>
        <w:t>ekologiczny i dobry stan chemiczny</w:t>
      </w:r>
      <w:r>
        <w:t xml:space="preserve">, w przypadku oceny z monitoringu wód wskazującej na stan dobry lub zły; </w:t>
      </w:r>
    </w:p>
    <w:p w14:paraId="5B4D96A4" w14:textId="77777777" w:rsidR="000714F1" w:rsidRDefault="000714F1" w:rsidP="00AA3506">
      <w:pPr>
        <w:pStyle w:val="Punkty"/>
        <w:numPr>
          <w:ilvl w:val="0"/>
          <w:numId w:val="77"/>
        </w:numPr>
        <w:autoSpaceDN w:val="0"/>
        <w:ind w:left="284" w:hanging="284"/>
        <w:rPr>
          <w:rFonts w:eastAsia="PMingLiU"/>
        </w:rPr>
      </w:pPr>
      <w:r>
        <w:t>bardzo dobry stan ekologiczny, w przypadku jcwp, dla których wyniki monitoringu wskazują na bardzo dobry stan ekologiczny;</w:t>
      </w:r>
    </w:p>
    <w:p w14:paraId="4A9908F0" w14:textId="77777777" w:rsidR="000714F1" w:rsidRDefault="000714F1" w:rsidP="00AA3506">
      <w:pPr>
        <w:pStyle w:val="Punkty"/>
        <w:numPr>
          <w:ilvl w:val="0"/>
          <w:numId w:val="77"/>
        </w:numPr>
        <w:autoSpaceDN w:val="0"/>
        <w:ind w:left="284" w:hanging="284"/>
      </w:pPr>
      <w:r>
        <w:t>stan dobry, w przypadku jcwp niemonitorowanych;</w:t>
      </w:r>
    </w:p>
    <w:p w14:paraId="6BF8C696" w14:textId="77777777" w:rsidR="000714F1" w:rsidRDefault="000714F1" w:rsidP="00AA3506">
      <w:pPr>
        <w:pStyle w:val="Punkty"/>
        <w:numPr>
          <w:ilvl w:val="0"/>
          <w:numId w:val="77"/>
        </w:numPr>
        <w:autoSpaceDN w:val="0"/>
        <w:ind w:left="284" w:hanging="284"/>
      </w:pPr>
      <w:r>
        <w:t>spełnienie warunków określonych dla obszarów chronionych.</w:t>
      </w:r>
    </w:p>
    <w:p w14:paraId="41E75BCF" w14:textId="77777777" w:rsidR="000714F1" w:rsidRDefault="000714F1" w:rsidP="003C76C5">
      <w:pPr>
        <w:rPr>
          <w:lang w:eastAsia="zh-TW"/>
        </w:rPr>
      </w:pPr>
      <w:r>
        <w:rPr>
          <w:lang w:eastAsia="zh-TW"/>
        </w:rPr>
        <w:t xml:space="preserve">W przypadku części wód wyznaczonych jako SCW lub SZCW celem środowiskowym jest: </w:t>
      </w:r>
    </w:p>
    <w:p w14:paraId="63B9DCA7" w14:textId="77777777" w:rsidR="000714F1" w:rsidRDefault="000714F1" w:rsidP="00AA3506">
      <w:pPr>
        <w:pStyle w:val="Punkty"/>
        <w:numPr>
          <w:ilvl w:val="0"/>
          <w:numId w:val="77"/>
        </w:numPr>
        <w:autoSpaceDN w:val="0"/>
        <w:ind w:left="284" w:hanging="284"/>
        <w:rPr>
          <w:rFonts w:asciiTheme="minorHAnsi" w:eastAsia="PMingLiU" w:hAnsiTheme="minorHAnsi" w:cstheme="minorHAnsi"/>
          <w:lang w:eastAsia="zh-TW"/>
        </w:rPr>
      </w:pPr>
      <w:r>
        <w:t xml:space="preserve">dobry potencjał ekologiczny i dobry stan chemiczny, w przypadku oceny z monitoringu wód wskazującej na stan dobry lub zły; </w:t>
      </w:r>
    </w:p>
    <w:p w14:paraId="6C52E54E" w14:textId="77777777" w:rsidR="000714F1" w:rsidRDefault="000714F1" w:rsidP="00AA3506">
      <w:pPr>
        <w:pStyle w:val="Punkty"/>
        <w:numPr>
          <w:ilvl w:val="0"/>
          <w:numId w:val="77"/>
        </w:numPr>
        <w:autoSpaceDN w:val="0"/>
        <w:ind w:left="284" w:hanging="284"/>
      </w:pPr>
      <w:r>
        <w:t>maksymalny potencjał ekologiczny w przypadku jcwp, dla których wyniki monitoringu wskazują na maksymalny potencjał ekologiczny;</w:t>
      </w:r>
    </w:p>
    <w:p w14:paraId="4333DE17" w14:textId="77777777" w:rsidR="000714F1" w:rsidRDefault="000714F1" w:rsidP="00AA3506">
      <w:pPr>
        <w:pStyle w:val="Punkty"/>
        <w:numPr>
          <w:ilvl w:val="0"/>
          <w:numId w:val="77"/>
        </w:numPr>
        <w:autoSpaceDN w:val="0"/>
        <w:ind w:left="284" w:hanging="284"/>
      </w:pPr>
      <w:r>
        <w:t>stan dobry w przypadku jcwp niemonitorowanych;</w:t>
      </w:r>
    </w:p>
    <w:p w14:paraId="37DC02D4" w14:textId="77777777" w:rsidR="000714F1" w:rsidRDefault="000714F1" w:rsidP="00AA3506">
      <w:pPr>
        <w:pStyle w:val="Punkty"/>
        <w:numPr>
          <w:ilvl w:val="0"/>
          <w:numId w:val="77"/>
        </w:numPr>
        <w:autoSpaceDN w:val="0"/>
        <w:ind w:left="284" w:hanging="284"/>
      </w:pPr>
      <w:r>
        <w:t>spełnienie warunków określonych dla obszarów chronionych.</w:t>
      </w:r>
    </w:p>
    <w:p w14:paraId="0E655D21" w14:textId="22B4189C" w:rsidR="000714F1" w:rsidRDefault="000714F1" w:rsidP="000714F1">
      <w:pPr>
        <w:pStyle w:val="Punkty"/>
      </w:pPr>
      <w:r>
        <w:t xml:space="preserve">Celem środowiskowym dla jcwp rzecznych jest również zapewnienie drożności cieku dla </w:t>
      </w:r>
      <w:r w:rsidRPr="00DC2023">
        <w:t xml:space="preserve">migracji </w:t>
      </w:r>
      <w:r w:rsidRPr="00495D4F">
        <w:t>ryb.</w:t>
      </w:r>
      <w:r>
        <w:t xml:space="preserve"> </w:t>
      </w:r>
      <w:r w:rsidR="005C3E5E">
        <w:rPr>
          <w:rFonts w:asciiTheme="minorHAnsi" w:hAnsiTheme="minorHAnsi" w:cstheme="minorHAnsi"/>
          <w:lang w:eastAsia="zh-TW"/>
        </w:rPr>
        <w:t xml:space="preserve">Zestawienie celów środowiskowych jcwp </w:t>
      </w:r>
      <w:r w:rsidR="005C3E5E" w:rsidRPr="00C66D17">
        <w:rPr>
          <w:rFonts w:asciiTheme="minorHAnsi" w:hAnsiTheme="minorHAnsi" w:cstheme="minorHAnsi"/>
          <w:lang w:eastAsia="zh-TW"/>
        </w:rPr>
        <w:t xml:space="preserve">rzecznych przedstawiono w tabeli 8-3. </w:t>
      </w:r>
      <w:r w:rsidRPr="00C66D17">
        <w:t>Rozmieszczenie przestrzenne jcwp z ustalonymi celami środowiskowymi dotyczącymi zapewnienia drożności przedstawia załącznik graficzny nr 2</w:t>
      </w:r>
      <w:r w:rsidR="00495D4F" w:rsidRPr="00C66D17">
        <w:t>7</w:t>
      </w:r>
      <w:r w:rsidRPr="00C66D17">
        <w:t>.</w:t>
      </w:r>
    </w:p>
    <w:p w14:paraId="61B273DB" w14:textId="6FDDCE69" w:rsidR="000714F1" w:rsidRDefault="000714F1" w:rsidP="006802BB">
      <w:pPr>
        <w:pStyle w:val="Tabela"/>
      </w:pPr>
      <w:bookmarkStart w:id="171" w:name="_Toc66311282"/>
      <w:bookmarkStart w:id="172" w:name="_Toc68726990"/>
      <w:r>
        <w:t xml:space="preserve">Tabela </w:t>
      </w:r>
      <w:fldSimple w:instr=" STYLEREF 1 \s ">
        <w:r w:rsidR="007B4050">
          <w:rPr>
            <w:noProof/>
          </w:rPr>
          <w:t>8</w:t>
        </w:r>
      </w:fldSimple>
      <w:r w:rsidR="007B4050">
        <w:noBreakHyphen/>
      </w:r>
      <w:fldSimple w:instr=" SEQ Tabela \* ARABIC \s 1 ">
        <w:r w:rsidR="007B4050">
          <w:rPr>
            <w:noProof/>
          </w:rPr>
          <w:t>3</w:t>
        </w:r>
      </w:fldSimple>
      <w:r>
        <w:tab/>
        <w:t>Liczba jcwp RW z poszczególnymi celami środowiskowymi w region</w:t>
      </w:r>
      <w:r w:rsidR="005C3E5E">
        <w:t>ie</w:t>
      </w:r>
      <w:r>
        <w:t xml:space="preserve"> wodny</w:t>
      </w:r>
      <w:r w:rsidR="005C3E5E">
        <w:t>m</w:t>
      </w:r>
      <w:r>
        <w:t xml:space="preserve"> dorzecza </w:t>
      </w:r>
      <w:r w:rsidR="00495D4F">
        <w:t>Pregoły</w:t>
      </w:r>
      <w:r>
        <w:t xml:space="preserve"> </w:t>
      </w:r>
      <w:r w:rsidR="00901174">
        <w:t xml:space="preserve">w </w:t>
      </w:r>
      <w:r>
        <w:t>IIaPGW</w:t>
      </w:r>
      <w:bookmarkEnd w:id="171"/>
      <w:r w:rsidR="00901174">
        <w:t xml:space="preserve"> (2022-2027)</w:t>
      </w:r>
      <w:bookmarkEnd w:id="172"/>
    </w:p>
    <w:tbl>
      <w:tblPr>
        <w:tblW w:w="5000" w:type="pct"/>
        <w:tblCellMar>
          <w:left w:w="70" w:type="dxa"/>
          <w:right w:w="70" w:type="dxa"/>
        </w:tblCellMar>
        <w:tblLook w:val="04A0" w:firstRow="1" w:lastRow="0" w:firstColumn="1" w:lastColumn="0" w:noHBand="0" w:noVBand="1"/>
      </w:tblPr>
      <w:tblGrid>
        <w:gridCol w:w="5524"/>
        <w:gridCol w:w="3538"/>
      </w:tblGrid>
      <w:tr w:rsidR="005C3E5E" w:rsidRPr="00A2718C" w14:paraId="3281EA86" w14:textId="2CC9A59A" w:rsidTr="00EF3FD3">
        <w:trPr>
          <w:trHeight w:val="454"/>
          <w:tblHeader/>
        </w:trPr>
        <w:tc>
          <w:tcPr>
            <w:tcW w:w="304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139398" w14:textId="75334B85" w:rsidR="005C3E5E" w:rsidRPr="00A2718C" w:rsidRDefault="005C3E5E" w:rsidP="00901174">
            <w:pPr>
              <w:spacing w:before="40" w:after="40"/>
              <w:jc w:val="center"/>
              <w:rPr>
                <w:rFonts w:asciiTheme="minorHAnsi" w:hAnsiTheme="minorHAnsi" w:cstheme="minorHAnsi"/>
                <w:b/>
                <w:bCs/>
                <w:color w:val="000000"/>
                <w:sz w:val="20"/>
                <w:szCs w:val="20"/>
              </w:rPr>
            </w:pPr>
            <w:r w:rsidRPr="00A2718C">
              <w:rPr>
                <w:rFonts w:asciiTheme="minorHAnsi" w:hAnsiTheme="minorHAnsi" w:cstheme="minorHAnsi"/>
                <w:b/>
                <w:bCs/>
                <w:color w:val="000000"/>
                <w:sz w:val="20"/>
                <w:szCs w:val="20"/>
              </w:rPr>
              <w:t xml:space="preserve">Cele środowiskowe jcwp </w:t>
            </w:r>
            <w:r w:rsidR="00901174">
              <w:rPr>
                <w:rFonts w:asciiTheme="minorHAnsi" w:hAnsiTheme="minorHAnsi" w:cstheme="minorHAnsi"/>
                <w:b/>
                <w:bCs/>
                <w:color w:val="000000"/>
                <w:sz w:val="20"/>
                <w:szCs w:val="20"/>
              </w:rPr>
              <w:t>RW</w:t>
            </w:r>
          </w:p>
        </w:tc>
        <w:tc>
          <w:tcPr>
            <w:tcW w:w="195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70226CBE" w14:textId="6B4B6CDA" w:rsidR="005C3E5E" w:rsidRPr="005C3E5E" w:rsidRDefault="005C3E5E" w:rsidP="005C3E5E">
            <w:pPr>
              <w:spacing w:before="40" w:after="40"/>
              <w:jc w:val="center"/>
              <w:rPr>
                <w:rFonts w:asciiTheme="minorHAnsi" w:hAnsiTheme="minorHAnsi" w:cstheme="minorHAnsi"/>
                <w:b/>
                <w:bCs/>
                <w:color w:val="000000"/>
                <w:sz w:val="20"/>
                <w:szCs w:val="20"/>
              </w:rPr>
            </w:pPr>
            <w:r w:rsidRPr="005C3E5E">
              <w:rPr>
                <w:rFonts w:cs="Calibri"/>
                <w:b/>
                <w:bCs/>
                <w:color w:val="000000"/>
                <w:sz w:val="20"/>
                <w:szCs w:val="20"/>
              </w:rPr>
              <w:t>Region wodny</w:t>
            </w:r>
          </w:p>
        </w:tc>
      </w:tr>
      <w:tr w:rsidR="005C3E5E" w:rsidRPr="00A2718C" w14:paraId="6C4CC8E1" w14:textId="6FBAA000" w:rsidTr="00EF3FD3">
        <w:trPr>
          <w:trHeight w:val="454"/>
          <w:tblHeader/>
        </w:trPr>
        <w:tc>
          <w:tcPr>
            <w:tcW w:w="3048"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0EF16B" w14:textId="77777777" w:rsidR="005C3E5E" w:rsidRPr="00A2718C" w:rsidRDefault="005C3E5E" w:rsidP="005C3E5E">
            <w:pPr>
              <w:spacing w:before="40" w:after="40"/>
              <w:jc w:val="left"/>
              <w:rPr>
                <w:rFonts w:asciiTheme="minorHAnsi" w:eastAsia="Times New Roman" w:hAnsiTheme="minorHAnsi" w:cstheme="minorHAnsi"/>
                <w:b/>
                <w:bCs/>
                <w:color w:val="000000"/>
                <w:sz w:val="20"/>
                <w:szCs w:val="20"/>
              </w:rPr>
            </w:pPr>
          </w:p>
        </w:tc>
        <w:tc>
          <w:tcPr>
            <w:tcW w:w="195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078202" w14:textId="479BE992" w:rsidR="005C3E5E" w:rsidRPr="005C3E5E" w:rsidRDefault="005C3E5E" w:rsidP="005C3E5E">
            <w:pPr>
              <w:spacing w:before="40" w:after="40"/>
              <w:jc w:val="center"/>
              <w:rPr>
                <w:rFonts w:asciiTheme="minorHAnsi" w:eastAsia="Times New Roman" w:hAnsiTheme="minorHAnsi" w:cstheme="minorHAnsi"/>
                <w:b/>
                <w:bCs/>
                <w:color w:val="000000"/>
                <w:sz w:val="20"/>
                <w:szCs w:val="20"/>
              </w:rPr>
            </w:pPr>
            <w:r w:rsidRPr="005C3E5E">
              <w:rPr>
                <w:rFonts w:cs="Calibri"/>
                <w:b/>
                <w:bCs/>
                <w:color w:val="000000"/>
                <w:sz w:val="20"/>
                <w:szCs w:val="20"/>
              </w:rPr>
              <w:t>Łyny i Węgorapy</w:t>
            </w:r>
          </w:p>
        </w:tc>
      </w:tr>
      <w:tr w:rsidR="00693DAA" w:rsidRPr="00A2718C" w14:paraId="3B4A8DCD" w14:textId="77777777" w:rsidTr="00693DAA">
        <w:trPr>
          <w:trHeight w:val="454"/>
        </w:trPr>
        <w:tc>
          <w:tcPr>
            <w:tcW w:w="3048" w:type="pct"/>
            <w:tcBorders>
              <w:top w:val="nil"/>
              <w:left w:val="single" w:sz="4" w:space="0" w:color="auto"/>
              <w:bottom w:val="single" w:sz="4" w:space="0" w:color="auto"/>
              <w:right w:val="single" w:sz="4" w:space="0" w:color="auto"/>
            </w:tcBorders>
            <w:vAlign w:val="center"/>
          </w:tcPr>
          <w:p w14:paraId="3A16F4A9" w14:textId="46080F3E" w:rsidR="00693DAA" w:rsidRPr="00A2718C" w:rsidRDefault="00693DAA" w:rsidP="00693DAA">
            <w:pPr>
              <w:spacing w:before="40" w:after="40"/>
              <w:jc w:val="left"/>
              <w:rPr>
                <w:rFonts w:asciiTheme="minorHAnsi" w:hAnsiTheme="minorHAnsi" w:cstheme="minorHAnsi"/>
                <w:color w:val="000000"/>
                <w:sz w:val="20"/>
                <w:szCs w:val="20"/>
              </w:rPr>
            </w:pPr>
            <w:r w:rsidRPr="00A2718C">
              <w:rPr>
                <w:rFonts w:asciiTheme="minorHAnsi" w:hAnsiTheme="minorHAnsi" w:cstheme="minorHAnsi"/>
                <w:color w:val="000000"/>
                <w:sz w:val="20"/>
                <w:szCs w:val="20"/>
              </w:rPr>
              <w:t>dobry potencjał ekologiczny</w:t>
            </w:r>
            <w:r w:rsidR="00124973">
              <w:rPr>
                <w:rFonts w:asciiTheme="minorHAnsi" w:hAnsiTheme="minorHAnsi" w:cstheme="minorHAnsi"/>
                <w:color w:val="000000"/>
                <w:sz w:val="20"/>
                <w:szCs w:val="20"/>
              </w:rPr>
              <w:t xml:space="preserve"> i dobry stan chemiczny</w:t>
            </w:r>
          </w:p>
        </w:tc>
        <w:tc>
          <w:tcPr>
            <w:tcW w:w="1952" w:type="pct"/>
            <w:tcBorders>
              <w:top w:val="nil"/>
              <w:left w:val="single" w:sz="4" w:space="0" w:color="auto"/>
              <w:bottom w:val="single" w:sz="4" w:space="0" w:color="auto"/>
              <w:right w:val="single" w:sz="4" w:space="0" w:color="auto"/>
            </w:tcBorders>
            <w:vAlign w:val="center"/>
          </w:tcPr>
          <w:p w14:paraId="1DB4C732" w14:textId="1052C9BB" w:rsidR="00693DAA" w:rsidRPr="005C3E5E" w:rsidRDefault="00067142" w:rsidP="00693DAA">
            <w:pPr>
              <w:spacing w:before="40" w:after="40"/>
              <w:jc w:val="center"/>
              <w:rPr>
                <w:rFonts w:cs="Calibri"/>
                <w:color w:val="000000"/>
                <w:sz w:val="20"/>
                <w:szCs w:val="20"/>
              </w:rPr>
            </w:pPr>
            <w:r>
              <w:rPr>
                <w:rFonts w:cs="Calibri"/>
                <w:color w:val="000000"/>
                <w:sz w:val="20"/>
                <w:szCs w:val="20"/>
              </w:rPr>
              <w:t>0</w:t>
            </w:r>
          </w:p>
        </w:tc>
      </w:tr>
      <w:tr w:rsidR="0085424F" w:rsidRPr="00A2718C" w14:paraId="3F1AC827" w14:textId="77777777" w:rsidTr="00693DAA">
        <w:trPr>
          <w:trHeight w:val="454"/>
        </w:trPr>
        <w:tc>
          <w:tcPr>
            <w:tcW w:w="3048" w:type="pct"/>
            <w:tcBorders>
              <w:top w:val="nil"/>
              <w:left w:val="single" w:sz="4" w:space="0" w:color="auto"/>
              <w:bottom w:val="single" w:sz="4" w:space="0" w:color="auto"/>
              <w:right w:val="single" w:sz="4" w:space="0" w:color="auto"/>
            </w:tcBorders>
            <w:vAlign w:val="center"/>
          </w:tcPr>
          <w:p w14:paraId="3D464FF3" w14:textId="416B6001" w:rsidR="0085424F" w:rsidRPr="00A2718C" w:rsidRDefault="0085424F" w:rsidP="0085424F">
            <w:pPr>
              <w:spacing w:before="40" w:after="40"/>
              <w:jc w:val="left"/>
              <w:rPr>
                <w:rFonts w:asciiTheme="minorHAnsi" w:hAnsiTheme="minorHAnsi" w:cstheme="minorHAnsi"/>
                <w:color w:val="000000"/>
                <w:sz w:val="20"/>
                <w:szCs w:val="20"/>
              </w:rPr>
            </w:pPr>
            <w:r w:rsidRPr="00A2718C">
              <w:rPr>
                <w:rFonts w:asciiTheme="minorHAnsi" w:hAnsiTheme="minorHAnsi" w:cstheme="minorHAnsi"/>
                <w:color w:val="000000"/>
                <w:sz w:val="20"/>
                <w:szCs w:val="20"/>
              </w:rPr>
              <w:t>dobry stan ekologiczny</w:t>
            </w:r>
            <w:r w:rsidR="00124973">
              <w:rPr>
                <w:rFonts w:asciiTheme="minorHAnsi" w:hAnsiTheme="minorHAnsi" w:cstheme="minorHAnsi"/>
                <w:color w:val="000000"/>
                <w:sz w:val="20"/>
                <w:szCs w:val="20"/>
              </w:rPr>
              <w:t xml:space="preserve"> i dobry stan chemiczny</w:t>
            </w:r>
          </w:p>
        </w:tc>
        <w:tc>
          <w:tcPr>
            <w:tcW w:w="1952" w:type="pct"/>
            <w:tcBorders>
              <w:top w:val="nil"/>
              <w:left w:val="single" w:sz="4" w:space="0" w:color="auto"/>
              <w:bottom w:val="single" w:sz="4" w:space="0" w:color="auto"/>
              <w:right w:val="single" w:sz="4" w:space="0" w:color="auto"/>
            </w:tcBorders>
            <w:vAlign w:val="center"/>
          </w:tcPr>
          <w:p w14:paraId="4D75E68F" w14:textId="5D831BD8" w:rsidR="0085424F" w:rsidRPr="005C3E5E" w:rsidRDefault="00067142" w:rsidP="0085424F">
            <w:pPr>
              <w:spacing w:before="40" w:after="40"/>
              <w:jc w:val="center"/>
              <w:rPr>
                <w:rFonts w:cs="Calibri"/>
                <w:color w:val="000000"/>
                <w:sz w:val="20"/>
                <w:szCs w:val="20"/>
              </w:rPr>
            </w:pPr>
            <w:r>
              <w:rPr>
                <w:rFonts w:cs="Calibri"/>
                <w:color w:val="000000"/>
                <w:sz w:val="20"/>
                <w:szCs w:val="20"/>
              </w:rPr>
              <w:t>14</w:t>
            </w:r>
          </w:p>
        </w:tc>
      </w:tr>
      <w:tr w:rsidR="005C3E5E" w:rsidRPr="00A2718C" w14:paraId="50A14609" w14:textId="5504AFCC" w:rsidTr="00693DAA">
        <w:trPr>
          <w:trHeight w:val="454"/>
        </w:trPr>
        <w:tc>
          <w:tcPr>
            <w:tcW w:w="3048" w:type="pct"/>
            <w:tcBorders>
              <w:top w:val="nil"/>
              <w:left w:val="single" w:sz="4" w:space="0" w:color="auto"/>
              <w:bottom w:val="single" w:sz="4" w:space="0" w:color="auto"/>
              <w:right w:val="single" w:sz="4" w:space="0" w:color="auto"/>
            </w:tcBorders>
            <w:vAlign w:val="center"/>
            <w:hideMark/>
          </w:tcPr>
          <w:p w14:paraId="3EC5A26C" w14:textId="77777777" w:rsidR="005C3E5E" w:rsidRPr="00A2718C" w:rsidRDefault="005C3E5E" w:rsidP="00693DAA">
            <w:pPr>
              <w:spacing w:before="40" w:after="40"/>
              <w:jc w:val="left"/>
              <w:rPr>
                <w:rFonts w:asciiTheme="minorHAnsi" w:eastAsia="Times New Roman" w:hAnsiTheme="minorHAnsi" w:cstheme="minorHAnsi"/>
                <w:color w:val="000000"/>
                <w:sz w:val="20"/>
                <w:szCs w:val="20"/>
              </w:rPr>
            </w:pPr>
            <w:r w:rsidRPr="00A2718C">
              <w:rPr>
                <w:rFonts w:asciiTheme="minorHAnsi" w:hAnsiTheme="minorHAnsi" w:cstheme="minorHAnsi"/>
                <w:color w:val="000000"/>
                <w:sz w:val="20"/>
                <w:szCs w:val="20"/>
              </w:rPr>
              <w:t>zapewnienie drożności cieku dla migracji ichtiofauny o ile jest monitorowany wskaźnik diadromiczny D</w:t>
            </w:r>
          </w:p>
        </w:tc>
        <w:tc>
          <w:tcPr>
            <w:tcW w:w="1952" w:type="pct"/>
            <w:tcBorders>
              <w:top w:val="nil"/>
              <w:left w:val="single" w:sz="4" w:space="0" w:color="auto"/>
              <w:bottom w:val="single" w:sz="4" w:space="0" w:color="auto"/>
              <w:right w:val="single" w:sz="4" w:space="0" w:color="auto"/>
            </w:tcBorders>
            <w:vAlign w:val="center"/>
          </w:tcPr>
          <w:p w14:paraId="42E228E4" w14:textId="69B78678" w:rsidR="005C3E5E" w:rsidRPr="005C3E5E" w:rsidRDefault="005C3E5E" w:rsidP="00693DAA">
            <w:pPr>
              <w:spacing w:before="40" w:after="40"/>
              <w:jc w:val="center"/>
              <w:rPr>
                <w:rFonts w:asciiTheme="minorHAnsi" w:hAnsiTheme="minorHAnsi" w:cstheme="minorHAnsi"/>
                <w:color w:val="000000"/>
                <w:sz w:val="20"/>
                <w:szCs w:val="20"/>
              </w:rPr>
            </w:pPr>
            <w:r w:rsidRPr="005C3E5E">
              <w:rPr>
                <w:rFonts w:cs="Calibri"/>
                <w:color w:val="000000"/>
                <w:sz w:val="20"/>
                <w:szCs w:val="20"/>
              </w:rPr>
              <w:t>72</w:t>
            </w:r>
          </w:p>
        </w:tc>
      </w:tr>
      <w:tr w:rsidR="005C3E5E" w:rsidRPr="00A2718C" w14:paraId="123EA70E" w14:textId="36D2B2BF" w:rsidTr="00693DAA">
        <w:trPr>
          <w:trHeight w:val="454"/>
        </w:trPr>
        <w:tc>
          <w:tcPr>
            <w:tcW w:w="3048" w:type="pct"/>
            <w:tcBorders>
              <w:top w:val="single" w:sz="4" w:space="0" w:color="auto"/>
              <w:left w:val="single" w:sz="4" w:space="0" w:color="auto"/>
              <w:bottom w:val="single" w:sz="4" w:space="0" w:color="auto"/>
              <w:right w:val="single" w:sz="4" w:space="0" w:color="auto"/>
            </w:tcBorders>
            <w:vAlign w:val="center"/>
            <w:hideMark/>
          </w:tcPr>
          <w:p w14:paraId="5608AB26" w14:textId="77777777" w:rsidR="005C3E5E" w:rsidRPr="00A2718C" w:rsidRDefault="005C3E5E" w:rsidP="00693DAA">
            <w:pPr>
              <w:spacing w:before="40" w:after="40"/>
              <w:jc w:val="left"/>
              <w:rPr>
                <w:rFonts w:asciiTheme="minorHAnsi" w:hAnsiTheme="minorHAnsi" w:cstheme="minorHAnsi"/>
                <w:color w:val="000000"/>
                <w:sz w:val="20"/>
                <w:szCs w:val="20"/>
              </w:rPr>
            </w:pPr>
            <w:r w:rsidRPr="00A2718C">
              <w:rPr>
                <w:rFonts w:asciiTheme="minorHAnsi" w:hAnsiTheme="minorHAnsi" w:cstheme="minorHAnsi"/>
                <w:color w:val="000000"/>
                <w:sz w:val="20"/>
                <w:szCs w:val="20"/>
              </w:rPr>
              <w:t>zapewnienie drożności cieku według wymagań gatunków chronionych</w:t>
            </w:r>
          </w:p>
        </w:tc>
        <w:tc>
          <w:tcPr>
            <w:tcW w:w="1952" w:type="pct"/>
            <w:tcBorders>
              <w:top w:val="single" w:sz="4" w:space="0" w:color="auto"/>
              <w:left w:val="single" w:sz="4" w:space="0" w:color="auto"/>
              <w:bottom w:val="single" w:sz="4" w:space="0" w:color="auto"/>
              <w:right w:val="single" w:sz="4" w:space="0" w:color="auto"/>
            </w:tcBorders>
            <w:vAlign w:val="center"/>
          </w:tcPr>
          <w:p w14:paraId="4703A3C7" w14:textId="40AEA8AC" w:rsidR="005C3E5E" w:rsidRPr="005C3E5E" w:rsidRDefault="005C3E5E" w:rsidP="00693DAA">
            <w:pPr>
              <w:spacing w:before="40" w:after="40"/>
              <w:jc w:val="center"/>
              <w:rPr>
                <w:rFonts w:asciiTheme="minorHAnsi" w:hAnsiTheme="minorHAnsi" w:cstheme="minorHAnsi"/>
                <w:color w:val="000000"/>
                <w:sz w:val="20"/>
                <w:szCs w:val="20"/>
              </w:rPr>
            </w:pPr>
            <w:r w:rsidRPr="005C3E5E">
              <w:rPr>
                <w:rFonts w:cs="Calibri"/>
                <w:color w:val="000000"/>
                <w:sz w:val="20"/>
                <w:szCs w:val="20"/>
              </w:rPr>
              <w:t>13</w:t>
            </w:r>
          </w:p>
        </w:tc>
      </w:tr>
      <w:tr w:rsidR="00BA13C3" w:rsidRPr="00A2718C" w14:paraId="05CAEAE1" w14:textId="77777777" w:rsidTr="00693DAA">
        <w:trPr>
          <w:trHeight w:val="454"/>
        </w:trPr>
        <w:tc>
          <w:tcPr>
            <w:tcW w:w="3048" w:type="pct"/>
            <w:tcBorders>
              <w:top w:val="single" w:sz="4" w:space="0" w:color="auto"/>
              <w:left w:val="single" w:sz="4" w:space="0" w:color="auto"/>
              <w:bottom w:val="single" w:sz="4" w:space="0" w:color="auto"/>
              <w:right w:val="single" w:sz="4" w:space="0" w:color="auto"/>
            </w:tcBorders>
            <w:vAlign w:val="center"/>
          </w:tcPr>
          <w:p w14:paraId="267D8DF9" w14:textId="51029DF5" w:rsidR="00BA13C3" w:rsidRPr="00A2718C" w:rsidRDefault="00BA13C3" w:rsidP="00BA13C3">
            <w:pPr>
              <w:spacing w:before="40" w:after="40"/>
              <w:jc w:val="left"/>
              <w:rPr>
                <w:rFonts w:asciiTheme="minorHAnsi" w:hAnsiTheme="minorHAnsi" w:cstheme="minorHAnsi"/>
                <w:color w:val="000000"/>
                <w:sz w:val="20"/>
                <w:szCs w:val="20"/>
              </w:rPr>
            </w:pPr>
            <w:r w:rsidRPr="004821D7">
              <w:rPr>
                <w:rFonts w:asciiTheme="minorHAnsi" w:hAnsiTheme="minorHAnsi" w:cstheme="minorHAnsi"/>
                <w:color w:val="000000"/>
                <w:sz w:val="20"/>
                <w:szCs w:val="20"/>
              </w:rPr>
              <w:t>odstępstwo z art. 4 ust. 4 RDW</w:t>
            </w:r>
          </w:p>
        </w:tc>
        <w:tc>
          <w:tcPr>
            <w:tcW w:w="1952" w:type="pct"/>
            <w:tcBorders>
              <w:top w:val="single" w:sz="4" w:space="0" w:color="auto"/>
              <w:left w:val="single" w:sz="4" w:space="0" w:color="auto"/>
              <w:bottom w:val="single" w:sz="4" w:space="0" w:color="auto"/>
              <w:right w:val="single" w:sz="4" w:space="0" w:color="auto"/>
            </w:tcBorders>
            <w:vAlign w:val="center"/>
          </w:tcPr>
          <w:p w14:paraId="39BC3F08" w14:textId="274501A9" w:rsidR="00BA13C3" w:rsidRPr="004821D7" w:rsidRDefault="00E7032E" w:rsidP="00BA13C3">
            <w:pPr>
              <w:spacing w:before="40" w:after="40"/>
              <w:jc w:val="center"/>
              <w:rPr>
                <w:rFonts w:asciiTheme="minorHAnsi" w:hAnsiTheme="minorHAnsi" w:cstheme="minorHAnsi"/>
                <w:color w:val="000000"/>
                <w:sz w:val="20"/>
                <w:szCs w:val="20"/>
              </w:rPr>
            </w:pPr>
            <w:r>
              <w:rPr>
                <w:rFonts w:asciiTheme="minorHAnsi" w:hAnsiTheme="minorHAnsi" w:cstheme="minorHAnsi"/>
                <w:color w:val="000000"/>
                <w:sz w:val="20"/>
                <w:szCs w:val="20"/>
              </w:rPr>
              <w:t>65</w:t>
            </w:r>
          </w:p>
        </w:tc>
      </w:tr>
      <w:tr w:rsidR="00BA13C3" w:rsidRPr="00A2718C" w14:paraId="53272FE9" w14:textId="77777777" w:rsidTr="00693DAA">
        <w:trPr>
          <w:trHeight w:val="454"/>
        </w:trPr>
        <w:tc>
          <w:tcPr>
            <w:tcW w:w="3048" w:type="pct"/>
            <w:tcBorders>
              <w:top w:val="single" w:sz="4" w:space="0" w:color="auto"/>
              <w:left w:val="single" w:sz="4" w:space="0" w:color="auto"/>
              <w:bottom w:val="single" w:sz="4" w:space="0" w:color="auto"/>
              <w:right w:val="single" w:sz="4" w:space="0" w:color="auto"/>
            </w:tcBorders>
            <w:vAlign w:val="center"/>
          </w:tcPr>
          <w:p w14:paraId="367DC527" w14:textId="158CD431" w:rsidR="00BA13C3" w:rsidRPr="00A2718C" w:rsidRDefault="0075473C" w:rsidP="00BA13C3">
            <w:pPr>
              <w:spacing w:before="40" w:after="40"/>
              <w:jc w:val="left"/>
              <w:rPr>
                <w:rFonts w:asciiTheme="minorHAnsi" w:hAnsiTheme="minorHAnsi" w:cstheme="minorHAnsi"/>
                <w:color w:val="000000"/>
                <w:sz w:val="20"/>
                <w:szCs w:val="20"/>
              </w:rPr>
            </w:pPr>
            <w:r w:rsidRPr="00795F17">
              <w:t>odstępstwo z art. 4 ust. 5 RDW</w:t>
            </w:r>
            <w:r w:rsidRPr="00D168C2">
              <w:rPr>
                <w:vertAlign w:val="superscript"/>
              </w:rPr>
              <w:t>1</w:t>
            </w:r>
          </w:p>
        </w:tc>
        <w:tc>
          <w:tcPr>
            <w:tcW w:w="1952" w:type="pct"/>
            <w:tcBorders>
              <w:top w:val="single" w:sz="4" w:space="0" w:color="auto"/>
              <w:left w:val="single" w:sz="4" w:space="0" w:color="auto"/>
              <w:bottom w:val="single" w:sz="4" w:space="0" w:color="auto"/>
              <w:right w:val="single" w:sz="4" w:space="0" w:color="auto"/>
            </w:tcBorders>
            <w:vAlign w:val="center"/>
          </w:tcPr>
          <w:p w14:paraId="120133A6" w14:textId="3E73568B" w:rsidR="00BA13C3" w:rsidRPr="004821D7" w:rsidRDefault="00F83308" w:rsidP="00BA13C3">
            <w:pPr>
              <w:spacing w:before="40" w:after="40"/>
              <w:jc w:val="center"/>
              <w:rPr>
                <w:rFonts w:asciiTheme="minorHAnsi" w:hAnsiTheme="minorHAnsi" w:cstheme="minorHAnsi"/>
                <w:color w:val="000000"/>
                <w:sz w:val="20"/>
                <w:szCs w:val="20"/>
              </w:rPr>
            </w:pPr>
            <w:r>
              <w:rPr>
                <w:rFonts w:asciiTheme="minorHAnsi" w:hAnsiTheme="minorHAnsi" w:cstheme="minorHAnsi"/>
                <w:color w:val="000000"/>
                <w:sz w:val="20"/>
                <w:szCs w:val="20"/>
              </w:rPr>
              <w:t>38</w:t>
            </w:r>
          </w:p>
        </w:tc>
      </w:tr>
    </w:tbl>
    <w:p w14:paraId="554ECD56" w14:textId="0B7F42B1" w:rsidR="00085D53" w:rsidRPr="002F0E9F" w:rsidRDefault="006F2CAD" w:rsidP="00085D53">
      <w:pPr>
        <w:pStyle w:val="NormalnyWeb"/>
        <w:spacing w:before="0" w:beforeAutospacing="0" w:after="0" w:afterAutospacing="0"/>
        <w:jc w:val="both"/>
        <w:rPr>
          <w:rFonts w:asciiTheme="minorHAnsi" w:hAnsiTheme="minorHAnsi" w:cstheme="minorHAnsi"/>
          <w:i/>
          <w:iCs/>
          <w:sz w:val="18"/>
          <w:szCs w:val="18"/>
        </w:rPr>
      </w:pPr>
      <w:bookmarkStart w:id="173" w:name="_Hlk66370551"/>
      <w:bookmarkStart w:id="174" w:name="_Toc66311284"/>
      <w:r w:rsidRPr="00C077FC">
        <w:rPr>
          <w:rFonts w:cs="Calibri"/>
          <w:i/>
          <w:iCs/>
          <w:color w:val="000000"/>
          <w:sz w:val="18"/>
          <w:szCs w:val="18"/>
          <w:shd w:val="clear" w:color="auto" w:fill="FFFFFF"/>
          <w:vertAlign w:val="superscript"/>
        </w:rPr>
        <w:t xml:space="preserve">1 </w:t>
      </w:r>
      <w:r w:rsidR="00085D53" w:rsidRPr="002F0E9F">
        <w:rPr>
          <w:rFonts w:asciiTheme="minorHAnsi" w:hAnsiTheme="minorHAnsi" w:cstheme="minorHAnsi"/>
          <w:i/>
          <w:iCs/>
          <w:sz w:val="18"/>
          <w:szCs w:val="18"/>
        </w:rPr>
        <w:t xml:space="preserve">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w:t>
      </w:r>
      <w:r w:rsidR="006C4947">
        <w:rPr>
          <w:rFonts w:asciiTheme="minorHAnsi" w:hAnsiTheme="minorHAnsi" w:cstheme="minorHAnsi"/>
          <w:i/>
          <w:iCs/>
          <w:sz w:val="18"/>
          <w:szCs w:val="18"/>
        </w:rPr>
        <w:t>-</w:t>
      </w:r>
      <w:r w:rsidR="00085D53" w:rsidRPr="002F0E9F">
        <w:rPr>
          <w:rFonts w:asciiTheme="minorHAnsi" w:hAnsiTheme="minorHAnsi" w:cstheme="minorHAnsi"/>
          <w:i/>
          <w:iCs/>
          <w:sz w:val="18"/>
          <w:szCs w:val="18"/>
        </w:rPr>
        <w:t xml:space="preserve"> II klasa jakości);</w:t>
      </w:r>
      <w:r w:rsidR="00085D53">
        <w:rPr>
          <w:rFonts w:asciiTheme="minorHAnsi" w:hAnsiTheme="minorHAnsi" w:cstheme="minorHAnsi"/>
          <w:i/>
          <w:iCs/>
          <w:sz w:val="18"/>
          <w:szCs w:val="18"/>
        </w:rPr>
        <w:t xml:space="preserve"> </w:t>
      </w:r>
      <w:r w:rsidR="00085D53" w:rsidRPr="002F0E9F">
        <w:rPr>
          <w:rFonts w:asciiTheme="minorHAnsi" w:hAnsiTheme="minorHAnsi" w:cstheme="minorHAnsi"/>
          <w:i/>
          <w:iCs/>
          <w:sz w:val="18"/>
          <w:szCs w:val="18"/>
        </w:rPr>
        <w:t>w przypadku, gdy wskaźnikiem determinującym wskazanie do odstępstwa jest wskaźnik oceny stanu  chemicznego:  stan chemiczny, dla złagodzonych wskaźników przedstawionych w załączniku nr 1 oraz 5.1- poniżej stanu dobrego, dla pozostałych wskaźników - stan dobry.</w:t>
      </w:r>
    </w:p>
    <w:p w14:paraId="46ADAE67" w14:textId="4F4ED50A" w:rsidR="007A0C82" w:rsidRDefault="007A0C82" w:rsidP="007A0C82">
      <w:pPr>
        <w:pStyle w:val="rdo0"/>
      </w:pPr>
      <w:r w:rsidRPr="002D0D68">
        <w:t xml:space="preserve">Źródło: opracowanie </w:t>
      </w:r>
      <w:r>
        <w:t>własne</w:t>
      </w:r>
    </w:p>
    <w:p w14:paraId="366558D3" w14:textId="69FF6156" w:rsidR="00196A9A" w:rsidRPr="001446E2" w:rsidRDefault="00196A9A" w:rsidP="00C53142">
      <w:pPr>
        <w:tabs>
          <w:tab w:val="left" w:pos="0"/>
        </w:tabs>
        <w:spacing w:after="0"/>
        <w:jc w:val="left"/>
        <w:rPr>
          <w:sz w:val="18"/>
          <w:szCs w:val="18"/>
        </w:rPr>
      </w:pPr>
      <w:r w:rsidRPr="001446E2">
        <w:rPr>
          <w:rFonts w:asciiTheme="minorHAnsi" w:hAnsiTheme="minorHAnsi" w:cstheme="minorHAnsi"/>
          <w:lang w:eastAsia="zh-TW"/>
        </w:rPr>
        <w:t>Zestawienie celów środowiskowych jcwp jeziornych w obszarze dorzecza Pregoły przedstawiono w tabeli 8-4.</w:t>
      </w:r>
    </w:p>
    <w:p w14:paraId="17EFCF7A" w14:textId="5501EDCB" w:rsidR="000714F1" w:rsidRDefault="000714F1" w:rsidP="006802BB">
      <w:pPr>
        <w:pStyle w:val="Tabela"/>
      </w:pPr>
      <w:bookmarkStart w:id="175" w:name="_Toc68726991"/>
      <w:bookmarkEnd w:id="173"/>
      <w:r>
        <w:t xml:space="preserve">Tabela </w:t>
      </w:r>
      <w:fldSimple w:instr=" STYLEREF 1 \s ">
        <w:r w:rsidR="007B4050">
          <w:rPr>
            <w:noProof/>
          </w:rPr>
          <w:t>8</w:t>
        </w:r>
      </w:fldSimple>
      <w:r w:rsidR="007B4050">
        <w:noBreakHyphen/>
      </w:r>
      <w:fldSimple w:instr=" SEQ Tabela \* ARABIC \s 1 ">
        <w:r w:rsidR="007B4050">
          <w:rPr>
            <w:noProof/>
          </w:rPr>
          <w:t>4</w:t>
        </w:r>
      </w:fldSimple>
      <w:r>
        <w:tab/>
        <w:t>Liczba jcwp LW z poszczególnymi celami środowiskowymi w region</w:t>
      </w:r>
      <w:r w:rsidR="005C3E5E">
        <w:t>ie</w:t>
      </w:r>
      <w:r>
        <w:t xml:space="preserve"> wodny dorzecza </w:t>
      </w:r>
      <w:bookmarkEnd w:id="174"/>
      <w:r w:rsidR="005C3E5E">
        <w:t>Pregoły</w:t>
      </w:r>
      <w:r w:rsidR="003C2125">
        <w:t xml:space="preserve"> </w:t>
      </w:r>
      <w:r w:rsidR="00901174">
        <w:t xml:space="preserve">w </w:t>
      </w:r>
      <w:r w:rsidR="003C2125">
        <w:t>IIaPGW</w:t>
      </w:r>
      <w:r w:rsidR="00901174">
        <w:t xml:space="preserve"> (2022-2027)</w:t>
      </w:r>
      <w:bookmarkEnd w:id="175"/>
    </w:p>
    <w:tbl>
      <w:tblPr>
        <w:tblW w:w="4946" w:type="pct"/>
        <w:jc w:val="center"/>
        <w:tblLook w:val="04A0" w:firstRow="1" w:lastRow="0" w:firstColumn="1" w:lastColumn="0" w:noHBand="0" w:noVBand="1"/>
      </w:tblPr>
      <w:tblGrid>
        <w:gridCol w:w="5547"/>
        <w:gridCol w:w="3417"/>
      </w:tblGrid>
      <w:tr w:rsidR="00C66D17" w:rsidRPr="00A2718C" w14:paraId="623C479F" w14:textId="3DA9333E" w:rsidTr="00EF3FD3">
        <w:trPr>
          <w:trHeight w:val="454"/>
          <w:tblHeader/>
          <w:jc w:val="center"/>
        </w:trPr>
        <w:tc>
          <w:tcPr>
            <w:tcW w:w="3094"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72FC5" w14:textId="1D5E599F" w:rsidR="00C66D17" w:rsidRPr="00C66D17" w:rsidRDefault="00C66D17" w:rsidP="00C66D17">
            <w:pPr>
              <w:spacing w:before="40" w:after="40"/>
              <w:jc w:val="center"/>
              <w:rPr>
                <w:rFonts w:asciiTheme="minorHAnsi" w:hAnsiTheme="minorHAnsi" w:cstheme="minorHAnsi"/>
                <w:b/>
                <w:bCs/>
                <w:color w:val="000000"/>
                <w:sz w:val="20"/>
                <w:szCs w:val="20"/>
                <w:lang w:val="en-US"/>
              </w:rPr>
            </w:pPr>
            <w:r w:rsidRPr="00C66D17">
              <w:rPr>
                <w:rFonts w:asciiTheme="minorHAnsi" w:hAnsiTheme="minorHAnsi" w:cstheme="minorHAnsi"/>
                <w:b/>
                <w:bCs/>
                <w:color w:val="000000"/>
                <w:sz w:val="20"/>
                <w:szCs w:val="20"/>
                <w:lang w:val="en-US"/>
              </w:rPr>
              <w:t xml:space="preserve">Cele środowiskowe jcwp </w:t>
            </w:r>
            <w:r w:rsidR="00901174">
              <w:rPr>
                <w:rFonts w:asciiTheme="minorHAnsi" w:hAnsiTheme="minorHAnsi" w:cstheme="minorHAnsi"/>
                <w:b/>
                <w:bCs/>
                <w:color w:val="000000"/>
                <w:sz w:val="20"/>
                <w:szCs w:val="20"/>
                <w:lang w:val="en-US"/>
              </w:rPr>
              <w:t>LW</w:t>
            </w:r>
          </w:p>
        </w:tc>
        <w:tc>
          <w:tcPr>
            <w:tcW w:w="190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5ED416F" w14:textId="273A8B07" w:rsidR="00C66D17" w:rsidRPr="00C66D17" w:rsidRDefault="00C66D17" w:rsidP="00C66D17">
            <w:pPr>
              <w:spacing w:before="40" w:after="40"/>
              <w:jc w:val="center"/>
              <w:rPr>
                <w:rFonts w:asciiTheme="minorHAnsi" w:hAnsiTheme="minorHAnsi" w:cstheme="minorHAnsi"/>
                <w:b/>
                <w:bCs/>
                <w:color w:val="000000"/>
                <w:sz w:val="20"/>
                <w:szCs w:val="20"/>
                <w:lang w:val="en-US"/>
              </w:rPr>
            </w:pPr>
            <w:r w:rsidRPr="00C66D17">
              <w:rPr>
                <w:rFonts w:cs="Calibri"/>
                <w:b/>
                <w:bCs/>
                <w:color w:val="000000"/>
                <w:sz w:val="20"/>
                <w:szCs w:val="20"/>
                <w:lang w:val="en-US"/>
              </w:rPr>
              <w:t>Region wodny</w:t>
            </w:r>
          </w:p>
        </w:tc>
      </w:tr>
      <w:tr w:rsidR="00C66D17" w:rsidRPr="00A2718C" w14:paraId="539EFE18" w14:textId="1E3A123C" w:rsidTr="00EF3FD3">
        <w:trPr>
          <w:trHeight w:val="454"/>
          <w:tblHeader/>
          <w:jc w:val="center"/>
        </w:trPr>
        <w:tc>
          <w:tcPr>
            <w:tcW w:w="3094"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949839" w14:textId="77777777" w:rsidR="00C66D17" w:rsidRPr="00C66D17" w:rsidRDefault="00C66D17" w:rsidP="00C66D17">
            <w:pPr>
              <w:spacing w:before="40" w:after="40"/>
              <w:jc w:val="center"/>
              <w:rPr>
                <w:rFonts w:asciiTheme="minorHAnsi" w:eastAsia="Times New Roman" w:hAnsiTheme="minorHAnsi" w:cstheme="minorHAnsi"/>
                <w:b/>
                <w:bCs/>
                <w:color w:val="000000"/>
                <w:sz w:val="20"/>
                <w:szCs w:val="20"/>
                <w:lang w:val="en-US"/>
              </w:rPr>
            </w:pPr>
          </w:p>
        </w:tc>
        <w:tc>
          <w:tcPr>
            <w:tcW w:w="190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29BE745" w14:textId="49967E0A" w:rsidR="00C66D17" w:rsidRPr="00F42004" w:rsidRDefault="00C66D17" w:rsidP="00C66D17">
            <w:pPr>
              <w:spacing w:before="40" w:after="40"/>
              <w:jc w:val="center"/>
              <w:rPr>
                <w:rFonts w:asciiTheme="minorHAnsi" w:eastAsia="Times New Roman" w:hAnsiTheme="minorHAnsi" w:cstheme="minorHAnsi"/>
                <w:b/>
                <w:bCs/>
                <w:color w:val="000000"/>
                <w:sz w:val="20"/>
                <w:szCs w:val="20"/>
                <w:lang w:val="en-US"/>
              </w:rPr>
            </w:pPr>
            <w:r w:rsidRPr="00F42004">
              <w:rPr>
                <w:rFonts w:cs="Calibri"/>
                <w:b/>
                <w:bCs/>
                <w:color w:val="000000"/>
                <w:sz w:val="20"/>
                <w:szCs w:val="20"/>
                <w:lang w:val="en-US"/>
              </w:rPr>
              <w:t>Łyny i Węgorapy</w:t>
            </w:r>
          </w:p>
        </w:tc>
      </w:tr>
      <w:tr w:rsidR="00C66D17" w:rsidRPr="00A2718C" w14:paraId="5DF20563" w14:textId="341DB2B9" w:rsidTr="00C66D17">
        <w:trPr>
          <w:trHeight w:val="454"/>
          <w:jc w:val="center"/>
        </w:trPr>
        <w:tc>
          <w:tcPr>
            <w:tcW w:w="3094" w:type="pct"/>
            <w:tcBorders>
              <w:top w:val="single" w:sz="4" w:space="0" w:color="auto"/>
              <w:left w:val="single" w:sz="4" w:space="0" w:color="auto"/>
              <w:bottom w:val="single" w:sz="4" w:space="0" w:color="auto"/>
              <w:right w:val="single" w:sz="4" w:space="0" w:color="auto"/>
            </w:tcBorders>
            <w:vAlign w:val="center"/>
            <w:hideMark/>
          </w:tcPr>
          <w:p w14:paraId="1586B078" w14:textId="025F1347" w:rsidR="00C66D17" w:rsidRPr="00142BC5" w:rsidRDefault="00C66D17" w:rsidP="00C66D17">
            <w:pPr>
              <w:spacing w:before="40" w:after="40"/>
              <w:jc w:val="left"/>
              <w:rPr>
                <w:rFonts w:asciiTheme="minorHAnsi" w:hAnsiTheme="minorHAnsi" w:cstheme="minorHAnsi"/>
                <w:color w:val="000000"/>
                <w:sz w:val="20"/>
                <w:szCs w:val="20"/>
              </w:rPr>
            </w:pPr>
            <w:r w:rsidRPr="00142BC5">
              <w:rPr>
                <w:rFonts w:asciiTheme="minorHAnsi" w:hAnsiTheme="minorHAnsi" w:cstheme="minorHAnsi"/>
                <w:color w:val="000000"/>
                <w:sz w:val="20"/>
                <w:szCs w:val="20"/>
              </w:rPr>
              <w:t>dobry potencjał ekologiczny</w:t>
            </w:r>
            <w:r w:rsidR="00142BC5" w:rsidRPr="00142BC5">
              <w:rPr>
                <w:rFonts w:asciiTheme="minorHAnsi" w:hAnsiTheme="minorHAnsi" w:cstheme="minorHAnsi"/>
                <w:color w:val="000000"/>
                <w:sz w:val="20"/>
                <w:szCs w:val="20"/>
              </w:rPr>
              <w:t xml:space="preserve"> </w:t>
            </w:r>
            <w:r w:rsidR="00142BC5">
              <w:rPr>
                <w:rFonts w:asciiTheme="minorHAnsi" w:hAnsiTheme="minorHAnsi" w:cstheme="minorHAnsi"/>
                <w:color w:val="000000"/>
                <w:sz w:val="20"/>
                <w:szCs w:val="20"/>
              </w:rPr>
              <w:t>i dobry stan chemiczny</w:t>
            </w:r>
          </w:p>
        </w:tc>
        <w:tc>
          <w:tcPr>
            <w:tcW w:w="1906" w:type="pct"/>
            <w:tcBorders>
              <w:top w:val="single" w:sz="4" w:space="0" w:color="auto"/>
              <w:left w:val="single" w:sz="4" w:space="0" w:color="auto"/>
              <w:bottom w:val="single" w:sz="4" w:space="0" w:color="auto"/>
              <w:right w:val="single" w:sz="4" w:space="0" w:color="auto"/>
            </w:tcBorders>
            <w:vAlign w:val="center"/>
          </w:tcPr>
          <w:p w14:paraId="3108D7F7" w14:textId="6C2A90F2" w:rsidR="00C66D17" w:rsidRPr="00C66D17" w:rsidRDefault="00120074" w:rsidP="00C66D17">
            <w:pPr>
              <w:spacing w:before="40" w:after="40"/>
              <w:jc w:val="center"/>
              <w:rPr>
                <w:rFonts w:asciiTheme="minorHAnsi" w:hAnsiTheme="minorHAnsi" w:cstheme="minorHAnsi"/>
                <w:color w:val="000000"/>
                <w:sz w:val="20"/>
                <w:szCs w:val="20"/>
                <w:lang w:val="en-US"/>
              </w:rPr>
            </w:pPr>
            <w:r>
              <w:rPr>
                <w:rFonts w:cs="Calibri"/>
                <w:color w:val="000000"/>
                <w:sz w:val="20"/>
                <w:szCs w:val="20"/>
                <w:lang w:val="en-US"/>
              </w:rPr>
              <w:t>1</w:t>
            </w:r>
          </w:p>
        </w:tc>
      </w:tr>
      <w:tr w:rsidR="00C66D17" w:rsidRPr="00A2718C" w14:paraId="686EC48D" w14:textId="21ACA5D0" w:rsidTr="00C66D17">
        <w:trPr>
          <w:trHeight w:val="454"/>
          <w:jc w:val="center"/>
        </w:trPr>
        <w:tc>
          <w:tcPr>
            <w:tcW w:w="3094" w:type="pct"/>
            <w:tcBorders>
              <w:top w:val="nil"/>
              <w:left w:val="single" w:sz="4" w:space="0" w:color="auto"/>
              <w:bottom w:val="single" w:sz="4" w:space="0" w:color="auto"/>
              <w:right w:val="single" w:sz="4" w:space="0" w:color="auto"/>
            </w:tcBorders>
            <w:vAlign w:val="center"/>
            <w:hideMark/>
          </w:tcPr>
          <w:p w14:paraId="28C57DBC" w14:textId="68F5CB03" w:rsidR="00C66D17" w:rsidRPr="00C66D17" w:rsidRDefault="00C66D17" w:rsidP="00C66D17">
            <w:pPr>
              <w:spacing w:before="40" w:after="40"/>
              <w:jc w:val="left"/>
              <w:rPr>
                <w:rFonts w:asciiTheme="minorHAnsi" w:hAnsiTheme="minorHAnsi" w:cstheme="minorHAnsi"/>
                <w:color w:val="000000"/>
                <w:sz w:val="20"/>
                <w:szCs w:val="20"/>
              </w:rPr>
            </w:pPr>
            <w:r w:rsidRPr="00C66D17">
              <w:rPr>
                <w:rFonts w:asciiTheme="minorHAnsi" w:hAnsiTheme="minorHAnsi" w:cstheme="minorHAnsi"/>
                <w:color w:val="000000"/>
                <w:sz w:val="20"/>
                <w:szCs w:val="20"/>
              </w:rPr>
              <w:t>dobry stan ekologiczny</w:t>
            </w:r>
            <w:r w:rsidR="00120074">
              <w:rPr>
                <w:rFonts w:asciiTheme="minorHAnsi" w:hAnsiTheme="minorHAnsi" w:cstheme="minorHAnsi"/>
                <w:color w:val="000000"/>
                <w:sz w:val="20"/>
                <w:szCs w:val="20"/>
              </w:rPr>
              <w:t xml:space="preserve"> i dobry stan chemiczny</w:t>
            </w:r>
          </w:p>
        </w:tc>
        <w:tc>
          <w:tcPr>
            <w:tcW w:w="1906" w:type="pct"/>
            <w:tcBorders>
              <w:top w:val="nil"/>
              <w:left w:val="single" w:sz="4" w:space="0" w:color="auto"/>
              <w:bottom w:val="single" w:sz="4" w:space="0" w:color="auto"/>
              <w:right w:val="single" w:sz="4" w:space="0" w:color="auto"/>
            </w:tcBorders>
            <w:vAlign w:val="center"/>
          </w:tcPr>
          <w:p w14:paraId="5174F953" w14:textId="3E4A3604" w:rsidR="00C66D17" w:rsidRPr="00C66D17" w:rsidRDefault="00120074" w:rsidP="00C66D17">
            <w:pPr>
              <w:spacing w:before="40" w:after="40"/>
              <w:jc w:val="center"/>
              <w:rPr>
                <w:rFonts w:asciiTheme="minorHAnsi" w:hAnsiTheme="minorHAnsi" w:cstheme="minorHAnsi"/>
                <w:color w:val="000000"/>
                <w:sz w:val="20"/>
                <w:szCs w:val="20"/>
              </w:rPr>
            </w:pPr>
            <w:r>
              <w:rPr>
                <w:rFonts w:cs="Calibri"/>
                <w:color w:val="000000"/>
                <w:sz w:val="20"/>
                <w:szCs w:val="20"/>
              </w:rPr>
              <w:t>46</w:t>
            </w:r>
          </w:p>
        </w:tc>
      </w:tr>
      <w:tr w:rsidR="009B5D37" w:rsidRPr="00A2718C" w14:paraId="5B305699" w14:textId="77777777" w:rsidTr="009B5D37">
        <w:trPr>
          <w:trHeight w:val="454"/>
          <w:jc w:val="center"/>
        </w:trPr>
        <w:tc>
          <w:tcPr>
            <w:tcW w:w="3094" w:type="pct"/>
            <w:tcBorders>
              <w:top w:val="single" w:sz="4" w:space="0" w:color="auto"/>
              <w:left w:val="single" w:sz="4" w:space="0" w:color="auto"/>
              <w:bottom w:val="single" w:sz="4" w:space="0" w:color="auto"/>
              <w:right w:val="single" w:sz="4" w:space="0" w:color="auto"/>
            </w:tcBorders>
            <w:vAlign w:val="center"/>
          </w:tcPr>
          <w:p w14:paraId="25690FDA" w14:textId="465E48D2" w:rsidR="009B5D37" w:rsidRPr="009B5D37" w:rsidRDefault="009B5D37" w:rsidP="009B5D37">
            <w:pPr>
              <w:spacing w:before="40" w:after="40"/>
              <w:jc w:val="left"/>
              <w:rPr>
                <w:rFonts w:asciiTheme="minorHAnsi" w:hAnsiTheme="minorHAnsi" w:cstheme="minorHAnsi"/>
                <w:color w:val="000000"/>
                <w:sz w:val="20"/>
                <w:szCs w:val="20"/>
              </w:rPr>
            </w:pPr>
            <w:r w:rsidRPr="004821D7">
              <w:rPr>
                <w:rFonts w:asciiTheme="minorHAnsi" w:hAnsiTheme="minorHAnsi" w:cstheme="minorHAnsi"/>
                <w:color w:val="000000"/>
                <w:sz w:val="20"/>
                <w:szCs w:val="20"/>
              </w:rPr>
              <w:t>odstępstwo z art. 4 ust. 4 RDW</w:t>
            </w:r>
          </w:p>
        </w:tc>
        <w:tc>
          <w:tcPr>
            <w:tcW w:w="1906" w:type="pct"/>
            <w:tcBorders>
              <w:top w:val="single" w:sz="4" w:space="0" w:color="auto"/>
              <w:left w:val="single" w:sz="4" w:space="0" w:color="auto"/>
              <w:bottom w:val="single" w:sz="4" w:space="0" w:color="auto"/>
              <w:right w:val="single" w:sz="4" w:space="0" w:color="auto"/>
            </w:tcBorders>
            <w:vAlign w:val="center"/>
          </w:tcPr>
          <w:p w14:paraId="4A91ECA5" w14:textId="32146FC6" w:rsidR="009B5D37" w:rsidRPr="008C4B53" w:rsidRDefault="005E0442" w:rsidP="009B5D37">
            <w:pPr>
              <w:spacing w:before="40" w:after="40"/>
              <w:jc w:val="center"/>
              <w:rPr>
                <w:rFonts w:asciiTheme="minorHAnsi" w:hAnsiTheme="minorHAnsi" w:cstheme="minorHAnsi"/>
                <w:color w:val="000000"/>
                <w:sz w:val="20"/>
                <w:szCs w:val="20"/>
              </w:rPr>
            </w:pPr>
            <w:r>
              <w:rPr>
                <w:rFonts w:asciiTheme="minorHAnsi" w:hAnsiTheme="minorHAnsi" w:cstheme="minorHAnsi"/>
                <w:color w:val="000000"/>
                <w:sz w:val="20"/>
                <w:szCs w:val="20"/>
              </w:rPr>
              <w:t>53</w:t>
            </w:r>
          </w:p>
        </w:tc>
      </w:tr>
      <w:tr w:rsidR="009B5D37" w:rsidRPr="00A2718C" w14:paraId="01F679A7" w14:textId="77777777" w:rsidTr="009B5D37">
        <w:trPr>
          <w:trHeight w:val="454"/>
          <w:jc w:val="center"/>
        </w:trPr>
        <w:tc>
          <w:tcPr>
            <w:tcW w:w="3094" w:type="pct"/>
            <w:tcBorders>
              <w:top w:val="single" w:sz="4" w:space="0" w:color="auto"/>
              <w:left w:val="single" w:sz="4" w:space="0" w:color="auto"/>
              <w:bottom w:val="single" w:sz="4" w:space="0" w:color="auto"/>
              <w:right w:val="single" w:sz="4" w:space="0" w:color="auto"/>
            </w:tcBorders>
            <w:vAlign w:val="center"/>
          </w:tcPr>
          <w:p w14:paraId="2A6B8CF6" w14:textId="4F1E2568" w:rsidR="009B5D37" w:rsidRPr="009B5D37" w:rsidRDefault="0075473C" w:rsidP="009B5D37">
            <w:pPr>
              <w:spacing w:before="40" w:after="40"/>
              <w:jc w:val="left"/>
              <w:rPr>
                <w:rFonts w:asciiTheme="minorHAnsi" w:hAnsiTheme="minorHAnsi" w:cstheme="minorHAnsi"/>
                <w:color w:val="000000"/>
                <w:sz w:val="20"/>
                <w:szCs w:val="20"/>
              </w:rPr>
            </w:pPr>
            <w:r w:rsidRPr="00795F17">
              <w:t>odstępstwo z art. 4 ust. 5 RDW</w:t>
            </w:r>
            <w:r w:rsidRPr="00D168C2">
              <w:rPr>
                <w:vertAlign w:val="superscript"/>
              </w:rPr>
              <w:t>1</w:t>
            </w:r>
          </w:p>
        </w:tc>
        <w:tc>
          <w:tcPr>
            <w:tcW w:w="1906" w:type="pct"/>
            <w:tcBorders>
              <w:top w:val="single" w:sz="4" w:space="0" w:color="auto"/>
              <w:left w:val="single" w:sz="4" w:space="0" w:color="auto"/>
              <w:bottom w:val="single" w:sz="4" w:space="0" w:color="auto"/>
              <w:right w:val="single" w:sz="4" w:space="0" w:color="auto"/>
            </w:tcBorders>
            <w:vAlign w:val="center"/>
          </w:tcPr>
          <w:p w14:paraId="7B0B778E" w14:textId="2289A3CF" w:rsidR="009B5D37" w:rsidRPr="009B5D37" w:rsidRDefault="005E0442" w:rsidP="009B5D37">
            <w:pPr>
              <w:spacing w:before="40" w:after="40"/>
              <w:jc w:val="center"/>
              <w:rPr>
                <w:rFonts w:asciiTheme="minorHAnsi" w:hAnsiTheme="minorHAnsi" w:cstheme="minorHAnsi"/>
                <w:color w:val="000000"/>
                <w:sz w:val="20"/>
                <w:szCs w:val="20"/>
              </w:rPr>
            </w:pPr>
            <w:r>
              <w:rPr>
                <w:rFonts w:asciiTheme="minorHAnsi" w:hAnsiTheme="minorHAnsi" w:cstheme="minorHAnsi"/>
                <w:color w:val="000000"/>
                <w:sz w:val="20"/>
                <w:szCs w:val="20"/>
              </w:rPr>
              <w:t>26</w:t>
            </w:r>
          </w:p>
        </w:tc>
      </w:tr>
    </w:tbl>
    <w:p w14:paraId="0924F805" w14:textId="03FDE58A" w:rsidR="00085D53" w:rsidRPr="002F0E9F" w:rsidRDefault="006F2CAD" w:rsidP="00085D53">
      <w:pPr>
        <w:pStyle w:val="NormalnyWeb"/>
        <w:spacing w:before="0" w:beforeAutospacing="0" w:after="0" w:afterAutospacing="0"/>
        <w:jc w:val="both"/>
        <w:rPr>
          <w:rFonts w:asciiTheme="minorHAnsi" w:hAnsiTheme="minorHAnsi" w:cstheme="minorHAnsi"/>
          <w:i/>
          <w:iCs/>
          <w:sz w:val="18"/>
          <w:szCs w:val="18"/>
        </w:rPr>
      </w:pPr>
      <w:r w:rsidRPr="00C077FC">
        <w:rPr>
          <w:rFonts w:cs="Calibri"/>
          <w:i/>
          <w:iCs/>
          <w:color w:val="000000"/>
          <w:sz w:val="18"/>
          <w:szCs w:val="18"/>
          <w:shd w:val="clear" w:color="auto" w:fill="FFFFFF"/>
          <w:vertAlign w:val="superscript"/>
        </w:rPr>
        <w:t xml:space="preserve">1 </w:t>
      </w:r>
      <w:r w:rsidR="00085D53" w:rsidRPr="002F0E9F">
        <w:rPr>
          <w:rFonts w:asciiTheme="minorHAnsi" w:hAnsiTheme="minorHAnsi" w:cstheme="minorHAnsi"/>
          <w:i/>
          <w:iCs/>
          <w:sz w:val="18"/>
          <w:szCs w:val="18"/>
        </w:rPr>
        <w:t xml:space="preserve">Wskazane w tabeli jcwp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w:t>
      </w:r>
      <w:r w:rsidR="006C4947">
        <w:rPr>
          <w:rFonts w:asciiTheme="minorHAnsi" w:hAnsiTheme="minorHAnsi" w:cstheme="minorHAnsi"/>
          <w:i/>
          <w:iCs/>
          <w:sz w:val="18"/>
          <w:szCs w:val="18"/>
        </w:rPr>
        <w:t>-</w:t>
      </w:r>
      <w:r w:rsidR="00085D53" w:rsidRPr="002F0E9F">
        <w:rPr>
          <w:rFonts w:asciiTheme="minorHAnsi" w:hAnsiTheme="minorHAnsi" w:cstheme="minorHAnsi"/>
          <w:i/>
          <w:iCs/>
          <w:sz w:val="18"/>
          <w:szCs w:val="18"/>
        </w:rPr>
        <w:t xml:space="preserve"> II klasa jakości);</w:t>
      </w:r>
      <w:r w:rsidR="00085D53">
        <w:rPr>
          <w:rFonts w:asciiTheme="minorHAnsi" w:hAnsiTheme="minorHAnsi" w:cstheme="minorHAnsi"/>
          <w:i/>
          <w:iCs/>
          <w:sz w:val="18"/>
          <w:szCs w:val="18"/>
        </w:rPr>
        <w:t xml:space="preserve"> </w:t>
      </w:r>
      <w:r w:rsidR="00085D53" w:rsidRPr="002F0E9F">
        <w:rPr>
          <w:rFonts w:asciiTheme="minorHAnsi" w:hAnsiTheme="minorHAnsi" w:cstheme="minorHAnsi"/>
          <w:i/>
          <w:iCs/>
          <w:sz w:val="18"/>
          <w:szCs w:val="18"/>
        </w:rPr>
        <w:t>w przypadku, gdy wskaźnikiem determinującym wskazanie do odstępstwa jest wskaźnik oceny stanu  chemicznego:  stan chemiczny, dla złagodzonych wskaźników przedstawionych w załączniku nr 1 oraz 5.1- poniżej stanu dobrego, dla pozostałych wskaźników - stan dobry.</w:t>
      </w:r>
    </w:p>
    <w:p w14:paraId="10086E54" w14:textId="34D33B35" w:rsidR="007A0C82" w:rsidRDefault="007A0C82" w:rsidP="007A0C82">
      <w:pPr>
        <w:pStyle w:val="rdo0"/>
      </w:pPr>
      <w:r w:rsidRPr="002D0D68">
        <w:t xml:space="preserve">Źródło: opracowanie </w:t>
      </w:r>
      <w:r>
        <w:t>własne</w:t>
      </w:r>
    </w:p>
    <w:p w14:paraId="6F610ACD" w14:textId="357EAE2B" w:rsidR="000714F1" w:rsidRDefault="000714F1" w:rsidP="00B50FFD">
      <w:pPr>
        <w:pStyle w:val="Nagwek3"/>
      </w:pPr>
      <w:bookmarkStart w:id="176" w:name="_Toc68726859"/>
      <w:r>
        <w:t>Sposób określenia wartości granicznych dla stanu ekologicznego</w:t>
      </w:r>
      <w:bookmarkEnd w:id="176"/>
    </w:p>
    <w:p w14:paraId="25BF4E66" w14:textId="5711DF01" w:rsidR="00196A9A" w:rsidRPr="00C81D92" w:rsidRDefault="00196A9A" w:rsidP="00196A9A">
      <w:pPr>
        <w:shd w:val="clear" w:color="auto" w:fill="FFFFFF" w:themeFill="background1"/>
        <w:suppressAutoHyphens/>
        <w:rPr>
          <w:rFonts w:asciiTheme="minorHAnsi" w:hAnsiTheme="minorHAnsi" w:cstheme="minorHAnsi"/>
        </w:rPr>
      </w:pPr>
      <w:r w:rsidRPr="00C81D92">
        <w:rPr>
          <w:rFonts w:asciiTheme="minorHAnsi" w:hAnsiTheme="minorHAnsi" w:cstheme="minorHAnsi"/>
        </w:rPr>
        <w:t xml:space="preserve">Wartości graniczne dla stanu ekologicznego określone są r.kl.jcwp. Dokonana w okresie poprzedniego cyklu planistycznego weryfikacja metod oceny stanu ekologicznego jcwp wyznaczonych jako naturalne części wód oraz wartości granicznych dla klas stanu ekologicznego została wprowadzona w dwóch etapach </w:t>
      </w:r>
      <w:r w:rsidR="006C4947">
        <w:rPr>
          <w:rFonts w:asciiTheme="minorHAnsi" w:hAnsiTheme="minorHAnsi" w:cstheme="minorHAnsi"/>
        </w:rPr>
        <w:t>-</w:t>
      </w:r>
      <w:r w:rsidRPr="00C81D92">
        <w:rPr>
          <w:rFonts w:asciiTheme="minorHAnsi" w:hAnsiTheme="minorHAnsi" w:cstheme="minorHAnsi"/>
        </w:rPr>
        <w:t xml:space="preserve"> część weszła w życie wraz z ogłoszeniem r.kl.jcwp, natomiast kolejne zmiany weszły w życie z dniem 1 stycznia 2022 r. i będą obowiązywały w IV cyklu planistycznym. Zmiany te obejmują zarówno zakres elementów biologicznych ocenianych w poszczególnych kategoriach i typach wód, jak i</w:t>
      </w:r>
      <w:r w:rsidR="003C2125">
        <w:rPr>
          <w:rFonts w:asciiTheme="minorHAnsi" w:hAnsiTheme="minorHAnsi" w:cstheme="minorHAnsi"/>
        </w:rPr>
        <w:t> </w:t>
      </w:r>
      <w:r w:rsidRPr="00C81D92">
        <w:rPr>
          <w:rFonts w:asciiTheme="minorHAnsi" w:hAnsiTheme="minorHAnsi" w:cstheme="minorHAnsi"/>
        </w:rPr>
        <w:t>przedziały granic klas dla stanu ekologicznego poszczególnych elementów biologicznych. Zmianie uległa także liczba ocenianych elementów fizykochemicznych oraz granice klas.</w:t>
      </w:r>
    </w:p>
    <w:p w14:paraId="1CD1ABFD" w14:textId="25EEDC6D" w:rsidR="00196A9A" w:rsidRPr="009D46E1" w:rsidRDefault="00196A9A" w:rsidP="009D46E1">
      <w:bookmarkStart w:id="177" w:name="_Toc67663608"/>
      <w:r w:rsidRPr="009D46E1">
        <w:t>Cele środowiskowe naturalnych jcwp dla wspierających elementów fizykochemicznych określono zgodnie z załącznikiem nr 7 i nr 8 r.kl.jcwp.</w:t>
      </w:r>
      <w:bookmarkEnd w:id="177"/>
    </w:p>
    <w:p w14:paraId="578B0003" w14:textId="62027BF1" w:rsidR="00196A9A" w:rsidRPr="00196A9A" w:rsidRDefault="00196A9A" w:rsidP="00196A9A">
      <w:r w:rsidRPr="00C81D92">
        <w:rPr>
          <w:rFonts w:asciiTheme="minorHAnsi" w:hAnsiTheme="minorHAnsi" w:cstheme="minorHAnsi"/>
        </w:rPr>
        <w:t xml:space="preserve">W przypadku specyficznych substancji syntetycznych i niesyntetycznych cele środowiskowe zostały przyjęte zgodnie z załącznikiem nr 11 r.kl.jcwp. </w:t>
      </w:r>
    </w:p>
    <w:p w14:paraId="36E15D4D" w14:textId="4D67C3BD" w:rsidR="000714F1" w:rsidRDefault="00196A9A" w:rsidP="00B50FFD">
      <w:pPr>
        <w:pStyle w:val="Nagwek3"/>
      </w:pPr>
      <w:bookmarkStart w:id="178" w:name="_Toc68726860"/>
      <w:r w:rsidRPr="00196A9A">
        <w:t>Sposób określenia wartości granicznych dla potencjału ekologicznego</w:t>
      </w:r>
      <w:bookmarkEnd w:id="178"/>
    </w:p>
    <w:p w14:paraId="27AEBEBB" w14:textId="77777777" w:rsidR="00556DF2" w:rsidRPr="00C81D92" w:rsidRDefault="00556DF2" w:rsidP="00556DF2">
      <w:pPr>
        <w:shd w:val="clear" w:color="auto" w:fill="FFFFFF" w:themeFill="background1"/>
        <w:suppressAutoHyphens/>
        <w:rPr>
          <w:rFonts w:asciiTheme="minorHAnsi" w:hAnsiTheme="minorHAnsi" w:cstheme="minorHAnsi"/>
        </w:rPr>
      </w:pPr>
      <w:r w:rsidRPr="00C81D92">
        <w:rPr>
          <w:rFonts w:asciiTheme="minorHAnsi" w:hAnsiTheme="minorHAnsi" w:cstheme="minorHAnsi"/>
        </w:rPr>
        <w:t>Zgodnie z r.kl.jcwp od 1 stycznia 2022 r. obowiązują nowe zasady wyznaczania przedziałów granic potencjału ekologicznego. Zgodnie z</w:t>
      </w:r>
      <w:r w:rsidRPr="00C81D92" w:rsidDel="004C11B8">
        <w:rPr>
          <w:rFonts w:asciiTheme="minorHAnsi" w:hAnsiTheme="minorHAnsi" w:cstheme="minorHAnsi"/>
        </w:rPr>
        <w:t xml:space="preserve"> </w:t>
      </w:r>
      <w:r w:rsidRPr="00C81D92">
        <w:rPr>
          <w:rFonts w:asciiTheme="minorHAnsi" w:hAnsiTheme="minorHAnsi" w:cstheme="minorHAnsi"/>
        </w:rPr>
        <w:t>załącznikiem nr 8 do r.kl.jcwp wartości graniczne dla klas jakości wód powierzchniowych wskaźników jakości wód powierzchniowych, będące podstawą klasyfikacji potencjału ekologicznego jcwp, odnoszące się do jcwp w ciekach naturalnych, kanałach lub zbiornikach zaporowych wyznaczonych jako sztuczne bądź silnie zmienione jcwp, o których mowa w ust. 1 r.kl.jcwp, określa się w ramach planu gospodarowania wodami na obszarze dorzecza lub jego aktualizacji, w rozporządzeniu, o którym mowa w art. 321 ustawy pr.w. (wartości graniczne wskazane są w załączniku nr 3.1. IIaPGW).</w:t>
      </w:r>
    </w:p>
    <w:p w14:paraId="75D7CB65" w14:textId="3F191479" w:rsidR="00556DF2" w:rsidRPr="00C81D92" w:rsidRDefault="00556DF2" w:rsidP="00556DF2">
      <w:pPr>
        <w:shd w:val="clear" w:color="auto" w:fill="FFFFFF" w:themeFill="background1"/>
        <w:rPr>
          <w:rFonts w:asciiTheme="minorHAnsi" w:hAnsiTheme="minorHAnsi" w:cstheme="minorHAnsi"/>
        </w:rPr>
      </w:pPr>
      <w:r w:rsidRPr="00C81D92">
        <w:rPr>
          <w:rFonts w:asciiTheme="minorHAnsi" w:hAnsiTheme="minorHAnsi" w:cstheme="minorHAnsi"/>
        </w:rPr>
        <w:t>W przypadku ustalenia celów środowiskowych dla SZCW i SCW uwzględniono zaktualizowane statusy jcwp. W odniesieniu do potencjału ekologicznego dla rzek wprowadzono odrębne od stanu ekologicznego wartości graniczne, które wyznacza się indywidualnie dla każdej SZCW lub SCW w</w:t>
      </w:r>
      <w:r w:rsidR="003C2125">
        <w:rPr>
          <w:rFonts w:asciiTheme="minorHAnsi" w:hAnsiTheme="minorHAnsi" w:cstheme="minorHAnsi"/>
        </w:rPr>
        <w:t> </w:t>
      </w:r>
      <w:r w:rsidRPr="00C81D92">
        <w:rPr>
          <w:rFonts w:asciiTheme="minorHAnsi" w:hAnsiTheme="minorHAnsi" w:cstheme="minorHAnsi"/>
        </w:rPr>
        <w:t>zależności od stopnia w zależności od stopnia jej przekształcenia. Dla jezior wprowadzono sumy wskaźników oceny stanu morfologicznego oraz wybranych wskaźników biologicznych (makrofity, ichtiofauna) dla stanu lub potencjału ekologicznego, stanowiących dolne granice dla wyznaczenia części wód jako naturalnej.</w:t>
      </w:r>
    </w:p>
    <w:p w14:paraId="72A2DC1F" w14:textId="26007266" w:rsidR="00556DF2" w:rsidRPr="00D16612" w:rsidRDefault="00556DF2" w:rsidP="00556DF2">
      <w:pPr>
        <w:shd w:val="clear" w:color="auto" w:fill="FFFFFF" w:themeFill="background1"/>
        <w:rPr>
          <w:rFonts w:asciiTheme="minorHAnsi" w:hAnsiTheme="minorHAnsi" w:cstheme="minorHAnsi"/>
        </w:rPr>
      </w:pPr>
      <w:r w:rsidRPr="00C81D92">
        <w:rPr>
          <w:rFonts w:asciiTheme="minorHAnsi" w:hAnsiTheme="minorHAnsi" w:cstheme="minorHAnsi"/>
        </w:rPr>
        <w:t>Przyjętymi założeniami metodycznymi dla wyznaczenia potencjału ekologicznego dla SZCW i SCW rzek</w:t>
      </w:r>
      <w:r w:rsidR="003C2125" w:rsidRPr="003C2125">
        <w:rPr>
          <w:rFonts w:asciiTheme="minorHAnsi" w:hAnsiTheme="minorHAnsi" w:cstheme="minorHAnsi"/>
        </w:rPr>
        <w:t xml:space="preserve"> oraz</w:t>
      </w:r>
      <w:r w:rsidRPr="00C81D92">
        <w:rPr>
          <w:rFonts w:asciiTheme="minorHAnsi" w:hAnsiTheme="minorHAnsi" w:cstheme="minorHAnsi"/>
        </w:rPr>
        <w:t xml:space="preserve"> jezior były</w:t>
      </w:r>
      <w:r w:rsidRPr="00D16612">
        <w:rPr>
          <w:rFonts w:asciiTheme="minorHAnsi" w:hAnsiTheme="minorHAnsi" w:cstheme="minorHAnsi"/>
        </w:rPr>
        <w:t>:</w:t>
      </w:r>
    </w:p>
    <w:p w14:paraId="6CE389F8" w14:textId="4B31024E" w:rsidR="00556DF2" w:rsidRPr="003C2125" w:rsidRDefault="00556DF2" w:rsidP="00AA3506">
      <w:pPr>
        <w:pStyle w:val="Punkty1"/>
        <w:numPr>
          <w:ilvl w:val="0"/>
          <w:numId w:val="85"/>
        </w:numPr>
        <w:shd w:val="clear" w:color="auto" w:fill="FFFFFF" w:themeFill="background1"/>
        <w:autoSpaceDN/>
        <w:rPr>
          <w:rFonts w:asciiTheme="minorHAnsi" w:hAnsiTheme="minorHAnsi" w:cstheme="minorHAnsi"/>
          <w:sz w:val="22"/>
          <w:szCs w:val="22"/>
        </w:rPr>
      </w:pPr>
      <w:bookmarkStart w:id="179" w:name="_Toc67663609"/>
      <w:r w:rsidRPr="003C2125">
        <w:rPr>
          <w:rFonts w:asciiTheme="minorHAnsi" w:hAnsiTheme="minorHAnsi" w:cstheme="minorHAnsi"/>
          <w:sz w:val="22"/>
          <w:szCs w:val="22"/>
        </w:rPr>
        <w:t xml:space="preserve">wybór odpowiednich elementów biologicznych do oceny potencjału ekologicznego </w:t>
      </w:r>
      <w:r w:rsidR="006C4947">
        <w:rPr>
          <w:rFonts w:asciiTheme="minorHAnsi" w:hAnsiTheme="minorHAnsi" w:cstheme="minorHAnsi"/>
          <w:sz w:val="22"/>
          <w:szCs w:val="22"/>
        </w:rPr>
        <w:t>-</w:t>
      </w:r>
      <w:r w:rsidRPr="003C2125">
        <w:rPr>
          <w:rFonts w:asciiTheme="minorHAnsi" w:hAnsiTheme="minorHAnsi" w:cstheme="minorHAnsi"/>
          <w:sz w:val="22"/>
          <w:szCs w:val="22"/>
        </w:rPr>
        <w:t xml:space="preserve"> przyjęto zestaw elementów wykorzystywanych w ocenie najbliższej porównywalnej kategorii wód naturalnych:</w:t>
      </w:r>
      <w:bookmarkEnd w:id="179"/>
    </w:p>
    <w:p w14:paraId="7030E0E8" w14:textId="4EC73480" w:rsidR="00556DF2" w:rsidRPr="00C81D92" w:rsidRDefault="00556DF2" w:rsidP="00AA3506">
      <w:pPr>
        <w:pStyle w:val="Punkty"/>
        <w:numPr>
          <w:ilvl w:val="0"/>
          <w:numId w:val="84"/>
        </w:numPr>
        <w:shd w:val="clear" w:color="auto" w:fill="FFFFFF" w:themeFill="background1"/>
        <w:rPr>
          <w:rFonts w:asciiTheme="minorHAnsi" w:hAnsiTheme="minorHAnsi" w:cstheme="minorHAnsi"/>
        </w:rPr>
      </w:pPr>
      <w:r w:rsidRPr="00C81D92">
        <w:rPr>
          <w:rFonts w:asciiTheme="minorHAnsi" w:hAnsiTheme="minorHAnsi" w:cstheme="minorHAnsi"/>
        </w:rPr>
        <w:t xml:space="preserve">dla SZCW rzeki czy SCW kanału </w:t>
      </w:r>
      <w:r w:rsidR="006C4947">
        <w:rPr>
          <w:rFonts w:asciiTheme="minorHAnsi" w:hAnsiTheme="minorHAnsi" w:cstheme="minorHAnsi"/>
        </w:rPr>
        <w:t>-</w:t>
      </w:r>
      <w:r w:rsidRPr="00C81D92">
        <w:rPr>
          <w:rFonts w:asciiTheme="minorHAnsi" w:hAnsiTheme="minorHAnsi" w:cstheme="minorHAnsi"/>
        </w:rPr>
        <w:t xml:space="preserve"> rzeka;</w:t>
      </w:r>
    </w:p>
    <w:p w14:paraId="1E312130" w14:textId="6F4850CF" w:rsidR="00556DF2" w:rsidRPr="00C81D92" w:rsidRDefault="00556DF2" w:rsidP="00AA3506">
      <w:pPr>
        <w:pStyle w:val="Punkty"/>
        <w:numPr>
          <w:ilvl w:val="0"/>
          <w:numId w:val="84"/>
        </w:numPr>
        <w:shd w:val="clear" w:color="auto" w:fill="FFFFFF" w:themeFill="background1"/>
        <w:rPr>
          <w:rFonts w:asciiTheme="minorHAnsi" w:hAnsiTheme="minorHAnsi" w:cstheme="minorHAnsi"/>
        </w:rPr>
      </w:pPr>
      <w:r w:rsidRPr="00C81D92">
        <w:rPr>
          <w:rFonts w:asciiTheme="minorHAnsi" w:hAnsiTheme="minorHAnsi" w:cstheme="minorHAnsi"/>
        </w:rPr>
        <w:t xml:space="preserve">dla SZCW jeziora </w:t>
      </w:r>
      <w:r w:rsidR="006C4947">
        <w:rPr>
          <w:rFonts w:asciiTheme="minorHAnsi" w:hAnsiTheme="minorHAnsi" w:cstheme="minorHAnsi"/>
        </w:rPr>
        <w:t>-</w:t>
      </w:r>
      <w:r w:rsidRPr="00C81D92">
        <w:rPr>
          <w:rFonts w:asciiTheme="minorHAnsi" w:hAnsiTheme="minorHAnsi" w:cstheme="minorHAnsi"/>
        </w:rPr>
        <w:t xml:space="preserve"> jezioro;</w:t>
      </w:r>
    </w:p>
    <w:p w14:paraId="5DD3007C" w14:textId="397C82C3" w:rsidR="00556DF2" w:rsidRPr="003C2125" w:rsidRDefault="00556DF2" w:rsidP="00556DF2">
      <w:pPr>
        <w:pStyle w:val="Punkty1"/>
        <w:shd w:val="clear" w:color="auto" w:fill="FFFFFF" w:themeFill="background1"/>
        <w:autoSpaceDN/>
        <w:rPr>
          <w:rFonts w:asciiTheme="minorHAnsi" w:hAnsiTheme="minorHAnsi" w:cstheme="minorHAnsi"/>
          <w:sz w:val="22"/>
          <w:szCs w:val="22"/>
        </w:rPr>
      </w:pPr>
      <w:bookmarkStart w:id="180" w:name="_Toc67663610"/>
      <w:r w:rsidRPr="003C2125">
        <w:rPr>
          <w:rFonts w:asciiTheme="minorHAnsi" w:hAnsiTheme="minorHAnsi" w:cstheme="minorHAnsi"/>
          <w:sz w:val="22"/>
          <w:szCs w:val="22"/>
        </w:rPr>
        <w:t xml:space="preserve">jako dolną wartość graniczną maksymalnego potencjału ekologicznego przyjęcie dolnej granicy dobrego stanu ekologicznego dla danego typu abiotycznego rzek, zakładając, że w praktyce odpowiada to stanowi </w:t>
      </w:r>
      <w:r w:rsidR="002035FC">
        <w:rPr>
          <w:rFonts w:asciiTheme="minorHAnsi" w:hAnsiTheme="minorHAnsi" w:cstheme="minorHAnsi"/>
          <w:sz w:val="22"/>
          <w:szCs w:val="22"/>
        </w:rPr>
        <w:t>ekologicznemu</w:t>
      </w:r>
      <w:r w:rsidR="000541F8">
        <w:rPr>
          <w:rFonts w:asciiTheme="minorHAnsi" w:hAnsiTheme="minorHAnsi" w:cstheme="minorHAnsi"/>
          <w:sz w:val="22"/>
          <w:szCs w:val="22"/>
        </w:rPr>
        <w:t>,</w:t>
      </w:r>
      <w:r w:rsidR="002035FC">
        <w:rPr>
          <w:rFonts w:asciiTheme="minorHAnsi" w:hAnsiTheme="minorHAnsi" w:cstheme="minorHAnsi"/>
          <w:sz w:val="22"/>
          <w:szCs w:val="22"/>
        </w:rPr>
        <w:t xml:space="preserve"> </w:t>
      </w:r>
      <w:r w:rsidRPr="003C2125">
        <w:rPr>
          <w:rFonts w:asciiTheme="minorHAnsi" w:hAnsiTheme="minorHAnsi" w:cstheme="minorHAnsi"/>
          <w:sz w:val="22"/>
          <w:szCs w:val="22"/>
        </w:rPr>
        <w:t>jaki można osiągnąć stosując wszystkie uzasadnione działania restytucyjne.</w:t>
      </w:r>
      <w:bookmarkEnd w:id="180"/>
    </w:p>
    <w:p w14:paraId="02C66AEB" w14:textId="1F939F45" w:rsidR="00556DF2" w:rsidRPr="003C2125" w:rsidRDefault="00556DF2" w:rsidP="00556DF2">
      <w:pPr>
        <w:pStyle w:val="Punkty1"/>
        <w:shd w:val="clear" w:color="auto" w:fill="FFFFFF" w:themeFill="background1"/>
        <w:autoSpaceDN/>
        <w:rPr>
          <w:rFonts w:asciiTheme="minorHAnsi" w:hAnsiTheme="minorHAnsi" w:cstheme="minorHAnsi"/>
          <w:sz w:val="22"/>
          <w:szCs w:val="22"/>
        </w:rPr>
      </w:pPr>
      <w:bookmarkStart w:id="181" w:name="_Toc67663611"/>
      <w:r w:rsidRPr="003C2125">
        <w:rPr>
          <w:rFonts w:asciiTheme="minorHAnsi" w:hAnsiTheme="minorHAnsi" w:cstheme="minorHAnsi"/>
          <w:sz w:val="22"/>
          <w:szCs w:val="22"/>
        </w:rPr>
        <w:t>wartości graniczne dla dobrego potencjału ekologicznego mieszczą się w przedziale klasy umiarkowanego stanu ekologicznego, a ich odchylenie od górnej granicy stanu umiarkowanego jest proporcjonalne do stopnia przekształcenia danej SZCW lub SCW w stosunku do wartości HIR i</w:t>
      </w:r>
      <w:r w:rsidR="003C2125">
        <w:rPr>
          <w:rFonts w:asciiTheme="minorHAnsi" w:hAnsiTheme="minorHAnsi" w:cstheme="minorHAnsi"/>
          <w:sz w:val="22"/>
          <w:szCs w:val="22"/>
        </w:rPr>
        <w:t> </w:t>
      </w:r>
      <w:r w:rsidRPr="003C2125">
        <w:rPr>
          <w:rFonts w:asciiTheme="minorHAnsi" w:hAnsiTheme="minorHAnsi" w:cstheme="minorHAnsi"/>
          <w:sz w:val="22"/>
          <w:szCs w:val="22"/>
        </w:rPr>
        <w:t>wskaźników oceny stanu morfologicznego jezior (Grupy A-E lub A-F) przyjętych jako dolne granice dla wyznaczenia części wód jako naturalnej.</w:t>
      </w:r>
      <w:bookmarkEnd w:id="181"/>
    </w:p>
    <w:p w14:paraId="110072FF" w14:textId="77777777" w:rsidR="00556DF2" w:rsidRPr="003C2125" w:rsidRDefault="00556DF2" w:rsidP="00556DF2">
      <w:pPr>
        <w:pStyle w:val="Punkty1"/>
        <w:shd w:val="clear" w:color="auto" w:fill="FFFFFF" w:themeFill="background1"/>
        <w:autoSpaceDN/>
        <w:rPr>
          <w:rFonts w:asciiTheme="minorHAnsi" w:hAnsiTheme="minorHAnsi" w:cstheme="minorHAnsi"/>
          <w:sz w:val="22"/>
          <w:szCs w:val="22"/>
        </w:rPr>
      </w:pPr>
      <w:bookmarkStart w:id="182" w:name="_Toc67663612"/>
      <w:r w:rsidRPr="003C2125">
        <w:rPr>
          <w:rFonts w:asciiTheme="minorHAnsi" w:hAnsiTheme="minorHAnsi" w:cstheme="minorHAnsi"/>
          <w:sz w:val="22"/>
          <w:szCs w:val="22"/>
        </w:rPr>
        <w:t>określenie potencjału ekologicznego w zakresie elementów hydromorfologicznych dla SZCW i SCW rzek wg wzoru:</w:t>
      </w:r>
      <w:bookmarkEnd w:id="182"/>
    </w:p>
    <w:p w14:paraId="594847E6" w14:textId="77777777" w:rsidR="00556DF2" w:rsidRPr="00C81D92" w:rsidRDefault="00CE57D6" w:rsidP="00556DF2">
      <w:pPr>
        <w:shd w:val="clear" w:color="auto" w:fill="FFFFFF" w:themeFill="background1"/>
        <w:rPr>
          <w:rFonts w:asciiTheme="minorHAnsi" w:hAnsiTheme="minorHAnsi" w:cstheme="minorHAnsi"/>
        </w:rPr>
      </w:pPr>
      <m:oMathPara>
        <m:oMath>
          <m:sSub>
            <m:sSubPr>
              <m:ctrlPr>
                <w:rPr>
                  <w:rFonts w:ascii="Cambria Math"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hAnsi="Cambria Math" w:cstheme="minorHAnsi"/>
                  <w:i/>
                </w:rPr>
              </m:ctrlPr>
            </m:dPr>
            <m:e>
              <m:d>
                <m:dPr>
                  <m:ctrlPr>
                    <w:rPr>
                      <w:rFonts w:ascii="Cambria Math" w:hAnsi="Cambria Math" w:cstheme="minorHAnsi"/>
                      <w:i/>
                    </w:rPr>
                  </m:ctrlPr>
                </m:dPr>
                <m:e>
                  <m:r>
                    <m:rPr>
                      <m:sty m:val="p"/>
                    </m:rPr>
                    <w:rPr>
                      <w:rFonts w:ascii="Cambria Math" w:hAnsi="Cambria Math" w:cstheme="minorHAnsi"/>
                    </w:rPr>
                    <m:t>1-</m:t>
                  </m:r>
                  <m:f>
                    <m:fPr>
                      <m:ctrlPr>
                        <w:rPr>
                          <w:rFonts w:ascii="Cambria Math" w:hAnsi="Cambria Math" w:cstheme="minorHAnsi"/>
                          <w:i/>
                        </w:rPr>
                      </m:ctrlPr>
                    </m:fPr>
                    <m:num>
                      <m:sSub>
                        <m:sSubPr>
                          <m:ctrlPr>
                            <w:rPr>
                              <w:rFonts w:ascii="Cambria Math"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max</m:t>
                          </m:r>
                        </m:sub>
                      </m:sSub>
                    </m:num>
                    <m:den>
                      <m:sSub>
                        <m:sSubPr>
                          <m:ctrlPr>
                            <w:rPr>
                              <w:rFonts w:ascii="Cambria Math"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0,60</m:t>
                          </m:r>
                        </m:sub>
                      </m:sSub>
                    </m:den>
                  </m:f>
                </m:e>
              </m:d>
              <m:r>
                <m:rPr>
                  <m:sty m:val="p"/>
                </m:rPr>
                <w:rPr>
                  <w:rFonts w:ascii="Cambria Math" w:hAnsi="Cambria Math" w:cstheme="minorHAnsi"/>
                </w:rPr>
                <m:t>∙</m:t>
              </m:r>
              <m:d>
                <m:dPr>
                  <m:ctrlPr>
                    <w:rPr>
                      <w:rFonts w:ascii="Cambria Math" w:hAnsi="Cambria Math" w:cstheme="minorHAnsi"/>
                      <w:i/>
                    </w:rPr>
                  </m:ctrlPr>
                </m:dPr>
                <m:e>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44FB3A4A" w14:textId="77777777"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 xml:space="preserve">gdzie: </w:t>
      </w:r>
    </w:p>
    <w:p w14:paraId="74F80CC2" w14:textId="737B7B83"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DPE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dobrego potencjału ekologicznego</w:t>
      </w:r>
    </w:p>
    <w:p w14:paraId="6B0E738C" w14:textId="643920E9"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DSE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dolnego stanu ekologicznego</w:t>
      </w:r>
    </w:p>
    <w:p w14:paraId="2473B27B" w14:textId="5008DAD9"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USE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umiarkowanego stanu ekologicznego</w:t>
      </w:r>
    </w:p>
    <w:p w14:paraId="0592CC77" w14:textId="3D0AA1B1"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HIR</w:t>
      </w:r>
      <w:r w:rsidRPr="00C81D92">
        <w:rPr>
          <w:rFonts w:asciiTheme="minorHAnsi" w:hAnsiTheme="minorHAnsi" w:cstheme="minorHAnsi"/>
          <w:vertAlign w:val="subscript"/>
        </w:rPr>
        <w:t>0,60</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wartość wskaźnika HIR=0,60 (podstawa do wyznaczenia jcwp jako NAT)</w:t>
      </w:r>
    </w:p>
    <w:p w14:paraId="6BBA920C" w14:textId="33A21919" w:rsidR="00556DF2" w:rsidRPr="00C81D92" w:rsidRDefault="00556DF2" w:rsidP="003C2125">
      <w:pPr>
        <w:shd w:val="clear" w:color="auto" w:fill="FFFFFF" w:themeFill="background1"/>
        <w:ind w:left="1134" w:hanging="709"/>
        <w:jc w:val="left"/>
        <w:rPr>
          <w:rFonts w:asciiTheme="minorHAnsi" w:hAnsiTheme="minorHAnsi" w:cstheme="minorHAnsi"/>
        </w:rPr>
      </w:pPr>
      <w:r w:rsidRPr="00C81D92">
        <w:rPr>
          <w:rFonts w:asciiTheme="minorHAnsi" w:hAnsiTheme="minorHAnsi" w:cstheme="minorHAnsi"/>
        </w:rPr>
        <w:t>HIR</w:t>
      </w:r>
      <w:r w:rsidRPr="00C81D92">
        <w:rPr>
          <w:rFonts w:asciiTheme="minorHAnsi" w:hAnsiTheme="minorHAnsi" w:cstheme="minorHAnsi"/>
          <w:vertAlign w:val="subscript"/>
        </w:rPr>
        <w:t>max</w:t>
      </w:r>
      <w:r w:rsidR="006C4947">
        <w:rPr>
          <w:rFonts w:asciiTheme="minorHAnsi" w:hAnsiTheme="minorHAnsi" w:cstheme="minorHAnsi"/>
        </w:rPr>
        <w:t>-</w:t>
      </w:r>
      <w:r w:rsidRPr="00C81D92">
        <w:rPr>
          <w:rFonts w:asciiTheme="minorHAnsi" w:hAnsiTheme="minorHAnsi" w:cstheme="minorHAnsi"/>
        </w:rPr>
        <w:t xml:space="preserve"> maksymalna wartość wskaźnika HIR po restytucji i teście alternatyw dla danej SZCW/SCW</w:t>
      </w:r>
    </w:p>
    <w:p w14:paraId="6F81C5A0" w14:textId="403A2479"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iCs/>
        </w:rPr>
        <w:t>Wyznaczone wartości graniczne podlegały dodatkowo korekcie eksperckiej. R</w:t>
      </w:r>
      <w:r w:rsidRPr="00C81D92">
        <w:rPr>
          <w:rFonts w:asciiTheme="minorHAnsi" w:hAnsiTheme="minorHAnsi" w:cstheme="minorHAnsi"/>
        </w:rPr>
        <w:t>edukcję granic klas dla wskaźnika oceny fitobentosu (IO) oraz fitoplanktonu (IFPL) wskazano tylko dla części  SZCW i</w:t>
      </w:r>
      <w:r w:rsidR="00DB1E60">
        <w:rPr>
          <w:rFonts w:asciiTheme="minorHAnsi" w:hAnsiTheme="minorHAnsi" w:cstheme="minorHAnsi"/>
        </w:rPr>
        <w:t> </w:t>
      </w:r>
      <w:r w:rsidRPr="00C81D92">
        <w:rPr>
          <w:rFonts w:asciiTheme="minorHAnsi" w:hAnsiTheme="minorHAnsi" w:cstheme="minorHAnsi"/>
        </w:rPr>
        <w:t xml:space="preserve">SCW rzek podlegających bardzo silnej presji lub jej określonym rodzajom. Redukcję granic klas dla wskaźników IO oraz IFPL przewidziano odpowiednio dla 51 i 21 jcwp. W przypadku 238 ostatecznie wyznaczonych SZCW (40%) zrezygnowano ze wskaźnika D w ocenie potencjału ekologicznego ze względu na liczne przegrody (PPH2g ≥ 6). Jednakże, w odniesieniu do 48 (20%) SZCW, spośród tych 238  SZCW, wskazano osiągnięcie wartości D ≥ 0,5 ze względu na osiągnięcie celów środowiskowych dla części wód, dla których stanowi on element oceny stanu lub potencjału ekologicznego (z zastrzeżeniem, że wskaźnik D jest brany pod uwagę tylko dla jcwp objętych monitoringiem GIOS w zakresie ichtiofauny). </w:t>
      </w:r>
    </w:p>
    <w:p w14:paraId="60878149" w14:textId="77777777" w:rsidR="00556DF2" w:rsidRPr="00DB1E60" w:rsidRDefault="00556DF2" w:rsidP="00556DF2">
      <w:pPr>
        <w:pStyle w:val="Punkty1"/>
        <w:shd w:val="clear" w:color="auto" w:fill="FFFFFF" w:themeFill="background1"/>
        <w:autoSpaceDN/>
        <w:rPr>
          <w:rFonts w:asciiTheme="minorHAnsi" w:hAnsiTheme="minorHAnsi" w:cstheme="minorHAnsi"/>
          <w:sz w:val="22"/>
          <w:szCs w:val="22"/>
        </w:rPr>
      </w:pPr>
      <w:bookmarkStart w:id="183" w:name="_Toc67663613"/>
      <w:r w:rsidRPr="00DB1E60">
        <w:rPr>
          <w:rFonts w:asciiTheme="minorHAnsi" w:hAnsiTheme="minorHAnsi" w:cstheme="minorHAnsi"/>
          <w:sz w:val="22"/>
          <w:szCs w:val="22"/>
        </w:rPr>
        <w:t>określenie potencjału ekologicznego w zakresie elementów hydromorfologicznych SZCW jezior wg wzorów:</w:t>
      </w:r>
      <w:bookmarkEnd w:id="183"/>
    </w:p>
    <w:p w14:paraId="4977B898" w14:textId="77777777" w:rsidR="00556DF2" w:rsidRPr="00C81D92" w:rsidRDefault="00CE57D6" w:rsidP="00556DF2">
      <w:pPr>
        <w:shd w:val="clear" w:color="auto" w:fill="FFFFFF" w:themeFill="background1"/>
        <w:tabs>
          <w:tab w:val="left" w:pos="1710"/>
        </w:tabs>
        <w:ind w:left="142" w:hanging="142"/>
        <w:jc w:val="center"/>
        <w:rPr>
          <w:rFonts w:asciiTheme="minorHAnsi" w:hAnsiTheme="minorHAnsi" w:cstheme="minorHAnsi"/>
        </w:rPr>
      </w:pPr>
      <m:oMathPara>
        <m:oMath>
          <m:sSub>
            <m:sSubPr>
              <m:ctrlPr>
                <w:rPr>
                  <w:rFonts w:ascii="Cambria Math"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hAnsi="Cambria Math" w:cstheme="minorHAnsi"/>
                  <w:i/>
                </w:rPr>
              </m:ctrlPr>
            </m:dPr>
            <m:e>
              <m:d>
                <m:dPr>
                  <m:ctrlPr>
                    <w:rPr>
                      <w:rFonts w:ascii="Cambria Math" w:hAnsi="Cambria Math" w:cstheme="minorHAnsi"/>
                      <w:i/>
                    </w:rPr>
                  </m:ctrlPr>
                </m:dPr>
                <m:e>
                  <m:r>
                    <m:rPr>
                      <m:sty m:val="p"/>
                    </m:rPr>
                    <w:rPr>
                      <w:rFonts w:ascii="Cambria Math" w:hAnsi="Cambria Math" w:cstheme="minorHAnsi"/>
                    </w:rPr>
                    <m:t>1-</m:t>
                  </m:r>
                  <m:f>
                    <m:fPr>
                      <m:ctrlPr>
                        <w:rPr>
                          <w:rFonts w:ascii="Cambria Math" w:hAnsi="Cambria Math" w:cstheme="minorHAnsi"/>
                          <w:i/>
                        </w:rPr>
                      </m:ctrlPr>
                    </m:fPr>
                    <m:num>
                      <m:r>
                        <m:rPr>
                          <m:sty m:val="p"/>
                        </m:rPr>
                        <w:rPr>
                          <w:rFonts w:ascii="Cambria Math" w:hAnsi="Cambria Math" w:cstheme="minorHAnsi"/>
                        </w:rPr>
                        <m:t>25 pkt</m:t>
                      </m:r>
                    </m:num>
                    <m:den>
                      <m:nary>
                        <m:naryPr>
                          <m:chr m:val="∑"/>
                          <m:limLoc m:val="undOvr"/>
                          <m:subHide m:val="1"/>
                          <m:supHide m:val="1"/>
                          <m:ctrlPr>
                            <w:rPr>
                              <w:rFonts w:ascii="Cambria Math" w:hAnsi="Cambria Math" w:cstheme="minorHAnsi"/>
                              <w:i/>
                            </w:rPr>
                          </m:ctrlPr>
                        </m:naryPr>
                        <m:sub/>
                        <m:sup/>
                        <m:e>
                          <m:r>
                            <m:rPr>
                              <m:sty m:val="p"/>
                            </m:rPr>
                            <w:rPr>
                              <w:rFonts w:ascii="Cambria Math" w:hAnsi="Cambria Math" w:cstheme="minorHAnsi"/>
                            </w:rPr>
                            <m:t>pkt</m:t>
                          </m:r>
                        </m:e>
                      </m:nary>
                      <m:r>
                        <m:rPr>
                          <m:sty m:val="p"/>
                        </m:rPr>
                        <w:rPr>
                          <w:rFonts w:ascii="Cambria Math" w:hAnsi="Cambria Math" w:cstheme="minorHAnsi"/>
                        </w:rPr>
                        <m:t>Wsk A-E</m:t>
                      </m:r>
                    </m:den>
                  </m:f>
                </m:e>
              </m:d>
              <m:r>
                <m:rPr>
                  <m:sty m:val="p"/>
                </m:rPr>
                <w:rPr>
                  <w:rFonts w:ascii="Cambria Math" w:hAnsi="Cambria Math" w:cstheme="minorHAnsi"/>
                </w:rPr>
                <m:t>∙</m:t>
              </m:r>
              <m:d>
                <m:dPr>
                  <m:ctrlPr>
                    <w:rPr>
                      <w:rFonts w:ascii="Cambria Math" w:hAnsi="Cambria Math" w:cstheme="minorHAnsi"/>
                      <w:i/>
                    </w:rPr>
                  </m:ctrlPr>
                </m:dPr>
                <m:e>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10F1685A" w14:textId="77777777" w:rsidR="00556DF2" w:rsidRPr="00C81D92" w:rsidRDefault="00556DF2" w:rsidP="00556DF2">
      <w:pPr>
        <w:shd w:val="clear" w:color="auto" w:fill="FFFFFF" w:themeFill="background1"/>
        <w:tabs>
          <w:tab w:val="left" w:pos="1710"/>
        </w:tabs>
        <w:ind w:left="142" w:hanging="142"/>
        <w:jc w:val="center"/>
        <w:rPr>
          <w:rFonts w:asciiTheme="minorHAnsi" w:hAnsiTheme="minorHAnsi" w:cstheme="minorHAnsi"/>
        </w:rPr>
      </w:pPr>
    </w:p>
    <w:p w14:paraId="183D02F7" w14:textId="77777777" w:rsidR="00556DF2" w:rsidRPr="00F06393" w:rsidRDefault="00CE57D6" w:rsidP="00F06393">
      <w:pPr>
        <w:ind w:left="142"/>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A-F</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77A76F08" w14:textId="77777777" w:rsidR="00556DF2" w:rsidRPr="00C81D92" w:rsidRDefault="00556DF2" w:rsidP="00AA0CAB">
      <w:pPr>
        <w:keepNext/>
        <w:shd w:val="clear" w:color="auto" w:fill="FFFFFF" w:themeFill="background1"/>
        <w:ind w:left="425"/>
        <w:rPr>
          <w:rFonts w:asciiTheme="minorHAnsi" w:hAnsiTheme="minorHAnsi" w:cstheme="minorHAnsi"/>
        </w:rPr>
      </w:pPr>
      <w:r w:rsidRPr="00C81D92">
        <w:rPr>
          <w:rFonts w:asciiTheme="minorHAnsi" w:hAnsiTheme="minorHAnsi" w:cstheme="minorHAnsi"/>
        </w:rPr>
        <w:t xml:space="preserve">gdzie: </w:t>
      </w:r>
    </w:p>
    <w:p w14:paraId="6D5B73AC" w14:textId="44C14590"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DPE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dobrego potencjału ekologicznego</w:t>
      </w:r>
    </w:p>
    <w:p w14:paraId="687191BB" w14:textId="3770E5AC"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DSE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dolnego stanu ekologicznego</w:t>
      </w:r>
    </w:p>
    <w:p w14:paraId="67F0A3B3" w14:textId="6D5D086E"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USE</w:t>
      </w:r>
      <w:r w:rsidRPr="00C81D92">
        <w:rPr>
          <w:rFonts w:asciiTheme="minorHAnsi" w:hAnsiTheme="minorHAnsi" w:cstheme="minorHAnsi"/>
          <w:vertAlign w:val="subscript"/>
        </w:rPr>
        <w:t>d</w:t>
      </w:r>
      <w:r w:rsidRPr="00C81D92">
        <w:rPr>
          <w:rFonts w:asciiTheme="minorHAnsi" w:hAnsiTheme="minorHAnsi" w:cstheme="minorHAnsi"/>
        </w:rPr>
        <w:t xml:space="preserve"> </w:t>
      </w:r>
      <w:r w:rsidR="006C4947">
        <w:rPr>
          <w:rFonts w:asciiTheme="minorHAnsi" w:hAnsiTheme="minorHAnsi" w:cstheme="minorHAnsi"/>
        </w:rPr>
        <w:t>-</w:t>
      </w:r>
      <w:r w:rsidRPr="00C81D92">
        <w:rPr>
          <w:rFonts w:asciiTheme="minorHAnsi" w:hAnsiTheme="minorHAnsi" w:cstheme="minorHAnsi"/>
        </w:rPr>
        <w:t xml:space="preserve"> dolna granica umiarkowanego stanu ekologicznego</w:t>
      </w:r>
    </w:p>
    <w:p w14:paraId="15C4F208" w14:textId="55E02DB0"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 xml:space="preserve">∑ pkt Wsk A-E </w:t>
      </w:r>
      <w:r w:rsidR="006C4947">
        <w:rPr>
          <w:rFonts w:asciiTheme="minorHAnsi" w:hAnsiTheme="minorHAnsi" w:cstheme="minorHAnsi"/>
        </w:rPr>
        <w:t>-</w:t>
      </w:r>
      <w:r w:rsidRPr="00C81D92">
        <w:rPr>
          <w:rFonts w:asciiTheme="minorHAnsi" w:hAnsiTheme="minorHAnsi" w:cstheme="minorHAnsi"/>
        </w:rPr>
        <w:t xml:space="preserve"> suma punktów wskaźników z grup A do E</w:t>
      </w:r>
    </w:p>
    <w:p w14:paraId="3F85D4E1" w14:textId="4BE6106C"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 xml:space="preserve">∑ pkt Wsk A-F </w:t>
      </w:r>
      <w:r w:rsidR="006C4947">
        <w:rPr>
          <w:rFonts w:asciiTheme="minorHAnsi" w:hAnsiTheme="minorHAnsi" w:cstheme="minorHAnsi"/>
        </w:rPr>
        <w:t>-</w:t>
      </w:r>
      <w:r w:rsidRPr="00C81D92">
        <w:rPr>
          <w:rFonts w:asciiTheme="minorHAnsi" w:hAnsiTheme="minorHAnsi" w:cstheme="minorHAnsi"/>
        </w:rPr>
        <w:t xml:space="preserve"> suma punktów wskaźników z grup A do F</w:t>
      </w:r>
    </w:p>
    <w:p w14:paraId="0C448984" w14:textId="243A0404" w:rsidR="00556DF2" w:rsidRPr="00C81D92" w:rsidRDefault="00556DF2" w:rsidP="00556DF2">
      <w:pPr>
        <w:shd w:val="clear" w:color="auto" w:fill="FFFFFF" w:themeFill="background1"/>
        <w:ind w:left="426"/>
        <w:rPr>
          <w:rFonts w:asciiTheme="minorHAnsi" w:hAnsiTheme="minorHAnsi" w:cstheme="minorHAnsi"/>
          <w:i/>
          <w:iCs/>
        </w:rPr>
      </w:pPr>
      <w:r w:rsidRPr="00C81D92">
        <w:rPr>
          <w:rFonts w:asciiTheme="minorHAnsi" w:hAnsiTheme="minorHAnsi" w:cstheme="minorHAnsi"/>
          <w:i/>
          <w:iCs/>
        </w:rPr>
        <w:t xml:space="preserve">25 pkt </w:t>
      </w:r>
      <w:r w:rsidR="006C4947">
        <w:rPr>
          <w:rFonts w:asciiTheme="minorHAnsi" w:hAnsiTheme="minorHAnsi" w:cstheme="minorHAnsi"/>
          <w:i/>
          <w:iCs/>
        </w:rPr>
        <w:t>-</w:t>
      </w:r>
      <w:r w:rsidRPr="00C81D92">
        <w:rPr>
          <w:rFonts w:asciiTheme="minorHAnsi" w:hAnsiTheme="minorHAnsi" w:cstheme="minorHAnsi"/>
          <w:i/>
          <w:iCs/>
        </w:rPr>
        <w:t xml:space="preserve"> minimalna wartość sumy pkt wskaźników </w:t>
      </w:r>
      <w:r w:rsidR="006C4947">
        <w:rPr>
          <w:rFonts w:asciiTheme="minorHAnsi" w:hAnsiTheme="minorHAnsi" w:cstheme="minorHAnsi"/>
          <w:i/>
          <w:iCs/>
        </w:rPr>
        <w:t>-</w:t>
      </w:r>
      <w:r w:rsidRPr="00C81D92">
        <w:rPr>
          <w:rFonts w:asciiTheme="minorHAnsi" w:hAnsiTheme="minorHAnsi" w:cstheme="minorHAnsi"/>
          <w:i/>
          <w:iCs/>
        </w:rPr>
        <w:t xml:space="preserve"> A-E albo A-F będąca podstawą </w:t>
      </w:r>
      <w:r w:rsidRPr="00C81D92">
        <w:rPr>
          <w:rFonts w:asciiTheme="minorHAnsi" w:hAnsiTheme="minorHAnsi" w:cstheme="minorHAnsi"/>
          <w:i/>
          <w:iCs/>
        </w:rPr>
        <w:br/>
        <w:t>do wyznaczenia jcwp jako SZCW</w:t>
      </w:r>
    </w:p>
    <w:p w14:paraId="3C5C5542" w14:textId="77777777" w:rsidR="00556DF2" w:rsidRPr="00C81D92" w:rsidRDefault="00556DF2" w:rsidP="00556DF2">
      <w:pPr>
        <w:shd w:val="clear" w:color="auto" w:fill="FFFFFF" w:themeFill="background1"/>
        <w:ind w:left="426"/>
        <w:rPr>
          <w:rFonts w:asciiTheme="minorHAnsi" w:hAnsiTheme="minorHAnsi" w:cstheme="minorHAnsi"/>
        </w:rPr>
      </w:pPr>
      <w:r w:rsidRPr="00C81D92">
        <w:rPr>
          <w:rFonts w:asciiTheme="minorHAnsi" w:hAnsiTheme="minorHAnsi" w:cstheme="minorHAnsi"/>
        </w:rPr>
        <w:t>W odróżnieniu od rzek przyjęto redukcję klas dla wszystkich wskaźników, w tym dla fitoplanktonu (PMPL), ponieważ przekształcenie morfologiczne brzegów jezior czy zmiany ich reżimu hydrologicznego lub termicznego wpływają pośrednio na poziom trofii wód</w:t>
      </w:r>
    </w:p>
    <w:p w14:paraId="5A926982" w14:textId="0D54EE56" w:rsidR="008018DF" w:rsidRDefault="008018DF" w:rsidP="00556DF2">
      <w:pPr>
        <w:rPr>
          <w:rFonts w:asciiTheme="minorHAnsi" w:hAnsiTheme="minorHAnsi" w:cstheme="minorHAnsi"/>
        </w:rPr>
      </w:pPr>
      <w:bookmarkStart w:id="184" w:name="_Hlk67450258"/>
      <w:r w:rsidRPr="002C1720">
        <w:t xml:space="preserve">Informacje dotyczące celów środowiskowych ustalonych dla każdej jcw stanowią element załącznika nr 1 (Zestawienie główne). </w:t>
      </w:r>
      <w:bookmarkEnd w:id="184"/>
      <w:r w:rsidR="002C1720" w:rsidRPr="002C1720">
        <w:t>Wartości graniczne dla potencjału ekologicznego przedstawia załącznik nr 3.1.</w:t>
      </w:r>
    </w:p>
    <w:p w14:paraId="73D89EBD" w14:textId="77777777" w:rsidR="000714F1" w:rsidRPr="006D2E59" w:rsidRDefault="000714F1" w:rsidP="00B50FFD">
      <w:pPr>
        <w:pStyle w:val="Nagwek3"/>
      </w:pPr>
      <w:bookmarkStart w:id="185" w:name="_Toc68726861"/>
      <w:r w:rsidRPr="006D2E59">
        <w:t>Ocena osiągnięcia celów środowiskowych jcwp RW</w:t>
      </w:r>
      <w:bookmarkEnd w:id="185"/>
    </w:p>
    <w:p w14:paraId="584EC06E" w14:textId="77777777" w:rsidR="000714F1" w:rsidRPr="00556DF2" w:rsidRDefault="000714F1" w:rsidP="00AA0CAB">
      <w:pPr>
        <w:pStyle w:val="Nagwek5"/>
      </w:pPr>
      <w:r w:rsidRPr="00556DF2">
        <w:t>Ocena osiągnięcia celów środowiskowych w odniesieniu do jednostek planistycznych obowiązujących w cyklu planistycznym 2016-2021 (aPGW).</w:t>
      </w:r>
    </w:p>
    <w:p w14:paraId="60391AE5" w14:textId="116C2BC0" w:rsidR="000714F1" w:rsidRPr="004514A4" w:rsidRDefault="00556DF2" w:rsidP="000714F1">
      <w:r w:rsidRPr="00D96EA5">
        <w:rPr>
          <w:rFonts w:cs="Calibri"/>
        </w:rPr>
        <w:t xml:space="preserve">Cele środowiskowe w odniesieniu do stanu i potencjału ekologicznego oraz stanu chemicznego zostały wskazane w aPGW dla 120 jcwp RW (zgodnie z obowiązującym w okresie 2016-2021 układem planistycznym). Ocena stopnia osiągnięcia celów środowiskowych dla stanu/potencjału ekologicznego na aktualnym układzie jednostek planistycznych wykazała, iż cel środowiskowy osiągnięto w 5 jcwp RW (4,2% wszystkich jcwp rzecznych </w:t>
      </w:r>
      <w:r w:rsidR="00474ABF">
        <w:t xml:space="preserve">w obszarze dorzecza </w:t>
      </w:r>
      <w:r w:rsidRPr="00D96EA5">
        <w:rPr>
          <w:rFonts w:cs="Calibri"/>
        </w:rPr>
        <w:t xml:space="preserve">Pregoły). W przypadku stanu chemicznego cel został osiągnięty tylko w stosunku do 11 jcwp (9,2% wszystkich jcwp rzecznych </w:t>
      </w:r>
      <w:r w:rsidR="00474ABF">
        <w:t xml:space="preserve">w obszarze dorzecza </w:t>
      </w:r>
      <w:r w:rsidRPr="00D96EA5">
        <w:rPr>
          <w:rFonts w:cs="Calibri"/>
        </w:rPr>
        <w:t xml:space="preserve">Pregoły). Dla 20 jcwp (16,7% wszystkich jcwp) </w:t>
      </w:r>
      <w:r w:rsidRPr="008C0B70">
        <w:rPr>
          <w:rFonts w:cs="Calibri"/>
        </w:rPr>
        <w:t xml:space="preserve">zaplanowano odstępstwo z art. </w:t>
      </w:r>
      <w:r w:rsidR="0037667E">
        <w:rPr>
          <w:rFonts w:cs="Calibri"/>
        </w:rPr>
        <w:t xml:space="preserve">4 ust. </w:t>
      </w:r>
      <w:r w:rsidRPr="008C0B70">
        <w:rPr>
          <w:rFonts w:cs="Calibri"/>
        </w:rPr>
        <w:t>4 RDW. Analiza stopnia osiągnięcia celów środowiskowych wykazała, iż dobry stan wód został osiągnięty w stosunku do 1 jcwp RW</w:t>
      </w:r>
      <w:r w:rsidR="000714F1" w:rsidRPr="008C0B70">
        <w:t xml:space="preserve"> (tabela 8-</w:t>
      </w:r>
      <w:r w:rsidR="007F3287" w:rsidRPr="008C0B70">
        <w:t>5</w:t>
      </w:r>
      <w:r w:rsidR="000714F1" w:rsidRPr="008C0B70">
        <w:t>).</w:t>
      </w:r>
      <w:r w:rsidR="00AC1E35">
        <w:t xml:space="preserve"> </w:t>
      </w:r>
      <w:r w:rsidR="00A61E9D">
        <w:t>Tabelaryczne podsumowanie oceny o</w:t>
      </w:r>
      <w:r w:rsidR="00A61E9D" w:rsidRPr="00EB64B4">
        <w:t>siągnięcia celów środowiskowych jcwp</w:t>
      </w:r>
      <w:r w:rsidR="00A61E9D">
        <w:t xml:space="preserve"> przedstawia załącznik nr 5.1.1.</w:t>
      </w:r>
    </w:p>
    <w:p w14:paraId="09C9A25B" w14:textId="7A9AE258" w:rsidR="000714F1" w:rsidRDefault="000714F1" w:rsidP="006802BB">
      <w:pPr>
        <w:pStyle w:val="Legenda"/>
      </w:pPr>
      <w:bookmarkStart w:id="186" w:name="_Toc66311286"/>
      <w:bookmarkStart w:id="187" w:name="_Toc68726992"/>
      <w:r>
        <w:t xml:space="preserve">Tabela </w:t>
      </w:r>
      <w:fldSimple w:instr=" STYLEREF 1 \s ">
        <w:r w:rsidR="007B4050">
          <w:rPr>
            <w:noProof/>
          </w:rPr>
          <w:t>8</w:t>
        </w:r>
      </w:fldSimple>
      <w:r w:rsidR="007B4050">
        <w:noBreakHyphen/>
      </w:r>
      <w:fldSimple w:instr=" SEQ Tabela \* ARABIC \s 1 ">
        <w:r w:rsidR="007B4050">
          <w:rPr>
            <w:noProof/>
          </w:rPr>
          <w:t>5</w:t>
        </w:r>
      </w:fldSimple>
      <w:r>
        <w:tab/>
      </w:r>
      <w:r w:rsidR="00EC1782">
        <w:t>Osiągnięcie</w:t>
      </w:r>
      <w:r w:rsidRPr="00E57D16">
        <w:t xml:space="preserve"> celów środowiskowych ustalonych na lata 2016-2021 dla jcwp rzecznych na obszarze dorzecza </w:t>
      </w:r>
      <w:r w:rsidR="00556DF2">
        <w:t>Pregoły</w:t>
      </w:r>
      <w:r w:rsidRPr="00E57D16">
        <w:t xml:space="preserve"> w oparciu o jednostki planistyczne aPGW</w:t>
      </w:r>
      <w:bookmarkEnd w:id="186"/>
      <w:bookmarkEnd w:id="187"/>
    </w:p>
    <w:tbl>
      <w:tblPr>
        <w:tblStyle w:val="Tabela-Siatka"/>
        <w:tblW w:w="0" w:type="auto"/>
        <w:tblLayout w:type="fixed"/>
        <w:tblLook w:val="06A0" w:firstRow="1" w:lastRow="0" w:firstColumn="1" w:lastColumn="0" w:noHBand="1" w:noVBand="1"/>
      </w:tblPr>
      <w:tblGrid>
        <w:gridCol w:w="1510"/>
        <w:gridCol w:w="1431"/>
        <w:gridCol w:w="1078"/>
        <w:gridCol w:w="1079"/>
        <w:gridCol w:w="1560"/>
        <w:gridCol w:w="1134"/>
        <w:gridCol w:w="1184"/>
      </w:tblGrid>
      <w:tr w:rsidR="000714F1" w14:paraId="5420C3C4" w14:textId="77777777" w:rsidTr="00F5641E">
        <w:trPr>
          <w:trHeight w:val="454"/>
          <w:tblHeader/>
        </w:trPr>
        <w:tc>
          <w:tcPr>
            <w:tcW w:w="1510"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7662466" w14:textId="77777777" w:rsidR="000714F1" w:rsidRPr="006D2E59" w:rsidRDefault="000714F1" w:rsidP="00840CCD">
            <w:pPr>
              <w:spacing w:before="40" w:after="40"/>
              <w:jc w:val="left"/>
              <w:rPr>
                <w:rFonts w:asciiTheme="minorHAnsi" w:eastAsia="Times New Roman" w:hAnsiTheme="minorHAnsi" w:cstheme="minorHAnsi"/>
                <w:b/>
                <w:bCs/>
                <w:sz w:val="20"/>
                <w:szCs w:val="20"/>
                <w:lang w:eastAsia="pl-PL"/>
              </w:rPr>
            </w:pPr>
            <w:r w:rsidRPr="006D2E59">
              <w:rPr>
                <w:rFonts w:asciiTheme="minorHAnsi" w:hAnsiTheme="minorHAnsi" w:cstheme="minorHAnsi"/>
                <w:b/>
                <w:bCs/>
                <w:sz w:val="20"/>
                <w:szCs w:val="20"/>
              </w:rPr>
              <w:t>Region wodny</w:t>
            </w:r>
          </w:p>
        </w:tc>
        <w:tc>
          <w:tcPr>
            <w:tcW w:w="1431"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448F1E64" w14:textId="35C86E64"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Liczba jcwp RW ogółem</w:t>
            </w:r>
          </w:p>
        </w:tc>
        <w:tc>
          <w:tcPr>
            <w:tcW w:w="215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418DCB27" w14:textId="61A738DA"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 xml:space="preserve">Liczba jcwp RW z odstępstwem </w:t>
            </w:r>
            <w:r w:rsidR="00E647E5">
              <w:rPr>
                <w:rFonts w:asciiTheme="minorHAnsi" w:hAnsiTheme="minorHAnsi" w:cstheme="minorHAnsi"/>
                <w:b/>
                <w:bCs/>
                <w:sz w:val="20"/>
                <w:szCs w:val="20"/>
              </w:rPr>
              <w:t>wskazanym w aPGW</w:t>
            </w:r>
            <w:r w:rsidRPr="006D2E59">
              <w:rPr>
                <w:rFonts w:asciiTheme="minorHAnsi" w:hAnsiTheme="minorHAnsi" w:cstheme="minorHAnsi"/>
                <w:b/>
                <w:bCs/>
                <w:sz w:val="20"/>
                <w:szCs w:val="20"/>
              </w:rPr>
              <w:t xml:space="preserve"> </w:t>
            </w:r>
            <w:r w:rsidR="00E647E5">
              <w:rPr>
                <w:rFonts w:asciiTheme="minorHAnsi" w:hAnsiTheme="minorHAnsi" w:cstheme="minorHAnsi"/>
                <w:b/>
                <w:bCs/>
                <w:sz w:val="20"/>
                <w:szCs w:val="20"/>
              </w:rPr>
              <w:t>(</w:t>
            </w:r>
            <w:r w:rsidRPr="006D2E59">
              <w:rPr>
                <w:rFonts w:asciiTheme="minorHAnsi" w:hAnsiTheme="minorHAnsi" w:cstheme="minorHAnsi"/>
                <w:b/>
                <w:bCs/>
                <w:sz w:val="20"/>
                <w:szCs w:val="20"/>
              </w:rPr>
              <w:t>2016-2021</w:t>
            </w:r>
            <w:r w:rsidR="00E647E5">
              <w:rPr>
                <w:rFonts w:asciiTheme="minorHAnsi" w:hAnsiTheme="minorHAnsi" w:cstheme="minorHAnsi"/>
                <w:b/>
                <w:bCs/>
                <w:sz w:val="20"/>
                <w:szCs w:val="20"/>
              </w:rPr>
              <w:t>)</w:t>
            </w:r>
          </w:p>
        </w:tc>
        <w:tc>
          <w:tcPr>
            <w:tcW w:w="3878"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7B7756D" w14:textId="06B3DAB2"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 xml:space="preserve">Liczba jcwp RW, </w:t>
            </w:r>
            <w:r w:rsidR="005435A3">
              <w:rPr>
                <w:rFonts w:asciiTheme="minorHAnsi" w:hAnsiTheme="minorHAnsi" w:cstheme="minorHAnsi"/>
                <w:b/>
                <w:bCs/>
                <w:sz w:val="20"/>
                <w:szCs w:val="20"/>
              </w:rPr>
              <w:t>które osiągnęły</w:t>
            </w:r>
            <w:r w:rsidRPr="006D2E59">
              <w:rPr>
                <w:rFonts w:asciiTheme="minorHAnsi" w:hAnsiTheme="minorHAnsi" w:cstheme="minorHAnsi"/>
                <w:b/>
                <w:bCs/>
                <w:sz w:val="20"/>
                <w:szCs w:val="20"/>
              </w:rPr>
              <w:t xml:space="preserve"> cel</w:t>
            </w:r>
            <w:r w:rsidR="005435A3">
              <w:rPr>
                <w:rFonts w:asciiTheme="minorHAnsi" w:hAnsiTheme="minorHAnsi" w:cstheme="minorHAnsi"/>
                <w:b/>
                <w:bCs/>
                <w:sz w:val="20"/>
                <w:szCs w:val="20"/>
              </w:rPr>
              <w:t>e</w:t>
            </w:r>
            <w:r w:rsidRPr="006D2E59">
              <w:rPr>
                <w:rFonts w:asciiTheme="minorHAnsi" w:hAnsiTheme="minorHAnsi" w:cstheme="minorHAnsi"/>
                <w:b/>
                <w:bCs/>
                <w:sz w:val="20"/>
                <w:szCs w:val="20"/>
              </w:rPr>
              <w:t xml:space="preserve"> środowiskow</w:t>
            </w:r>
            <w:r w:rsidR="005435A3">
              <w:rPr>
                <w:rFonts w:asciiTheme="minorHAnsi" w:hAnsiTheme="minorHAnsi" w:cstheme="minorHAnsi"/>
                <w:b/>
                <w:bCs/>
                <w:sz w:val="20"/>
                <w:szCs w:val="20"/>
              </w:rPr>
              <w:t>e</w:t>
            </w:r>
          </w:p>
        </w:tc>
      </w:tr>
      <w:tr w:rsidR="000714F1" w14:paraId="234B1117" w14:textId="77777777" w:rsidTr="00F5641E">
        <w:trPr>
          <w:trHeight w:val="454"/>
          <w:tblHeader/>
        </w:trPr>
        <w:tc>
          <w:tcPr>
            <w:tcW w:w="1510" w:type="dxa"/>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8032912" w14:textId="77777777" w:rsidR="000714F1" w:rsidRPr="006D2E59" w:rsidRDefault="000714F1" w:rsidP="00840CCD">
            <w:pPr>
              <w:spacing w:after="0"/>
              <w:jc w:val="left"/>
              <w:rPr>
                <w:rFonts w:asciiTheme="minorHAnsi" w:eastAsia="Times New Roman" w:hAnsiTheme="minorHAnsi" w:cstheme="minorHAnsi"/>
                <w:b/>
                <w:bCs/>
                <w:sz w:val="20"/>
                <w:szCs w:val="20"/>
              </w:rPr>
            </w:pPr>
          </w:p>
        </w:tc>
        <w:tc>
          <w:tcPr>
            <w:tcW w:w="1431" w:type="dxa"/>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C4B5C78" w14:textId="77777777" w:rsidR="000714F1" w:rsidRPr="006D2E59" w:rsidRDefault="000714F1" w:rsidP="00DB1E60">
            <w:pPr>
              <w:spacing w:after="0"/>
              <w:jc w:val="center"/>
              <w:rPr>
                <w:rFonts w:asciiTheme="minorHAnsi" w:eastAsia="Times New Roman" w:hAnsiTheme="minorHAnsi" w:cstheme="minorHAnsi"/>
                <w:b/>
                <w:bCs/>
                <w:sz w:val="20"/>
                <w:szCs w:val="20"/>
              </w:rPr>
            </w:pPr>
          </w:p>
        </w:tc>
        <w:tc>
          <w:tcPr>
            <w:tcW w:w="10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72276BFD" w14:textId="1D62A58B"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Art. 4</w:t>
            </w:r>
            <w:r w:rsidR="0037667E">
              <w:rPr>
                <w:rFonts w:asciiTheme="minorHAnsi" w:hAnsiTheme="minorHAnsi" w:cstheme="minorHAnsi"/>
                <w:b/>
                <w:bCs/>
                <w:sz w:val="20"/>
                <w:szCs w:val="20"/>
              </w:rPr>
              <w:t xml:space="preserve"> ust. </w:t>
            </w:r>
            <w:r w:rsidRPr="006D2E59">
              <w:rPr>
                <w:rFonts w:asciiTheme="minorHAnsi" w:hAnsiTheme="minorHAnsi" w:cstheme="minorHAnsi"/>
                <w:b/>
                <w:bCs/>
                <w:sz w:val="20"/>
                <w:szCs w:val="20"/>
              </w:rPr>
              <w:t>4 RDW</w:t>
            </w:r>
          </w:p>
        </w:tc>
        <w:tc>
          <w:tcPr>
            <w:tcW w:w="107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D66C79D" w14:textId="7EE08E04"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Art. 4</w:t>
            </w:r>
            <w:r w:rsidR="0037667E">
              <w:rPr>
                <w:rFonts w:asciiTheme="minorHAnsi" w:hAnsiTheme="minorHAnsi" w:cstheme="minorHAnsi"/>
                <w:b/>
                <w:bCs/>
                <w:sz w:val="20"/>
                <w:szCs w:val="20"/>
              </w:rPr>
              <w:t xml:space="preserve"> ust. </w:t>
            </w:r>
            <w:r w:rsidRPr="006D2E59">
              <w:rPr>
                <w:rFonts w:asciiTheme="minorHAnsi" w:hAnsiTheme="minorHAnsi" w:cstheme="minorHAnsi"/>
                <w:b/>
                <w:bCs/>
                <w:sz w:val="20"/>
                <w:szCs w:val="20"/>
              </w:rPr>
              <w:t>5 RDW</w:t>
            </w:r>
          </w:p>
        </w:tc>
        <w:tc>
          <w:tcPr>
            <w:tcW w:w="156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B04B1DF" w14:textId="2FE87CC6"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Stan/potencjał ekologiczny</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E2877C7" w14:textId="77777777" w:rsidR="000714F1" w:rsidRPr="006D2E59" w:rsidRDefault="000714F1" w:rsidP="00DB1E60">
            <w:pPr>
              <w:spacing w:before="40" w:after="40"/>
              <w:jc w:val="center"/>
              <w:rPr>
                <w:rFonts w:asciiTheme="minorHAnsi" w:hAnsiTheme="minorHAnsi" w:cstheme="minorHAnsi"/>
                <w:b/>
                <w:bCs/>
                <w:sz w:val="20"/>
                <w:szCs w:val="20"/>
              </w:rPr>
            </w:pPr>
            <w:r w:rsidRPr="006D2E59">
              <w:rPr>
                <w:rFonts w:asciiTheme="minorHAnsi" w:hAnsiTheme="minorHAnsi" w:cstheme="minorHAnsi"/>
                <w:b/>
                <w:bCs/>
                <w:sz w:val="20"/>
                <w:szCs w:val="20"/>
              </w:rPr>
              <w:t>Stan chemiczny</w:t>
            </w:r>
          </w:p>
        </w:tc>
        <w:tc>
          <w:tcPr>
            <w:tcW w:w="11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1187D6E0" w14:textId="62321124" w:rsidR="000714F1" w:rsidRPr="006D2E59" w:rsidRDefault="006907A2" w:rsidP="00DB1E60">
            <w:pPr>
              <w:spacing w:before="40" w:after="40"/>
              <w:jc w:val="center"/>
              <w:rPr>
                <w:rFonts w:asciiTheme="minorHAnsi" w:hAnsiTheme="minorHAnsi" w:cstheme="minorHAnsi"/>
                <w:b/>
                <w:bCs/>
                <w:sz w:val="20"/>
                <w:szCs w:val="20"/>
              </w:rPr>
            </w:pPr>
            <w:r>
              <w:rPr>
                <w:rFonts w:asciiTheme="minorHAnsi" w:hAnsiTheme="minorHAnsi" w:cstheme="minorHAnsi"/>
                <w:b/>
                <w:bCs/>
                <w:sz w:val="20"/>
                <w:szCs w:val="20"/>
              </w:rPr>
              <w:t>Stan ogólny</w:t>
            </w:r>
          </w:p>
        </w:tc>
      </w:tr>
      <w:tr w:rsidR="00556DF2" w14:paraId="635C0D1D" w14:textId="77777777" w:rsidTr="00DB1E60">
        <w:trPr>
          <w:trHeight w:val="454"/>
        </w:trPr>
        <w:tc>
          <w:tcPr>
            <w:tcW w:w="1510" w:type="dxa"/>
            <w:tcBorders>
              <w:top w:val="single" w:sz="4" w:space="0" w:color="000000"/>
              <w:left w:val="single" w:sz="4" w:space="0" w:color="000000"/>
              <w:bottom w:val="single" w:sz="4" w:space="0" w:color="000000"/>
              <w:right w:val="single" w:sz="4" w:space="0" w:color="000000"/>
            </w:tcBorders>
            <w:vAlign w:val="center"/>
            <w:hideMark/>
          </w:tcPr>
          <w:p w14:paraId="11DB5E4C" w14:textId="131E97E8" w:rsidR="00556DF2" w:rsidRDefault="00556DF2" w:rsidP="00556DF2">
            <w:pPr>
              <w:spacing w:before="40" w:after="40"/>
              <w:jc w:val="left"/>
              <w:rPr>
                <w:rFonts w:asciiTheme="minorHAnsi" w:hAnsiTheme="minorHAnsi" w:cstheme="minorHAnsi"/>
                <w:sz w:val="20"/>
                <w:szCs w:val="20"/>
              </w:rPr>
            </w:pPr>
            <w:r w:rsidRPr="00110F46">
              <w:rPr>
                <w:rFonts w:cs="Calibri"/>
                <w:color w:val="000000"/>
              </w:rPr>
              <w:t>Łyny i Węgorapy</w:t>
            </w:r>
          </w:p>
        </w:tc>
        <w:tc>
          <w:tcPr>
            <w:tcW w:w="1431" w:type="dxa"/>
            <w:tcBorders>
              <w:top w:val="single" w:sz="4" w:space="0" w:color="000000"/>
              <w:left w:val="single" w:sz="4" w:space="0" w:color="000000"/>
              <w:bottom w:val="single" w:sz="4" w:space="0" w:color="000000"/>
              <w:right w:val="single" w:sz="4" w:space="0" w:color="000000"/>
            </w:tcBorders>
            <w:vAlign w:val="center"/>
            <w:hideMark/>
          </w:tcPr>
          <w:p w14:paraId="27BD5344" w14:textId="4A2CBBA8"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120</w:t>
            </w:r>
          </w:p>
        </w:tc>
        <w:tc>
          <w:tcPr>
            <w:tcW w:w="1078" w:type="dxa"/>
            <w:tcBorders>
              <w:top w:val="single" w:sz="4" w:space="0" w:color="000000"/>
              <w:left w:val="single" w:sz="4" w:space="0" w:color="000000"/>
              <w:bottom w:val="single" w:sz="4" w:space="0" w:color="000000"/>
              <w:right w:val="single" w:sz="4" w:space="0" w:color="000000"/>
            </w:tcBorders>
            <w:vAlign w:val="center"/>
            <w:hideMark/>
          </w:tcPr>
          <w:p w14:paraId="25302063" w14:textId="62EB3662"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20</w:t>
            </w:r>
          </w:p>
        </w:tc>
        <w:tc>
          <w:tcPr>
            <w:tcW w:w="1079" w:type="dxa"/>
            <w:tcBorders>
              <w:top w:val="single" w:sz="4" w:space="0" w:color="000000"/>
              <w:left w:val="single" w:sz="4" w:space="0" w:color="000000"/>
              <w:bottom w:val="single" w:sz="4" w:space="0" w:color="000000"/>
              <w:right w:val="single" w:sz="4" w:space="0" w:color="000000"/>
            </w:tcBorders>
            <w:vAlign w:val="center"/>
            <w:hideMark/>
          </w:tcPr>
          <w:p w14:paraId="425730C9" w14:textId="28E86A3B"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25F7590D" w14:textId="70334D31"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D200CE2" w14:textId="603175AA"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11</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719B06AD" w14:textId="7D24C86C" w:rsidR="00556DF2" w:rsidRDefault="00556DF2" w:rsidP="00DB1E60">
            <w:pPr>
              <w:spacing w:before="40" w:after="40"/>
              <w:jc w:val="center"/>
              <w:rPr>
                <w:rFonts w:asciiTheme="minorHAnsi" w:hAnsiTheme="minorHAnsi" w:cstheme="minorHAnsi"/>
                <w:sz w:val="20"/>
                <w:szCs w:val="20"/>
              </w:rPr>
            </w:pPr>
            <w:r w:rsidRPr="00110F46">
              <w:rPr>
                <w:rFonts w:cs="Calibri"/>
                <w:color w:val="000000"/>
              </w:rPr>
              <w:t>1</w:t>
            </w:r>
          </w:p>
        </w:tc>
      </w:tr>
    </w:tbl>
    <w:p w14:paraId="0F7D7FDE" w14:textId="39116A34" w:rsidR="00556DF2" w:rsidRPr="00556DF2" w:rsidRDefault="00556DF2" w:rsidP="00445D9B">
      <w:pPr>
        <w:pStyle w:val="rdo0"/>
      </w:pPr>
      <w:bookmarkStart w:id="188" w:name="_Hlk66372638"/>
      <w:r w:rsidRPr="00556DF2">
        <w:t xml:space="preserve">Źródło: opracowanie </w:t>
      </w:r>
      <w:r w:rsidR="007A0C82">
        <w:t>własne</w:t>
      </w:r>
      <w:r w:rsidRPr="00556DF2">
        <w:t>.,</w:t>
      </w:r>
      <w:r w:rsidR="00445D9B" w:rsidRPr="00445D9B">
        <w:t xml:space="preserve"> </w:t>
      </w:r>
      <w:r w:rsidR="00445D9B" w:rsidRPr="002A0524">
        <w:t xml:space="preserve">na podstawie danych </w:t>
      </w:r>
      <w:r w:rsidR="00445D9B">
        <w:t>aPGW</w:t>
      </w:r>
    </w:p>
    <w:bookmarkEnd w:id="188"/>
    <w:p w14:paraId="7388CB1E" w14:textId="77DA71E5" w:rsidR="000714F1" w:rsidRPr="00E647E5" w:rsidRDefault="000714F1" w:rsidP="00AA0CAB">
      <w:pPr>
        <w:pStyle w:val="Nagwek5"/>
        <w:rPr>
          <w:rStyle w:val="Pogrubienie"/>
          <w:rFonts w:ascii="Calibri" w:hAnsi="Calibri"/>
          <w:b/>
        </w:rPr>
      </w:pPr>
      <w:r w:rsidRPr="00E647E5">
        <w:rPr>
          <w:rStyle w:val="Pogrubienie"/>
          <w:rFonts w:ascii="Calibri" w:hAnsi="Calibri"/>
          <w:b/>
        </w:rPr>
        <w:t xml:space="preserve">Ocena osiągnięcia celów środowiskowych w odniesieniu </w:t>
      </w:r>
      <w:r w:rsidR="00DB1E60" w:rsidRPr="00E647E5">
        <w:rPr>
          <w:rStyle w:val="Pogrubienie"/>
          <w:rFonts w:ascii="Calibri" w:hAnsi="Calibri"/>
          <w:b/>
        </w:rPr>
        <w:t xml:space="preserve">do </w:t>
      </w:r>
      <w:r w:rsidRPr="00E647E5">
        <w:rPr>
          <w:rStyle w:val="Pogrubienie"/>
          <w:rFonts w:ascii="Calibri" w:hAnsi="Calibri"/>
          <w:b/>
        </w:rPr>
        <w:t>aktualnych jednostek planistycznych IIaPGW</w:t>
      </w:r>
      <w:r w:rsidR="00E647E5">
        <w:rPr>
          <w:rStyle w:val="Pogrubienie"/>
          <w:rFonts w:ascii="Calibri" w:hAnsi="Calibri"/>
          <w:b/>
        </w:rPr>
        <w:t xml:space="preserve"> (</w:t>
      </w:r>
      <w:r w:rsidRPr="00E647E5">
        <w:rPr>
          <w:rStyle w:val="Pogrubienie"/>
          <w:rFonts w:ascii="Calibri" w:hAnsi="Calibri"/>
          <w:b/>
        </w:rPr>
        <w:t>2022-2027)</w:t>
      </w:r>
    </w:p>
    <w:p w14:paraId="78B1DB78" w14:textId="77777777" w:rsidR="00556DF2" w:rsidRPr="00272985" w:rsidRDefault="00556DF2" w:rsidP="00556DF2">
      <w:pPr>
        <w:rPr>
          <w:rFonts w:asciiTheme="minorHAnsi" w:hAnsiTheme="minorHAnsi" w:cstheme="minorHAnsi"/>
          <w:color w:val="000000" w:themeColor="text1"/>
        </w:rPr>
      </w:pPr>
      <w:r w:rsidRPr="00272985">
        <w:rPr>
          <w:rFonts w:asciiTheme="minorHAnsi" w:hAnsiTheme="minorHAnsi" w:cstheme="minorHAnsi"/>
          <w:color w:val="000000" w:themeColor="text1"/>
        </w:rPr>
        <w:t xml:space="preserve">W wyniku dokonanej zmiany układu jednostek planistycznych, cel środowiskowy wyznaczony w aPGW przeniesiono obecnie dla 44 jcwp RW (53,6%) spośród wszystkich 82 jcwp RW w obszarze dorzecza Pregoły. W odniesieniu do nowych 38 jcwp (46,3%) nie przeniesiono celów środowiskowych. </w:t>
      </w:r>
    </w:p>
    <w:p w14:paraId="5A3D8493" w14:textId="77777777" w:rsidR="00556DF2" w:rsidRPr="00272985" w:rsidRDefault="00556DF2" w:rsidP="00556DF2">
      <w:pPr>
        <w:rPr>
          <w:rFonts w:asciiTheme="minorHAnsi" w:eastAsiaTheme="minorEastAsia" w:hAnsiTheme="minorHAnsi" w:cstheme="minorHAnsi"/>
          <w:color w:val="000000" w:themeColor="text1"/>
        </w:rPr>
      </w:pPr>
      <w:r w:rsidRPr="00272985">
        <w:rPr>
          <w:rFonts w:asciiTheme="minorHAnsi" w:hAnsiTheme="minorHAnsi" w:cstheme="minorHAnsi"/>
          <w:color w:val="000000" w:themeColor="text1"/>
        </w:rPr>
        <w:t>W zakresie stanu/potencjału ekologicznego wskazany został jako cel:</w:t>
      </w:r>
    </w:p>
    <w:p w14:paraId="0513F085" w14:textId="2A05F9BF" w:rsidR="00556DF2" w:rsidRPr="00272985" w:rsidRDefault="00E647E5" w:rsidP="00AA3506">
      <w:pPr>
        <w:pStyle w:val="Akapitzlist"/>
        <w:numPr>
          <w:ilvl w:val="0"/>
          <w:numId w:val="86"/>
        </w:numPr>
        <w:rPr>
          <w:rFonts w:eastAsiaTheme="minorEastAsia"/>
        </w:rPr>
      </w:pPr>
      <w:r>
        <w:t>d</w:t>
      </w:r>
      <w:r w:rsidR="00556DF2" w:rsidRPr="00272985">
        <w:t>obry stan ekologiczny dla 41 jcwp (50,0%);</w:t>
      </w:r>
    </w:p>
    <w:p w14:paraId="68FECE1E" w14:textId="4D9C9005" w:rsidR="00556DF2" w:rsidRPr="00272985" w:rsidRDefault="00E647E5" w:rsidP="00AA3506">
      <w:pPr>
        <w:pStyle w:val="Akapitzlist"/>
        <w:numPr>
          <w:ilvl w:val="0"/>
          <w:numId w:val="86"/>
        </w:numPr>
        <w:rPr>
          <w:rFonts w:eastAsiaTheme="minorEastAsia"/>
        </w:rPr>
      </w:pPr>
      <w:r>
        <w:t>d</w:t>
      </w:r>
      <w:r w:rsidR="00556DF2" w:rsidRPr="00272985">
        <w:t>obry potencjał ekologiczny dla 3 jcwp (3,7%);</w:t>
      </w:r>
    </w:p>
    <w:p w14:paraId="2F6BD585" w14:textId="6F5CC5D1" w:rsidR="000714F1" w:rsidRPr="008C0B70" w:rsidRDefault="00556DF2" w:rsidP="000714F1">
      <w:pPr>
        <w:rPr>
          <w:rFonts w:asciiTheme="minorHAnsi" w:hAnsiTheme="minorHAnsi" w:cstheme="minorHAnsi"/>
        </w:rPr>
      </w:pPr>
      <w:r w:rsidRPr="00556DF2">
        <w:rPr>
          <w:rFonts w:asciiTheme="minorHAnsi" w:hAnsiTheme="minorHAnsi" w:cstheme="minorHAnsi"/>
        </w:rPr>
        <w:t xml:space="preserve">Ocena stopnia osiągnięcia celów środowiskowych w zakresie stanu/potencjału ekologicznego z okresu przyjętego do analizy, tj. lat 2016-2021 była dostępna dla 44 jcwp (53,6%)) na obszarze dorzecza </w:t>
      </w:r>
      <w:r w:rsidRPr="008C0B70">
        <w:rPr>
          <w:rFonts w:asciiTheme="minorHAnsi" w:hAnsiTheme="minorHAnsi" w:cstheme="minorHAnsi"/>
        </w:rPr>
        <w:t xml:space="preserve">Pregoły </w:t>
      </w:r>
      <w:r w:rsidR="000714F1" w:rsidRPr="008C0B70">
        <w:rPr>
          <w:rFonts w:asciiTheme="minorHAnsi" w:hAnsiTheme="minorHAnsi" w:cstheme="minorHAnsi"/>
        </w:rPr>
        <w:t xml:space="preserve">(wykres 8-1). </w:t>
      </w:r>
    </w:p>
    <w:p w14:paraId="0049CC29" w14:textId="77777777" w:rsidR="00556DF2" w:rsidRPr="008C0B70" w:rsidRDefault="00556DF2" w:rsidP="00556DF2">
      <w:pPr>
        <w:rPr>
          <w:rFonts w:asciiTheme="minorHAnsi" w:hAnsiTheme="minorHAnsi" w:cstheme="minorHAnsi"/>
          <w:color w:val="000000" w:themeColor="text1"/>
        </w:rPr>
      </w:pPr>
      <w:r w:rsidRPr="008C0B70">
        <w:rPr>
          <w:rFonts w:asciiTheme="minorHAnsi" w:hAnsiTheme="minorHAnsi" w:cstheme="minorHAnsi"/>
          <w:color w:val="000000" w:themeColor="text1"/>
        </w:rPr>
        <w:t>W zakresie stanu/potencjału ekologicznego:</w:t>
      </w:r>
    </w:p>
    <w:p w14:paraId="2A29E6E3" w14:textId="77777777" w:rsidR="00556DF2" w:rsidRPr="008C0B70" w:rsidRDefault="00556DF2" w:rsidP="00AA3506">
      <w:pPr>
        <w:pStyle w:val="Akapitzlist"/>
        <w:numPr>
          <w:ilvl w:val="0"/>
          <w:numId w:val="86"/>
        </w:numPr>
      </w:pPr>
      <w:r w:rsidRPr="008C0B70">
        <w:t>w przypadku 1 jcwp (1,2%) osiągnięty został dobry stan/potencjał ekologiczny;</w:t>
      </w:r>
    </w:p>
    <w:p w14:paraId="248B4977" w14:textId="77777777" w:rsidR="00556DF2" w:rsidRPr="008C0B70" w:rsidRDefault="00556DF2" w:rsidP="00AA3506">
      <w:pPr>
        <w:pStyle w:val="Akapitzlist"/>
        <w:numPr>
          <w:ilvl w:val="0"/>
          <w:numId w:val="86"/>
        </w:numPr>
      </w:pPr>
      <w:r w:rsidRPr="008C0B70">
        <w:t>dla 43 jcwp (52,4%) stan ekologiczny oceniono jako słaby, umiarkowany lub zły;</w:t>
      </w:r>
    </w:p>
    <w:p w14:paraId="4520D57E" w14:textId="7EB5BC20" w:rsidR="000714F1" w:rsidRPr="005569F9" w:rsidRDefault="00556DF2" w:rsidP="00556DF2">
      <w:pPr>
        <w:suppressAutoHyphens/>
        <w:autoSpaceDN w:val="0"/>
        <w:spacing w:before="0" w:after="160" w:line="244" w:lineRule="auto"/>
        <w:textAlignment w:val="baseline"/>
      </w:pPr>
      <w:r w:rsidRPr="008C0B70">
        <w:rPr>
          <w:rFonts w:asciiTheme="minorHAnsi" w:hAnsiTheme="minorHAnsi" w:cstheme="minorHAnsi"/>
          <w:color w:val="000000" w:themeColor="text1"/>
        </w:rPr>
        <w:t>Dla 1 jcwp (1,2% wszystkich) osiągnięto cele środowiskowe w zakresie dobrego stanu ekologicznego, podczas gdy dla 36 jcwp (43,9%) nie osiągnięto celów środowiskowych w tym zakresie. Dla 7 jcwp (8,5% wszystkich jcwp na obszarze dorzecza Pregoły) spośród 44 ocenianych nie można było dokonać oceny stopnia osiągnięcia celów środowiskowych</w:t>
      </w:r>
      <w:r w:rsidRPr="008C0B70">
        <w:t xml:space="preserve"> </w:t>
      </w:r>
      <w:r w:rsidR="000714F1" w:rsidRPr="008C0B70">
        <w:t>(wykres 8-1).</w:t>
      </w:r>
      <w:r w:rsidR="000714F1" w:rsidRPr="005569F9">
        <w:t xml:space="preserve"> </w:t>
      </w:r>
    </w:p>
    <w:p w14:paraId="17AB181F" w14:textId="207C3DFC" w:rsidR="000714F1" w:rsidRDefault="00556DF2" w:rsidP="000714F1">
      <w:pPr>
        <w:rPr>
          <w:rFonts w:asciiTheme="minorHAnsi" w:hAnsiTheme="minorHAnsi" w:cstheme="minorHAnsi"/>
          <w:lang w:eastAsia="pl-PL"/>
        </w:rPr>
      </w:pPr>
      <w:r w:rsidRPr="00E8305E">
        <w:rPr>
          <w:rFonts w:asciiTheme="minorHAnsi" w:hAnsiTheme="minorHAnsi"/>
        </w:rPr>
        <w:t>Podkreślić przy tym należy, że na każdym etapie tej procedury obowiązuje zasada „najgorszy decyduje”, co oznacza, że aby dana jednolita część wód uzyskała stan dobry, żaden z badanych i</w:t>
      </w:r>
      <w:r w:rsidR="00BC75F1">
        <w:rPr>
          <w:rFonts w:asciiTheme="minorHAnsi" w:hAnsiTheme="minorHAnsi"/>
        </w:rPr>
        <w:t> </w:t>
      </w:r>
      <w:r w:rsidRPr="00E8305E">
        <w:rPr>
          <w:rFonts w:asciiTheme="minorHAnsi" w:hAnsiTheme="minorHAnsi"/>
        </w:rPr>
        <w:t>ocenianych wskaźników nie może przekroczyć wartości granicznych określonych dla dobrego stanu. Z</w:t>
      </w:r>
      <w:r w:rsidR="00BC75F1">
        <w:rPr>
          <w:rFonts w:asciiTheme="minorHAnsi" w:hAnsiTheme="minorHAnsi"/>
        </w:rPr>
        <w:t> </w:t>
      </w:r>
      <w:r w:rsidRPr="00E8305E">
        <w:rPr>
          <w:rFonts w:asciiTheme="minorHAnsi" w:hAnsiTheme="minorHAnsi"/>
        </w:rPr>
        <w:t>tego właśnie powodu przypadki jednolitych części wód będących w dobrym stanie wciąż jeszcze nie są liczne</w:t>
      </w:r>
      <w:r>
        <w:rPr>
          <w:rFonts w:asciiTheme="minorHAnsi" w:hAnsiTheme="minorHAnsi"/>
        </w:rPr>
        <w:t>.</w:t>
      </w:r>
    </w:p>
    <w:p w14:paraId="19C90C78" w14:textId="163D113E" w:rsidR="000714F1" w:rsidRDefault="000531CA" w:rsidP="00556DF2">
      <w:pPr>
        <w:keepNext/>
        <w:jc w:val="center"/>
      </w:pPr>
      <w:r>
        <w:rPr>
          <w:noProof/>
        </w:rPr>
        <w:drawing>
          <wp:inline distT="0" distB="0" distL="0" distR="0" wp14:anchorId="3FCB3F3B" wp14:editId="390EF761">
            <wp:extent cx="5760720" cy="3417570"/>
            <wp:effectExtent l="0" t="0" r="11430" b="11430"/>
            <wp:docPr id="1" name="Chart 1">
              <a:extLst xmlns:a="http://schemas.openxmlformats.org/drawingml/2006/main">
                <a:ext uri="{FF2B5EF4-FFF2-40B4-BE49-F238E27FC236}">
                  <a16:creationId xmlns:a16="http://schemas.microsoft.com/office/drawing/2014/main" id="{BEA9EB03-B8CA-43E2-943E-E639344D77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0F01BB4" w14:textId="30BB0792" w:rsidR="000714F1" w:rsidRPr="00E57D16" w:rsidRDefault="000714F1" w:rsidP="006802BB">
      <w:pPr>
        <w:pStyle w:val="Wykres"/>
      </w:pPr>
      <w:bookmarkStart w:id="189" w:name="_Toc66311444"/>
      <w:bookmarkStart w:id="190" w:name="_Toc68727103"/>
      <w:r w:rsidRPr="00E57D16">
        <w:t xml:space="preserve">Wykres </w:t>
      </w:r>
      <w:fldSimple w:instr=" STYLEREF 1 \s ">
        <w:r w:rsidR="00EF3FD3">
          <w:rPr>
            <w:noProof/>
          </w:rPr>
          <w:t>8</w:t>
        </w:r>
      </w:fldSimple>
      <w:r w:rsidR="00EF3FD3">
        <w:noBreakHyphen/>
      </w:r>
      <w:fldSimple w:instr=" SEQ Wykres \* ARABIC \s 1 ">
        <w:r w:rsidR="00EF3FD3">
          <w:rPr>
            <w:noProof/>
          </w:rPr>
          <w:t>1</w:t>
        </w:r>
      </w:fldSimple>
      <w:r w:rsidRPr="00E57D16">
        <w:tab/>
        <w:t xml:space="preserve">Ocena osiągnięcia celów środowiskowych wyznaczonych w aPGW </w:t>
      </w:r>
      <w:r w:rsidR="00546F62">
        <w:t xml:space="preserve">(2016-2021) </w:t>
      </w:r>
      <w:r w:rsidRPr="00E57D16">
        <w:t xml:space="preserve">dla stanu/potencjału ekologicznego w jcwp rzecznych </w:t>
      </w:r>
      <w:bookmarkEnd w:id="189"/>
      <w:r w:rsidR="00661A0F">
        <w:t>na obszarze</w:t>
      </w:r>
      <w:r w:rsidR="007F3287" w:rsidRPr="007F3287">
        <w:t xml:space="preserve"> dorzecza Pregoły w oparciu o nowy układ jednostek planistycznych IIaPGW</w:t>
      </w:r>
      <w:bookmarkEnd w:id="190"/>
    </w:p>
    <w:p w14:paraId="2663A681" w14:textId="3BDCEB49" w:rsidR="000714F1" w:rsidRDefault="000714F1" w:rsidP="000714F1">
      <w:pPr>
        <w:pStyle w:val="rdo0"/>
        <w:rPr>
          <w:rFonts w:eastAsia="Times New Roman"/>
          <w:i w:val="0"/>
          <w:color w:val="000099"/>
          <w:lang w:eastAsia="pl-PL"/>
        </w:rPr>
      </w:pPr>
      <w:r>
        <w:t xml:space="preserve">Źródło: opracowanie </w:t>
      </w:r>
      <w:r w:rsidR="007A0C82">
        <w:t xml:space="preserve">własne na podstawie danych </w:t>
      </w:r>
      <w:r w:rsidR="007F3287">
        <w:t xml:space="preserve"> GIOŚ</w:t>
      </w:r>
    </w:p>
    <w:p w14:paraId="4656A6D1" w14:textId="509D6FAD" w:rsidR="007F3287" w:rsidRPr="0011319A" w:rsidRDefault="007F3287" w:rsidP="007F3287">
      <w:pPr>
        <w:rPr>
          <w:rFonts w:asciiTheme="minorHAnsi" w:hAnsiTheme="minorHAnsi" w:cstheme="minorHAnsi"/>
        </w:rPr>
      </w:pPr>
      <w:r w:rsidRPr="00FD2AFA">
        <w:rPr>
          <w:rFonts w:asciiTheme="minorHAnsi" w:hAnsiTheme="minorHAnsi" w:cstheme="minorHAnsi"/>
        </w:rPr>
        <w:t xml:space="preserve">W stosunku do jcwp rzecznych wyznaczono jeden cel środowiskowy w zakresie chemii - </w:t>
      </w:r>
      <w:r w:rsidRPr="00BC75F1">
        <w:rPr>
          <w:rFonts w:asciiTheme="minorHAnsi" w:hAnsiTheme="minorHAnsi" w:cstheme="minorHAnsi"/>
        </w:rPr>
        <w:t>dobry stan chemiczny</w:t>
      </w:r>
      <w:r w:rsidRPr="00FD2AFA">
        <w:rPr>
          <w:rFonts w:asciiTheme="minorHAnsi" w:hAnsiTheme="minorHAnsi" w:cstheme="minorHAnsi"/>
        </w:rPr>
        <w:t xml:space="preserve"> </w:t>
      </w:r>
      <w:bookmarkStart w:id="191" w:name="_Hlk63429444"/>
      <w:bookmarkStart w:id="192" w:name="_Hlk63429622"/>
      <w:bookmarkStart w:id="193" w:name="_Hlk63430470"/>
      <w:r w:rsidRPr="00FD2AFA">
        <w:rPr>
          <w:rFonts w:asciiTheme="minorHAnsi" w:hAnsiTheme="minorHAnsi" w:cstheme="minorHAnsi"/>
        </w:rPr>
        <w:t>(określony na podstawie klasyfikacji stanu chemicznego tych wód, dokonanej z</w:t>
      </w:r>
      <w:r w:rsidR="007E5892">
        <w:rPr>
          <w:rFonts w:asciiTheme="minorHAnsi" w:hAnsiTheme="minorHAnsi" w:cstheme="minorHAnsi"/>
        </w:rPr>
        <w:t> </w:t>
      </w:r>
      <w:r w:rsidRPr="00FD2AFA">
        <w:rPr>
          <w:rFonts w:asciiTheme="minorHAnsi" w:hAnsiTheme="minorHAnsi" w:cstheme="minorHAnsi"/>
        </w:rPr>
        <w:t>uwzględnieniem definicji klasyfikacji tego stanu zgodnie z art. 16 pkt 8 ustawy pr.w.)</w:t>
      </w:r>
      <w:bookmarkEnd w:id="191"/>
      <w:r w:rsidRPr="00FD2AFA">
        <w:rPr>
          <w:rFonts w:asciiTheme="minorHAnsi" w:hAnsiTheme="minorHAnsi" w:cstheme="minorHAnsi"/>
        </w:rPr>
        <w:t>.</w:t>
      </w:r>
      <w:bookmarkEnd w:id="192"/>
      <w:r w:rsidRPr="00FD2AFA">
        <w:rPr>
          <w:rFonts w:asciiTheme="minorHAnsi" w:hAnsiTheme="minorHAnsi" w:cstheme="minorHAnsi"/>
        </w:rPr>
        <w:t xml:space="preserve"> </w:t>
      </w:r>
      <w:bookmarkEnd w:id="193"/>
      <w:r w:rsidRPr="0011319A">
        <w:rPr>
          <w:rFonts w:asciiTheme="minorHAnsi" w:hAnsiTheme="minorHAnsi" w:cstheme="minorHAnsi"/>
        </w:rPr>
        <w:t>Zgodnie z oceną aPGW, 3</w:t>
      </w:r>
      <w:r w:rsidRPr="00D541CC">
        <w:rPr>
          <w:rFonts w:asciiTheme="minorHAnsi" w:hAnsiTheme="minorHAnsi" w:cstheme="minorHAnsi"/>
        </w:rPr>
        <w:t xml:space="preserve">1 jcwp </w:t>
      </w:r>
      <w:r w:rsidR="00532B7E">
        <w:rPr>
          <w:rFonts w:asciiTheme="minorHAnsi" w:hAnsiTheme="minorHAnsi" w:cstheme="minorHAnsi"/>
        </w:rPr>
        <w:t>RW</w:t>
      </w:r>
      <w:r w:rsidR="00532B7E" w:rsidRPr="00D541CC">
        <w:rPr>
          <w:rFonts w:asciiTheme="minorHAnsi" w:hAnsiTheme="minorHAnsi" w:cstheme="minorHAnsi"/>
        </w:rPr>
        <w:t xml:space="preserve"> </w:t>
      </w:r>
      <w:r w:rsidRPr="00D541CC">
        <w:rPr>
          <w:rFonts w:asciiTheme="minorHAnsi" w:hAnsiTheme="minorHAnsi" w:cstheme="minorHAnsi"/>
        </w:rPr>
        <w:t>na obszarze dorzecza Pregoły charakteryzowały się dob</w:t>
      </w:r>
      <w:r w:rsidRPr="0011319A">
        <w:rPr>
          <w:rFonts w:asciiTheme="minorHAnsi" w:hAnsiTheme="minorHAnsi" w:cstheme="minorHAnsi"/>
        </w:rPr>
        <w:t>rym stanem chemicznym. Analiza danych z lat 2016-2021 wskazuje, że 3 spośród tych jcwp utrzymało dobry stan chemiczny, podczas gdy w 16 jcwp stan ten pogorszył się do poniżej dobrego. Nie wykazano poprawy stanu w</w:t>
      </w:r>
      <w:r w:rsidR="007E5892">
        <w:rPr>
          <w:rFonts w:asciiTheme="minorHAnsi" w:hAnsiTheme="minorHAnsi" w:cstheme="minorHAnsi"/>
        </w:rPr>
        <w:t> </w:t>
      </w:r>
      <w:r w:rsidRPr="0011319A">
        <w:rPr>
          <w:rFonts w:asciiTheme="minorHAnsi" w:hAnsiTheme="minorHAnsi" w:cstheme="minorHAnsi"/>
        </w:rPr>
        <w:t>żadn</w:t>
      </w:r>
      <w:r w:rsidR="00475201">
        <w:rPr>
          <w:rFonts w:asciiTheme="minorHAnsi" w:hAnsiTheme="minorHAnsi" w:cstheme="minorHAnsi"/>
        </w:rPr>
        <w:t>ej</w:t>
      </w:r>
      <w:r w:rsidRPr="0011319A">
        <w:rPr>
          <w:rFonts w:asciiTheme="minorHAnsi" w:hAnsiTheme="minorHAnsi" w:cstheme="minorHAnsi"/>
        </w:rPr>
        <w:t xml:space="preserve"> jcwp rzeczn</w:t>
      </w:r>
      <w:r w:rsidR="00475201">
        <w:rPr>
          <w:rFonts w:asciiTheme="minorHAnsi" w:hAnsiTheme="minorHAnsi" w:cstheme="minorHAnsi"/>
        </w:rPr>
        <w:t>ej</w:t>
      </w:r>
      <w:r w:rsidRPr="0011319A">
        <w:rPr>
          <w:rFonts w:asciiTheme="minorHAnsi" w:hAnsiTheme="minorHAnsi" w:cstheme="minorHAnsi"/>
        </w:rPr>
        <w:t>. Przyczyny nieosiągnięcia celu środowiskowego wyznaczonego w</w:t>
      </w:r>
      <w:r w:rsidR="00BC75F1">
        <w:rPr>
          <w:rFonts w:asciiTheme="minorHAnsi" w:hAnsiTheme="minorHAnsi" w:cstheme="minorHAnsi"/>
        </w:rPr>
        <w:t> </w:t>
      </w:r>
      <w:r w:rsidRPr="0011319A">
        <w:rPr>
          <w:rFonts w:asciiTheme="minorHAnsi" w:hAnsiTheme="minorHAnsi" w:cstheme="minorHAnsi"/>
        </w:rPr>
        <w:t>aPGW są</w:t>
      </w:r>
      <w:r w:rsidR="007E5892">
        <w:rPr>
          <w:rFonts w:asciiTheme="minorHAnsi" w:hAnsiTheme="minorHAnsi" w:cstheme="minorHAnsi"/>
        </w:rPr>
        <w:t> </w:t>
      </w:r>
      <w:r w:rsidRPr="0011319A">
        <w:rPr>
          <w:rFonts w:asciiTheme="minorHAnsi" w:hAnsiTheme="minorHAnsi" w:cstheme="minorHAnsi"/>
        </w:rPr>
        <w:t xml:space="preserve">związane przede wszystkim z dopływem zanieczyszczeń antropogenicznych, co zostało przedstawione w rozdziale 7 IIaPGW. Ponadto pośrednie przyczyny zostały także wskazane w rozdziale 9 niniejszego opracowania. W stosunku do 55 jcwp rzecznych nie można wskazać stopnia realizacji celu środowiskowego ze względu na nowo wyznaczone jcwp, do których cel nie został ustanowiony oraz ze względu na brak oceny stanu chemicznego jcwp w okresie 2014-2019. </w:t>
      </w:r>
    </w:p>
    <w:p w14:paraId="13A398E4" w14:textId="08E05A99" w:rsidR="000714F1" w:rsidRDefault="007F3287" w:rsidP="007F3287">
      <w:pPr>
        <w:rPr>
          <w:rFonts w:asciiTheme="minorHAnsi" w:hAnsiTheme="minorHAnsi" w:cstheme="minorHAnsi"/>
        </w:rPr>
      </w:pPr>
      <w:r w:rsidRPr="0011319A">
        <w:rPr>
          <w:rFonts w:asciiTheme="minorHAnsi" w:hAnsiTheme="minorHAnsi" w:cstheme="minorHAnsi"/>
        </w:rPr>
        <w:t xml:space="preserve">Zgodnie z przeprowadzonymi analizami, w obszarze </w:t>
      </w:r>
      <w:r w:rsidRPr="008C0B70">
        <w:rPr>
          <w:rFonts w:asciiTheme="minorHAnsi" w:hAnsiTheme="minorHAnsi" w:cstheme="minorHAnsi"/>
        </w:rPr>
        <w:t xml:space="preserve">dorzecza Pregoły, stopień osiągnięcia celu środowiskowego w zakresie stanu chemicznego wyniósł 3,7% </w:t>
      </w:r>
      <w:r w:rsidR="000714F1" w:rsidRPr="008C0B70">
        <w:rPr>
          <w:rFonts w:asciiTheme="minorHAnsi" w:hAnsiTheme="minorHAnsi" w:cstheme="minorHAnsi"/>
        </w:rPr>
        <w:t>(wykres 8-</w:t>
      </w:r>
      <w:r w:rsidRPr="008C0B70">
        <w:rPr>
          <w:rFonts w:asciiTheme="minorHAnsi" w:hAnsiTheme="minorHAnsi" w:cstheme="minorHAnsi"/>
        </w:rPr>
        <w:t>2</w:t>
      </w:r>
      <w:r w:rsidR="000714F1" w:rsidRPr="008C0B70">
        <w:rPr>
          <w:rFonts w:asciiTheme="minorHAnsi" w:hAnsiTheme="minorHAnsi" w:cstheme="minorHAnsi"/>
        </w:rPr>
        <w:t>).</w:t>
      </w:r>
      <w:r w:rsidR="000714F1">
        <w:rPr>
          <w:rFonts w:asciiTheme="minorHAnsi" w:hAnsiTheme="minorHAnsi" w:cstheme="minorHAnsi"/>
        </w:rPr>
        <w:t xml:space="preserve"> </w:t>
      </w:r>
    </w:p>
    <w:p w14:paraId="0A1107C5" w14:textId="0CC3921A" w:rsidR="000714F1" w:rsidRDefault="000531CA" w:rsidP="000714F1">
      <w:pPr>
        <w:keepNext/>
      </w:pPr>
      <w:r>
        <w:rPr>
          <w:noProof/>
        </w:rPr>
        <w:drawing>
          <wp:inline distT="0" distB="0" distL="0" distR="0" wp14:anchorId="45C8B787" wp14:editId="5D4A7D92">
            <wp:extent cx="5760720" cy="3388995"/>
            <wp:effectExtent l="0" t="0" r="11430" b="1905"/>
            <wp:docPr id="243" name="Chart 243">
              <a:extLst xmlns:a="http://schemas.openxmlformats.org/drawingml/2006/main">
                <a:ext uri="{FF2B5EF4-FFF2-40B4-BE49-F238E27FC236}">
                  <a16:creationId xmlns:a16="http://schemas.microsoft.com/office/drawing/2014/main" id="{BDDCC7C0-9CC9-4814-9C90-1E4DB059B814}"/>
                </a:ext>
                <a:ext uri="{147F2762-F138-4A5C-976F-8EAC2B608ADB}">
                  <a16:predDERef xmlns:a16="http://schemas.microsoft.com/office/drawing/2014/main" pred="{69F742AC-96F8-41ED-BC76-829687617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A63D4AD" w14:textId="25AB127E" w:rsidR="000714F1" w:rsidRPr="0075026B" w:rsidRDefault="000714F1" w:rsidP="006802BB">
      <w:pPr>
        <w:pStyle w:val="Wykres"/>
      </w:pPr>
      <w:bookmarkStart w:id="194" w:name="_Toc66311446"/>
      <w:bookmarkStart w:id="195" w:name="_Toc68727104"/>
      <w:r w:rsidRPr="0075026B">
        <w:t xml:space="preserve">Wykres </w:t>
      </w:r>
      <w:fldSimple w:instr=" STYLEREF 1 \s ">
        <w:r w:rsidR="00EF3FD3">
          <w:rPr>
            <w:noProof/>
          </w:rPr>
          <w:t>8</w:t>
        </w:r>
      </w:fldSimple>
      <w:r w:rsidR="00EF3FD3">
        <w:noBreakHyphen/>
      </w:r>
      <w:fldSimple w:instr=" SEQ Wykres \* ARABIC \s 1 ">
        <w:r w:rsidR="00EF3FD3">
          <w:rPr>
            <w:noProof/>
          </w:rPr>
          <w:t>2</w:t>
        </w:r>
      </w:fldSimple>
      <w:r w:rsidRPr="0075026B">
        <w:tab/>
        <w:t xml:space="preserve">Ocena osiągnięcia wyznaczonych w aPGW </w:t>
      </w:r>
      <w:r w:rsidR="00546F62">
        <w:t xml:space="preserve">(2016-2021) </w:t>
      </w:r>
      <w:r w:rsidRPr="0075026B">
        <w:t xml:space="preserve">celów środowiskowych w zakresie stanu chemicznego w jcwp RW </w:t>
      </w:r>
      <w:bookmarkEnd w:id="194"/>
      <w:r w:rsidR="006B4E84">
        <w:t>na obszarze</w:t>
      </w:r>
      <w:r w:rsidR="007F3287" w:rsidRPr="007F3287">
        <w:t xml:space="preserve"> dorzecza Pregoły w oparciu o nowy układ jednostek planistycznych</w:t>
      </w:r>
      <w:bookmarkEnd w:id="195"/>
    </w:p>
    <w:p w14:paraId="72E2CEF4" w14:textId="7BD21F3C" w:rsidR="000714F1" w:rsidRDefault="000714F1" w:rsidP="000714F1">
      <w:pPr>
        <w:pStyle w:val="rdo0"/>
        <w:rPr>
          <w:rFonts w:eastAsia="Times New Roman"/>
          <w:i w:val="0"/>
          <w:color w:val="000099"/>
          <w:lang w:eastAsia="pl-PL"/>
        </w:rPr>
      </w:pPr>
      <w:r>
        <w:t xml:space="preserve">Źródło: opracowanie </w:t>
      </w:r>
      <w:r w:rsidR="007A0C82">
        <w:t>własne na podstawie danych</w:t>
      </w:r>
      <w:r w:rsidR="007F3287">
        <w:rPr>
          <w:color w:val="000099"/>
        </w:rPr>
        <w:t xml:space="preserve"> GIOŚ</w:t>
      </w:r>
    </w:p>
    <w:p w14:paraId="022A6C3E" w14:textId="009F63DD" w:rsidR="000714F1" w:rsidRDefault="007F3287" w:rsidP="000714F1">
      <w:pPr>
        <w:rPr>
          <w:rFonts w:asciiTheme="minorHAnsi" w:hAnsiTheme="minorHAnsi" w:cstheme="minorHAnsi"/>
        </w:rPr>
      </w:pPr>
      <w:r w:rsidRPr="00505BFF">
        <w:rPr>
          <w:rFonts w:asciiTheme="minorHAnsi" w:hAnsiTheme="minorHAnsi" w:cstheme="minorHAnsi"/>
        </w:rPr>
        <w:t>Połączenie wyników analizy</w:t>
      </w:r>
      <w:r>
        <w:rPr>
          <w:rFonts w:asciiTheme="minorHAnsi" w:hAnsiTheme="minorHAnsi" w:cstheme="minorHAnsi"/>
        </w:rPr>
        <w:t xml:space="preserve"> osiągnięcia</w:t>
      </w:r>
      <w:r w:rsidRPr="00505BFF">
        <w:rPr>
          <w:rFonts w:asciiTheme="minorHAnsi" w:hAnsiTheme="minorHAnsi" w:cstheme="minorHAnsi"/>
        </w:rPr>
        <w:t xml:space="preserve"> celów środowiskowych w odniesieniu do wszystkich </w:t>
      </w:r>
      <w:r>
        <w:rPr>
          <w:rFonts w:asciiTheme="minorHAnsi" w:hAnsiTheme="minorHAnsi" w:cstheme="minorHAnsi"/>
        </w:rPr>
        <w:t>82</w:t>
      </w:r>
      <w:r w:rsidRPr="00505BFF">
        <w:rPr>
          <w:rFonts w:asciiTheme="minorHAnsi" w:hAnsiTheme="minorHAnsi" w:cstheme="minorHAnsi"/>
        </w:rPr>
        <w:t xml:space="preserve"> jcwp </w:t>
      </w:r>
      <w:r>
        <w:rPr>
          <w:rFonts w:asciiTheme="minorHAnsi" w:hAnsiTheme="minorHAnsi" w:cstheme="minorHAnsi"/>
        </w:rPr>
        <w:t xml:space="preserve">RW </w:t>
      </w:r>
      <w:r w:rsidRPr="00505BFF">
        <w:rPr>
          <w:rFonts w:asciiTheme="minorHAnsi" w:hAnsiTheme="minorHAnsi" w:cstheme="minorHAnsi"/>
        </w:rPr>
        <w:t xml:space="preserve">znajdujących się </w:t>
      </w:r>
      <w:r>
        <w:rPr>
          <w:rFonts w:asciiTheme="minorHAnsi" w:hAnsiTheme="minorHAnsi" w:cstheme="minorHAnsi"/>
        </w:rPr>
        <w:t>na</w:t>
      </w:r>
      <w:r w:rsidRPr="00505BFF">
        <w:rPr>
          <w:rFonts w:asciiTheme="minorHAnsi" w:hAnsiTheme="minorHAnsi" w:cstheme="minorHAnsi"/>
        </w:rPr>
        <w:t xml:space="preserve"> obszarze dorzecza </w:t>
      </w:r>
      <w:r>
        <w:rPr>
          <w:rFonts w:asciiTheme="minorHAnsi" w:hAnsiTheme="minorHAnsi" w:cstheme="minorHAnsi"/>
        </w:rPr>
        <w:t>Pregoły</w:t>
      </w:r>
      <w:r w:rsidRPr="00505BFF">
        <w:rPr>
          <w:rFonts w:asciiTheme="minorHAnsi" w:hAnsiTheme="minorHAnsi" w:cstheme="minorHAnsi"/>
        </w:rPr>
        <w:t xml:space="preserve"> </w:t>
      </w:r>
      <w:r w:rsidRPr="71E3CBC4">
        <w:rPr>
          <w:rFonts w:asciiTheme="minorHAnsi" w:hAnsiTheme="minorHAnsi" w:cstheme="minorBidi"/>
        </w:rPr>
        <w:t xml:space="preserve">na nowym układzie jednostek planistycznych </w:t>
      </w:r>
      <w:r w:rsidRPr="00505BFF">
        <w:rPr>
          <w:rFonts w:asciiTheme="minorHAnsi" w:hAnsiTheme="minorHAnsi" w:cstheme="minorHAnsi"/>
        </w:rPr>
        <w:t xml:space="preserve">umożliwiło ocenę </w:t>
      </w:r>
      <w:r w:rsidR="00042B1A">
        <w:rPr>
          <w:rFonts w:asciiTheme="minorHAnsi" w:hAnsiTheme="minorHAnsi" w:cstheme="minorHAnsi"/>
        </w:rPr>
        <w:t xml:space="preserve">osiągnięcia celów środowiskowych w zakresie </w:t>
      </w:r>
      <w:r w:rsidRPr="00505BFF">
        <w:rPr>
          <w:rFonts w:asciiTheme="minorHAnsi" w:hAnsiTheme="minorHAnsi" w:cstheme="minorHAnsi"/>
        </w:rPr>
        <w:t xml:space="preserve">stanu </w:t>
      </w:r>
      <w:r w:rsidRPr="008C0B70">
        <w:rPr>
          <w:rFonts w:asciiTheme="minorHAnsi" w:hAnsiTheme="minorHAnsi" w:cstheme="minorHAnsi"/>
        </w:rPr>
        <w:t>ogólnego (wykres 8-3)</w:t>
      </w:r>
      <w:r w:rsidR="000714F1" w:rsidRPr="008C0B70">
        <w:rPr>
          <w:rFonts w:asciiTheme="minorHAnsi" w:hAnsiTheme="minorHAnsi" w:cstheme="minorHAnsi"/>
        </w:rPr>
        <w:t>:</w:t>
      </w:r>
    </w:p>
    <w:p w14:paraId="5A7EF382" w14:textId="2C8B2C02" w:rsidR="007F3287" w:rsidRPr="00E647E5" w:rsidRDefault="007F3287" w:rsidP="00E647E5">
      <w:pPr>
        <w:pStyle w:val="Akapitzlist"/>
      </w:pPr>
      <w:r w:rsidRPr="00E647E5">
        <w:t xml:space="preserve">0 jcwp RW </w:t>
      </w:r>
      <w:r w:rsidR="00E647E5">
        <w:t>osiągnął</w:t>
      </w:r>
      <w:r w:rsidRPr="00E647E5">
        <w:t xml:space="preserve"> cel środowiskowy w zakresie wszystkich wymagań;</w:t>
      </w:r>
    </w:p>
    <w:p w14:paraId="5350AEA6" w14:textId="2B56DAA1" w:rsidR="007F3287" w:rsidRPr="00E647E5" w:rsidRDefault="007F3287" w:rsidP="00E647E5">
      <w:pPr>
        <w:pStyle w:val="Akapitzlist"/>
      </w:pPr>
      <w:r w:rsidRPr="00E647E5">
        <w:t xml:space="preserve">40 jcwp RW (48,8%) nie </w:t>
      </w:r>
      <w:r w:rsidR="00E647E5">
        <w:t>osiągnęło</w:t>
      </w:r>
      <w:r w:rsidRPr="00E647E5">
        <w:t xml:space="preserve"> celów dla stanu ogólnego;</w:t>
      </w:r>
    </w:p>
    <w:p w14:paraId="2F8C2077" w14:textId="4EB08678" w:rsidR="00AC6406" w:rsidRPr="00E647E5" w:rsidRDefault="007F3287" w:rsidP="00E647E5">
      <w:pPr>
        <w:pStyle w:val="Akapitzlist"/>
      </w:pPr>
      <w:r w:rsidRPr="00E647E5">
        <w:t xml:space="preserve">W stosunku do 42 jcwp </w:t>
      </w:r>
      <w:r w:rsidR="00E647E5">
        <w:t>RW</w:t>
      </w:r>
      <w:r w:rsidRPr="00E647E5">
        <w:t xml:space="preserve"> (51,2%), w tym 38 nowych jcwp, zlokalizowanych na obszarze dorzecza Pregoły brak danych uniemożliwił ocenę stanu bądź osiągnięcie celów w zakresie stanu ogólnego.</w:t>
      </w:r>
    </w:p>
    <w:p w14:paraId="5F4E881B" w14:textId="6DF8729B" w:rsidR="000714F1" w:rsidRDefault="000531CA" w:rsidP="000714F1">
      <w:pPr>
        <w:keepNext/>
        <w:jc w:val="center"/>
      </w:pPr>
      <w:r>
        <w:rPr>
          <w:noProof/>
        </w:rPr>
        <w:drawing>
          <wp:inline distT="0" distB="0" distL="0" distR="0" wp14:anchorId="6F5186C3" wp14:editId="71F5F044">
            <wp:extent cx="5760720" cy="2938780"/>
            <wp:effectExtent l="0" t="0" r="11430" b="13970"/>
            <wp:docPr id="244" name="Chart 244">
              <a:extLst xmlns:a="http://schemas.openxmlformats.org/drawingml/2006/main">
                <a:ext uri="{FF2B5EF4-FFF2-40B4-BE49-F238E27FC236}">
                  <a16:creationId xmlns:a16="http://schemas.microsoft.com/office/drawing/2014/main" id="{E08664AE-6E85-48EA-B139-903D861D0E2F}"/>
                </a:ext>
                <a:ext uri="{147F2762-F138-4A5C-976F-8EAC2B608ADB}">
                  <a16:predDERef xmlns:a16="http://schemas.microsoft.com/office/drawing/2014/main" pred="{BDDCC7C0-9CC9-4814-9C90-1E4DB059B8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2C8700A" w14:textId="072F4FC7" w:rsidR="000714F1" w:rsidRPr="0075026B" w:rsidRDefault="000714F1" w:rsidP="003F4A95">
      <w:pPr>
        <w:pStyle w:val="Wykres"/>
      </w:pPr>
      <w:bookmarkStart w:id="196" w:name="_Toc66311447"/>
      <w:bookmarkStart w:id="197" w:name="_Toc68727105"/>
      <w:r w:rsidRPr="0075026B">
        <w:t xml:space="preserve">Wykres </w:t>
      </w:r>
      <w:fldSimple w:instr=" STYLEREF 1 \s ">
        <w:r w:rsidR="00EF3FD3">
          <w:rPr>
            <w:noProof/>
          </w:rPr>
          <w:t>8</w:t>
        </w:r>
      </w:fldSimple>
      <w:r w:rsidR="00EF3FD3">
        <w:noBreakHyphen/>
      </w:r>
      <w:fldSimple w:instr=" SEQ Wykres \* ARABIC \s 1 ">
        <w:r w:rsidR="00EF3FD3">
          <w:rPr>
            <w:noProof/>
          </w:rPr>
          <w:t>3</w:t>
        </w:r>
      </w:fldSimple>
      <w:r w:rsidRPr="0075026B">
        <w:tab/>
        <w:t xml:space="preserve">Ocena osiągnięcia wyznaczonych w aPGW </w:t>
      </w:r>
      <w:r w:rsidR="00546F62">
        <w:t xml:space="preserve">(2016-2021) </w:t>
      </w:r>
      <w:r w:rsidRPr="0075026B">
        <w:t xml:space="preserve">celów środowiskowych w zakresie stanu ogólnego w jcwp RW na obszarze dorzecza </w:t>
      </w:r>
      <w:r w:rsidR="007F3287" w:rsidRPr="007F3287">
        <w:t>Pregoły w oparciu o nowy układ jednostek planistycznych</w:t>
      </w:r>
      <w:r w:rsidRPr="0075026B">
        <w:t>.</w:t>
      </w:r>
      <w:bookmarkEnd w:id="196"/>
      <w:bookmarkEnd w:id="197"/>
    </w:p>
    <w:p w14:paraId="2FC6A3D0" w14:textId="77777777" w:rsidR="007A0C82" w:rsidRDefault="007A0C82" w:rsidP="007A0C82">
      <w:pPr>
        <w:pStyle w:val="rdo0"/>
        <w:rPr>
          <w:rFonts w:eastAsia="Times New Roman"/>
          <w:i w:val="0"/>
          <w:color w:val="000099"/>
          <w:lang w:eastAsia="pl-PL"/>
        </w:rPr>
      </w:pPr>
      <w:r>
        <w:t>Źródło: opracowanie własne na podstawie danych</w:t>
      </w:r>
      <w:r>
        <w:rPr>
          <w:color w:val="000099"/>
        </w:rPr>
        <w:t xml:space="preserve"> GIOŚ</w:t>
      </w:r>
    </w:p>
    <w:p w14:paraId="7C1B5FEF" w14:textId="1D47AECB" w:rsidR="0065471F" w:rsidRDefault="007F3287" w:rsidP="0065471F">
      <w:pPr>
        <w:rPr>
          <w:rFonts w:asciiTheme="minorHAnsi" w:hAnsiTheme="minorHAnsi" w:cstheme="minorHAnsi"/>
        </w:rPr>
      </w:pPr>
      <w:r>
        <w:rPr>
          <w:rFonts w:asciiTheme="minorHAnsi" w:hAnsiTheme="minorHAnsi" w:cstheme="minorHAnsi"/>
          <w:iCs/>
        </w:rPr>
        <w:t xml:space="preserve">Informacje dotyczące celów środowiskowych ustalonych dla każdej jcwp z ustanowionymi </w:t>
      </w:r>
      <w:r w:rsidRPr="008C0B70">
        <w:rPr>
          <w:rFonts w:asciiTheme="minorHAnsi" w:hAnsiTheme="minorHAnsi" w:cstheme="minorHAnsi"/>
          <w:iCs/>
        </w:rPr>
        <w:t xml:space="preserve">odstępstwami od osiągnięcia celów środowiskowych stanowią element załącznika nr 1 (Zestawienie główne). Załącznik nr </w:t>
      </w:r>
      <w:r w:rsidR="00DD0275">
        <w:rPr>
          <w:rFonts w:asciiTheme="minorHAnsi" w:hAnsiTheme="minorHAnsi" w:cstheme="minorHAnsi"/>
          <w:iCs/>
        </w:rPr>
        <w:t>1</w:t>
      </w:r>
      <w:r w:rsidRPr="008C0B70">
        <w:rPr>
          <w:rFonts w:asciiTheme="minorHAnsi" w:hAnsiTheme="minorHAnsi" w:cstheme="minorHAnsi"/>
          <w:iCs/>
        </w:rPr>
        <w:t xml:space="preserve"> przedstawia również uzasadnienia dla wyznaczonych odstępstw z art. 4 RDW</w:t>
      </w:r>
      <w:r w:rsidR="000714F1" w:rsidRPr="008C0B70">
        <w:rPr>
          <w:rFonts w:asciiTheme="minorHAnsi" w:hAnsiTheme="minorHAnsi" w:cstheme="minorHAnsi"/>
        </w:rPr>
        <w:t>.</w:t>
      </w:r>
      <w:r w:rsidR="00FC07D5">
        <w:rPr>
          <w:rFonts w:asciiTheme="minorHAnsi" w:hAnsiTheme="minorHAnsi" w:cstheme="minorHAnsi"/>
        </w:rPr>
        <w:t xml:space="preserve"> </w:t>
      </w:r>
      <w:r w:rsidR="0065471F">
        <w:rPr>
          <w:rFonts w:asciiTheme="minorHAnsi" w:hAnsiTheme="minorHAnsi" w:cstheme="minorHAnsi"/>
        </w:rPr>
        <w:t xml:space="preserve">Ocenę stopnia </w:t>
      </w:r>
      <w:r w:rsidR="00A41DBE">
        <w:rPr>
          <w:rFonts w:asciiTheme="minorHAnsi" w:hAnsiTheme="minorHAnsi" w:cstheme="minorHAnsi"/>
        </w:rPr>
        <w:t>osiągnięcia</w:t>
      </w:r>
      <w:r w:rsidR="0065471F">
        <w:rPr>
          <w:rFonts w:asciiTheme="minorHAnsi" w:hAnsiTheme="minorHAnsi" w:cstheme="minorHAnsi"/>
        </w:rPr>
        <w:t xml:space="preserve"> celów środowiskowych jcwp RW przedstawiono w załączniku nr 5.1.1.</w:t>
      </w:r>
    </w:p>
    <w:p w14:paraId="776CEB45" w14:textId="77777777" w:rsidR="000714F1" w:rsidRPr="001044B0" w:rsidRDefault="000714F1" w:rsidP="00B50FFD">
      <w:pPr>
        <w:pStyle w:val="Nagwek3"/>
      </w:pPr>
      <w:bookmarkStart w:id="198" w:name="_Toc68726862"/>
      <w:r>
        <w:t xml:space="preserve">Ocena osiągnięcia celów </w:t>
      </w:r>
      <w:r w:rsidRPr="001044B0">
        <w:t>środowiskowych jcwp LW</w:t>
      </w:r>
      <w:bookmarkEnd w:id="198"/>
    </w:p>
    <w:p w14:paraId="288AA0B1" w14:textId="030A8037" w:rsidR="000714F1" w:rsidRDefault="00530589" w:rsidP="00AA0CAB">
      <w:pPr>
        <w:pStyle w:val="Nagwek5"/>
        <w:rPr>
          <w:rFonts w:asciiTheme="minorHAnsi" w:hAnsiTheme="minorHAnsi" w:cstheme="minorHAnsi"/>
        </w:rPr>
      </w:pPr>
      <w:r w:rsidRPr="00CC7761">
        <w:t xml:space="preserve">Ocena osiągnięcia celów środowiskowych w odniesieniu do jednostek planistycznych </w:t>
      </w:r>
      <w:r w:rsidR="00E647E5">
        <w:t>aPGW (</w:t>
      </w:r>
      <w:r w:rsidRPr="00CC7761">
        <w:t>2016-2021)</w:t>
      </w:r>
    </w:p>
    <w:p w14:paraId="69436C0F" w14:textId="2F681619" w:rsidR="000714F1" w:rsidRDefault="00530589" w:rsidP="000714F1">
      <w:pPr>
        <w:rPr>
          <w:rFonts w:asciiTheme="minorHAnsi" w:hAnsiTheme="minorHAnsi" w:cstheme="minorHAnsi"/>
        </w:rPr>
      </w:pPr>
      <w:r w:rsidRPr="00762FC4">
        <w:rPr>
          <w:rFonts w:asciiTheme="minorHAnsi" w:hAnsiTheme="minorHAnsi" w:cstheme="minorHAnsi"/>
        </w:rPr>
        <w:t xml:space="preserve">Cele środowiskowe w odniesieniu do stanu i potencjału ekologicznego oraz stanu chemicznego zostały wskazane w aPGW dla </w:t>
      </w:r>
      <w:r>
        <w:rPr>
          <w:rFonts w:asciiTheme="minorHAnsi" w:hAnsiTheme="minorHAnsi" w:cstheme="minorHAnsi"/>
        </w:rPr>
        <w:t>101</w:t>
      </w:r>
      <w:r w:rsidRPr="00762FC4">
        <w:rPr>
          <w:rFonts w:asciiTheme="minorHAnsi" w:hAnsiTheme="minorHAnsi" w:cstheme="minorHAnsi"/>
        </w:rPr>
        <w:t xml:space="preserve"> jcwp LW (zgodnie z obowiązującym w okresie 2016-2021 układem planistycznym). Ocena stopnia osiągnięcia celów środowiskowych dla stanu/potencjału ekologicznego na aktualnym układzie jednostek planistycznych wykazała, iż cel środowiskowy osiągnięto w </w:t>
      </w:r>
      <w:r>
        <w:rPr>
          <w:rFonts w:asciiTheme="minorHAnsi" w:hAnsiTheme="minorHAnsi" w:cstheme="minorHAnsi"/>
        </w:rPr>
        <w:t>10</w:t>
      </w:r>
      <w:r w:rsidRPr="00762FC4">
        <w:rPr>
          <w:rFonts w:asciiTheme="minorHAnsi" w:hAnsiTheme="minorHAnsi" w:cstheme="minorHAnsi"/>
        </w:rPr>
        <w:t xml:space="preserve"> jcwp </w:t>
      </w:r>
      <w:r>
        <w:rPr>
          <w:rFonts w:asciiTheme="minorHAnsi" w:hAnsiTheme="minorHAnsi" w:cstheme="minorHAnsi"/>
        </w:rPr>
        <w:t>LW</w:t>
      </w:r>
      <w:r w:rsidRPr="00762FC4">
        <w:rPr>
          <w:rFonts w:asciiTheme="minorHAnsi" w:hAnsiTheme="minorHAnsi" w:cstheme="minorHAnsi"/>
        </w:rPr>
        <w:t xml:space="preserve"> (</w:t>
      </w:r>
      <w:r>
        <w:rPr>
          <w:rFonts w:asciiTheme="minorHAnsi" w:hAnsiTheme="minorHAnsi" w:cstheme="minorHAnsi"/>
        </w:rPr>
        <w:t>9,9</w:t>
      </w:r>
      <w:r w:rsidRPr="00762FC4">
        <w:rPr>
          <w:rFonts w:asciiTheme="minorHAnsi" w:hAnsiTheme="minorHAnsi" w:cstheme="minorHAnsi"/>
        </w:rPr>
        <w:t xml:space="preserve">% wszystkich jcwp </w:t>
      </w:r>
      <w:r>
        <w:rPr>
          <w:rFonts w:asciiTheme="minorHAnsi" w:hAnsiTheme="minorHAnsi" w:cstheme="minorHAnsi"/>
        </w:rPr>
        <w:t>jeziornych</w:t>
      </w:r>
      <w:r w:rsidRPr="00762FC4">
        <w:rPr>
          <w:rFonts w:asciiTheme="minorHAnsi" w:hAnsiTheme="minorHAnsi" w:cstheme="minorHAnsi"/>
        </w:rPr>
        <w:t xml:space="preserve"> </w:t>
      </w:r>
      <w:r w:rsidR="00474ABF">
        <w:t xml:space="preserve">w obszarze dorzecza </w:t>
      </w:r>
      <w:r>
        <w:rPr>
          <w:rFonts w:asciiTheme="minorHAnsi" w:hAnsiTheme="minorHAnsi" w:cstheme="minorHAnsi"/>
        </w:rPr>
        <w:t>Pregoły</w:t>
      </w:r>
      <w:r w:rsidRPr="00762FC4">
        <w:rPr>
          <w:rFonts w:asciiTheme="minorHAnsi" w:hAnsiTheme="minorHAnsi" w:cstheme="minorHAnsi"/>
        </w:rPr>
        <w:t xml:space="preserve">). W przypadku stanu chemicznego cel został osiągnięty w stosunku do </w:t>
      </w:r>
      <w:r>
        <w:rPr>
          <w:rFonts w:asciiTheme="minorHAnsi" w:hAnsiTheme="minorHAnsi" w:cstheme="minorHAnsi"/>
        </w:rPr>
        <w:t>23</w:t>
      </w:r>
      <w:r w:rsidRPr="00762FC4">
        <w:rPr>
          <w:rFonts w:asciiTheme="minorHAnsi" w:hAnsiTheme="minorHAnsi" w:cstheme="minorHAnsi"/>
        </w:rPr>
        <w:t xml:space="preserve"> jcwp (</w:t>
      </w:r>
      <w:r>
        <w:rPr>
          <w:rFonts w:asciiTheme="minorHAnsi" w:hAnsiTheme="minorHAnsi" w:cstheme="minorHAnsi"/>
        </w:rPr>
        <w:t>22,8</w:t>
      </w:r>
      <w:r w:rsidRPr="00762FC4">
        <w:rPr>
          <w:rFonts w:asciiTheme="minorHAnsi" w:hAnsiTheme="minorHAnsi" w:cstheme="minorHAnsi"/>
        </w:rPr>
        <w:t xml:space="preserve">% wszystkich jcwp </w:t>
      </w:r>
      <w:r>
        <w:rPr>
          <w:rFonts w:asciiTheme="minorHAnsi" w:hAnsiTheme="minorHAnsi" w:cstheme="minorHAnsi"/>
        </w:rPr>
        <w:t>jeziornych</w:t>
      </w:r>
      <w:r w:rsidRPr="00762FC4">
        <w:rPr>
          <w:rFonts w:asciiTheme="minorHAnsi" w:hAnsiTheme="minorHAnsi" w:cstheme="minorHAnsi"/>
        </w:rPr>
        <w:t xml:space="preserve"> </w:t>
      </w:r>
      <w:r w:rsidR="00474ABF">
        <w:t xml:space="preserve">w obszarze dorzecza </w:t>
      </w:r>
      <w:r>
        <w:rPr>
          <w:rFonts w:asciiTheme="minorHAnsi" w:hAnsiTheme="minorHAnsi" w:cstheme="minorHAnsi"/>
        </w:rPr>
        <w:t>Pregoły</w:t>
      </w:r>
      <w:r w:rsidRPr="00762FC4">
        <w:rPr>
          <w:rFonts w:asciiTheme="minorHAnsi" w:hAnsiTheme="minorHAnsi" w:cstheme="minorHAnsi"/>
        </w:rPr>
        <w:t xml:space="preserve">). </w:t>
      </w:r>
      <w:r>
        <w:rPr>
          <w:rFonts w:asciiTheme="minorHAnsi" w:hAnsiTheme="minorHAnsi" w:cstheme="minorHAnsi"/>
        </w:rPr>
        <w:t>Dla żadnego jcwp nie wskazano odstępstwa z art. 4</w:t>
      </w:r>
      <w:r w:rsidR="0037667E">
        <w:rPr>
          <w:rFonts w:asciiTheme="minorHAnsi" w:hAnsiTheme="minorHAnsi" w:cstheme="minorHAnsi"/>
        </w:rPr>
        <w:t xml:space="preserve"> ust. </w:t>
      </w:r>
      <w:r>
        <w:rPr>
          <w:rFonts w:asciiTheme="minorHAnsi" w:hAnsiTheme="minorHAnsi" w:cstheme="minorHAnsi"/>
        </w:rPr>
        <w:t xml:space="preserve">4 i </w:t>
      </w:r>
      <w:r w:rsidR="0037667E">
        <w:rPr>
          <w:rFonts w:asciiTheme="minorHAnsi" w:hAnsiTheme="minorHAnsi" w:cstheme="minorHAnsi"/>
        </w:rPr>
        <w:t xml:space="preserve">art. </w:t>
      </w:r>
      <w:r>
        <w:rPr>
          <w:rFonts w:asciiTheme="minorHAnsi" w:hAnsiTheme="minorHAnsi" w:cstheme="minorHAnsi"/>
        </w:rPr>
        <w:t>4</w:t>
      </w:r>
      <w:r w:rsidR="0037667E">
        <w:rPr>
          <w:rFonts w:asciiTheme="minorHAnsi" w:hAnsiTheme="minorHAnsi" w:cstheme="minorHAnsi"/>
        </w:rPr>
        <w:t xml:space="preserve"> ust. </w:t>
      </w:r>
      <w:r>
        <w:rPr>
          <w:rFonts w:asciiTheme="minorHAnsi" w:hAnsiTheme="minorHAnsi" w:cstheme="minorHAnsi"/>
        </w:rPr>
        <w:t>5 RDW. Cel środowiskowy w zakresie stanu ogólnego wód został osiągnięty dla 18 jcwp LW (17,8</w:t>
      </w:r>
      <w:r w:rsidRPr="00C66D17">
        <w:rPr>
          <w:rFonts w:asciiTheme="minorHAnsi" w:hAnsiTheme="minorHAnsi" w:cstheme="minorHAnsi"/>
        </w:rPr>
        <w:t xml:space="preserve">%) </w:t>
      </w:r>
      <w:r w:rsidR="000714F1" w:rsidRPr="00C66D17">
        <w:rPr>
          <w:rFonts w:asciiTheme="minorHAnsi" w:hAnsiTheme="minorHAnsi" w:cstheme="minorHAnsi"/>
        </w:rPr>
        <w:t xml:space="preserve">(tabela </w:t>
      </w:r>
      <w:r w:rsidR="004A1B76" w:rsidRPr="00C66D17">
        <w:rPr>
          <w:rFonts w:asciiTheme="minorHAnsi" w:hAnsiTheme="minorHAnsi" w:cstheme="minorHAnsi"/>
        </w:rPr>
        <w:t>8-</w:t>
      </w:r>
      <w:r w:rsidRPr="00C66D17">
        <w:rPr>
          <w:rFonts w:asciiTheme="minorHAnsi" w:hAnsiTheme="minorHAnsi" w:cstheme="minorHAnsi"/>
        </w:rPr>
        <w:t>6</w:t>
      </w:r>
      <w:r w:rsidR="000714F1" w:rsidRPr="00C66D17">
        <w:rPr>
          <w:rFonts w:asciiTheme="minorHAnsi" w:hAnsiTheme="minorHAnsi" w:cstheme="minorHAnsi"/>
        </w:rPr>
        <w:t>).</w:t>
      </w:r>
      <w:r w:rsidR="00A61E9D">
        <w:rPr>
          <w:rFonts w:asciiTheme="minorHAnsi" w:hAnsiTheme="minorHAnsi" w:cstheme="minorHAnsi"/>
        </w:rPr>
        <w:t xml:space="preserve"> </w:t>
      </w:r>
      <w:r w:rsidR="00A61E9D">
        <w:t>Tabelaryczne podsumowanie oceny o</w:t>
      </w:r>
      <w:r w:rsidR="00A61E9D" w:rsidRPr="00EB64B4">
        <w:t>siągnięcia celów środowiskowych jcwp</w:t>
      </w:r>
      <w:r w:rsidR="00A61E9D">
        <w:t xml:space="preserve"> przedstawia załącznik nr 5.1.1.</w:t>
      </w:r>
    </w:p>
    <w:p w14:paraId="5A955968" w14:textId="10D872D0" w:rsidR="000714F1" w:rsidRPr="00DD3A02" w:rsidRDefault="000714F1" w:rsidP="003F4A95">
      <w:pPr>
        <w:pStyle w:val="Tabela"/>
      </w:pPr>
      <w:bookmarkStart w:id="199" w:name="_Toc66311288"/>
      <w:bookmarkStart w:id="200" w:name="_Toc68726993"/>
      <w:r w:rsidRPr="00DD3A02">
        <w:t xml:space="preserve">Tabela </w:t>
      </w:r>
      <w:fldSimple w:instr=" STYLEREF 1 \s ">
        <w:r w:rsidR="007B4050">
          <w:rPr>
            <w:noProof/>
          </w:rPr>
          <w:t>8</w:t>
        </w:r>
      </w:fldSimple>
      <w:r w:rsidR="007B4050">
        <w:noBreakHyphen/>
      </w:r>
      <w:fldSimple w:instr=" SEQ Tabela \* ARABIC \s 1 ">
        <w:r w:rsidR="007B4050">
          <w:rPr>
            <w:noProof/>
          </w:rPr>
          <w:t>6</w:t>
        </w:r>
      </w:fldSimple>
      <w:r w:rsidRPr="00DD3A02">
        <w:tab/>
      </w:r>
      <w:r w:rsidR="00EC1782">
        <w:t>Osiągnięcie</w:t>
      </w:r>
      <w:r w:rsidRPr="00DD3A02">
        <w:t xml:space="preserve"> celów środowiskowych ustalonych na lata 2016-2021 dla jcwp jeziornych (LW) na obszarze dorzecza </w:t>
      </w:r>
      <w:r w:rsidR="00C66D17">
        <w:t>Pregoły</w:t>
      </w:r>
      <w:r w:rsidRPr="00DD3A02">
        <w:t xml:space="preserve"> w oparciu o jednostki planistyczne aPGW</w:t>
      </w:r>
      <w:bookmarkEnd w:id="199"/>
      <w:bookmarkEnd w:id="200"/>
    </w:p>
    <w:tbl>
      <w:tblPr>
        <w:tblW w:w="888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0"/>
        <w:gridCol w:w="959"/>
        <w:gridCol w:w="958"/>
        <w:gridCol w:w="958"/>
        <w:gridCol w:w="1498"/>
        <w:gridCol w:w="1239"/>
        <w:gridCol w:w="958"/>
      </w:tblGrid>
      <w:tr w:rsidR="004A1B76" w14:paraId="3485823D" w14:textId="77777777" w:rsidTr="00F5641E">
        <w:trPr>
          <w:trHeight w:val="530"/>
          <w:tblHeader/>
        </w:trPr>
        <w:tc>
          <w:tcPr>
            <w:tcW w:w="2320" w:type="dxa"/>
            <w:vMerge w:val="restart"/>
            <w:shd w:val="clear" w:color="auto" w:fill="BFBFBF" w:themeFill="background1" w:themeFillShade="BF"/>
            <w:vAlign w:val="center"/>
            <w:hideMark/>
          </w:tcPr>
          <w:p w14:paraId="2E93E271" w14:textId="77777777" w:rsidR="004A1B76" w:rsidRDefault="004A1B76" w:rsidP="00840CCD">
            <w:pPr>
              <w:spacing w:line="256" w:lineRule="auto"/>
              <w:jc w:val="center"/>
              <w:rPr>
                <w:rFonts w:asciiTheme="minorHAnsi" w:eastAsia="Times New Roman" w:hAnsiTheme="minorHAnsi" w:cstheme="minorHAnsi"/>
                <w:b/>
                <w:bCs/>
                <w:color w:val="000000"/>
                <w:lang w:eastAsia="pl-PL"/>
              </w:rPr>
            </w:pPr>
            <w:r>
              <w:rPr>
                <w:rFonts w:asciiTheme="minorHAnsi" w:hAnsiTheme="minorHAnsi" w:cstheme="minorHAnsi"/>
                <w:b/>
                <w:bCs/>
                <w:color w:val="000000"/>
              </w:rPr>
              <w:t>Region wodny</w:t>
            </w:r>
          </w:p>
        </w:tc>
        <w:tc>
          <w:tcPr>
            <w:tcW w:w="960" w:type="dxa"/>
            <w:vMerge w:val="restart"/>
            <w:shd w:val="clear" w:color="auto" w:fill="BFBFBF" w:themeFill="background1" w:themeFillShade="BF"/>
            <w:vAlign w:val="center"/>
            <w:hideMark/>
          </w:tcPr>
          <w:p w14:paraId="7FBBCA46" w14:textId="77777777"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Liczba jcwp LW</w:t>
            </w:r>
          </w:p>
          <w:p w14:paraId="7A62E5F5" w14:textId="0425BA45" w:rsidR="004A1B76" w:rsidRDefault="004A1B76" w:rsidP="004A1B76">
            <w:pPr>
              <w:spacing w:line="256" w:lineRule="auto"/>
              <w:jc w:val="center"/>
              <w:rPr>
                <w:rFonts w:asciiTheme="minorHAnsi" w:hAnsiTheme="minorHAnsi" w:cstheme="minorHAnsi"/>
                <w:b/>
                <w:bCs/>
                <w:color w:val="000000"/>
              </w:rPr>
            </w:pPr>
            <w:r>
              <w:rPr>
                <w:rFonts w:asciiTheme="minorHAnsi" w:hAnsiTheme="minorHAnsi" w:cstheme="minorHAnsi"/>
                <w:b/>
                <w:bCs/>
                <w:color w:val="000000"/>
              </w:rPr>
              <w:t>ogółem</w:t>
            </w:r>
          </w:p>
        </w:tc>
        <w:tc>
          <w:tcPr>
            <w:tcW w:w="1920" w:type="dxa"/>
            <w:gridSpan w:val="2"/>
            <w:shd w:val="clear" w:color="auto" w:fill="BFBFBF" w:themeFill="background1" w:themeFillShade="BF"/>
            <w:vAlign w:val="center"/>
            <w:hideMark/>
          </w:tcPr>
          <w:p w14:paraId="3F1CF133" w14:textId="701FCB8B"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 xml:space="preserve">Liczba jcwp LW z odstępstwem </w:t>
            </w:r>
            <w:r w:rsidR="00E647E5">
              <w:rPr>
                <w:rFonts w:asciiTheme="minorHAnsi" w:hAnsiTheme="minorHAnsi" w:cstheme="minorHAnsi"/>
                <w:b/>
                <w:bCs/>
                <w:color w:val="000000"/>
              </w:rPr>
              <w:t>wskazanym w aPGW (</w:t>
            </w:r>
            <w:r>
              <w:rPr>
                <w:rFonts w:asciiTheme="minorHAnsi" w:hAnsiTheme="minorHAnsi" w:cstheme="minorHAnsi"/>
                <w:b/>
                <w:bCs/>
                <w:color w:val="000000"/>
              </w:rPr>
              <w:t>2016-2021</w:t>
            </w:r>
            <w:r w:rsidR="00E647E5">
              <w:rPr>
                <w:rFonts w:asciiTheme="minorHAnsi" w:hAnsiTheme="minorHAnsi" w:cstheme="minorHAnsi"/>
                <w:b/>
                <w:bCs/>
                <w:color w:val="000000"/>
              </w:rPr>
              <w:t>)</w:t>
            </w:r>
          </w:p>
        </w:tc>
        <w:tc>
          <w:tcPr>
            <w:tcW w:w="3680" w:type="dxa"/>
            <w:gridSpan w:val="3"/>
            <w:shd w:val="clear" w:color="auto" w:fill="BFBFBF" w:themeFill="background1" w:themeFillShade="BF"/>
            <w:vAlign w:val="center"/>
            <w:hideMark/>
          </w:tcPr>
          <w:p w14:paraId="545DFB7B" w14:textId="532B1DA8"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 xml:space="preserve">Liczba jcwp LW, </w:t>
            </w:r>
            <w:r w:rsidR="005435A3">
              <w:rPr>
                <w:rFonts w:asciiTheme="minorHAnsi" w:hAnsiTheme="minorHAnsi" w:cstheme="minorHAnsi"/>
                <w:b/>
                <w:bCs/>
                <w:color w:val="000000"/>
              </w:rPr>
              <w:t>które osiągnęły</w:t>
            </w:r>
            <w:r>
              <w:rPr>
                <w:rFonts w:asciiTheme="minorHAnsi" w:hAnsiTheme="minorHAnsi" w:cstheme="minorHAnsi"/>
                <w:b/>
                <w:bCs/>
                <w:color w:val="000000"/>
              </w:rPr>
              <w:t>cel</w:t>
            </w:r>
            <w:r w:rsidR="005435A3">
              <w:rPr>
                <w:rFonts w:asciiTheme="minorHAnsi" w:hAnsiTheme="minorHAnsi" w:cstheme="minorHAnsi"/>
                <w:b/>
                <w:bCs/>
                <w:color w:val="000000"/>
              </w:rPr>
              <w:t>e</w:t>
            </w:r>
            <w:r>
              <w:rPr>
                <w:rFonts w:asciiTheme="minorHAnsi" w:hAnsiTheme="minorHAnsi" w:cstheme="minorHAnsi"/>
                <w:b/>
                <w:bCs/>
                <w:color w:val="000000"/>
              </w:rPr>
              <w:t xml:space="preserve"> środowiskow</w:t>
            </w:r>
            <w:r w:rsidR="005435A3">
              <w:rPr>
                <w:rFonts w:asciiTheme="minorHAnsi" w:hAnsiTheme="minorHAnsi" w:cstheme="minorHAnsi"/>
                <w:b/>
                <w:bCs/>
                <w:color w:val="000000"/>
              </w:rPr>
              <w:t>e</w:t>
            </w:r>
          </w:p>
        </w:tc>
      </w:tr>
      <w:tr w:rsidR="004A1B76" w14:paraId="3A3561A3" w14:textId="77777777" w:rsidTr="00F5641E">
        <w:trPr>
          <w:trHeight w:val="1073"/>
          <w:tblHeader/>
        </w:trPr>
        <w:tc>
          <w:tcPr>
            <w:tcW w:w="0" w:type="auto"/>
            <w:vMerge/>
            <w:shd w:val="clear" w:color="auto" w:fill="BFBFBF" w:themeFill="background1" w:themeFillShade="BF"/>
            <w:vAlign w:val="center"/>
            <w:hideMark/>
          </w:tcPr>
          <w:p w14:paraId="00E22EDD" w14:textId="77777777" w:rsidR="004A1B76" w:rsidRDefault="004A1B76" w:rsidP="00840CCD">
            <w:pPr>
              <w:spacing w:after="0" w:line="256" w:lineRule="auto"/>
              <w:jc w:val="left"/>
              <w:rPr>
                <w:rFonts w:asciiTheme="minorHAnsi" w:eastAsia="Times New Roman" w:hAnsiTheme="minorHAnsi" w:cstheme="minorHAnsi"/>
                <w:b/>
                <w:bCs/>
                <w:color w:val="000000"/>
              </w:rPr>
            </w:pPr>
          </w:p>
        </w:tc>
        <w:tc>
          <w:tcPr>
            <w:tcW w:w="960" w:type="dxa"/>
            <w:vMerge/>
            <w:shd w:val="clear" w:color="auto" w:fill="BFBFBF" w:themeFill="background1" w:themeFillShade="BF"/>
            <w:vAlign w:val="center"/>
            <w:hideMark/>
          </w:tcPr>
          <w:p w14:paraId="002C7974" w14:textId="36C14DB2" w:rsidR="004A1B76" w:rsidRDefault="004A1B76" w:rsidP="00840CCD">
            <w:pPr>
              <w:spacing w:line="256" w:lineRule="auto"/>
              <w:jc w:val="left"/>
              <w:rPr>
                <w:rFonts w:asciiTheme="minorHAnsi" w:hAnsiTheme="minorHAnsi" w:cstheme="minorHAnsi"/>
                <w:b/>
                <w:bCs/>
                <w:color w:val="000000"/>
              </w:rPr>
            </w:pPr>
          </w:p>
        </w:tc>
        <w:tc>
          <w:tcPr>
            <w:tcW w:w="960" w:type="dxa"/>
            <w:shd w:val="clear" w:color="auto" w:fill="BFBFBF" w:themeFill="background1" w:themeFillShade="BF"/>
            <w:vAlign w:val="center"/>
            <w:hideMark/>
          </w:tcPr>
          <w:p w14:paraId="453C0E37" w14:textId="434642B3"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Art. 4</w:t>
            </w:r>
            <w:r w:rsidR="0037667E">
              <w:rPr>
                <w:rFonts w:asciiTheme="minorHAnsi" w:hAnsiTheme="minorHAnsi" w:cstheme="minorHAnsi"/>
                <w:b/>
                <w:bCs/>
                <w:color w:val="000000"/>
              </w:rPr>
              <w:t xml:space="preserve"> ust. </w:t>
            </w:r>
            <w:r>
              <w:rPr>
                <w:rFonts w:asciiTheme="minorHAnsi" w:hAnsiTheme="minorHAnsi" w:cstheme="minorHAnsi"/>
                <w:b/>
                <w:bCs/>
                <w:color w:val="000000"/>
              </w:rPr>
              <w:t>4 RDW</w:t>
            </w:r>
          </w:p>
        </w:tc>
        <w:tc>
          <w:tcPr>
            <w:tcW w:w="960" w:type="dxa"/>
            <w:shd w:val="clear" w:color="auto" w:fill="BFBFBF" w:themeFill="background1" w:themeFillShade="BF"/>
            <w:vAlign w:val="center"/>
            <w:hideMark/>
          </w:tcPr>
          <w:p w14:paraId="2BFA265D" w14:textId="34F83E1F"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Art. 4</w:t>
            </w:r>
            <w:r w:rsidR="0037667E">
              <w:rPr>
                <w:rFonts w:asciiTheme="minorHAnsi" w:hAnsiTheme="minorHAnsi" w:cstheme="minorHAnsi"/>
                <w:b/>
                <w:bCs/>
                <w:color w:val="000000"/>
              </w:rPr>
              <w:t xml:space="preserve"> ust. </w:t>
            </w:r>
            <w:r>
              <w:rPr>
                <w:rFonts w:asciiTheme="minorHAnsi" w:hAnsiTheme="minorHAnsi" w:cstheme="minorHAnsi"/>
                <w:b/>
                <w:bCs/>
                <w:color w:val="000000"/>
              </w:rPr>
              <w:t>5 RDW</w:t>
            </w:r>
          </w:p>
        </w:tc>
        <w:tc>
          <w:tcPr>
            <w:tcW w:w="1480" w:type="dxa"/>
            <w:shd w:val="clear" w:color="auto" w:fill="BFBFBF" w:themeFill="background1" w:themeFillShade="BF"/>
            <w:vAlign w:val="center"/>
            <w:hideMark/>
          </w:tcPr>
          <w:p w14:paraId="369E8BB6" w14:textId="7232322F" w:rsidR="004A1B76" w:rsidRDefault="004A1B76" w:rsidP="006907A2">
            <w:pPr>
              <w:spacing w:line="256" w:lineRule="auto"/>
              <w:jc w:val="center"/>
              <w:rPr>
                <w:rFonts w:asciiTheme="minorHAnsi" w:hAnsiTheme="minorHAnsi" w:cstheme="minorHAnsi"/>
                <w:b/>
                <w:bCs/>
                <w:color w:val="000000"/>
              </w:rPr>
            </w:pPr>
            <w:r>
              <w:rPr>
                <w:rFonts w:asciiTheme="minorHAnsi" w:hAnsiTheme="minorHAnsi" w:cstheme="minorHAnsi"/>
                <w:b/>
                <w:bCs/>
                <w:color w:val="000000"/>
              </w:rPr>
              <w:t>Stan/potencja</w:t>
            </w:r>
            <w:r w:rsidR="00E647E5">
              <w:rPr>
                <w:rFonts w:asciiTheme="minorHAnsi" w:hAnsiTheme="minorHAnsi" w:cstheme="minorHAnsi"/>
                <w:b/>
                <w:bCs/>
                <w:color w:val="000000"/>
              </w:rPr>
              <w:t>ł</w:t>
            </w:r>
            <w:r w:rsidR="00961D0A">
              <w:rPr>
                <w:rFonts w:asciiTheme="minorHAnsi" w:hAnsiTheme="minorHAnsi" w:cstheme="minorHAnsi"/>
                <w:b/>
                <w:bCs/>
                <w:color w:val="000000"/>
              </w:rPr>
              <w:t xml:space="preserve"> ekologiczny</w:t>
            </w:r>
          </w:p>
        </w:tc>
        <w:tc>
          <w:tcPr>
            <w:tcW w:w="1240" w:type="dxa"/>
            <w:shd w:val="clear" w:color="auto" w:fill="BFBFBF" w:themeFill="background1" w:themeFillShade="BF"/>
            <w:vAlign w:val="center"/>
            <w:hideMark/>
          </w:tcPr>
          <w:p w14:paraId="7B629B5B" w14:textId="77777777" w:rsidR="004A1B76" w:rsidRDefault="004A1B76"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Stan chemiczny</w:t>
            </w:r>
          </w:p>
        </w:tc>
        <w:tc>
          <w:tcPr>
            <w:tcW w:w="960" w:type="dxa"/>
            <w:shd w:val="clear" w:color="auto" w:fill="BFBFBF" w:themeFill="background1" w:themeFillShade="BF"/>
            <w:vAlign w:val="center"/>
            <w:hideMark/>
          </w:tcPr>
          <w:p w14:paraId="10EEF4E3" w14:textId="0BDBA3C0" w:rsidR="004A1B76" w:rsidRDefault="006907A2" w:rsidP="00840CCD">
            <w:pPr>
              <w:spacing w:line="256" w:lineRule="auto"/>
              <w:jc w:val="center"/>
              <w:rPr>
                <w:rFonts w:asciiTheme="minorHAnsi" w:hAnsiTheme="minorHAnsi" w:cstheme="minorHAnsi"/>
                <w:b/>
                <w:bCs/>
                <w:color w:val="000000"/>
              </w:rPr>
            </w:pPr>
            <w:r>
              <w:rPr>
                <w:rFonts w:asciiTheme="minorHAnsi" w:hAnsiTheme="minorHAnsi" w:cstheme="minorHAnsi"/>
                <w:b/>
                <w:bCs/>
                <w:color w:val="000000"/>
              </w:rPr>
              <w:t>Stan ogólny</w:t>
            </w:r>
          </w:p>
        </w:tc>
      </w:tr>
      <w:tr w:rsidR="00530589" w14:paraId="7A20655D" w14:textId="77777777" w:rsidTr="004A1B76">
        <w:trPr>
          <w:trHeight w:val="290"/>
        </w:trPr>
        <w:tc>
          <w:tcPr>
            <w:tcW w:w="2320" w:type="dxa"/>
            <w:vAlign w:val="center"/>
            <w:hideMark/>
          </w:tcPr>
          <w:p w14:paraId="7F1F058E" w14:textId="17752895" w:rsidR="00530589" w:rsidRDefault="00530589" w:rsidP="00530589">
            <w:pPr>
              <w:spacing w:line="256" w:lineRule="auto"/>
              <w:jc w:val="left"/>
              <w:rPr>
                <w:rFonts w:asciiTheme="minorHAnsi" w:hAnsiTheme="minorHAnsi" w:cstheme="minorHAnsi"/>
                <w:color w:val="000000"/>
              </w:rPr>
            </w:pPr>
            <w:r w:rsidRPr="00D23A92">
              <w:rPr>
                <w:rFonts w:cs="Calibri"/>
                <w:color w:val="000000"/>
              </w:rPr>
              <w:t>Łyny i Węgorapy</w:t>
            </w:r>
          </w:p>
        </w:tc>
        <w:tc>
          <w:tcPr>
            <w:tcW w:w="960" w:type="dxa"/>
            <w:vAlign w:val="center"/>
            <w:hideMark/>
          </w:tcPr>
          <w:p w14:paraId="64251018" w14:textId="6AE4E50E" w:rsidR="00530589" w:rsidRDefault="00530589" w:rsidP="00530589">
            <w:pPr>
              <w:spacing w:line="256" w:lineRule="auto"/>
              <w:jc w:val="center"/>
              <w:rPr>
                <w:rFonts w:asciiTheme="minorHAnsi" w:hAnsiTheme="minorHAnsi" w:cstheme="minorHAnsi"/>
                <w:color w:val="000000"/>
              </w:rPr>
            </w:pPr>
            <w:r w:rsidRPr="00D23A92">
              <w:rPr>
                <w:rFonts w:cs="Calibri"/>
                <w:color w:val="000000"/>
              </w:rPr>
              <w:t>101</w:t>
            </w:r>
          </w:p>
        </w:tc>
        <w:tc>
          <w:tcPr>
            <w:tcW w:w="960" w:type="dxa"/>
            <w:vAlign w:val="center"/>
            <w:hideMark/>
          </w:tcPr>
          <w:p w14:paraId="7CE75E21" w14:textId="7349683F" w:rsidR="00530589" w:rsidRDefault="00530589" w:rsidP="00530589">
            <w:pPr>
              <w:spacing w:line="256" w:lineRule="auto"/>
              <w:jc w:val="center"/>
              <w:rPr>
                <w:rFonts w:asciiTheme="minorHAnsi" w:hAnsiTheme="minorHAnsi" w:cstheme="minorHAnsi"/>
                <w:color w:val="000000"/>
              </w:rPr>
            </w:pPr>
            <w:r w:rsidRPr="00D23A92">
              <w:rPr>
                <w:rFonts w:cs="Calibri"/>
                <w:color w:val="000000"/>
              </w:rPr>
              <w:t>0</w:t>
            </w:r>
          </w:p>
        </w:tc>
        <w:tc>
          <w:tcPr>
            <w:tcW w:w="960" w:type="dxa"/>
            <w:vAlign w:val="center"/>
            <w:hideMark/>
          </w:tcPr>
          <w:p w14:paraId="53130A07" w14:textId="117146D5" w:rsidR="00530589" w:rsidRDefault="00530589" w:rsidP="00530589">
            <w:pPr>
              <w:spacing w:line="256" w:lineRule="auto"/>
              <w:jc w:val="center"/>
              <w:rPr>
                <w:rFonts w:asciiTheme="minorHAnsi" w:hAnsiTheme="minorHAnsi" w:cstheme="minorHAnsi"/>
                <w:color w:val="000000"/>
              </w:rPr>
            </w:pPr>
            <w:r w:rsidRPr="00D23A92">
              <w:rPr>
                <w:rFonts w:cs="Calibri"/>
                <w:color w:val="000000"/>
              </w:rPr>
              <w:t>0</w:t>
            </w:r>
          </w:p>
        </w:tc>
        <w:tc>
          <w:tcPr>
            <w:tcW w:w="1480" w:type="dxa"/>
            <w:vAlign w:val="center"/>
            <w:hideMark/>
          </w:tcPr>
          <w:p w14:paraId="1C749A11" w14:textId="28048D42" w:rsidR="00530589" w:rsidRDefault="00530589" w:rsidP="00530589">
            <w:pPr>
              <w:spacing w:line="256" w:lineRule="auto"/>
              <w:jc w:val="center"/>
              <w:rPr>
                <w:rFonts w:asciiTheme="minorHAnsi" w:hAnsiTheme="minorHAnsi" w:cstheme="minorHAnsi"/>
                <w:color w:val="000000"/>
              </w:rPr>
            </w:pPr>
            <w:r w:rsidRPr="00D23A92">
              <w:rPr>
                <w:rFonts w:cs="Calibri"/>
                <w:color w:val="000000"/>
              </w:rPr>
              <w:t>10</w:t>
            </w:r>
          </w:p>
        </w:tc>
        <w:tc>
          <w:tcPr>
            <w:tcW w:w="1240" w:type="dxa"/>
            <w:vAlign w:val="center"/>
            <w:hideMark/>
          </w:tcPr>
          <w:p w14:paraId="40474AC1" w14:textId="47BC2010" w:rsidR="00530589" w:rsidRDefault="00530589" w:rsidP="00530589">
            <w:pPr>
              <w:spacing w:line="256" w:lineRule="auto"/>
              <w:jc w:val="center"/>
              <w:rPr>
                <w:rFonts w:asciiTheme="minorHAnsi" w:hAnsiTheme="minorHAnsi" w:cstheme="minorHAnsi"/>
                <w:color w:val="000000"/>
              </w:rPr>
            </w:pPr>
            <w:r w:rsidRPr="00D23A92">
              <w:rPr>
                <w:rFonts w:cs="Calibri"/>
                <w:color w:val="000000"/>
              </w:rPr>
              <w:t>23</w:t>
            </w:r>
          </w:p>
        </w:tc>
        <w:tc>
          <w:tcPr>
            <w:tcW w:w="960" w:type="dxa"/>
            <w:vAlign w:val="center"/>
            <w:hideMark/>
          </w:tcPr>
          <w:p w14:paraId="0A0B9A05" w14:textId="48A403BF" w:rsidR="00530589" w:rsidRDefault="00530589" w:rsidP="00530589">
            <w:pPr>
              <w:spacing w:line="256" w:lineRule="auto"/>
              <w:jc w:val="center"/>
              <w:rPr>
                <w:rFonts w:asciiTheme="minorHAnsi" w:hAnsiTheme="minorHAnsi" w:cstheme="minorHAnsi"/>
                <w:color w:val="000000"/>
              </w:rPr>
            </w:pPr>
            <w:r w:rsidRPr="00D23A92">
              <w:rPr>
                <w:rFonts w:cs="Calibri"/>
                <w:color w:val="000000"/>
              </w:rPr>
              <w:t>18</w:t>
            </w:r>
          </w:p>
        </w:tc>
      </w:tr>
    </w:tbl>
    <w:p w14:paraId="116C4F1E" w14:textId="631F0013" w:rsidR="00530589" w:rsidRPr="00556DF2" w:rsidRDefault="00530589" w:rsidP="00582E06">
      <w:pPr>
        <w:pStyle w:val="rdo0"/>
      </w:pPr>
      <w:r w:rsidRPr="00556DF2">
        <w:t xml:space="preserve">Źródło: opracowanie </w:t>
      </w:r>
      <w:r w:rsidR="007A0C82">
        <w:t>własne</w:t>
      </w:r>
    </w:p>
    <w:p w14:paraId="30A41521" w14:textId="6F1E7017" w:rsidR="00530589" w:rsidRPr="00C81D92" w:rsidRDefault="00530589" w:rsidP="00AA0CAB">
      <w:pPr>
        <w:pStyle w:val="Nagwek5"/>
      </w:pPr>
      <w:r w:rsidRPr="00C81D92">
        <w:t xml:space="preserve">Ocena osiągnięcia celów środowiskowych w odniesieniu do </w:t>
      </w:r>
      <w:r>
        <w:t>aktualnych</w:t>
      </w:r>
      <w:r w:rsidRPr="00C81D92">
        <w:t xml:space="preserve"> jednostek planistycznych w IIaPGW</w:t>
      </w:r>
      <w:r>
        <w:t xml:space="preserve"> </w:t>
      </w:r>
      <w:r w:rsidR="00E647E5">
        <w:t>(</w:t>
      </w:r>
      <w:r>
        <w:t>2022-2027</w:t>
      </w:r>
      <w:r w:rsidRPr="00C81D92">
        <w:t>)</w:t>
      </w:r>
    </w:p>
    <w:p w14:paraId="21CB56A7" w14:textId="2326A787" w:rsidR="00530589" w:rsidRPr="00F210CF" w:rsidRDefault="00530589" w:rsidP="00530589">
      <w:pPr>
        <w:rPr>
          <w:rFonts w:asciiTheme="minorHAnsi" w:hAnsiTheme="minorHAnsi"/>
          <w:color w:val="000000" w:themeColor="text1"/>
        </w:rPr>
      </w:pPr>
      <w:r w:rsidRPr="00F210CF">
        <w:rPr>
          <w:rFonts w:asciiTheme="minorHAnsi" w:hAnsiTheme="minorHAnsi"/>
          <w:color w:val="000000" w:themeColor="text1"/>
        </w:rPr>
        <w:t xml:space="preserve">Cel środowiskowy w odniesieniu do stanu i potencjału ekologicznego oraz stanu chemicznego został wskazany w aPGW dla 99 jcwp LW (94,3%) spośród wszystkich 105 jcwp LW </w:t>
      </w:r>
      <w:r w:rsidR="00474ABF">
        <w:t xml:space="preserve">w obszarze dorzecza </w:t>
      </w:r>
      <w:r w:rsidRPr="00F210CF">
        <w:rPr>
          <w:rFonts w:asciiTheme="minorHAnsi" w:hAnsiTheme="minorHAnsi"/>
          <w:color w:val="000000" w:themeColor="text1"/>
        </w:rPr>
        <w:t>Pregoły. W</w:t>
      </w:r>
      <w:r w:rsidR="00961D0A">
        <w:rPr>
          <w:rFonts w:asciiTheme="minorHAnsi" w:hAnsiTheme="minorHAnsi"/>
          <w:color w:val="000000" w:themeColor="text1"/>
        </w:rPr>
        <w:t> </w:t>
      </w:r>
      <w:r w:rsidRPr="00F210CF">
        <w:rPr>
          <w:rFonts w:asciiTheme="minorHAnsi" w:hAnsiTheme="minorHAnsi"/>
          <w:color w:val="000000" w:themeColor="text1"/>
        </w:rPr>
        <w:t xml:space="preserve">odniesieniu do nowych 6 jcwp LW (5,7%) nie wyznaczono takiego celu środowiskowego. </w:t>
      </w:r>
    </w:p>
    <w:p w14:paraId="10C7F8F9" w14:textId="77777777" w:rsidR="00530589" w:rsidRPr="00F210CF" w:rsidRDefault="00530589" w:rsidP="00530589">
      <w:pPr>
        <w:rPr>
          <w:rFonts w:asciiTheme="minorHAnsi" w:hAnsiTheme="minorHAnsi"/>
        </w:rPr>
      </w:pPr>
      <w:r w:rsidRPr="00F210CF">
        <w:rPr>
          <w:rFonts w:asciiTheme="minorHAnsi" w:hAnsiTheme="minorHAnsi"/>
        </w:rPr>
        <w:t>W zakresie stanu/potencjału ekologicznego wskazany został jako cel:</w:t>
      </w:r>
    </w:p>
    <w:p w14:paraId="62A713B0" w14:textId="77777777" w:rsidR="00530589" w:rsidRPr="00F210CF" w:rsidRDefault="00530589" w:rsidP="00AA3506">
      <w:pPr>
        <w:pStyle w:val="Akapitzlist"/>
        <w:numPr>
          <w:ilvl w:val="0"/>
          <w:numId w:val="77"/>
        </w:numPr>
      </w:pPr>
      <w:r w:rsidRPr="00F210CF">
        <w:t>Bardzo dobry stan ekologiczny dla 3 jcwp (2,9%);</w:t>
      </w:r>
    </w:p>
    <w:p w14:paraId="3EAB3FB9" w14:textId="77777777" w:rsidR="00530589" w:rsidRPr="00F210CF" w:rsidRDefault="00530589" w:rsidP="00AA3506">
      <w:pPr>
        <w:pStyle w:val="Akapitzlist"/>
        <w:numPr>
          <w:ilvl w:val="0"/>
          <w:numId w:val="77"/>
        </w:numPr>
      </w:pPr>
      <w:r w:rsidRPr="00F210CF">
        <w:t>Dobry stan ekologiczny dla 94 jcwp (89,5%);</w:t>
      </w:r>
    </w:p>
    <w:p w14:paraId="4AB86E8E" w14:textId="77777777" w:rsidR="00530589" w:rsidRPr="00F210CF" w:rsidRDefault="00530589" w:rsidP="00AA3506">
      <w:pPr>
        <w:pStyle w:val="Akapitzlist"/>
        <w:numPr>
          <w:ilvl w:val="0"/>
          <w:numId w:val="77"/>
        </w:numPr>
      </w:pPr>
      <w:r w:rsidRPr="00F210CF">
        <w:t>Dobry potencjał ekologiczny dla 1 jcwp (1,0%);</w:t>
      </w:r>
    </w:p>
    <w:p w14:paraId="207608F7" w14:textId="77777777" w:rsidR="00530589" w:rsidRPr="00F210CF" w:rsidRDefault="00530589" w:rsidP="00AA3506">
      <w:pPr>
        <w:pStyle w:val="Akapitzlist"/>
        <w:numPr>
          <w:ilvl w:val="0"/>
          <w:numId w:val="77"/>
        </w:numPr>
      </w:pPr>
      <w:r w:rsidRPr="00F210CF">
        <w:t>Mniej rygorystyczny cel środowiskowy dla 1 jcwp (1,0%).</w:t>
      </w:r>
    </w:p>
    <w:p w14:paraId="7A15958E" w14:textId="155FD15F" w:rsidR="00530589" w:rsidRPr="00F210CF" w:rsidRDefault="00530589" w:rsidP="00530589">
      <w:pPr>
        <w:spacing w:after="0"/>
        <w:rPr>
          <w:rFonts w:asciiTheme="minorHAnsi" w:hAnsiTheme="minorHAnsi"/>
          <w:highlight w:val="yellow"/>
        </w:rPr>
      </w:pPr>
      <w:r w:rsidRPr="00F210CF">
        <w:rPr>
          <w:rFonts w:asciiTheme="minorHAnsi" w:hAnsiTheme="minorHAnsi"/>
        </w:rPr>
        <w:t xml:space="preserve">Dla 10 jcwp (9,5%) spośród wszystkich jezior </w:t>
      </w:r>
      <w:r w:rsidR="00474ABF">
        <w:t xml:space="preserve">w obszarze dorzecza </w:t>
      </w:r>
      <w:r w:rsidRPr="00F210CF">
        <w:rPr>
          <w:rFonts w:asciiTheme="minorHAnsi" w:hAnsiTheme="minorHAnsi"/>
        </w:rPr>
        <w:t xml:space="preserve">Pregoły cel środowiskowy został uszczegółowiony, ze względu na to, że znajdują się one w wykazie jednolitych części wód powierzchniowych przeznaczonych do celów rekreacyjnych, w tym kąpieliskowych. Z kolei dla 91 jcwp (86,7%) celem środowiskowym jest osiągnięcie norm i celów wynikających z przepisów dotyczących obszarów przeznaczonych do ochrony siedlisk lub gatunków, ustanowionych w ustawie o ochronie przyrody, dla których utrzymanie lub poprawa stanu wód jest ważnym czynnikiem w ich ochronie. </w:t>
      </w:r>
    </w:p>
    <w:p w14:paraId="29176199" w14:textId="67E0E8E0" w:rsidR="00530589" w:rsidRPr="00CA246C" w:rsidRDefault="00530589" w:rsidP="00530589">
      <w:pPr>
        <w:spacing w:after="0"/>
        <w:rPr>
          <w:rFonts w:asciiTheme="minorHAnsi" w:hAnsiTheme="minorHAnsi"/>
        </w:rPr>
      </w:pPr>
      <w:r w:rsidRPr="00CA246C">
        <w:rPr>
          <w:rFonts w:asciiTheme="minorHAnsi" w:hAnsiTheme="minorHAnsi"/>
        </w:rPr>
        <w:t xml:space="preserve">Ocena stopnia osiągnięcia celów środowiskowych w zakresie stanu/potencjału ekologicznego z okresu przyjętego do analizy, tj. lat 2016-2021 była dostępna dla 85 jcwp (81,0%) </w:t>
      </w:r>
      <w:r w:rsidR="00474ABF">
        <w:t xml:space="preserve">w obszarze dorzecza </w:t>
      </w:r>
      <w:r w:rsidRPr="00CA246C">
        <w:rPr>
          <w:rFonts w:asciiTheme="minorHAnsi" w:hAnsiTheme="minorHAnsi"/>
        </w:rPr>
        <w:t>Pregoły. W</w:t>
      </w:r>
      <w:r w:rsidR="00961D0A">
        <w:rPr>
          <w:rFonts w:asciiTheme="minorHAnsi" w:hAnsiTheme="minorHAnsi"/>
        </w:rPr>
        <w:t> </w:t>
      </w:r>
      <w:r w:rsidRPr="00CA246C">
        <w:rPr>
          <w:rFonts w:asciiTheme="minorHAnsi" w:hAnsiTheme="minorHAnsi"/>
        </w:rPr>
        <w:t xml:space="preserve">odniesieniu do stanu chemicznego ocena taka była możliwa w przypadku 38 (36,2%), spośród wszystkich 105 jcwp. </w:t>
      </w:r>
    </w:p>
    <w:p w14:paraId="75A66DF8" w14:textId="77777777" w:rsidR="00530589" w:rsidRPr="00CA246C" w:rsidRDefault="00530589" w:rsidP="00530589">
      <w:pPr>
        <w:spacing w:after="0"/>
        <w:rPr>
          <w:rFonts w:asciiTheme="minorHAnsi" w:hAnsiTheme="minorHAnsi"/>
        </w:rPr>
      </w:pPr>
      <w:r w:rsidRPr="00CA246C">
        <w:rPr>
          <w:rFonts w:asciiTheme="minorHAnsi" w:hAnsiTheme="minorHAnsi"/>
        </w:rPr>
        <w:t>W zakresie stanu/potencjału ekologicznego:</w:t>
      </w:r>
    </w:p>
    <w:p w14:paraId="0CD5B9E5" w14:textId="77777777" w:rsidR="00530589" w:rsidRPr="00CA246C" w:rsidRDefault="00530589" w:rsidP="00AA3506">
      <w:pPr>
        <w:pStyle w:val="Akapitzlist"/>
        <w:numPr>
          <w:ilvl w:val="0"/>
          <w:numId w:val="77"/>
        </w:numPr>
      </w:pPr>
      <w:r w:rsidRPr="00CA246C">
        <w:t>w przypadku 17 jcwp (16,2%) osiągnięty został dobry stan/potencjał ekologiczny;</w:t>
      </w:r>
    </w:p>
    <w:p w14:paraId="7E494C8C" w14:textId="77777777" w:rsidR="00530589" w:rsidRDefault="00530589" w:rsidP="00AA3506">
      <w:pPr>
        <w:pStyle w:val="Akapitzlist"/>
        <w:numPr>
          <w:ilvl w:val="0"/>
          <w:numId w:val="77"/>
        </w:numPr>
      </w:pPr>
      <w:r w:rsidRPr="00CA246C">
        <w:t>68 jcwp (64,8%) nie spełniło oczekiwanego stanu ekologicznego</w:t>
      </w:r>
      <w:r>
        <w:t>;</w:t>
      </w:r>
    </w:p>
    <w:p w14:paraId="48248D51" w14:textId="120E1284" w:rsidR="000714F1" w:rsidRPr="008C0B70" w:rsidRDefault="00530589" w:rsidP="00AA3506">
      <w:pPr>
        <w:pStyle w:val="Punkty"/>
        <w:numPr>
          <w:ilvl w:val="0"/>
          <w:numId w:val="77"/>
        </w:numPr>
        <w:autoSpaceDN w:val="0"/>
      </w:pPr>
      <w:r w:rsidRPr="00CF2E38">
        <w:rPr>
          <w:rFonts w:asciiTheme="minorHAnsi" w:hAnsiTheme="minorHAnsi"/>
        </w:rPr>
        <w:t xml:space="preserve">w stosunku do 20 jcwp (19,0% wszystkich jcwp </w:t>
      </w:r>
      <w:r w:rsidR="00474ABF">
        <w:t xml:space="preserve">w obszarze dorzecza </w:t>
      </w:r>
      <w:r w:rsidRPr="00CF2E38">
        <w:rPr>
          <w:rFonts w:asciiTheme="minorHAnsi" w:hAnsiTheme="minorHAnsi"/>
        </w:rPr>
        <w:t xml:space="preserve">Pregoły) spośród 105 ocenianych nie można było dokonać oceny stopnia osiągnięcia celów środowiskowych. W przypadku 6 z nich jako nowych cel ten nie został </w:t>
      </w:r>
      <w:r w:rsidRPr="008C0B70">
        <w:rPr>
          <w:rFonts w:asciiTheme="minorHAnsi" w:hAnsiTheme="minorHAnsi"/>
        </w:rPr>
        <w:t xml:space="preserve">ustanowiony </w:t>
      </w:r>
      <w:r w:rsidR="000714F1" w:rsidRPr="008C0B70">
        <w:t>(wykres 8-</w:t>
      </w:r>
      <w:r w:rsidRPr="008C0B70">
        <w:t>4</w:t>
      </w:r>
      <w:r w:rsidR="000714F1" w:rsidRPr="008C0B70">
        <w:t xml:space="preserve">). </w:t>
      </w:r>
    </w:p>
    <w:p w14:paraId="3D4E4494" w14:textId="440C5657" w:rsidR="000714F1" w:rsidRDefault="000531CA" w:rsidP="00530589">
      <w:pPr>
        <w:keepNext/>
        <w:jc w:val="center"/>
      </w:pPr>
      <w:r>
        <w:rPr>
          <w:noProof/>
        </w:rPr>
        <w:drawing>
          <wp:inline distT="0" distB="0" distL="0" distR="0" wp14:anchorId="28591C34" wp14:editId="0EF8CD5D">
            <wp:extent cx="5427345" cy="3120390"/>
            <wp:effectExtent l="0" t="0" r="1905" b="3810"/>
            <wp:docPr id="245" name="Chart 245">
              <a:extLst xmlns:a="http://schemas.openxmlformats.org/drawingml/2006/main">
                <a:ext uri="{FF2B5EF4-FFF2-40B4-BE49-F238E27FC236}">
                  <a16:creationId xmlns:a16="http://schemas.microsoft.com/office/drawing/2014/main" id="{643E0E13-6BED-46FE-B8CB-CA27BFE9B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EA9A7AC" w14:textId="74346150" w:rsidR="000714F1" w:rsidRPr="00246B50" w:rsidRDefault="000714F1" w:rsidP="006802BB">
      <w:pPr>
        <w:pStyle w:val="Wykres"/>
      </w:pPr>
      <w:bookmarkStart w:id="201" w:name="_Toc66311452"/>
      <w:bookmarkStart w:id="202" w:name="_Toc68727106"/>
      <w:r w:rsidRPr="00246B50">
        <w:t xml:space="preserve">Wykres </w:t>
      </w:r>
      <w:fldSimple w:instr=" STYLEREF 1 \s ">
        <w:r w:rsidR="00EF3FD3">
          <w:rPr>
            <w:noProof/>
          </w:rPr>
          <w:t>8</w:t>
        </w:r>
      </w:fldSimple>
      <w:r w:rsidR="00EF3FD3">
        <w:noBreakHyphen/>
      </w:r>
      <w:fldSimple w:instr=" SEQ Wykres \* ARABIC \s 1 ">
        <w:r w:rsidR="00EF3FD3">
          <w:rPr>
            <w:noProof/>
          </w:rPr>
          <w:t>4</w:t>
        </w:r>
      </w:fldSimple>
      <w:r w:rsidRPr="00246B50">
        <w:tab/>
        <w:t xml:space="preserve">Ocena osiągnięcia celów środowiskowych wyznaczonych w aPGW </w:t>
      </w:r>
      <w:bookmarkEnd w:id="201"/>
      <w:r w:rsidR="00546F62">
        <w:t xml:space="preserve">(2016-2021) </w:t>
      </w:r>
      <w:r w:rsidR="00530589" w:rsidRPr="00530589">
        <w:t xml:space="preserve">dla stanu/potencjału ekologicznego w jcwp jeziornych </w:t>
      </w:r>
      <w:r w:rsidR="006B4E84">
        <w:t>na obszarze</w:t>
      </w:r>
      <w:r w:rsidR="00530589" w:rsidRPr="00530589">
        <w:t xml:space="preserve"> dorzecza Pregoły w oparciu o nowy układ jednostek planistycznych</w:t>
      </w:r>
      <w:bookmarkEnd w:id="202"/>
    </w:p>
    <w:p w14:paraId="3752C972" w14:textId="77777777" w:rsidR="007A0C82" w:rsidRDefault="007A0C82" w:rsidP="007A0C82">
      <w:pPr>
        <w:pStyle w:val="rdo0"/>
        <w:rPr>
          <w:rFonts w:eastAsia="Times New Roman"/>
          <w:i w:val="0"/>
          <w:color w:val="000099"/>
          <w:lang w:eastAsia="pl-PL"/>
        </w:rPr>
      </w:pPr>
      <w:r>
        <w:t>Źródło: opracowanie własne na podstawie danych</w:t>
      </w:r>
      <w:r>
        <w:rPr>
          <w:color w:val="000099"/>
        </w:rPr>
        <w:t xml:space="preserve"> GIOŚ</w:t>
      </w:r>
    </w:p>
    <w:p w14:paraId="3E2C1CF6" w14:textId="25F52EDA" w:rsidR="00530589" w:rsidRPr="00505BFF" w:rsidRDefault="00530589" w:rsidP="00530589">
      <w:pPr>
        <w:rPr>
          <w:rFonts w:asciiTheme="minorHAnsi" w:hAnsiTheme="minorHAnsi" w:cstheme="minorHAnsi"/>
        </w:rPr>
      </w:pPr>
      <w:r w:rsidRPr="00505BFF">
        <w:rPr>
          <w:rFonts w:asciiTheme="minorHAnsi" w:hAnsiTheme="minorHAnsi" w:cstheme="minorHAnsi"/>
        </w:rPr>
        <w:t>Zgodnie z oceną aPGW</w:t>
      </w:r>
      <w:r>
        <w:rPr>
          <w:rFonts w:asciiTheme="minorHAnsi" w:hAnsiTheme="minorHAnsi" w:cstheme="minorHAnsi"/>
        </w:rPr>
        <w:t>,</w:t>
      </w:r>
      <w:r w:rsidRPr="00505BFF">
        <w:rPr>
          <w:rFonts w:asciiTheme="minorHAnsi" w:hAnsiTheme="minorHAnsi" w:cstheme="minorHAnsi"/>
        </w:rPr>
        <w:t xml:space="preserve"> </w:t>
      </w:r>
      <w:r>
        <w:rPr>
          <w:rFonts w:asciiTheme="minorHAnsi" w:hAnsiTheme="minorHAnsi" w:cstheme="minorHAnsi"/>
        </w:rPr>
        <w:t>23</w:t>
      </w:r>
      <w:r w:rsidRPr="00505BFF">
        <w:rPr>
          <w:rFonts w:asciiTheme="minorHAnsi" w:hAnsiTheme="minorHAnsi" w:cstheme="minorHAnsi"/>
        </w:rPr>
        <w:t xml:space="preserve"> jcwp </w:t>
      </w:r>
      <w:r>
        <w:rPr>
          <w:rFonts w:asciiTheme="minorHAnsi" w:hAnsiTheme="minorHAnsi" w:cstheme="minorHAnsi"/>
        </w:rPr>
        <w:t>jeziornych zlokalizowanych na</w:t>
      </w:r>
      <w:r w:rsidRPr="00505BFF">
        <w:rPr>
          <w:rFonts w:asciiTheme="minorHAnsi" w:hAnsiTheme="minorHAnsi" w:cstheme="minorHAnsi"/>
        </w:rPr>
        <w:t xml:space="preserve"> obszarze dorzecza </w:t>
      </w:r>
      <w:r>
        <w:rPr>
          <w:rFonts w:asciiTheme="minorHAnsi" w:hAnsiTheme="minorHAnsi" w:cstheme="minorHAnsi"/>
        </w:rPr>
        <w:t>Pregoły</w:t>
      </w:r>
      <w:r w:rsidRPr="00505BFF">
        <w:rPr>
          <w:rFonts w:asciiTheme="minorHAnsi" w:hAnsiTheme="minorHAnsi" w:cstheme="minorHAnsi"/>
        </w:rPr>
        <w:t xml:space="preserve"> </w:t>
      </w:r>
      <w:r>
        <w:rPr>
          <w:rFonts w:asciiTheme="minorHAnsi" w:hAnsiTheme="minorHAnsi" w:cstheme="minorHAnsi"/>
        </w:rPr>
        <w:t>charakteryzowały się</w:t>
      </w:r>
      <w:r w:rsidRPr="00505BFF">
        <w:rPr>
          <w:rFonts w:asciiTheme="minorHAnsi" w:hAnsiTheme="minorHAnsi" w:cstheme="minorHAnsi"/>
        </w:rPr>
        <w:t xml:space="preserve"> dobry</w:t>
      </w:r>
      <w:r>
        <w:rPr>
          <w:rFonts w:asciiTheme="minorHAnsi" w:hAnsiTheme="minorHAnsi" w:cstheme="minorHAnsi"/>
        </w:rPr>
        <w:t>m</w:t>
      </w:r>
      <w:r w:rsidRPr="00505BFF">
        <w:rPr>
          <w:rFonts w:asciiTheme="minorHAnsi" w:hAnsiTheme="minorHAnsi" w:cstheme="minorHAnsi"/>
        </w:rPr>
        <w:t xml:space="preserve"> stan</w:t>
      </w:r>
      <w:r>
        <w:rPr>
          <w:rFonts w:asciiTheme="minorHAnsi" w:hAnsiTheme="minorHAnsi" w:cstheme="minorHAnsi"/>
        </w:rPr>
        <w:t>em</w:t>
      </w:r>
      <w:r w:rsidRPr="00505BFF">
        <w:rPr>
          <w:rFonts w:asciiTheme="minorHAnsi" w:hAnsiTheme="minorHAnsi" w:cstheme="minorHAnsi"/>
        </w:rPr>
        <w:t xml:space="preserve"> chemiczny</w:t>
      </w:r>
      <w:r>
        <w:rPr>
          <w:rFonts w:asciiTheme="minorHAnsi" w:hAnsiTheme="minorHAnsi" w:cstheme="minorHAnsi"/>
        </w:rPr>
        <w:t>m</w:t>
      </w:r>
      <w:r w:rsidRPr="00505BFF">
        <w:rPr>
          <w:rFonts w:asciiTheme="minorHAnsi" w:hAnsiTheme="minorHAnsi" w:cstheme="minorHAnsi"/>
        </w:rPr>
        <w:t xml:space="preserve">. Analiza danych z lat 2016-2021 wskazuje, że </w:t>
      </w:r>
      <w:r>
        <w:rPr>
          <w:rFonts w:asciiTheme="minorHAnsi" w:hAnsiTheme="minorHAnsi" w:cstheme="minorHAnsi"/>
        </w:rPr>
        <w:t>w</w:t>
      </w:r>
      <w:r w:rsidR="00961D0A">
        <w:rPr>
          <w:rFonts w:asciiTheme="minorHAnsi" w:hAnsiTheme="minorHAnsi" w:cstheme="minorHAnsi"/>
        </w:rPr>
        <w:t> </w:t>
      </w:r>
      <w:r>
        <w:rPr>
          <w:rFonts w:asciiTheme="minorHAnsi" w:hAnsiTheme="minorHAnsi" w:cstheme="minorHAnsi"/>
        </w:rPr>
        <w:t xml:space="preserve">przypadku 6 jcwp wykazano utrzymanie stanu dobrego. Natomiast w stosunku do 17 jcwp stwierdzono pogorszenie się stanu chemicznego. Przyczyny nieosiągnięcia celu środowiskowego wyznaczonego w aPGW są związane przede wszystkim z dopływem zanieczyszczeń antropogenicznych, co zostało przedstawione w rozdziale 7 IIaPGW. Ponadto pośrednie przyczyny zostały także wskazane w rozdziale 9 niniejszego opracowania. </w:t>
      </w:r>
    </w:p>
    <w:p w14:paraId="6184A7B1" w14:textId="7FF9AEB2" w:rsidR="000714F1" w:rsidRDefault="00530589" w:rsidP="00530589">
      <w:pPr>
        <w:rPr>
          <w:rFonts w:asciiTheme="minorHAnsi" w:hAnsiTheme="minorHAnsi" w:cstheme="minorHAnsi"/>
        </w:rPr>
      </w:pPr>
      <w:r w:rsidRPr="000223DA">
        <w:rPr>
          <w:rFonts w:asciiTheme="minorHAnsi" w:hAnsiTheme="minorHAnsi" w:cstheme="minorHAnsi"/>
        </w:rPr>
        <w:t xml:space="preserve">Zgodnie z przeprowadzonymi analizami, stopień osiągnięcia celu środowiskowego w zakresie stanu chemicznego </w:t>
      </w:r>
      <w:r>
        <w:rPr>
          <w:rFonts w:asciiTheme="minorHAnsi" w:hAnsiTheme="minorHAnsi" w:cstheme="minorHAnsi"/>
        </w:rPr>
        <w:t xml:space="preserve">w regionie wodnym Łyny i Węgorapy </w:t>
      </w:r>
      <w:r w:rsidRPr="000223DA">
        <w:rPr>
          <w:rFonts w:asciiTheme="minorHAnsi" w:hAnsiTheme="minorHAnsi" w:cstheme="minorHAnsi"/>
        </w:rPr>
        <w:t xml:space="preserve">wyniósł </w:t>
      </w:r>
      <w:r w:rsidRPr="00F40343">
        <w:rPr>
          <w:rFonts w:asciiTheme="minorHAnsi" w:hAnsiTheme="minorHAnsi" w:cstheme="minorHAnsi"/>
        </w:rPr>
        <w:t>poniżej 50%</w:t>
      </w:r>
      <w:r>
        <w:rPr>
          <w:rFonts w:asciiTheme="minorHAnsi" w:hAnsiTheme="minorHAnsi" w:cstheme="minorHAnsi"/>
        </w:rPr>
        <w:t xml:space="preserve"> </w:t>
      </w:r>
      <w:r w:rsidR="000714F1" w:rsidRPr="008C0B70">
        <w:rPr>
          <w:rFonts w:asciiTheme="minorHAnsi" w:hAnsiTheme="minorHAnsi" w:cstheme="minorHAnsi"/>
        </w:rPr>
        <w:t>(wykres 8-</w:t>
      </w:r>
      <w:r w:rsidRPr="008C0B70">
        <w:rPr>
          <w:rFonts w:asciiTheme="minorHAnsi" w:hAnsiTheme="minorHAnsi" w:cstheme="minorHAnsi"/>
        </w:rPr>
        <w:t>5</w:t>
      </w:r>
      <w:r w:rsidR="000714F1" w:rsidRPr="008C0B70">
        <w:rPr>
          <w:rFonts w:asciiTheme="minorHAnsi" w:hAnsiTheme="minorHAnsi" w:cstheme="minorHAnsi"/>
        </w:rPr>
        <w:t>).</w:t>
      </w:r>
      <w:r w:rsidR="000714F1">
        <w:rPr>
          <w:rFonts w:asciiTheme="minorHAnsi" w:hAnsiTheme="minorHAnsi" w:cstheme="minorHAnsi"/>
        </w:rPr>
        <w:t xml:space="preserve"> </w:t>
      </w:r>
    </w:p>
    <w:p w14:paraId="6A5D0963" w14:textId="0813544B" w:rsidR="000714F1" w:rsidRDefault="000531CA" w:rsidP="00530589">
      <w:pPr>
        <w:keepNext/>
        <w:jc w:val="center"/>
      </w:pPr>
      <w:r>
        <w:rPr>
          <w:noProof/>
        </w:rPr>
        <w:drawing>
          <wp:inline distT="0" distB="0" distL="0" distR="0" wp14:anchorId="689565E2" wp14:editId="7FBB7036">
            <wp:extent cx="5221605" cy="3063240"/>
            <wp:effectExtent l="0" t="0" r="17145" b="3810"/>
            <wp:docPr id="246" name="Chart 246">
              <a:extLst xmlns:a="http://schemas.openxmlformats.org/drawingml/2006/main">
                <a:ext uri="{FF2B5EF4-FFF2-40B4-BE49-F238E27FC236}">
                  <a16:creationId xmlns:a16="http://schemas.microsoft.com/office/drawing/2014/main" id="{92A00E6F-5D68-4A72-B2AA-942CA94D1F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E3E1999" w14:textId="13074136" w:rsidR="000714F1" w:rsidRPr="008713EF" w:rsidRDefault="000714F1" w:rsidP="006802BB">
      <w:pPr>
        <w:pStyle w:val="Wykres"/>
      </w:pPr>
      <w:bookmarkStart w:id="203" w:name="_Toc66311453"/>
      <w:bookmarkStart w:id="204" w:name="_Toc68727107"/>
      <w:r w:rsidRPr="008713EF">
        <w:t xml:space="preserve">Wykres </w:t>
      </w:r>
      <w:fldSimple w:instr=" STYLEREF 1 \s ">
        <w:r w:rsidR="00EF3FD3">
          <w:rPr>
            <w:noProof/>
          </w:rPr>
          <w:t>8</w:t>
        </w:r>
      </w:fldSimple>
      <w:r w:rsidR="00EF3FD3">
        <w:noBreakHyphen/>
      </w:r>
      <w:fldSimple w:instr=" SEQ Wykres \* ARABIC \s 1 ">
        <w:r w:rsidR="00EF3FD3">
          <w:rPr>
            <w:noProof/>
          </w:rPr>
          <w:t>5</w:t>
        </w:r>
      </w:fldSimple>
      <w:r w:rsidRPr="008713EF">
        <w:tab/>
        <w:t xml:space="preserve">Ocena osiągnięcia wyznaczonych w aPGW </w:t>
      </w:r>
      <w:r w:rsidR="00546F62">
        <w:t xml:space="preserve">(2016-2021) </w:t>
      </w:r>
      <w:r w:rsidRPr="008713EF">
        <w:t xml:space="preserve">celów środowiskowych w zakresie stanu chemicznego w jcwp jeziornych na obszarze dorzecza </w:t>
      </w:r>
      <w:r w:rsidR="006E766A">
        <w:t>Pregoły</w:t>
      </w:r>
      <w:r w:rsidRPr="008713EF">
        <w:t xml:space="preserve"> w oparciu o nowy układ jednostek planistycznych</w:t>
      </w:r>
      <w:bookmarkEnd w:id="203"/>
      <w:bookmarkEnd w:id="204"/>
    </w:p>
    <w:p w14:paraId="7E06ED82" w14:textId="77777777" w:rsidR="007A0C82" w:rsidRDefault="007A0C82" w:rsidP="007A0C82">
      <w:pPr>
        <w:pStyle w:val="rdo0"/>
        <w:rPr>
          <w:rFonts w:eastAsia="Times New Roman"/>
          <w:i w:val="0"/>
          <w:color w:val="000099"/>
          <w:lang w:eastAsia="pl-PL"/>
        </w:rPr>
      </w:pPr>
      <w:r>
        <w:t>Źródło: opracowanie własne na podstawie danych</w:t>
      </w:r>
      <w:r>
        <w:rPr>
          <w:color w:val="000099"/>
        </w:rPr>
        <w:t xml:space="preserve"> GIOŚ</w:t>
      </w:r>
    </w:p>
    <w:p w14:paraId="6EF4F0EE" w14:textId="49ACBA2A" w:rsidR="000714F1" w:rsidRDefault="006E766A" w:rsidP="000714F1">
      <w:pPr>
        <w:rPr>
          <w:rFonts w:asciiTheme="minorHAnsi" w:hAnsiTheme="minorHAnsi" w:cstheme="minorHAnsi"/>
        </w:rPr>
      </w:pPr>
      <w:r w:rsidRPr="00086215">
        <w:rPr>
          <w:rFonts w:asciiTheme="minorHAnsi" w:hAnsiTheme="minorHAnsi"/>
        </w:rPr>
        <w:t>Połączenie wyników analizy</w:t>
      </w:r>
      <w:r>
        <w:rPr>
          <w:rFonts w:asciiTheme="minorHAnsi" w:hAnsiTheme="minorHAnsi"/>
        </w:rPr>
        <w:t xml:space="preserve"> osiągnięcia</w:t>
      </w:r>
      <w:r w:rsidRPr="00086215">
        <w:rPr>
          <w:rFonts w:asciiTheme="minorHAnsi" w:hAnsiTheme="minorHAnsi"/>
        </w:rPr>
        <w:t xml:space="preserve"> celów środowiskowych przez stan ekologiczny i stan chemiczny w odniesieniu do wszystkich </w:t>
      </w:r>
      <w:r>
        <w:rPr>
          <w:rFonts w:asciiTheme="minorHAnsi" w:hAnsiTheme="minorHAnsi"/>
        </w:rPr>
        <w:t>105</w:t>
      </w:r>
      <w:r w:rsidRPr="00086215">
        <w:rPr>
          <w:rFonts w:asciiTheme="minorHAnsi" w:hAnsiTheme="minorHAnsi"/>
        </w:rPr>
        <w:t xml:space="preserve"> jcwp znajdujących się </w:t>
      </w:r>
      <w:r w:rsidR="00474ABF">
        <w:t xml:space="preserve">w obszarze dorzecza </w:t>
      </w:r>
      <w:r>
        <w:rPr>
          <w:rFonts w:asciiTheme="minorHAnsi" w:hAnsiTheme="minorHAnsi"/>
        </w:rPr>
        <w:t>Pregoły</w:t>
      </w:r>
      <w:r w:rsidRPr="00086215">
        <w:rPr>
          <w:rFonts w:asciiTheme="minorHAnsi" w:hAnsiTheme="minorHAnsi"/>
        </w:rPr>
        <w:t xml:space="preserve"> umożliwiło ocenę stanu </w:t>
      </w:r>
      <w:r w:rsidRPr="008C0B70">
        <w:rPr>
          <w:rFonts w:asciiTheme="minorHAnsi" w:hAnsiTheme="minorHAnsi"/>
        </w:rPr>
        <w:t xml:space="preserve">ogólnego </w:t>
      </w:r>
      <w:r w:rsidR="000714F1" w:rsidRPr="008C0B70">
        <w:rPr>
          <w:rFonts w:asciiTheme="minorHAnsi" w:hAnsiTheme="minorHAnsi" w:cstheme="minorHAnsi"/>
        </w:rPr>
        <w:t>(wykres 8-</w:t>
      </w:r>
      <w:r w:rsidRPr="008C0B70">
        <w:rPr>
          <w:rFonts w:asciiTheme="minorHAnsi" w:hAnsiTheme="minorHAnsi" w:cstheme="minorHAnsi"/>
        </w:rPr>
        <w:t>6</w:t>
      </w:r>
      <w:r w:rsidR="000714F1" w:rsidRPr="008C0B70">
        <w:rPr>
          <w:rFonts w:asciiTheme="minorHAnsi" w:hAnsiTheme="minorHAnsi" w:cstheme="minorHAnsi"/>
        </w:rPr>
        <w:t>):</w:t>
      </w:r>
    </w:p>
    <w:p w14:paraId="4F2DECA6" w14:textId="77777777" w:rsidR="006E766A" w:rsidRPr="00122074" w:rsidRDefault="006E766A" w:rsidP="00122074">
      <w:pPr>
        <w:pStyle w:val="Akapitzlist"/>
      </w:pPr>
      <w:r w:rsidRPr="00122074">
        <w:t>10 jcwp (9,5%) spełniło cel środowiskowy w zakresie wymagań dotyczących zarówno stanu ekologicznego jak i chemicznego, a więc stan wód został w nich określony jako dobry;</w:t>
      </w:r>
    </w:p>
    <w:p w14:paraId="2FDC74DF" w14:textId="77777777" w:rsidR="006E766A" w:rsidRPr="00122074" w:rsidRDefault="006E766A" w:rsidP="00122074">
      <w:pPr>
        <w:pStyle w:val="Akapitzlist"/>
      </w:pPr>
      <w:r w:rsidRPr="00122074">
        <w:t>75 jcwp (71,4%) nie spełniło celów dla stanu ogólnego;</w:t>
      </w:r>
    </w:p>
    <w:p w14:paraId="377C5D50" w14:textId="77777777" w:rsidR="006E766A" w:rsidRPr="00122074" w:rsidRDefault="006E766A" w:rsidP="00122074">
      <w:pPr>
        <w:pStyle w:val="Akapitzlist"/>
      </w:pPr>
      <w:r w:rsidRPr="00122074">
        <w:t>W stosunku do 20 jcwp (19,0%) brak danych uniemożliwił ocenę osiągnięcia celów środowiskowych w zakresie stanu ogólnego.</w:t>
      </w:r>
    </w:p>
    <w:p w14:paraId="3CE04618" w14:textId="75656C0F" w:rsidR="000714F1" w:rsidRDefault="000714F1" w:rsidP="000714F1">
      <w:pPr>
        <w:keepNext/>
        <w:jc w:val="center"/>
      </w:pPr>
      <w:r>
        <w:rPr>
          <w:rFonts w:asciiTheme="minorHAnsi" w:hAnsiTheme="minorHAnsi" w:cstheme="minorHAnsi"/>
          <w:noProof/>
        </w:rPr>
        <w:t xml:space="preserve"> </w:t>
      </w:r>
      <w:r w:rsidR="000531CA">
        <w:rPr>
          <w:noProof/>
        </w:rPr>
        <w:drawing>
          <wp:inline distT="0" distB="0" distL="0" distR="0" wp14:anchorId="4EEF6672" wp14:editId="4D2777F5">
            <wp:extent cx="5424805" cy="3018790"/>
            <wp:effectExtent l="0" t="0" r="4445" b="10160"/>
            <wp:docPr id="247" name="Chart 247">
              <a:extLst xmlns:a="http://schemas.openxmlformats.org/drawingml/2006/main">
                <a:ext uri="{FF2B5EF4-FFF2-40B4-BE49-F238E27FC236}">
                  <a16:creationId xmlns:a16="http://schemas.microsoft.com/office/drawing/2014/main" id="{938ECF0F-13DF-4798-A448-2F0C12E688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EDCDC1" w14:textId="62208F2A" w:rsidR="000714F1" w:rsidRPr="008713EF" w:rsidRDefault="000714F1" w:rsidP="006802BB">
      <w:pPr>
        <w:pStyle w:val="Wykres"/>
      </w:pPr>
      <w:bookmarkStart w:id="205" w:name="_Toc66311454"/>
      <w:bookmarkStart w:id="206" w:name="_Toc68727108"/>
      <w:r w:rsidRPr="008713EF">
        <w:t xml:space="preserve">Wykres </w:t>
      </w:r>
      <w:fldSimple w:instr=" STYLEREF 1 \s ">
        <w:r w:rsidR="00EF3FD3">
          <w:rPr>
            <w:noProof/>
          </w:rPr>
          <w:t>8</w:t>
        </w:r>
      </w:fldSimple>
      <w:r w:rsidR="00EF3FD3">
        <w:noBreakHyphen/>
      </w:r>
      <w:fldSimple w:instr=" SEQ Wykres \* ARABIC \s 1 ">
        <w:r w:rsidR="00EF3FD3">
          <w:rPr>
            <w:noProof/>
          </w:rPr>
          <w:t>6</w:t>
        </w:r>
      </w:fldSimple>
      <w:r w:rsidRPr="008713EF">
        <w:tab/>
        <w:t xml:space="preserve">Ocena osiągnięcia wyznaczonych w aPGW </w:t>
      </w:r>
      <w:r w:rsidR="00546F62">
        <w:t xml:space="preserve">(2016-2021) </w:t>
      </w:r>
      <w:r w:rsidRPr="008713EF">
        <w:t xml:space="preserve">celów środowiskowych w zakresie stanu ogólnego w jcwp </w:t>
      </w:r>
      <w:bookmarkEnd w:id="205"/>
      <w:r w:rsidR="00C42958">
        <w:t>LW</w:t>
      </w:r>
      <w:r w:rsidR="00C42958" w:rsidRPr="008713EF">
        <w:t xml:space="preserve"> </w:t>
      </w:r>
      <w:r w:rsidR="00C4445D">
        <w:t>na</w:t>
      </w:r>
      <w:r w:rsidR="00C4445D" w:rsidRPr="006E766A">
        <w:t xml:space="preserve"> </w:t>
      </w:r>
      <w:r w:rsidR="00425D5D">
        <w:t>obszarze</w:t>
      </w:r>
      <w:r w:rsidR="006E766A" w:rsidRPr="006E766A">
        <w:t xml:space="preserve"> dorzecza Pregoły w oparciu o nowy układ jednostek planistycznych</w:t>
      </w:r>
      <w:bookmarkEnd w:id="206"/>
    </w:p>
    <w:p w14:paraId="6AD27EEC" w14:textId="77777777" w:rsidR="007A0C82" w:rsidRDefault="007A0C82" w:rsidP="007A0C82">
      <w:pPr>
        <w:pStyle w:val="rdo0"/>
        <w:rPr>
          <w:rFonts w:eastAsia="Times New Roman"/>
          <w:i w:val="0"/>
          <w:color w:val="000099"/>
          <w:lang w:eastAsia="pl-PL"/>
        </w:rPr>
      </w:pPr>
      <w:r>
        <w:t>Źródło: opracowanie własne na podstawie danych</w:t>
      </w:r>
      <w:r>
        <w:rPr>
          <w:color w:val="000099"/>
        </w:rPr>
        <w:t xml:space="preserve"> GIOŚ</w:t>
      </w:r>
    </w:p>
    <w:p w14:paraId="1CE082B7" w14:textId="7E31D6B4" w:rsidR="00AD3902" w:rsidRDefault="007E5892" w:rsidP="00AD3902">
      <w:pPr>
        <w:rPr>
          <w:rFonts w:asciiTheme="minorHAnsi" w:hAnsiTheme="minorHAnsi" w:cstheme="minorHAnsi"/>
        </w:rPr>
      </w:pPr>
      <w:r>
        <w:rPr>
          <w:rFonts w:asciiTheme="minorHAnsi" w:hAnsiTheme="minorHAnsi" w:cstheme="minorHAnsi"/>
          <w:iCs/>
        </w:rPr>
        <w:t>I</w:t>
      </w:r>
      <w:r w:rsidR="006E766A" w:rsidRPr="00C81D92">
        <w:rPr>
          <w:rFonts w:asciiTheme="minorHAnsi" w:hAnsiTheme="minorHAnsi" w:cstheme="minorHAnsi"/>
          <w:iCs/>
        </w:rPr>
        <w:t>nformacje dotyczące celów środowiskowych ustalonych dla każdej jcwp z ustanowionymi odstępstwami od osiągnięcia celów środowiskowych stanowią element załącznika nr 1 (Zestawienie główne). Załącznik nr 1 przedstawia również uzasadnienia dla wyznaczonych odstępstw z art. 4 RDW.</w:t>
      </w:r>
      <w:r w:rsidR="00AD3902">
        <w:rPr>
          <w:rFonts w:asciiTheme="minorHAnsi" w:hAnsiTheme="minorHAnsi" w:cstheme="minorHAnsi"/>
          <w:iCs/>
        </w:rPr>
        <w:t xml:space="preserve"> </w:t>
      </w:r>
      <w:r w:rsidR="00AD3902">
        <w:rPr>
          <w:rFonts w:asciiTheme="minorHAnsi" w:hAnsiTheme="minorHAnsi" w:cstheme="minorHAnsi"/>
        </w:rPr>
        <w:t xml:space="preserve">Ocenę stopnia </w:t>
      </w:r>
      <w:r w:rsidR="001056F7">
        <w:rPr>
          <w:rFonts w:asciiTheme="minorHAnsi" w:hAnsiTheme="minorHAnsi" w:cstheme="minorHAnsi"/>
        </w:rPr>
        <w:t>osiągnięcia</w:t>
      </w:r>
      <w:r w:rsidR="00AD3902">
        <w:rPr>
          <w:rFonts w:asciiTheme="minorHAnsi" w:hAnsiTheme="minorHAnsi" w:cstheme="minorHAnsi"/>
        </w:rPr>
        <w:t xml:space="preserve"> celów środowiskowych jcwp LW</w:t>
      </w:r>
      <w:r w:rsidR="005B7ABB">
        <w:rPr>
          <w:rFonts w:asciiTheme="minorHAnsi" w:hAnsiTheme="minorHAnsi" w:cstheme="minorHAnsi"/>
        </w:rPr>
        <w:t xml:space="preserve"> </w:t>
      </w:r>
      <w:r w:rsidR="00AD3902">
        <w:rPr>
          <w:rFonts w:asciiTheme="minorHAnsi" w:hAnsiTheme="minorHAnsi" w:cstheme="minorHAnsi"/>
        </w:rPr>
        <w:t>przedstawiono w załączniku nr 5.1.1.</w:t>
      </w:r>
    </w:p>
    <w:p w14:paraId="76DAD9A6" w14:textId="77777777" w:rsidR="000714F1" w:rsidRPr="00532449" w:rsidRDefault="000714F1" w:rsidP="00B50FFD">
      <w:pPr>
        <w:pStyle w:val="Nagwek2"/>
      </w:pPr>
      <w:bookmarkStart w:id="207" w:name="_Toc66305703"/>
      <w:bookmarkStart w:id="208" w:name="_Toc66311175"/>
      <w:bookmarkStart w:id="209" w:name="_Toc68726863"/>
      <w:r w:rsidRPr="00DD3A02">
        <w:t>Cele środowiskowe jcwpd</w:t>
      </w:r>
      <w:bookmarkEnd w:id="207"/>
      <w:bookmarkEnd w:id="208"/>
      <w:bookmarkEnd w:id="209"/>
    </w:p>
    <w:p w14:paraId="44DCAA6B" w14:textId="77777777" w:rsidR="000714F1" w:rsidRDefault="000714F1" w:rsidP="000714F1">
      <w:pPr>
        <w:rPr>
          <w:rFonts w:asciiTheme="minorHAnsi" w:hAnsiTheme="minorHAnsi" w:cstheme="minorHAnsi"/>
          <w:iCs/>
        </w:rPr>
      </w:pPr>
      <w:r>
        <w:rPr>
          <w:rFonts w:asciiTheme="minorHAnsi" w:hAnsiTheme="minorHAnsi" w:cstheme="minorHAnsi"/>
          <w:iCs/>
        </w:rPr>
        <w:t>Zgodnie z art. 59 ustawy pr.w. celem środowiskowym dla jcwpd jest:</w:t>
      </w:r>
    </w:p>
    <w:p w14:paraId="6082A11D" w14:textId="77777777" w:rsidR="000714F1" w:rsidRPr="00CF092E" w:rsidRDefault="000714F1" w:rsidP="007E5892">
      <w:pPr>
        <w:pStyle w:val="Numerowanie"/>
        <w:numPr>
          <w:ilvl w:val="0"/>
          <w:numId w:val="140"/>
        </w:numPr>
      </w:pPr>
      <w:r w:rsidRPr="00CF092E">
        <w:t xml:space="preserve">zapobieganie lub ograniczanie wprowadzania do nich zanieczyszczeń; </w:t>
      </w:r>
    </w:p>
    <w:p w14:paraId="0E6BB200" w14:textId="77777777" w:rsidR="000714F1" w:rsidRPr="00CF092E" w:rsidRDefault="000714F1" w:rsidP="00F06393">
      <w:pPr>
        <w:pStyle w:val="Numerowanie"/>
      </w:pPr>
      <w:r w:rsidRPr="00CF092E">
        <w:t xml:space="preserve">zapobieganie pogorszeniu oraz poprawa ich stanu; </w:t>
      </w:r>
    </w:p>
    <w:p w14:paraId="54986305" w14:textId="77777777" w:rsidR="000714F1" w:rsidRPr="00CF092E" w:rsidRDefault="000714F1" w:rsidP="00F06393">
      <w:pPr>
        <w:pStyle w:val="Numerowanie"/>
      </w:pPr>
      <w:r w:rsidRPr="00CF092E">
        <w:t xml:space="preserve">ich ochrona i podejmowanie działań naprawczych, a także zapewnianie równowagi między poborem a zasilaniem tych wód, tak aby osiągnąć ich dobry stan. </w:t>
      </w:r>
    </w:p>
    <w:p w14:paraId="5D578F87" w14:textId="747AEFB1" w:rsidR="006E766A" w:rsidRPr="00151562" w:rsidRDefault="006E766A" w:rsidP="00F06393">
      <w:pPr>
        <w:pStyle w:val="Numerowanie"/>
        <w:numPr>
          <w:ilvl w:val="0"/>
          <w:numId w:val="0"/>
        </w:numPr>
      </w:pPr>
      <w:r w:rsidRPr="00151562">
        <w:t>Działania służące osiągnięciu ustalonych dla jcwpd celów środowiskowych polegają w szczególności na stopniowym redukowaniu zanieczyszczenia wód podziemnych przez odwracanie znaczących i</w:t>
      </w:r>
      <w:r w:rsidR="00961D0A">
        <w:t> </w:t>
      </w:r>
      <w:r w:rsidRPr="00151562">
        <w:t>utrzymujących się tendencji wzrostowych zanieczyszczenia powstałego w wyniku działalności człowieka.</w:t>
      </w:r>
    </w:p>
    <w:p w14:paraId="032A0796" w14:textId="72760BB0" w:rsidR="006E766A" w:rsidRPr="00151562" w:rsidRDefault="006E766A" w:rsidP="00F06393">
      <w:pPr>
        <w:pStyle w:val="Numerowanie"/>
        <w:numPr>
          <w:ilvl w:val="0"/>
          <w:numId w:val="0"/>
        </w:numPr>
      </w:pPr>
      <w:r w:rsidRPr="00151562">
        <w:t>Podstawowym celem środowiskowym dla jcwpd jest utrzymanie lub osiągnięcie dobrego stanu, definiowanego w art. 2 RDW jako stan osiągnięty przez część wód podziemnych, jeżeli zarówno jej stan ilościowy, jak i chemiczny jest określony jako co najmniej "dobry". Ogólny stan jcwpd określany jest zatem na podstawie oceny stanu ilościowego oraz oceny stanu chemicznego jcwpd, przy czym o</w:t>
      </w:r>
      <w:r w:rsidR="007E5892">
        <w:t> </w:t>
      </w:r>
      <w:r w:rsidRPr="00151562">
        <w:t>ogólnej ocenie stanu decyduje gorszy wynik.</w:t>
      </w:r>
    </w:p>
    <w:p w14:paraId="7E71BB4A" w14:textId="77777777" w:rsidR="006E766A" w:rsidRPr="00151562" w:rsidRDefault="006E766A" w:rsidP="00F06393">
      <w:pPr>
        <w:pStyle w:val="Numerowanie"/>
        <w:numPr>
          <w:ilvl w:val="0"/>
          <w:numId w:val="0"/>
        </w:numPr>
      </w:pPr>
      <w:r w:rsidRPr="00151562">
        <w:t>Ocena stanu jcwpd w rozumieniu RDW i DWP jest kontrolą stanu środowiska wodnego wykonywaną w określonych odstępach czasu. Nastawiona jest głównie na zidentyfikowanie wielkoobszarowych zagrożeń i ich wpływu na środowisko wodne (ocena wpływu) z pominięciem oddziaływań o zasięgu lokalnym, niemających znaczenia w skali całej jcwpd. Metodyka wykonywania oceny stanu jcwpd została przedstawiona w rozdz</w:t>
      </w:r>
      <w:r>
        <w:t>iale</w:t>
      </w:r>
      <w:r w:rsidRPr="00151562">
        <w:t xml:space="preserve"> 5.3.</w:t>
      </w:r>
    </w:p>
    <w:p w14:paraId="6C2AEFC2" w14:textId="77777777" w:rsidR="006E766A" w:rsidRPr="00151562" w:rsidRDefault="006E766A" w:rsidP="00F06393">
      <w:pPr>
        <w:pStyle w:val="Numerowanie"/>
        <w:numPr>
          <w:ilvl w:val="0"/>
          <w:numId w:val="0"/>
        </w:numPr>
      </w:pPr>
      <w:r w:rsidRPr="00151562">
        <w:t>W aPGW na obszarze dorzecza Pregoły wydzielono jcwpd nr 21 oraz część jcwpd nr 20, wydzieloną jako subczęść. Dla tych jcwpd jako cel środowiskowy ustalono dobry stan chemiczny oraz dobry stan ilościowy. Z uwagi na dobry stan chemiczny i ilościowy jcwpd nr 20 i 21 nie przewidziano na lata 2016-2021 odstępstw od osiągnięcia celów środowiskowych.</w:t>
      </w:r>
    </w:p>
    <w:p w14:paraId="16604495" w14:textId="36259AF8" w:rsidR="000714F1" w:rsidRDefault="00845CF4" w:rsidP="00F06393">
      <w:pPr>
        <w:pStyle w:val="Numerowanie"/>
        <w:numPr>
          <w:ilvl w:val="0"/>
          <w:numId w:val="0"/>
        </w:numPr>
      </w:pPr>
      <w:r w:rsidRPr="00151562">
        <w:t>Podstaw</w:t>
      </w:r>
      <w:r>
        <w:t>ą</w:t>
      </w:r>
      <w:r w:rsidRPr="00151562">
        <w:t xml:space="preserve"> </w:t>
      </w:r>
      <w:r w:rsidR="006E766A" w:rsidRPr="00151562">
        <w:t xml:space="preserve">dla określenia </w:t>
      </w:r>
      <w:r w:rsidR="001056F7">
        <w:t>osiągnięcia</w:t>
      </w:r>
      <w:r w:rsidR="001056F7" w:rsidRPr="00151562">
        <w:t xml:space="preserve"> </w:t>
      </w:r>
      <w:r w:rsidR="006E766A" w:rsidRPr="00151562">
        <w:t>celów środowiskowych jest wynik oceny stanu jcwpd. Na lata 2022-2027 obszar polskiej części dorzecza Pregoły został podzielony na dwie jcwpd (o numerach 20 i</w:t>
      </w:r>
      <w:r w:rsidR="00D12013">
        <w:t> </w:t>
      </w:r>
      <w:r w:rsidR="006E766A" w:rsidRPr="00151562">
        <w:t xml:space="preserve">21). Na podstawie oceny stanu jcwpd wykonanej w </w:t>
      </w:r>
      <w:r w:rsidR="006E766A" w:rsidRPr="008C0B70">
        <w:t>2020 r (w oparciu o wyniki monitoringu diagnostycznego z 2019 r.) obydwie jcwpd także uzyskały status dobrego stanu ogólnego. Cel środowiskowy ustalony dla nich na lata 2026-2021 został osiągnięty (</w:t>
      </w:r>
      <w:r w:rsidR="000714F1" w:rsidRPr="008C0B70">
        <w:t>tabeli 8-</w:t>
      </w:r>
      <w:r w:rsidR="006E766A" w:rsidRPr="008C0B70">
        <w:t>7)</w:t>
      </w:r>
      <w:r w:rsidR="000714F1" w:rsidRPr="008C0B70">
        <w:t>.</w:t>
      </w:r>
      <w:r w:rsidR="000714F1">
        <w:t xml:space="preserve"> </w:t>
      </w:r>
    </w:p>
    <w:p w14:paraId="0633D742" w14:textId="1040D5A5" w:rsidR="000714F1" w:rsidRPr="00F45A85" w:rsidRDefault="000714F1" w:rsidP="006802BB">
      <w:pPr>
        <w:pStyle w:val="Tabela"/>
      </w:pPr>
      <w:bookmarkStart w:id="210" w:name="_Toc66311289"/>
      <w:bookmarkStart w:id="211" w:name="_Toc68726994"/>
      <w:r w:rsidRPr="00F45A85">
        <w:t xml:space="preserve">Tabela </w:t>
      </w:r>
      <w:fldSimple w:instr=" STYLEREF 1 \s ">
        <w:r w:rsidR="007B4050">
          <w:rPr>
            <w:noProof/>
          </w:rPr>
          <w:t>8</w:t>
        </w:r>
      </w:fldSimple>
      <w:r w:rsidR="007B4050">
        <w:noBreakHyphen/>
      </w:r>
      <w:fldSimple w:instr=" SEQ Tabela \* ARABIC \s 1 ">
        <w:r w:rsidR="007B4050">
          <w:rPr>
            <w:noProof/>
          </w:rPr>
          <w:t>7</w:t>
        </w:r>
      </w:fldSimple>
      <w:r w:rsidRPr="00F45A85">
        <w:tab/>
      </w:r>
      <w:r w:rsidR="00EC1782">
        <w:t>Osiągnięcie</w:t>
      </w:r>
      <w:r w:rsidRPr="00F45A85">
        <w:t xml:space="preserve"> celów środowiskowych ustalonych na lata 2016-2021 dla obszaru dorzecza </w:t>
      </w:r>
      <w:bookmarkEnd w:id="210"/>
      <w:r w:rsidR="00FA66EA">
        <w:t>Pregoły</w:t>
      </w:r>
      <w:bookmarkEnd w:id="211"/>
    </w:p>
    <w:tbl>
      <w:tblPr>
        <w:tblStyle w:val="Tabela-Siatka"/>
        <w:tblW w:w="9180" w:type="dxa"/>
        <w:tblLayout w:type="fixed"/>
        <w:tblLook w:val="04A0" w:firstRow="1" w:lastRow="0" w:firstColumn="1" w:lastColumn="0" w:noHBand="0" w:noVBand="1"/>
      </w:tblPr>
      <w:tblGrid>
        <w:gridCol w:w="562"/>
        <w:gridCol w:w="1420"/>
        <w:gridCol w:w="1245"/>
        <w:gridCol w:w="1276"/>
        <w:gridCol w:w="1275"/>
        <w:gridCol w:w="1276"/>
        <w:gridCol w:w="1134"/>
        <w:gridCol w:w="992"/>
      </w:tblGrid>
      <w:tr w:rsidR="00FA66EA" w:rsidRPr="00151562" w14:paraId="6C0CE5D2" w14:textId="77777777" w:rsidTr="00D12013">
        <w:trPr>
          <w:trHeight w:val="490"/>
        </w:trPr>
        <w:tc>
          <w:tcPr>
            <w:tcW w:w="562"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295B16F2" w14:textId="41764B88" w:rsidR="00FA66EA" w:rsidRPr="00FA66EA" w:rsidRDefault="00FA66EA" w:rsidP="00FA66EA">
            <w:pPr>
              <w:spacing w:after="0"/>
              <w:jc w:val="center"/>
              <w:rPr>
                <w:rFonts w:asciiTheme="minorHAnsi" w:hAnsiTheme="minorHAnsi" w:cstheme="minorHAnsi"/>
                <w:b/>
                <w:bCs/>
                <w:iCs/>
                <w:sz w:val="20"/>
                <w:szCs w:val="20"/>
              </w:rPr>
            </w:pPr>
            <w:r w:rsidRPr="00FA66EA">
              <w:rPr>
                <w:rFonts w:asciiTheme="minorHAnsi" w:hAnsiTheme="minorHAnsi" w:cstheme="minorHAnsi"/>
                <w:b/>
                <w:bCs/>
                <w:iCs/>
              </w:rPr>
              <w:t>L</w:t>
            </w:r>
            <w:r w:rsidRPr="00FA66EA">
              <w:rPr>
                <w:rFonts w:asciiTheme="minorHAnsi" w:hAnsiTheme="minorHAnsi" w:cstheme="minorHAnsi"/>
                <w:b/>
                <w:bCs/>
                <w:iCs/>
                <w:sz w:val="20"/>
                <w:szCs w:val="20"/>
              </w:rPr>
              <w:t>p.</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268BFD69" w14:textId="77777777" w:rsidR="00FA66EA" w:rsidRPr="00FA66EA" w:rsidRDefault="00FA66EA" w:rsidP="00FA66EA">
            <w:pPr>
              <w:spacing w:after="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Kod jcwpd</w:t>
            </w:r>
          </w:p>
        </w:tc>
        <w:tc>
          <w:tcPr>
            <w:tcW w:w="2521"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63856129"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Cel środowiskowy na lata 2016-2021</w:t>
            </w:r>
          </w:p>
        </w:tc>
        <w:tc>
          <w:tcPr>
            <w:tcW w:w="2551"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0EED4EB2"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Odstępstwo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14:paraId="40F0AC40" w14:textId="60B458B2" w:rsidR="00FA66EA" w:rsidRPr="00FA66EA" w:rsidRDefault="0062194F" w:rsidP="00FA66EA">
            <w:pPr>
              <w:spacing w:after="0"/>
              <w:ind w:firstLine="1"/>
              <w:jc w:val="center"/>
              <w:rPr>
                <w:rFonts w:asciiTheme="minorHAnsi" w:hAnsiTheme="minorHAnsi" w:cstheme="minorHAnsi"/>
                <w:b/>
                <w:bCs/>
                <w:iCs/>
                <w:sz w:val="20"/>
                <w:szCs w:val="20"/>
              </w:rPr>
            </w:pPr>
            <w:r>
              <w:rPr>
                <w:rFonts w:asciiTheme="minorHAnsi" w:hAnsiTheme="minorHAnsi" w:cstheme="minorHAnsi"/>
                <w:b/>
                <w:bCs/>
                <w:iCs/>
                <w:sz w:val="20"/>
                <w:szCs w:val="20"/>
              </w:rPr>
              <w:t>Osi</w:t>
            </w:r>
            <w:r w:rsidR="00122074">
              <w:rPr>
                <w:rFonts w:asciiTheme="minorHAnsi" w:hAnsiTheme="minorHAnsi" w:cstheme="minorHAnsi"/>
                <w:b/>
                <w:bCs/>
                <w:iCs/>
                <w:sz w:val="20"/>
                <w:szCs w:val="20"/>
              </w:rPr>
              <w:t>ą</w:t>
            </w:r>
            <w:r>
              <w:rPr>
                <w:rFonts w:asciiTheme="minorHAnsi" w:hAnsiTheme="minorHAnsi" w:cstheme="minorHAnsi"/>
                <w:b/>
                <w:bCs/>
                <w:iCs/>
                <w:sz w:val="20"/>
                <w:szCs w:val="20"/>
              </w:rPr>
              <w:t>gnięcie</w:t>
            </w:r>
            <w:r w:rsidRPr="00FA66EA">
              <w:rPr>
                <w:rFonts w:asciiTheme="minorHAnsi" w:hAnsiTheme="minorHAnsi" w:cstheme="minorHAnsi"/>
                <w:b/>
                <w:bCs/>
                <w:iCs/>
                <w:sz w:val="20"/>
                <w:szCs w:val="20"/>
              </w:rPr>
              <w:t xml:space="preserve"> </w:t>
            </w:r>
            <w:r w:rsidR="00FA66EA" w:rsidRPr="00FA66EA">
              <w:rPr>
                <w:rFonts w:asciiTheme="minorHAnsi" w:hAnsiTheme="minorHAnsi" w:cstheme="minorHAnsi"/>
                <w:b/>
                <w:bCs/>
                <w:iCs/>
                <w:sz w:val="20"/>
                <w:szCs w:val="20"/>
              </w:rPr>
              <w:t>celu środowiskowego</w:t>
            </w:r>
          </w:p>
        </w:tc>
      </w:tr>
      <w:tr w:rsidR="00FA66EA" w:rsidRPr="00151562" w14:paraId="607E5D9B" w14:textId="77777777" w:rsidTr="00D12013">
        <w:trPr>
          <w:trHeight w:val="490"/>
        </w:trPr>
        <w:tc>
          <w:tcPr>
            <w:tcW w:w="562"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45D98992" w14:textId="77777777" w:rsidR="00FA66EA" w:rsidRPr="00FA66EA" w:rsidRDefault="00FA66EA" w:rsidP="00FA66EA">
            <w:pPr>
              <w:spacing w:after="0"/>
              <w:jc w:val="center"/>
              <w:rPr>
                <w:rFonts w:asciiTheme="minorHAnsi" w:hAnsiTheme="minorHAnsi" w:cstheme="minorHAnsi"/>
                <w:b/>
                <w:bCs/>
                <w:iCs/>
                <w:sz w:val="20"/>
                <w:szCs w:val="20"/>
              </w:rPr>
            </w:pPr>
          </w:p>
        </w:tc>
        <w:tc>
          <w:tcPr>
            <w:tcW w:w="1420"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457F8F9D" w14:textId="77777777" w:rsidR="00FA66EA" w:rsidRPr="00FA66EA" w:rsidRDefault="00FA66EA" w:rsidP="00FA66EA">
            <w:pPr>
              <w:spacing w:after="0"/>
              <w:jc w:val="center"/>
              <w:rPr>
                <w:rFonts w:asciiTheme="minorHAnsi" w:hAnsiTheme="minorHAnsi" w:cstheme="minorHAnsi"/>
                <w:b/>
                <w:bCs/>
                <w:iCs/>
                <w:sz w:val="20"/>
                <w:szCs w:val="20"/>
              </w:rPr>
            </w:pPr>
          </w:p>
        </w:tc>
        <w:tc>
          <w:tcPr>
            <w:tcW w:w="1245"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9B55140"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Stan chemiczny</w:t>
            </w:r>
          </w:p>
        </w:tc>
        <w:tc>
          <w:tcPr>
            <w:tcW w:w="1276"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BFAEE93"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Stan ilościowy</w:t>
            </w:r>
          </w:p>
        </w:tc>
        <w:tc>
          <w:tcPr>
            <w:tcW w:w="1275"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49F4D93"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Typ odstępstwa</w:t>
            </w:r>
          </w:p>
        </w:tc>
        <w:tc>
          <w:tcPr>
            <w:tcW w:w="1276"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1E6FE7E1"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Termin odstępstwa</w:t>
            </w:r>
          </w:p>
        </w:tc>
        <w:tc>
          <w:tcPr>
            <w:tcW w:w="1134"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61F76BC"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Stan chemiczny</w:t>
            </w:r>
          </w:p>
        </w:tc>
        <w:tc>
          <w:tcPr>
            <w:tcW w:w="992"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01AD586" w14:textId="77777777" w:rsidR="00FA66EA" w:rsidRPr="00FA66EA" w:rsidRDefault="00FA66EA" w:rsidP="00FA66EA">
            <w:pPr>
              <w:spacing w:after="0"/>
              <w:ind w:firstLine="1"/>
              <w:jc w:val="center"/>
              <w:rPr>
                <w:rFonts w:asciiTheme="minorHAnsi" w:hAnsiTheme="minorHAnsi" w:cstheme="minorHAnsi"/>
                <w:b/>
                <w:bCs/>
                <w:iCs/>
                <w:sz w:val="20"/>
                <w:szCs w:val="20"/>
              </w:rPr>
            </w:pPr>
            <w:r w:rsidRPr="00FA66EA">
              <w:rPr>
                <w:rFonts w:asciiTheme="minorHAnsi" w:hAnsiTheme="minorHAnsi" w:cstheme="minorHAnsi"/>
                <w:b/>
                <w:bCs/>
                <w:iCs/>
                <w:sz w:val="20"/>
                <w:szCs w:val="20"/>
              </w:rPr>
              <w:t>Stan ilościowy</w:t>
            </w:r>
          </w:p>
        </w:tc>
      </w:tr>
      <w:tr w:rsidR="00FA66EA" w:rsidRPr="00151562" w14:paraId="46FAEA18" w14:textId="77777777" w:rsidTr="00D12013">
        <w:tc>
          <w:tcPr>
            <w:tcW w:w="562" w:type="dxa"/>
            <w:tcBorders>
              <w:top w:val="single" w:sz="4" w:space="0" w:color="auto"/>
              <w:left w:val="single" w:sz="4" w:space="0" w:color="auto"/>
              <w:bottom w:val="single" w:sz="4" w:space="0" w:color="auto"/>
              <w:right w:val="single" w:sz="4" w:space="0" w:color="auto"/>
            </w:tcBorders>
            <w:vAlign w:val="center"/>
            <w:hideMark/>
          </w:tcPr>
          <w:p w14:paraId="6AD9DAAC" w14:textId="6BA0C842" w:rsidR="00FA66EA" w:rsidRPr="00FD3CF2" w:rsidRDefault="00FA66EA" w:rsidP="00FA66EA">
            <w:pPr>
              <w:spacing w:after="0"/>
              <w:jc w:val="center"/>
              <w:rPr>
                <w:rFonts w:asciiTheme="minorHAnsi" w:hAnsiTheme="minorHAnsi" w:cstheme="minorHAnsi"/>
                <w:iCs/>
                <w:sz w:val="20"/>
                <w:szCs w:val="20"/>
              </w:rPr>
            </w:pPr>
            <w:r>
              <w:rPr>
                <w:rFonts w:asciiTheme="minorHAnsi" w:hAnsiTheme="minorHAnsi" w:cstheme="minorHAnsi"/>
                <w:iCs/>
              </w:rPr>
              <w:t>1</w:t>
            </w:r>
            <w:r w:rsidR="00E32C8A">
              <w:rPr>
                <w:rFonts w:asciiTheme="minorHAnsi" w:hAnsiTheme="minorHAnsi" w:cstheme="minorHAnsi"/>
                <w:iCs/>
              </w:rPr>
              <w:t>.</w:t>
            </w:r>
          </w:p>
        </w:tc>
        <w:tc>
          <w:tcPr>
            <w:tcW w:w="1420" w:type="dxa"/>
            <w:tcBorders>
              <w:top w:val="single" w:sz="4" w:space="0" w:color="auto"/>
              <w:left w:val="single" w:sz="4" w:space="0" w:color="auto"/>
              <w:bottom w:val="single" w:sz="4" w:space="0" w:color="auto"/>
              <w:right w:val="single" w:sz="4" w:space="0" w:color="auto"/>
            </w:tcBorders>
            <w:vAlign w:val="center"/>
            <w:hideMark/>
          </w:tcPr>
          <w:p w14:paraId="42A6F0BF"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sz w:val="20"/>
                <w:szCs w:val="20"/>
              </w:rPr>
              <w:t>PLGW700020</w:t>
            </w:r>
          </w:p>
        </w:tc>
        <w:tc>
          <w:tcPr>
            <w:tcW w:w="1245" w:type="dxa"/>
            <w:tcBorders>
              <w:top w:val="single" w:sz="4" w:space="0" w:color="auto"/>
              <w:left w:val="single" w:sz="4" w:space="0" w:color="auto"/>
              <w:bottom w:val="single" w:sz="4" w:space="0" w:color="auto"/>
              <w:right w:val="single" w:sz="4" w:space="0" w:color="auto"/>
            </w:tcBorders>
            <w:vAlign w:val="center"/>
            <w:hideMark/>
          </w:tcPr>
          <w:p w14:paraId="196E9765" w14:textId="77777777" w:rsidR="00FA66EA" w:rsidRPr="00FD3CF2" w:rsidRDefault="00FA66EA" w:rsidP="00FA66EA">
            <w:pPr>
              <w:spacing w:after="0"/>
              <w:ind w:firstLine="1"/>
              <w:jc w:val="center"/>
              <w:rPr>
                <w:rFonts w:asciiTheme="minorHAnsi" w:hAnsiTheme="minorHAnsi" w:cstheme="minorHAnsi"/>
                <w:iCs/>
                <w:sz w:val="20"/>
                <w:szCs w:val="20"/>
              </w:rPr>
            </w:pPr>
            <w:r w:rsidRPr="00FD3CF2">
              <w:rPr>
                <w:rFonts w:asciiTheme="minorHAnsi" w:hAnsiTheme="minorHAnsi" w:cstheme="minorHAnsi"/>
                <w:color w:val="000000"/>
                <w:sz w:val="20"/>
                <w:szCs w:val="20"/>
              </w:rPr>
              <w:t>dobry stan chemiczny</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B2C686" w14:textId="77777777" w:rsidR="00FA66EA" w:rsidRPr="00FD3CF2" w:rsidRDefault="00FA66EA" w:rsidP="00FA66EA">
            <w:pPr>
              <w:spacing w:after="0"/>
              <w:ind w:firstLine="1"/>
              <w:jc w:val="center"/>
              <w:rPr>
                <w:rFonts w:asciiTheme="minorHAnsi" w:hAnsiTheme="minorHAnsi" w:cstheme="minorHAnsi"/>
                <w:iCs/>
                <w:sz w:val="20"/>
                <w:szCs w:val="20"/>
              </w:rPr>
            </w:pPr>
            <w:r w:rsidRPr="00FD3CF2">
              <w:rPr>
                <w:rFonts w:asciiTheme="minorHAnsi" w:hAnsiTheme="minorHAnsi" w:cstheme="minorHAnsi"/>
                <w:color w:val="000000"/>
                <w:sz w:val="20"/>
                <w:szCs w:val="20"/>
              </w:rPr>
              <w:t>dobry stan ilościowy</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F76CB6F"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color w:val="000000"/>
                <w:sz w:val="20"/>
                <w:szCs w:val="20"/>
              </w:rPr>
              <w:t>brak</w:t>
            </w:r>
          </w:p>
        </w:tc>
        <w:tc>
          <w:tcPr>
            <w:tcW w:w="1276" w:type="dxa"/>
            <w:tcBorders>
              <w:top w:val="single" w:sz="4" w:space="0" w:color="auto"/>
              <w:left w:val="single" w:sz="4" w:space="0" w:color="auto"/>
              <w:bottom w:val="single" w:sz="4" w:space="0" w:color="auto"/>
              <w:right w:val="single" w:sz="4" w:space="0" w:color="auto"/>
            </w:tcBorders>
            <w:vAlign w:val="center"/>
          </w:tcPr>
          <w:p w14:paraId="6B674979"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nie dotyczy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7A933A"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tak</w:t>
            </w:r>
          </w:p>
        </w:tc>
        <w:tc>
          <w:tcPr>
            <w:tcW w:w="992" w:type="dxa"/>
            <w:tcBorders>
              <w:top w:val="single" w:sz="4" w:space="0" w:color="auto"/>
              <w:left w:val="single" w:sz="4" w:space="0" w:color="auto"/>
              <w:bottom w:val="single" w:sz="4" w:space="0" w:color="auto"/>
              <w:right w:val="single" w:sz="4" w:space="0" w:color="auto"/>
            </w:tcBorders>
            <w:vAlign w:val="center"/>
            <w:hideMark/>
          </w:tcPr>
          <w:p w14:paraId="1D6F040B"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tak</w:t>
            </w:r>
          </w:p>
        </w:tc>
      </w:tr>
      <w:tr w:rsidR="00FA66EA" w:rsidRPr="00151562" w14:paraId="334F242E" w14:textId="77777777" w:rsidTr="00D12013">
        <w:tc>
          <w:tcPr>
            <w:tcW w:w="562" w:type="dxa"/>
            <w:tcBorders>
              <w:top w:val="single" w:sz="4" w:space="0" w:color="auto"/>
              <w:left w:val="single" w:sz="4" w:space="0" w:color="auto"/>
              <w:bottom w:val="single" w:sz="4" w:space="0" w:color="auto"/>
              <w:right w:val="single" w:sz="4" w:space="0" w:color="auto"/>
            </w:tcBorders>
            <w:vAlign w:val="center"/>
            <w:hideMark/>
          </w:tcPr>
          <w:p w14:paraId="22F37B3A" w14:textId="122F7E2C" w:rsidR="00FA66EA" w:rsidRPr="00FD3CF2" w:rsidRDefault="00FA66EA" w:rsidP="00FA66EA">
            <w:pPr>
              <w:spacing w:after="0"/>
              <w:jc w:val="center"/>
              <w:rPr>
                <w:rFonts w:asciiTheme="minorHAnsi" w:hAnsiTheme="minorHAnsi" w:cstheme="minorHAnsi"/>
                <w:iCs/>
                <w:sz w:val="20"/>
                <w:szCs w:val="20"/>
              </w:rPr>
            </w:pPr>
            <w:r>
              <w:rPr>
                <w:rFonts w:asciiTheme="minorHAnsi" w:hAnsiTheme="minorHAnsi" w:cstheme="minorHAnsi"/>
                <w:iCs/>
              </w:rPr>
              <w:t>2</w:t>
            </w:r>
            <w:r w:rsidR="00E32C8A">
              <w:rPr>
                <w:rFonts w:asciiTheme="minorHAnsi" w:hAnsiTheme="minorHAnsi" w:cstheme="minorHAnsi"/>
                <w:iCs/>
              </w:rPr>
              <w:t>.</w:t>
            </w:r>
          </w:p>
        </w:tc>
        <w:tc>
          <w:tcPr>
            <w:tcW w:w="1420" w:type="dxa"/>
            <w:tcBorders>
              <w:top w:val="single" w:sz="4" w:space="0" w:color="auto"/>
              <w:left w:val="single" w:sz="4" w:space="0" w:color="auto"/>
              <w:bottom w:val="single" w:sz="4" w:space="0" w:color="auto"/>
              <w:right w:val="single" w:sz="4" w:space="0" w:color="auto"/>
            </w:tcBorders>
            <w:vAlign w:val="center"/>
            <w:hideMark/>
          </w:tcPr>
          <w:p w14:paraId="71CB381C"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sz w:val="20"/>
                <w:szCs w:val="20"/>
              </w:rPr>
              <w:t>PLGW700021</w:t>
            </w:r>
          </w:p>
        </w:tc>
        <w:tc>
          <w:tcPr>
            <w:tcW w:w="1245" w:type="dxa"/>
            <w:tcBorders>
              <w:top w:val="single" w:sz="4" w:space="0" w:color="auto"/>
              <w:left w:val="single" w:sz="4" w:space="0" w:color="auto"/>
              <w:bottom w:val="single" w:sz="4" w:space="0" w:color="auto"/>
              <w:right w:val="single" w:sz="4" w:space="0" w:color="auto"/>
            </w:tcBorders>
            <w:vAlign w:val="center"/>
          </w:tcPr>
          <w:p w14:paraId="1C34746C" w14:textId="77777777" w:rsidR="00FA66EA" w:rsidRPr="00FD3CF2" w:rsidRDefault="00FA66EA" w:rsidP="00FA66EA">
            <w:pPr>
              <w:spacing w:after="0"/>
              <w:ind w:firstLine="1"/>
              <w:jc w:val="center"/>
              <w:rPr>
                <w:rFonts w:asciiTheme="minorHAnsi" w:hAnsiTheme="minorHAnsi" w:cstheme="minorHAnsi"/>
                <w:color w:val="000000"/>
                <w:sz w:val="20"/>
                <w:szCs w:val="20"/>
              </w:rPr>
            </w:pPr>
            <w:r w:rsidRPr="00FD3CF2">
              <w:rPr>
                <w:rFonts w:asciiTheme="minorHAnsi" w:hAnsiTheme="minorHAnsi" w:cstheme="minorHAnsi"/>
                <w:color w:val="000000"/>
                <w:sz w:val="20"/>
                <w:szCs w:val="20"/>
              </w:rPr>
              <w:t>dobry stan chemiczny</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631C97" w14:textId="77777777" w:rsidR="00FA66EA" w:rsidRPr="00FD3CF2" w:rsidRDefault="00FA66EA" w:rsidP="00FA66EA">
            <w:pPr>
              <w:spacing w:after="0"/>
              <w:ind w:firstLine="1"/>
              <w:jc w:val="center"/>
              <w:rPr>
                <w:rFonts w:asciiTheme="minorHAnsi" w:hAnsiTheme="minorHAnsi" w:cstheme="minorHAnsi"/>
                <w:color w:val="000000"/>
                <w:sz w:val="20"/>
                <w:szCs w:val="20"/>
              </w:rPr>
            </w:pPr>
            <w:r w:rsidRPr="00FD3CF2">
              <w:rPr>
                <w:rFonts w:asciiTheme="minorHAnsi" w:hAnsiTheme="minorHAnsi" w:cstheme="minorHAnsi"/>
                <w:color w:val="000000"/>
                <w:sz w:val="20"/>
                <w:szCs w:val="20"/>
              </w:rPr>
              <w:t>dobry stan ilościowy</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C4CA007" w14:textId="77777777" w:rsidR="00FA66EA" w:rsidRPr="00FD3CF2" w:rsidRDefault="00FA66EA" w:rsidP="00FA66EA">
            <w:pPr>
              <w:spacing w:after="0"/>
              <w:jc w:val="center"/>
              <w:rPr>
                <w:rFonts w:asciiTheme="minorHAnsi" w:hAnsiTheme="minorHAnsi" w:cstheme="minorHAnsi"/>
                <w:color w:val="000000"/>
                <w:sz w:val="20"/>
                <w:szCs w:val="20"/>
              </w:rPr>
            </w:pPr>
            <w:r w:rsidRPr="00FD3CF2">
              <w:rPr>
                <w:rFonts w:asciiTheme="minorHAnsi" w:hAnsiTheme="minorHAnsi" w:cstheme="minorHAnsi"/>
                <w:color w:val="000000"/>
                <w:sz w:val="20"/>
                <w:szCs w:val="20"/>
              </w:rPr>
              <w:t>brak</w:t>
            </w:r>
          </w:p>
        </w:tc>
        <w:tc>
          <w:tcPr>
            <w:tcW w:w="1276" w:type="dxa"/>
            <w:tcBorders>
              <w:top w:val="single" w:sz="4" w:space="0" w:color="auto"/>
              <w:left w:val="single" w:sz="4" w:space="0" w:color="auto"/>
              <w:bottom w:val="single" w:sz="4" w:space="0" w:color="auto"/>
              <w:right w:val="single" w:sz="4" w:space="0" w:color="auto"/>
            </w:tcBorders>
            <w:vAlign w:val="center"/>
          </w:tcPr>
          <w:p w14:paraId="12A3F7D9"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nie dotyczy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68085D"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tak</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15AB08" w14:textId="77777777" w:rsidR="00FA66EA" w:rsidRPr="00FD3CF2" w:rsidRDefault="00FA66EA" w:rsidP="00FA66EA">
            <w:pPr>
              <w:spacing w:after="0"/>
              <w:jc w:val="center"/>
              <w:rPr>
                <w:rFonts w:asciiTheme="minorHAnsi" w:hAnsiTheme="minorHAnsi" w:cstheme="minorHAnsi"/>
                <w:iCs/>
                <w:sz w:val="20"/>
                <w:szCs w:val="20"/>
              </w:rPr>
            </w:pPr>
            <w:r w:rsidRPr="00FD3CF2">
              <w:rPr>
                <w:rFonts w:asciiTheme="minorHAnsi" w:hAnsiTheme="minorHAnsi" w:cstheme="minorHAnsi"/>
                <w:iCs/>
                <w:sz w:val="20"/>
                <w:szCs w:val="20"/>
              </w:rPr>
              <w:t>tak</w:t>
            </w:r>
          </w:p>
        </w:tc>
      </w:tr>
    </w:tbl>
    <w:p w14:paraId="44A55C26" w14:textId="10801F84" w:rsidR="000714F1" w:rsidRDefault="000714F1" w:rsidP="000714F1">
      <w:pPr>
        <w:pStyle w:val="rdo0"/>
        <w:rPr>
          <w:i w:val="0"/>
          <w:color w:val="000099"/>
        </w:rPr>
      </w:pPr>
      <w:r>
        <w:t xml:space="preserve">Źródło: opracowanie </w:t>
      </w:r>
      <w:r w:rsidR="007A0C82">
        <w:t>w</w:t>
      </w:r>
      <w:r w:rsidR="00122074">
        <w:t>ł</w:t>
      </w:r>
      <w:r w:rsidR="007A0C82">
        <w:t>asne</w:t>
      </w:r>
    </w:p>
    <w:p w14:paraId="16CD0043" w14:textId="5E10D17E" w:rsidR="00E32C8A" w:rsidRDefault="00FA66EA" w:rsidP="000714F1">
      <w:pPr>
        <w:rPr>
          <w:rFonts w:asciiTheme="minorHAnsi" w:hAnsiTheme="minorHAnsi" w:cstheme="minorHAnsi"/>
        </w:rPr>
      </w:pPr>
      <w:r w:rsidRPr="00FA66EA">
        <w:rPr>
          <w:rFonts w:asciiTheme="minorHAnsi" w:hAnsiTheme="minorHAnsi" w:cstheme="minorHAnsi"/>
          <w:iCs/>
        </w:rPr>
        <w:t>Biorąc pod uwagę wynik aktualnej oceny stanu jcwpd, zgodnie z przyjętą metodyką, dla jcwpd nr 20 i</w:t>
      </w:r>
      <w:r w:rsidR="00D12013">
        <w:rPr>
          <w:rFonts w:asciiTheme="minorHAnsi" w:hAnsiTheme="minorHAnsi" w:cstheme="minorHAnsi"/>
          <w:iCs/>
        </w:rPr>
        <w:t> </w:t>
      </w:r>
      <w:r w:rsidRPr="00FA66EA">
        <w:rPr>
          <w:rFonts w:asciiTheme="minorHAnsi" w:hAnsiTheme="minorHAnsi" w:cstheme="minorHAnsi"/>
          <w:iCs/>
        </w:rPr>
        <w:t xml:space="preserve">21 ustalono cel środowiskowy: </w:t>
      </w:r>
      <w:r w:rsidR="00D06F5B" w:rsidRPr="00FA66EA">
        <w:rPr>
          <w:rFonts w:asciiTheme="minorHAnsi" w:hAnsiTheme="minorHAnsi" w:cstheme="minorHAnsi"/>
          <w:iCs/>
        </w:rPr>
        <w:t>dobr</w:t>
      </w:r>
      <w:r w:rsidR="00D06F5B">
        <w:rPr>
          <w:rFonts w:asciiTheme="minorHAnsi" w:hAnsiTheme="minorHAnsi" w:cstheme="minorHAnsi"/>
          <w:iCs/>
        </w:rPr>
        <w:t>y</w:t>
      </w:r>
      <w:r w:rsidR="00D06F5B" w:rsidRPr="00FA66EA">
        <w:rPr>
          <w:rFonts w:asciiTheme="minorHAnsi" w:hAnsiTheme="minorHAnsi" w:cstheme="minorHAnsi"/>
          <w:iCs/>
        </w:rPr>
        <w:t xml:space="preserve"> </w:t>
      </w:r>
      <w:r w:rsidRPr="00FA66EA">
        <w:rPr>
          <w:rFonts w:asciiTheme="minorHAnsi" w:hAnsiTheme="minorHAnsi" w:cstheme="minorHAnsi"/>
          <w:iCs/>
        </w:rPr>
        <w:t xml:space="preserve">stanu </w:t>
      </w:r>
      <w:r w:rsidR="00D06F5B" w:rsidRPr="00FA66EA">
        <w:rPr>
          <w:rFonts w:asciiTheme="minorHAnsi" w:hAnsiTheme="minorHAnsi" w:cstheme="minorHAnsi"/>
          <w:iCs/>
        </w:rPr>
        <w:t>chemiczn</w:t>
      </w:r>
      <w:r w:rsidR="00D06F5B">
        <w:rPr>
          <w:rFonts w:asciiTheme="minorHAnsi" w:hAnsiTheme="minorHAnsi" w:cstheme="minorHAnsi"/>
          <w:iCs/>
        </w:rPr>
        <w:t>y</w:t>
      </w:r>
      <w:r w:rsidR="00D06F5B" w:rsidRPr="00FA66EA">
        <w:rPr>
          <w:rFonts w:asciiTheme="minorHAnsi" w:hAnsiTheme="minorHAnsi" w:cstheme="minorHAnsi"/>
          <w:iCs/>
        </w:rPr>
        <w:t xml:space="preserve"> </w:t>
      </w:r>
      <w:r w:rsidRPr="00FA66EA">
        <w:rPr>
          <w:rFonts w:asciiTheme="minorHAnsi" w:hAnsiTheme="minorHAnsi" w:cstheme="minorHAnsi"/>
          <w:iCs/>
        </w:rPr>
        <w:t xml:space="preserve">i </w:t>
      </w:r>
      <w:r w:rsidR="00D06F5B" w:rsidRPr="008C0B70">
        <w:rPr>
          <w:rFonts w:asciiTheme="minorHAnsi" w:hAnsiTheme="minorHAnsi" w:cstheme="minorHAnsi"/>
          <w:iCs/>
        </w:rPr>
        <w:t>ilościow</w:t>
      </w:r>
      <w:r w:rsidR="00D06F5B">
        <w:rPr>
          <w:rFonts w:asciiTheme="minorHAnsi" w:hAnsiTheme="minorHAnsi" w:cstheme="minorHAnsi"/>
          <w:iCs/>
        </w:rPr>
        <w:t>y</w:t>
      </w:r>
      <w:r w:rsidR="00D06F5B" w:rsidRPr="008C0B70">
        <w:rPr>
          <w:rFonts w:asciiTheme="minorHAnsi" w:hAnsiTheme="minorHAnsi" w:cstheme="minorHAnsi"/>
          <w:iCs/>
        </w:rPr>
        <w:t xml:space="preserve"> </w:t>
      </w:r>
      <w:r w:rsidRPr="008C0B70">
        <w:rPr>
          <w:rFonts w:asciiTheme="minorHAnsi" w:hAnsiTheme="minorHAnsi" w:cstheme="minorHAnsi"/>
          <w:iCs/>
        </w:rPr>
        <w:t>(</w:t>
      </w:r>
      <w:r w:rsidRPr="008C0B70">
        <w:rPr>
          <w:rFonts w:asciiTheme="minorHAnsi" w:hAnsiTheme="minorHAnsi" w:cstheme="minorHAnsi"/>
        </w:rPr>
        <w:t>t</w:t>
      </w:r>
      <w:r w:rsidR="000714F1" w:rsidRPr="008C0B70">
        <w:rPr>
          <w:rFonts w:asciiTheme="minorHAnsi" w:hAnsiTheme="minorHAnsi" w:cstheme="minorHAnsi"/>
        </w:rPr>
        <w:t>abel</w:t>
      </w:r>
      <w:r w:rsidRPr="008C0B70">
        <w:rPr>
          <w:rFonts w:asciiTheme="minorHAnsi" w:hAnsiTheme="minorHAnsi" w:cstheme="minorHAnsi"/>
        </w:rPr>
        <w:t>a</w:t>
      </w:r>
      <w:r w:rsidR="000714F1" w:rsidRPr="008C0B70">
        <w:rPr>
          <w:rFonts w:asciiTheme="minorHAnsi" w:hAnsiTheme="minorHAnsi" w:cstheme="minorHAnsi"/>
        </w:rPr>
        <w:t xml:space="preserve"> 8-</w:t>
      </w:r>
      <w:r w:rsidRPr="008C0B70">
        <w:rPr>
          <w:rFonts w:asciiTheme="minorHAnsi" w:hAnsiTheme="minorHAnsi" w:cstheme="minorHAnsi"/>
        </w:rPr>
        <w:t>8)</w:t>
      </w:r>
      <w:r w:rsidR="000714F1" w:rsidRPr="008C0B70">
        <w:rPr>
          <w:rFonts w:asciiTheme="minorHAnsi" w:hAnsiTheme="minorHAnsi" w:cstheme="minorHAnsi"/>
        </w:rPr>
        <w:t>.</w:t>
      </w:r>
      <w:r w:rsidR="000714F1">
        <w:rPr>
          <w:rFonts w:asciiTheme="minorHAnsi" w:hAnsiTheme="minorHAnsi" w:cstheme="minorHAnsi"/>
        </w:rPr>
        <w:t xml:space="preserve"> </w:t>
      </w:r>
    </w:p>
    <w:p w14:paraId="518FD7BD" w14:textId="3C04B65D" w:rsidR="000714F1" w:rsidRPr="00F45A85" w:rsidRDefault="000714F1" w:rsidP="006802BB">
      <w:pPr>
        <w:pStyle w:val="Tabela"/>
      </w:pPr>
      <w:bookmarkStart w:id="212" w:name="_Toc66311290"/>
      <w:bookmarkStart w:id="213" w:name="_Toc68726995"/>
      <w:r w:rsidRPr="00F45A85">
        <w:t xml:space="preserve">Tabela </w:t>
      </w:r>
      <w:fldSimple w:instr=" STYLEREF 1 \s ">
        <w:r w:rsidR="007B4050">
          <w:rPr>
            <w:noProof/>
          </w:rPr>
          <w:t>8</w:t>
        </w:r>
      </w:fldSimple>
      <w:r w:rsidR="007B4050">
        <w:noBreakHyphen/>
      </w:r>
      <w:fldSimple w:instr=" SEQ Tabela \* ARABIC \s 1 ">
        <w:r w:rsidR="007B4050">
          <w:rPr>
            <w:noProof/>
          </w:rPr>
          <w:t>8</w:t>
        </w:r>
      </w:fldSimple>
      <w:r w:rsidRPr="00F45A85">
        <w:tab/>
      </w:r>
      <w:bookmarkEnd w:id="212"/>
      <w:r w:rsidR="00FA66EA" w:rsidRPr="00FA66EA">
        <w:t>Cele środowiskowe dla jcwpd na obszarze dorzecza Pregoły</w:t>
      </w:r>
      <w:bookmarkEnd w:id="213"/>
    </w:p>
    <w:tbl>
      <w:tblPr>
        <w:tblStyle w:val="Tabela-Siatka"/>
        <w:tblW w:w="9227" w:type="dxa"/>
        <w:tblLook w:val="04A0" w:firstRow="1" w:lastRow="0" w:firstColumn="1" w:lastColumn="0" w:noHBand="0" w:noVBand="1"/>
      </w:tblPr>
      <w:tblGrid>
        <w:gridCol w:w="562"/>
        <w:gridCol w:w="1445"/>
        <w:gridCol w:w="1290"/>
        <w:gridCol w:w="1678"/>
        <w:gridCol w:w="1701"/>
        <w:gridCol w:w="2551"/>
      </w:tblGrid>
      <w:tr w:rsidR="00FA66EA" w:rsidRPr="00FA66EA" w14:paraId="4D3B5F29" w14:textId="77777777" w:rsidTr="00D12013">
        <w:tc>
          <w:tcPr>
            <w:tcW w:w="562"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259A715F" w14:textId="77777777" w:rsidR="00FA66EA" w:rsidRPr="00FA66EA" w:rsidRDefault="00FA66EA" w:rsidP="00EF3FD3">
            <w:pPr>
              <w:spacing w:before="40" w:after="4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Lp.</w:t>
            </w:r>
          </w:p>
        </w:tc>
        <w:tc>
          <w:tcPr>
            <w:tcW w:w="1445"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30FC1378" w14:textId="77777777" w:rsidR="00FA66EA" w:rsidRPr="00FA66EA" w:rsidRDefault="00FA66EA" w:rsidP="00EF3FD3">
            <w:pPr>
              <w:spacing w:before="40" w:after="4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Kod jcwpd</w:t>
            </w:r>
          </w:p>
        </w:tc>
        <w:tc>
          <w:tcPr>
            <w:tcW w:w="1290"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5183A0C9" w14:textId="77777777" w:rsidR="00FA66EA" w:rsidRPr="00FA66EA" w:rsidRDefault="00FA66EA" w:rsidP="00EF3FD3">
            <w:pPr>
              <w:spacing w:before="40" w:after="4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Region wodny</w:t>
            </w:r>
          </w:p>
        </w:tc>
        <w:tc>
          <w:tcPr>
            <w:tcW w:w="1678"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1BC0FB8" w14:textId="40963466" w:rsidR="00FA66EA" w:rsidRPr="00FA66EA" w:rsidRDefault="0062194F" w:rsidP="00EF3FD3">
            <w:pPr>
              <w:spacing w:before="40" w:after="40"/>
              <w:jc w:val="center"/>
              <w:rPr>
                <w:rFonts w:asciiTheme="minorHAnsi" w:hAnsiTheme="minorHAnsi" w:cstheme="minorHAnsi"/>
                <w:b/>
                <w:bCs/>
                <w:iCs/>
                <w:sz w:val="20"/>
                <w:szCs w:val="20"/>
              </w:rPr>
            </w:pPr>
            <w:r>
              <w:rPr>
                <w:rFonts w:asciiTheme="minorHAnsi" w:hAnsiTheme="minorHAnsi" w:cstheme="minorHAnsi"/>
                <w:b/>
                <w:bCs/>
                <w:iCs/>
                <w:sz w:val="20"/>
                <w:szCs w:val="20"/>
              </w:rPr>
              <w:t>Osiągnięcie</w:t>
            </w:r>
            <w:r w:rsidR="00FA66EA" w:rsidRPr="00FA66EA">
              <w:rPr>
                <w:rFonts w:asciiTheme="minorHAnsi" w:hAnsiTheme="minorHAnsi" w:cstheme="minorHAnsi"/>
                <w:b/>
                <w:bCs/>
                <w:iCs/>
                <w:sz w:val="20"/>
                <w:szCs w:val="20"/>
              </w:rPr>
              <w:t xml:space="preserve"> celu środowiskowego na lata 2016-2021</w:t>
            </w:r>
          </w:p>
        </w:tc>
        <w:tc>
          <w:tcPr>
            <w:tcW w:w="1701"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66B3D15F" w14:textId="77777777" w:rsidR="00FA66EA" w:rsidRPr="00FA66EA" w:rsidRDefault="00FA66EA" w:rsidP="00EF3FD3">
            <w:pPr>
              <w:spacing w:before="40" w:after="4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 xml:space="preserve">Aktualna ocena stanu jcwpd </w:t>
            </w:r>
            <w:r w:rsidRPr="00FA66EA">
              <w:rPr>
                <w:rFonts w:asciiTheme="minorHAnsi" w:hAnsiTheme="minorHAnsi" w:cstheme="minorHAnsi"/>
                <w:b/>
                <w:bCs/>
                <w:iCs/>
                <w:sz w:val="20"/>
                <w:szCs w:val="20"/>
              </w:rPr>
              <w:br/>
              <w:t>(przyczyna stanu słabego)</w:t>
            </w:r>
          </w:p>
        </w:tc>
        <w:tc>
          <w:tcPr>
            <w:tcW w:w="2551"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1B7406F3" w14:textId="77777777" w:rsidR="00FA66EA" w:rsidRPr="00FA66EA" w:rsidRDefault="00FA66EA" w:rsidP="00EF3FD3">
            <w:pPr>
              <w:spacing w:before="40" w:after="40"/>
              <w:jc w:val="center"/>
              <w:rPr>
                <w:rFonts w:asciiTheme="minorHAnsi" w:hAnsiTheme="minorHAnsi" w:cstheme="minorHAnsi"/>
                <w:b/>
                <w:bCs/>
                <w:iCs/>
                <w:sz w:val="20"/>
                <w:szCs w:val="20"/>
              </w:rPr>
            </w:pPr>
            <w:r w:rsidRPr="00FA66EA">
              <w:rPr>
                <w:rFonts w:asciiTheme="minorHAnsi" w:hAnsiTheme="minorHAnsi" w:cstheme="minorHAnsi"/>
                <w:b/>
                <w:bCs/>
                <w:iCs/>
                <w:sz w:val="20"/>
                <w:szCs w:val="20"/>
              </w:rPr>
              <w:t>Cel środowiskowy na lata 2022-2027</w:t>
            </w:r>
          </w:p>
        </w:tc>
      </w:tr>
      <w:tr w:rsidR="00FA66EA" w:rsidRPr="00FA66EA" w14:paraId="1316BA1B" w14:textId="77777777" w:rsidTr="00EF3FD3">
        <w:tc>
          <w:tcPr>
            <w:tcW w:w="562" w:type="dxa"/>
            <w:tcBorders>
              <w:top w:val="single" w:sz="4" w:space="0" w:color="auto"/>
              <w:left w:val="single" w:sz="4" w:space="0" w:color="auto"/>
              <w:bottom w:val="single" w:sz="4" w:space="0" w:color="auto"/>
              <w:right w:val="single" w:sz="4" w:space="0" w:color="auto"/>
            </w:tcBorders>
            <w:vAlign w:val="center"/>
            <w:hideMark/>
          </w:tcPr>
          <w:p w14:paraId="79BE7B49" w14:textId="43080A91" w:rsidR="00FA66EA" w:rsidRPr="00FA66EA" w:rsidRDefault="00FA66EA" w:rsidP="00EF3FD3">
            <w:pPr>
              <w:spacing w:before="40" w:after="40"/>
              <w:jc w:val="center"/>
              <w:rPr>
                <w:rFonts w:asciiTheme="minorHAnsi" w:hAnsiTheme="minorHAnsi" w:cstheme="minorHAnsi"/>
                <w:iCs/>
                <w:sz w:val="20"/>
                <w:szCs w:val="20"/>
              </w:rPr>
            </w:pPr>
            <w:r>
              <w:rPr>
                <w:rFonts w:asciiTheme="minorHAnsi" w:hAnsiTheme="minorHAnsi" w:cstheme="minorHAnsi"/>
                <w:iCs/>
                <w:sz w:val="20"/>
                <w:szCs w:val="20"/>
              </w:rPr>
              <w:t>1</w:t>
            </w:r>
            <w:r w:rsidR="00E32C8A">
              <w:rPr>
                <w:rFonts w:asciiTheme="minorHAnsi" w:hAnsiTheme="minorHAnsi" w:cstheme="minorHAnsi"/>
                <w:iCs/>
                <w:sz w:val="20"/>
                <w:szCs w:val="20"/>
              </w:rPr>
              <w:t>.</w:t>
            </w:r>
          </w:p>
        </w:tc>
        <w:tc>
          <w:tcPr>
            <w:tcW w:w="1445" w:type="dxa"/>
            <w:tcBorders>
              <w:top w:val="single" w:sz="4" w:space="0" w:color="auto"/>
              <w:left w:val="single" w:sz="4" w:space="0" w:color="auto"/>
              <w:bottom w:val="single" w:sz="4" w:space="0" w:color="auto"/>
              <w:right w:val="single" w:sz="4" w:space="0" w:color="auto"/>
            </w:tcBorders>
            <w:vAlign w:val="center"/>
            <w:hideMark/>
          </w:tcPr>
          <w:p w14:paraId="1B8CA618"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sz w:val="20"/>
                <w:szCs w:val="20"/>
              </w:rPr>
              <w:t>PLGW700020</w:t>
            </w:r>
          </w:p>
        </w:tc>
        <w:tc>
          <w:tcPr>
            <w:tcW w:w="1290" w:type="dxa"/>
            <w:tcBorders>
              <w:top w:val="single" w:sz="4" w:space="0" w:color="auto"/>
              <w:left w:val="single" w:sz="4" w:space="0" w:color="auto"/>
              <w:bottom w:val="single" w:sz="4" w:space="0" w:color="auto"/>
              <w:right w:val="single" w:sz="4" w:space="0" w:color="auto"/>
            </w:tcBorders>
            <w:vAlign w:val="center"/>
            <w:hideMark/>
          </w:tcPr>
          <w:p w14:paraId="7DCCA2E2"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color w:val="000000"/>
                <w:sz w:val="20"/>
                <w:szCs w:val="20"/>
              </w:rPr>
              <w:t>Łyny i Węgorapy</w:t>
            </w:r>
          </w:p>
        </w:tc>
        <w:tc>
          <w:tcPr>
            <w:tcW w:w="1678" w:type="dxa"/>
            <w:tcBorders>
              <w:top w:val="single" w:sz="4" w:space="0" w:color="auto"/>
              <w:left w:val="single" w:sz="4" w:space="0" w:color="auto"/>
              <w:bottom w:val="single" w:sz="4" w:space="0" w:color="auto"/>
              <w:right w:val="single" w:sz="4" w:space="0" w:color="auto"/>
            </w:tcBorders>
            <w:vAlign w:val="center"/>
            <w:hideMark/>
          </w:tcPr>
          <w:p w14:paraId="2E91B2D6"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tak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86839A"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dobry stan ogólny</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17365D8" w14:textId="63F9FF1B"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dobr</w:t>
            </w:r>
            <w:r w:rsidR="00D06F5B">
              <w:rPr>
                <w:rFonts w:asciiTheme="minorHAnsi" w:hAnsiTheme="minorHAnsi" w:cstheme="minorHAnsi"/>
                <w:iCs/>
                <w:sz w:val="20"/>
                <w:szCs w:val="20"/>
              </w:rPr>
              <w:t>y</w:t>
            </w:r>
            <w:r w:rsidRPr="00FA66EA">
              <w:rPr>
                <w:rFonts w:asciiTheme="minorHAnsi" w:hAnsiTheme="minorHAnsi" w:cstheme="minorHAnsi"/>
                <w:iCs/>
                <w:sz w:val="20"/>
                <w:szCs w:val="20"/>
              </w:rPr>
              <w:t xml:space="preserve"> stan chemiczn</w:t>
            </w:r>
            <w:r w:rsidR="00D06F5B">
              <w:rPr>
                <w:rFonts w:asciiTheme="minorHAnsi" w:hAnsiTheme="minorHAnsi" w:cstheme="minorHAnsi"/>
                <w:iCs/>
                <w:sz w:val="20"/>
                <w:szCs w:val="20"/>
              </w:rPr>
              <w:t>y</w:t>
            </w:r>
            <w:r w:rsidRPr="00FA66EA">
              <w:rPr>
                <w:rFonts w:asciiTheme="minorHAnsi" w:hAnsiTheme="minorHAnsi" w:cstheme="minorHAnsi"/>
                <w:iCs/>
                <w:sz w:val="20"/>
                <w:szCs w:val="20"/>
              </w:rPr>
              <w:t xml:space="preserve"> i ilościow</w:t>
            </w:r>
            <w:r w:rsidR="00D06F5B">
              <w:rPr>
                <w:rFonts w:asciiTheme="minorHAnsi" w:hAnsiTheme="minorHAnsi" w:cstheme="minorHAnsi"/>
                <w:iCs/>
                <w:sz w:val="20"/>
                <w:szCs w:val="20"/>
              </w:rPr>
              <w:t>y</w:t>
            </w:r>
          </w:p>
        </w:tc>
      </w:tr>
      <w:tr w:rsidR="00FA66EA" w:rsidRPr="00FA66EA" w14:paraId="079C2EA2" w14:textId="77777777" w:rsidTr="00EF3FD3">
        <w:tc>
          <w:tcPr>
            <w:tcW w:w="562" w:type="dxa"/>
            <w:tcBorders>
              <w:top w:val="single" w:sz="4" w:space="0" w:color="auto"/>
              <w:left w:val="single" w:sz="4" w:space="0" w:color="auto"/>
              <w:bottom w:val="single" w:sz="4" w:space="0" w:color="auto"/>
              <w:right w:val="single" w:sz="4" w:space="0" w:color="auto"/>
            </w:tcBorders>
            <w:vAlign w:val="center"/>
            <w:hideMark/>
          </w:tcPr>
          <w:p w14:paraId="69EE5ED8" w14:textId="268A3970" w:rsidR="00FA66EA" w:rsidRPr="00FA66EA" w:rsidRDefault="00FA66EA" w:rsidP="00EF3FD3">
            <w:pPr>
              <w:spacing w:before="40" w:after="40"/>
              <w:jc w:val="center"/>
              <w:rPr>
                <w:rFonts w:asciiTheme="minorHAnsi" w:hAnsiTheme="minorHAnsi" w:cstheme="minorHAnsi"/>
                <w:iCs/>
                <w:sz w:val="20"/>
                <w:szCs w:val="20"/>
              </w:rPr>
            </w:pPr>
            <w:r>
              <w:rPr>
                <w:rFonts w:asciiTheme="minorHAnsi" w:hAnsiTheme="minorHAnsi" w:cstheme="minorHAnsi"/>
                <w:iCs/>
                <w:sz w:val="20"/>
                <w:szCs w:val="20"/>
              </w:rPr>
              <w:t>2</w:t>
            </w:r>
            <w:r w:rsidR="00E32C8A">
              <w:rPr>
                <w:rFonts w:asciiTheme="minorHAnsi" w:hAnsiTheme="minorHAnsi" w:cstheme="minorHAnsi"/>
                <w:iCs/>
                <w:sz w:val="20"/>
                <w:szCs w:val="20"/>
              </w:rPr>
              <w:t>.</w:t>
            </w:r>
          </w:p>
        </w:tc>
        <w:tc>
          <w:tcPr>
            <w:tcW w:w="1445" w:type="dxa"/>
            <w:tcBorders>
              <w:top w:val="single" w:sz="4" w:space="0" w:color="auto"/>
              <w:left w:val="single" w:sz="4" w:space="0" w:color="auto"/>
              <w:bottom w:val="single" w:sz="4" w:space="0" w:color="auto"/>
              <w:right w:val="single" w:sz="4" w:space="0" w:color="auto"/>
            </w:tcBorders>
            <w:vAlign w:val="center"/>
            <w:hideMark/>
          </w:tcPr>
          <w:p w14:paraId="78B977C8"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sz w:val="20"/>
                <w:szCs w:val="20"/>
              </w:rPr>
              <w:t>PLGW700021</w:t>
            </w:r>
          </w:p>
        </w:tc>
        <w:tc>
          <w:tcPr>
            <w:tcW w:w="1290" w:type="dxa"/>
            <w:tcBorders>
              <w:top w:val="single" w:sz="4" w:space="0" w:color="auto"/>
              <w:left w:val="single" w:sz="4" w:space="0" w:color="auto"/>
              <w:bottom w:val="single" w:sz="4" w:space="0" w:color="auto"/>
              <w:right w:val="single" w:sz="4" w:space="0" w:color="auto"/>
            </w:tcBorders>
            <w:vAlign w:val="center"/>
            <w:hideMark/>
          </w:tcPr>
          <w:p w14:paraId="7E352266" w14:textId="77777777" w:rsidR="00FA66EA" w:rsidRPr="00FA66EA" w:rsidRDefault="00FA66EA" w:rsidP="00EF3FD3">
            <w:pPr>
              <w:spacing w:before="40" w:after="40"/>
              <w:jc w:val="center"/>
              <w:rPr>
                <w:rFonts w:asciiTheme="minorHAnsi" w:hAnsiTheme="minorHAnsi" w:cstheme="minorHAnsi"/>
                <w:color w:val="000000"/>
                <w:sz w:val="20"/>
                <w:szCs w:val="20"/>
              </w:rPr>
            </w:pPr>
            <w:r w:rsidRPr="00FA66EA">
              <w:rPr>
                <w:rFonts w:asciiTheme="minorHAnsi" w:hAnsiTheme="minorHAnsi" w:cstheme="minorHAnsi"/>
                <w:color w:val="000000"/>
                <w:sz w:val="20"/>
                <w:szCs w:val="20"/>
              </w:rPr>
              <w:t>Łyny i Węgorapy</w:t>
            </w:r>
          </w:p>
        </w:tc>
        <w:tc>
          <w:tcPr>
            <w:tcW w:w="1678" w:type="dxa"/>
            <w:tcBorders>
              <w:top w:val="single" w:sz="4" w:space="0" w:color="auto"/>
              <w:left w:val="single" w:sz="4" w:space="0" w:color="auto"/>
              <w:bottom w:val="single" w:sz="4" w:space="0" w:color="auto"/>
              <w:right w:val="single" w:sz="4" w:space="0" w:color="auto"/>
            </w:tcBorders>
            <w:vAlign w:val="center"/>
            <w:hideMark/>
          </w:tcPr>
          <w:p w14:paraId="57758EE0"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tak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3F70FE6" w14:textId="77777777" w:rsidR="00FA66EA" w:rsidRPr="00FA66EA" w:rsidRDefault="00FA66EA"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dobry stan ogólny</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829D34E" w14:textId="1F99D53E" w:rsidR="00FA66EA" w:rsidRPr="00FA66EA" w:rsidRDefault="00D06F5B" w:rsidP="00EF3FD3">
            <w:pPr>
              <w:spacing w:before="40" w:after="40"/>
              <w:jc w:val="center"/>
              <w:rPr>
                <w:rFonts w:asciiTheme="minorHAnsi" w:hAnsiTheme="minorHAnsi" w:cstheme="minorHAnsi"/>
                <w:iCs/>
                <w:sz w:val="20"/>
                <w:szCs w:val="20"/>
              </w:rPr>
            </w:pPr>
            <w:r w:rsidRPr="00FA66EA">
              <w:rPr>
                <w:rFonts w:asciiTheme="minorHAnsi" w:hAnsiTheme="minorHAnsi" w:cstheme="minorHAnsi"/>
                <w:iCs/>
                <w:sz w:val="20"/>
                <w:szCs w:val="20"/>
              </w:rPr>
              <w:t>dobr</w:t>
            </w:r>
            <w:r>
              <w:rPr>
                <w:rFonts w:asciiTheme="minorHAnsi" w:hAnsiTheme="minorHAnsi" w:cstheme="minorHAnsi"/>
                <w:iCs/>
                <w:sz w:val="20"/>
                <w:szCs w:val="20"/>
              </w:rPr>
              <w:t>y</w:t>
            </w:r>
            <w:r w:rsidRPr="00FA66EA">
              <w:rPr>
                <w:rFonts w:asciiTheme="minorHAnsi" w:hAnsiTheme="minorHAnsi" w:cstheme="minorHAnsi"/>
                <w:iCs/>
                <w:sz w:val="20"/>
                <w:szCs w:val="20"/>
              </w:rPr>
              <w:t xml:space="preserve"> </w:t>
            </w:r>
            <w:r w:rsidR="00FA66EA" w:rsidRPr="00FA66EA">
              <w:rPr>
                <w:rFonts w:asciiTheme="minorHAnsi" w:hAnsiTheme="minorHAnsi" w:cstheme="minorHAnsi"/>
                <w:iCs/>
                <w:sz w:val="20"/>
                <w:szCs w:val="20"/>
              </w:rPr>
              <w:t xml:space="preserve">stan </w:t>
            </w:r>
            <w:r w:rsidRPr="00FA66EA">
              <w:rPr>
                <w:rFonts w:asciiTheme="minorHAnsi" w:hAnsiTheme="minorHAnsi" w:cstheme="minorHAnsi"/>
                <w:iCs/>
                <w:sz w:val="20"/>
                <w:szCs w:val="20"/>
              </w:rPr>
              <w:t>chemiczn</w:t>
            </w:r>
            <w:r>
              <w:rPr>
                <w:rFonts w:asciiTheme="minorHAnsi" w:hAnsiTheme="minorHAnsi" w:cstheme="minorHAnsi"/>
                <w:iCs/>
                <w:sz w:val="20"/>
                <w:szCs w:val="20"/>
              </w:rPr>
              <w:t>y</w:t>
            </w:r>
            <w:r w:rsidRPr="00FA66EA">
              <w:rPr>
                <w:rFonts w:asciiTheme="minorHAnsi" w:hAnsiTheme="minorHAnsi" w:cstheme="minorHAnsi"/>
                <w:iCs/>
                <w:sz w:val="20"/>
                <w:szCs w:val="20"/>
              </w:rPr>
              <w:t xml:space="preserve"> </w:t>
            </w:r>
            <w:r w:rsidR="00FA66EA" w:rsidRPr="00FA66EA">
              <w:rPr>
                <w:rFonts w:asciiTheme="minorHAnsi" w:hAnsiTheme="minorHAnsi" w:cstheme="minorHAnsi"/>
                <w:iCs/>
                <w:sz w:val="20"/>
                <w:szCs w:val="20"/>
              </w:rPr>
              <w:t xml:space="preserve">i </w:t>
            </w:r>
            <w:r w:rsidRPr="00FA66EA">
              <w:rPr>
                <w:rFonts w:asciiTheme="minorHAnsi" w:hAnsiTheme="minorHAnsi" w:cstheme="minorHAnsi"/>
                <w:iCs/>
                <w:sz w:val="20"/>
                <w:szCs w:val="20"/>
              </w:rPr>
              <w:t>ilościow</w:t>
            </w:r>
            <w:r>
              <w:rPr>
                <w:rFonts w:asciiTheme="minorHAnsi" w:hAnsiTheme="minorHAnsi" w:cstheme="minorHAnsi"/>
                <w:iCs/>
                <w:sz w:val="20"/>
                <w:szCs w:val="20"/>
              </w:rPr>
              <w:t>y</w:t>
            </w:r>
          </w:p>
        </w:tc>
      </w:tr>
    </w:tbl>
    <w:p w14:paraId="68335C4C" w14:textId="3BEC54E7" w:rsidR="00272025" w:rsidRDefault="00272025" w:rsidP="00272025">
      <w:pPr>
        <w:pStyle w:val="rdo0"/>
        <w:spacing w:before="0" w:after="0"/>
        <w:rPr>
          <w:i w:val="0"/>
          <w:color w:val="000099"/>
        </w:rPr>
      </w:pPr>
      <w:r>
        <w:t xml:space="preserve">Źródło: opracowanie </w:t>
      </w:r>
      <w:r w:rsidR="007A0C82">
        <w:t>własne</w:t>
      </w:r>
    </w:p>
    <w:p w14:paraId="5536B51D" w14:textId="3DBB886F" w:rsidR="000714F1" w:rsidRDefault="00FA66EA" w:rsidP="000714F1">
      <w:r>
        <w:rPr>
          <w:rFonts w:asciiTheme="minorHAnsi" w:hAnsiTheme="minorHAnsi" w:cstheme="minorHAnsi"/>
          <w:iCs/>
        </w:rPr>
        <w:t>Informacje dotyczące celów środowiskowych ustalonych dla każdej jcwpd wraz ze wskazaniem jcwpd z ustanowionymi odstępstwami od osiągnięcia celów środowiskowych stanowią element załącznika nr</w:t>
      </w:r>
      <w:r w:rsidR="00681909">
        <w:rPr>
          <w:rFonts w:asciiTheme="minorHAnsi" w:hAnsiTheme="minorHAnsi" w:cstheme="minorHAnsi"/>
          <w:iCs/>
        </w:rPr>
        <w:t> </w:t>
      </w:r>
      <w:r>
        <w:rPr>
          <w:rFonts w:asciiTheme="minorHAnsi" w:hAnsiTheme="minorHAnsi" w:cstheme="minorHAnsi"/>
          <w:iCs/>
        </w:rPr>
        <w:t>1 (Zestawienie główne).</w:t>
      </w:r>
    </w:p>
    <w:p w14:paraId="2ECF0AAE" w14:textId="77777777" w:rsidR="000714F1" w:rsidRPr="001044B0" w:rsidRDefault="000714F1" w:rsidP="00B50FFD">
      <w:pPr>
        <w:pStyle w:val="Nagwek2"/>
      </w:pPr>
      <w:bookmarkStart w:id="214" w:name="_Toc68726864"/>
      <w:r w:rsidRPr="00F45A85">
        <w:t xml:space="preserve">Cele </w:t>
      </w:r>
      <w:r w:rsidRPr="001044B0">
        <w:t>środowiskowe obszarów chronionych</w:t>
      </w:r>
      <w:bookmarkEnd w:id="214"/>
    </w:p>
    <w:p w14:paraId="57D97353" w14:textId="77777777" w:rsidR="000714F1" w:rsidRDefault="000714F1" w:rsidP="006E5F79">
      <w:pPr>
        <w:keepNext/>
        <w:rPr>
          <w:rFonts w:asciiTheme="minorHAnsi" w:hAnsiTheme="minorHAnsi" w:cstheme="minorHAnsi"/>
          <w:iCs/>
        </w:rPr>
      </w:pPr>
      <w:r>
        <w:rPr>
          <w:rFonts w:asciiTheme="minorHAnsi" w:hAnsiTheme="minorHAnsi" w:cstheme="minorHAnsi"/>
          <w:iCs/>
        </w:rPr>
        <w:t>Obszary chronione zgodnie z art. 317 ust. 4 ustawy pr.w. obejmują:</w:t>
      </w:r>
    </w:p>
    <w:p w14:paraId="4C2A273F" w14:textId="205593CD" w:rsidR="000714F1" w:rsidRPr="00122074" w:rsidRDefault="000714F1" w:rsidP="00122074">
      <w:pPr>
        <w:pStyle w:val="Akapitzlist"/>
      </w:pPr>
      <w:r w:rsidRPr="00122074">
        <w:t>jcw przeznaczone do poboru wody na potrzeby zaopatrzenia ludności w wodę przeznaczoną do</w:t>
      </w:r>
      <w:r w:rsidR="007E5892">
        <w:t> </w:t>
      </w:r>
      <w:r w:rsidRPr="00122074">
        <w:t>spożycia przez ludzi;</w:t>
      </w:r>
    </w:p>
    <w:p w14:paraId="08306B8A" w14:textId="77777777" w:rsidR="000714F1" w:rsidRPr="00122074" w:rsidRDefault="000714F1" w:rsidP="00122074">
      <w:pPr>
        <w:pStyle w:val="Akapitzlist"/>
      </w:pPr>
      <w:r w:rsidRPr="00122074">
        <w:t>jcw przeznaczone do celów rekreacyjnych, w tym kąpieliskowych;</w:t>
      </w:r>
    </w:p>
    <w:p w14:paraId="449A43D5" w14:textId="77777777" w:rsidR="000714F1" w:rsidRPr="00122074" w:rsidRDefault="000714F1" w:rsidP="00122074">
      <w:pPr>
        <w:pStyle w:val="Akapitzlist"/>
      </w:pPr>
      <w:r w:rsidRPr="00122074">
        <w:t>obszary wrażliwe na eutrofizację wywołaną zanieczyszczeniami pochodzącymi ze źródeł komunalnych;</w:t>
      </w:r>
    </w:p>
    <w:p w14:paraId="6D290CC8" w14:textId="77777777" w:rsidR="000714F1" w:rsidRPr="00122074" w:rsidRDefault="000714F1" w:rsidP="00122074">
      <w:pPr>
        <w:pStyle w:val="Akapitzlist"/>
      </w:pPr>
      <w:r w:rsidRPr="00122074">
        <w:t>obszary przeznaczone do ochrony siedlisk lub gatunków, ustanowionych w u.o.p., dla których utrzymanie lub poprawa stanu wód jest ważnym czynnikiem w ich ochronie;</w:t>
      </w:r>
    </w:p>
    <w:p w14:paraId="5ADC3CA8" w14:textId="77777777" w:rsidR="000714F1" w:rsidRPr="00122074" w:rsidRDefault="000714F1" w:rsidP="00122074">
      <w:pPr>
        <w:pStyle w:val="Akapitzlist"/>
      </w:pPr>
      <w:r w:rsidRPr="00122074">
        <w:t>obszary przeznaczone do ochrony gatunków zwierząt wodnych o znaczeniu gospodarczym.</w:t>
      </w:r>
    </w:p>
    <w:p w14:paraId="4E0FD75E" w14:textId="77777777" w:rsidR="000714F1" w:rsidRDefault="000714F1" w:rsidP="000714F1">
      <w:pPr>
        <w:rPr>
          <w:rFonts w:asciiTheme="minorHAnsi" w:hAnsiTheme="minorHAnsi" w:cstheme="minorHAnsi"/>
          <w:iCs/>
        </w:rPr>
      </w:pPr>
      <w:r>
        <w:rPr>
          <w:rFonts w:asciiTheme="minorHAnsi" w:hAnsiTheme="minorHAnsi" w:cstheme="minorHAnsi"/>
          <w:iCs/>
        </w:rPr>
        <w:t>Celem środowiskowym obszarów chronionych jest osiągnięcie zgodności ze wszystkimi normami</w:t>
      </w:r>
      <w:r>
        <w:rPr>
          <w:rFonts w:asciiTheme="minorHAnsi" w:hAnsiTheme="minorHAnsi" w:cstheme="minorHAnsi"/>
          <w:iCs/>
        </w:rPr>
        <w:br/>
        <w:t xml:space="preserve">i celami wynikającymi z przepisów szczególnych, na podstawie których obszary chronione zostały utworzone/ustanowione. </w:t>
      </w:r>
    </w:p>
    <w:p w14:paraId="50C5FEEC" w14:textId="35B36651" w:rsidR="000714F1" w:rsidRDefault="000714F1" w:rsidP="000714F1">
      <w:pPr>
        <w:rPr>
          <w:rFonts w:asciiTheme="minorHAnsi" w:hAnsiTheme="minorHAnsi" w:cstheme="minorHAnsi"/>
        </w:rPr>
      </w:pPr>
      <w:r>
        <w:rPr>
          <w:rFonts w:asciiTheme="minorHAnsi" w:hAnsiTheme="minorHAnsi" w:cstheme="minorHAnsi"/>
        </w:rPr>
        <w:t xml:space="preserve">Aktualizacje dokonane w zakresie celów środowiskowych dla obszarów chronionych na cykl planistyczny 2022-2027 dotyczą. </w:t>
      </w:r>
    </w:p>
    <w:p w14:paraId="56D19267" w14:textId="2CCC60B4" w:rsidR="000714F1" w:rsidRPr="00122074" w:rsidRDefault="000714F1" w:rsidP="00AA3506">
      <w:pPr>
        <w:pStyle w:val="Akapitzlist"/>
        <w:numPr>
          <w:ilvl w:val="0"/>
          <w:numId w:val="75"/>
        </w:numPr>
        <w:ind w:left="426"/>
        <w:rPr>
          <w:b/>
          <w:bCs/>
        </w:rPr>
      </w:pPr>
      <w:r w:rsidRPr="00122074">
        <w:rPr>
          <w:b/>
          <w:bCs/>
        </w:rPr>
        <w:t>Jcw przeznaczone do poboru wody na potrzeby zaopatrzenia ludności w wodę przeznaczoną do</w:t>
      </w:r>
      <w:r w:rsidR="007E5892">
        <w:rPr>
          <w:b/>
          <w:bCs/>
        </w:rPr>
        <w:t> </w:t>
      </w:r>
      <w:r w:rsidRPr="00122074">
        <w:rPr>
          <w:b/>
          <w:bCs/>
        </w:rPr>
        <w:t>spożycia</w:t>
      </w:r>
    </w:p>
    <w:p w14:paraId="40EA5E1F" w14:textId="122E1330" w:rsidR="000714F1" w:rsidRDefault="000714F1" w:rsidP="000714F1">
      <w:pPr>
        <w:rPr>
          <w:rFonts w:asciiTheme="minorHAnsi" w:hAnsiTheme="minorHAnsi" w:cstheme="minorHAnsi"/>
          <w:iCs/>
        </w:rPr>
      </w:pPr>
      <w:r>
        <w:rPr>
          <w:rFonts w:asciiTheme="minorHAnsi" w:hAnsiTheme="minorHAnsi" w:cstheme="minorHAnsi"/>
          <w:iCs/>
        </w:rPr>
        <w:t xml:space="preserve">Do określenia celów środowiskowych wykorzystane zostało rozporządzenie Ministra Gospodarki Morskiej i Żeglugi Śródlądowej z dnia 29 sierpnia 2019 roku w sprawie wymagań, jakim powinny odpowiadać wody powierzchniowe wykorzystywane do zaopatrzenia ludności w wodę przeznaczoną do spożycia (Dz.U. z 2019 r. poz. 1747). </w:t>
      </w:r>
    </w:p>
    <w:p w14:paraId="2B74B6CB" w14:textId="0CEDD368" w:rsidR="00EF3FD3" w:rsidRDefault="00891F61" w:rsidP="000714F1">
      <w:pPr>
        <w:rPr>
          <w:rFonts w:asciiTheme="minorHAnsi" w:hAnsiTheme="minorHAnsi" w:cstheme="minorHAnsi"/>
          <w:iCs/>
        </w:rPr>
      </w:pPr>
      <w:bookmarkStart w:id="215" w:name="_Hlk66837053"/>
      <w:r>
        <w:rPr>
          <w:rFonts w:asciiTheme="minorHAnsi" w:hAnsiTheme="minorHAnsi" w:cstheme="minorHAnsi"/>
          <w:iCs/>
        </w:rPr>
        <w:t>Na obszarze dorzecza Pregoły nie występują jcw</w:t>
      </w:r>
      <w:r w:rsidR="00607693">
        <w:rPr>
          <w:rFonts w:asciiTheme="minorHAnsi" w:hAnsiTheme="minorHAnsi" w:cstheme="minorHAnsi"/>
          <w:iCs/>
        </w:rPr>
        <w:t>p</w:t>
      </w:r>
      <w:r>
        <w:rPr>
          <w:rFonts w:asciiTheme="minorHAnsi" w:hAnsiTheme="minorHAnsi" w:cstheme="minorHAnsi"/>
          <w:iCs/>
        </w:rPr>
        <w:t xml:space="preserve"> przeznaczone do poboru </w:t>
      </w:r>
      <w:r w:rsidRPr="00891F61">
        <w:rPr>
          <w:rFonts w:asciiTheme="minorHAnsi" w:hAnsiTheme="minorHAnsi" w:cstheme="minorHAnsi"/>
          <w:iCs/>
        </w:rPr>
        <w:t>wody na potrzeby zaopatrzenia ludności w wodę przeznaczoną do spożycia</w:t>
      </w:r>
      <w:r>
        <w:rPr>
          <w:rFonts w:asciiTheme="minorHAnsi" w:hAnsiTheme="minorHAnsi" w:cstheme="minorHAnsi"/>
          <w:iCs/>
        </w:rPr>
        <w:t>.</w:t>
      </w:r>
    </w:p>
    <w:bookmarkEnd w:id="215"/>
    <w:p w14:paraId="7A29A9E5" w14:textId="77777777" w:rsidR="000714F1" w:rsidRDefault="000714F1" w:rsidP="000714F1">
      <w:pPr>
        <w:tabs>
          <w:tab w:val="left" w:pos="567"/>
        </w:tabs>
        <w:rPr>
          <w:rFonts w:asciiTheme="minorHAnsi" w:hAnsiTheme="minorHAnsi" w:cstheme="minorHAnsi"/>
          <w:b/>
          <w:iCs/>
        </w:rPr>
      </w:pPr>
      <w:r>
        <w:rPr>
          <w:rFonts w:asciiTheme="minorHAnsi" w:hAnsiTheme="minorHAnsi" w:cstheme="minorHAnsi"/>
          <w:b/>
          <w:iCs/>
        </w:rPr>
        <w:t>B.</w:t>
      </w:r>
      <w:r>
        <w:rPr>
          <w:rFonts w:asciiTheme="minorHAnsi" w:hAnsiTheme="minorHAnsi" w:cstheme="minorHAnsi"/>
          <w:b/>
          <w:iCs/>
        </w:rPr>
        <w:tab/>
        <w:t>Jcw przeznaczone do celów rekreacyjnych, w tym kąpieliskowych</w:t>
      </w:r>
    </w:p>
    <w:p w14:paraId="0BD491DF" w14:textId="604F9552" w:rsidR="0038472E" w:rsidRPr="003F4A95" w:rsidRDefault="000714F1" w:rsidP="003C76C5">
      <w:r>
        <w:t>Do określenia celów środowiskowych wykorzystano aktualny akt prawa krajowego, który reguluje wymogi co do jakości wód w kąpielisku - rozporządzenie Ministra Zdrowia z dnia 17 stycznia 2019 roku w sprawie nadzoru nad jakością wody w kąpielisku i miejscu okazjonalnie wykorzystywanym do kąpieli (Dz.U. z 2019 r., poz. 255). Zapisy odnoszące się do warunków sanitarnych w kąpielisku zostały przyjęte jako cel środowiskowy.</w:t>
      </w:r>
      <w:r w:rsidR="0038472E">
        <w:t xml:space="preserve"> </w:t>
      </w:r>
      <w:r w:rsidR="0038472E" w:rsidRPr="003F4A95">
        <w:t>Dodatkowe cele związane z wymaganiami ww. rozporządzenia zostały określone jedynie dla kąpielisk mających połączenie hydrologiczne z jcwp, tym samym nie wszystkie jcwp RK posiadają ustalone dodatkowe cele środowiskowe. </w:t>
      </w:r>
    </w:p>
    <w:p w14:paraId="4690CA68" w14:textId="77777777" w:rsidR="007C02F7" w:rsidRDefault="007C02F7" w:rsidP="0038472E">
      <w:r>
        <w:t xml:space="preserve">Zgodnie z metodyką przyjętą w opracowaniu </w:t>
      </w:r>
      <w:r>
        <w:rPr>
          <w:i/>
          <w:iCs/>
        </w:rPr>
        <w:t>Ustalenie celów środowiskowych (…)</w:t>
      </w:r>
      <w:r>
        <w:t xml:space="preserve"> istnienie obszaru chronionego będącego jednolitymi częściami wód powierzchniowych przeznaczonymi do celów rekreacyjnych, w tym kąpieliskowych, oznacza, że cel środowiskowy dla tego obszaru został spełniony. </w:t>
      </w:r>
      <w:r w:rsidRPr="003C76C5">
        <w:t>Na obszarze dorzecza Pregoły wyznaczono jako jcw przeznaczone do celów rekreacyjnych, w tym kąpieliskowych</w:t>
      </w:r>
    </w:p>
    <w:p w14:paraId="3BB1D42B" w14:textId="77777777" w:rsidR="007C02F7" w:rsidRPr="00122074" w:rsidRDefault="007C02F7" w:rsidP="00122074">
      <w:pPr>
        <w:pStyle w:val="Akapitzlist"/>
      </w:pPr>
      <w:r w:rsidRPr="00122074">
        <w:t>6 jcwp RW,</w:t>
      </w:r>
    </w:p>
    <w:p w14:paraId="30254E0A" w14:textId="77777777" w:rsidR="007C02F7" w:rsidRPr="00122074" w:rsidRDefault="007C02F7" w:rsidP="00122074">
      <w:pPr>
        <w:pStyle w:val="Akapitzlist"/>
      </w:pPr>
      <w:r w:rsidRPr="00122074">
        <w:t>13 jcwp LW.</w:t>
      </w:r>
    </w:p>
    <w:p w14:paraId="416BD971" w14:textId="77777777" w:rsidR="000714F1" w:rsidRDefault="000714F1" w:rsidP="000714F1">
      <w:pPr>
        <w:ind w:left="567" w:hanging="567"/>
        <w:rPr>
          <w:rFonts w:asciiTheme="minorHAnsi" w:hAnsiTheme="minorHAnsi" w:cstheme="minorHAnsi"/>
          <w:b/>
          <w:iCs/>
        </w:rPr>
      </w:pPr>
      <w:r>
        <w:rPr>
          <w:rFonts w:asciiTheme="minorHAnsi" w:hAnsiTheme="minorHAnsi" w:cstheme="minorHAnsi"/>
          <w:b/>
          <w:iCs/>
        </w:rPr>
        <w:t>C.</w:t>
      </w:r>
      <w:r>
        <w:rPr>
          <w:rFonts w:asciiTheme="minorHAnsi" w:hAnsiTheme="minorHAnsi" w:cstheme="minorHAnsi"/>
          <w:b/>
          <w:iCs/>
        </w:rPr>
        <w:tab/>
        <w:t>Obszary wrażliwe na eutrofizację wywołaną zanieczyszczeniami pochodzącymi ze źródeł komunalnych</w:t>
      </w:r>
    </w:p>
    <w:p w14:paraId="618191D3" w14:textId="11816CBF" w:rsidR="000714F1" w:rsidRDefault="000714F1" w:rsidP="000714F1">
      <w:pPr>
        <w:rPr>
          <w:rFonts w:asciiTheme="minorHAnsi" w:hAnsiTheme="minorHAnsi" w:cstheme="minorHAnsi"/>
        </w:rPr>
      </w:pPr>
      <w:r>
        <w:rPr>
          <w:rFonts w:asciiTheme="minorHAnsi" w:hAnsiTheme="minorHAnsi" w:cstheme="minorHAnsi"/>
        </w:rPr>
        <w:t>Art. 15 ust. 2 dyrektywy 91/271/EWG wprowadza wymóg odpowiedniego monitoringu wód, do</w:t>
      </w:r>
      <w:r w:rsidR="007E5892">
        <w:rPr>
          <w:rFonts w:asciiTheme="minorHAnsi" w:hAnsiTheme="minorHAnsi" w:cstheme="minorHAnsi"/>
        </w:rPr>
        <w:t> </w:t>
      </w:r>
      <w:r>
        <w:rPr>
          <w:rFonts w:asciiTheme="minorHAnsi" w:hAnsiTheme="minorHAnsi" w:cstheme="minorHAnsi"/>
        </w:rPr>
        <w:t xml:space="preserve">których są zrzucane ścieki komunalne, jeżeli przewiduje się znaczący wpływ zrzutów na stan środowiska. Zgodnie z art. 15 ust. 2 dyrektywy 91/271/EWG ewentualny monitoring powinien obejmować wskaźniki, dla których </w:t>
      </w:r>
      <w:r w:rsidRPr="00E92107">
        <w:rPr>
          <w:rFonts w:asciiTheme="minorHAnsi" w:hAnsiTheme="minorHAnsi" w:cstheme="minorHAnsi"/>
        </w:rPr>
        <w:t xml:space="preserve">dyrektywa określa normy emisji. </w:t>
      </w:r>
      <w:r w:rsidR="00E92107" w:rsidRPr="00E92107">
        <w:rPr>
          <w:rFonts w:asciiTheme="minorHAnsi" w:hAnsiTheme="minorHAnsi" w:cstheme="minorHAnsi"/>
        </w:rPr>
        <w:t>Oznacza to, że oprócz wskaźników fizykochemicznych monitorowanych w celu oceny stanu/potencjału ekologicznego danego typu jcwp, może istnieć potrzeba monitoringu dodatkowych wskaźników fizykochemicznych (o ile nie są uwzględnione w standardowym monitoringu)</w:t>
      </w:r>
      <w:r w:rsidRPr="00E92107">
        <w:rPr>
          <w:rFonts w:asciiTheme="minorHAnsi" w:hAnsiTheme="minorHAnsi" w:cstheme="minorHAnsi"/>
        </w:rPr>
        <w:t>:</w:t>
      </w:r>
    </w:p>
    <w:p w14:paraId="42C43A52" w14:textId="77777777" w:rsidR="000714F1" w:rsidRDefault="000714F1" w:rsidP="00122074">
      <w:pPr>
        <w:pStyle w:val="Akapitzlist"/>
        <w:rPr>
          <w:rFonts w:asciiTheme="minorHAnsi" w:hAnsiTheme="minorHAnsi" w:cstheme="minorHAnsi"/>
        </w:rPr>
      </w:pPr>
      <w:r>
        <w:t>w ciekach będących kanałami - zawiesiny ogólne, BZT</w:t>
      </w:r>
      <w:r>
        <w:rPr>
          <w:vertAlign w:val="subscript"/>
        </w:rPr>
        <w:t>5</w:t>
      </w:r>
      <w:r>
        <w:t>, ChZT-Cr, azot ogólny i fosfor ogólny;</w:t>
      </w:r>
    </w:p>
    <w:p w14:paraId="7CFE407D" w14:textId="77777777" w:rsidR="000714F1" w:rsidRDefault="000714F1" w:rsidP="00122074">
      <w:pPr>
        <w:pStyle w:val="Akapitzlist"/>
      </w:pPr>
      <w:r>
        <w:t>w zbiornikach zaporowych - zawiesiny ogólne;</w:t>
      </w:r>
    </w:p>
    <w:p w14:paraId="40FD0068" w14:textId="77777777" w:rsidR="000714F1" w:rsidRDefault="000714F1" w:rsidP="00122074">
      <w:pPr>
        <w:pStyle w:val="Akapitzlist"/>
      </w:pPr>
      <w:r>
        <w:t>w jeziorach - zawiesiny ogólne, BZT</w:t>
      </w:r>
      <w:r>
        <w:rPr>
          <w:vertAlign w:val="subscript"/>
        </w:rPr>
        <w:t>5</w:t>
      </w:r>
      <w:r>
        <w:t xml:space="preserve"> i ChZT-Cr.</w:t>
      </w:r>
    </w:p>
    <w:p w14:paraId="45057F81" w14:textId="18E70D3D" w:rsidR="000714F1" w:rsidRDefault="000714F1" w:rsidP="000714F1">
      <w:pPr>
        <w:rPr>
          <w:rFonts w:asciiTheme="minorHAnsi" w:hAnsiTheme="minorHAnsi" w:cstheme="minorHAnsi"/>
        </w:rPr>
      </w:pPr>
      <w:r>
        <w:rPr>
          <w:rFonts w:asciiTheme="minorHAnsi" w:hAnsiTheme="minorHAnsi" w:cstheme="minorHAnsi"/>
        </w:rPr>
        <w:t xml:space="preserve">Zgodnie z Wytycznymi WFD CIS do oceny eutrofizacji (2009) ocena stopnia eutrofizacji części wód </w:t>
      </w:r>
      <w:r>
        <w:rPr>
          <w:rFonts w:asciiTheme="minorHAnsi" w:hAnsiTheme="minorHAnsi" w:cstheme="minorHAnsi"/>
        </w:rPr>
        <w:br/>
        <w:t>w Polsce wymagana Dyrektywą 91/271/EWG w świetle polityki wodnej UE jest tożsama</w:t>
      </w:r>
      <w:r>
        <w:rPr>
          <w:rFonts w:asciiTheme="minorHAnsi" w:hAnsiTheme="minorHAnsi" w:cstheme="minorHAnsi"/>
        </w:rPr>
        <w:br/>
        <w:t>z oceną stanu ekologicznego. Wobec powyższego osiągnięcie, co najmniej dobrego stanu przez jcwp osiąga spełnienie wymogu z powyższymi „normami i celami”. W związku z powyższym w zakresie obszarów wrażliwych</w:t>
      </w:r>
      <w:r>
        <w:rPr>
          <w:rFonts w:asciiTheme="minorHAnsi" w:hAnsiTheme="minorHAnsi" w:cstheme="minorHAnsi"/>
          <w:bCs/>
          <w:i/>
          <w:color w:val="4F81BD" w:themeColor="accent1"/>
        </w:rPr>
        <w:t xml:space="preserve"> </w:t>
      </w:r>
      <w:r>
        <w:rPr>
          <w:rFonts w:asciiTheme="minorHAnsi" w:hAnsiTheme="minorHAnsi" w:cstheme="minorHAnsi"/>
          <w:bCs/>
        </w:rPr>
        <w:t>na eutrofizację wywołaną zanieczyszczeniami pochodzącymi</w:t>
      </w:r>
      <w:r>
        <w:rPr>
          <w:rFonts w:asciiTheme="minorHAnsi" w:hAnsiTheme="minorHAnsi" w:cstheme="minorHAnsi"/>
          <w:b/>
          <w:bCs/>
        </w:rPr>
        <w:t xml:space="preserve"> </w:t>
      </w:r>
      <w:r>
        <w:rPr>
          <w:rFonts w:asciiTheme="minorHAnsi" w:hAnsiTheme="minorHAnsi" w:cstheme="minorHAnsi"/>
          <w:bCs/>
        </w:rPr>
        <w:t>ze źródeł komunalnych nie założono</w:t>
      </w:r>
      <w:r>
        <w:rPr>
          <w:rFonts w:asciiTheme="minorHAnsi" w:hAnsiTheme="minorHAnsi" w:cstheme="minorHAnsi"/>
        </w:rPr>
        <w:t xml:space="preserve"> dodatkowych wymagań. </w:t>
      </w:r>
    </w:p>
    <w:p w14:paraId="72F3A730" w14:textId="44D5C3A9" w:rsidR="00EF3FD3" w:rsidRDefault="00BE0C22" w:rsidP="000714F1">
      <w:pPr>
        <w:rPr>
          <w:rFonts w:asciiTheme="minorHAnsi" w:hAnsiTheme="minorHAnsi" w:cstheme="minorHAnsi"/>
          <w:bCs/>
          <w:iCs/>
        </w:rPr>
      </w:pPr>
      <w:bookmarkStart w:id="216" w:name="_Hlk66920086"/>
      <w:r>
        <w:rPr>
          <w:rFonts w:asciiTheme="minorHAnsi" w:hAnsiTheme="minorHAnsi" w:cstheme="minorHAnsi"/>
        </w:rPr>
        <w:t xml:space="preserve">Cały obszar kraju wskazany jest jako wrażliwy na eutrofizację </w:t>
      </w:r>
      <w:r w:rsidRPr="00BE0C22">
        <w:rPr>
          <w:rFonts w:asciiTheme="minorHAnsi" w:hAnsiTheme="minorHAnsi" w:cstheme="minorHAnsi"/>
          <w:bCs/>
          <w:iCs/>
        </w:rPr>
        <w:t>wywołaną zanieczyszczeniami pochodzącymi ze źródeł komunalnych</w:t>
      </w:r>
      <w:r>
        <w:rPr>
          <w:rFonts w:asciiTheme="minorHAnsi" w:hAnsiTheme="minorHAnsi" w:cstheme="minorHAnsi"/>
          <w:bCs/>
          <w:iCs/>
        </w:rPr>
        <w:t>.</w:t>
      </w:r>
    </w:p>
    <w:bookmarkEnd w:id="216"/>
    <w:p w14:paraId="7EF95D03" w14:textId="77777777" w:rsidR="000714F1" w:rsidRDefault="000714F1" w:rsidP="000714F1">
      <w:pPr>
        <w:ind w:left="567" w:hanging="567"/>
        <w:rPr>
          <w:rFonts w:asciiTheme="minorHAnsi" w:hAnsiTheme="minorHAnsi" w:cstheme="minorHAnsi"/>
          <w:iCs/>
        </w:rPr>
      </w:pPr>
      <w:r>
        <w:rPr>
          <w:rFonts w:asciiTheme="minorHAnsi" w:hAnsiTheme="minorHAnsi" w:cstheme="minorHAnsi"/>
          <w:b/>
          <w:iCs/>
        </w:rPr>
        <w:t>D</w:t>
      </w:r>
      <w:r>
        <w:rPr>
          <w:rFonts w:asciiTheme="minorHAnsi" w:hAnsiTheme="minorHAnsi" w:cstheme="minorHAnsi"/>
          <w:iCs/>
        </w:rPr>
        <w:t>.</w:t>
      </w:r>
      <w:r>
        <w:rPr>
          <w:rFonts w:asciiTheme="minorHAnsi" w:hAnsiTheme="minorHAnsi" w:cstheme="minorHAnsi"/>
          <w:iCs/>
        </w:rPr>
        <w:tab/>
      </w:r>
      <w:r>
        <w:rPr>
          <w:rFonts w:asciiTheme="minorHAnsi" w:hAnsiTheme="minorHAnsi" w:cstheme="minorHAnsi"/>
          <w:b/>
          <w:iCs/>
        </w:rPr>
        <w:t xml:space="preserve">Obszary przeznaczone do ochrony siedlisk lub gatunków ustanowionych w ustawie </w:t>
      </w:r>
      <w:r>
        <w:rPr>
          <w:rFonts w:asciiTheme="minorHAnsi" w:hAnsiTheme="minorHAnsi" w:cstheme="minorHAnsi"/>
          <w:b/>
          <w:iCs/>
        </w:rPr>
        <w:br/>
        <w:t>o ochronie przyrody, dla których utrzymanie lub poprawa stanu wód jest ważnym czynnikiem w ich ochronie</w:t>
      </w:r>
    </w:p>
    <w:p w14:paraId="3F724489" w14:textId="77777777" w:rsidR="000714F1" w:rsidRDefault="000714F1" w:rsidP="000714F1">
      <w:pPr>
        <w:rPr>
          <w:rFonts w:asciiTheme="minorHAnsi" w:hAnsiTheme="minorHAnsi" w:cstheme="minorHAnsi"/>
        </w:rPr>
      </w:pPr>
      <w:r>
        <w:rPr>
          <w:rFonts w:asciiTheme="minorHAnsi" w:hAnsiTheme="minorHAnsi" w:cstheme="minorHAnsi"/>
        </w:rPr>
        <w:t>Dotychczasowy rejestr obszarów chronionych przeznaczonych do ochrony siedlisk lub gatunków ustanowionych w u.o.p., dla których utrzymanie lub poprawa stanu wód jest ważnym czynnikiem w ich ochronie, wymagał aktualizacji w związku z:</w:t>
      </w:r>
    </w:p>
    <w:p w14:paraId="1DBC0CC5" w14:textId="77777777" w:rsidR="000714F1" w:rsidRDefault="000714F1" w:rsidP="00122074">
      <w:pPr>
        <w:pStyle w:val="Akapitzlist"/>
        <w:rPr>
          <w:rFonts w:asciiTheme="minorHAnsi" w:hAnsiTheme="minorHAnsi" w:cstheme="minorHAnsi"/>
        </w:rPr>
      </w:pPr>
      <w:r>
        <w:t>powstaniem, od czasu sporządzenia dotychczasowego rejestru, nowych obszarów chronionych (obszary Natura 2000, rezerwaty przyrody, parki krajobrazowe);</w:t>
      </w:r>
    </w:p>
    <w:p w14:paraId="5242A29A" w14:textId="77777777" w:rsidR="000714F1" w:rsidRDefault="000714F1" w:rsidP="00122074">
      <w:pPr>
        <w:pStyle w:val="Akapitzlist"/>
      </w:pPr>
      <w:r>
        <w:t>aktualizacją prowadzonego przez GDOŚ Centralnego Rejestru Form Ochrony Przyrody (CRFOP) do formy, która obecnie umożliwia praktyczne wykorzystanie zawartych w niej danych.</w:t>
      </w:r>
    </w:p>
    <w:p w14:paraId="6164E142" w14:textId="77777777" w:rsidR="000714F1" w:rsidRDefault="000714F1" w:rsidP="000714F1">
      <w:pPr>
        <w:rPr>
          <w:rFonts w:asciiTheme="minorHAnsi" w:hAnsiTheme="minorHAnsi" w:cstheme="minorHAnsi"/>
        </w:rPr>
      </w:pPr>
      <w:r>
        <w:rPr>
          <w:rFonts w:asciiTheme="minorHAnsi" w:hAnsiTheme="minorHAnsi" w:cstheme="minorHAnsi"/>
        </w:rPr>
        <w:t xml:space="preserve">W ramach prac nad IIaPGW dla każdej formy ochrony przyrody została zweryfikowana jej „wodozależność”, tj. istnienie zależności celu ochrony obszaru chronionego od wód powierzchniowych lub podziemnych. Dla obszarów ujętych w aktualnym rejestrze, tj. parków narodowych, rezerwatów, parków krajobrazowych oraz obszarów Natura 2000 poprawność identyfikacji ich „wodozależności” została sprawdzona. Dla pozostałych obszarów poszukiwane były przesłanki ewentualnej zależności od wód. W ramach opracowania </w:t>
      </w:r>
      <w:r>
        <w:rPr>
          <w:rFonts w:asciiTheme="minorHAnsi" w:hAnsiTheme="minorHAnsi" w:cstheme="minorHAnsi"/>
          <w:i/>
        </w:rPr>
        <w:t xml:space="preserve">Ustalenie celów środowiskowych (…) </w:t>
      </w:r>
      <w:r>
        <w:rPr>
          <w:rFonts w:asciiTheme="minorHAnsi" w:hAnsiTheme="minorHAnsi" w:cstheme="minorHAnsi"/>
        </w:rPr>
        <w:t xml:space="preserve">dla wszystkich obszarów przeprowadzono analizę pod kątem identyfikacji, czy jest to zależność od wód powierzchniowych czy podziemnych, czy też od jednych i drugich. </w:t>
      </w:r>
    </w:p>
    <w:p w14:paraId="76228FB8" w14:textId="08A10F95" w:rsidR="000714F1" w:rsidRDefault="000714F1" w:rsidP="000714F1">
      <w:pPr>
        <w:rPr>
          <w:rFonts w:asciiTheme="minorHAnsi" w:hAnsiTheme="minorHAnsi" w:cstheme="minorHAnsi"/>
        </w:rPr>
      </w:pPr>
      <w:r>
        <w:rPr>
          <w:rFonts w:asciiTheme="minorHAnsi" w:hAnsiTheme="minorHAnsi" w:cstheme="minorHAnsi"/>
        </w:rPr>
        <w:t xml:space="preserve">Zgodnie z opracowaniem </w:t>
      </w:r>
      <w:r>
        <w:rPr>
          <w:rFonts w:asciiTheme="minorHAnsi" w:hAnsiTheme="minorHAnsi" w:cstheme="minorHAnsi"/>
          <w:i/>
        </w:rPr>
        <w:t>Ustalenie celów środowiskowych (…),</w:t>
      </w:r>
      <w:r>
        <w:rPr>
          <w:rFonts w:asciiTheme="minorHAnsi" w:hAnsiTheme="minorHAnsi" w:cstheme="minorHAnsi"/>
        </w:rPr>
        <w:t xml:space="preserve"> tam, gdzie było to możliwe, cele środowiskowe dla obszarów chronionych zostały objaśnione w sposób „wskaźnikowy”, tj. z podaniem maksymalnie konkretnych, najlepiej ilościowych wskaźników ich osiągnięcia odnoszących się do wód. Cele środowiskowe dla obszarów chronionych są z definicji „normami i celami” określonymi w</w:t>
      </w:r>
      <w:r w:rsidR="00D12013">
        <w:rPr>
          <w:rFonts w:asciiTheme="minorHAnsi" w:hAnsiTheme="minorHAnsi" w:cstheme="minorHAnsi"/>
        </w:rPr>
        <w:t> </w:t>
      </w:r>
      <w:r>
        <w:rPr>
          <w:rFonts w:asciiTheme="minorHAnsi" w:hAnsiTheme="minorHAnsi" w:cstheme="minorHAnsi"/>
        </w:rPr>
        <w:t>przepisach odrębnych, a tym samym możliwość ich konkretyzacji jest ograniczona precyzją, z jaką są one określone w dokumentach planistycznych ochrony przyrody.</w:t>
      </w:r>
    </w:p>
    <w:p w14:paraId="26F07184" w14:textId="2C46CB31" w:rsidR="000714F1" w:rsidRDefault="000C4A0B" w:rsidP="000714F1">
      <w:pPr>
        <w:rPr>
          <w:rFonts w:asciiTheme="minorHAnsi" w:hAnsiTheme="minorHAnsi" w:cstheme="minorHAnsi"/>
        </w:rPr>
      </w:pPr>
      <w:r w:rsidRPr="00B43A94">
        <w:rPr>
          <w:rFonts w:asciiTheme="minorHAnsi" w:hAnsiTheme="minorHAnsi" w:cstheme="minorHAnsi"/>
        </w:rPr>
        <w:t xml:space="preserve">Ocena osiągnięcia celów środowiskowych dla obszarów, dla których w aPGW określono cel środowiskowy (parki narodowe, rezerwaty, parki krajobrazowe, obszary Natura 2000) została wykonana na podstawie ankietyzacji jednostek sprawujących nadzór nad poszczególnymi obszarami. W </w:t>
      </w:r>
      <w:r w:rsidR="00474ABF">
        <w:rPr>
          <w:rFonts w:asciiTheme="minorHAnsi" w:hAnsiTheme="minorHAnsi" w:cstheme="minorHAnsi"/>
        </w:rPr>
        <w:t xml:space="preserve">obszarze </w:t>
      </w:r>
      <w:r w:rsidRPr="00B43A94">
        <w:rPr>
          <w:rFonts w:asciiTheme="minorHAnsi" w:hAnsiTheme="minorHAnsi" w:cstheme="minorHAnsi"/>
        </w:rPr>
        <w:t>dorzecz</w:t>
      </w:r>
      <w:r w:rsidR="00474ABF">
        <w:rPr>
          <w:rFonts w:asciiTheme="minorHAnsi" w:hAnsiTheme="minorHAnsi" w:cstheme="minorHAnsi"/>
        </w:rPr>
        <w:t>a</w:t>
      </w:r>
      <w:r w:rsidRPr="00B43A94">
        <w:rPr>
          <w:rFonts w:asciiTheme="minorHAnsi" w:hAnsiTheme="minorHAnsi" w:cstheme="minorHAnsi"/>
        </w:rPr>
        <w:t xml:space="preserve"> Pregoły cel środowiskowy został wyznaczony dla 53 obszarów przeznaczonych do</w:t>
      </w:r>
      <w:r w:rsidR="007E5892">
        <w:rPr>
          <w:rFonts w:asciiTheme="minorHAnsi" w:hAnsiTheme="minorHAnsi" w:cstheme="minorHAnsi"/>
        </w:rPr>
        <w:t> </w:t>
      </w:r>
      <w:r w:rsidRPr="00B43A94">
        <w:rPr>
          <w:rFonts w:asciiTheme="minorHAnsi" w:hAnsiTheme="minorHAnsi" w:cstheme="minorHAnsi"/>
        </w:rPr>
        <w:t xml:space="preserve">ochrony siedlisk lub gatunków ustanowionych w ustawie o ochronie przyrody, dla których utrzymanie lub poprawa stanu wód jest ważnym czynnikiem w ich ochronie. Dla 21 (45%) obszarów, ze względu na brak danych nie była możliwa ocena </w:t>
      </w:r>
      <w:r w:rsidR="0062194F">
        <w:rPr>
          <w:rFonts w:asciiTheme="minorHAnsi" w:hAnsiTheme="minorHAnsi" w:cstheme="minorHAnsi"/>
        </w:rPr>
        <w:t>osiągnięcia</w:t>
      </w:r>
      <w:r w:rsidR="0062194F" w:rsidRPr="00B43A94">
        <w:rPr>
          <w:rFonts w:asciiTheme="minorHAnsi" w:hAnsiTheme="minorHAnsi" w:cstheme="minorHAnsi"/>
        </w:rPr>
        <w:t xml:space="preserve"> </w:t>
      </w:r>
      <w:r w:rsidRPr="00B43A94">
        <w:rPr>
          <w:rFonts w:asciiTheme="minorHAnsi" w:hAnsiTheme="minorHAnsi" w:cstheme="minorHAnsi"/>
        </w:rPr>
        <w:t xml:space="preserve">celu środowiskowego. W przypadku 24 (40%) obszarów stwierdzono osiągnięcie, a w przypadku 6 (11%) </w:t>
      </w:r>
      <w:r w:rsidR="006C4947">
        <w:rPr>
          <w:rFonts w:asciiTheme="minorHAnsi" w:hAnsiTheme="minorHAnsi" w:cstheme="minorHAnsi"/>
        </w:rPr>
        <w:t>-</w:t>
      </w:r>
      <w:r w:rsidRPr="00B43A94">
        <w:rPr>
          <w:rFonts w:asciiTheme="minorHAnsi" w:hAnsiTheme="minorHAnsi" w:cstheme="minorHAnsi"/>
        </w:rPr>
        <w:t xml:space="preserve"> częściowe osiągnięcie celów środowiskowych. W</w:t>
      </w:r>
      <w:r w:rsidR="00D12013">
        <w:rPr>
          <w:rFonts w:asciiTheme="minorHAnsi" w:hAnsiTheme="minorHAnsi" w:cstheme="minorHAnsi"/>
        </w:rPr>
        <w:t> </w:t>
      </w:r>
      <w:r w:rsidRPr="00B43A94">
        <w:rPr>
          <w:rFonts w:asciiTheme="minorHAnsi" w:hAnsiTheme="minorHAnsi" w:cstheme="minorHAnsi"/>
        </w:rPr>
        <w:t xml:space="preserve">przypadku 2 obszarów (4%) oceniono, że cel nie został </w:t>
      </w:r>
      <w:r w:rsidRPr="008C0B70">
        <w:rPr>
          <w:rFonts w:asciiTheme="minorHAnsi" w:hAnsiTheme="minorHAnsi" w:cstheme="minorHAnsi"/>
        </w:rPr>
        <w:t xml:space="preserve">osiągnięty </w:t>
      </w:r>
      <w:r w:rsidR="000714F1" w:rsidRPr="008C0B70">
        <w:rPr>
          <w:rFonts w:asciiTheme="minorHAnsi" w:hAnsiTheme="minorHAnsi" w:cstheme="minorHAnsi"/>
        </w:rPr>
        <w:t>(</w:t>
      </w:r>
      <w:r w:rsidR="004A1B76" w:rsidRPr="008C0B70">
        <w:rPr>
          <w:rFonts w:asciiTheme="minorHAnsi" w:hAnsiTheme="minorHAnsi" w:cstheme="minorHAnsi"/>
        </w:rPr>
        <w:t>w</w:t>
      </w:r>
      <w:r w:rsidR="000714F1" w:rsidRPr="008C0B70">
        <w:rPr>
          <w:rFonts w:asciiTheme="minorHAnsi" w:hAnsiTheme="minorHAnsi" w:cstheme="minorHAnsi"/>
        </w:rPr>
        <w:t>ykres 8-</w:t>
      </w:r>
      <w:r w:rsidRPr="008C0B70">
        <w:rPr>
          <w:rFonts w:asciiTheme="minorHAnsi" w:hAnsiTheme="minorHAnsi" w:cstheme="minorHAnsi"/>
        </w:rPr>
        <w:t>7</w:t>
      </w:r>
      <w:r w:rsidR="000714F1" w:rsidRPr="008C0B70">
        <w:rPr>
          <w:rFonts w:asciiTheme="minorHAnsi" w:hAnsiTheme="minorHAnsi" w:cstheme="minorHAnsi"/>
        </w:rPr>
        <w:t>).</w:t>
      </w:r>
    </w:p>
    <w:p w14:paraId="713FAF8A" w14:textId="55F1CE73" w:rsidR="000714F1" w:rsidRDefault="000C4A0B" w:rsidP="000714F1">
      <w:pPr>
        <w:keepNext/>
        <w:jc w:val="center"/>
      </w:pPr>
      <w:r>
        <w:rPr>
          <w:noProof/>
          <w:lang w:val="en-US"/>
        </w:rPr>
        <w:drawing>
          <wp:inline distT="0" distB="0" distL="0" distR="0" wp14:anchorId="3889FC53" wp14:editId="24CF0E59">
            <wp:extent cx="4572000" cy="2743200"/>
            <wp:effectExtent l="0" t="0" r="0" b="0"/>
            <wp:docPr id="30" name="Wykres 7">
              <a:extLst xmlns:a="http://schemas.openxmlformats.org/drawingml/2006/main">
                <a:ext uri="{FF2B5EF4-FFF2-40B4-BE49-F238E27FC236}">
                  <a16:creationId xmlns:a16="http://schemas.microsoft.com/office/drawing/2014/main" id="{C8BB86F5-7061-4E77-B002-FD6D6A58BD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33E3220" w14:textId="4E9ED455" w:rsidR="000714F1" w:rsidRDefault="000714F1" w:rsidP="006802BB">
      <w:pPr>
        <w:pStyle w:val="Wykres"/>
      </w:pPr>
      <w:bookmarkStart w:id="217" w:name="_Toc66311458"/>
      <w:bookmarkStart w:id="218" w:name="_Toc68727109"/>
      <w:r>
        <w:t xml:space="preserve">Wykres </w:t>
      </w:r>
      <w:fldSimple w:instr=" STYLEREF 1 \s ">
        <w:r w:rsidR="00EF3FD3">
          <w:rPr>
            <w:noProof/>
          </w:rPr>
          <w:t>8</w:t>
        </w:r>
      </w:fldSimple>
      <w:r w:rsidR="00EF3FD3">
        <w:noBreakHyphen/>
      </w:r>
      <w:fldSimple w:instr=" SEQ Wykres \* ARABIC \s 1 ">
        <w:r w:rsidR="00EF3FD3">
          <w:rPr>
            <w:noProof/>
          </w:rPr>
          <w:t>7</w:t>
        </w:r>
      </w:fldSimple>
      <w:r>
        <w:tab/>
        <w:t>Podsumowanie wyniku oceny osiągnięcia celów środowiskowych obszarów przeznaczonych do ochrony siedlisk lub gatunków ustanowionych w ustawie o ochronie przyrody, dla których utrzymanie lub poprawa stanu wód jest ważnym czynnikiem w ich ochronie</w:t>
      </w:r>
      <w:bookmarkStart w:id="219" w:name="_Hlk67095930"/>
      <w:bookmarkEnd w:id="217"/>
      <w:r w:rsidR="00972CDC">
        <w:t>, które uwzględnione zostały w wykazie obszarów przeznaczonych do ochrony siedlisk lub gatunków w latach 2016-2021.</w:t>
      </w:r>
      <w:bookmarkEnd w:id="218"/>
      <w:bookmarkEnd w:id="219"/>
    </w:p>
    <w:p w14:paraId="443E793D" w14:textId="3CF9947D" w:rsidR="00E32C8A" w:rsidRDefault="00E32C8A" w:rsidP="00E32C8A">
      <w:pPr>
        <w:pStyle w:val="rdo0"/>
        <w:rPr>
          <w:i w:val="0"/>
          <w:color w:val="000099"/>
        </w:rPr>
      </w:pPr>
      <w:r>
        <w:t xml:space="preserve">Źródło: opracowanie </w:t>
      </w:r>
      <w:r w:rsidR="007A0C82">
        <w:t>własne</w:t>
      </w:r>
    </w:p>
    <w:p w14:paraId="48B613B8" w14:textId="47777273" w:rsidR="000714F1" w:rsidRDefault="000C4A0B" w:rsidP="000714F1">
      <w:r>
        <w:t>Informacje dotyczące celów środowiskowych ustalonych dla obszarów chronionych w obrębie danej jcwp zaprezentowane zostały w załączniku nr 1 (Zestawienie główne).</w:t>
      </w:r>
    </w:p>
    <w:p w14:paraId="0C1F4F0A" w14:textId="77777777" w:rsidR="000714F1" w:rsidRPr="00F45A85" w:rsidRDefault="000714F1" w:rsidP="00B50FFD">
      <w:pPr>
        <w:pStyle w:val="Nagwek2"/>
      </w:pPr>
      <w:bookmarkStart w:id="220" w:name="_Toc66305704"/>
      <w:bookmarkStart w:id="221" w:name="_Toc66311176"/>
      <w:bookmarkStart w:id="222" w:name="_Hlk67404559"/>
      <w:bookmarkStart w:id="223" w:name="_Toc68726865"/>
      <w:r w:rsidRPr="00F45A85">
        <w:t>Przedłużenie terminu osiągnięcia celów środowiskowych i ustalenie mniej rygorystycznych celów środowiskowych</w:t>
      </w:r>
      <w:bookmarkEnd w:id="220"/>
      <w:bookmarkEnd w:id="221"/>
      <w:bookmarkEnd w:id="223"/>
    </w:p>
    <w:p w14:paraId="72836A42" w14:textId="77777777" w:rsidR="000C4A0B" w:rsidRDefault="000C4A0B" w:rsidP="000C4A0B">
      <w:bookmarkStart w:id="224" w:name="_Hlk54075199"/>
      <w:r>
        <w:rPr>
          <w:lang w:eastAsia="zh-TW"/>
        </w:rPr>
        <w:t xml:space="preserve">RDW w art. 4 ust. 4-9 wskazuje warunki, jakie muszą zostać spełnione, aby można było zastosować odstępstwo od osiągnięcia celów środowiskowych dla jcw. </w:t>
      </w:r>
      <w:r>
        <w:t>W świetle tych zapisów zakres wyłączeń obejmuje:</w:t>
      </w:r>
    </w:p>
    <w:p w14:paraId="36904AC2" w14:textId="77777777" w:rsidR="000C4A0B" w:rsidRDefault="000C4A0B" w:rsidP="00AA3506">
      <w:pPr>
        <w:pStyle w:val="Bullet1"/>
        <w:numPr>
          <w:ilvl w:val="0"/>
          <w:numId w:val="87"/>
        </w:numPr>
        <w:tabs>
          <w:tab w:val="clear" w:pos="284"/>
          <w:tab w:val="left" w:pos="708"/>
        </w:tabs>
        <w:suppressAutoHyphens/>
        <w:spacing w:before="120" w:after="120" w:line="240" w:lineRule="auto"/>
        <w:rPr>
          <w:rFonts w:cs="Calibri"/>
        </w:rPr>
      </w:pPr>
      <w:r>
        <w:rPr>
          <w:rFonts w:cs="Calibri"/>
        </w:rPr>
        <w:t>przedłużenie terminu osiągnięcia celów środowiskowych (art. 4 ust. 4 RDW);</w:t>
      </w:r>
    </w:p>
    <w:p w14:paraId="5890B3CA" w14:textId="77777777" w:rsidR="000C4A0B" w:rsidRDefault="000C4A0B" w:rsidP="00AA3506">
      <w:pPr>
        <w:pStyle w:val="Bullet1"/>
        <w:numPr>
          <w:ilvl w:val="0"/>
          <w:numId w:val="87"/>
        </w:numPr>
        <w:tabs>
          <w:tab w:val="clear" w:pos="284"/>
          <w:tab w:val="left" w:pos="708"/>
        </w:tabs>
        <w:suppressAutoHyphens/>
        <w:spacing w:before="120" w:after="120" w:line="240" w:lineRule="auto"/>
        <w:rPr>
          <w:rFonts w:cs="Calibri"/>
        </w:rPr>
      </w:pPr>
      <w:r>
        <w:rPr>
          <w:rFonts w:cs="Calibri"/>
        </w:rPr>
        <w:t>ustanowienie mniej rygorystycznych celów środowiskowych (art. 4 ust. 5 RDW) w przypadkach, kiedy osiągnięcie zasadniczych celów jest niemożliwe lub nieproporcjonalnie kosztowne;</w:t>
      </w:r>
    </w:p>
    <w:p w14:paraId="424E38E1" w14:textId="77777777" w:rsidR="000C4A0B" w:rsidRDefault="000C4A0B" w:rsidP="00AA3506">
      <w:pPr>
        <w:pStyle w:val="Bullet1"/>
        <w:numPr>
          <w:ilvl w:val="0"/>
          <w:numId w:val="87"/>
        </w:numPr>
        <w:tabs>
          <w:tab w:val="clear" w:pos="284"/>
          <w:tab w:val="left" w:pos="708"/>
        </w:tabs>
        <w:suppressAutoHyphens/>
        <w:spacing w:before="120" w:after="120" w:line="240" w:lineRule="auto"/>
        <w:rPr>
          <w:rFonts w:cs="Calibri"/>
        </w:rPr>
      </w:pPr>
      <w:r>
        <w:rPr>
          <w:rFonts w:cs="Calibri"/>
        </w:rPr>
        <w:t>tymczasowe pogorszenie stanu (art. 4 ust. 6 RDW), dotyczące zdarzeń, których nie można było przewidzieć (zjawisk o charakterze naturalnym lub awarii);</w:t>
      </w:r>
    </w:p>
    <w:p w14:paraId="4DE8EA2D" w14:textId="1E428B80" w:rsidR="000C4A0B" w:rsidRDefault="000C4A0B" w:rsidP="00AA3506">
      <w:pPr>
        <w:pStyle w:val="Bullet1"/>
        <w:numPr>
          <w:ilvl w:val="0"/>
          <w:numId w:val="87"/>
        </w:numPr>
        <w:tabs>
          <w:tab w:val="clear" w:pos="284"/>
          <w:tab w:val="left" w:pos="708"/>
        </w:tabs>
        <w:suppressAutoHyphens/>
        <w:spacing w:before="120" w:after="120" w:line="240" w:lineRule="auto"/>
        <w:rPr>
          <w:rFonts w:cs="Calibri"/>
        </w:rPr>
      </w:pPr>
      <w:r>
        <w:rPr>
          <w:rFonts w:cs="Calibri"/>
        </w:rPr>
        <w:t>nieosiągnięcie celu środowiskowego (</w:t>
      </w:r>
      <w:r w:rsidR="0086739A">
        <w:rPr>
          <w:rFonts w:cs="Calibri"/>
        </w:rPr>
        <w:t xml:space="preserve">lub </w:t>
      </w:r>
      <w:r>
        <w:rPr>
          <w:rFonts w:cs="Calibri"/>
        </w:rPr>
        <w:t xml:space="preserve">pogorszenie stanu) </w:t>
      </w:r>
      <w:r>
        <w:t>jcwp</w:t>
      </w:r>
      <w:r>
        <w:rPr>
          <w:rFonts w:cs="Calibri"/>
        </w:rPr>
        <w:t xml:space="preserve"> lub </w:t>
      </w:r>
      <w:r>
        <w:t>jcwp</w:t>
      </w:r>
      <w:r>
        <w:rPr>
          <w:rFonts w:cs="Calibri"/>
        </w:rPr>
        <w:t xml:space="preserve">d wskutek nowych zmian w charakterystyce fizycznej </w:t>
      </w:r>
      <w:r>
        <w:t>jcwp</w:t>
      </w:r>
      <w:r>
        <w:rPr>
          <w:rFonts w:cs="Calibri"/>
        </w:rPr>
        <w:t xml:space="preserve"> </w:t>
      </w:r>
      <w:r w:rsidR="0086739A">
        <w:rPr>
          <w:rFonts w:cs="Calibri"/>
        </w:rPr>
        <w:t xml:space="preserve">lub </w:t>
      </w:r>
      <w:r>
        <w:rPr>
          <w:rFonts w:cs="Calibri"/>
        </w:rPr>
        <w:t xml:space="preserve">zmian poziomu </w:t>
      </w:r>
      <w:r>
        <w:t>jcwp</w:t>
      </w:r>
      <w:r>
        <w:rPr>
          <w:rFonts w:cs="Calibri"/>
        </w:rPr>
        <w:t xml:space="preserve">d, a także pogorszenie się </w:t>
      </w:r>
      <w:r>
        <w:t>jcwp</w:t>
      </w:r>
      <w:r>
        <w:rPr>
          <w:rFonts w:cs="Calibri"/>
        </w:rPr>
        <w:t xml:space="preserve"> ze stanu bardzo dobrego do dobrego wskutek nowych zrównoważonych form działalności gospodarczej człowieka (art. 4 ust. 7 RDW). </w:t>
      </w:r>
    </w:p>
    <w:p w14:paraId="7B6CA366" w14:textId="75CC0244" w:rsidR="000C4A0B" w:rsidRDefault="000C4A0B" w:rsidP="000C4A0B">
      <w:pPr>
        <w:rPr>
          <w:rFonts w:cs="Calibri"/>
          <w:bCs/>
          <w:iCs/>
        </w:rPr>
      </w:pPr>
      <w:r>
        <w:rPr>
          <w:rFonts w:cs="Calibri"/>
          <w:bCs/>
          <w:iCs/>
        </w:rPr>
        <w:t xml:space="preserve">Dwa pierwsze przypadki dotyczą sytuacji, w których </w:t>
      </w:r>
      <w:r w:rsidR="0086739A">
        <w:rPr>
          <w:rFonts w:cs="Calibri"/>
          <w:bCs/>
          <w:iCs/>
        </w:rPr>
        <w:t xml:space="preserve">nie jest możliwe </w:t>
      </w:r>
      <w:r>
        <w:rPr>
          <w:rFonts w:cs="Calibri"/>
          <w:bCs/>
          <w:iCs/>
        </w:rPr>
        <w:t>osiągnięcie dobrego stanu wód w</w:t>
      </w:r>
      <w:r w:rsidR="007E5892">
        <w:rPr>
          <w:rFonts w:cs="Calibri"/>
          <w:bCs/>
          <w:iCs/>
        </w:rPr>
        <w:t> </w:t>
      </w:r>
      <w:r w:rsidR="0086739A">
        <w:rPr>
          <w:rFonts w:cs="Calibri"/>
          <w:bCs/>
          <w:iCs/>
        </w:rPr>
        <w:t>zakładanej perspektywie planistycznej</w:t>
      </w:r>
      <w:r>
        <w:rPr>
          <w:rFonts w:cs="Calibri"/>
          <w:bCs/>
          <w:iCs/>
        </w:rPr>
        <w:t xml:space="preserve">. Podobnie jak w innych przypadkach, tak i tu RDW dopuszcza zastosowanie odstępstw, uzależnia to jednak od osiągnięcia ściśle określonych warunków. </w:t>
      </w:r>
    </w:p>
    <w:p w14:paraId="11C58535" w14:textId="58D4A054" w:rsidR="000C4A0B" w:rsidRDefault="000C4A0B" w:rsidP="000C4A0B">
      <w:pPr>
        <w:rPr>
          <w:rFonts w:cs="Calibri"/>
          <w:bCs/>
          <w:iCs/>
        </w:rPr>
      </w:pPr>
      <w:r>
        <w:rPr>
          <w:rFonts w:cs="Calibri"/>
          <w:bCs/>
          <w:iCs/>
        </w:rPr>
        <w:t>Trzeci przypadek odnosi się do zjawisk o charakterze wyjątkowym (rozdział 8.5), natomiast czwarty odnosi się do rozstrzygnięć dopuszczających wybrane działania, inwestycje i przedsięwzięcia, które kolidują z celami środowiskowymi (rozdział 16).</w:t>
      </w:r>
    </w:p>
    <w:p w14:paraId="6193ED30" w14:textId="7A4A1022" w:rsidR="000C4A0B" w:rsidRDefault="000C4A0B" w:rsidP="000C4A0B">
      <w:r>
        <w:t>Odstępstwo ustanawiane w trybie art. 4 ust. 4 RDW polega na dopuszczalności odroczenia w czasie terminu osiągnięcia celów środowiskowych jcw (</w:t>
      </w:r>
      <w:r w:rsidR="0086739A">
        <w:t>generalnie</w:t>
      </w:r>
      <w:r>
        <w:t xml:space="preserve"> pierwotny termin był wyznaczony na 2015</w:t>
      </w:r>
      <w:r w:rsidR="007E5892">
        <w:t> </w:t>
      </w:r>
      <w:r>
        <w:t>r.</w:t>
      </w:r>
      <w:r w:rsidR="0086739A">
        <w:t xml:space="preserve"> zgodnie z art. 4 ust. 1 RDW</w:t>
      </w:r>
      <w:r>
        <w:t xml:space="preserve">). Jest ono uzasadnione, jeżeli spełnione są trzy główne przesłanki, a spełnienie </w:t>
      </w:r>
      <w:r>
        <w:rPr>
          <w:u w:val="single"/>
        </w:rPr>
        <w:t>co najmniej jednej z nich</w:t>
      </w:r>
      <w:r>
        <w:t xml:space="preserve"> skutkuje możliwością ustanowienia odstępstwa:</w:t>
      </w:r>
    </w:p>
    <w:p w14:paraId="02FF275A" w14:textId="694B5C04" w:rsidR="000C4A0B" w:rsidRDefault="000C4A0B" w:rsidP="000C4A0B">
      <w:pPr>
        <w:rPr>
          <w:i/>
          <w:iCs/>
        </w:rPr>
      </w:pPr>
      <w:r>
        <w:rPr>
          <w:i/>
          <w:iCs/>
        </w:rPr>
        <w:t xml:space="preserve">Państwa </w:t>
      </w:r>
      <w:r w:rsidR="0086739A">
        <w:rPr>
          <w:i/>
          <w:iCs/>
        </w:rPr>
        <w:t>C</w:t>
      </w:r>
      <w:r>
        <w:rPr>
          <w:i/>
          <w:iCs/>
        </w:rPr>
        <w:t xml:space="preserve">złonkowskie ustalają, że wszystkie niezbędne poprawy stanu jcw mogą być w sposób racjonalny osiągnięte w </w:t>
      </w:r>
      <w:r w:rsidR="0086739A">
        <w:rPr>
          <w:i/>
          <w:iCs/>
        </w:rPr>
        <w:t xml:space="preserve">okresie czasu </w:t>
      </w:r>
      <w:r>
        <w:rPr>
          <w:i/>
          <w:iCs/>
        </w:rPr>
        <w:t>wymienionym w tym ustępie ze względu na przynajmniej jedną z następujących przyczyn:</w:t>
      </w:r>
    </w:p>
    <w:p w14:paraId="1195642A" w14:textId="42AB7C5D" w:rsidR="000C4A0B" w:rsidRPr="003F4A95" w:rsidRDefault="000C4A0B" w:rsidP="00AA3506">
      <w:pPr>
        <w:pStyle w:val="Akapitzlist"/>
        <w:numPr>
          <w:ilvl w:val="0"/>
          <w:numId w:val="76"/>
        </w:numPr>
        <w:rPr>
          <w:i/>
          <w:iCs/>
        </w:rPr>
      </w:pPr>
      <w:r w:rsidRPr="003F4A95">
        <w:rPr>
          <w:i/>
          <w:iCs/>
        </w:rPr>
        <w:t>Ze względu na możliwości techniczne skala wymaganych popraw może być osiągnięta tylko w</w:t>
      </w:r>
      <w:r w:rsidR="007E5892">
        <w:rPr>
          <w:i/>
          <w:iCs/>
        </w:rPr>
        <w:t> </w:t>
      </w:r>
      <w:r w:rsidRPr="003F4A95">
        <w:rPr>
          <w:i/>
          <w:iCs/>
        </w:rPr>
        <w:t>etapach przekraczających określony czas.</w:t>
      </w:r>
    </w:p>
    <w:p w14:paraId="2B306924" w14:textId="77777777" w:rsidR="000C4A0B" w:rsidRPr="003F4A95" w:rsidRDefault="000C4A0B" w:rsidP="00AA3506">
      <w:pPr>
        <w:pStyle w:val="Akapitzlist"/>
        <w:numPr>
          <w:ilvl w:val="0"/>
          <w:numId w:val="76"/>
        </w:numPr>
        <w:rPr>
          <w:i/>
          <w:iCs/>
        </w:rPr>
      </w:pPr>
      <w:r w:rsidRPr="003F4A95">
        <w:rPr>
          <w:i/>
          <w:iCs/>
        </w:rPr>
        <w:t>Zakończenie poprawy w tej skali czasowej byłoby nieproporcjonalnie kosztowne.</w:t>
      </w:r>
    </w:p>
    <w:p w14:paraId="7B3E584D" w14:textId="77777777" w:rsidR="000C4A0B" w:rsidRPr="003F4A95" w:rsidRDefault="000C4A0B" w:rsidP="00AA3506">
      <w:pPr>
        <w:pStyle w:val="Akapitzlist"/>
        <w:numPr>
          <w:ilvl w:val="0"/>
          <w:numId w:val="76"/>
        </w:numPr>
        <w:rPr>
          <w:i/>
          <w:iCs/>
        </w:rPr>
      </w:pPr>
      <w:r w:rsidRPr="003F4A95">
        <w:rPr>
          <w:i/>
          <w:iCs/>
        </w:rPr>
        <w:t>Naturalne warunki nie pozwalają na zgodne z czasem poprawienie się stanu jcw.</w:t>
      </w:r>
    </w:p>
    <w:p w14:paraId="21CE7417" w14:textId="78BA688D" w:rsidR="000C4A0B" w:rsidRDefault="000C4A0B" w:rsidP="000C4A0B">
      <w:r>
        <w:t xml:space="preserve">Przedmiotowe odstępstwo ma charakter terminowy i powinno być ograniczone do maksimum dwóch dalszych uaktualnień PGW, co oznacza, że osiągnięcie celów środowiskowych co do zasady może być odroczone do 2027 r., o ile zostały wdrożone wszystkie działania naprawcze. Nie dotyczy to przypadków, w których odstępstwo jest uzasadnione warunkami naturalnymi, </w:t>
      </w:r>
      <w:r w:rsidR="0086739A">
        <w:t xml:space="preserve">które determinują </w:t>
      </w:r>
      <w:r>
        <w:t>tempo osiągania celów środowiskowych po wdrożeniu działań naprawczych oraz możliwość naturalnej regeneracji ekosystemów. Perspektywa terminowa wygląda inaczej w odniesieniu do substancji wymienionych w dyrektywie 2013/39/UE zmieniającej dyrektywy 2000/60/WE i 2008/105/WE w</w:t>
      </w:r>
      <w:r w:rsidR="00D12013">
        <w:t> </w:t>
      </w:r>
      <w:r>
        <w:t xml:space="preserve">zakresie substancji priorytetowych w dziedzinie polityki wodnej. Ten akt prawny </w:t>
      </w:r>
      <w:r>
        <w:rPr>
          <w:rFonts w:asciiTheme="minorHAnsi" w:hAnsiTheme="minorHAnsi"/>
        </w:rPr>
        <w:t xml:space="preserve">wprowadził normy środowiskowe dla dodatkowych </w:t>
      </w:r>
      <w:r w:rsidR="0086739A">
        <w:rPr>
          <w:rFonts w:asciiTheme="minorHAnsi" w:hAnsiTheme="minorHAnsi"/>
        </w:rPr>
        <w:t>12</w:t>
      </w:r>
      <w:r>
        <w:rPr>
          <w:rFonts w:asciiTheme="minorHAnsi" w:hAnsiTheme="minorHAnsi"/>
        </w:rPr>
        <w:t xml:space="preserve"> (poza 33 substancjami priorytetowymi i 8 innymi substancjami zanieczyszczającymi już wprowadzonymi na mocy aneksu II do dyrektywy Parlamentu Europejskiego i</w:t>
      </w:r>
      <w:r w:rsidR="007E5892">
        <w:rPr>
          <w:rFonts w:asciiTheme="minorHAnsi" w:hAnsiTheme="minorHAnsi"/>
        </w:rPr>
        <w:t> </w:t>
      </w:r>
      <w:r>
        <w:rPr>
          <w:rFonts w:asciiTheme="minorHAnsi" w:hAnsiTheme="minorHAnsi"/>
        </w:rPr>
        <w:t xml:space="preserve">Rady 2008/105/WE z dnia 16 grudnia 2008 r. w sprawie środowiskowych norm jakości w dziedzinie polityki wodnej) </w:t>
      </w:r>
      <w:r w:rsidR="0086739A">
        <w:rPr>
          <w:rFonts w:asciiTheme="minorHAnsi" w:hAnsiTheme="minorHAnsi"/>
        </w:rPr>
        <w:t xml:space="preserve">substancji </w:t>
      </w:r>
      <w:r>
        <w:rPr>
          <w:rFonts w:asciiTheme="minorHAnsi" w:hAnsiTheme="minorHAnsi"/>
        </w:rPr>
        <w:t xml:space="preserve">zidentyfikowanych jako niebezpieczne dla środowiska wodnego oraz zmieniająca normy środowiskowe dla niektórych substancji już włączonych do listy. Dla tych </w:t>
      </w:r>
      <w:r w:rsidR="0086739A">
        <w:rPr>
          <w:rFonts w:asciiTheme="minorHAnsi" w:hAnsiTheme="minorHAnsi"/>
        </w:rPr>
        <w:t xml:space="preserve">12 </w:t>
      </w:r>
      <w:r>
        <w:rPr>
          <w:rFonts w:asciiTheme="minorHAnsi" w:hAnsiTheme="minorHAnsi"/>
        </w:rPr>
        <w:t>substancji cel środowiskowy może być odroczony do 2039 r. ze względu na przesłanki uwzględniające nie tylko warunki naturalne, ale również możliwości techniczne i nieproporcjonalne koszty.</w:t>
      </w:r>
      <w:r w:rsidR="0086739A">
        <w:rPr>
          <w:rFonts w:asciiTheme="minorHAnsi" w:hAnsiTheme="minorHAnsi"/>
        </w:rPr>
        <w:t xml:space="preserve"> </w:t>
      </w:r>
      <w:r w:rsidR="0086739A">
        <w:rPr>
          <w:rFonts w:asciiTheme="minorHAnsi" w:hAnsiTheme="minorHAnsi" w:cs="Arial"/>
        </w:rPr>
        <w:t>Substancje, o których mowa powyżej, to: dikofol, kwas perfluorookatnosulfonowy i jego pochodne (PFOS), chinoksyfen, dioksyny i związki dioksynopodobne, aklonifen, bifenoks, cybutryna, cypermetryna</w:t>
      </w:r>
      <w:hyperlink r:id="rId59" w:anchor="ntr10-L_2013226PL.01001202-E0010" w:history="1">
        <w:r w:rsidR="0086739A">
          <w:rPr>
            <w:rStyle w:val="Hipercze"/>
            <w:rFonts w:asciiTheme="minorHAnsi" w:hAnsiTheme="minorHAnsi" w:cs="Arial"/>
            <w:color w:val="auto"/>
          </w:rPr>
          <w:t>,</w:t>
        </w:r>
      </w:hyperlink>
      <w:r w:rsidR="0086739A">
        <w:rPr>
          <w:rFonts w:asciiTheme="minorHAnsi" w:hAnsiTheme="minorHAnsi" w:cs="Arial"/>
        </w:rPr>
        <w:t xml:space="preserve"> dichlorfos, heksabromocyklododekany (HBCDD), terbutryna, heptachlor i epoksyd heptachloru. Pełna lista substancji priorytetowych jest wyszczególniona w rozporządzeniu Ministra Gospodarki Morskiej i</w:t>
      </w:r>
      <w:r w:rsidR="007E5892">
        <w:rPr>
          <w:rFonts w:asciiTheme="minorHAnsi" w:hAnsiTheme="minorHAnsi" w:cs="Arial"/>
        </w:rPr>
        <w:t> </w:t>
      </w:r>
      <w:r w:rsidR="0086739A">
        <w:rPr>
          <w:rFonts w:asciiTheme="minorHAnsi" w:hAnsiTheme="minorHAnsi" w:cs="Arial"/>
        </w:rPr>
        <w:t>Żeglugi Śródlądowej z dnia 1 marca 2019 r. w sprawie wykazu substancji priorytetowych. Są one również uwzględnione w r.kl.jcwp.</w:t>
      </w:r>
    </w:p>
    <w:p w14:paraId="2A5CFFC1" w14:textId="08A0EB85" w:rsidR="00B015CB" w:rsidRDefault="000C4A0B" w:rsidP="000C4A0B">
      <w:r>
        <w:t xml:space="preserve">Odstępstwo ustanawiane w trybie art. 4 ust. 5 RDW oraz art. 63 ustawy pr.w. polega na ustaleniu złagodzonych celów środowiskowych. Jego zastosowanie jest dopuszczalne jedynie dla </w:t>
      </w:r>
      <w:r w:rsidR="00B015CB">
        <w:t xml:space="preserve">tych </w:t>
      </w:r>
      <w:r>
        <w:t xml:space="preserve">jcw, </w:t>
      </w:r>
      <w:r w:rsidR="00B015CB">
        <w:t>w</w:t>
      </w:r>
      <w:r w:rsidR="007E5892">
        <w:t> </w:t>
      </w:r>
      <w:r>
        <w:t xml:space="preserve">których </w:t>
      </w:r>
      <w:r w:rsidR="00B015CB">
        <w:t xml:space="preserve">warunki </w:t>
      </w:r>
      <w:r>
        <w:t>naturalne</w:t>
      </w:r>
      <w:r w:rsidR="00B015CB">
        <w:t xml:space="preserve"> lub działalność człowieka sprawiają,</w:t>
      </w:r>
      <w:r>
        <w:t xml:space="preserve"> że</w:t>
      </w:r>
      <w:r w:rsidR="00B015CB">
        <w:t>:</w:t>
      </w:r>
      <w:r>
        <w:t xml:space="preserve"> </w:t>
      </w:r>
    </w:p>
    <w:p w14:paraId="3EC84070" w14:textId="2009852C" w:rsidR="00B015CB" w:rsidRDefault="000C4A0B" w:rsidP="00AA3506">
      <w:pPr>
        <w:pStyle w:val="Numerowanie"/>
        <w:numPr>
          <w:ilvl w:val="0"/>
          <w:numId w:val="120"/>
        </w:numPr>
      </w:pPr>
      <w:r>
        <w:t xml:space="preserve">osiągnięcie </w:t>
      </w:r>
      <w:r w:rsidR="00B015CB">
        <w:t>dobrego stanu wódjest</w:t>
      </w:r>
      <w:r>
        <w:t xml:space="preserve"> niewykonalne lub</w:t>
      </w:r>
      <w:r w:rsidR="00B015CB">
        <w:t>/i</w:t>
      </w:r>
      <w:r>
        <w:t xml:space="preserve"> </w:t>
      </w:r>
    </w:p>
    <w:p w14:paraId="273941AB" w14:textId="60ABEDA2" w:rsidR="00B015CB" w:rsidRDefault="00B015CB" w:rsidP="00AA3506">
      <w:pPr>
        <w:pStyle w:val="Numerowanie"/>
        <w:numPr>
          <w:ilvl w:val="0"/>
          <w:numId w:val="120"/>
        </w:numPr>
      </w:pPr>
      <w:r>
        <w:t xml:space="preserve">istnieje wykonalna technicznie alternatywa dla presji powodowanej działalnością człowieka, ale jej wdrożenie </w:t>
      </w:r>
      <w:r w:rsidR="000C4A0B">
        <w:t>rodziłoby nieproporcjonalnie wysokie koszty w</w:t>
      </w:r>
      <w:r w:rsidR="00D12013">
        <w:t> </w:t>
      </w:r>
      <w:r w:rsidR="000C4A0B">
        <w:t xml:space="preserve">stosunku do spodziewanych korzyści i jednocześnie byłyby spełnione przesłanki wskazane w ww. przepisach. </w:t>
      </w:r>
    </w:p>
    <w:p w14:paraId="08486269" w14:textId="187996E8" w:rsidR="000C4A0B" w:rsidRDefault="000C4A0B" w:rsidP="003F4A95">
      <w:pPr>
        <w:pStyle w:val="Numerowanie"/>
        <w:numPr>
          <w:ilvl w:val="0"/>
          <w:numId w:val="0"/>
        </w:numPr>
      </w:pPr>
      <w:r>
        <w:t>Do tego typu odstępstwa wytypowano te jcw, które są w stanie złym (w odniesieniu do monitorowanych jcw) lub w których występuje presja zagrażająca celom środowiskowym (w</w:t>
      </w:r>
      <w:r w:rsidR="00D12013">
        <w:t> </w:t>
      </w:r>
      <w:r>
        <w:t>odniesieniu do niemonitorowanych</w:t>
      </w:r>
      <w:r w:rsidR="00B015CB">
        <w:t xml:space="preserve"> jcwp</w:t>
      </w:r>
      <w:r>
        <w:t xml:space="preserve">), dla których stwierdzono: </w:t>
      </w:r>
    </w:p>
    <w:p w14:paraId="5BF417A1" w14:textId="77777777" w:rsidR="000C4A0B" w:rsidRPr="00122074" w:rsidRDefault="000C4A0B" w:rsidP="00122074">
      <w:pPr>
        <w:pStyle w:val="Akapitzlist"/>
      </w:pPr>
      <w:r w:rsidRPr="00122074">
        <w:t>występowanie warunków naturalnych uniemożliwiających osiągnięcie dobrego stanu wód;</w:t>
      </w:r>
    </w:p>
    <w:p w14:paraId="3E3B7240" w14:textId="0EE531B4" w:rsidR="000C4A0B" w:rsidRPr="00122074" w:rsidRDefault="000C4A0B" w:rsidP="00122074">
      <w:pPr>
        <w:pStyle w:val="Akapitzlist"/>
      </w:pPr>
      <w:r w:rsidRPr="00122074">
        <w:t>brak pożądanej (tj. dającej wysokie prawdopodobieństwo osiągnięcia celów środowiskowych) skuteczności działań naprawczych i brak alternatywy (wykonalnej technicznie i niepowodującej nieproporcjonalnych kosztów) dla prowadzonej działalności człowieka zaspokajającej potrzeby w</w:t>
      </w:r>
      <w:r w:rsidR="00D12013" w:rsidRPr="00122074">
        <w:t> </w:t>
      </w:r>
      <w:r w:rsidRPr="00122074">
        <w:t>zakresie środowiska,</w:t>
      </w:r>
      <w:r w:rsidR="00B015CB">
        <w:t xml:space="preserve"> w tym potrzeby</w:t>
      </w:r>
      <w:r w:rsidRPr="00122074">
        <w:t xml:space="preserve"> społeczne lub gospodarcze.</w:t>
      </w:r>
    </w:p>
    <w:p w14:paraId="27A0D1D0" w14:textId="40589E00" w:rsidR="00892727" w:rsidRDefault="000C4A0B" w:rsidP="00892727">
      <w:r>
        <w:rPr>
          <w:rFonts w:cs="Calibri"/>
          <w:bCs/>
          <w:iCs/>
        </w:rPr>
        <w:t xml:space="preserve">RDW nie </w:t>
      </w:r>
      <w:r w:rsidR="00EC1782">
        <w:rPr>
          <w:rFonts w:cs="Calibri"/>
          <w:bCs/>
          <w:iCs/>
        </w:rPr>
        <w:t xml:space="preserve">zakłada </w:t>
      </w:r>
      <w:r w:rsidR="00641ACB">
        <w:rPr>
          <w:rFonts w:cs="Calibri"/>
          <w:bCs/>
          <w:iCs/>
        </w:rPr>
        <w:t xml:space="preserve">się </w:t>
      </w:r>
      <w:r>
        <w:rPr>
          <w:rFonts w:cs="Calibri"/>
          <w:bCs/>
          <w:iCs/>
        </w:rPr>
        <w:t>hierarchicznego związku między odstępstwem ustanawianym w trybie art. 4 ust. 4 i art. 4 ust. 5 RDW. W ramach analiz związanych z opracowywaniem IIaPGW z</w:t>
      </w:r>
      <w:r>
        <w:t xml:space="preserve">ostała dokonana ocena, czy pełna realizacja zestawów działań pozostawia ryzyko nieosiągnięcia celów środowiskowych </w:t>
      </w:r>
      <w:r w:rsidR="00892727">
        <w:t>(</w:t>
      </w:r>
      <w:r>
        <w:t>do</w:t>
      </w:r>
      <w:r w:rsidR="007E5892">
        <w:t> </w:t>
      </w:r>
      <w:r>
        <w:t>2027 r.</w:t>
      </w:r>
      <w:r w:rsidR="00892727">
        <w:t>, po 2027 r. lub do</w:t>
      </w:r>
      <w:r>
        <w:t xml:space="preserve"> 2039 r. </w:t>
      </w:r>
      <w:r w:rsidR="00892727">
        <w:t xml:space="preserve">w odniesieniu do </w:t>
      </w:r>
      <w:r>
        <w:t xml:space="preserve">substancji priorytetowych wprowadzonych dyrektywą 2013/39). Jeżeli takie ryzyko wykluczono, </w:t>
      </w:r>
      <w:r w:rsidR="00892727">
        <w:t xml:space="preserve">to </w:t>
      </w:r>
      <w:r>
        <w:t>przedstawiono uzasadnienie dla odroczenia w</w:t>
      </w:r>
      <w:r w:rsidR="007E5892">
        <w:t> </w:t>
      </w:r>
      <w:r>
        <w:t xml:space="preserve">czasie terminu osiągnięcia celów środowiskowych. </w:t>
      </w:r>
    </w:p>
    <w:p w14:paraId="6FC3CEB3" w14:textId="77777777" w:rsidR="00892727" w:rsidRDefault="00892727" w:rsidP="00892727">
      <w:r>
        <w:t>Dotyczy to jcw:</w:t>
      </w:r>
    </w:p>
    <w:p w14:paraId="2426AFE5" w14:textId="2820311F" w:rsidR="00892727" w:rsidRDefault="00892727" w:rsidP="00AA3506">
      <w:pPr>
        <w:pStyle w:val="Akapitzlist"/>
        <w:numPr>
          <w:ilvl w:val="0"/>
          <w:numId w:val="121"/>
        </w:numPr>
        <w:contextualSpacing/>
      </w:pPr>
      <w:r>
        <w:t>których stan oceniono jako zły</w:t>
      </w:r>
      <w:r w:rsidR="00E32672">
        <w:t xml:space="preserve"> </w:t>
      </w:r>
      <w:r w:rsidR="00E32672" w:rsidRPr="00A45287">
        <w:t>(</w:t>
      </w:r>
      <w:bookmarkStart w:id="225" w:name="_Hlk68073408"/>
      <w:r w:rsidR="00E32672">
        <w:t xml:space="preserve">na podstawie badań PMŚ za lata 2014-2019 w odniesieniu do </w:t>
      </w:r>
      <w:r w:rsidR="00E32672" w:rsidRPr="00A45287">
        <w:t xml:space="preserve">wartości </w:t>
      </w:r>
      <w:r w:rsidR="00E32672">
        <w:t xml:space="preserve">wskazanych w r.kl.jcwp </w:t>
      </w:r>
      <w:r w:rsidR="00E32672" w:rsidRPr="00A45287">
        <w:t>obowiązujących od 2022 r.)</w:t>
      </w:r>
      <w:bookmarkEnd w:id="225"/>
      <w:r>
        <w:t>, ale prognozowana skuteczność programu działań pozwala na osiągnięcie celów środowiskowych do 2027 r. (lub: 2039 r. w</w:t>
      </w:r>
      <w:r w:rsidR="007E5892">
        <w:t> </w:t>
      </w:r>
      <w:r>
        <w:t>odniesieniu do substancji priorytetowych wprowadzonych dyrektywą 2013/39),</w:t>
      </w:r>
    </w:p>
    <w:p w14:paraId="0CBAA92F" w14:textId="16C87B16" w:rsidR="00892727" w:rsidRDefault="00892727" w:rsidP="00AA3506">
      <w:pPr>
        <w:pStyle w:val="Akapitzlist"/>
        <w:numPr>
          <w:ilvl w:val="0"/>
          <w:numId w:val="121"/>
        </w:numPr>
        <w:contextualSpacing/>
      </w:pPr>
      <w:r>
        <w:t>które są niemonitorowane i znajdują się pod wpływem presji zagrażającej celom środowiskowym, jednak skuteczność programu działań zakłada możliwość osiągnięcia tych celów (w takim przypadku przyjęto, że cele zostaną osiągnięte po 2027 r.).</w:t>
      </w:r>
    </w:p>
    <w:p w14:paraId="099AD745" w14:textId="5EDB0F96" w:rsidR="000C4A0B" w:rsidRDefault="00892727" w:rsidP="00892727">
      <w:r>
        <w:t>W</w:t>
      </w:r>
      <w:r w:rsidR="000C4A0B">
        <w:t xml:space="preserve"> przypadku stwierdzenia ryzyka </w:t>
      </w:r>
      <w:r>
        <w:t xml:space="preserve">trwałego </w:t>
      </w:r>
      <w:r w:rsidR="000C4A0B">
        <w:t>nieosiągnięcia celów środowiskowych (pomimo pełnego wdrożenia zestawów działań</w:t>
      </w:r>
      <w:r>
        <w:t xml:space="preserve"> i dążenia do osiągnięcia możliwie najlepszego stanu wód</w:t>
      </w:r>
      <w:r w:rsidR="000C4A0B">
        <w:t>)</w:t>
      </w:r>
      <w:r>
        <w:t>,</w:t>
      </w:r>
      <w:r w:rsidR="000C4A0B">
        <w:t xml:space="preserve"> przedstawiono uzasadnienie dla odstępstwa polegającego na złagodzeniu celów środowiskowych oraz sformułowano ten cel w sposób adekwatny do dostępnych danych. Powyższe oznacza, że przy ustalaniu odstępstwa w trybie art. 4 ust. 5 RDW w pierwszej kolejności należało udowodnić wykluczenie przedłużenia terminu osiągnięcia celów środowiskowych, a dopiero w drugiej kolejności ustalano mniej rygorystyczne cele.</w:t>
      </w:r>
    </w:p>
    <w:p w14:paraId="42B3BEC3" w14:textId="144139A0" w:rsidR="000714F1" w:rsidRDefault="000C4A0B" w:rsidP="000C4A0B">
      <w:pPr>
        <w:rPr>
          <w:rFonts w:asciiTheme="minorHAnsi" w:hAnsiTheme="minorHAnsi" w:cstheme="minorHAnsi"/>
        </w:rPr>
      </w:pPr>
      <w:r>
        <w:rPr>
          <w:rFonts w:cs="Calibri"/>
        </w:rPr>
        <w:t>Na poniższym diagramie przedstawiono schemat decyzyjny w zakresie typowania przypadków wymagających odstępstw (diagram opracowany na podstawie logiki art. 4 ust. 4-5 RDW).</w:t>
      </w:r>
    </w:p>
    <w:p w14:paraId="04AA1FBA" w14:textId="77777777" w:rsidR="000714F1" w:rsidRDefault="000714F1" w:rsidP="000714F1">
      <w:pPr>
        <w:keepNext/>
      </w:pPr>
      <w:r>
        <w:rPr>
          <w:noProof/>
        </w:rPr>
        <w:drawing>
          <wp:inline distT="0" distB="0" distL="0" distR="0" wp14:anchorId="099DCA47" wp14:editId="129B5276">
            <wp:extent cx="5454652" cy="6474460"/>
            <wp:effectExtent l="0" t="0" r="0" b="254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pic:nvPicPr>
                  <pic:blipFill>
                    <a:blip r:embed="rId60">
                      <a:extLst>
                        <a:ext uri="{28A0092B-C50C-407E-A947-70E740481C1C}">
                          <a14:useLocalDpi xmlns:a14="http://schemas.microsoft.com/office/drawing/2010/main" val="0"/>
                        </a:ext>
                      </a:extLst>
                    </a:blip>
                    <a:srcRect l="6467" r="2553"/>
                    <a:stretch>
                      <a:fillRect/>
                    </a:stretch>
                  </pic:blipFill>
                  <pic:spPr>
                    <a:xfrm>
                      <a:off x="0" y="0"/>
                      <a:ext cx="5454652" cy="6474460"/>
                    </a:xfrm>
                    <a:prstGeom prst="rect">
                      <a:avLst/>
                    </a:prstGeom>
                  </pic:spPr>
                </pic:pic>
              </a:graphicData>
            </a:graphic>
          </wp:inline>
        </w:drawing>
      </w:r>
    </w:p>
    <w:p w14:paraId="0D8FD0BB" w14:textId="3C81F277" w:rsidR="000714F1" w:rsidRPr="00F45A85" w:rsidRDefault="000714F1" w:rsidP="006802BB">
      <w:pPr>
        <w:pStyle w:val="Rysunek"/>
      </w:pPr>
      <w:bookmarkStart w:id="226" w:name="_Toc66311384"/>
      <w:bookmarkStart w:id="227" w:name="_Toc68727075"/>
      <w:r w:rsidRPr="00F45A85">
        <w:t xml:space="preserve">Rysunek </w:t>
      </w:r>
      <w:fldSimple w:instr=" STYLEREF 1 \s ">
        <w:r w:rsidR="00860BC1">
          <w:rPr>
            <w:noProof/>
          </w:rPr>
          <w:t>8</w:t>
        </w:r>
      </w:fldSimple>
      <w:r w:rsidR="00860BC1">
        <w:noBreakHyphen/>
      </w:r>
      <w:fldSimple w:instr=" SEQ Rysunek \* ARABIC \s 1 ">
        <w:r w:rsidR="00860BC1">
          <w:rPr>
            <w:noProof/>
          </w:rPr>
          <w:t>1</w:t>
        </w:r>
      </w:fldSimple>
      <w:r w:rsidRPr="00F45A85">
        <w:tab/>
        <w:t>Algorytm decyzyjny zastosowania odstępstw w trybie art. 4 ust. 4 i 5 RDW</w:t>
      </w:r>
      <w:bookmarkEnd w:id="226"/>
      <w:bookmarkEnd w:id="227"/>
    </w:p>
    <w:p w14:paraId="61474536" w14:textId="22BBEEA9" w:rsidR="000714F1" w:rsidRPr="00F45A85" w:rsidRDefault="000714F1" w:rsidP="000714F1">
      <w:pPr>
        <w:pStyle w:val="rdo0"/>
        <w:rPr>
          <w:i w:val="0"/>
          <w:color w:val="4472C4"/>
        </w:rPr>
      </w:pPr>
      <w:r w:rsidRPr="00F45A85">
        <w:t xml:space="preserve">Źródło: </w:t>
      </w:r>
      <w:r w:rsidR="00C520F4">
        <w:t xml:space="preserve">opracowanie </w:t>
      </w:r>
      <w:r w:rsidR="007A0C82">
        <w:t>własne</w:t>
      </w:r>
    </w:p>
    <w:p w14:paraId="06371A10" w14:textId="77777777" w:rsidR="000714F1" w:rsidRDefault="000714F1" w:rsidP="000714F1">
      <w:pPr>
        <w:rPr>
          <w:rFonts w:asciiTheme="minorHAnsi" w:hAnsiTheme="minorHAnsi" w:cstheme="minorHAnsi"/>
        </w:rPr>
      </w:pPr>
      <w:r>
        <w:rPr>
          <w:rFonts w:asciiTheme="minorHAnsi" w:hAnsiTheme="minorHAnsi" w:cstheme="minorHAnsi"/>
        </w:rPr>
        <w:t>Analiza konieczności oraz możliwości zastosowania odstępstw od osiągnięcia celów środowiskowych została przeprowadzona na podstawie:</w:t>
      </w:r>
    </w:p>
    <w:p w14:paraId="0AEF8B71" w14:textId="00D0CF62" w:rsidR="000714F1" w:rsidRPr="00A2159F" w:rsidRDefault="000714F1" w:rsidP="00AA3506">
      <w:pPr>
        <w:pStyle w:val="Numerowanie"/>
        <w:numPr>
          <w:ilvl w:val="0"/>
          <w:numId w:val="88"/>
        </w:numPr>
      </w:pPr>
      <w:r w:rsidRPr="00A2159F">
        <w:t>oceny stanu jcw</w:t>
      </w:r>
      <w:r w:rsidR="00892727">
        <w:t xml:space="preserve"> (w odniesieniu do monitorowanych jcw)</w:t>
      </w:r>
      <w:r w:rsidRPr="00A2159F">
        <w:t>,</w:t>
      </w:r>
    </w:p>
    <w:p w14:paraId="22CAB9BF" w14:textId="77777777" w:rsidR="000C4A0B" w:rsidRDefault="000714F1" w:rsidP="00DE5BC3">
      <w:pPr>
        <w:pStyle w:val="Numerowanie"/>
      </w:pPr>
      <w:r w:rsidRPr="00A2159F">
        <w:t>zagrożenia nieosiągnięciem celów środowiskowych,</w:t>
      </w:r>
    </w:p>
    <w:p w14:paraId="00815FC3" w14:textId="08CFB11F" w:rsidR="000714F1" w:rsidRPr="00A2159F" w:rsidRDefault="000714F1" w:rsidP="00DE5BC3">
      <w:pPr>
        <w:pStyle w:val="Numerowanie"/>
      </w:pPr>
      <w:r w:rsidRPr="00A2159F">
        <w:t>zidentyfikowanych oddziaływań antropogenicznych, będących przyczyną tego zagrożenia,</w:t>
      </w:r>
    </w:p>
    <w:p w14:paraId="7E436473" w14:textId="603F96E5" w:rsidR="000714F1" w:rsidRPr="00A2159F" w:rsidRDefault="000714F1" w:rsidP="00DE5BC3">
      <w:pPr>
        <w:pStyle w:val="Numerowanie"/>
      </w:pPr>
      <w:r w:rsidRPr="00A2159F">
        <w:t xml:space="preserve">programów działań (i ich skuteczności) dla </w:t>
      </w:r>
      <w:r w:rsidR="00892727">
        <w:t>jcw</w:t>
      </w:r>
      <w:r w:rsidRPr="00A2159F">
        <w:t>.</w:t>
      </w:r>
    </w:p>
    <w:p w14:paraId="34A73E1A" w14:textId="09323314" w:rsidR="000C4A0B" w:rsidRDefault="000C4A0B" w:rsidP="00F06393">
      <w:pPr>
        <w:pStyle w:val="Numerowanie"/>
        <w:numPr>
          <w:ilvl w:val="0"/>
          <w:numId w:val="0"/>
        </w:numPr>
      </w:pPr>
      <w:r>
        <w:t xml:space="preserve">Zasadność zastosowania odstępstwa została przeanalizowana dla tych jcw, których stan został oceniony poniżej dobrego (według wartości obowiązujących od 2022 r.). W przypadku gdy dane uzyskane w ramach PMŚ nie pozwoliły na dokonanie oceny stanu wód, przeprowadzono analizę istotności presji, </w:t>
      </w:r>
      <w:r w:rsidR="00477828">
        <w:t xml:space="preserve">która pozwoliła </w:t>
      </w:r>
      <w:r>
        <w:t xml:space="preserve">na zidentyfikowanie tych jcwp, dla których z dużym stopniem prawdopodobieństwa występuje zagrożenie dla celów środowiskowych. </w:t>
      </w:r>
    </w:p>
    <w:p w14:paraId="6E82D1F0" w14:textId="40C343C2" w:rsidR="000714F1" w:rsidRPr="000C4A0B" w:rsidRDefault="000C4A0B" w:rsidP="00F06393">
      <w:pPr>
        <w:pStyle w:val="Numerowanie"/>
        <w:numPr>
          <w:ilvl w:val="0"/>
          <w:numId w:val="0"/>
        </w:numPr>
      </w:pPr>
      <w:r>
        <w:t>Konieczność zastosowania odstępstw nie była analizowana dla tych jcw, dla których w ramach PMŚ nie stwierdzono złego stanu wód oraz dla tych jcw o nieznanym stanie</w:t>
      </w:r>
      <w:r w:rsidR="00477828">
        <w:t xml:space="preserve"> (niemonitorowanych)</w:t>
      </w:r>
      <w:r>
        <w:t>, które w ramach oceny ryzyka nie zostały ocenione jako zagrożone nieosiągnięciem celów środowiskowych (taka ocena oznacza, że dobry stan najprawdopodobniej został osiągnięty, wobec czego stosowanie jakiegokolwiek odstępstwa jest niezasadne).</w:t>
      </w:r>
    </w:p>
    <w:p w14:paraId="2E118F68" w14:textId="6CB9FACF" w:rsidR="00102027" w:rsidRDefault="00102027" w:rsidP="00BF4DD5">
      <w:pPr>
        <w:pStyle w:val="Numerowanie"/>
        <w:numPr>
          <w:ilvl w:val="0"/>
          <w:numId w:val="0"/>
        </w:numPr>
      </w:pPr>
      <w:bookmarkStart w:id="228" w:name="_Hlk68210759"/>
      <w:r>
        <w:t xml:space="preserve">W ramach IIaPGW konsumowane są wyniki wszystkich zrealizowanych prac wchodzących w zakres merytorycznego przygotowania w tym między innymi  </w:t>
      </w:r>
      <w:r>
        <w:rPr>
          <w:i/>
          <w:iCs/>
        </w:rPr>
        <w:t xml:space="preserve">Analizy znaczących oddziaływań </w:t>
      </w:r>
      <w:r w:rsidR="006C4947">
        <w:rPr>
          <w:i/>
          <w:iCs/>
        </w:rPr>
        <w:t>-</w:t>
      </w:r>
      <w:r>
        <w:rPr>
          <w:i/>
          <w:iCs/>
        </w:rPr>
        <w:t xml:space="preserve"> jcwp (…), </w:t>
      </w:r>
      <w:r>
        <w:t xml:space="preserve">która zawiera wyniki oceny ryzyka nieosiągnięcia celów środowiskowych, przeprowadzonej w sposób zgodny z wymogami RDW, tzn. przy założeniu, iż determinantem uznania jcwp za zagrożoną są presje na elementy biologiczne zależne od fizykochemii, biologiczne zależne od hydromorfologii. Oznacza to, że jeśli stan stwierdzonych elementów biologicznych był umiarkowany i nie zidentyfikowano presji, to taka jcwp nie była uznawana za „zagrożoną”. Oznacza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jcwp. </w:t>
      </w:r>
    </w:p>
    <w:p w14:paraId="72B74851" w14:textId="322D963C" w:rsidR="00102027" w:rsidRDefault="00102027" w:rsidP="00BF4DD5">
      <w:pPr>
        <w:pStyle w:val="Numerowanie"/>
        <w:numPr>
          <w:ilvl w:val="0"/>
          <w:numId w:val="0"/>
        </w:numPr>
      </w:pPr>
      <w:r>
        <w:t>Na potrzeby wskazania odstępstw w IIaPGW konieczne jest dodatkowe uwzględnienie oceny stanu ekologicznego lub potencjału ekologicznego (zgodnie z r.kl.jcwp), co oznacza uwzględnienie w ocenie warunków do odstępstw bieżącego przekroczenia wartości granicznych wskaźników fizykochemicznych, które w warunkach utrzymywania się w przyszłości mogą negatywnie wpłynąć na stan elementów biologicznych. Proces reakcji organizmów wodnych i wodozależnych na cechy chemiczne i fizykochemiczne wód jest rozciągnięty w czasie i zależy od wielu czynników (m.in.</w:t>
      </w:r>
      <w:r w:rsidR="007E5892">
        <w:t> </w:t>
      </w:r>
      <w:r>
        <w:t xml:space="preserve">warunków naturalnych). Rozłożona w czasie reakcja organizmów wodnych i wodozależnych na poprawę cech chemicznych i fizykochemicznych przebiega podobnie </w:t>
      </w:r>
      <w:r w:rsidR="006C4947">
        <w:t>-</w:t>
      </w:r>
      <w:r>
        <w:t xml:space="preserve"> stąd tak trudne jest uzyskanie szybkiej poprawy warunków biologicznych w wodach powierzchniowych po uzyskaniu wysokiej jakości parametrów fizykochemicznych wód.</w:t>
      </w:r>
    </w:p>
    <w:p w14:paraId="7C5E4CD3" w14:textId="19785CC6" w:rsidR="00102027" w:rsidRDefault="00102027" w:rsidP="00BF4DD5">
      <w:pPr>
        <w:pStyle w:val="Numerowanie"/>
        <w:numPr>
          <w:ilvl w:val="0"/>
          <w:numId w:val="0"/>
        </w:numPr>
      </w:pPr>
      <w:r>
        <w:t xml:space="preserve">W konsekwencji przyjęto, że jeżeli ocena stanu ekologicznego lub potencjału ekologicznego jest gorsza niż stan dobry (czego przyczyną mogło być np. znaczne przekroczenie wartości granicznych klasy II jednego wskaźnika fizykochemicznego, zgodnie z pkt X.6 w zał. 12 i pkt XII.3 w zał. 13 do r.kl.jcwp), to tak oceniona jcwp była typowana do odstępstwa terminowego </w:t>
      </w:r>
      <w:r w:rsidR="006C4947">
        <w:t>-</w:t>
      </w:r>
      <w:r>
        <w:t xml:space="preserve"> mimo że w </w:t>
      </w:r>
      <w:r>
        <w:rPr>
          <w:i/>
          <w:iCs/>
        </w:rPr>
        <w:t>Analizie znaczących oddziaływań</w:t>
      </w:r>
      <w:r>
        <w:t xml:space="preserve"> nie była uznana za zagrożoną. Przyjęte wartości progowe przekroczeń dla uznania ich jako znaczące i wpływające na konieczność wskazania do odstępstw są identyczne, co do zasady, z wartościami progowymi zastosowanymi w </w:t>
      </w:r>
      <w:r>
        <w:rPr>
          <w:i/>
          <w:iCs/>
        </w:rPr>
        <w:t xml:space="preserve">Analizie znaczących oddziaływań </w:t>
      </w:r>
      <w:r w:rsidR="006C4947">
        <w:rPr>
          <w:i/>
          <w:iCs/>
        </w:rPr>
        <w:t>-</w:t>
      </w:r>
      <w:r>
        <w:rPr>
          <w:i/>
          <w:iCs/>
        </w:rPr>
        <w:t xml:space="preserve"> jcwp (…),  </w:t>
      </w:r>
      <w:r>
        <w:t xml:space="preserve">zgodnie z przyjętą Metodyką Analizy znaczących oddziaływań </w:t>
      </w:r>
      <w:r w:rsidR="006C4947">
        <w:t>-</w:t>
      </w:r>
      <w:r>
        <w:t xml:space="preserve"> jcwp (…). </w:t>
      </w:r>
    </w:p>
    <w:p w14:paraId="1E0B2EDD" w14:textId="43C7BDCA" w:rsidR="00102027" w:rsidRPr="000C4A0B" w:rsidRDefault="00102027" w:rsidP="00102027">
      <w:pPr>
        <w:pStyle w:val="Numerowanie"/>
        <w:numPr>
          <w:ilvl w:val="0"/>
          <w:numId w:val="0"/>
        </w:numPr>
      </w:pPr>
      <w:r>
        <w:t>Przy typowaniu jcwp do odstępstw uwzględniono fakt, że ocena skuteczności zestawów działań odnosi się do zamierzeń przypisanych konkretnym jcwp, bez uwzględnienia działań o charakterze krajowym oraz działań ukierunkowanych na cele środowiskowe obszarów ochrony przyrody. W</w:t>
      </w:r>
      <w:r w:rsidR="007E5892">
        <w:t> </w:t>
      </w:r>
      <w:r>
        <w:t xml:space="preserve">związku z powyższym uznano, że działania dedykowano obszarom chronionym korzystnie wpłyną na efektywność dążenia do osiągnięcia celów środowiskowych. W rezultacie w sytuacji, gdy przypisany dla jcwp zestaw działań nie zapewniał osiągnięcia celów środowiskowych, ale w granicach jcwp występował obszar chroniony z przypisanymi do niego działaniami (wynikającymi z wdrażania ustaleń przyjętych planów ochrony, zadań ochronnych i planów zadań ochronnych), to uznano że ich efektywność pozwoli na osiągnięcie celów środowiskowych jcwp w zakresie stanu/potencjału ekologicznego </w:t>
      </w:r>
      <w:r w:rsidR="006C4947">
        <w:t>-</w:t>
      </w:r>
      <w:r>
        <w:t xml:space="preserve"> lecz w czasie późniejszym (po 2027 r.) ze względu na warunki naturalne determinujące skuteczność działań</w:t>
      </w:r>
      <w:bookmarkEnd w:id="228"/>
      <w:r>
        <w:t>.</w:t>
      </w:r>
    </w:p>
    <w:p w14:paraId="2BBCCED0" w14:textId="65DE35B1" w:rsidR="000714F1" w:rsidRDefault="000714F1" w:rsidP="000714F1">
      <w:pPr>
        <w:rPr>
          <w:rFonts w:asciiTheme="minorHAnsi" w:hAnsiTheme="minorHAnsi" w:cstheme="minorHAnsi"/>
        </w:rPr>
      </w:pPr>
      <w:r>
        <w:rPr>
          <w:rFonts w:asciiTheme="minorHAnsi" w:hAnsiTheme="minorHAnsi" w:cstheme="minorHAnsi"/>
        </w:rPr>
        <w:t xml:space="preserve">Zgodnie z opisanym podejściem na obszarze dorzecza </w:t>
      </w:r>
      <w:r w:rsidR="00C66D17">
        <w:rPr>
          <w:rFonts w:asciiTheme="minorHAnsi" w:hAnsiTheme="minorHAnsi" w:cstheme="minorHAnsi"/>
        </w:rPr>
        <w:t>Pregoły</w:t>
      </w:r>
      <w:r>
        <w:rPr>
          <w:rFonts w:asciiTheme="minorHAnsi" w:hAnsiTheme="minorHAnsi" w:cstheme="minorHAnsi"/>
        </w:rPr>
        <w:t xml:space="preserve"> zidentyfikowano przypadki wymagające odstępstwa od osiągnięcia celów </w:t>
      </w:r>
      <w:r w:rsidRPr="00C66D17">
        <w:rPr>
          <w:rFonts w:asciiTheme="minorHAnsi" w:hAnsiTheme="minorHAnsi" w:cstheme="minorHAnsi"/>
        </w:rPr>
        <w:t>środowiskowych. Ich zestawienie liczbowe przedstawiono w tabeli 8-</w:t>
      </w:r>
      <w:r w:rsidR="000C4A0B" w:rsidRPr="00C66D17">
        <w:rPr>
          <w:rFonts w:asciiTheme="minorHAnsi" w:hAnsiTheme="minorHAnsi" w:cstheme="minorHAnsi"/>
        </w:rPr>
        <w:t> 9</w:t>
      </w:r>
      <w:r w:rsidRPr="00C66D17">
        <w:rPr>
          <w:rFonts w:asciiTheme="minorHAnsi" w:hAnsiTheme="minorHAnsi" w:cstheme="minorHAnsi"/>
        </w:rPr>
        <w:t xml:space="preserve">. </w:t>
      </w:r>
      <w:bookmarkStart w:id="229" w:name="_Hlk66837187"/>
      <w:r w:rsidRPr="00C66D17">
        <w:rPr>
          <w:rFonts w:asciiTheme="minorHAnsi" w:hAnsiTheme="minorHAnsi" w:cstheme="minorHAnsi"/>
        </w:rPr>
        <w:t xml:space="preserve">Szczegółowe dane o odstępstwach znajdują się </w:t>
      </w:r>
      <w:r w:rsidR="007576EF">
        <w:rPr>
          <w:rFonts w:asciiTheme="minorHAnsi" w:hAnsiTheme="minorHAnsi" w:cstheme="minorHAnsi"/>
        </w:rPr>
        <w:t xml:space="preserve">w </w:t>
      </w:r>
      <w:r w:rsidRPr="00C66D17">
        <w:rPr>
          <w:rFonts w:asciiTheme="minorHAnsi" w:hAnsiTheme="minorHAnsi" w:cstheme="minorHAnsi"/>
        </w:rPr>
        <w:t>załącznik</w:t>
      </w:r>
      <w:r w:rsidR="005B00BB">
        <w:rPr>
          <w:rFonts w:asciiTheme="minorHAnsi" w:hAnsiTheme="minorHAnsi" w:cstheme="minorHAnsi"/>
        </w:rPr>
        <w:t>u</w:t>
      </w:r>
      <w:r w:rsidRPr="00C66D17">
        <w:rPr>
          <w:rFonts w:asciiTheme="minorHAnsi" w:hAnsiTheme="minorHAnsi" w:cstheme="minorHAnsi"/>
        </w:rPr>
        <w:t xml:space="preserve"> nr </w:t>
      </w:r>
      <w:r w:rsidR="009E1FEB">
        <w:rPr>
          <w:rFonts w:asciiTheme="minorHAnsi" w:hAnsiTheme="minorHAnsi" w:cstheme="minorHAnsi"/>
        </w:rPr>
        <w:t>8</w:t>
      </w:r>
      <w:r w:rsidRPr="00C66D17">
        <w:rPr>
          <w:rFonts w:asciiTheme="minorHAnsi" w:hAnsiTheme="minorHAnsi" w:cstheme="minorHAnsi"/>
        </w:rPr>
        <w:t xml:space="preserve"> (</w:t>
      </w:r>
      <w:r w:rsidR="005B00BB" w:rsidRPr="005B00BB">
        <w:rPr>
          <w:rFonts w:asciiTheme="minorHAnsi" w:hAnsiTheme="minorHAnsi" w:cstheme="minorHAnsi"/>
        </w:rPr>
        <w:t>Wykaz jcw wskazanych do odstępstw</w:t>
      </w:r>
      <w:r w:rsidRPr="00C66D17">
        <w:rPr>
          <w:rFonts w:asciiTheme="minorHAnsi" w:hAnsiTheme="minorHAnsi" w:cstheme="minorHAnsi"/>
        </w:rPr>
        <w:t>).</w:t>
      </w:r>
      <w:r w:rsidR="00C520F4">
        <w:rPr>
          <w:rFonts w:asciiTheme="minorHAnsi" w:hAnsiTheme="minorHAnsi" w:cstheme="minorHAnsi"/>
        </w:rPr>
        <w:t xml:space="preserve"> Zobrazowania mapowe jcw w obszarze dorzecza Pregoły, dla których ustalono odstępstwo znajdują się w załącznikach graficznych nr 33 (dla jcwp RW)</w:t>
      </w:r>
      <w:bookmarkEnd w:id="229"/>
      <w:r w:rsidR="00E32C8A">
        <w:rPr>
          <w:rFonts w:asciiTheme="minorHAnsi" w:hAnsiTheme="minorHAnsi" w:cstheme="minorHAnsi"/>
        </w:rPr>
        <w:t xml:space="preserve"> oraz</w:t>
      </w:r>
      <w:r w:rsidR="00C520F4">
        <w:rPr>
          <w:rFonts w:asciiTheme="minorHAnsi" w:hAnsiTheme="minorHAnsi" w:cstheme="minorHAnsi"/>
        </w:rPr>
        <w:t xml:space="preserve"> nr 34 (dla jcwp LW).</w:t>
      </w:r>
    </w:p>
    <w:p w14:paraId="0556C753" w14:textId="6D4EA221" w:rsidR="000714F1" w:rsidRDefault="000714F1" w:rsidP="006802BB">
      <w:pPr>
        <w:pStyle w:val="Tabela"/>
      </w:pPr>
      <w:bookmarkStart w:id="230" w:name="_Toc66311292"/>
      <w:bookmarkStart w:id="231" w:name="_Toc68726996"/>
      <w:r>
        <w:t xml:space="preserve">Tabela </w:t>
      </w:r>
      <w:fldSimple w:instr=" STYLEREF 1 \s ">
        <w:r w:rsidR="007B4050">
          <w:rPr>
            <w:noProof/>
          </w:rPr>
          <w:t>8</w:t>
        </w:r>
      </w:fldSimple>
      <w:r w:rsidR="007B4050">
        <w:noBreakHyphen/>
      </w:r>
      <w:fldSimple w:instr=" SEQ Tabela \* ARABIC \s 1 ">
        <w:r w:rsidR="007B4050">
          <w:rPr>
            <w:noProof/>
          </w:rPr>
          <w:t>9</w:t>
        </w:r>
      </w:fldSimple>
      <w:r>
        <w:tab/>
        <w:t xml:space="preserve">Zestawienie liczbowe </w:t>
      </w:r>
      <w:r w:rsidR="00477828">
        <w:t xml:space="preserve">jcw z </w:t>
      </w:r>
      <w:r>
        <w:t>odstępstw</w:t>
      </w:r>
      <w:r w:rsidR="00477828">
        <w:t>ami</w:t>
      </w:r>
      <w:r>
        <w:t xml:space="preserve"> od osiągnięcia celów środowiskowych</w:t>
      </w:r>
      <w:bookmarkEnd w:id="230"/>
      <w:r w:rsidR="00477828">
        <w:t xml:space="preserve"> w trybie art. 4 ust. 4 i 4 ust. 5 RDW</w:t>
      </w:r>
      <w:r w:rsidR="00710126">
        <w:t xml:space="preserve"> (IIaPGW</w:t>
      </w:r>
      <w:r w:rsidR="00B278C4">
        <w:t>, 2022-2027)</w:t>
      </w:r>
      <w:bookmarkEnd w:id="231"/>
    </w:p>
    <w:tbl>
      <w:tblPr>
        <w:tblStyle w:val="Tabela-Siatka"/>
        <w:tblW w:w="0" w:type="auto"/>
        <w:jc w:val="center"/>
        <w:tblLook w:val="04A0" w:firstRow="1" w:lastRow="0" w:firstColumn="1" w:lastColumn="0" w:noHBand="0" w:noVBand="1"/>
      </w:tblPr>
      <w:tblGrid>
        <w:gridCol w:w="486"/>
        <w:gridCol w:w="4058"/>
        <w:gridCol w:w="1688"/>
        <w:gridCol w:w="1276"/>
        <w:gridCol w:w="1418"/>
      </w:tblGrid>
      <w:tr w:rsidR="000714F1" w:rsidRPr="00B23A29" w14:paraId="7DA8631D" w14:textId="77777777" w:rsidTr="00E32C8A">
        <w:trPr>
          <w:trHeight w:val="454"/>
          <w:tblHeader/>
          <w:jc w:val="center"/>
        </w:trPr>
        <w:tc>
          <w:tcPr>
            <w:tcW w:w="48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D2972BF" w14:textId="77777777" w:rsidR="000714F1" w:rsidRPr="00B23A29" w:rsidRDefault="000714F1" w:rsidP="00840CCD">
            <w:pPr>
              <w:spacing w:before="40" w:after="40"/>
              <w:jc w:val="left"/>
              <w:rPr>
                <w:b/>
                <w:bCs/>
                <w:sz w:val="20"/>
                <w:szCs w:val="20"/>
              </w:rPr>
            </w:pPr>
            <w:bookmarkStart w:id="232" w:name="_Hlk65925430"/>
            <w:r w:rsidRPr="00B23A29">
              <w:rPr>
                <w:b/>
                <w:bCs/>
                <w:sz w:val="20"/>
                <w:szCs w:val="20"/>
              </w:rPr>
              <w:t>Lp.</w:t>
            </w:r>
          </w:p>
        </w:tc>
        <w:tc>
          <w:tcPr>
            <w:tcW w:w="40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6A24010C" w14:textId="1610D4F5" w:rsidR="000714F1" w:rsidRPr="00B23A29" w:rsidRDefault="00477828" w:rsidP="00E32C8A">
            <w:pPr>
              <w:spacing w:before="40" w:after="40"/>
              <w:jc w:val="center"/>
              <w:rPr>
                <w:b/>
                <w:bCs/>
                <w:sz w:val="20"/>
                <w:szCs w:val="20"/>
              </w:rPr>
            </w:pPr>
            <w:r>
              <w:rPr>
                <w:b/>
                <w:bCs/>
                <w:sz w:val="20"/>
                <w:szCs w:val="20"/>
              </w:rPr>
              <w:t>Rodzaj odstępstwa</w:t>
            </w:r>
          </w:p>
        </w:tc>
        <w:tc>
          <w:tcPr>
            <w:tcW w:w="168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2490659" w14:textId="653634C6" w:rsidR="000714F1" w:rsidRPr="00B23A29" w:rsidRDefault="00477828" w:rsidP="00C520F4">
            <w:pPr>
              <w:spacing w:before="40" w:after="40"/>
              <w:jc w:val="center"/>
              <w:rPr>
                <w:b/>
                <w:bCs/>
                <w:sz w:val="20"/>
                <w:szCs w:val="20"/>
              </w:rPr>
            </w:pPr>
            <w:r>
              <w:rPr>
                <w:b/>
                <w:bCs/>
                <w:sz w:val="20"/>
                <w:szCs w:val="20"/>
              </w:rPr>
              <w:t>Kategorie wód</w:t>
            </w:r>
          </w:p>
        </w:tc>
        <w:tc>
          <w:tcPr>
            <w:tcW w:w="12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468547C4" w14:textId="7A1769CF" w:rsidR="000714F1" w:rsidRPr="00B23A29" w:rsidRDefault="007B081B" w:rsidP="00C520F4">
            <w:pPr>
              <w:spacing w:before="40" w:after="40"/>
              <w:jc w:val="center"/>
              <w:rPr>
                <w:b/>
                <w:bCs/>
                <w:sz w:val="20"/>
                <w:szCs w:val="20"/>
              </w:rPr>
            </w:pPr>
            <w:r>
              <w:rPr>
                <w:b/>
                <w:bCs/>
                <w:sz w:val="20"/>
                <w:szCs w:val="20"/>
              </w:rPr>
              <w:t>L</w:t>
            </w:r>
            <w:r w:rsidR="000714F1" w:rsidRPr="00B23A29">
              <w:rPr>
                <w:b/>
                <w:bCs/>
                <w:sz w:val="20"/>
                <w:szCs w:val="20"/>
              </w:rPr>
              <w:t>iczba</w:t>
            </w:r>
            <w:r>
              <w:rPr>
                <w:b/>
                <w:bCs/>
                <w:sz w:val="20"/>
                <w:szCs w:val="20"/>
              </w:rPr>
              <w:t xml:space="preserve"> jcw</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021F1655" w14:textId="74F0D1C5" w:rsidR="000714F1" w:rsidRPr="00B23A29" w:rsidRDefault="00E32C8A" w:rsidP="00C520F4">
            <w:pPr>
              <w:spacing w:before="40" w:after="40"/>
              <w:jc w:val="center"/>
              <w:rPr>
                <w:b/>
                <w:bCs/>
                <w:sz w:val="20"/>
                <w:szCs w:val="20"/>
              </w:rPr>
            </w:pPr>
            <w:r>
              <w:rPr>
                <w:b/>
                <w:bCs/>
                <w:sz w:val="20"/>
                <w:szCs w:val="20"/>
              </w:rPr>
              <w:t>Udział w</w:t>
            </w:r>
            <w:r w:rsidR="000714F1" w:rsidRPr="00B23A29">
              <w:rPr>
                <w:b/>
                <w:bCs/>
                <w:sz w:val="20"/>
                <w:szCs w:val="20"/>
              </w:rPr>
              <w:t xml:space="preserve"> ogólnej liczb</w:t>
            </w:r>
            <w:r>
              <w:rPr>
                <w:b/>
                <w:bCs/>
                <w:sz w:val="20"/>
                <w:szCs w:val="20"/>
              </w:rPr>
              <w:t>ie</w:t>
            </w:r>
            <w:r w:rsidR="000714F1" w:rsidRPr="00B23A29">
              <w:rPr>
                <w:b/>
                <w:bCs/>
                <w:sz w:val="20"/>
                <w:szCs w:val="20"/>
              </w:rPr>
              <w:t xml:space="preserve"> jcw</w:t>
            </w:r>
            <w:r>
              <w:rPr>
                <w:b/>
                <w:bCs/>
                <w:sz w:val="20"/>
                <w:szCs w:val="20"/>
              </w:rPr>
              <w:t xml:space="preserve"> (%)</w:t>
            </w:r>
          </w:p>
        </w:tc>
      </w:tr>
      <w:tr w:rsidR="00B47A67" w:rsidRPr="00B23A29" w14:paraId="7F91459C"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3FEF3E22" w14:textId="489A893E" w:rsidR="00B47A67" w:rsidRPr="00B23A29" w:rsidRDefault="00B47A67" w:rsidP="00B47A67">
            <w:pPr>
              <w:spacing w:before="40" w:after="40"/>
              <w:jc w:val="left"/>
              <w:rPr>
                <w:sz w:val="20"/>
                <w:szCs w:val="20"/>
              </w:rPr>
            </w:pPr>
            <w:r>
              <w:rPr>
                <w:sz w:val="20"/>
                <w:szCs w:val="20"/>
              </w:rPr>
              <w:t>1</w:t>
            </w:r>
            <w:r w:rsidR="00E32C8A">
              <w:rPr>
                <w:sz w:val="20"/>
                <w:szCs w:val="20"/>
              </w:rPr>
              <w:t>.</w:t>
            </w:r>
          </w:p>
        </w:tc>
        <w:tc>
          <w:tcPr>
            <w:tcW w:w="4058" w:type="dxa"/>
            <w:vMerge w:val="restart"/>
            <w:tcBorders>
              <w:top w:val="single" w:sz="4" w:space="0" w:color="000000"/>
              <w:left w:val="single" w:sz="4" w:space="0" w:color="000000"/>
              <w:bottom w:val="single" w:sz="4" w:space="0" w:color="000000"/>
              <w:right w:val="single" w:sz="4" w:space="0" w:color="000000"/>
            </w:tcBorders>
            <w:vAlign w:val="center"/>
            <w:hideMark/>
          </w:tcPr>
          <w:p w14:paraId="582F6CCD" w14:textId="25FA14B5" w:rsidR="00B47A67" w:rsidRPr="00B23A29" w:rsidRDefault="00B47A67" w:rsidP="00B47A67">
            <w:pPr>
              <w:spacing w:before="40" w:after="40"/>
              <w:jc w:val="left"/>
              <w:rPr>
                <w:sz w:val="20"/>
                <w:szCs w:val="20"/>
              </w:rPr>
            </w:pPr>
            <w:r w:rsidRPr="00B23A29">
              <w:rPr>
                <w:sz w:val="20"/>
                <w:szCs w:val="20"/>
              </w:rPr>
              <w:t>odrocz</w:t>
            </w:r>
            <w:r w:rsidR="00477828">
              <w:rPr>
                <w:sz w:val="20"/>
                <w:szCs w:val="20"/>
              </w:rPr>
              <w:t>e</w:t>
            </w:r>
            <w:r w:rsidRPr="00B23A29">
              <w:rPr>
                <w:sz w:val="20"/>
                <w:szCs w:val="20"/>
              </w:rPr>
              <w:t>n</w:t>
            </w:r>
            <w:r w:rsidR="00477828">
              <w:rPr>
                <w:sz w:val="20"/>
                <w:szCs w:val="20"/>
              </w:rPr>
              <w:t>ie</w:t>
            </w:r>
            <w:r w:rsidRPr="00B23A29">
              <w:rPr>
                <w:sz w:val="20"/>
                <w:szCs w:val="20"/>
              </w:rPr>
              <w:t xml:space="preserve"> termin</w:t>
            </w:r>
            <w:r w:rsidR="00477828">
              <w:rPr>
                <w:sz w:val="20"/>
                <w:szCs w:val="20"/>
              </w:rPr>
              <w:t>u</w:t>
            </w:r>
            <w:r w:rsidRPr="00B23A29">
              <w:rPr>
                <w:sz w:val="20"/>
                <w:szCs w:val="20"/>
              </w:rPr>
              <w:t xml:space="preserve"> osiągnięcia celów środowiskowych ze względu na warunki naturalne mające wpływ na skuteczność działań - art.4 ust. 4 lit. a(iii)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2E6DD522" w14:textId="77777777" w:rsidR="00B47A67" w:rsidRPr="00B23A29" w:rsidRDefault="00B47A67" w:rsidP="00C520F4">
            <w:pPr>
              <w:spacing w:before="40" w:after="40"/>
              <w:jc w:val="center"/>
              <w:rPr>
                <w:sz w:val="20"/>
                <w:szCs w:val="20"/>
              </w:rPr>
            </w:pPr>
            <w:r w:rsidRPr="00B23A29">
              <w:rPr>
                <w:sz w:val="20"/>
                <w:szCs w:val="20"/>
              </w:rPr>
              <w:t>RW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69638F7" w14:textId="05F9331B" w:rsidR="00B47A67" w:rsidRPr="00B23A29" w:rsidRDefault="00477828" w:rsidP="00C520F4">
            <w:pPr>
              <w:spacing w:before="40" w:after="40"/>
              <w:jc w:val="center"/>
              <w:rPr>
                <w:sz w:val="20"/>
                <w:szCs w:val="20"/>
              </w:rPr>
            </w:pPr>
            <w:r>
              <w:rPr>
                <w:rFonts w:cs="Calibri"/>
                <w:sz w:val="20"/>
                <w:szCs w:val="20"/>
              </w:rPr>
              <w:t>64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0C143DBD" w14:textId="442A53FF" w:rsidR="00B47A67" w:rsidRPr="00B23A29" w:rsidRDefault="00477828" w:rsidP="00C520F4">
            <w:pPr>
              <w:spacing w:before="40" w:after="40"/>
              <w:jc w:val="center"/>
              <w:rPr>
                <w:sz w:val="20"/>
                <w:szCs w:val="20"/>
              </w:rPr>
            </w:pPr>
            <w:r>
              <w:rPr>
                <w:rFonts w:cs="Calibri"/>
                <w:sz w:val="20"/>
                <w:szCs w:val="20"/>
              </w:rPr>
              <w:t>78,0</w:t>
            </w:r>
          </w:p>
        </w:tc>
      </w:tr>
      <w:tr w:rsidR="00B47A67" w:rsidRPr="00B23A29" w14:paraId="39974A11"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46943145" w14:textId="6B8FFE31" w:rsidR="00B47A67" w:rsidRPr="00B23A29" w:rsidRDefault="00CA75D9" w:rsidP="00B47A67">
            <w:pPr>
              <w:spacing w:before="40" w:after="40"/>
              <w:jc w:val="left"/>
              <w:rPr>
                <w:sz w:val="20"/>
                <w:szCs w:val="20"/>
              </w:rPr>
            </w:pPr>
            <w:r>
              <w:rPr>
                <w:sz w:val="20"/>
                <w:szCs w:val="20"/>
              </w:rPr>
              <w:t>2</w:t>
            </w:r>
            <w:r w:rsidR="00E32C8A">
              <w:rPr>
                <w:sz w:val="20"/>
                <w:szCs w:val="20"/>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330360" w14:textId="77777777" w:rsidR="00B47A67" w:rsidRPr="00B23A29" w:rsidRDefault="00B47A67" w:rsidP="00B47A67">
            <w:pPr>
              <w:spacing w:before="40" w:after="40"/>
              <w:jc w:val="left"/>
              <w:rPr>
                <w:sz w:val="20"/>
                <w:szCs w:val="20"/>
              </w:rPr>
            </w:pP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461560FA" w14:textId="77777777" w:rsidR="00B47A67" w:rsidRPr="00B23A29" w:rsidRDefault="00B47A67" w:rsidP="00C520F4">
            <w:pPr>
              <w:spacing w:before="40" w:after="40"/>
              <w:jc w:val="center"/>
              <w:rPr>
                <w:sz w:val="20"/>
                <w:szCs w:val="20"/>
              </w:rPr>
            </w:pPr>
            <w:r w:rsidRPr="00B23A29">
              <w:rPr>
                <w:sz w:val="20"/>
                <w:szCs w:val="20"/>
              </w:rPr>
              <w:t>LW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D362E43" w14:textId="26E53887" w:rsidR="003A7168" w:rsidRPr="00B23A29" w:rsidRDefault="00422A67" w:rsidP="00C520F4">
            <w:pPr>
              <w:spacing w:before="40" w:after="40"/>
              <w:jc w:val="center"/>
              <w:rPr>
                <w:sz w:val="20"/>
                <w:szCs w:val="20"/>
              </w:rPr>
            </w:pPr>
            <w:r>
              <w:rPr>
                <w:rFonts w:cs="Calibri"/>
                <w:sz w:val="20"/>
                <w:szCs w:val="20"/>
              </w:rPr>
              <w:t>105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62999934" w14:textId="3DD6EBA6" w:rsidR="00B47A67" w:rsidRPr="00B23A29" w:rsidRDefault="00422A67" w:rsidP="00C520F4">
            <w:pPr>
              <w:spacing w:before="40" w:after="40"/>
              <w:jc w:val="center"/>
              <w:rPr>
                <w:sz w:val="20"/>
                <w:szCs w:val="20"/>
              </w:rPr>
            </w:pPr>
            <w:r>
              <w:rPr>
                <w:rFonts w:cs="Calibri"/>
                <w:sz w:val="20"/>
                <w:szCs w:val="20"/>
              </w:rPr>
              <w:t>10</w:t>
            </w:r>
            <w:r w:rsidR="00EF3FD3">
              <w:rPr>
                <w:rFonts w:cs="Calibri"/>
                <w:sz w:val="20"/>
                <w:szCs w:val="20"/>
              </w:rPr>
              <w:t>0</w:t>
            </w:r>
          </w:p>
        </w:tc>
      </w:tr>
      <w:tr w:rsidR="00B47A67" w:rsidRPr="00B23A29" w14:paraId="1F3E1682"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26B840A1" w14:textId="0E178282" w:rsidR="00B47A67" w:rsidRPr="00B23A29" w:rsidRDefault="00CA75D9" w:rsidP="00B47A67">
            <w:pPr>
              <w:spacing w:before="40" w:after="40"/>
              <w:jc w:val="left"/>
              <w:rPr>
                <w:sz w:val="20"/>
                <w:szCs w:val="20"/>
              </w:rPr>
            </w:pPr>
            <w:r>
              <w:rPr>
                <w:sz w:val="20"/>
                <w:szCs w:val="20"/>
              </w:rPr>
              <w:t>3</w:t>
            </w:r>
            <w:r w:rsidR="00E32C8A">
              <w:rPr>
                <w:sz w:val="20"/>
                <w:szCs w:val="20"/>
              </w:rPr>
              <w:t>.</w:t>
            </w:r>
          </w:p>
        </w:tc>
        <w:tc>
          <w:tcPr>
            <w:tcW w:w="4058" w:type="dxa"/>
            <w:vMerge w:val="restart"/>
            <w:tcBorders>
              <w:top w:val="single" w:sz="4" w:space="0" w:color="000000"/>
              <w:left w:val="single" w:sz="4" w:space="0" w:color="000000"/>
              <w:bottom w:val="single" w:sz="4" w:space="0" w:color="000000"/>
              <w:right w:val="single" w:sz="4" w:space="0" w:color="000000"/>
            </w:tcBorders>
            <w:vAlign w:val="center"/>
            <w:hideMark/>
          </w:tcPr>
          <w:p w14:paraId="059435E9" w14:textId="13D47678" w:rsidR="00B47A67" w:rsidRPr="00B23A29" w:rsidRDefault="00B47A67" w:rsidP="00B47A67">
            <w:pPr>
              <w:spacing w:before="40" w:after="40"/>
              <w:jc w:val="left"/>
              <w:rPr>
                <w:sz w:val="20"/>
                <w:szCs w:val="20"/>
              </w:rPr>
            </w:pPr>
            <w:r w:rsidRPr="00B23A29">
              <w:rPr>
                <w:sz w:val="20"/>
                <w:szCs w:val="20"/>
              </w:rPr>
              <w:t>odrocz</w:t>
            </w:r>
            <w:r w:rsidR="00422A67">
              <w:rPr>
                <w:sz w:val="20"/>
                <w:szCs w:val="20"/>
              </w:rPr>
              <w:t>e</w:t>
            </w:r>
            <w:r w:rsidRPr="00B23A29">
              <w:rPr>
                <w:sz w:val="20"/>
                <w:szCs w:val="20"/>
              </w:rPr>
              <w:t>n</w:t>
            </w:r>
            <w:r w:rsidR="00422A67">
              <w:rPr>
                <w:sz w:val="20"/>
                <w:szCs w:val="20"/>
              </w:rPr>
              <w:t>ie</w:t>
            </w:r>
            <w:r w:rsidRPr="00B23A29">
              <w:rPr>
                <w:sz w:val="20"/>
                <w:szCs w:val="20"/>
              </w:rPr>
              <w:t xml:space="preserve"> termin</w:t>
            </w:r>
            <w:r w:rsidR="00422A67">
              <w:rPr>
                <w:sz w:val="20"/>
                <w:szCs w:val="20"/>
              </w:rPr>
              <w:t>u</w:t>
            </w:r>
            <w:r w:rsidRPr="00B23A29">
              <w:rPr>
                <w:sz w:val="20"/>
                <w:szCs w:val="20"/>
              </w:rPr>
              <w:t xml:space="preserve"> osiągnięcia celów środowiskowych ze względu na możliwości techniczne i/lub nieproporcjonalne koszty -art.4 ust. 4 lit. a(i-ii)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21E4E1D2" w14:textId="77777777" w:rsidR="00B47A67" w:rsidRPr="00B23A29" w:rsidRDefault="00B47A67" w:rsidP="00C520F4">
            <w:pPr>
              <w:spacing w:before="40" w:after="40"/>
              <w:jc w:val="center"/>
              <w:rPr>
                <w:sz w:val="20"/>
                <w:szCs w:val="20"/>
              </w:rPr>
            </w:pPr>
            <w:r w:rsidRPr="00B23A29">
              <w:rPr>
                <w:sz w:val="20"/>
                <w:szCs w:val="20"/>
              </w:rPr>
              <w:t>RW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4B7F547" w14:textId="1ECAEA9E" w:rsidR="00B47A67" w:rsidRPr="00B23A29" w:rsidRDefault="00B47A67" w:rsidP="00C520F4">
            <w:pPr>
              <w:spacing w:before="40" w:after="40"/>
              <w:jc w:val="center"/>
              <w:rPr>
                <w:sz w:val="20"/>
                <w:szCs w:val="20"/>
              </w:rPr>
            </w:pPr>
            <w:r w:rsidRPr="00C520F4">
              <w:rPr>
                <w:rFonts w:cs="Calibri"/>
                <w:sz w:val="20"/>
                <w:szCs w:val="20"/>
              </w:rPr>
              <w:t>21</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00498348" w14:textId="73BE0EBF" w:rsidR="00B47A67" w:rsidRPr="00B23A29" w:rsidRDefault="00B47A67" w:rsidP="00C520F4">
            <w:pPr>
              <w:spacing w:before="40" w:after="40"/>
              <w:jc w:val="center"/>
              <w:rPr>
                <w:sz w:val="20"/>
                <w:szCs w:val="20"/>
              </w:rPr>
            </w:pPr>
            <w:r w:rsidRPr="00C520F4">
              <w:rPr>
                <w:rFonts w:cs="Calibri"/>
                <w:sz w:val="20"/>
                <w:szCs w:val="20"/>
              </w:rPr>
              <w:t>25,6</w:t>
            </w:r>
          </w:p>
        </w:tc>
      </w:tr>
      <w:tr w:rsidR="00B47A67" w:rsidRPr="00B23A29" w14:paraId="4D47154F"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769FEDCE" w14:textId="36F66D80" w:rsidR="00B47A67" w:rsidRPr="00B23A29" w:rsidRDefault="00CA75D9" w:rsidP="00B47A67">
            <w:pPr>
              <w:spacing w:before="40" w:after="40"/>
              <w:jc w:val="left"/>
              <w:rPr>
                <w:sz w:val="20"/>
                <w:szCs w:val="20"/>
              </w:rPr>
            </w:pPr>
            <w:r>
              <w:rPr>
                <w:sz w:val="20"/>
                <w:szCs w:val="20"/>
              </w:rPr>
              <w:t>4</w:t>
            </w:r>
            <w:r w:rsidR="00E32C8A">
              <w:rPr>
                <w:sz w:val="20"/>
                <w:szCs w:val="20"/>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72FCFB" w14:textId="77777777" w:rsidR="00B47A67" w:rsidRPr="00B23A29" w:rsidRDefault="00B47A67" w:rsidP="00B47A67">
            <w:pPr>
              <w:spacing w:before="40" w:after="40"/>
              <w:jc w:val="left"/>
              <w:rPr>
                <w:sz w:val="20"/>
                <w:szCs w:val="20"/>
              </w:rPr>
            </w:pP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066020D9" w14:textId="77777777" w:rsidR="00B47A67" w:rsidRPr="00B23A29" w:rsidRDefault="00B47A67" w:rsidP="00C520F4">
            <w:pPr>
              <w:spacing w:before="40" w:after="40"/>
              <w:jc w:val="center"/>
              <w:rPr>
                <w:sz w:val="20"/>
                <w:szCs w:val="20"/>
              </w:rPr>
            </w:pPr>
            <w:r w:rsidRPr="00B23A29">
              <w:rPr>
                <w:sz w:val="20"/>
                <w:szCs w:val="20"/>
              </w:rPr>
              <w:t>LW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0D8DB75" w14:textId="096B13A0" w:rsidR="00B47A67" w:rsidRPr="00B23A29" w:rsidRDefault="00B47A67" w:rsidP="00C520F4">
            <w:pPr>
              <w:spacing w:before="40" w:after="40"/>
              <w:jc w:val="center"/>
              <w:rPr>
                <w:sz w:val="20"/>
                <w:szCs w:val="20"/>
              </w:rPr>
            </w:pPr>
            <w:r w:rsidRPr="00C520F4">
              <w:rPr>
                <w:rFonts w:cs="Calibri"/>
                <w:sz w:val="20"/>
                <w:szCs w:val="20"/>
              </w:rPr>
              <w:t>16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0A67DAF1" w14:textId="07D62E47" w:rsidR="00B47A67" w:rsidRPr="00B23A29" w:rsidRDefault="00B47A67" w:rsidP="00C520F4">
            <w:pPr>
              <w:spacing w:before="40" w:after="40"/>
              <w:jc w:val="center"/>
              <w:rPr>
                <w:sz w:val="20"/>
                <w:szCs w:val="20"/>
              </w:rPr>
            </w:pPr>
            <w:r w:rsidRPr="00C520F4">
              <w:rPr>
                <w:rFonts w:cs="Calibri"/>
                <w:sz w:val="20"/>
                <w:szCs w:val="20"/>
              </w:rPr>
              <w:t>15,2</w:t>
            </w:r>
          </w:p>
        </w:tc>
      </w:tr>
      <w:tr w:rsidR="00B47A67" w:rsidRPr="00B23A29" w14:paraId="194B2710"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207CDFDB" w14:textId="26D38ACA" w:rsidR="00B47A67" w:rsidRPr="00B23A29" w:rsidRDefault="00CA75D9" w:rsidP="00B47A67">
            <w:pPr>
              <w:spacing w:before="40" w:after="40"/>
              <w:jc w:val="left"/>
              <w:rPr>
                <w:sz w:val="20"/>
                <w:szCs w:val="20"/>
              </w:rPr>
            </w:pPr>
            <w:r>
              <w:rPr>
                <w:sz w:val="20"/>
                <w:szCs w:val="20"/>
              </w:rPr>
              <w:t>5</w:t>
            </w:r>
            <w:r w:rsidR="00E32C8A">
              <w:rPr>
                <w:sz w:val="20"/>
                <w:szCs w:val="20"/>
              </w:rPr>
              <w:t>.</w:t>
            </w:r>
          </w:p>
        </w:tc>
        <w:tc>
          <w:tcPr>
            <w:tcW w:w="4058" w:type="dxa"/>
            <w:vMerge w:val="restart"/>
            <w:tcBorders>
              <w:top w:val="single" w:sz="4" w:space="0" w:color="000000"/>
              <w:left w:val="single" w:sz="4" w:space="0" w:color="000000"/>
              <w:bottom w:val="single" w:sz="4" w:space="0" w:color="000000"/>
              <w:right w:val="single" w:sz="4" w:space="0" w:color="000000"/>
            </w:tcBorders>
            <w:vAlign w:val="center"/>
            <w:hideMark/>
          </w:tcPr>
          <w:p w14:paraId="71A49F8F" w14:textId="7ACD1552" w:rsidR="00B47A67" w:rsidRPr="00B23A29" w:rsidRDefault="00422A67" w:rsidP="00B47A67">
            <w:pPr>
              <w:spacing w:before="40" w:after="40"/>
              <w:jc w:val="left"/>
              <w:rPr>
                <w:sz w:val="20"/>
                <w:szCs w:val="20"/>
              </w:rPr>
            </w:pPr>
            <w:r>
              <w:rPr>
                <w:sz w:val="20"/>
                <w:szCs w:val="20"/>
              </w:rPr>
              <w:t>mniej rygorystyczne</w:t>
            </w:r>
            <w:r w:rsidR="00B47A67" w:rsidRPr="00B23A29">
              <w:rPr>
                <w:sz w:val="20"/>
                <w:szCs w:val="20"/>
              </w:rPr>
              <w:t xml:space="preserve"> cele środowiskowe ze względu na warunki naturalne - art.4 ust. 5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538A2A55" w14:textId="77777777" w:rsidR="00B47A67" w:rsidRPr="00B23A29" w:rsidRDefault="00B47A67" w:rsidP="00C520F4">
            <w:pPr>
              <w:spacing w:before="40" w:after="40"/>
              <w:jc w:val="center"/>
              <w:rPr>
                <w:sz w:val="20"/>
                <w:szCs w:val="20"/>
              </w:rPr>
            </w:pPr>
            <w:r w:rsidRPr="00B23A29">
              <w:rPr>
                <w:sz w:val="20"/>
                <w:szCs w:val="20"/>
              </w:rPr>
              <w:t>RW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686E29B" w14:textId="28B7D557" w:rsidR="00B47A67" w:rsidRPr="00B23A29" w:rsidRDefault="00422A67" w:rsidP="00C520F4">
            <w:pPr>
              <w:spacing w:before="40" w:after="40"/>
              <w:jc w:val="center"/>
              <w:rPr>
                <w:sz w:val="20"/>
                <w:szCs w:val="20"/>
              </w:rPr>
            </w:pPr>
            <w:r>
              <w:rPr>
                <w:rFonts w:cs="Calibri"/>
                <w:sz w:val="20"/>
                <w:szCs w:val="20"/>
              </w:rPr>
              <w:t>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2FB04B72" w14:textId="2F802979" w:rsidR="00B47A67" w:rsidRPr="00B23A29" w:rsidRDefault="00422A67" w:rsidP="00C520F4">
            <w:pPr>
              <w:spacing w:before="40" w:after="40"/>
              <w:jc w:val="center"/>
              <w:rPr>
                <w:sz w:val="20"/>
                <w:szCs w:val="20"/>
              </w:rPr>
            </w:pPr>
            <w:r>
              <w:rPr>
                <w:rFonts w:cs="Calibri"/>
                <w:sz w:val="20"/>
                <w:szCs w:val="20"/>
              </w:rPr>
              <w:t>2,4</w:t>
            </w:r>
          </w:p>
        </w:tc>
      </w:tr>
      <w:tr w:rsidR="00B47A67" w:rsidRPr="00B23A29" w14:paraId="210BF851"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0AA1067E" w14:textId="1C801F35" w:rsidR="00B47A67" w:rsidRPr="00B23A29" w:rsidRDefault="00CA75D9" w:rsidP="00B47A67">
            <w:pPr>
              <w:spacing w:before="40" w:after="40"/>
              <w:jc w:val="left"/>
              <w:rPr>
                <w:sz w:val="20"/>
                <w:szCs w:val="20"/>
              </w:rPr>
            </w:pPr>
            <w:r>
              <w:rPr>
                <w:sz w:val="20"/>
                <w:szCs w:val="20"/>
              </w:rPr>
              <w:t>6</w:t>
            </w:r>
            <w:r w:rsidR="00E32C8A">
              <w:rPr>
                <w:sz w:val="20"/>
                <w:szCs w:val="20"/>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82C99E" w14:textId="77777777" w:rsidR="00B47A67" w:rsidRPr="00B23A29" w:rsidRDefault="00B47A67" w:rsidP="00B47A67">
            <w:pPr>
              <w:spacing w:before="40" w:after="40"/>
              <w:jc w:val="left"/>
              <w:rPr>
                <w:sz w:val="20"/>
                <w:szCs w:val="20"/>
              </w:rPr>
            </w:pP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5A7D94EE" w14:textId="77777777" w:rsidR="00B47A67" w:rsidRPr="00B23A29" w:rsidRDefault="00B47A67" w:rsidP="00C520F4">
            <w:pPr>
              <w:spacing w:before="40" w:after="40"/>
              <w:jc w:val="center"/>
              <w:rPr>
                <w:sz w:val="20"/>
                <w:szCs w:val="20"/>
              </w:rPr>
            </w:pPr>
            <w:r w:rsidRPr="00B23A29">
              <w:rPr>
                <w:sz w:val="20"/>
                <w:szCs w:val="20"/>
              </w:rPr>
              <w:t>LW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EC742D5" w14:textId="62C3C9A4" w:rsidR="00B47A67" w:rsidRPr="00B23A29" w:rsidRDefault="00422A67" w:rsidP="00C520F4">
            <w:pPr>
              <w:spacing w:before="40" w:after="40"/>
              <w:jc w:val="center"/>
              <w:rPr>
                <w:sz w:val="20"/>
                <w:szCs w:val="20"/>
              </w:rPr>
            </w:pPr>
            <w:r>
              <w:rPr>
                <w:rFonts w:cs="Calibri"/>
                <w:sz w:val="20"/>
                <w:szCs w:val="20"/>
              </w:rPr>
              <w:t>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5D5BAD15" w14:textId="0C1B8BBF" w:rsidR="00B47A67" w:rsidRPr="00B23A29" w:rsidRDefault="00422A67" w:rsidP="00C520F4">
            <w:pPr>
              <w:spacing w:before="40" w:after="40"/>
              <w:jc w:val="center"/>
              <w:rPr>
                <w:sz w:val="20"/>
                <w:szCs w:val="20"/>
              </w:rPr>
            </w:pPr>
            <w:r>
              <w:rPr>
                <w:rFonts w:cs="Calibri"/>
                <w:sz w:val="20"/>
                <w:szCs w:val="20"/>
              </w:rPr>
              <w:t>0</w:t>
            </w:r>
          </w:p>
        </w:tc>
      </w:tr>
      <w:tr w:rsidR="00B47A67" w:rsidRPr="00B23A29" w14:paraId="5D7F6CCF"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37061664" w14:textId="7A39F417" w:rsidR="00B47A67" w:rsidRPr="00B23A29" w:rsidRDefault="00CA75D9" w:rsidP="00B47A67">
            <w:pPr>
              <w:spacing w:before="40" w:after="40"/>
              <w:jc w:val="left"/>
              <w:rPr>
                <w:sz w:val="20"/>
                <w:szCs w:val="20"/>
              </w:rPr>
            </w:pPr>
            <w:r>
              <w:rPr>
                <w:sz w:val="20"/>
                <w:szCs w:val="20"/>
              </w:rPr>
              <w:t>7</w:t>
            </w:r>
            <w:r w:rsidR="00E32C8A">
              <w:rPr>
                <w:sz w:val="20"/>
                <w:szCs w:val="20"/>
              </w:rPr>
              <w:t>.</w:t>
            </w:r>
          </w:p>
        </w:tc>
        <w:tc>
          <w:tcPr>
            <w:tcW w:w="4058" w:type="dxa"/>
            <w:vMerge w:val="restart"/>
            <w:tcBorders>
              <w:top w:val="single" w:sz="4" w:space="0" w:color="000000"/>
              <w:left w:val="single" w:sz="4" w:space="0" w:color="000000"/>
              <w:bottom w:val="single" w:sz="4" w:space="0" w:color="000000"/>
              <w:right w:val="single" w:sz="4" w:space="0" w:color="000000"/>
            </w:tcBorders>
            <w:vAlign w:val="center"/>
            <w:hideMark/>
          </w:tcPr>
          <w:p w14:paraId="7F95C7CD" w14:textId="17CCD8D5" w:rsidR="00B47A67" w:rsidRPr="00B23A29" w:rsidRDefault="00422A67" w:rsidP="00B47A67">
            <w:pPr>
              <w:spacing w:before="40" w:after="40"/>
              <w:jc w:val="left"/>
              <w:rPr>
                <w:sz w:val="20"/>
                <w:szCs w:val="20"/>
              </w:rPr>
            </w:pPr>
            <w:r>
              <w:rPr>
                <w:sz w:val="20"/>
                <w:szCs w:val="20"/>
              </w:rPr>
              <w:t>mniej rygorystyczne</w:t>
            </w:r>
            <w:r w:rsidR="00B47A67" w:rsidRPr="00B23A29">
              <w:rPr>
                <w:sz w:val="20"/>
                <w:szCs w:val="20"/>
              </w:rPr>
              <w:t xml:space="preserve"> cele środowiskowe ze względu na działalność człowieka </w:t>
            </w:r>
            <w:r w:rsidR="00B47A67" w:rsidRPr="00B23A29">
              <w:rPr>
                <w:sz w:val="20"/>
                <w:szCs w:val="20"/>
              </w:rPr>
              <w:br/>
              <w:t>- art.4 ust. 5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301EFCA2" w14:textId="77777777" w:rsidR="00B47A67" w:rsidRPr="00B23A29" w:rsidRDefault="00B47A67" w:rsidP="00C520F4">
            <w:pPr>
              <w:spacing w:before="40" w:after="40"/>
              <w:jc w:val="center"/>
              <w:rPr>
                <w:sz w:val="20"/>
                <w:szCs w:val="20"/>
              </w:rPr>
            </w:pPr>
            <w:r w:rsidRPr="00B23A29">
              <w:rPr>
                <w:sz w:val="20"/>
                <w:szCs w:val="20"/>
              </w:rPr>
              <w:t>RW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FCEA1C1" w14:textId="28A730EE" w:rsidR="00B47A67" w:rsidRPr="00B23A29" w:rsidRDefault="00B47A67" w:rsidP="00C520F4">
            <w:pPr>
              <w:spacing w:before="40" w:after="40"/>
              <w:jc w:val="center"/>
              <w:rPr>
                <w:sz w:val="20"/>
                <w:szCs w:val="20"/>
              </w:rPr>
            </w:pPr>
            <w:r w:rsidRPr="00C520F4">
              <w:rPr>
                <w:rFonts w:cs="Calibri"/>
                <w:sz w:val="20"/>
                <w:szCs w:val="20"/>
              </w:rPr>
              <w:t>5</w:t>
            </w:r>
            <w:r w:rsidR="00422A67">
              <w:rPr>
                <w:rFonts w:cs="Calibri"/>
                <w:sz w:val="20"/>
                <w:szCs w:val="20"/>
              </w:rPr>
              <w:t>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252026DB" w14:textId="310CF43A" w:rsidR="00B47A67" w:rsidRPr="00B23A29" w:rsidRDefault="00422A67" w:rsidP="00C520F4">
            <w:pPr>
              <w:spacing w:before="40" w:after="40"/>
              <w:jc w:val="center"/>
              <w:rPr>
                <w:sz w:val="20"/>
                <w:szCs w:val="20"/>
              </w:rPr>
            </w:pPr>
            <w:r>
              <w:rPr>
                <w:rFonts w:cs="Calibri"/>
                <w:sz w:val="20"/>
                <w:szCs w:val="20"/>
              </w:rPr>
              <w:t>64,6</w:t>
            </w:r>
          </w:p>
        </w:tc>
      </w:tr>
      <w:tr w:rsidR="00B47A67" w:rsidRPr="00B23A29" w14:paraId="57C7449C"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2932F910" w14:textId="1C560D45" w:rsidR="00B47A67" w:rsidRPr="00B23A29" w:rsidRDefault="00CA75D9" w:rsidP="00B47A67">
            <w:pPr>
              <w:spacing w:before="40" w:after="40"/>
              <w:jc w:val="left"/>
              <w:rPr>
                <w:sz w:val="20"/>
                <w:szCs w:val="20"/>
              </w:rPr>
            </w:pPr>
            <w:r>
              <w:rPr>
                <w:sz w:val="20"/>
                <w:szCs w:val="20"/>
              </w:rPr>
              <w:t>8</w:t>
            </w:r>
            <w:r w:rsidR="00E32C8A">
              <w:rPr>
                <w:sz w:val="20"/>
                <w:szCs w:val="20"/>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89A285" w14:textId="77777777" w:rsidR="00B47A67" w:rsidRPr="00B23A29" w:rsidRDefault="00B47A67" w:rsidP="00B47A67">
            <w:pPr>
              <w:spacing w:before="40" w:after="40"/>
              <w:jc w:val="left"/>
              <w:rPr>
                <w:sz w:val="20"/>
                <w:szCs w:val="20"/>
              </w:rPr>
            </w:pP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722C9BA2" w14:textId="77777777" w:rsidR="00B47A67" w:rsidRPr="00B23A29" w:rsidRDefault="00B47A67" w:rsidP="00C520F4">
            <w:pPr>
              <w:spacing w:before="40" w:after="40"/>
              <w:jc w:val="center"/>
              <w:rPr>
                <w:sz w:val="20"/>
                <w:szCs w:val="20"/>
              </w:rPr>
            </w:pPr>
            <w:r w:rsidRPr="00B23A29">
              <w:rPr>
                <w:sz w:val="20"/>
                <w:szCs w:val="20"/>
              </w:rPr>
              <w:t>LW</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45B9575" w14:textId="59021FC6" w:rsidR="00B47A67" w:rsidRPr="00B23A29" w:rsidRDefault="00422A67" w:rsidP="00C520F4">
            <w:pPr>
              <w:spacing w:before="40" w:after="40"/>
              <w:jc w:val="center"/>
              <w:rPr>
                <w:sz w:val="20"/>
                <w:szCs w:val="20"/>
              </w:rPr>
            </w:pPr>
            <w:r>
              <w:rPr>
                <w:rFonts w:cs="Calibri"/>
                <w:sz w:val="20"/>
                <w:szCs w:val="20"/>
              </w:rPr>
              <w:t>40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388169DE" w14:textId="4189CC71" w:rsidR="00B47A67" w:rsidRPr="00B23A29" w:rsidRDefault="00422A67" w:rsidP="00C520F4">
            <w:pPr>
              <w:spacing w:before="40" w:after="40"/>
              <w:jc w:val="center"/>
              <w:rPr>
                <w:sz w:val="20"/>
                <w:szCs w:val="20"/>
              </w:rPr>
            </w:pPr>
            <w:r>
              <w:rPr>
                <w:rFonts w:cs="Calibri"/>
                <w:sz w:val="20"/>
                <w:szCs w:val="20"/>
              </w:rPr>
              <w:t>38,1</w:t>
            </w:r>
          </w:p>
        </w:tc>
      </w:tr>
      <w:tr w:rsidR="00B47A67" w:rsidRPr="00B23A29" w14:paraId="233FE694"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42301C8C" w14:textId="2C47CDBC" w:rsidR="00B47A67" w:rsidRPr="00B23A29" w:rsidRDefault="00CA75D9" w:rsidP="00B47A67">
            <w:pPr>
              <w:spacing w:before="40" w:after="40"/>
              <w:jc w:val="left"/>
              <w:rPr>
                <w:sz w:val="20"/>
                <w:szCs w:val="20"/>
              </w:rPr>
            </w:pPr>
            <w:r>
              <w:rPr>
                <w:sz w:val="20"/>
                <w:szCs w:val="20"/>
              </w:rPr>
              <w:t>9</w:t>
            </w:r>
            <w:r w:rsidR="00E32C8A">
              <w:rPr>
                <w:sz w:val="20"/>
                <w:szCs w:val="20"/>
              </w:rPr>
              <w:t>.</w:t>
            </w:r>
          </w:p>
        </w:tc>
        <w:tc>
          <w:tcPr>
            <w:tcW w:w="4058" w:type="dxa"/>
            <w:tcBorders>
              <w:top w:val="single" w:sz="4" w:space="0" w:color="000000"/>
              <w:left w:val="single" w:sz="4" w:space="0" w:color="000000"/>
              <w:bottom w:val="single" w:sz="4" w:space="0" w:color="000000"/>
              <w:right w:val="single" w:sz="4" w:space="0" w:color="000000"/>
            </w:tcBorders>
            <w:vAlign w:val="center"/>
            <w:hideMark/>
          </w:tcPr>
          <w:p w14:paraId="4AC40EDC" w14:textId="1AB26963" w:rsidR="00B47A67" w:rsidRPr="00B23A29" w:rsidRDefault="00B47A67" w:rsidP="00B47A67">
            <w:pPr>
              <w:spacing w:before="40" w:after="40"/>
              <w:jc w:val="left"/>
              <w:rPr>
                <w:sz w:val="20"/>
                <w:szCs w:val="20"/>
              </w:rPr>
            </w:pPr>
            <w:r w:rsidRPr="00B23A29">
              <w:rPr>
                <w:sz w:val="20"/>
                <w:szCs w:val="20"/>
              </w:rPr>
              <w:t xml:space="preserve"> odrocz</w:t>
            </w:r>
            <w:r w:rsidR="00422A67">
              <w:rPr>
                <w:sz w:val="20"/>
                <w:szCs w:val="20"/>
              </w:rPr>
              <w:t>e</w:t>
            </w:r>
            <w:r w:rsidRPr="00B23A29">
              <w:rPr>
                <w:sz w:val="20"/>
                <w:szCs w:val="20"/>
              </w:rPr>
              <w:t>n</w:t>
            </w:r>
            <w:r w:rsidR="00422A67">
              <w:rPr>
                <w:sz w:val="20"/>
                <w:szCs w:val="20"/>
              </w:rPr>
              <w:t>ie</w:t>
            </w:r>
            <w:r w:rsidRPr="00B23A29">
              <w:rPr>
                <w:sz w:val="20"/>
                <w:szCs w:val="20"/>
              </w:rPr>
              <w:t xml:space="preserve"> termin</w:t>
            </w:r>
            <w:r w:rsidR="00422A67">
              <w:rPr>
                <w:sz w:val="20"/>
                <w:szCs w:val="20"/>
              </w:rPr>
              <w:t>u</w:t>
            </w:r>
            <w:r w:rsidRPr="00B23A29">
              <w:rPr>
                <w:sz w:val="20"/>
                <w:szCs w:val="20"/>
              </w:rPr>
              <w:t xml:space="preserve"> </w:t>
            </w:r>
            <w:r w:rsidRPr="00B23A29">
              <w:rPr>
                <w:sz w:val="20"/>
                <w:szCs w:val="20"/>
              </w:rPr>
              <w:br/>
              <w:t xml:space="preserve">osiągnięcia celów środowiskowych ze względu na warunki naturalne mające wpływ </w:t>
            </w:r>
            <w:r w:rsidRPr="00B23A29">
              <w:rPr>
                <w:sz w:val="20"/>
                <w:szCs w:val="20"/>
              </w:rPr>
              <w:br/>
              <w:t>na skuteczność działań - jcwpd, dla których złagodzono cele środowiskowe ze względu na warunki naturalne - art.4 ust. 4 lit. a(iii)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5E7AEC41" w14:textId="4981B39C" w:rsidR="00B47A67" w:rsidRPr="00B23A29" w:rsidRDefault="00E9105B" w:rsidP="00C520F4">
            <w:pPr>
              <w:spacing w:before="40" w:after="40"/>
              <w:jc w:val="center"/>
              <w:rPr>
                <w:sz w:val="20"/>
                <w:szCs w:val="20"/>
              </w:rPr>
            </w:pPr>
            <w:r>
              <w:rPr>
                <w:sz w:val="20"/>
                <w:szCs w:val="20"/>
              </w:rPr>
              <w:t>jcwpd</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CC66DC1" w14:textId="5AAEF8AD" w:rsidR="00B47A67" w:rsidRPr="00B23A29" w:rsidRDefault="00B47A67" w:rsidP="00C520F4">
            <w:pPr>
              <w:spacing w:before="40" w:after="40"/>
              <w:jc w:val="center"/>
              <w:rPr>
                <w:sz w:val="20"/>
                <w:szCs w:val="20"/>
              </w:rPr>
            </w:pPr>
            <w:r w:rsidRPr="00C520F4">
              <w:rPr>
                <w:rFonts w:cs="Calibri"/>
                <w:sz w:val="20"/>
                <w:szCs w:val="20"/>
              </w:rPr>
              <w:t>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536D4D6B" w14:textId="240B213D" w:rsidR="00B47A67" w:rsidRPr="00B23A29" w:rsidRDefault="00B47A67" w:rsidP="00C520F4">
            <w:pPr>
              <w:spacing w:before="40" w:after="40"/>
              <w:jc w:val="center"/>
              <w:rPr>
                <w:sz w:val="20"/>
                <w:szCs w:val="20"/>
              </w:rPr>
            </w:pPr>
            <w:r w:rsidRPr="00C520F4">
              <w:rPr>
                <w:rFonts w:cs="Calibri"/>
                <w:sz w:val="20"/>
                <w:szCs w:val="20"/>
              </w:rPr>
              <w:t>0</w:t>
            </w:r>
          </w:p>
        </w:tc>
      </w:tr>
      <w:tr w:rsidR="00B47A67" w:rsidRPr="00B23A29" w14:paraId="63E2336A"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657D7409" w14:textId="59AC6B94" w:rsidR="00B47A67" w:rsidRPr="00B23A29" w:rsidRDefault="00CA75D9" w:rsidP="00B47A67">
            <w:pPr>
              <w:spacing w:before="40" w:after="40"/>
              <w:jc w:val="left"/>
              <w:rPr>
                <w:sz w:val="20"/>
                <w:szCs w:val="20"/>
              </w:rPr>
            </w:pPr>
            <w:r>
              <w:rPr>
                <w:sz w:val="20"/>
                <w:szCs w:val="20"/>
              </w:rPr>
              <w:t>10</w:t>
            </w:r>
            <w:r w:rsidR="00E32C8A">
              <w:rPr>
                <w:sz w:val="20"/>
                <w:szCs w:val="20"/>
              </w:rPr>
              <w:t>.</w:t>
            </w:r>
          </w:p>
        </w:tc>
        <w:tc>
          <w:tcPr>
            <w:tcW w:w="4058" w:type="dxa"/>
            <w:tcBorders>
              <w:top w:val="single" w:sz="4" w:space="0" w:color="000000"/>
              <w:left w:val="single" w:sz="4" w:space="0" w:color="000000"/>
              <w:bottom w:val="single" w:sz="4" w:space="0" w:color="000000"/>
              <w:right w:val="single" w:sz="4" w:space="0" w:color="000000"/>
            </w:tcBorders>
            <w:vAlign w:val="center"/>
            <w:hideMark/>
          </w:tcPr>
          <w:p w14:paraId="18D966EC" w14:textId="5EB97B0D" w:rsidR="00B47A67" w:rsidRPr="00B23A29" w:rsidRDefault="00422A67" w:rsidP="00B47A67">
            <w:pPr>
              <w:spacing w:before="40" w:after="40"/>
              <w:jc w:val="left"/>
              <w:rPr>
                <w:sz w:val="20"/>
                <w:szCs w:val="20"/>
              </w:rPr>
            </w:pPr>
            <w:r>
              <w:rPr>
                <w:sz w:val="20"/>
                <w:szCs w:val="20"/>
              </w:rPr>
              <w:t>mniej rygorystyczne</w:t>
            </w:r>
            <w:r w:rsidR="00B47A67" w:rsidRPr="00B23A29">
              <w:rPr>
                <w:sz w:val="20"/>
                <w:szCs w:val="20"/>
              </w:rPr>
              <w:t xml:space="preserve"> cele środowiskowe ze względu na warunki naturalne </w:t>
            </w:r>
            <w:r w:rsidR="00B47A67" w:rsidRPr="00B23A29">
              <w:rPr>
                <w:sz w:val="20"/>
                <w:szCs w:val="20"/>
              </w:rPr>
              <w:br/>
              <w:t>- art.4 ust. 5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674E238E" w14:textId="0CB289CD" w:rsidR="00B47A67" w:rsidRPr="00B23A29" w:rsidRDefault="00E9105B" w:rsidP="00C520F4">
            <w:pPr>
              <w:spacing w:before="40" w:after="40"/>
              <w:jc w:val="center"/>
              <w:rPr>
                <w:sz w:val="20"/>
                <w:szCs w:val="20"/>
              </w:rPr>
            </w:pPr>
            <w:r>
              <w:rPr>
                <w:sz w:val="20"/>
                <w:szCs w:val="20"/>
              </w:rPr>
              <w:t>jcwpd</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BB6E4CA" w14:textId="556B481E" w:rsidR="00B47A67" w:rsidRPr="00B23A29" w:rsidRDefault="00B47A67" w:rsidP="00C520F4">
            <w:pPr>
              <w:spacing w:before="40" w:after="40"/>
              <w:jc w:val="center"/>
              <w:rPr>
                <w:sz w:val="20"/>
                <w:szCs w:val="20"/>
              </w:rPr>
            </w:pPr>
            <w:r w:rsidRPr="00C520F4">
              <w:rPr>
                <w:rFonts w:cs="Calibri"/>
                <w:sz w:val="20"/>
                <w:szCs w:val="20"/>
              </w:rPr>
              <w:t>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7273E9EE" w14:textId="7F7C94C1" w:rsidR="00B47A67" w:rsidRPr="00B23A29" w:rsidRDefault="00B47A67" w:rsidP="00C520F4">
            <w:pPr>
              <w:spacing w:before="40" w:after="40"/>
              <w:jc w:val="center"/>
              <w:rPr>
                <w:sz w:val="20"/>
                <w:szCs w:val="20"/>
              </w:rPr>
            </w:pPr>
            <w:r w:rsidRPr="00C520F4">
              <w:rPr>
                <w:rFonts w:cs="Calibri"/>
                <w:sz w:val="20"/>
                <w:szCs w:val="20"/>
              </w:rPr>
              <w:t>0</w:t>
            </w:r>
          </w:p>
        </w:tc>
      </w:tr>
      <w:tr w:rsidR="00B47A67" w:rsidRPr="00B23A29" w14:paraId="7ECF1BD5" w14:textId="77777777" w:rsidTr="00E32C8A">
        <w:trPr>
          <w:trHeight w:val="454"/>
          <w:jc w:val="center"/>
        </w:trPr>
        <w:tc>
          <w:tcPr>
            <w:tcW w:w="486" w:type="dxa"/>
            <w:tcBorders>
              <w:top w:val="single" w:sz="4" w:space="0" w:color="000000"/>
              <w:left w:val="single" w:sz="4" w:space="0" w:color="000000"/>
              <w:bottom w:val="single" w:sz="4" w:space="0" w:color="000000"/>
              <w:right w:val="single" w:sz="4" w:space="0" w:color="000000"/>
            </w:tcBorders>
            <w:vAlign w:val="center"/>
          </w:tcPr>
          <w:p w14:paraId="77DB4F55" w14:textId="46A7F524" w:rsidR="00B47A67" w:rsidRPr="00B23A29" w:rsidRDefault="00CA75D9" w:rsidP="00B47A67">
            <w:pPr>
              <w:spacing w:before="40" w:after="40"/>
              <w:jc w:val="left"/>
              <w:rPr>
                <w:sz w:val="20"/>
                <w:szCs w:val="20"/>
              </w:rPr>
            </w:pPr>
            <w:r>
              <w:rPr>
                <w:sz w:val="20"/>
                <w:szCs w:val="20"/>
              </w:rPr>
              <w:t>11</w:t>
            </w:r>
            <w:r w:rsidR="00E32C8A">
              <w:rPr>
                <w:sz w:val="20"/>
                <w:szCs w:val="20"/>
              </w:rPr>
              <w:t>.</w:t>
            </w:r>
          </w:p>
        </w:tc>
        <w:tc>
          <w:tcPr>
            <w:tcW w:w="4058" w:type="dxa"/>
            <w:tcBorders>
              <w:top w:val="single" w:sz="4" w:space="0" w:color="000000"/>
              <w:left w:val="single" w:sz="4" w:space="0" w:color="000000"/>
              <w:bottom w:val="single" w:sz="4" w:space="0" w:color="000000"/>
              <w:right w:val="single" w:sz="4" w:space="0" w:color="000000"/>
            </w:tcBorders>
            <w:vAlign w:val="center"/>
            <w:hideMark/>
          </w:tcPr>
          <w:p w14:paraId="337F6A50" w14:textId="385D3C6A" w:rsidR="00B47A67" w:rsidRPr="00B23A29" w:rsidRDefault="00422A67" w:rsidP="00B47A67">
            <w:pPr>
              <w:spacing w:before="40" w:after="40"/>
              <w:jc w:val="left"/>
              <w:rPr>
                <w:sz w:val="20"/>
                <w:szCs w:val="20"/>
              </w:rPr>
            </w:pPr>
            <w:r>
              <w:rPr>
                <w:sz w:val="20"/>
                <w:szCs w:val="20"/>
              </w:rPr>
              <w:t>mniej rygorystyczne</w:t>
            </w:r>
            <w:r w:rsidR="00B47A67" w:rsidRPr="00B23A29">
              <w:rPr>
                <w:sz w:val="20"/>
                <w:szCs w:val="20"/>
              </w:rPr>
              <w:t xml:space="preserve"> cele środowiskowe ze względu na działalność człowieka </w:t>
            </w:r>
            <w:r w:rsidR="00B47A67" w:rsidRPr="00B23A29">
              <w:rPr>
                <w:sz w:val="20"/>
                <w:szCs w:val="20"/>
              </w:rPr>
              <w:br/>
              <w:t>- art.4 ust. 5 RDW</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3A1E5169" w14:textId="6BE37829" w:rsidR="00B47A67" w:rsidRPr="00B23A29" w:rsidRDefault="00E9105B" w:rsidP="00C520F4">
            <w:pPr>
              <w:spacing w:before="40" w:after="40"/>
              <w:jc w:val="center"/>
              <w:rPr>
                <w:sz w:val="20"/>
                <w:szCs w:val="20"/>
              </w:rPr>
            </w:pPr>
            <w:r>
              <w:rPr>
                <w:sz w:val="20"/>
                <w:szCs w:val="20"/>
              </w:rPr>
              <w:t>jcwpd</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825F486" w14:textId="2E509DB1" w:rsidR="00B47A67" w:rsidRPr="00B23A29" w:rsidRDefault="00B47A67" w:rsidP="00C520F4">
            <w:pPr>
              <w:spacing w:before="40" w:after="40"/>
              <w:jc w:val="center"/>
              <w:rPr>
                <w:sz w:val="20"/>
                <w:szCs w:val="20"/>
              </w:rPr>
            </w:pPr>
            <w:r w:rsidRPr="00C520F4">
              <w:rPr>
                <w:rFonts w:cs="Calibri"/>
                <w:sz w:val="20"/>
                <w:szCs w:val="20"/>
              </w:rPr>
              <w:t>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2322882E" w14:textId="52D792A4" w:rsidR="00B47A67" w:rsidRPr="00B23A29" w:rsidRDefault="00B47A67" w:rsidP="00C520F4">
            <w:pPr>
              <w:spacing w:before="40" w:after="40"/>
              <w:jc w:val="center"/>
              <w:rPr>
                <w:sz w:val="20"/>
                <w:szCs w:val="20"/>
              </w:rPr>
            </w:pPr>
            <w:r w:rsidRPr="00C520F4">
              <w:rPr>
                <w:rFonts w:cs="Calibri"/>
                <w:sz w:val="20"/>
                <w:szCs w:val="20"/>
              </w:rPr>
              <w:t>0</w:t>
            </w:r>
          </w:p>
        </w:tc>
      </w:tr>
    </w:tbl>
    <w:p w14:paraId="504399EF" w14:textId="0C4581F9" w:rsidR="005A74C7" w:rsidRPr="00E310D8" w:rsidRDefault="00E310D8" w:rsidP="00E310D8">
      <w:pPr>
        <w:rPr>
          <w:b/>
          <w:bCs/>
          <w:i/>
          <w:iCs/>
          <w:sz w:val="18"/>
          <w:szCs w:val="18"/>
        </w:rPr>
      </w:pPr>
      <w:bookmarkStart w:id="233" w:name="_Toc66305705"/>
      <w:bookmarkStart w:id="234" w:name="_Toc66311177"/>
      <w:bookmarkEnd w:id="232"/>
      <w:r w:rsidRPr="00E310D8">
        <w:rPr>
          <w:i/>
          <w:iCs/>
          <w:sz w:val="18"/>
          <w:szCs w:val="18"/>
          <w:u w:val="single"/>
        </w:rPr>
        <w:t>Objaśnienia jcwp</w:t>
      </w:r>
      <w:r w:rsidRPr="00E310D8">
        <w:rPr>
          <w:i/>
          <w:iCs/>
          <w:sz w:val="18"/>
          <w:szCs w:val="18"/>
        </w:rPr>
        <w:t>:</w:t>
      </w:r>
    </w:p>
    <w:p w14:paraId="6197F370" w14:textId="16BAAC86" w:rsidR="00E310D8" w:rsidRPr="00E310D8" w:rsidRDefault="00E310D8" w:rsidP="00E310D8">
      <w:pPr>
        <w:rPr>
          <w:i/>
          <w:iCs/>
          <w:sz w:val="18"/>
          <w:szCs w:val="18"/>
        </w:rPr>
      </w:pPr>
      <w:r w:rsidRPr="00E310D8">
        <w:rPr>
          <w:i/>
          <w:iCs/>
          <w:sz w:val="18"/>
          <w:szCs w:val="18"/>
        </w:rPr>
        <w:t>RW - jcwp rzeczne, LW - jcwp jeziorne</w:t>
      </w:r>
    </w:p>
    <w:p w14:paraId="6C9FAB4D" w14:textId="5BD089D5" w:rsidR="00553428" w:rsidRDefault="00553428" w:rsidP="00553428">
      <w:pPr>
        <w:pStyle w:val="rdo0"/>
      </w:pPr>
      <w:r w:rsidRPr="002A0524">
        <w:t xml:space="preserve">Źródło: </w:t>
      </w:r>
      <w:r>
        <w:t xml:space="preserve">opracowanie </w:t>
      </w:r>
      <w:r w:rsidR="007A0C82">
        <w:t>własne</w:t>
      </w:r>
    </w:p>
    <w:p w14:paraId="7973D664" w14:textId="2DE00399" w:rsidR="00422A67" w:rsidRDefault="00422A67" w:rsidP="00422A67">
      <w:pPr>
        <w:suppressAutoHyphens/>
        <w:rPr>
          <w:rFonts w:cs="Calibri"/>
        </w:rPr>
      </w:pPr>
      <w:r>
        <w:rPr>
          <w:rFonts w:cs="Calibri"/>
        </w:rPr>
        <w:t xml:space="preserve">Wykaz odstępstw ustanowionych w trybie art. 4 ust. 4 i ust. 5 RDW przedstawiono w załączniku nr </w:t>
      </w:r>
      <w:r w:rsidR="009E1FEB">
        <w:rPr>
          <w:rFonts w:cs="Calibri"/>
        </w:rPr>
        <w:t>8</w:t>
      </w:r>
      <w:r>
        <w:rPr>
          <w:rFonts w:cs="Calibri"/>
        </w:rPr>
        <w:t xml:space="preserve"> w</w:t>
      </w:r>
      <w:r w:rsidR="007E5892">
        <w:rPr>
          <w:rFonts w:cs="Calibri"/>
        </w:rPr>
        <w:t> </w:t>
      </w:r>
      <w:r>
        <w:rPr>
          <w:rFonts w:cs="Calibri"/>
        </w:rPr>
        <w:t xml:space="preserve">podziale na jcwpd i jcwp (z wyodrębnieniem jcwp: rzecznych, zbiornikowych, jeziornych oraz przybrzeżnych i przejściowych). Dla każdego przypadku ustanowionego odstępstwa przedstawiono szczegółowe uzasadnienie </w:t>
      </w:r>
      <w:r w:rsidRPr="00537E5F">
        <w:rPr>
          <w:rFonts w:cs="Calibri"/>
        </w:rPr>
        <w:t>w formie tabelarycznej</w:t>
      </w:r>
      <w:r>
        <w:rPr>
          <w:rFonts w:cs="Calibri"/>
        </w:rPr>
        <w:t xml:space="preserve">. Na uzasadnienie to składają się </w:t>
      </w:r>
      <w:r w:rsidRPr="00537E5F">
        <w:rPr>
          <w:rFonts w:cs="Calibri"/>
        </w:rPr>
        <w:t>wynikowe elementy poszczególnych kolumn</w:t>
      </w:r>
      <w:r>
        <w:rPr>
          <w:rFonts w:cs="Calibri"/>
        </w:rPr>
        <w:t>, wśród których w szczególności należy wymienić:</w:t>
      </w:r>
    </w:p>
    <w:p w14:paraId="6BF4BEA6" w14:textId="10827238" w:rsidR="00422A67" w:rsidRDefault="00422A67" w:rsidP="00AA3506">
      <w:pPr>
        <w:pStyle w:val="Akapitzlist"/>
        <w:numPr>
          <w:ilvl w:val="0"/>
          <w:numId w:val="122"/>
        </w:numPr>
        <w:suppressAutoHyphens/>
        <w:ind w:left="426" w:hanging="426"/>
        <w:contextualSpacing/>
        <w:rPr>
          <w:rFonts w:cs="Calibri"/>
        </w:rPr>
      </w:pPr>
      <w:r w:rsidRPr="00B27752">
        <w:rPr>
          <w:rFonts w:cs="Calibri"/>
        </w:rPr>
        <w:t xml:space="preserve">informacje o stanie wód i o presjach </w:t>
      </w:r>
      <w:r w:rsidRPr="001049D2">
        <w:rPr>
          <w:rFonts w:cs="Calibri"/>
        </w:rPr>
        <w:t>zagrażających celom środowiskowym,</w:t>
      </w:r>
      <w:r>
        <w:rPr>
          <w:rFonts w:cs="Calibri"/>
        </w:rPr>
        <w:t xml:space="preserve"> </w:t>
      </w:r>
      <w:r w:rsidRPr="00B27752">
        <w:rPr>
          <w:rFonts w:cs="Calibri"/>
        </w:rPr>
        <w:t>w tym:</w:t>
      </w:r>
      <w:r>
        <w:rPr>
          <w:rFonts w:cs="Calibri"/>
        </w:rPr>
        <w:t xml:space="preserve"> identyfikacja wskaźników determinujących ocenę stanu/potencjału ekologicznego znajdujących się w złym stanie (według danych PMŚ) lub znajdujących </w:t>
      </w:r>
      <w:r w:rsidRPr="0058606E">
        <w:rPr>
          <w:rFonts w:cs="Calibri"/>
        </w:rPr>
        <w:t>się pod wpływem presji zagrażającej osiągnięciu celów środowiskowych</w:t>
      </w:r>
      <w:r>
        <w:rPr>
          <w:rFonts w:cs="Calibri"/>
        </w:rPr>
        <w:t xml:space="preserve">; w odniesieniu do stanu chemicznego </w:t>
      </w:r>
      <w:r w:rsidR="006C4947">
        <w:rPr>
          <w:rFonts w:cs="Calibri"/>
        </w:rPr>
        <w:t>-</w:t>
      </w:r>
      <w:r>
        <w:rPr>
          <w:rFonts w:cs="Calibri"/>
        </w:rPr>
        <w:t xml:space="preserve"> zidentyfikowano </w:t>
      </w:r>
      <w:r w:rsidRPr="0058606E">
        <w:rPr>
          <w:rFonts w:cs="Calibri"/>
        </w:rPr>
        <w:t>wskaźniki należą</w:t>
      </w:r>
      <w:r>
        <w:rPr>
          <w:rFonts w:cs="Calibri"/>
        </w:rPr>
        <w:t>ce</w:t>
      </w:r>
      <w:r w:rsidRPr="0058606E">
        <w:rPr>
          <w:rFonts w:cs="Calibri"/>
        </w:rPr>
        <w:t xml:space="preserve"> do grupy substancji priorytetowych wprowadzonych dyrektywą 2013/39/UE</w:t>
      </w:r>
      <w:r>
        <w:rPr>
          <w:rFonts w:cs="Calibri"/>
        </w:rPr>
        <w:t>;</w:t>
      </w:r>
    </w:p>
    <w:p w14:paraId="2742DE1E" w14:textId="66479A60" w:rsidR="00422A67" w:rsidRDefault="00422A67" w:rsidP="00AA3506">
      <w:pPr>
        <w:pStyle w:val="Akapitzlist"/>
        <w:numPr>
          <w:ilvl w:val="0"/>
          <w:numId w:val="122"/>
        </w:numPr>
        <w:suppressAutoHyphens/>
        <w:ind w:left="426" w:hanging="426"/>
        <w:contextualSpacing/>
        <w:rPr>
          <w:rFonts w:cs="Calibri"/>
        </w:rPr>
      </w:pPr>
      <w:r>
        <w:rPr>
          <w:rFonts w:cs="Calibri"/>
        </w:rPr>
        <w:t>wskazanie p</w:t>
      </w:r>
      <w:r w:rsidRPr="0058606E">
        <w:rPr>
          <w:rFonts w:cs="Calibri"/>
        </w:rPr>
        <w:t>rzyczyn</w:t>
      </w:r>
      <w:r>
        <w:rPr>
          <w:rFonts w:cs="Calibri"/>
        </w:rPr>
        <w:t>y</w:t>
      </w:r>
      <w:r w:rsidRPr="0058606E">
        <w:rPr>
          <w:rFonts w:cs="Calibri"/>
        </w:rPr>
        <w:t xml:space="preserve"> złego stanu wód lub zagrożenia osiągnięcia celu środowiskowego</w:t>
      </w:r>
      <w:r>
        <w:rPr>
          <w:rFonts w:cs="Calibri"/>
        </w:rPr>
        <w:t xml:space="preserve"> (z</w:t>
      </w:r>
      <w:r w:rsidR="007E5892">
        <w:rPr>
          <w:rFonts w:cs="Calibri"/>
        </w:rPr>
        <w:t> </w:t>
      </w:r>
      <w:r>
        <w:rPr>
          <w:rFonts w:cs="Calibri"/>
        </w:rPr>
        <w:t>uwzględnieniem antropopresji, dopływów z innych jcwp oraz warunków naturalnych);</w:t>
      </w:r>
    </w:p>
    <w:p w14:paraId="4B4FE975" w14:textId="14234303" w:rsidR="00422A67" w:rsidRDefault="00422A67" w:rsidP="00AA3506">
      <w:pPr>
        <w:pStyle w:val="Akapitzlist"/>
        <w:numPr>
          <w:ilvl w:val="0"/>
          <w:numId w:val="122"/>
        </w:numPr>
        <w:suppressAutoHyphens/>
        <w:ind w:left="426" w:hanging="426"/>
        <w:contextualSpacing/>
        <w:rPr>
          <w:rFonts w:cs="Calibri"/>
        </w:rPr>
      </w:pPr>
      <w:r>
        <w:rPr>
          <w:rFonts w:cs="Calibri"/>
        </w:rPr>
        <w:t>syntetyczna informacja o o</w:t>
      </w:r>
      <w:r w:rsidRPr="0058606E">
        <w:rPr>
          <w:rFonts w:cs="Calibri"/>
        </w:rPr>
        <w:t>cen</w:t>
      </w:r>
      <w:r>
        <w:rPr>
          <w:rFonts w:cs="Calibri"/>
        </w:rPr>
        <w:t>ie</w:t>
      </w:r>
      <w:r w:rsidRPr="0058606E">
        <w:rPr>
          <w:rFonts w:cs="Calibri"/>
        </w:rPr>
        <w:t xml:space="preserve"> skuteczności programu działań (przy założeniu jego pełnego i</w:t>
      </w:r>
      <w:r w:rsidR="007E5892">
        <w:rPr>
          <w:rFonts w:cs="Calibri"/>
        </w:rPr>
        <w:t> </w:t>
      </w:r>
      <w:r w:rsidRPr="0058606E">
        <w:rPr>
          <w:rFonts w:cs="Calibri"/>
        </w:rPr>
        <w:t>terminowego wdrożenia) dla wskaźników determinujących zły stan wód</w:t>
      </w:r>
      <w:r>
        <w:rPr>
          <w:rFonts w:cs="Calibri"/>
        </w:rPr>
        <w:t>; wyodrębniono tu wskaźniki,</w:t>
      </w:r>
      <w:r w:rsidRPr="0058606E">
        <w:t xml:space="preserve"> </w:t>
      </w:r>
      <w:r w:rsidRPr="0058606E">
        <w:rPr>
          <w:rFonts w:cs="Calibri"/>
        </w:rPr>
        <w:t>dla których program działań (przy założeniu jego pełnego wdrożenia)</w:t>
      </w:r>
      <w:r>
        <w:rPr>
          <w:rFonts w:cs="Calibri"/>
        </w:rPr>
        <w:t>:</w:t>
      </w:r>
    </w:p>
    <w:p w14:paraId="53BC0F0F" w14:textId="77777777" w:rsidR="00422A67" w:rsidRDefault="00422A67" w:rsidP="00AA3506">
      <w:pPr>
        <w:pStyle w:val="Akapitzlist"/>
        <w:numPr>
          <w:ilvl w:val="0"/>
          <w:numId w:val="123"/>
        </w:numPr>
        <w:suppressAutoHyphens/>
        <w:contextualSpacing/>
        <w:rPr>
          <w:rFonts w:cs="Calibri"/>
        </w:rPr>
      </w:pPr>
      <w:r w:rsidRPr="0058606E">
        <w:rPr>
          <w:rFonts w:cs="Calibri"/>
        </w:rPr>
        <w:t>daje wysoki stopień pewności na osiągnięcie celów środowiskowych</w:t>
      </w:r>
      <w:r>
        <w:rPr>
          <w:rFonts w:cs="Calibri"/>
        </w:rPr>
        <w:t>,</w:t>
      </w:r>
    </w:p>
    <w:p w14:paraId="709A9F51" w14:textId="77777777" w:rsidR="00422A67" w:rsidRDefault="00422A67" w:rsidP="00AA3506">
      <w:pPr>
        <w:pStyle w:val="Akapitzlist"/>
        <w:numPr>
          <w:ilvl w:val="0"/>
          <w:numId w:val="123"/>
        </w:numPr>
        <w:suppressAutoHyphens/>
        <w:contextualSpacing/>
        <w:rPr>
          <w:rFonts w:cs="Calibri"/>
        </w:rPr>
      </w:pPr>
      <w:r w:rsidRPr="0058606E">
        <w:rPr>
          <w:rFonts w:cs="Calibri"/>
        </w:rPr>
        <w:t>nie daje wysokiego stopnia pewności osiągnięcia celów środowiskowych</w:t>
      </w:r>
      <w:r>
        <w:rPr>
          <w:rFonts w:cs="Calibri"/>
        </w:rPr>
        <w:t>;</w:t>
      </w:r>
    </w:p>
    <w:p w14:paraId="76DEE3B4" w14:textId="77777777" w:rsidR="00422A67" w:rsidRDefault="00422A67" w:rsidP="00AA3506">
      <w:pPr>
        <w:pStyle w:val="Akapitzlist"/>
        <w:numPr>
          <w:ilvl w:val="0"/>
          <w:numId w:val="122"/>
        </w:numPr>
        <w:suppressAutoHyphens/>
        <w:ind w:left="426" w:hanging="426"/>
        <w:contextualSpacing/>
        <w:rPr>
          <w:rFonts w:cs="Calibri"/>
        </w:rPr>
      </w:pPr>
      <w:r>
        <w:rPr>
          <w:rFonts w:cs="Calibri"/>
        </w:rPr>
        <w:t>informacje warunkujące odstępstwo czasowe (w trybie art. 4 ust. 4 RDW):</w:t>
      </w:r>
    </w:p>
    <w:p w14:paraId="5FD26534" w14:textId="77777777" w:rsidR="00422A67" w:rsidRDefault="00422A67" w:rsidP="00AA3506">
      <w:pPr>
        <w:pStyle w:val="Akapitzlist"/>
        <w:numPr>
          <w:ilvl w:val="0"/>
          <w:numId w:val="124"/>
        </w:numPr>
        <w:suppressAutoHyphens/>
        <w:contextualSpacing/>
        <w:rPr>
          <w:rFonts w:cs="Calibri"/>
        </w:rPr>
      </w:pPr>
      <w:r>
        <w:rPr>
          <w:rFonts w:cs="Calibri"/>
        </w:rPr>
        <w:t>w</w:t>
      </w:r>
      <w:r w:rsidRPr="006C27D3">
        <w:rPr>
          <w:rFonts w:cs="Calibri"/>
        </w:rPr>
        <w:t>arunki naturalne uniemożliwiające osiągnięcie celów środowiskowych w perspektywie do końca 2027 r. (lub roku 2039 - dla substancji priorytetowych wprowadzonych dyrektywą 2013/39/UE)</w:t>
      </w:r>
      <w:r>
        <w:rPr>
          <w:rFonts w:cs="Calibri"/>
        </w:rPr>
        <w:t>,</w:t>
      </w:r>
    </w:p>
    <w:p w14:paraId="25815CA0" w14:textId="689B2704" w:rsidR="00422A67" w:rsidRDefault="00422A67" w:rsidP="00AA3506">
      <w:pPr>
        <w:pStyle w:val="Akapitzlist"/>
        <w:numPr>
          <w:ilvl w:val="0"/>
          <w:numId w:val="124"/>
        </w:numPr>
        <w:suppressAutoHyphens/>
        <w:contextualSpacing/>
        <w:rPr>
          <w:rFonts w:cs="Calibri"/>
        </w:rPr>
      </w:pPr>
      <w:r>
        <w:rPr>
          <w:rFonts w:cs="Calibri"/>
        </w:rPr>
        <w:t xml:space="preserve">informacje o technicznej wykonalności i proporcjonalności kosztów </w:t>
      </w:r>
      <w:r w:rsidR="006C4947">
        <w:rPr>
          <w:rFonts w:cs="Calibri"/>
        </w:rPr>
        <w:t>-</w:t>
      </w:r>
      <w:r>
        <w:rPr>
          <w:rFonts w:cs="Calibri"/>
        </w:rPr>
        <w:t xml:space="preserve"> w odniesieniu do </w:t>
      </w:r>
      <w:r w:rsidRPr="006C27D3">
        <w:rPr>
          <w:rFonts w:cs="Calibri"/>
        </w:rPr>
        <w:t>substancji priorytetowych wprowadzonych dyrektywą 2013/39/UE</w:t>
      </w:r>
      <w:r>
        <w:rPr>
          <w:rFonts w:cs="Calibri"/>
        </w:rPr>
        <w:t>; jeżeli występują tego typu przesłanki (tj. w adekwatnej komórce tabeli podano „TAK”), to należy tę informację rozumieć jako wskazanie, że terminem osiągnięcia celu środowiskowego dla ww. substancji priorytetowych jest rok 2039;</w:t>
      </w:r>
    </w:p>
    <w:p w14:paraId="6ECB2CB4" w14:textId="38AB2A3A" w:rsidR="00422A67" w:rsidRDefault="00422A67" w:rsidP="00AA3506">
      <w:pPr>
        <w:pStyle w:val="Akapitzlist"/>
        <w:numPr>
          <w:ilvl w:val="0"/>
          <w:numId w:val="122"/>
        </w:numPr>
        <w:suppressAutoHyphens/>
        <w:ind w:left="426" w:hanging="426"/>
        <w:contextualSpacing/>
        <w:rPr>
          <w:rFonts w:cs="Calibri"/>
        </w:rPr>
      </w:pPr>
      <w:r>
        <w:rPr>
          <w:rFonts w:cs="Calibri"/>
        </w:rPr>
        <w:t>informacje warunkujące u</w:t>
      </w:r>
      <w:r w:rsidRPr="00656A23">
        <w:rPr>
          <w:rFonts w:cs="Calibri"/>
        </w:rPr>
        <w:t>stalenie mniej rygorystycznych celów środowiskowych (odstępstwo w</w:t>
      </w:r>
      <w:r w:rsidR="007E5892">
        <w:rPr>
          <w:rFonts w:cs="Calibri"/>
        </w:rPr>
        <w:t> </w:t>
      </w:r>
      <w:r w:rsidRPr="00656A23">
        <w:rPr>
          <w:rFonts w:cs="Calibri"/>
        </w:rPr>
        <w:t>trybie art. 4 ust. 5 RDW)</w:t>
      </w:r>
      <w:r>
        <w:rPr>
          <w:rFonts w:cs="Calibri"/>
        </w:rPr>
        <w:t>:</w:t>
      </w:r>
    </w:p>
    <w:p w14:paraId="037EF9A5" w14:textId="77777777" w:rsidR="00422A67" w:rsidRDefault="00422A67" w:rsidP="00AA3506">
      <w:pPr>
        <w:pStyle w:val="Akapitzlist"/>
        <w:numPr>
          <w:ilvl w:val="0"/>
          <w:numId w:val="125"/>
        </w:numPr>
        <w:suppressAutoHyphens/>
        <w:contextualSpacing/>
        <w:rPr>
          <w:rFonts w:cs="Calibri"/>
        </w:rPr>
      </w:pPr>
      <w:r>
        <w:rPr>
          <w:rFonts w:cs="Calibri"/>
        </w:rPr>
        <w:t>w</w:t>
      </w:r>
      <w:r w:rsidRPr="00656A23">
        <w:rPr>
          <w:rFonts w:cs="Calibri"/>
        </w:rPr>
        <w:t>arunki naturalne będące trwałą przyczyną nieosiągnięcia celów środowiskowych</w:t>
      </w:r>
      <w:r>
        <w:rPr>
          <w:rFonts w:cs="Calibri"/>
        </w:rPr>
        <w:t>,</w:t>
      </w:r>
    </w:p>
    <w:p w14:paraId="393BD2FC" w14:textId="77777777" w:rsidR="00422A67" w:rsidRDefault="00422A67" w:rsidP="00AA3506">
      <w:pPr>
        <w:pStyle w:val="Akapitzlist"/>
        <w:numPr>
          <w:ilvl w:val="0"/>
          <w:numId w:val="125"/>
        </w:numPr>
        <w:suppressAutoHyphens/>
        <w:contextualSpacing/>
        <w:rPr>
          <w:rFonts w:cs="Calibri"/>
        </w:rPr>
      </w:pPr>
      <w:r>
        <w:rPr>
          <w:rFonts w:cs="Calibri"/>
        </w:rPr>
        <w:t>d</w:t>
      </w:r>
      <w:r w:rsidRPr="00656A23">
        <w:rPr>
          <w:rFonts w:cs="Calibri"/>
        </w:rPr>
        <w:t>ominujące źródło presji antropogenicznej determinującej stan wód</w:t>
      </w:r>
      <w:r>
        <w:rPr>
          <w:rFonts w:cs="Calibri"/>
        </w:rPr>
        <w:t>,</w:t>
      </w:r>
    </w:p>
    <w:p w14:paraId="4719CF2F" w14:textId="77777777" w:rsidR="00422A67" w:rsidRDefault="00422A67" w:rsidP="00AA3506">
      <w:pPr>
        <w:pStyle w:val="Akapitzlist"/>
        <w:numPr>
          <w:ilvl w:val="0"/>
          <w:numId w:val="125"/>
        </w:numPr>
        <w:suppressAutoHyphens/>
        <w:contextualSpacing/>
        <w:rPr>
          <w:rFonts w:cs="Calibri"/>
        </w:rPr>
      </w:pPr>
      <w:r>
        <w:rPr>
          <w:rFonts w:cs="Calibri"/>
        </w:rPr>
        <w:t>p</w:t>
      </w:r>
      <w:r w:rsidRPr="00656A23">
        <w:rPr>
          <w:rFonts w:cs="Calibri"/>
        </w:rPr>
        <w:t>otrzeba społeczno-ekonomiczna zaspokajana przez źródło presji antropogenicznej determinującej na stan wód w stopniu zagrażającym osiągnięciu celów środowiskowych</w:t>
      </w:r>
      <w:r>
        <w:rPr>
          <w:rFonts w:cs="Calibri"/>
        </w:rPr>
        <w:t>,</w:t>
      </w:r>
    </w:p>
    <w:p w14:paraId="442E1C69" w14:textId="77777777" w:rsidR="00422A67" w:rsidRDefault="00422A67" w:rsidP="00AA3506">
      <w:pPr>
        <w:pStyle w:val="Akapitzlist"/>
        <w:numPr>
          <w:ilvl w:val="0"/>
          <w:numId w:val="125"/>
        </w:numPr>
        <w:suppressAutoHyphens/>
        <w:contextualSpacing/>
        <w:rPr>
          <w:rFonts w:cs="Calibri"/>
        </w:rPr>
      </w:pPr>
      <w:r>
        <w:rPr>
          <w:rFonts w:cs="Calibri"/>
        </w:rPr>
        <w:t>u</w:t>
      </w:r>
      <w:r w:rsidRPr="00656A23">
        <w:rPr>
          <w:rFonts w:cs="Calibri"/>
        </w:rPr>
        <w:t>zasadnienie braku alternatywnych opcji</w:t>
      </w:r>
      <w:r>
        <w:rPr>
          <w:rFonts w:cs="Calibri"/>
        </w:rPr>
        <w:t>;</w:t>
      </w:r>
    </w:p>
    <w:p w14:paraId="3804B5EC" w14:textId="77777777" w:rsidR="00422A67" w:rsidRDefault="00422A67" w:rsidP="00AA3506">
      <w:pPr>
        <w:pStyle w:val="Akapitzlist"/>
        <w:numPr>
          <w:ilvl w:val="0"/>
          <w:numId w:val="122"/>
        </w:numPr>
        <w:suppressAutoHyphens/>
        <w:ind w:left="426" w:hanging="426"/>
        <w:contextualSpacing/>
        <w:rPr>
          <w:rFonts w:cs="Calibri"/>
        </w:rPr>
      </w:pPr>
      <w:r>
        <w:rPr>
          <w:rFonts w:cs="Calibri"/>
        </w:rPr>
        <w:t xml:space="preserve">podsumowaniem tabeli są kolumny przedstawiające </w:t>
      </w:r>
      <w:r w:rsidRPr="00656A23">
        <w:rPr>
          <w:rFonts w:cs="Calibri"/>
        </w:rPr>
        <w:t>wskaźnik</w:t>
      </w:r>
      <w:r>
        <w:rPr>
          <w:rFonts w:cs="Calibri"/>
        </w:rPr>
        <w:t>i</w:t>
      </w:r>
      <w:r w:rsidRPr="00656A23">
        <w:rPr>
          <w:rFonts w:cs="Calibri"/>
        </w:rPr>
        <w:t>, któr</w:t>
      </w:r>
      <w:r>
        <w:rPr>
          <w:rFonts w:cs="Calibri"/>
        </w:rPr>
        <w:t>ych</w:t>
      </w:r>
      <w:r w:rsidRPr="00656A23">
        <w:rPr>
          <w:rFonts w:cs="Calibri"/>
        </w:rPr>
        <w:t xml:space="preserve"> cel środowiskowy</w:t>
      </w:r>
      <w:r>
        <w:rPr>
          <w:rFonts w:cs="Calibri"/>
        </w:rPr>
        <w:t>:</w:t>
      </w:r>
    </w:p>
    <w:p w14:paraId="6CF94DA1" w14:textId="77777777" w:rsidR="00422A67" w:rsidRDefault="00422A67" w:rsidP="00AA3506">
      <w:pPr>
        <w:pStyle w:val="Akapitzlist"/>
        <w:numPr>
          <w:ilvl w:val="0"/>
          <w:numId w:val="126"/>
        </w:numPr>
        <w:suppressAutoHyphens/>
        <w:contextualSpacing/>
        <w:rPr>
          <w:rFonts w:cs="Calibri"/>
        </w:rPr>
      </w:pPr>
      <w:r w:rsidRPr="00656A23">
        <w:rPr>
          <w:rFonts w:cs="Calibri"/>
        </w:rPr>
        <w:t>może być odroczony w czasie</w:t>
      </w:r>
      <w:r>
        <w:rPr>
          <w:rFonts w:cs="Calibri"/>
        </w:rPr>
        <w:t>,</w:t>
      </w:r>
    </w:p>
    <w:p w14:paraId="6A449B86" w14:textId="374A16A8" w:rsidR="00422A67" w:rsidRPr="00422A67" w:rsidRDefault="00422A67" w:rsidP="00AA3506">
      <w:pPr>
        <w:pStyle w:val="Akapitzlist"/>
        <w:numPr>
          <w:ilvl w:val="0"/>
          <w:numId w:val="126"/>
        </w:numPr>
        <w:suppressAutoHyphens/>
        <w:contextualSpacing/>
        <w:rPr>
          <w:rFonts w:cs="Calibri"/>
        </w:rPr>
      </w:pPr>
      <w:r w:rsidRPr="00422A67">
        <w:rPr>
          <w:rFonts w:cs="Calibri"/>
        </w:rPr>
        <w:t xml:space="preserve">może być złagodzony do poziomu poniżej II klasy odpowiadającej stanowi dobremu (dla takich wskaźników nie może nastąpić dalsze pogorszenie stanu wód </w:t>
      </w:r>
      <w:r w:rsidR="006C4947">
        <w:rPr>
          <w:rFonts w:cs="Calibri"/>
        </w:rPr>
        <w:t>-</w:t>
      </w:r>
      <w:r w:rsidRPr="00422A67">
        <w:rPr>
          <w:rFonts w:cs="Calibri"/>
        </w:rPr>
        <w:t xml:space="preserve"> za wyjątkiem odstępstwa w</w:t>
      </w:r>
      <w:r w:rsidR="007E5892">
        <w:rPr>
          <w:rFonts w:cs="Calibri"/>
        </w:rPr>
        <w:t> </w:t>
      </w:r>
      <w:r w:rsidRPr="00422A67">
        <w:rPr>
          <w:rFonts w:cs="Calibri"/>
        </w:rPr>
        <w:t>trybie art. 4 ust. 6 lub 7 RDW).</w:t>
      </w:r>
    </w:p>
    <w:p w14:paraId="0A839EF0" w14:textId="3D81F972" w:rsidR="000714F1" w:rsidRPr="003A4F5C" w:rsidRDefault="000714F1" w:rsidP="00B50FFD">
      <w:pPr>
        <w:pStyle w:val="Nagwek2"/>
      </w:pPr>
      <w:bookmarkStart w:id="235" w:name="_Hlk67404623"/>
      <w:bookmarkStart w:id="236" w:name="_Toc68726866"/>
      <w:bookmarkEnd w:id="222"/>
      <w:r w:rsidRPr="003A4F5C">
        <w:t>Cele środowiskowe a czasowe pogorszenie stanu jcw w wyniku zjawisk o</w:t>
      </w:r>
      <w:r>
        <w:t> </w:t>
      </w:r>
      <w:r w:rsidRPr="003A4F5C">
        <w:t>charakterze naturalnym lub na skutek siły wyższej</w:t>
      </w:r>
      <w:bookmarkEnd w:id="233"/>
      <w:bookmarkEnd w:id="234"/>
      <w:bookmarkEnd w:id="236"/>
    </w:p>
    <w:p w14:paraId="7675221E" w14:textId="1085ABF1" w:rsidR="000714F1" w:rsidRDefault="000714F1" w:rsidP="000714F1">
      <w:pPr>
        <w:suppressAutoHyphens/>
        <w:rPr>
          <w:rFonts w:asciiTheme="minorHAnsi" w:hAnsiTheme="minorHAnsi" w:cstheme="minorHAnsi"/>
        </w:rPr>
      </w:pPr>
      <w:r>
        <w:rPr>
          <w:rFonts w:asciiTheme="minorHAnsi" w:hAnsiTheme="minorHAnsi" w:cstheme="minorHAnsi"/>
        </w:rPr>
        <w:t>Ustawa pr.w. wskazuje w art. 65 ust. 1 (w ślad za art. 4 ust. 6 RDW) warunki dopuszczalności odstępstwa polegającego na czasowym pogorszeniu stanu wód w wyniku zjawisk o charakterze naturalnym lub będących skutkiem siły wyższej, nadzwyczajnych lub niemożliwych do przewidzenia, w</w:t>
      </w:r>
      <w:r w:rsidR="007B081B">
        <w:rPr>
          <w:rFonts w:asciiTheme="minorHAnsi" w:hAnsiTheme="minorHAnsi" w:cstheme="minorHAnsi"/>
        </w:rPr>
        <w:t> </w:t>
      </w:r>
      <w:r>
        <w:rPr>
          <w:rFonts w:asciiTheme="minorHAnsi" w:hAnsiTheme="minorHAnsi" w:cstheme="minorHAnsi"/>
        </w:rPr>
        <w:t xml:space="preserve">szczególności ekstremalnych zjawisk powodziowych lub długotrwałej suszy, zdarzeń o charakterze terrorystycznym, zakłócenia funkcjonowania infrastruktury krytycznej w rozumieniu art. 3 pkt 2 ustawy z dnia 26 kwietnia 2007 r. o zarządzaniu kryzysowym (Dz.U. z 2019 r. poz. 1398) </w:t>
      </w:r>
      <w:r w:rsidR="004E78A7">
        <w:rPr>
          <w:rFonts w:asciiTheme="minorHAnsi" w:hAnsiTheme="minorHAnsi" w:cstheme="minorHAnsi"/>
        </w:rPr>
        <w:t xml:space="preserve">lub </w:t>
      </w:r>
      <w:r>
        <w:rPr>
          <w:rFonts w:asciiTheme="minorHAnsi" w:hAnsiTheme="minorHAnsi" w:cstheme="minorHAnsi"/>
        </w:rPr>
        <w:t>niedających się przewidzieć katastrof. Powyższe zjawiska nie muszą zostać objęte stanem klęski żywiołowej.</w:t>
      </w:r>
    </w:p>
    <w:p w14:paraId="06AADD4D" w14:textId="77777777" w:rsidR="000714F1" w:rsidRDefault="000714F1" w:rsidP="000714F1">
      <w:pPr>
        <w:suppressAutoHyphens/>
        <w:rPr>
          <w:rFonts w:asciiTheme="minorHAnsi" w:hAnsiTheme="minorHAnsi" w:cstheme="minorHAnsi"/>
        </w:rPr>
      </w:pPr>
      <w:r>
        <w:rPr>
          <w:rFonts w:asciiTheme="minorHAnsi" w:hAnsiTheme="minorHAnsi" w:cstheme="minorHAnsi"/>
        </w:rPr>
        <w:t>Wśród warunków dopuszczalności ww. odstępstwa wymienia się m.in. zawarcie w planie gospodarowania wodami warunków i wskaźników kwalifikowania okoliczności i zjawisk powodujących czasowe pogorszenie stanu jcw. Ponadto działania, jakie powinny być podjęte w takich wyjątkowych okolicznościach, również muszą być włączone w program działań i nie zagrażać odzyskaniu jakości przez część wód po ustaniu tych okoliczności. Oddziaływania okoliczności i zjawisk powodujących czasowe pogorszenie stanu jednolitych części wód powinny być corocznie analizowane, a podsumowanie skutków tych okoliczności oraz działań podjętych (lub które będą podjęte) musi być zawarte w następnym uaktualnieniu PGW.</w:t>
      </w:r>
    </w:p>
    <w:p w14:paraId="63F884F3" w14:textId="77777777" w:rsidR="000714F1" w:rsidRDefault="000714F1" w:rsidP="000714F1">
      <w:pPr>
        <w:rPr>
          <w:rFonts w:asciiTheme="minorHAnsi" w:hAnsiTheme="minorHAnsi" w:cstheme="minorHAnsi"/>
        </w:rPr>
      </w:pPr>
      <w:r>
        <w:rPr>
          <w:rFonts w:asciiTheme="minorHAnsi" w:hAnsiTheme="minorHAnsi" w:cstheme="minorHAnsi"/>
        </w:rPr>
        <w:t>Dotychczas obowiązujące aPGW nie określały:</w:t>
      </w:r>
    </w:p>
    <w:p w14:paraId="50113E09" w14:textId="77777777" w:rsidR="000714F1" w:rsidRPr="003A4F5C" w:rsidRDefault="000714F1" w:rsidP="00AA3506">
      <w:pPr>
        <w:pStyle w:val="Akapitzlist"/>
        <w:numPr>
          <w:ilvl w:val="0"/>
          <w:numId w:val="109"/>
        </w:numPr>
      </w:pPr>
      <w:r w:rsidRPr="003A4F5C">
        <w:t>warunków, w których okoliczności wyjątkowe lub niedające się racjonalnie przewidzieć mogą być ogłoszone, włączając przyjęcie właściwych wskaźników;</w:t>
      </w:r>
    </w:p>
    <w:p w14:paraId="4085BE5B" w14:textId="77777777" w:rsidR="000714F1" w:rsidRPr="003A4F5C" w:rsidRDefault="000714F1" w:rsidP="00AA3506">
      <w:pPr>
        <w:pStyle w:val="Akapitzlist"/>
        <w:numPr>
          <w:ilvl w:val="0"/>
          <w:numId w:val="109"/>
        </w:numPr>
      </w:pPr>
      <w:r w:rsidRPr="003A4F5C">
        <w:t>działań, jakie powinny być podjęte w takich wyjątkowych okolicznościach (powinny być włączone w program działań i nie zagrażać odzyskaniu jakości przez część wód po ustaniu tych okoliczności).</w:t>
      </w:r>
    </w:p>
    <w:p w14:paraId="65E46FCA" w14:textId="7321F784" w:rsidR="000714F1" w:rsidRDefault="000714F1" w:rsidP="000714F1">
      <w:pPr>
        <w:rPr>
          <w:rFonts w:asciiTheme="minorHAnsi" w:hAnsiTheme="minorHAnsi" w:cstheme="minorHAnsi"/>
        </w:rPr>
      </w:pPr>
      <w:r>
        <w:rPr>
          <w:rFonts w:asciiTheme="minorHAnsi" w:hAnsiTheme="minorHAnsi" w:cstheme="minorHAnsi"/>
        </w:rPr>
        <w:t xml:space="preserve">W związku z powyższym w niniejszym dokumencie nie ma możliwości przedstawienia informacji o dopuszczalności odstępstwa wynikającego z art. 4 ust. 6 RDW w odniesieniu do zjawisk występujących w ramach III cyklu planistycznego. Niemniej w ramach </w:t>
      </w:r>
      <w:r>
        <w:rPr>
          <w:rFonts w:asciiTheme="minorHAnsi" w:hAnsiTheme="minorHAnsi" w:cstheme="minorHAnsi"/>
          <w:i/>
          <w:iCs/>
        </w:rPr>
        <w:t xml:space="preserve">Analizy znaczących oddziaływań - jcwp (…) </w:t>
      </w:r>
      <w:r>
        <w:rPr>
          <w:rFonts w:asciiTheme="minorHAnsi" w:hAnsiTheme="minorHAnsi" w:cstheme="minorHAnsi"/>
        </w:rPr>
        <w:t xml:space="preserve">uwzględniono zjawiska naturalne w postaci susz i powodzi, które mogły przyczynić </w:t>
      </w:r>
      <w:r w:rsidR="004E78A7">
        <w:rPr>
          <w:rFonts w:asciiTheme="minorHAnsi" w:hAnsiTheme="minorHAnsi" w:cstheme="minorHAnsi"/>
        </w:rPr>
        <w:t xml:space="preserve">się </w:t>
      </w:r>
      <w:r>
        <w:rPr>
          <w:rFonts w:asciiTheme="minorHAnsi" w:hAnsiTheme="minorHAnsi" w:cstheme="minorHAnsi"/>
        </w:rPr>
        <w:t>do nieosiągnięcia celów środowiskowych.</w:t>
      </w:r>
    </w:p>
    <w:p w14:paraId="07A18435" w14:textId="084DD1AC" w:rsidR="000714F1" w:rsidRDefault="000714F1" w:rsidP="000714F1">
      <w:pPr>
        <w:rPr>
          <w:rFonts w:asciiTheme="minorHAnsi" w:hAnsiTheme="minorHAnsi" w:cstheme="minorHAnsi"/>
        </w:rPr>
      </w:pPr>
      <w:r>
        <w:rPr>
          <w:rFonts w:asciiTheme="minorHAnsi" w:hAnsiTheme="minorHAnsi" w:cstheme="minorHAnsi"/>
        </w:rPr>
        <w:t>W ramach niniejszego IIaPGW ustanawia się następujące definicje zjawisk i ich wskaźniki, które powinny być traktowane jako jedna z przesłanek (art. 65 ust. 1 pkt 2 ustawy pr.w.) warunkujących zastosowanie ww. odstępstwa:</w:t>
      </w:r>
    </w:p>
    <w:p w14:paraId="5A59A757" w14:textId="15698A97" w:rsidR="000714F1" w:rsidRDefault="000714F1" w:rsidP="000714F1">
      <w:pPr>
        <w:rPr>
          <w:rFonts w:asciiTheme="minorHAnsi" w:hAnsiTheme="minorHAnsi" w:cstheme="minorHAnsi"/>
          <w:color w:val="000000"/>
        </w:rPr>
      </w:pPr>
      <w:r>
        <w:rPr>
          <w:rFonts w:asciiTheme="minorHAnsi" w:hAnsiTheme="minorHAnsi" w:cstheme="minorHAnsi"/>
          <w:b/>
          <w:bCs/>
          <w:color w:val="000000"/>
        </w:rPr>
        <w:t>Okoliczności charakteru naturalnego lub siły wyższe</w:t>
      </w:r>
      <w:r>
        <w:rPr>
          <w:rFonts w:asciiTheme="minorHAnsi" w:hAnsiTheme="minorHAnsi" w:cstheme="minorHAnsi"/>
          <w:color w:val="000000"/>
        </w:rPr>
        <w:t xml:space="preserve"> -</w:t>
      </w:r>
      <w:r>
        <w:rPr>
          <w:rFonts w:asciiTheme="minorHAnsi" w:hAnsiTheme="minorHAnsi" w:cstheme="minorHAnsi"/>
          <w:b/>
          <w:bCs/>
          <w:color w:val="000000"/>
        </w:rPr>
        <w:t xml:space="preserve"> </w:t>
      </w:r>
      <w:r>
        <w:rPr>
          <w:rFonts w:asciiTheme="minorHAnsi" w:hAnsiTheme="minorHAnsi" w:cstheme="minorHAnsi"/>
          <w:color w:val="000000"/>
        </w:rPr>
        <w:t>wszelkie nie</w:t>
      </w:r>
      <w:r w:rsidR="004E78A7">
        <w:rPr>
          <w:rFonts w:asciiTheme="minorHAnsi" w:hAnsiTheme="minorHAnsi" w:cstheme="minorHAnsi"/>
          <w:color w:val="000000"/>
        </w:rPr>
        <w:t xml:space="preserve"> </w:t>
      </w:r>
      <w:r>
        <w:rPr>
          <w:rFonts w:asciiTheme="minorHAnsi" w:hAnsiTheme="minorHAnsi" w:cstheme="minorHAnsi"/>
          <w:color w:val="000000"/>
        </w:rPr>
        <w:t xml:space="preserve">dające się przewidzieć i niemożliwe do zapobieżenia zdarzenia wynikające z działań sił przyrody, </w:t>
      </w:r>
      <w:r>
        <w:rPr>
          <w:rFonts w:asciiTheme="minorHAnsi" w:hAnsiTheme="minorHAnsi" w:cstheme="minorHAnsi"/>
        </w:rPr>
        <w:t xml:space="preserve">które doprowadziły do naruszenia zakładanych wskaźników stanu/potencjału ekologicznego lub chemicznego jcwp i obniżenia ich o co najmniej jedną klasę - z zastrzeżeniem, że skutki, o których mowa, mogą utrzymać </w:t>
      </w:r>
      <w:r w:rsidR="004E78A7">
        <w:rPr>
          <w:rFonts w:asciiTheme="minorHAnsi" w:hAnsiTheme="minorHAnsi" w:cstheme="minorHAnsi"/>
        </w:rPr>
        <w:t xml:space="preserve">się </w:t>
      </w:r>
      <w:r>
        <w:rPr>
          <w:rFonts w:asciiTheme="minorHAnsi" w:hAnsiTheme="minorHAnsi" w:cstheme="minorHAnsi"/>
        </w:rPr>
        <w:t>przez co najmniej 60 dni, a przywrócenie stanu wód sprzed wystąpienia zdarzenia losowego wymaga ingerencji człowieka</w:t>
      </w:r>
      <w:r w:rsidR="004E78A7">
        <w:rPr>
          <w:rFonts w:asciiTheme="minorHAnsi" w:hAnsiTheme="minorHAnsi" w:cstheme="minorHAnsi"/>
        </w:rPr>
        <w:t>;</w:t>
      </w:r>
    </w:p>
    <w:p w14:paraId="3C759663" w14:textId="21713A84" w:rsidR="000714F1" w:rsidRDefault="000714F1" w:rsidP="000714F1">
      <w:pPr>
        <w:rPr>
          <w:rFonts w:asciiTheme="minorHAnsi" w:hAnsiTheme="minorHAnsi" w:cstheme="minorHAnsi"/>
        </w:rPr>
      </w:pPr>
      <w:r>
        <w:rPr>
          <w:rFonts w:asciiTheme="minorHAnsi" w:hAnsiTheme="minorHAnsi" w:cstheme="minorHAnsi"/>
          <w:b/>
          <w:bCs/>
        </w:rPr>
        <w:t>Ekstremalna powódź</w:t>
      </w:r>
      <w:r>
        <w:rPr>
          <w:rFonts w:asciiTheme="minorHAnsi" w:hAnsiTheme="minorHAnsi" w:cstheme="minorHAnsi"/>
        </w:rPr>
        <w:t xml:space="preserve"> - każdy z typów powodzi (powódź rzeczna, opadowa, od wód gruntowych, od strony morza, w wyniku nieprzewidzianej awarii urządzeń hydrotechnicznych oraz wywołana innymi czynnikami, w tym o nieznanej genezie), któr</w:t>
      </w:r>
      <w:r w:rsidR="004E78A7">
        <w:rPr>
          <w:rFonts w:asciiTheme="minorHAnsi" w:hAnsiTheme="minorHAnsi" w:cstheme="minorHAnsi"/>
        </w:rPr>
        <w:t>a</w:t>
      </w:r>
      <w:r>
        <w:rPr>
          <w:rFonts w:asciiTheme="minorHAnsi" w:hAnsiTheme="minorHAnsi" w:cstheme="minorHAnsi"/>
        </w:rPr>
        <w:t xml:space="preserve"> doprowadził</w:t>
      </w:r>
      <w:r w:rsidR="004E78A7">
        <w:rPr>
          <w:rFonts w:asciiTheme="minorHAnsi" w:hAnsiTheme="minorHAnsi" w:cstheme="minorHAnsi"/>
        </w:rPr>
        <w:t>a</w:t>
      </w:r>
      <w:r>
        <w:rPr>
          <w:rFonts w:asciiTheme="minorHAnsi" w:hAnsiTheme="minorHAnsi" w:cstheme="minorHAnsi"/>
        </w:rPr>
        <w:t xml:space="preserve"> do naruszenia zakładanych wskaźników stanu/potencjału ekologicznego lub chemicznego jcwp i obniżenia ich o co najmniej jedną klasę </w:t>
      </w:r>
      <w:r w:rsidR="006C4947">
        <w:rPr>
          <w:rFonts w:asciiTheme="minorHAnsi" w:hAnsiTheme="minorHAnsi" w:cstheme="minorHAnsi"/>
        </w:rPr>
        <w:t>-</w:t>
      </w:r>
      <w:r>
        <w:rPr>
          <w:rFonts w:asciiTheme="minorHAnsi" w:hAnsiTheme="minorHAnsi" w:cstheme="minorHAnsi"/>
        </w:rPr>
        <w:t xml:space="preserve"> z</w:t>
      </w:r>
      <w:r w:rsidR="007B081B">
        <w:rPr>
          <w:rFonts w:asciiTheme="minorHAnsi" w:hAnsiTheme="minorHAnsi" w:cstheme="minorHAnsi"/>
        </w:rPr>
        <w:t> </w:t>
      </w:r>
      <w:r>
        <w:rPr>
          <w:rFonts w:asciiTheme="minorHAnsi" w:hAnsiTheme="minorHAnsi" w:cstheme="minorHAnsi"/>
        </w:rPr>
        <w:t>zastrzeżeniem, że skutki o których mowa, mogą utrzymać</w:t>
      </w:r>
      <w:r w:rsidR="004E78A7">
        <w:rPr>
          <w:rFonts w:asciiTheme="minorHAnsi" w:hAnsiTheme="minorHAnsi" w:cstheme="minorHAnsi"/>
        </w:rPr>
        <w:t xml:space="preserve"> się</w:t>
      </w:r>
      <w:r>
        <w:rPr>
          <w:rFonts w:asciiTheme="minorHAnsi" w:hAnsiTheme="minorHAnsi" w:cstheme="minorHAnsi"/>
        </w:rPr>
        <w:t xml:space="preserve"> przez co najmniej 60 dni, a przywrócenie stanu wód sprzed wystąpienia powodzi wymaga natychmiastowej ingerencji człowieka</w:t>
      </w:r>
      <w:r w:rsidR="004E78A7">
        <w:rPr>
          <w:rFonts w:asciiTheme="minorHAnsi" w:hAnsiTheme="minorHAnsi" w:cstheme="minorHAnsi"/>
        </w:rPr>
        <w:t>;</w:t>
      </w:r>
    </w:p>
    <w:p w14:paraId="06172F62" w14:textId="50D7F079" w:rsidR="000714F1" w:rsidRDefault="000714F1" w:rsidP="000714F1">
      <w:pPr>
        <w:rPr>
          <w:rFonts w:asciiTheme="minorHAnsi" w:hAnsiTheme="minorHAnsi" w:cstheme="minorHAnsi"/>
        </w:rPr>
      </w:pPr>
      <w:r>
        <w:rPr>
          <w:rFonts w:asciiTheme="minorHAnsi" w:hAnsiTheme="minorHAnsi" w:cstheme="minorHAnsi"/>
          <w:b/>
          <w:bCs/>
        </w:rPr>
        <w:t>Przedłużająca się susza</w:t>
      </w:r>
      <w:r>
        <w:rPr>
          <w:rFonts w:asciiTheme="minorHAnsi" w:hAnsiTheme="minorHAnsi" w:cstheme="minorHAnsi"/>
        </w:rPr>
        <w:t xml:space="preserve"> - zjawisko polegające na wystąpieniu suszy hydrologicznej lub hydrogeologicznej na poziomie lokalnym, subregionalnym </w:t>
      </w:r>
      <w:r w:rsidR="004E78A7">
        <w:rPr>
          <w:rFonts w:asciiTheme="minorHAnsi" w:hAnsiTheme="minorHAnsi" w:cstheme="minorHAnsi"/>
        </w:rPr>
        <w:t xml:space="preserve">lub </w:t>
      </w:r>
      <w:r>
        <w:rPr>
          <w:rFonts w:asciiTheme="minorHAnsi" w:hAnsiTheme="minorHAnsi" w:cstheme="minorHAnsi"/>
        </w:rPr>
        <w:t>regionalnym, które doprowadziło do naruszenia zakładanych wskaźników stanu/potencjału ekologicznego lub chemicznego jcwp (lub: stanu ilościowego i chemicznego jcwpd) i obniżenia ich o co najmniej jedną klasę - z zastrzeżeniem, że skutki, o których mowa, utrzymują się przez co najmniej 60 dni, a przywrócenie stanu wód sprzed wystąpienia suszy wymaga ingerencji człowieka</w:t>
      </w:r>
      <w:r w:rsidR="004E78A7">
        <w:rPr>
          <w:rFonts w:asciiTheme="minorHAnsi" w:hAnsiTheme="minorHAnsi" w:cstheme="minorHAnsi"/>
        </w:rPr>
        <w:t>;</w:t>
      </w:r>
    </w:p>
    <w:p w14:paraId="428166CB" w14:textId="073127D4" w:rsidR="000714F1" w:rsidRDefault="000714F1" w:rsidP="000714F1">
      <w:r>
        <w:rPr>
          <w:b/>
          <w:bCs/>
        </w:rPr>
        <w:t>Nieprzewidziana awaria</w:t>
      </w:r>
      <w:r>
        <w:t xml:space="preserve"> - nieprzewidziana poważna awaria jakiegokolwiek zakładu, instalacji lub urządzenia, w wyniku której do środowiska wodnego przedostały się substancje powodujące naruszenie zakładanych wskaźników stanu/potencjału ekologicznego lub chemicznego jcwp i obniżenia ich o co najmniej jedną klasę - z zastrzeżeniem, że skutki, o których mowa, mogą utrzymać </w:t>
      </w:r>
      <w:r w:rsidR="004E78A7">
        <w:t xml:space="preserve">się </w:t>
      </w:r>
      <w:r>
        <w:t>przez co najmniej 60 dni, a przywrócenie pierwotnego stanu wód sprzed wystąpienia awarii wymaga natychmiastowej ingerencji człowieka. Z pewnością powinny to być awarie, o których mowa w</w:t>
      </w:r>
      <w:r w:rsidR="007B081B">
        <w:t> </w:t>
      </w:r>
      <w:r>
        <w:t>rozporządzeniu Ministra Środowiska z dnia 30 grudnia 2002 r. w sprawie poważnych awarii objętych obowiązkiem zgłoszenia do Głównego Inspektora Ochrony Środowiska.</w:t>
      </w:r>
    </w:p>
    <w:p w14:paraId="79514951" w14:textId="77777777" w:rsidR="000714F1" w:rsidRDefault="000714F1" w:rsidP="000714F1">
      <w:r>
        <w:t>Przedstawione powyżej definicje i wskaźniki uwzględniają specyfikę i cele RDW oraz odnoszą się do celów środowiskowych w zakresie stanu lub potencjału ekologicznego oraz stanu chemicznego, którego osiągnięcie zostało czasowo uniemożliwione.</w:t>
      </w:r>
      <w:bookmarkEnd w:id="224"/>
    </w:p>
    <w:p w14:paraId="7E874F63" w14:textId="77777777" w:rsidR="007A7A03" w:rsidRPr="007A7A03" w:rsidRDefault="007A7A03" w:rsidP="007A7A03"/>
    <w:p w14:paraId="70E086DB" w14:textId="07A4D2FC" w:rsidR="008A6497" w:rsidRPr="008A6497" w:rsidRDefault="008A6497" w:rsidP="008A6497">
      <w:r>
        <w:br w:type="page"/>
      </w:r>
    </w:p>
    <w:p w14:paraId="0E642F50" w14:textId="517A0D6D" w:rsidR="000B010A" w:rsidRDefault="000B010A" w:rsidP="00B50FFD">
      <w:pPr>
        <w:pStyle w:val="Nagwek1"/>
      </w:pPr>
      <w:bookmarkStart w:id="237" w:name="_Toc51050049"/>
      <w:bookmarkStart w:id="238" w:name="_Toc68726867"/>
      <w:bookmarkEnd w:id="13"/>
      <w:bookmarkEnd w:id="19"/>
      <w:bookmarkEnd w:id="235"/>
      <w:r w:rsidRPr="00032A69">
        <w:t>Ocena postępu w osiąganiu celów środowiskowych</w:t>
      </w:r>
      <w:bookmarkEnd w:id="238"/>
    </w:p>
    <w:p w14:paraId="19A8A6F2" w14:textId="77777777" w:rsidR="00BF3A28" w:rsidRPr="002D6624" w:rsidRDefault="00BF3A28" w:rsidP="00BF3A28">
      <w:pPr>
        <w:rPr>
          <w:bCs/>
        </w:rPr>
      </w:pPr>
      <w:r w:rsidRPr="002D6624">
        <w:t xml:space="preserve">Informacją uzyskiwaną w każdej aktualizacji procesu jest określenie jego postępu, co w przypadku IIaPGW oznacza ocenę postępu w osiąganiu przez jcw celów środowiskowych, zgodnie z art. 318 ust. </w:t>
      </w:r>
      <w:r w:rsidRPr="002D6624">
        <w:rPr>
          <w:bCs/>
        </w:rPr>
        <w:t>6 pkt 2 ustawy pr.w. oraz zgodnie z §2 ust. 1 pkt. 35 r.p.g.w.</w:t>
      </w:r>
    </w:p>
    <w:p w14:paraId="761944F1" w14:textId="0F645C28" w:rsidR="00BF3A28" w:rsidRPr="002D6624" w:rsidRDefault="00BF3A28" w:rsidP="00BF3A28">
      <w:pPr>
        <w:rPr>
          <w:bCs/>
        </w:rPr>
      </w:pPr>
      <w:r w:rsidRPr="002D6624">
        <w:t>Nowy układ planistyczny wprowadzony IIaPGW determinuje konieczność przedstawienia danych i</w:t>
      </w:r>
      <w:r w:rsidR="007E5892">
        <w:t> </w:t>
      </w:r>
      <w:r w:rsidRPr="002D6624">
        <w:t xml:space="preserve">informacji równocześnie dla dwóch perspektyw czasowych dla zachowania spójności i ciągłości informacji pomiędzy następującymi po sobie cyklami planistycznymi. Zgodnie z informacjami prezentowanymi we wcześniejszych rozdziałach, zmiana układu jednostek planistycznych poza wpływem na możliwość przeniesienia ocen stanu jcwp na nowy układ, miała również wpływ na możliwość ustalenia celów środowiskowych dla jcwp. Cele środowiskowe ustalone dla jcwp w aPGW (2016-2021) w wyniku konieczności przeniesienia na nowy układ planistyczny </w:t>
      </w:r>
      <w:r w:rsidR="009A0748">
        <w:t xml:space="preserve">(IIaPGW) </w:t>
      </w:r>
      <w:r w:rsidRPr="002D6624">
        <w:t>nie w każdym przypadku zostały ustalone. Ocena postępu w osiąganiu celów środowiskowych jest procesem kontynuowanym w każdej kolejnej aktualizacji planów gospodarowania wodami, dlatego też dla zachowania ciągłości procesu konieczne jest przedstawienie oceny postępu zarówno w odniesieniu do układu jednostek planistycznych obowiązującego w aPGW (2016-2021) - jako element sprawozdawczy dla zakończonego cyklu planistycznego, ale również dla nowego, aktualnie obowiązującego układu jednostek planistycznych (IIaPGW) co stanowić będzie punkt odniesienia dla oceny postępu w</w:t>
      </w:r>
      <w:r w:rsidR="007E5892">
        <w:t> </w:t>
      </w:r>
      <w:r w:rsidRPr="002D6624">
        <w:t>osiąganiu celów w</w:t>
      </w:r>
      <w:r w:rsidR="007B081B">
        <w:t> </w:t>
      </w:r>
      <w:r w:rsidRPr="002D6624">
        <w:t>kolejnej aktualizacji planów gospodarowania wodami.</w:t>
      </w:r>
    </w:p>
    <w:p w14:paraId="4276B6C7" w14:textId="77777777" w:rsidR="00BF3A28" w:rsidRPr="002D6624" w:rsidRDefault="00BF3A28" w:rsidP="00BF3A28">
      <w:pPr>
        <w:rPr>
          <w:bCs/>
        </w:rPr>
      </w:pPr>
      <w:r w:rsidRPr="002D6624">
        <w:rPr>
          <w:bCs/>
        </w:rPr>
        <w:t xml:space="preserve">Poniżej zaprezentowane zostały dokonane oceny postępu w osiąganiu celów środowiskowych dla poszczególnych kategorii wód obszaru dorzecza </w:t>
      </w:r>
      <w:r>
        <w:rPr>
          <w:bCs/>
        </w:rPr>
        <w:t>Pregoły</w:t>
      </w:r>
      <w:r w:rsidRPr="002D6624">
        <w:rPr>
          <w:bCs/>
        </w:rPr>
        <w:t xml:space="preserve">. </w:t>
      </w:r>
    </w:p>
    <w:p w14:paraId="5F4ED96A" w14:textId="77777777" w:rsidR="00BF3A28" w:rsidRPr="002D6624" w:rsidRDefault="00BF3A28" w:rsidP="00BF3A28">
      <w:pPr>
        <w:rPr>
          <w:bCs/>
        </w:rPr>
      </w:pPr>
      <w:r w:rsidRPr="002D6624">
        <w:rPr>
          <w:bCs/>
        </w:rPr>
        <w:t>W ramach analiz stanu jcwp, poza zidentyfikowaną presją (rozdział 7 IIaPGW), wyznaczono dodatkowo pięć grup prawdopodobnych przyczyn nieosiągnięcia celów środowiskowych tj.:</w:t>
      </w:r>
    </w:p>
    <w:p w14:paraId="6EF7B1A3" w14:textId="4CF36084" w:rsidR="00BF3A28" w:rsidRPr="002D6624" w:rsidRDefault="00BF3A28" w:rsidP="00AA3506">
      <w:pPr>
        <w:pStyle w:val="Akapitzlist"/>
        <w:numPr>
          <w:ilvl w:val="0"/>
          <w:numId w:val="89"/>
        </w:numPr>
      </w:pPr>
      <w:r w:rsidRPr="002D6624">
        <w:t>Zmiany legislacyjne - zmiana wartości granicznych wskaźników decydujących o</w:t>
      </w:r>
      <w:r w:rsidR="007B081B">
        <w:t> </w:t>
      </w:r>
      <w:r w:rsidRPr="002D6624">
        <w:t>stanie/potencjale ekologicznym i stanie chemicznym jcwp; zmiana typologii wód dla stanu/potencjału ekologicznego</w:t>
      </w:r>
    </w:p>
    <w:p w14:paraId="2F66BD44" w14:textId="77777777" w:rsidR="00BF3A28" w:rsidRPr="002D6624" w:rsidRDefault="00BF3A28" w:rsidP="00AA3506">
      <w:pPr>
        <w:pStyle w:val="Akapitzlist"/>
        <w:numPr>
          <w:ilvl w:val="0"/>
          <w:numId w:val="89"/>
        </w:numPr>
      </w:pPr>
      <w:r w:rsidRPr="002D6624">
        <w:t>Zmiana zakresu monitoringu - rozszerzenie monitoringu wskaźników decydujących o stanie chemicznym jcwp zgodnie z dyrektywą 2013/39/UE oraz rozpoczęcie monitoringu bioty;</w:t>
      </w:r>
    </w:p>
    <w:p w14:paraId="1377A7B5" w14:textId="05CB46F7" w:rsidR="00BF3A28" w:rsidRPr="002D6624" w:rsidRDefault="00BF3A28" w:rsidP="00AA3506">
      <w:pPr>
        <w:pStyle w:val="Akapitzlist"/>
        <w:numPr>
          <w:ilvl w:val="0"/>
          <w:numId w:val="89"/>
        </w:numPr>
      </w:pPr>
      <w:r w:rsidRPr="002D6624">
        <w:t>Stopień realizacji oraz skuteczność zestawu działań - analiza stopnia wdrożenia zaproponowanych działań w ramach aPGW wraz z oceną skuteczności działań dla jcwp w</w:t>
      </w:r>
      <w:r w:rsidR="007B081B">
        <w:t> </w:t>
      </w:r>
      <w:r w:rsidRPr="002D6624">
        <w:t>nowym układzie planistycznym;</w:t>
      </w:r>
    </w:p>
    <w:p w14:paraId="70698199" w14:textId="77777777" w:rsidR="00BF3A28" w:rsidRPr="002D6624" w:rsidRDefault="00BF3A28" w:rsidP="00AA3506">
      <w:pPr>
        <w:pStyle w:val="Akapitzlist"/>
        <w:numPr>
          <w:ilvl w:val="0"/>
          <w:numId w:val="89"/>
        </w:numPr>
      </w:pPr>
      <w:r w:rsidRPr="002D6624">
        <w:t xml:space="preserve">Uwarunkowania zlewni - analiza wpływu niskiego potencjału sorpcyjnego zlewni oraz </w:t>
      </w:r>
      <w:r w:rsidRPr="002D6624">
        <w:rPr>
          <w:color w:val="000000" w:themeColor="text1"/>
        </w:rPr>
        <w:t>dopływu wód ze zlewni powyżej z uwzględnieniem ich chemizmu;</w:t>
      </w:r>
    </w:p>
    <w:p w14:paraId="5764B5F4" w14:textId="6C500DB2" w:rsidR="005848EA" w:rsidRPr="00C277FB" w:rsidRDefault="00BF3A28" w:rsidP="00AA3506">
      <w:pPr>
        <w:pStyle w:val="Akapitzlist"/>
        <w:numPr>
          <w:ilvl w:val="0"/>
          <w:numId w:val="89"/>
        </w:numPr>
      </w:pPr>
      <w:r w:rsidRPr="002D6624">
        <w:t xml:space="preserve">Inne - w tym działania, które pomimo wdrożenia i skuteczności nie doprowadziły do obniżenia stężeń substancji chemicznych poniżej EQS. </w:t>
      </w:r>
    </w:p>
    <w:p w14:paraId="562A5202" w14:textId="755761C5" w:rsidR="00786A9D" w:rsidRPr="00C277FB" w:rsidRDefault="00786A9D" w:rsidP="00786A9D">
      <w:r>
        <w:t>Podstawę dla wykonanych analiz i zaprezentowanych w poniższych podrozdziałach wyników stanowią wyniki oceny spełnienia celów środowiskowych</w:t>
      </w:r>
      <w:r w:rsidR="001C0981">
        <w:t xml:space="preserve"> oraz</w:t>
      </w:r>
      <w:r>
        <w:t xml:space="preserve"> uzyskane oceny stanu jcw. Szczegółowe informacje podsumowujące dotyczące każdej jcw przedstawia załącznik nr 1 (Zestawienie główne).</w:t>
      </w:r>
    </w:p>
    <w:p w14:paraId="4DA52DE0" w14:textId="77777777" w:rsidR="005848EA" w:rsidRPr="00C277FB" w:rsidRDefault="005848EA" w:rsidP="00B50FFD">
      <w:pPr>
        <w:pStyle w:val="Nagwek2"/>
      </w:pPr>
      <w:bookmarkStart w:id="239" w:name="_Toc66305707"/>
      <w:bookmarkStart w:id="240" w:name="_Toc66311179"/>
      <w:bookmarkStart w:id="241" w:name="_Toc68726868"/>
      <w:r w:rsidRPr="007F7636">
        <w:t>Ocena postępu w osiąganiu celów środowiskowych</w:t>
      </w:r>
      <w:r>
        <w:t xml:space="preserve"> jcwp</w:t>
      </w:r>
      <w:bookmarkEnd w:id="239"/>
      <w:bookmarkEnd w:id="240"/>
      <w:bookmarkEnd w:id="241"/>
    </w:p>
    <w:p w14:paraId="54DDDB37" w14:textId="77777777" w:rsidR="005848EA" w:rsidRPr="00531E3C" w:rsidRDefault="005848EA" w:rsidP="00B50FFD">
      <w:pPr>
        <w:pStyle w:val="Nagwek3"/>
        <w:rPr>
          <w:rFonts w:cstheme="minorBidi"/>
        </w:rPr>
      </w:pPr>
      <w:bookmarkStart w:id="242" w:name="_Toc68726869"/>
      <w:r w:rsidRPr="007F7636">
        <w:t>Ocena postępu w osiąganiu celów środowiskowych dla stanu/potencjału ekologicznego jcwp RW w okresie od 2016 r. do 2021 r. wraz z wyjaśnieniem przyczyn nieosiągnięcia celów środowiskowych dla nich określonych</w:t>
      </w:r>
      <w:bookmarkEnd w:id="242"/>
    </w:p>
    <w:p w14:paraId="5E2FBBF3" w14:textId="77777777" w:rsidR="005848EA" w:rsidRPr="00D06F33" w:rsidRDefault="005848EA" w:rsidP="00AA0CAB">
      <w:pPr>
        <w:pStyle w:val="Nagwek5"/>
        <w:rPr>
          <w:rStyle w:val="Pogrubienie"/>
          <w:rFonts w:ascii="Calibri" w:hAnsi="Calibri"/>
          <w:b/>
        </w:rPr>
      </w:pPr>
      <w:r w:rsidRPr="00D06F33">
        <w:rPr>
          <w:rStyle w:val="Pogrubienie"/>
          <w:rFonts w:ascii="Calibri" w:hAnsi="Calibri"/>
          <w:b/>
        </w:rPr>
        <w:t>Ocena postępu w osiąganiu celów środowiskowych dla stanu/potencjału ekologicznego jcwp RW (układ planistyczny aPGW, 2016-2021)</w:t>
      </w:r>
    </w:p>
    <w:p w14:paraId="684A337D" w14:textId="3FEE25BB" w:rsidR="005848EA" w:rsidRDefault="00EC1782" w:rsidP="005848EA">
      <w:pPr>
        <w:rPr>
          <w:i/>
          <w:iCs/>
        </w:rPr>
      </w:pPr>
      <w:r>
        <w:t>5</w:t>
      </w:r>
      <w:r w:rsidR="0095160E" w:rsidRPr="3990DFC8">
        <w:t xml:space="preserve"> jcwp RW (</w:t>
      </w:r>
      <w:r w:rsidR="0095160E">
        <w:t>5,0</w:t>
      </w:r>
      <w:r w:rsidR="0095160E" w:rsidRPr="3990DFC8">
        <w:t>% wszystkich jcwp w tym obszarze dorzecza)</w:t>
      </w:r>
      <w:r>
        <w:t xml:space="preserve"> o</w:t>
      </w:r>
      <w:r w:rsidRPr="3990DFC8">
        <w:t>siągnę</w:t>
      </w:r>
      <w:r>
        <w:t>ło</w:t>
      </w:r>
      <w:r w:rsidRPr="3990DFC8">
        <w:t xml:space="preserve"> cel</w:t>
      </w:r>
      <w:r>
        <w:t>e</w:t>
      </w:r>
      <w:r w:rsidRPr="3990DFC8">
        <w:t xml:space="preserve"> środowiskow</w:t>
      </w:r>
      <w:r>
        <w:t>e</w:t>
      </w:r>
      <w:r w:rsidR="0095160E" w:rsidRPr="3990DFC8">
        <w:t>. Dobry stan/potencjał ekologiczny utrzymał</w:t>
      </w:r>
      <w:r w:rsidR="0095160E">
        <w:t>y</w:t>
      </w:r>
      <w:r w:rsidR="0095160E" w:rsidRPr="3990DFC8">
        <w:t xml:space="preserve"> </w:t>
      </w:r>
      <w:r w:rsidR="0095160E">
        <w:t>3</w:t>
      </w:r>
      <w:r w:rsidR="0095160E" w:rsidRPr="3990DFC8">
        <w:t xml:space="preserve"> jcwp (3,0% wszystkich jcwp RW na obszarze dorzecza </w:t>
      </w:r>
      <w:r w:rsidR="0095160E">
        <w:t>Pregoły</w:t>
      </w:r>
      <w:r w:rsidR="0095160E" w:rsidRPr="3990DFC8">
        <w:t xml:space="preserve">). W </w:t>
      </w:r>
      <w:r w:rsidR="0095160E">
        <w:t>109</w:t>
      </w:r>
      <w:r w:rsidR="0095160E" w:rsidRPr="3990DFC8">
        <w:t xml:space="preserve"> jcwp (91,0%) spośród wszystkich </w:t>
      </w:r>
      <w:r w:rsidR="0095160E">
        <w:t>120</w:t>
      </w:r>
      <w:r w:rsidR="0095160E" w:rsidRPr="3990DFC8">
        <w:t xml:space="preserve"> jcwp RW </w:t>
      </w:r>
      <w:r w:rsidR="008145A7">
        <w:t>na</w:t>
      </w:r>
      <w:r w:rsidR="0095160E" w:rsidRPr="3990DFC8">
        <w:t xml:space="preserve"> opisywanym </w:t>
      </w:r>
      <w:r w:rsidR="00474ABF">
        <w:t xml:space="preserve">obszarze </w:t>
      </w:r>
      <w:r w:rsidR="0095160E" w:rsidRPr="3990DFC8">
        <w:t>dorzecz</w:t>
      </w:r>
      <w:r w:rsidR="00474ABF">
        <w:t>a</w:t>
      </w:r>
      <w:r w:rsidR="0095160E" w:rsidRPr="3990DFC8">
        <w:t xml:space="preserve"> cele środowiskowe nie zostały osiągnięte, w tym w </w:t>
      </w:r>
      <w:r w:rsidR="0095160E">
        <w:t>28</w:t>
      </w:r>
      <w:r w:rsidR="0095160E" w:rsidRPr="3990DFC8">
        <w:t xml:space="preserve"> jcwp (</w:t>
      </w:r>
      <w:r w:rsidR="0095160E">
        <w:t>23</w:t>
      </w:r>
      <w:r w:rsidR="0095160E" w:rsidRPr="3990DFC8">
        <w:t xml:space="preserve">,0% spośród wszystkich jcwp) z powodu braku poprawy stanu/potencjału ekologicznego do dobrego i w </w:t>
      </w:r>
      <w:r w:rsidR="0095160E">
        <w:t>81</w:t>
      </w:r>
      <w:r w:rsidR="0095160E" w:rsidRPr="3990DFC8">
        <w:t xml:space="preserve"> (</w:t>
      </w:r>
      <w:r w:rsidR="0095160E">
        <w:t>68</w:t>
      </w:r>
      <w:r w:rsidR="0095160E" w:rsidRPr="3990DFC8">
        <w:t>,0%) z pow</w:t>
      </w:r>
      <w:r w:rsidR="0095160E">
        <w:t xml:space="preserve">odu pogorszenia się </w:t>
      </w:r>
      <w:r w:rsidR="0095160E" w:rsidRPr="008C0B70">
        <w:t xml:space="preserve">stanu/potencjału ekologicznego do poniżej dobrego. W odniesieniu do 5 jcwp (4,0% wszystkich jcwp w obszarze dorzecza Pregoły) nie sporządzono oceny postępu w osiąganiu celów środowiskowych </w:t>
      </w:r>
      <w:r w:rsidR="005848EA" w:rsidRPr="008C0B70">
        <w:t>(tabela 9-1) ze względu</w:t>
      </w:r>
      <w:r w:rsidR="005848EA" w:rsidRPr="6D64D837">
        <w:t xml:space="preserve"> na brak </w:t>
      </w:r>
      <w:r w:rsidR="005848EA" w:rsidRPr="371845A5">
        <w:t>oceny stanu/potencjału ekologicznego.</w:t>
      </w:r>
    </w:p>
    <w:p w14:paraId="01A636EE" w14:textId="0CDFD649" w:rsidR="005848EA" w:rsidRPr="00767751" w:rsidRDefault="005848EA" w:rsidP="006802BB">
      <w:pPr>
        <w:pStyle w:val="Tabela"/>
      </w:pPr>
      <w:bookmarkStart w:id="243" w:name="_Toc66311293"/>
      <w:bookmarkStart w:id="244" w:name="_Hlk66993908"/>
      <w:bookmarkStart w:id="245" w:name="_Toc68726997"/>
      <w:r w:rsidRPr="00767751">
        <w:t xml:space="preserve">Tabela </w:t>
      </w:r>
      <w:fldSimple w:instr=" STYLEREF 1 \s ">
        <w:r w:rsidR="007B4050">
          <w:rPr>
            <w:noProof/>
          </w:rPr>
          <w:t>9</w:t>
        </w:r>
      </w:fldSimple>
      <w:r w:rsidR="007B4050">
        <w:noBreakHyphen/>
      </w:r>
      <w:fldSimple w:instr=" SEQ Tabela \* ARABIC \s 1 ">
        <w:r w:rsidR="007B4050">
          <w:rPr>
            <w:noProof/>
          </w:rPr>
          <w:t>1</w:t>
        </w:r>
      </w:fldSimple>
      <w:r w:rsidRPr="00767751">
        <w:tab/>
      </w:r>
      <w:bookmarkEnd w:id="243"/>
      <w:r w:rsidR="0095160E" w:rsidRPr="0095160E">
        <w:t>Ocena postępu w osiąganiu celów środowiskowych dla stanu/potencjału ekologicznego na obszarze dorzecza Pregoły dla jcwp RW w układzie planistycznym aPGW</w:t>
      </w:r>
      <w:r w:rsidR="00546F62">
        <w:t xml:space="preserve"> (2016-2021)</w:t>
      </w:r>
      <w:bookmarkEnd w:id="245"/>
    </w:p>
    <w:tbl>
      <w:tblPr>
        <w:tblW w:w="5000" w:type="pct"/>
        <w:tblLook w:val="04A0" w:firstRow="1" w:lastRow="0" w:firstColumn="1" w:lastColumn="0" w:noHBand="0" w:noVBand="1"/>
      </w:tblPr>
      <w:tblGrid>
        <w:gridCol w:w="5520"/>
        <w:gridCol w:w="1703"/>
        <w:gridCol w:w="1833"/>
      </w:tblGrid>
      <w:tr w:rsidR="007902CB" w:rsidRPr="00E17E54" w14:paraId="2FB26A9A" w14:textId="77777777" w:rsidTr="00D06F33">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6095E6E1" w14:textId="14910F0F" w:rsidR="007902CB" w:rsidRPr="00E17E54" w:rsidRDefault="007902CB" w:rsidP="00CC3EC0">
            <w:pPr>
              <w:spacing w:before="40" w:after="40"/>
              <w:jc w:val="center"/>
              <w:rPr>
                <w:rFonts w:cs="Calibri"/>
                <w:b/>
                <w:color w:val="000000" w:themeColor="text1"/>
                <w:sz w:val="20"/>
                <w:szCs w:val="20"/>
              </w:rPr>
            </w:pPr>
            <w:r w:rsidRPr="00E70F04">
              <w:rPr>
                <w:rFonts w:eastAsia="Times New Roman" w:cs="Calibri"/>
                <w:b/>
                <w:color w:val="000000"/>
                <w:sz w:val="20"/>
                <w:szCs w:val="20"/>
              </w:rPr>
              <w:t>Stopień osiągnięcia celu</w:t>
            </w:r>
          </w:p>
        </w:tc>
        <w:tc>
          <w:tcPr>
            <w:tcW w:w="940"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71C73C33" w14:textId="77777777" w:rsidR="007902CB" w:rsidRPr="00E17E54" w:rsidRDefault="007902CB" w:rsidP="007902CB">
            <w:pPr>
              <w:spacing w:before="40" w:after="40"/>
              <w:jc w:val="center"/>
              <w:rPr>
                <w:rFonts w:cs="Calibri"/>
                <w:b/>
                <w:color w:val="000000" w:themeColor="text1"/>
                <w:sz w:val="20"/>
                <w:szCs w:val="20"/>
                <w:lang w:val="en-US"/>
              </w:rPr>
            </w:pPr>
            <w:r w:rsidRPr="00E17E54">
              <w:rPr>
                <w:rFonts w:cs="Calibri"/>
                <w:b/>
                <w:color w:val="000000" w:themeColor="text1"/>
                <w:sz w:val="20"/>
                <w:szCs w:val="20"/>
                <w:lang w:val="en-US"/>
              </w:rPr>
              <w:t>Liczba jcwp RW</w:t>
            </w:r>
          </w:p>
        </w:tc>
        <w:tc>
          <w:tcPr>
            <w:tcW w:w="1012"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035D5C81" w14:textId="77777777" w:rsidR="007902CB" w:rsidRPr="00E17E54" w:rsidRDefault="007902CB" w:rsidP="007902CB">
            <w:pPr>
              <w:spacing w:before="40" w:after="40"/>
              <w:jc w:val="center"/>
              <w:rPr>
                <w:rFonts w:cs="Calibri"/>
                <w:b/>
                <w:color w:val="000000" w:themeColor="text1"/>
                <w:sz w:val="20"/>
                <w:szCs w:val="20"/>
              </w:rPr>
            </w:pPr>
            <w:r w:rsidRPr="00E17E54">
              <w:rPr>
                <w:rFonts w:asciiTheme="minorHAnsi" w:hAnsiTheme="minorHAnsi" w:cstheme="minorHAnsi"/>
                <w:b/>
                <w:sz w:val="20"/>
                <w:szCs w:val="20"/>
              </w:rPr>
              <w:t>Udział jcwp (%)</w:t>
            </w:r>
          </w:p>
        </w:tc>
      </w:tr>
      <w:tr w:rsidR="007902CB" w:rsidRPr="00E17E54" w14:paraId="2500E632"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5E54CCB8" w14:textId="77777777" w:rsidR="007902CB" w:rsidRPr="00314300" w:rsidRDefault="007902CB" w:rsidP="007902CB">
            <w:pPr>
              <w:spacing w:before="40" w:after="40"/>
              <w:jc w:val="left"/>
              <w:rPr>
                <w:rFonts w:cs="Calibri"/>
                <w:bCs/>
                <w:color w:val="000000" w:themeColor="text1"/>
                <w:sz w:val="20"/>
                <w:szCs w:val="20"/>
              </w:rPr>
            </w:pPr>
            <w:r w:rsidRPr="00314300">
              <w:rPr>
                <w:rFonts w:cs="Calibri"/>
                <w:bCs/>
                <w:color w:val="000000" w:themeColor="text1"/>
                <w:sz w:val="20"/>
                <w:szCs w:val="20"/>
              </w:rPr>
              <w:t>Cel środowiskowy dla stanu/potencjału ekologicznego nieosiągnięty - brak postępu</w:t>
            </w:r>
          </w:p>
        </w:tc>
        <w:tc>
          <w:tcPr>
            <w:tcW w:w="940" w:type="pct"/>
            <w:tcBorders>
              <w:top w:val="single" w:sz="6" w:space="0" w:color="auto"/>
              <w:left w:val="single" w:sz="6" w:space="0" w:color="auto"/>
              <w:bottom w:val="single" w:sz="6" w:space="0" w:color="auto"/>
              <w:right w:val="single" w:sz="6" w:space="0" w:color="auto"/>
            </w:tcBorders>
            <w:vAlign w:val="center"/>
          </w:tcPr>
          <w:p w14:paraId="763EA7A0" w14:textId="5B9FC4C7" w:rsidR="007902CB" w:rsidRPr="00E17E54" w:rsidRDefault="007902CB" w:rsidP="007902CB">
            <w:pPr>
              <w:spacing w:before="40" w:after="40"/>
              <w:jc w:val="center"/>
              <w:rPr>
                <w:rFonts w:cs="Calibri"/>
                <w:color w:val="000000" w:themeColor="text1"/>
                <w:sz w:val="20"/>
                <w:szCs w:val="20"/>
              </w:rPr>
            </w:pPr>
            <w:r w:rsidRPr="00E17E54">
              <w:rPr>
                <w:sz w:val="20"/>
                <w:szCs w:val="20"/>
              </w:rPr>
              <w:t>28</w:t>
            </w:r>
          </w:p>
        </w:tc>
        <w:tc>
          <w:tcPr>
            <w:tcW w:w="1012" w:type="pct"/>
            <w:tcBorders>
              <w:top w:val="single" w:sz="6" w:space="0" w:color="auto"/>
              <w:left w:val="single" w:sz="6" w:space="0" w:color="auto"/>
              <w:bottom w:val="single" w:sz="6" w:space="0" w:color="auto"/>
              <w:right w:val="single" w:sz="6" w:space="0" w:color="auto"/>
            </w:tcBorders>
            <w:vAlign w:val="center"/>
          </w:tcPr>
          <w:p w14:paraId="5CB19DD5" w14:textId="7F987701" w:rsidR="007902CB" w:rsidRPr="00E17E54" w:rsidRDefault="007902CB" w:rsidP="007902CB">
            <w:pPr>
              <w:spacing w:before="40" w:after="40"/>
              <w:jc w:val="center"/>
              <w:rPr>
                <w:rFonts w:cs="Calibri"/>
                <w:color w:val="000000" w:themeColor="text1"/>
                <w:sz w:val="20"/>
                <w:szCs w:val="20"/>
              </w:rPr>
            </w:pPr>
            <w:r w:rsidRPr="00E17E54">
              <w:rPr>
                <w:sz w:val="20"/>
                <w:szCs w:val="20"/>
              </w:rPr>
              <w:t>23,</w:t>
            </w:r>
            <w:r w:rsidR="008743F3">
              <w:rPr>
                <w:sz w:val="20"/>
                <w:szCs w:val="20"/>
              </w:rPr>
              <w:t>3</w:t>
            </w:r>
          </w:p>
        </w:tc>
      </w:tr>
      <w:tr w:rsidR="007902CB" w:rsidRPr="00E17E54" w14:paraId="15026880"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2E8BE2A2" w14:textId="77777777" w:rsidR="007902CB" w:rsidRPr="00314300" w:rsidRDefault="007902CB" w:rsidP="007902CB">
            <w:pPr>
              <w:spacing w:before="40" w:after="40"/>
              <w:jc w:val="left"/>
              <w:rPr>
                <w:rFonts w:cs="Calibri"/>
                <w:bCs/>
                <w:color w:val="000000" w:themeColor="text1"/>
                <w:sz w:val="20"/>
                <w:szCs w:val="20"/>
              </w:rPr>
            </w:pPr>
            <w:r w:rsidRPr="00314300">
              <w:rPr>
                <w:rFonts w:cs="Calibri"/>
                <w:bCs/>
                <w:color w:val="000000" w:themeColor="text1"/>
                <w:sz w:val="20"/>
                <w:szCs w:val="20"/>
              </w:rPr>
              <w:t xml:space="preserve">Cel środowiskowy dla stanu/potencjału ekologicznego nieosiągnięty - pogorszenie do stanu/potencjału poniżej dobrego </w:t>
            </w:r>
          </w:p>
        </w:tc>
        <w:tc>
          <w:tcPr>
            <w:tcW w:w="940" w:type="pct"/>
            <w:tcBorders>
              <w:top w:val="single" w:sz="6" w:space="0" w:color="auto"/>
              <w:left w:val="single" w:sz="6" w:space="0" w:color="auto"/>
              <w:bottom w:val="single" w:sz="6" w:space="0" w:color="auto"/>
              <w:right w:val="single" w:sz="6" w:space="0" w:color="auto"/>
            </w:tcBorders>
            <w:vAlign w:val="center"/>
          </w:tcPr>
          <w:p w14:paraId="47822BDB" w14:textId="74FC4E70" w:rsidR="007902CB" w:rsidRPr="00E17E54" w:rsidRDefault="007902CB" w:rsidP="007902CB">
            <w:pPr>
              <w:spacing w:before="40" w:after="40"/>
              <w:jc w:val="center"/>
              <w:rPr>
                <w:rFonts w:cs="Calibri"/>
                <w:color w:val="000000" w:themeColor="text1"/>
                <w:sz w:val="20"/>
                <w:szCs w:val="20"/>
              </w:rPr>
            </w:pPr>
            <w:r w:rsidRPr="00E17E54">
              <w:rPr>
                <w:sz w:val="20"/>
                <w:szCs w:val="20"/>
              </w:rPr>
              <w:t>81</w:t>
            </w:r>
          </w:p>
        </w:tc>
        <w:tc>
          <w:tcPr>
            <w:tcW w:w="1012" w:type="pct"/>
            <w:tcBorders>
              <w:top w:val="single" w:sz="6" w:space="0" w:color="auto"/>
              <w:left w:val="single" w:sz="6" w:space="0" w:color="auto"/>
              <w:bottom w:val="single" w:sz="6" w:space="0" w:color="auto"/>
              <w:right w:val="single" w:sz="6" w:space="0" w:color="auto"/>
            </w:tcBorders>
            <w:vAlign w:val="center"/>
          </w:tcPr>
          <w:p w14:paraId="67D94394" w14:textId="05EB81AD" w:rsidR="007902CB" w:rsidRPr="00E17E54" w:rsidRDefault="007902CB" w:rsidP="007902CB">
            <w:pPr>
              <w:spacing w:before="40" w:after="40"/>
              <w:jc w:val="center"/>
              <w:rPr>
                <w:rFonts w:cs="Calibri"/>
                <w:color w:val="000000" w:themeColor="text1"/>
                <w:sz w:val="20"/>
                <w:szCs w:val="20"/>
              </w:rPr>
            </w:pPr>
            <w:r w:rsidRPr="00E17E54">
              <w:rPr>
                <w:sz w:val="20"/>
                <w:szCs w:val="20"/>
              </w:rPr>
              <w:t>6</w:t>
            </w:r>
            <w:r w:rsidR="008743F3">
              <w:rPr>
                <w:sz w:val="20"/>
                <w:szCs w:val="20"/>
              </w:rPr>
              <w:t>7</w:t>
            </w:r>
            <w:r w:rsidRPr="00E17E54">
              <w:rPr>
                <w:sz w:val="20"/>
                <w:szCs w:val="20"/>
              </w:rPr>
              <w:t>,</w:t>
            </w:r>
            <w:r w:rsidR="008743F3">
              <w:rPr>
                <w:sz w:val="20"/>
                <w:szCs w:val="20"/>
              </w:rPr>
              <w:t>5</w:t>
            </w:r>
          </w:p>
        </w:tc>
      </w:tr>
      <w:tr w:rsidR="00D77949" w:rsidRPr="00E17E54" w14:paraId="193F7D47"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483C55AD" w14:textId="735D9408" w:rsidR="00D77949" w:rsidRPr="00314300" w:rsidRDefault="00D77949" w:rsidP="00D77949">
            <w:pPr>
              <w:spacing w:before="40" w:after="40"/>
              <w:jc w:val="left"/>
              <w:rPr>
                <w:rFonts w:cs="Calibri"/>
                <w:bCs/>
                <w:color w:val="000000" w:themeColor="text1"/>
                <w:sz w:val="20"/>
                <w:szCs w:val="20"/>
              </w:rPr>
            </w:pPr>
            <w:r w:rsidRPr="00314300">
              <w:rPr>
                <w:rFonts w:cs="Calibri"/>
                <w:bCs/>
                <w:color w:val="000000" w:themeColor="text1"/>
                <w:sz w:val="20"/>
                <w:szCs w:val="20"/>
              </w:rPr>
              <w:t xml:space="preserve">Cel środowiskowy dla stanu/potencjału ekologicznego nieosiągnięty - ale poprawa stanu/potencjału </w:t>
            </w:r>
          </w:p>
        </w:tc>
        <w:tc>
          <w:tcPr>
            <w:tcW w:w="940" w:type="pct"/>
            <w:tcBorders>
              <w:top w:val="single" w:sz="6" w:space="0" w:color="auto"/>
              <w:left w:val="single" w:sz="6" w:space="0" w:color="auto"/>
              <w:bottom w:val="single" w:sz="6" w:space="0" w:color="auto"/>
              <w:right w:val="single" w:sz="6" w:space="0" w:color="auto"/>
            </w:tcBorders>
            <w:vAlign w:val="center"/>
          </w:tcPr>
          <w:p w14:paraId="4DAFBA0B" w14:textId="267D94B5" w:rsidR="00D77949" w:rsidRPr="00E17E54" w:rsidRDefault="008743F3" w:rsidP="00D77949">
            <w:pPr>
              <w:spacing w:before="40" w:after="40"/>
              <w:jc w:val="center"/>
              <w:rPr>
                <w:sz w:val="20"/>
                <w:szCs w:val="20"/>
              </w:rPr>
            </w:pPr>
            <w:r>
              <w:rPr>
                <w:rFonts w:eastAsia="Times New Roman" w:cs="Calibri"/>
                <w:color w:val="000000"/>
                <w:sz w:val="20"/>
                <w:szCs w:val="20"/>
              </w:rPr>
              <w:t>1</w:t>
            </w:r>
          </w:p>
        </w:tc>
        <w:tc>
          <w:tcPr>
            <w:tcW w:w="1012" w:type="pct"/>
            <w:tcBorders>
              <w:top w:val="single" w:sz="6" w:space="0" w:color="auto"/>
              <w:left w:val="single" w:sz="6" w:space="0" w:color="auto"/>
              <w:bottom w:val="single" w:sz="6" w:space="0" w:color="auto"/>
              <w:right w:val="single" w:sz="6" w:space="0" w:color="auto"/>
            </w:tcBorders>
            <w:vAlign w:val="center"/>
          </w:tcPr>
          <w:p w14:paraId="69811CEC" w14:textId="3DB0D91D" w:rsidR="00D77949" w:rsidRPr="00E17E54" w:rsidRDefault="00D77949" w:rsidP="00D77949">
            <w:pPr>
              <w:spacing w:before="40" w:after="40"/>
              <w:jc w:val="center"/>
              <w:rPr>
                <w:sz w:val="20"/>
                <w:szCs w:val="20"/>
              </w:rPr>
            </w:pPr>
            <w:r w:rsidRPr="00E17E54">
              <w:rPr>
                <w:rFonts w:eastAsia="Times New Roman" w:cs="Calibri"/>
                <w:color w:val="000000"/>
                <w:sz w:val="20"/>
                <w:szCs w:val="20"/>
              </w:rPr>
              <w:t>0,</w:t>
            </w:r>
            <w:r w:rsidR="008743F3">
              <w:rPr>
                <w:rFonts w:eastAsia="Times New Roman" w:cs="Calibri"/>
                <w:color w:val="000000"/>
                <w:sz w:val="20"/>
                <w:szCs w:val="20"/>
              </w:rPr>
              <w:t>8</w:t>
            </w:r>
          </w:p>
        </w:tc>
      </w:tr>
      <w:tr w:rsidR="00D77949" w:rsidRPr="00E17E54" w14:paraId="5D248937"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0B1BDE28" w14:textId="77777777" w:rsidR="00D77949" w:rsidRPr="00314300" w:rsidRDefault="00D77949" w:rsidP="00D77949">
            <w:pPr>
              <w:spacing w:before="40" w:after="40"/>
              <w:jc w:val="left"/>
              <w:rPr>
                <w:rFonts w:cs="Calibri"/>
                <w:bCs/>
                <w:color w:val="000000" w:themeColor="text1"/>
                <w:sz w:val="20"/>
                <w:szCs w:val="20"/>
              </w:rPr>
            </w:pPr>
            <w:r w:rsidRPr="00314300">
              <w:rPr>
                <w:rFonts w:cs="Calibri"/>
                <w:bCs/>
                <w:color w:val="000000" w:themeColor="text1"/>
                <w:sz w:val="20"/>
                <w:szCs w:val="20"/>
              </w:rPr>
              <w:t>Cel środowiskowy dla stanu/potencjału ekologicznego osiągnięty - utrzymanie dobrego stanu </w:t>
            </w:r>
          </w:p>
        </w:tc>
        <w:tc>
          <w:tcPr>
            <w:tcW w:w="940" w:type="pct"/>
            <w:tcBorders>
              <w:top w:val="single" w:sz="6" w:space="0" w:color="auto"/>
              <w:left w:val="single" w:sz="6" w:space="0" w:color="auto"/>
              <w:bottom w:val="single" w:sz="6" w:space="0" w:color="auto"/>
              <w:right w:val="single" w:sz="6" w:space="0" w:color="auto"/>
            </w:tcBorders>
            <w:vAlign w:val="center"/>
          </w:tcPr>
          <w:p w14:paraId="472649C5" w14:textId="0C8911CE" w:rsidR="00D77949" w:rsidRPr="00E17E54" w:rsidRDefault="00D77949" w:rsidP="00D77949">
            <w:pPr>
              <w:spacing w:before="40" w:after="40"/>
              <w:jc w:val="center"/>
              <w:rPr>
                <w:rFonts w:cs="Calibri"/>
                <w:color w:val="000000" w:themeColor="text1"/>
                <w:sz w:val="20"/>
                <w:szCs w:val="20"/>
              </w:rPr>
            </w:pPr>
            <w:r w:rsidRPr="00E17E54">
              <w:rPr>
                <w:sz w:val="20"/>
                <w:szCs w:val="20"/>
              </w:rPr>
              <w:t>3</w:t>
            </w:r>
          </w:p>
        </w:tc>
        <w:tc>
          <w:tcPr>
            <w:tcW w:w="1012" w:type="pct"/>
            <w:tcBorders>
              <w:top w:val="single" w:sz="6" w:space="0" w:color="auto"/>
              <w:left w:val="single" w:sz="6" w:space="0" w:color="auto"/>
              <w:bottom w:val="single" w:sz="6" w:space="0" w:color="auto"/>
              <w:right w:val="single" w:sz="6" w:space="0" w:color="auto"/>
            </w:tcBorders>
            <w:vAlign w:val="center"/>
          </w:tcPr>
          <w:p w14:paraId="22E8EEF9" w14:textId="7DBD18E4" w:rsidR="00D77949" w:rsidRPr="00E17E54" w:rsidRDefault="008743F3" w:rsidP="00D77949">
            <w:pPr>
              <w:spacing w:before="40" w:after="40"/>
              <w:jc w:val="center"/>
              <w:rPr>
                <w:rFonts w:cs="Calibri"/>
                <w:color w:val="000000" w:themeColor="text1"/>
                <w:sz w:val="20"/>
                <w:szCs w:val="20"/>
              </w:rPr>
            </w:pPr>
            <w:r>
              <w:rPr>
                <w:sz w:val="20"/>
                <w:szCs w:val="20"/>
              </w:rPr>
              <w:t>2</w:t>
            </w:r>
            <w:r w:rsidR="00D77949" w:rsidRPr="00E17E54">
              <w:rPr>
                <w:sz w:val="20"/>
                <w:szCs w:val="20"/>
              </w:rPr>
              <w:t>,</w:t>
            </w:r>
            <w:r>
              <w:rPr>
                <w:sz w:val="20"/>
                <w:szCs w:val="20"/>
              </w:rPr>
              <w:t>5</w:t>
            </w:r>
          </w:p>
        </w:tc>
      </w:tr>
      <w:tr w:rsidR="00D77949" w:rsidRPr="00E17E54" w14:paraId="3DB6A318"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5DB0FD1D" w14:textId="535D37A3" w:rsidR="00D77949" w:rsidRPr="00314300" w:rsidRDefault="00D77949" w:rsidP="00D77949">
            <w:pPr>
              <w:spacing w:before="40" w:after="40"/>
              <w:jc w:val="left"/>
              <w:rPr>
                <w:rFonts w:cs="Calibri"/>
                <w:bCs/>
                <w:color w:val="000000" w:themeColor="text1"/>
                <w:sz w:val="20"/>
                <w:szCs w:val="20"/>
              </w:rPr>
            </w:pPr>
            <w:r w:rsidRPr="00314300">
              <w:rPr>
                <w:rFonts w:cs="Calibri"/>
                <w:bCs/>
                <w:color w:val="000000" w:themeColor="text1"/>
                <w:sz w:val="20"/>
                <w:szCs w:val="20"/>
              </w:rPr>
              <w:t>Cel środowiskowy dla stanu/potencjału ekologicznego osiągnięty - poprawa stanu </w:t>
            </w:r>
          </w:p>
        </w:tc>
        <w:tc>
          <w:tcPr>
            <w:tcW w:w="940" w:type="pct"/>
            <w:tcBorders>
              <w:top w:val="single" w:sz="6" w:space="0" w:color="auto"/>
              <w:left w:val="single" w:sz="6" w:space="0" w:color="auto"/>
              <w:bottom w:val="single" w:sz="6" w:space="0" w:color="auto"/>
              <w:right w:val="single" w:sz="6" w:space="0" w:color="auto"/>
            </w:tcBorders>
            <w:vAlign w:val="center"/>
          </w:tcPr>
          <w:p w14:paraId="69EB1E38" w14:textId="3A2C4594" w:rsidR="00D77949" w:rsidRPr="00E17E54" w:rsidRDefault="00D77949" w:rsidP="00D77949">
            <w:pPr>
              <w:spacing w:before="40" w:after="40"/>
              <w:jc w:val="center"/>
              <w:rPr>
                <w:rFonts w:cs="Calibri"/>
                <w:color w:val="000000" w:themeColor="text1"/>
                <w:sz w:val="20"/>
                <w:szCs w:val="20"/>
              </w:rPr>
            </w:pPr>
            <w:r w:rsidRPr="00E17E54">
              <w:rPr>
                <w:sz w:val="20"/>
                <w:szCs w:val="20"/>
              </w:rPr>
              <w:t>2</w:t>
            </w:r>
          </w:p>
        </w:tc>
        <w:tc>
          <w:tcPr>
            <w:tcW w:w="1012" w:type="pct"/>
            <w:tcBorders>
              <w:top w:val="single" w:sz="6" w:space="0" w:color="auto"/>
              <w:left w:val="single" w:sz="6" w:space="0" w:color="auto"/>
              <w:bottom w:val="single" w:sz="6" w:space="0" w:color="auto"/>
              <w:right w:val="single" w:sz="6" w:space="0" w:color="auto"/>
            </w:tcBorders>
            <w:vAlign w:val="center"/>
          </w:tcPr>
          <w:p w14:paraId="7BF33EA1" w14:textId="50144E28" w:rsidR="00D77949" w:rsidRPr="00E17E54" w:rsidRDefault="008743F3" w:rsidP="00D77949">
            <w:pPr>
              <w:spacing w:before="40" w:after="40"/>
              <w:jc w:val="center"/>
              <w:rPr>
                <w:rFonts w:cs="Calibri"/>
                <w:color w:val="000000" w:themeColor="text1"/>
                <w:sz w:val="20"/>
                <w:szCs w:val="20"/>
              </w:rPr>
            </w:pPr>
            <w:r>
              <w:rPr>
                <w:sz w:val="20"/>
                <w:szCs w:val="20"/>
              </w:rPr>
              <w:t>1,7</w:t>
            </w:r>
          </w:p>
        </w:tc>
      </w:tr>
      <w:tr w:rsidR="00D77949" w:rsidRPr="00E17E54" w14:paraId="2DF23D9B"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auto"/>
            <w:vAlign w:val="center"/>
          </w:tcPr>
          <w:p w14:paraId="2A158B58" w14:textId="3F83729F" w:rsidR="00D77949" w:rsidRPr="00314300" w:rsidRDefault="00D77949" w:rsidP="00D77949">
            <w:pPr>
              <w:spacing w:before="40" w:after="40"/>
              <w:jc w:val="left"/>
              <w:rPr>
                <w:rFonts w:cs="Calibri"/>
                <w:bCs/>
                <w:color w:val="000000" w:themeColor="text1"/>
                <w:sz w:val="20"/>
                <w:szCs w:val="20"/>
              </w:rPr>
            </w:pPr>
            <w:r w:rsidRPr="00314300">
              <w:rPr>
                <w:rFonts w:cs="Calibri"/>
                <w:bCs/>
                <w:color w:val="000000" w:themeColor="text1"/>
                <w:sz w:val="20"/>
                <w:szCs w:val="20"/>
              </w:rPr>
              <w:t>Brak możliwości oceny postępu w osiąganiu celów środowiskowych</w:t>
            </w:r>
          </w:p>
        </w:tc>
        <w:tc>
          <w:tcPr>
            <w:tcW w:w="940" w:type="pct"/>
            <w:tcBorders>
              <w:top w:val="single" w:sz="6" w:space="0" w:color="auto"/>
              <w:left w:val="single" w:sz="6" w:space="0" w:color="auto"/>
              <w:bottom w:val="single" w:sz="6" w:space="0" w:color="auto"/>
              <w:right w:val="single" w:sz="6" w:space="0" w:color="auto"/>
            </w:tcBorders>
            <w:vAlign w:val="center"/>
          </w:tcPr>
          <w:p w14:paraId="178F87FD" w14:textId="30D109F7" w:rsidR="00D77949" w:rsidRPr="00E17E54" w:rsidRDefault="00D77949" w:rsidP="00D77949">
            <w:pPr>
              <w:spacing w:before="40" w:after="40"/>
              <w:jc w:val="center"/>
              <w:rPr>
                <w:rFonts w:eastAsia="Times New Roman" w:cs="Calibri"/>
                <w:color w:val="000000"/>
                <w:sz w:val="20"/>
                <w:szCs w:val="20"/>
              </w:rPr>
            </w:pPr>
            <w:r w:rsidRPr="00E17E54">
              <w:rPr>
                <w:sz w:val="20"/>
                <w:szCs w:val="20"/>
              </w:rPr>
              <w:t>5</w:t>
            </w:r>
          </w:p>
        </w:tc>
        <w:tc>
          <w:tcPr>
            <w:tcW w:w="1012" w:type="pct"/>
            <w:tcBorders>
              <w:top w:val="single" w:sz="6" w:space="0" w:color="auto"/>
              <w:left w:val="single" w:sz="6" w:space="0" w:color="auto"/>
              <w:bottom w:val="single" w:sz="6" w:space="0" w:color="auto"/>
              <w:right w:val="single" w:sz="6" w:space="0" w:color="auto"/>
            </w:tcBorders>
            <w:vAlign w:val="center"/>
          </w:tcPr>
          <w:p w14:paraId="7860A04A" w14:textId="67F8C20C" w:rsidR="00D77949" w:rsidRPr="00E17E54" w:rsidRDefault="00D77949" w:rsidP="00D77949">
            <w:pPr>
              <w:spacing w:before="40" w:after="40"/>
              <w:jc w:val="center"/>
              <w:rPr>
                <w:rFonts w:eastAsia="Times New Roman" w:cs="Calibri"/>
                <w:color w:val="000000"/>
                <w:sz w:val="20"/>
                <w:szCs w:val="20"/>
              </w:rPr>
            </w:pPr>
            <w:r w:rsidRPr="00E17E54">
              <w:rPr>
                <w:sz w:val="20"/>
                <w:szCs w:val="20"/>
              </w:rPr>
              <w:t>4,</w:t>
            </w:r>
            <w:r w:rsidR="008743F3">
              <w:rPr>
                <w:sz w:val="20"/>
                <w:szCs w:val="20"/>
              </w:rPr>
              <w:t>2</w:t>
            </w:r>
          </w:p>
        </w:tc>
      </w:tr>
      <w:tr w:rsidR="00D77949" w:rsidRPr="00E17E54" w14:paraId="6C1A966F" w14:textId="77777777" w:rsidTr="00CC3EC0">
        <w:trPr>
          <w:trHeight w:val="454"/>
        </w:trPr>
        <w:tc>
          <w:tcPr>
            <w:tcW w:w="3048"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07FB49A3" w14:textId="7A9BF04C" w:rsidR="00D77949" w:rsidRPr="00314300" w:rsidRDefault="00D77949" w:rsidP="00D77949">
            <w:pPr>
              <w:spacing w:before="40" w:after="40"/>
              <w:jc w:val="center"/>
              <w:rPr>
                <w:rFonts w:cs="Calibri"/>
                <w:bCs/>
                <w:color w:val="000000" w:themeColor="text1"/>
                <w:sz w:val="20"/>
                <w:szCs w:val="20"/>
              </w:rPr>
            </w:pPr>
            <w:r w:rsidRPr="00E17E54">
              <w:rPr>
                <w:rFonts w:cs="Calibri"/>
                <w:b/>
                <w:color w:val="000000" w:themeColor="text1"/>
                <w:sz w:val="20"/>
                <w:szCs w:val="20"/>
              </w:rPr>
              <w:t xml:space="preserve">Liczba jcwp </w:t>
            </w:r>
            <w:r>
              <w:rPr>
                <w:rFonts w:cs="Calibri"/>
                <w:b/>
                <w:color w:val="000000" w:themeColor="text1"/>
                <w:sz w:val="20"/>
                <w:szCs w:val="20"/>
              </w:rPr>
              <w:t xml:space="preserve">RW </w:t>
            </w:r>
            <w:r w:rsidRPr="00E17E54">
              <w:rPr>
                <w:rFonts w:cs="Calibri"/>
                <w:b/>
                <w:color w:val="000000" w:themeColor="text1"/>
                <w:sz w:val="20"/>
                <w:szCs w:val="20"/>
              </w:rPr>
              <w:t>w obszarze dorzecza</w:t>
            </w:r>
          </w:p>
        </w:tc>
        <w:tc>
          <w:tcPr>
            <w:tcW w:w="940"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4E44B9D9" w14:textId="20178D68" w:rsidR="00D77949" w:rsidRPr="00E17E54" w:rsidRDefault="00D77949" w:rsidP="00D77949">
            <w:pPr>
              <w:spacing w:before="40" w:after="40"/>
              <w:jc w:val="center"/>
              <w:rPr>
                <w:rFonts w:eastAsia="Times New Roman" w:cs="Calibri"/>
                <w:color w:val="000000"/>
                <w:sz w:val="20"/>
                <w:szCs w:val="20"/>
              </w:rPr>
            </w:pPr>
            <w:r w:rsidRPr="00E17E54">
              <w:rPr>
                <w:b/>
                <w:sz w:val="20"/>
                <w:szCs w:val="20"/>
              </w:rPr>
              <w:t>120</w:t>
            </w:r>
          </w:p>
        </w:tc>
        <w:tc>
          <w:tcPr>
            <w:tcW w:w="1012"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3D9A862F" w14:textId="7028CB61" w:rsidR="00D77949" w:rsidRPr="00E17E54" w:rsidRDefault="00D77949" w:rsidP="00D77949">
            <w:pPr>
              <w:spacing w:before="40" w:after="40"/>
              <w:jc w:val="center"/>
              <w:rPr>
                <w:rFonts w:eastAsia="Times New Roman" w:cs="Calibri"/>
                <w:color w:val="000000"/>
                <w:sz w:val="20"/>
                <w:szCs w:val="20"/>
              </w:rPr>
            </w:pPr>
            <w:r w:rsidRPr="00E17E54">
              <w:rPr>
                <w:b/>
                <w:sz w:val="20"/>
                <w:szCs w:val="20"/>
              </w:rPr>
              <w:t>100,0</w:t>
            </w:r>
          </w:p>
        </w:tc>
      </w:tr>
    </w:tbl>
    <w:p w14:paraId="229BAC42" w14:textId="25B79A4A" w:rsidR="005848EA" w:rsidRPr="002A0524" w:rsidRDefault="005848EA" w:rsidP="005848EA">
      <w:pPr>
        <w:pStyle w:val="rdo0"/>
        <w:rPr>
          <w:color w:val="000099"/>
        </w:rPr>
      </w:pPr>
      <w:r w:rsidRPr="002A0524">
        <w:t xml:space="preserve">Źródło: </w:t>
      </w:r>
      <w:r w:rsidR="007B081B">
        <w:t xml:space="preserve">opracowanie </w:t>
      </w:r>
      <w:r w:rsidR="007A0C82">
        <w:t>własne</w:t>
      </w:r>
      <w:r w:rsidR="000F4C8C">
        <w:t xml:space="preserve"> </w:t>
      </w:r>
      <w:r w:rsidRPr="002A0524">
        <w:t xml:space="preserve">na podstawie danych </w:t>
      </w:r>
      <w:r>
        <w:rPr>
          <w:color w:val="000099"/>
        </w:rPr>
        <w:t>aPGW</w:t>
      </w:r>
    </w:p>
    <w:bookmarkEnd w:id="244"/>
    <w:p w14:paraId="492C1FF7" w14:textId="2AE4A4C1" w:rsidR="005848EA" w:rsidRPr="00D06F33" w:rsidRDefault="005848EA" w:rsidP="00AA0CAB">
      <w:pPr>
        <w:pStyle w:val="Nagwek5"/>
        <w:rPr>
          <w:rStyle w:val="Pogrubienie"/>
          <w:rFonts w:ascii="Calibri" w:hAnsi="Calibri"/>
          <w:b/>
        </w:rPr>
      </w:pPr>
      <w:r w:rsidRPr="00D06F33">
        <w:rPr>
          <w:rStyle w:val="Pogrubienie"/>
          <w:rFonts w:ascii="Calibri" w:hAnsi="Calibri"/>
          <w:b/>
        </w:rPr>
        <w:t>Ocena postępu w osiąganiu celów środowiskowych dla stanu/potencjału ekologicznego jcwp RW (aktualny układ planistyczny IIaPGW)</w:t>
      </w:r>
    </w:p>
    <w:p w14:paraId="3CD32537" w14:textId="63302900" w:rsidR="005848EA" w:rsidRDefault="0095160E" w:rsidP="005848EA">
      <w:pPr>
        <w:rPr>
          <w:rFonts w:asciiTheme="minorHAnsi" w:hAnsiTheme="minorHAnsi" w:cstheme="minorBidi"/>
          <w:i/>
          <w:iCs/>
        </w:rPr>
      </w:pPr>
      <w:r w:rsidRPr="3990DFC8">
        <w:t>Osiągnięcie celów środowiskowych miało miejsce w 1 jcwp RW (</w:t>
      </w:r>
      <w:r>
        <w:t>1</w:t>
      </w:r>
      <w:r w:rsidRPr="3990DFC8">
        <w:t>,</w:t>
      </w:r>
      <w:r>
        <w:t>2</w:t>
      </w:r>
      <w:r w:rsidRPr="3990DFC8">
        <w:t>% wszystkich</w:t>
      </w:r>
      <w:r>
        <w:t xml:space="preserve"> jcwp w tym obszarze dorzecza) </w:t>
      </w:r>
      <w:r w:rsidRPr="3990DFC8">
        <w:t>w efekcie poprawy do dobrego stanu/potencjału ekologicznego</w:t>
      </w:r>
      <w:r>
        <w:t xml:space="preserve">. </w:t>
      </w:r>
      <w:r w:rsidRPr="3990DFC8">
        <w:t xml:space="preserve">W </w:t>
      </w:r>
      <w:r>
        <w:t>36</w:t>
      </w:r>
      <w:r w:rsidRPr="3990DFC8">
        <w:t xml:space="preserve"> jcwp </w:t>
      </w:r>
      <w:r>
        <w:t>(</w:t>
      </w:r>
      <w:r w:rsidRPr="6343C37F">
        <w:t xml:space="preserve">43,9%) </w:t>
      </w:r>
      <w:r w:rsidRPr="3990DFC8">
        <w:t xml:space="preserve">spośród wszystkich </w:t>
      </w:r>
      <w:r>
        <w:t>82</w:t>
      </w:r>
      <w:r w:rsidRPr="3990DFC8">
        <w:t xml:space="preserve"> jcwp RW na obszarze dorzecza </w:t>
      </w:r>
      <w:r>
        <w:t>Pregoły</w:t>
      </w:r>
      <w:r w:rsidRPr="3990DFC8">
        <w:t xml:space="preserve"> cele środowiskowe nie zostały osiągnięte, w tym w </w:t>
      </w:r>
      <w:r>
        <w:t>15</w:t>
      </w:r>
      <w:r w:rsidRPr="3990DFC8">
        <w:t xml:space="preserve"> jcwp (</w:t>
      </w:r>
      <w:r w:rsidRPr="6343C37F">
        <w:t xml:space="preserve">18,3% </w:t>
      </w:r>
      <w:r w:rsidRPr="3990DFC8">
        <w:t xml:space="preserve">spośród wszystkich jcwp) z powodu braku poprawy stanu/potencjału ekologicznego do dobrego i w </w:t>
      </w:r>
      <w:r>
        <w:t>21</w:t>
      </w:r>
      <w:r w:rsidRPr="3990DFC8">
        <w:t xml:space="preserve"> (</w:t>
      </w:r>
      <w:r w:rsidRPr="00B310C1">
        <w:t>25,6%</w:t>
      </w:r>
      <w:r>
        <w:t xml:space="preserve">) </w:t>
      </w:r>
      <w:r w:rsidRPr="3990DFC8">
        <w:t>z powodu pogorszenia się do stanu/potencjału ekologicznego poni</w:t>
      </w:r>
      <w:r>
        <w:t>ż</w:t>
      </w:r>
      <w:r w:rsidRPr="3990DFC8">
        <w:t xml:space="preserve">ej dobrego. W odniesieniu do </w:t>
      </w:r>
      <w:r>
        <w:t>45</w:t>
      </w:r>
      <w:r w:rsidRPr="3990DFC8">
        <w:t xml:space="preserve"> jcwp (</w:t>
      </w:r>
      <w:r w:rsidRPr="00B310C1">
        <w:t>54,9%</w:t>
      </w:r>
      <w:r>
        <w:t xml:space="preserve"> </w:t>
      </w:r>
      <w:r w:rsidRPr="3990DFC8">
        <w:t xml:space="preserve">wszystkich jcwp w obszarze dorzecza </w:t>
      </w:r>
      <w:r>
        <w:t>Pregoły</w:t>
      </w:r>
      <w:r w:rsidRPr="3990DFC8">
        <w:t xml:space="preserve">) nie sporządzono oceny postępu w osiąganiu celów środowiskowych (tabela </w:t>
      </w:r>
      <w:r>
        <w:t>9-2</w:t>
      </w:r>
      <w:r w:rsidRPr="3990DFC8">
        <w:t>) ze względu na brak oceny stanu/potencjału ekologicznego lub brak celu środowiskowego z przeniesienia dla nowo powstałych jcwp.</w:t>
      </w:r>
    </w:p>
    <w:p w14:paraId="0B478AB2" w14:textId="295A6C3F" w:rsidR="005848EA" w:rsidRDefault="005848EA" w:rsidP="006802BB">
      <w:pPr>
        <w:pStyle w:val="Legenda"/>
      </w:pPr>
      <w:bookmarkStart w:id="246" w:name="_Toc66311294"/>
      <w:bookmarkStart w:id="247" w:name="_Toc68726998"/>
      <w:r>
        <w:t xml:space="preserve">Tabela </w:t>
      </w:r>
      <w:fldSimple w:instr=" STYLEREF 1 \s ">
        <w:r w:rsidR="007B4050">
          <w:rPr>
            <w:noProof/>
          </w:rPr>
          <w:t>9</w:t>
        </w:r>
      </w:fldSimple>
      <w:r w:rsidR="007B4050">
        <w:noBreakHyphen/>
      </w:r>
      <w:fldSimple w:instr=" SEQ Tabela \* ARABIC \s 1 ">
        <w:r w:rsidR="007B4050">
          <w:rPr>
            <w:noProof/>
          </w:rPr>
          <w:t>2</w:t>
        </w:r>
      </w:fldSimple>
      <w:r>
        <w:tab/>
      </w:r>
      <w:bookmarkEnd w:id="246"/>
      <w:r w:rsidR="0095160E" w:rsidRPr="0095160E">
        <w:t>Ocena postępu w osiąganiu celów środowiskowych dla stanu/potencjału ekologicznego na obszarze dorzecza Pregoły dla jcwp RW w układzie planistycznym IIaPGW</w:t>
      </w:r>
      <w:r w:rsidR="00546F62">
        <w:t xml:space="preserve"> (2022-2027)</w:t>
      </w:r>
      <w:bookmarkEnd w:id="247"/>
    </w:p>
    <w:tbl>
      <w:tblPr>
        <w:tblStyle w:val="Tabela-Siatka"/>
        <w:tblW w:w="5000" w:type="pct"/>
        <w:tblLayout w:type="fixed"/>
        <w:tblLook w:val="04A0" w:firstRow="1" w:lastRow="0" w:firstColumn="1" w:lastColumn="0" w:noHBand="0" w:noVBand="1"/>
      </w:tblPr>
      <w:tblGrid>
        <w:gridCol w:w="5524"/>
        <w:gridCol w:w="1701"/>
        <w:gridCol w:w="1837"/>
      </w:tblGrid>
      <w:tr w:rsidR="005848EA" w:rsidRPr="00E17E54" w14:paraId="76BC8871" w14:textId="77777777" w:rsidTr="00D06F33">
        <w:trPr>
          <w:trHeight w:val="372"/>
        </w:trPr>
        <w:tc>
          <w:tcPr>
            <w:tcW w:w="5524" w:type="dxa"/>
            <w:shd w:val="clear" w:color="auto" w:fill="BFBFBF" w:themeFill="background1" w:themeFillShade="BF"/>
            <w:noWrap/>
            <w:vAlign w:val="center"/>
            <w:hideMark/>
          </w:tcPr>
          <w:p w14:paraId="52A08EBA" w14:textId="6385C32B" w:rsidR="005848EA" w:rsidRPr="00E17E54" w:rsidRDefault="00CC3EC0" w:rsidP="00CC3EC0">
            <w:pPr>
              <w:jc w:val="center"/>
              <w:rPr>
                <w:rFonts w:asciiTheme="minorHAnsi" w:hAnsiTheme="minorHAnsi" w:cstheme="minorHAnsi"/>
                <w:sz w:val="20"/>
                <w:szCs w:val="20"/>
              </w:rPr>
            </w:pPr>
            <w:r w:rsidRPr="00E70F04">
              <w:rPr>
                <w:rFonts w:eastAsia="Times New Roman" w:cs="Calibri"/>
                <w:b/>
                <w:color w:val="000000"/>
                <w:sz w:val="20"/>
                <w:szCs w:val="20"/>
              </w:rPr>
              <w:t>Stopień osiągnięcia celu</w:t>
            </w:r>
          </w:p>
        </w:tc>
        <w:tc>
          <w:tcPr>
            <w:tcW w:w="1701" w:type="dxa"/>
            <w:shd w:val="clear" w:color="auto" w:fill="BFBFBF" w:themeFill="background1" w:themeFillShade="BF"/>
            <w:noWrap/>
            <w:vAlign w:val="center"/>
            <w:hideMark/>
          </w:tcPr>
          <w:p w14:paraId="74905B05" w14:textId="77777777" w:rsidR="005848EA" w:rsidRPr="00E17E54" w:rsidRDefault="005848EA" w:rsidP="00840CCD">
            <w:pPr>
              <w:spacing w:before="0" w:after="0"/>
              <w:jc w:val="center"/>
              <w:rPr>
                <w:rFonts w:asciiTheme="minorHAnsi" w:eastAsia="Times New Roman" w:hAnsiTheme="minorHAnsi" w:cstheme="minorHAnsi"/>
                <w:b/>
                <w:bCs/>
                <w:sz w:val="20"/>
                <w:szCs w:val="20"/>
                <w:lang w:eastAsia="pl-PL"/>
              </w:rPr>
            </w:pPr>
            <w:r w:rsidRPr="00E17E54">
              <w:rPr>
                <w:rFonts w:asciiTheme="minorHAnsi" w:hAnsiTheme="minorHAnsi" w:cstheme="minorHAnsi"/>
                <w:b/>
                <w:bCs/>
                <w:sz w:val="20"/>
                <w:szCs w:val="20"/>
              </w:rPr>
              <w:t>Li</w:t>
            </w:r>
            <w:r w:rsidRPr="00E17E54">
              <w:rPr>
                <w:rFonts w:asciiTheme="minorHAnsi" w:eastAsia="Times New Roman" w:hAnsiTheme="minorHAnsi" w:cstheme="minorHAnsi"/>
                <w:b/>
                <w:bCs/>
                <w:sz w:val="20"/>
                <w:szCs w:val="20"/>
                <w:lang w:eastAsia="pl-PL"/>
              </w:rPr>
              <w:t>czba jcwp RW</w:t>
            </w:r>
          </w:p>
        </w:tc>
        <w:tc>
          <w:tcPr>
            <w:tcW w:w="1837" w:type="dxa"/>
            <w:shd w:val="clear" w:color="auto" w:fill="BFBFBF" w:themeFill="background1" w:themeFillShade="BF"/>
            <w:noWrap/>
            <w:vAlign w:val="center"/>
            <w:hideMark/>
          </w:tcPr>
          <w:p w14:paraId="6100CCC5" w14:textId="77777777" w:rsidR="005848EA" w:rsidRPr="00E17E54" w:rsidRDefault="005848EA" w:rsidP="00840CCD">
            <w:pPr>
              <w:spacing w:before="0" w:after="0"/>
              <w:jc w:val="center"/>
              <w:rPr>
                <w:rFonts w:asciiTheme="minorHAnsi" w:eastAsia="Times New Roman" w:hAnsiTheme="minorHAnsi" w:cstheme="minorHAnsi"/>
                <w:b/>
                <w:bCs/>
                <w:sz w:val="20"/>
                <w:szCs w:val="20"/>
                <w:lang w:eastAsia="pl-PL"/>
              </w:rPr>
            </w:pPr>
            <w:r w:rsidRPr="00E17E54">
              <w:rPr>
                <w:rFonts w:asciiTheme="minorHAnsi" w:eastAsia="Times New Roman" w:hAnsiTheme="minorHAnsi" w:cstheme="minorHAnsi"/>
                <w:b/>
                <w:bCs/>
                <w:sz w:val="20"/>
                <w:szCs w:val="20"/>
                <w:lang w:eastAsia="pl-PL"/>
              </w:rPr>
              <w:t>Udział jcwp (%)</w:t>
            </w:r>
          </w:p>
        </w:tc>
      </w:tr>
      <w:tr w:rsidR="0095160E" w:rsidRPr="00E17E54" w14:paraId="310051A7" w14:textId="77777777" w:rsidTr="00CC3EC0">
        <w:trPr>
          <w:trHeight w:val="397"/>
        </w:trPr>
        <w:tc>
          <w:tcPr>
            <w:tcW w:w="5524" w:type="dxa"/>
            <w:shd w:val="clear" w:color="auto" w:fill="auto"/>
            <w:noWrap/>
            <w:vAlign w:val="center"/>
            <w:hideMark/>
          </w:tcPr>
          <w:p w14:paraId="32AC0E02" w14:textId="77777777" w:rsidR="0095160E" w:rsidRPr="00E17E54" w:rsidRDefault="0095160E" w:rsidP="0095160E">
            <w:pPr>
              <w:spacing w:before="0" w:after="0"/>
              <w:jc w:val="left"/>
              <w:rPr>
                <w:rFonts w:asciiTheme="minorHAnsi" w:eastAsia="Times New Roman" w:hAnsiTheme="minorHAnsi" w:cstheme="minorBidi"/>
                <w:color w:val="FFFFFF" w:themeColor="background1"/>
                <w:sz w:val="20"/>
                <w:szCs w:val="20"/>
                <w:lang w:eastAsia="pl-PL"/>
              </w:rPr>
            </w:pPr>
            <w:r w:rsidRPr="00E17E54">
              <w:rPr>
                <w:rFonts w:asciiTheme="minorHAnsi" w:eastAsia="Times New Roman" w:hAnsiTheme="minorHAnsi" w:cstheme="minorBidi"/>
                <w:sz w:val="20"/>
                <w:szCs w:val="20"/>
                <w:lang w:eastAsia="pl-PL"/>
              </w:rPr>
              <w:t>Cel środowiskowy dla stanu/potencjału ekologicznego nieosiągnięty - brak postępu</w:t>
            </w:r>
          </w:p>
        </w:tc>
        <w:tc>
          <w:tcPr>
            <w:tcW w:w="1701" w:type="dxa"/>
            <w:noWrap/>
            <w:vAlign w:val="center"/>
            <w:hideMark/>
          </w:tcPr>
          <w:p w14:paraId="0DA23048" w14:textId="3B7CEEFF" w:rsidR="0095160E" w:rsidRPr="00E17E54" w:rsidRDefault="0095160E" w:rsidP="0095160E">
            <w:pPr>
              <w:spacing w:before="0" w:after="0"/>
              <w:jc w:val="center"/>
              <w:rPr>
                <w:rFonts w:asciiTheme="minorHAnsi" w:eastAsia="Times New Roman" w:hAnsiTheme="minorHAnsi" w:cstheme="minorBidi"/>
                <w:color w:val="000000"/>
                <w:sz w:val="20"/>
                <w:szCs w:val="20"/>
                <w:lang w:eastAsia="pl-PL"/>
              </w:rPr>
            </w:pPr>
            <w:r w:rsidRPr="00E17E54">
              <w:rPr>
                <w:sz w:val="20"/>
                <w:szCs w:val="20"/>
              </w:rPr>
              <w:t>15</w:t>
            </w:r>
          </w:p>
        </w:tc>
        <w:tc>
          <w:tcPr>
            <w:tcW w:w="1837" w:type="dxa"/>
            <w:noWrap/>
            <w:vAlign w:val="center"/>
            <w:hideMark/>
          </w:tcPr>
          <w:p w14:paraId="2222ED8F" w14:textId="12323B02" w:rsidR="0095160E" w:rsidRPr="00E17E54" w:rsidRDefault="0095160E" w:rsidP="0095160E">
            <w:pPr>
              <w:spacing w:before="0" w:after="0"/>
              <w:jc w:val="center"/>
              <w:rPr>
                <w:rFonts w:asciiTheme="minorHAnsi" w:eastAsia="Times New Roman" w:hAnsiTheme="minorHAnsi" w:cstheme="minorBidi"/>
                <w:i/>
                <w:color w:val="000000"/>
                <w:sz w:val="20"/>
                <w:szCs w:val="20"/>
                <w:lang w:eastAsia="pl-PL"/>
              </w:rPr>
            </w:pPr>
            <w:r w:rsidRPr="00E17E54">
              <w:rPr>
                <w:sz w:val="20"/>
                <w:szCs w:val="20"/>
              </w:rPr>
              <w:t>18,3</w:t>
            </w:r>
          </w:p>
        </w:tc>
      </w:tr>
      <w:tr w:rsidR="0095160E" w:rsidRPr="00E17E54" w14:paraId="7BED88F1" w14:textId="77777777" w:rsidTr="00CC3EC0">
        <w:trPr>
          <w:trHeight w:val="397"/>
        </w:trPr>
        <w:tc>
          <w:tcPr>
            <w:tcW w:w="5524" w:type="dxa"/>
            <w:shd w:val="clear" w:color="auto" w:fill="auto"/>
            <w:noWrap/>
            <w:vAlign w:val="center"/>
            <w:hideMark/>
          </w:tcPr>
          <w:p w14:paraId="7449512D" w14:textId="77777777" w:rsidR="0095160E" w:rsidRPr="00E17E54" w:rsidRDefault="0095160E" w:rsidP="0095160E">
            <w:pPr>
              <w:spacing w:before="0" w:after="0"/>
              <w:jc w:val="left"/>
              <w:rPr>
                <w:rFonts w:asciiTheme="minorHAnsi" w:eastAsia="Times New Roman" w:hAnsiTheme="minorHAnsi" w:cstheme="minorBidi"/>
                <w:color w:val="FFFFFF" w:themeColor="background1"/>
                <w:sz w:val="20"/>
                <w:szCs w:val="20"/>
                <w:lang w:eastAsia="pl-PL"/>
              </w:rPr>
            </w:pPr>
            <w:r w:rsidRPr="00E17E54">
              <w:rPr>
                <w:rFonts w:asciiTheme="minorHAnsi" w:eastAsia="Times New Roman" w:hAnsiTheme="minorHAnsi" w:cstheme="minorBidi"/>
                <w:sz w:val="20"/>
                <w:szCs w:val="20"/>
                <w:lang w:eastAsia="pl-PL"/>
              </w:rPr>
              <w:t>Cel środowiskowy dla stanu/potencjału ekologicznego nieosiągnięty - pogorszenie do stanu/potencjału poniżej dobrego</w:t>
            </w:r>
          </w:p>
        </w:tc>
        <w:tc>
          <w:tcPr>
            <w:tcW w:w="1701" w:type="dxa"/>
            <w:noWrap/>
            <w:vAlign w:val="center"/>
            <w:hideMark/>
          </w:tcPr>
          <w:p w14:paraId="3BBC1F90" w14:textId="3F881E2D" w:rsidR="0095160E" w:rsidRPr="00E17E54" w:rsidRDefault="0095160E" w:rsidP="0095160E">
            <w:pPr>
              <w:spacing w:before="0" w:after="0"/>
              <w:jc w:val="center"/>
              <w:rPr>
                <w:rFonts w:asciiTheme="minorHAnsi" w:eastAsia="Times New Roman" w:hAnsiTheme="minorHAnsi" w:cstheme="minorHAnsi"/>
                <w:color w:val="000000"/>
                <w:sz w:val="20"/>
                <w:szCs w:val="20"/>
                <w:lang w:eastAsia="pl-PL"/>
              </w:rPr>
            </w:pPr>
            <w:r w:rsidRPr="00E17E54">
              <w:rPr>
                <w:sz w:val="20"/>
                <w:szCs w:val="20"/>
              </w:rPr>
              <w:t>21</w:t>
            </w:r>
          </w:p>
        </w:tc>
        <w:tc>
          <w:tcPr>
            <w:tcW w:w="1837" w:type="dxa"/>
            <w:noWrap/>
            <w:vAlign w:val="center"/>
            <w:hideMark/>
          </w:tcPr>
          <w:p w14:paraId="3B13A6AA" w14:textId="1C82A0B5" w:rsidR="0095160E" w:rsidRPr="00E17E54" w:rsidRDefault="0095160E" w:rsidP="0095160E">
            <w:pPr>
              <w:spacing w:before="0" w:after="0"/>
              <w:jc w:val="center"/>
              <w:rPr>
                <w:rFonts w:asciiTheme="minorHAnsi" w:eastAsia="Times New Roman" w:hAnsiTheme="minorHAnsi" w:cstheme="minorBidi"/>
                <w:i/>
                <w:color w:val="000000"/>
                <w:sz w:val="20"/>
                <w:szCs w:val="20"/>
                <w:lang w:eastAsia="pl-PL"/>
              </w:rPr>
            </w:pPr>
            <w:r w:rsidRPr="00E17E54">
              <w:rPr>
                <w:sz w:val="20"/>
                <w:szCs w:val="20"/>
              </w:rPr>
              <w:t>25,6</w:t>
            </w:r>
          </w:p>
        </w:tc>
      </w:tr>
      <w:tr w:rsidR="00D77949" w:rsidRPr="00E17E54" w14:paraId="5883ECB8" w14:textId="77777777" w:rsidTr="00CC3EC0">
        <w:trPr>
          <w:trHeight w:val="397"/>
        </w:trPr>
        <w:tc>
          <w:tcPr>
            <w:tcW w:w="5524" w:type="dxa"/>
            <w:shd w:val="clear" w:color="auto" w:fill="auto"/>
            <w:noWrap/>
            <w:vAlign w:val="center"/>
          </w:tcPr>
          <w:p w14:paraId="18E8F3AF" w14:textId="47D36314" w:rsidR="00D77949" w:rsidRPr="00E17E54" w:rsidRDefault="00D77949" w:rsidP="00D77949">
            <w:pPr>
              <w:spacing w:before="0" w:after="0"/>
              <w:jc w:val="left"/>
              <w:rPr>
                <w:rFonts w:asciiTheme="minorHAnsi" w:eastAsia="Times New Roman" w:hAnsiTheme="minorHAnsi" w:cstheme="minorBidi"/>
                <w:sz w:val="20"/>
                <w:szCs w:val="20"/>
                <w:lang w:eastAsia="pl-PL"/>
              </w:rPr>
            </w:pPr>
            <w:r w:rsidRPr="00E17E54">
              <w:rPr>
                <w:rFonts w:asciiTheme="minorHAnsi" w:eastAsia="Times New Roman" w:hAnsiTheme="minorHAnsi" w:cstheme="minorBidi"/>
                <w:sz w:val="20"/>
                <w:szCs w:val="20"/>
                <w:lang w:eastAsia="pl-PL"/>
              </w:rPr>
              <w:t xml:space="preserve">Cel środowiskowy dla stanu/potencjału ekologicznego nieosiągnięty - ale poprawa stanu/potencjału </w:t>
            </w:r>
          </w:p>
        </w:tc>
        <w:tc>
          <w:tcPr>
            <w:tcW w:w="1701" w:type="dxa"/>
            <w:noWrap/>
            <w:vAlign w:val="center"/>
          </w:tcPr>
          <w:p w14:paraId="3BD94F06" w14:textId="138CE2EA" w:rsidR="00D77949" w:rsidRPr="00E17E54" w:rsidRDefault="00D77949" w:rsidP="00D77949">
            <w:pPr>
              <w:spacing w:before="0" w:after="0"/>
              <w:jc w:val="center"/>
              <w:rPr>
                <w:sz w:val="20"/>
                <w:szCs w:val="20"/>
              </w:rPr>
            </w:pPr>
            <w:r w:rsidRPr="00E17E54">
              <w:rPr>
                <w:rFonts w:asciiTheme="minorHAnsi" w:hAnsiTheme="minorHAnsi" w:cstheme="minorBidi"/>
                <w:sz w:val="20"/>
                <w:szCs w:val="20"/>
              </w:rPr>
              <w:t>0</w:t>
            </w:r>
          </w:p>
        </w:tc>
        <w:tc>
          <w:tcPr>
            <w:tcW w:w="1837" w:type="dxa"/>
            <w:noWrap/>
            <w:vAlign w:val="center"/>
          </w:tcPr>
          <w:p w14:paraId="1AB979D7" w14:textId="1EE9ED06" w:rsidR="00D77949" w:rsidRPr="00E17E54" w:rsidRDefault="00D77949" w:rsidP="00D77949">
            <w:pPr>
              <w:spacing w:before="0" w:after="0"/>
              <w:jc w:val="center"/>
              <w:rPr>
                <w:sz w:val="20"/>
                <w:szCs w:val="20"/>
              </w:rPr>
            </w:pPr>
            <w:r w:rsidRPr="00E17E54">
              <w:rPr>
                <w:rFonts w:eastAsia="Times New Roman" w:cs="Calibri"/>
                <w:color w:val="000000"/>
                <w:sz w:val="20"/>
                <w:szCs w:val="20"/>
              </w:rPr>
              <w:t>0,0</w:t>
            </w:r>
          </w:p>
        </w:tc>
      </w:tr>
      <w:tr w:rsidR="00D77949" w:rsidRPr="00E17E54" w14:paraId="1AED8C1F" w14:textId="77777777" w:rsidTr="00CC3EC0">
        <w:trPr>
          <w:trHeight w:val="397"/>
        </w:trPr>
        <w:tc>
          <w:tcPr>
            <w:tcW w:w="5524" w:type="dxa"/>
            <w:shd w:val="clear" w:color="auto" w:fill="auto"/>
            <w:noWrap/>
            <w:vAlign w:val="center"/>
          </w:tcPr>
          <w:p w14:paraId="7CB7CAB4" w14:textId="684886F3" w:rsidR="00D77949" w:rsidRPr="00E17E54" w:rsidRDefault="00D77949" w:rsidP="00D77949">
            <w:pPr>
              <w:spacing w:before="0" w:after="0"/>
              <w:jc w:val="left"/>
              <w:rPr>
                <w:rFonts w:asciiTheme="minorHAnsi" w:eastAsia="Times New Roman" w:hAnsiTheme="minorHAnsi" w:cstheme="minorBidi"/>
                <w:sz w:val="20"/>
                <w:szCs w:val="20"/>
                <w:lang w:eastAsia="pl-PL"/>
              </w:rPr>
            </w:pPr>
            <w:r w:rsidRPr="00E17E54">
              <w:rPr>
                <w:rFonts w:asciiTheme="minorHAnsi" w:hAnsiTheme="minorHAnsi" w:cstheme="minorBidi"/>
                <w:sz w:val="20"/>
                <w:szCs w:val="20"/>
              </w:rPr>
              <w:t xml:space="preserve">Cel </w:t>
            </w:r>
            <w:r w:rsidRPr="00E17E54">
              <w:rPr>
                <w:rFonts w:asciiTheme="minorHAnsi" w:eastAsia="Times New Roman" w:hAnsiTheme="minorHAnsi" w:cstheme="minorBidi"/>
                <w:sz w:val="20"/>
                <w:szCs w:val="20"/>
                <w:lang w:eastAsia="pl-PL"/>
              </w:rPr>
              <w:t>środowiskowy dla stanu/potencjału ekologicznego</w:t>
            </w:r>
            <w:r w:rsidRPr="00E17E54">
              <w:rPr>
                <w:rFonts w:asciiTheme="minorHAnsi" w:hAnsiTheme="minorHAnsi" w:cstheme="minorBidi"/>
                <w:sz w:val="20"/>
                <w:szCs w:val="20"/>
              </w:rPr>
              <w:t xml:space="preserve"> osiągnięty - utrzymanie dobrego stanu</w:t>
            </w:r>
          </w:p>
        </w:tc>
        <w:tc>
          <w:tcPr>
            <w:tcW w:w="1701" w:type="dxa"/>
            <w:noWrap/>
            <w:vAlign w:val="center"/>
          </w:tcPr>
          <w:p w14:paraId="31E8463D" w14:textId="416DFBEF" w:rsidR="00D77949" w:rsidRPr="00E17E54" w:rsidRDefault="00D77949" w:rsidP="00D77949">
            <w:pPr>
              <w:spacing w:before="0" w:after="0"/>
              <w:jc w:val="center"/>
              <w:rPr>
                <w:sz w:val="20"/>
                <w:szCs w:val="20"/>
              </w:rPr>
            </w:pPr>
            <w:r w:rsidRPr="00E17E54">
              <w:rPr>
                <w:rFonts w:asciiTheme="minorHAnsi" w:hAnsiTheme="minorHAnsi" w:cstheme="minorHAnsi"/>
                <w:sz w:val="20"/>
                <w:szCs w:val="20"/>
              </w:rPr>
              <w:t>0</w:t>
            </w:r>
          </w:p>
        </w:tc>
        <w:tc>
          <w:tcPr>
            <w:tcW w:w="1837" w:type="dxa"/>
            <w:noWrap/>
            <w:vAlign w:val="center"/>
          </w:tcPr>
          <w:p w14:paraId="36DB6CE6" w14:textId="3366C9A1" w:rsidR="00D77949" w:rsidRPr="00E17E54" w:rsidRDefault="00D77949" w:rsidP="00D77949">
            <w:pPr>
              <w:spacing w:before="0" w:after="0"/>
              <w:jc w:val="center"/>
              <w:rPr>
                <w:sz w:val="20"/>
                <w:szCs w:val="20"/>
              </w:rPr>
            </w:pPr>
            <w:r w:rsidRPr="00E17E54">
              <w:rPr>
                <w:rFonts w:eastAsia="Times New Roman" w:cs="Calibri"/>
                <w:color w:val="000000"/>
                <w:sz w:val="20"/>
                <w:szCs w:val="20"/>
              </w:rPr>
              <w:t>0,0</w:t>
            </w:r>
          </w:p>
        </w:tc>
      </w:tr>
      <w:tr w:rsidR="00D77949" w:rsidRPr="00E17E54" w14:paraId="69A606E5" w14:textId="77777777" w:rsidTr="00CC3EC0">
        <w:trPr>
          <w:trHeight w:val="397"/>
        </w:trPr>
        <w:tc>
          <w:tcPr>
            <w:tcW w:w="5524" w:type="dxa"/>
            <w:shd w:val="clear" w:color="auto" w:fill="auto"/>
            <w:noWrap/>
            <w:vAlign w:val="center"/>
            <w:hideMark/>
          </w:tcPr>
          <w:p w14:paraId="3401F8F9" w14:textId="77777777" w:rsidR="00D77949" w:rsidRPr="00E17E54" w:rsidRDefault="00D77949" w:rsidP="00D77949">
            <w:pPr>
              <w:spacing w:before="0" w:after="0"/>
              <w:jc w:val="left"/>
              <w:rPr>
                <w:rFonts w:asciiTheme="minorHAnsi" w:eastAsia="Times New Roman" w:hAnsiTheme="minorHAnsi" w:cstheme="minorBidi"/>
                <w:color w:val="FFFFFF" w:themeColor="background1"/>
                <w:sz w:val="20"/>
                <w:szCs w:val="20"/>
                <w:lang w:eastAsia="pl-PL"/>
              </w:rPr>
            </w:pPr>
            <w:r w:rsidRPr="00E17E54">
              <w:rPr>
                <w:rFonts w:asciiTheme="minorHAnsi" w:hAnsiTheme="minorHAnsi" w:cstheme="minorBidi"/>
                <w:sz w:val="20"/>
                <w:szCs w:val="20"/>
              </w:rPr>
              <w:t xml:space="preserve">Cel </w:t>
            </w:r>
            <w:r w:rsidRPr="00E17E54">
              <w:rPr>
                <w:rFonts w:asciiTheme="minorHAnsi" w:eastAsia="Times New Roman" w:hAnsiTheme="minorHAnsi" w:cstheme="minorBidi"/>
                <w:sz w:val="20"/>
                <w:szCs w:val="20"/>
                <w:lang w:eastAsia="pl-PL"/>
              </w:rPr>
              <w:t>środowiskowy dla stanu/potencjału ekologicznego</w:t>
            </w:r>
            <w:r w:rsidRPr="00E17E54">
              <w:rPr>
                <w:rFonts w:asciiTheme="minorHAnsi" w:hAnsiTheme="minorHAnsi" w:cstheme="minorBidi"/>
                <w:sz w:val="20"/>
                <w:szCs w:val="20"/>
              </w:rPr>
              <w:t xml:space="preserve"> osiągnięty - poprawa stanu</w:t>
            </w:r>
          </w:p>
        </w:tc>
        <w:tc>
          <w:tcPr>
            <w:tcW w:w="1701" w:type="dxa"/>
            <w:noWrap/>
            <w:vAlign w:val="center"/>
            <w:hideMark/>
          </w:tcPr>
          <w:p w14:paraId="4AB9303D" w14:textId="53CB85E9" w:rsidR="00D77949" w:rsidRPr="00E17E54" w:rsidRDefault="00D77949" w:rsidP="00D77949">
            <w:pPr>
              <w:spacing w:before="0" w:after="0"/>
              <w:jc w:val="center"/>
              <w:rPr>
                <w:rFonts w:asciiTheme="minorHAnsi" w:eastAsia="Times New Roman" w:hAnsiTheme="minorHAnsi" w:cstheme="minorHAnsi"/>
                <w:color w:val="000000"/>
                <w:sz w:val="20"/>
                <w:szCs w:val="20"/>
                <w:lang w:eastAsia="pl-PL"/>
              </w:rPr>
            </w:pPr>
            <w:r w:rsidRPr="00E17E54">
              <w:rPr>
                <w:sz w:val="20"/>
                <w:szCs w:val="20"/>
              </w:rPr>
              <w:t>1</w:t>
            </w:r>
          </w:p>
        </w:tc>
        <w:tc>
          <w:tcPr>
            <w:tcW w:w="1837" w:type="dxa"/>
            <w:noWrap/>
            <w:vAlign w:val="center"/>
            <w:hideMark/>
          </w:tcPr>
          <w:p w14:paraId="3D7C6E73" w14:textId="5A3D5FD4" w:rsidR="00D77949" w:rsidRPr="00E17E54" w:rsidRDefault="00D77949" w:rsidP="00D77949">
            <w:pPr>
              <w:spacing w:before="0" w:after="0"/>
              <w:jc w:val="center"/>
              <w:rPr>
                <w:rFonts w:asciiTheme="minorHAnsi" w:eastAsia="Times New Roman" w:hAnsiTheme="minorHAnsi" w:cstheme="minorBidi"/>
                <w:i/>
                <w:color w:val="000000"/>
                <w:sz w:val="20"/>
                <w:szCs w:val="20"/>
                <w:lang w:eastAsia="pl-PL"/>
              </w:rPr>
            </w:pPr>
            <w:r w:rsidRPr="00E17E54">
              <w:rPr>
                <w:sz w:val="20"/>
                <w:szCs w:val="20"/>
              </w:rPr>
              <w:t>1,2</w:t>
            </w:r>
          </w:p>
        </w:tc>
      </w:tr>
      <w:tr w:rsidR="00D77949" w:rsidRPr="00E17E54" w14:paraId="20BB5C85" w14:textId="77777777" w:rsidTr="00CC3EC0">
        <w:trPr>
          <w:trHeight w:val="397"/>
        </w:trPr>
        <w:tc>
          <w:tcPr>
            <w:tcW w:w="5524" w:type="dxa"/>
            <w:shd w:val="clear" w:color="auto" w:fill="auto"/>
            <w:noWrap/>
            <w:vAlign w:val="center"/>
            <w:hideMark/>
          </w:tcPr>
          <w:p w14:paraId="21636638" w14:textId="77777777" w:rsidR="00D77949" w:rsidRPr="00E17E54" w:rsidRDefault="00D77949" w:rsidP="00D77949">
            <w:pPr>
              <w:spacing w:before="0" w:after="0"/>
              <w:jc w:val="left"/>
              <w:rPr>
                <w:rFonts w:asciiTheme="minorHAnsi" w:hAnsiTheme="minorHAnsi" w:cstheme="minorBidi"/>
                <w:sz w:val="20"/>
                <w:szCs w:val="20"/>
                <w:lang w:eastAsia="pl-PL"/>
              </w:rPr>
            </w:pPr>
            <w:r w:rsidRPr="00E17E54">
              <w:rPr>
                <w:rFonts w:asciiTheme="minorHAnsi" w:hAnsiTheme="minorHAnsi" w:cstheme="minorBidi"/>
                <w:sz w:val="20"/>
                <w:szCs w:val="20"/>
              </w:rPr>
              <w:t>Brak możliwości oceny postępu w osiąganiu celów środowiskowych</w:t>
            </w:r>
          </w:p>
        </w:tc>
        <w:tc>
          <w:tcPr>
            <w:tcW w:w="1701" w:type="dxa"/>
            <w:noWrap/>
            <w:vAlign w:val="center"/>
            <w:hideMark/>
          </w:tcPr>
          <w:p w14:paraId="7D5542D0" w14:textId="26AAA365" w:rsidR="00D77949" w:rsidRPr="00E17E54" w:rsidRDefault="00D77949" w:rsidP="00D77949">
            <w:pPr>
              <w:spacing w:before="0" w:after="0"/>
              <w:jc w:val="center"/>
              <w:rPr>
                <w:rFonts w:asciiTheme="minorHAnsi" w:eastAsia="Times New Roman" w:hAnsiTheme="minorHAnsi" w:cstheme="minorBidi"/>
                <w:color w:val="000000"/>
                <w:sz w:val="20"/>
                <w:szCs w:val="20"/>
                <w:lang w:eastAsia="pl-PL"/>
              </w:rPr>
            </w:pPr>
            <w:r w:rsidRPr="00E17E54">
              <w:rPr>
                <w:sz w:val="20"/>
                <w:szCs w:val="20"/>
              </w:rPr>
              <w:t>45</w:t>
            </w:r>
          </w:p>
        </w:tc>
        <w:tc>
          <w:tcPr>
            <w:tcW w:w="1837" w:type="dxa"/>
            <w:noWrap/>
            <w:vAlign w:val="center"/>
            <w:hideMark/>
          </w:tcPr>
          <w:p w14:paraId="4AF128E9" w14:textId="0978B9F8" w:rsidR="00D77949" w:rsidRPr="00E17E54" w:rsidRDefault="00D77949" w:rsidP="00D77949">
            <w:pPr>
              <w:spacing w:before="0" w:after="0"/>
              <w:jc w:val="center"/>
              <w:rPr>
                <w:rFonts w:asciiTheme="minorHAnsi" w:eastAsia="Times New Roman" w:hAnsiTheme="minorHAnsi" w:cstheme="minorBidi"/>
                <w:i/>
                <w:iCs/>
                <w:color w:val="000000"/>
                <w:sz w:val="20"/>
                <w:szCs w:val="20"/>
                <w:lang w:eastAsia="pl-PL"/>
              </w:rPr>
            </w:pPr>
            <w:r w:rsidRPr="00E17E54">
              <w:rPr>
                <w:sz w:val="20"/>
                <w:szCs w:val="20"/>
              </w:rPr>
              <w:t>54,9</w:t>
            </w:r>
          </w:p>
        </w:tc>
      </w:tr>
      <w:tr w:rsidR="00D77949" w:rsidRPr="00E17E54" w14:paraId="6D76500F" w14:textId="77777777" w:rsidTr="00CC3EC0">
        <w:trPr>
          <w:trHeight w:val="397"/>
        </w:trPr>
        <w:tc>
          <w:tcPr>
            <w:tcW w:w="5524" w:type="dxa"/>
            <w:shd w:val="clear" w:color="auto" w:fill="BFBFBF" w:themeFill="background1" w:themeFillShade="BF"/>
            <w:noWrap/>
            <w:vAlign w:val="center"/>
          </w:tcPr>
          <w:p w14:paraId="4ECFC96F" w14:textId="659CCE8E" w:rsidR="00D77949" w:rsidRPr="00CC3EC0" w:rsidRDefault="00D77949" w:rsidP="00D77949">
            <w:pPr>
              <w:spacing w:before="0" w:after="0"/>
              <w:jc w:val="center"/>
              <w:rPr>
                <w:rFonts w:asciiTheme="minorHAnsi" w:hAnsiTheme="minorHAnsi" w:cstheme="minorBidi"/>
                <w:b/>
                <w:bCs/>
                <w:sz w:val="20"/>
                <w:szCs w:val="20"/>
              </w:rPr>
            </w:pPr>
            <w:r w:rsidRPr="00CC3EC0">
              <w:rPr>
                <w:rFonts w:asciiTheme="minorHAnsi" w:eastAsia="Times New Roman" w:hAnsiTheme="minorHAnsi" w:cstheme="minorBidi"/>
                <w:b/>
                <w:bCs/>
                <w:sz w:val="20"/>
                <w:szCs w:val="20"/>
                <w:lang w:eastAsia="pl-PL"/>
              </w:rPr>
              <w:t xml:space="preserve">Liczba jcwp </w:t>
            </w:r>
            <w:r>
              <w:rPr>
                <w:rFonts w:asciiTheme="minorHAnsi" w:eastAsia="Times New Roman" w:hAnsiTheme="minorHAnsi" w:cstheme="minorBidi"/>
                <w:b/>
                <w:bCs/>
                <w:sz w:val="20"/>
                <w:szCs w:val="20"/>
                <w:lang w:eastAsia="pl-PL"/>
              </w:rPr>
              <w:t xml:space="preserve">RW </w:t>
            </w:r>
            <w:r w:rsidRPr="00CC3EC0">
              <w:rPr>
                <w:rFonts w:asciiTheme="minorHAnsi" w:eastAsia="Times New Roman" w:hAnsiTheme="minorHAnsi" w:cstheme="minorBidi"/>
                <w:b/>
                <w:bCs/>
                <w:sz w:val="20"/>
                <w:szCs w:val="20"/>
                <w:lang w:eastAsia="pl-PL"/>
              </w:rPr>
              <w:t>w obszarze dorzecza</w:t>
            </w:r>
          </w:p>
        </w:tc>
        <w:tc>
          <w:tcPr>
            <w:tcW w:w="1701" w:type="dxa"/>
            <w:shd w:val="clear" w:color="auto" w:fill="BFBFBF" w:themeFill="background1" w:themeFillShade="BF"/>
            <w:noWrap/>
            <w:vAlign w:val="center"/>
          </w:tcPr>
          <w:p w14:paraId="146F9386" w14:textId="37F42C0A" w:rsidR="00D77949" w:rsidRPr="00CC3EC0" w:rsidRDefault="00D77949" w:rsidP="00D77949">
            <w:pPr>
              <w:spacing w:before="0" w:after="0"/>
              <w:jc w:val="center"/>
              <w:rPr>
                <w:b/>
                <w:bCs/>
                <w:sz w:val="20"/>
                <w:szCs w:val="20"/>
              </w:rPr>
            </w:pPr>
            <w:r w:rsidRPr="00CC3EC0">
              <w:rPr>
                <w:b/>
                <w:bCs/>
                <w:sz w:val="20"/>
                <w:szCs w:val="20"/>
              </w:rPr>
              <w:t>82</w:t>
            </w:r>
          </w:p>
        </w:tc>
        <w:tc>
          <w:tcPr>
            <w:tcW w:w="1837" w:type="dxa"/>
            <w:shd w:val="clear" w:color="auto" w:fill="BFBFBF" w:themeFill="background1" w:themeFillShade="BF"/>
            <w:noWrap/>
            <w:vAlign w:val="center"/>
          </w:tcPr>
          <w:p w14:paraId="177B3A3F" w14:textId="2D4A4D4E" w:rsidR="00D77949" w:rsidRPr="00CC3EC0" w:rsidRDefault="00D77949" w:rsidP="00D77949">
            <w:pPr>
              <w:spacing w:before="0" w:after="0"/>
              <w:jc w:val="center"/>
              <w:rPr>
                <w:b/>
                <w:bCs/>
                <w:sz w:val="20"/>
                <w:szCs w:val="20"/>
              </w:rPr>
            </w:pPr>
            <w:r w:rsidRPr="00CC3EC0">
              <w:rPr>
                <w:b/>
                <w:bCs/>
                <w:sz w:val="20"/>
                <w:szCs w:val="20"/>
              </w:rPr>
              <w:t>100,0</w:t>
            </w:r>
          </w:p>
        </w:tc>
      </w:tr>
    </w:tbl>
    <w:p w14:paraId="4ED9270B" w14:textId="1D5C1F05" w:rsidR="005848EA" w:rsidRPr="002A0524" w:rsidRDefault="005848EA" w:rsidP="005848EA">
      <w:pPr>
        <w:pStyle w:val="rdo0"/>
        <w:rPr>
          <w:color w:val="000099"/>
        </w:rPr>
      </w:pPr>
      <w:r w:rsidRPr="002A0524">
        <w:t xml:space="preserve">Źródło: </w:t>
      </w:r>
      <w:r w:rsidR="00445D9B">
        <w:t xml:space="preserve">opracowanie </w:t>
      </w:r>
      <w:r w:rsidR="007A0C82">
        <w:t>własne</w:t>
      </w:r>
      <w:r w:rsidRPr="002A0524">
        <w:t xml:space="preserve"> na podstawie danych GIOŚ</w:t>
      </w:r>
    </w:p>
    <w:p w14:paraId="7BBBAAD5" w14:textId="07699682" w:rsidR="005848EA" w:rsidRDefault="0095160E" w:rsidP="005848EA">
      <w:r w:rsidRPr="15416EDB">
        <w:t xml:space="preserve">Najczęstszą przyczyną nieosiągnięcia celów środowiskowych w </w:t>
      </w:r>
      <w:r>
        <w:t>36</w:t>
      </w:r>
      <w:r w:rsidRPr="15416EDB">
        <w:t xml:space="preserve"> jcwp, na obszarze dorzecza </w:t>
      </w:r>
      <w:r>
        <w:t>Pregoły</w:t>
      </w:r>
      <w:r w:rsidRPr="15416EDB">
        <w:t xml:space="preserve"> był</w:t>
      </w:r>
      <w:r>
        <w:t>o</w:t>
      </w:r>
      <w:r w:rsidRPr="15416EDB">
        <w:t xml:space="preserve"> utrzymujące się oddziaływanie presji</w:t>
      </w:r>
      <w:r w:rsidRPr="4E31EDD4">
        <w:t>. Działania zaplanowane w aPWŚK miały niski stopień realizacji, lub działania zrealizowane</w:t>
      </w:r>
      <w:r w:rsidRPr="15416EDB">
        <w:t xml:space="preserve"> nie były dość skuteczne</w:t>
      </w:r>
      <w:r w:rsidRPr="4E31EDD4">
        <w:t>.</w:t>
      </w:r>
      <w:r w:rsidRPr="15416EDB">
        <w:t xml:space="preserve"> W efekcie </w:t>
      </w:r>
      <w:r>
        <w:t>15</w:t>
      </w:r>
      <w:r w:rsidRPr="15416EDB">
        <w:t xml:space="preserve"> spośród tych jcwp (</w:t>
      </w:r>
      <w:r w:rsidRPr="6343C37F">
        <w:t xml:space="preserve">18,3%) </w:t>
      </w:r>
      <w:r w:rsidRPr="15416EDB">
        <w:t xml:space="preserve">nie osiągnęło stanu dobrego, a dla dalszych </w:t>
      </w:r>
      <w:r>
        <w:t>21</w:t>
      </w:r>
      <w:r w:rsidRPr="15416EDB">
        <w:t xml:space="preserve"> jcwp </w:t>
      </w:r>
      <w:r>
        <w:t>(25,6%)</w:t>
      </w:r>
      <w:r w:rsidRPr="6343C37F">
        <w:t xml:space="preserve"> </w:t>
      </w:r>
      <w:r w:rsidRPr="15416EDB">
        <w:t>nastąpiło pogorszenie</w:t>
      </w:r>
      <w:r>
        <w:t xml:space="preserve"> </w:t>
      </w:r>
      <w:r w:rsidRPr="15416EDB">
        <w:t xml:space="preserve">stanu/potencjału ekologicznego </w:t>
      </w:r>
      <w:r>
        <w:t>do poniżej dobrego</w:t>
      </w:r>
      <w:r w:rsidRPr="15416EDB">
        <w:t xml:space="preserve">. Na nieosiągnięcie celów środowiskowych w sumie, w </w:t>
      </w:r>
      <w:r>
        <w:t>31</w:t>
      </w:r>
      <w:r w:rsidRPr="15416EDB">
        <w:t xml:space="preserve"> jcwp (</w:t>
      </w:r>
      <w:r>
        <w:t>37,8</w:t>
      </w:r>
      <w:r w:rsidRPr="15416EDB">
        <w:t>%), w obszarze dorzecza</w:t>
      </w:r>
      <w:r>
        <w:t xml:space="preserve"> Pregoły</w:t>
      </w:r>
      <w:r w:rsidRPr="15416EDB">
        <w:t xml:space="preserve"> </w:t>
      </w:r>
      <w:r w:rsidRPr="4E31EDD4">
        <w:t>mogły mieć także</w:t>
      </w:r>
      <w:r w:rsidRPr="15416EDB">
        <w:t xml:space="preserve"> wpływ  warunki panujące w zlewni (dopływ zanieczyszczeń z innej jcwp, niski potencjał sorpcyjny jcwp, zanik przepływu wody </w:t>
      </w:r>
      <w:r w:rsidRPr="6F8CE248">
        <w:t xml:space="preserve">w korycie </w:t>
      </w:r>
      <w:r w:rsidRPr="15416EDB">
        <w:t>lub zagrożenie suszą). W efekcie wymienionych uwarunkowań brak postępu w osiąganiu stanu dobrego i</w:t>
      </w:r>
      <w:r w:rsidR="007E5892">
        <w:t> </w:t>
      </w:r>
      <w:r w:rsidRPr="15416EDB">
        <w:t>pogorszenie</w:t>
      </w:r>
      <w:r>
        <w:t xml:space="preserve"> do</w:t>
      </w:r>
      <w:r w:rsidRPr="15416EDB">
        <w:t xml:space="preserve"> stanu/potencjału ekologicznego </w:t>
      </w:r>
      <w:r>
        <w:t>poniżej dobrego</w:t>
      </w:r>
      <w:r w:rsidRPr="15416EDB">
        <w:t xml:space="preserve"> wskazano odpowiednio, dla </w:t>
      </w:r>
      <w:r>
        <w:t>15</w:t>
      </w:r>
      <w:r w:rsidRPr="15416EDB">
        <w:t xml:space="preserve"> (</w:t>
      </w:r>
      <w:r w:rsidRPr="6343C37F">
        <w:t xml:space="preserve">18,3%) </w:t>
      </w:r>
      <w:r w:rsidRPr="15416EDB">
        <w:t xml:space="preserve">i </w:t>
      </w:r>
      <w:r>
        <w:t>21 (25,6%)</w:t>
      </w:r>
      <w:r w:rsidRPr="6343C37F">
        <w:t xml:space="preserve"> </w:t>
      </w:r>
      <w:r w:rsidRPr="15416EDB">
        <w:t>jcwp. Poza wymienionymi</w:t>
      </w:r>
      <w:r>
        <w:t xml:space="preserve"> czynnikami</w:t>
      </w:r>
      <w:r w:rsidRPr="15416EDB">
        <w:t xml:space="preserve">, także zmiany legislacyjne, takie jak zmiana wartości granicznych klas i typologii abiotycznej były podstawą wskazania pogorszenia </w:t>
      </w:r>
      <w:r>
        <w:t>się</w:t>
      </w:r>
      <w:r w:rsidRPr="15416EDB">
        <w:t xml:space="preserve"> stanu/potencjału ekologicznego  w 2</w:t>
      </w:r>
      <w:r>
        <w:t>1</w:t>
      </w:r>
      <w:r w:rsidRPr="15416EDB">
        <w:t xml:space="preserve"> jcwp (</w:t>
      </w:r>
      <w:r>
        <w:t>25,6</w:t>
      </w:r>
      <w:r w:rsidRPr="15416EDB">
        <w:t xml:space="preserve">%) na obszarze dorzecza </w:t>
      </w:r>
      <w:r w:rsidRPr="0095160E">
        <w:t>Pregoły</w:t>
      </w:r>
      <w:r>
        <w:t xml:space="preserve"> </w:t>
      </w:r>
      <w:r w:rsidR="005848EA" w:rsidRPr="0095160E">
        <w:t xml:space="preserve">(tabela 9-3). </w:t>
      </w:r>
    </w:p>
    <w:p w14:paraId="6995A569" w14:textId="4B128915" w:rsidR="005848EA" w:rsidRDefault="005848EA" w:rsidP="006802BB">
      <w:pPr>
        <w:pStyle w:val="Tabela"/>
      </w:pPr>
      <w:bookmarkStart w:id="248" w:name="_Toc66311295"/>
      <w:bookmarkStart w:id="249" w:name="_Toc68726999"/>
      <w:r>
        <w:t xml:space="preserve">Tabela </w:t>
      </w:r>
      <w:fldSimple w:instr=" STYLEREF 1 \s ">
        <w:r w:rsidR="007B4050">
          <w:rPr>
            <w:noProof/>
          </w:rPr>
          <w:t>9</w:t>
        </w:r>
      </w:fldSimple>
      <w:r w:rsidR="007B4050">
        <w:noBreakHyphen/>
      </w:r>
      <w:fldSimple w:instr=" SEQ Tabela \* ARABIC \s 1 ">
        <w:r w:rsidR="007B4050">
          <w:rPr>
            <w:noProof/>
          </w:rPr>
          <w:t>3</w:t>
        </w:r>
      </w:fldSimple>
      <w:r>
        <w:tab/>
      </w:r>
      <w:r w:rsidRPr="15416EDB">
        <w:t xml:space="preserve">Analiza przyczyn wpływających na brak postępu w osiąganiu celów środowiskowych dla stanu/potencjału ekologicznego w obszarze dorzecza </w:t>
      </w:r>
      <w:r w:rsidR="0095160E">
        <w:t>Pregoły</w:t>
      </w:r>
      <w:r w:rsidRPr="15416EDB">
        <w:t xml:space="preserve"> </w:t>
      </w:r>
      <w:r>
        <w:t>-</w:t>
      </w:r>
      <w:r w:rsidRPr="15416EDB">
        <w:t xml:space="preserve"> jcwp RW</w:t>
      </w:r>
      <w:bookmarkEnd w:id="248"/>
      <w:bookmarkEnd w:id="249"/>
    </w:p>
    <w:tbl>
      <w:tblPr>
        <w:tblStyle w:val="Tabela-Siatka"/>
        <w:tblW w:w="5000" w:type="pct"/>
        <w:tblLook w:val="04A0" w:firstRow="1" w:lastRow="0" w:firstColumn="1" w:lastColumn="0" w:noHBand="0" w:noVBand="1"/>
      </w:tblPr>
      <w:tblGrid>
        <w:gridCol w:w="6462"/>
        <w:gridCol w:w="1332"/>
        <w:gridCol w:w="1268"/>
      </w:tblGrid>
      <w:tr w:rsidR="005848EA" w:rsidRPr="00531E3C" w14:paraId="34B68186" w14:textId="77777777" w:rsidTr="00A90DE5">
        <w:trPr>
          <w:trHeight w:val="479"/>
          <w:tblHeader/>
        </w:trPr>
        <w:tc>
          <w:tcPr>
            <w:tcW w:w="5000" w:type="pct"/>
            <w:gridSpan w:val="3"/>
            <w:shd w:val="clear" w:color="auto" w:fill="A6A6A6" w:themeFill="background1" w:themeFillShade="A6"/>
            <w:noWrap/>
            <w:vAlign w:val="center"/>
            <w:hideMark/>
          </w:tcPr>
          <w:p w14:paraId="2CF7AD0C" w14:textId="354EDC45" w:rsidR="005848EA" w:rsidRPr="00531E3C" w:rsidRDefault="00A90DE5" w:rsidP="00840CCD">
            <w:pPr>
              <w:spacing w:before="0" w:after="0"/>
              <w:jc w:val="center"/>
              <w:rPr>
                <w:rFonts w:asciiTheme="minorHAnsi" w:eastAsia="Times New Roman" w:hAnsiTheme="minorHAnsi" w:cstheme="minorBidi"/>
                <w:b/>
                <w:sz w:val="20"/>
                <w:szCs w:val="20"/>
                <w:lang w:eastAsia="pl-PL"/>
              </w:rPr>
            </w:pPr>
            <w:r>
              <w:rPr>
                <w:rFonts w:asciiTheme="minorHAnsi" w:hAnsiTheme="minorHAnsi" w:cstheme="minorHAnsi"/>
                <w:b/>
                <w:bCs/>
                <w:sz w:val="20"/>
                <w:szCs w:val="20"/>
              </w:rPr>
              <w:t>Analiza przyczyn braku postępu</w:t>
            </w:r>
            <w:r w:rsidRPr="002A0524">
              <w:rPr>
                <w:rFonts w:asciiTheme="minorHAnsi" w:hAnsiTheme="minorHAnsi" w:cstheme="minorHAnsi"/>
                <w:b/>
                <w:bCs/>
                <w:sz w:val="20"/>
                <w:szCs w:val="20"/>
              </w:rPr>
              <w:t xml:space="preserve"> </w:t>
            </w:r>
            <w:r>
              <w:rPr>
                <w:rFonts w:asciiTheme="minorHAnsi" w:hAnsiTheme="minorHAnsi" w:cstheme="minorHAnsi"/>
                <w:b/>
                <w:bCs/>
                <w:sz w:val="20"/>
                <w:szCs w:val="20"/>
              </w:rPr>
              <w:t>w osiąganiu celu środowiskowego</w:t>
            </w:r>
            <w:r w:rsidRPr="002A0524">
              <w:rPr>
                <w:rFonts w:asciiTheme="minorHAnsi" w:hAnsiTheme="minorHAnsi" w:cstheme="minorHAnsi"/>
                <w:b/>
                <w:bCs/>
                <w:sz w:val="20"/>
                <w:szCs w:val="20"/>
              </w:rPr>
              <w:t xml:space="preserve"> </w:t>
            </w:r>
            <w:r>
              <w:rPr>
                <w:rFonts w:asciiTheme="minorHAnsi" w:hAnsiTheme="minorHAnsi" w:cstheme="minorHAnsi"/>
                <w:b/>
                <w:bCs/>
                <w:sz w:val="20"/>
                <w:szCs w:val="20"/>
              </w:rPr>
              <w:t>dla stanu</w:t>
            </w:r>
            <w:r w:rsidR="005848EA" w:rsidRPr="6F8CE248">
              <w:rPr>
                <w:rFonts w:asciiTheme="minorHAnsi" w:eastAsia="Times New Roman" w:hAnsiTheme="minorHAnsi" w:cstheme="minorBidi"/>
                <w:b/>
                <w:bCs/>
                <w:sz w:val="20"/>
                <w:szCs w:val="20"/>
                <w:lang w:eastAsia="pl-PL"/>
              </w:rPr>
              <w:t>/</w:t>
            </w:r>
            <w:r>
              <w:rPr>
                <w:rFonts w:asciiTheme="minorHAnsi" w:eastAsia="Times New Roman" w:hAnsiTheme="minorHAnsi" w:cstheme="minorBidi"/>
                <w:b/>
                <w:bCs/>
                <w:sz w:val="20"/>
                <w:szCs w:val="20"/>
                <w:lang w:eastAsia="pl-PL"/>
              </w:rPr>
              <w:t>potencjału ekologicznego</w:t>
            </w:r>
            <w:r w:rsidR="005848EA" w:rsidRPr="6F8CE248">
              <w:rPr>
                <w:rFonts w:asciiTheme="minorHAnsi" w:eastAsia="Times New Roman" w:hAnsiTheme="minorHAnsi" w:cstheme="minorBidi"/>
                <w:b/>
                <w:bCs/>
                <w:sz w:val="20"/>
                <w:szCs w:val="20"/>
                <w:lang w:eastAsia="pl-PL"/>
              </w:rPr>
              <w:t xml:space="preserve"> </w:t>
            </w:r>
          </w:p>
        </w:tc>
      </w:tr>
      <w:tr w:rsidR="005848EA" w:rsidRPr="00531E3C" w14:paraId="2BD9C0C6" w14:textId="77777777" w:rsidTr="001458F5">
        <w:trPr>
          <w:trHeight w:val="317"/>
          <w:tblHeader/>
        </w:trPr>
        <w:tc>
          <w:tcPr>
            <w:tcW w:w="3126" w:type="pct"/>
            <w:shd w:val="clear" w:color="auto" w:fill="BFBFBF" w:themeFill="background1" w:themeFillShade="BF"/>
            <w:noWrap/>
            <w:vAlign w:val="center"/>
            <w:hideMark/>
          </w:tcPr>
          <w:p w14:paraId="5893B530" w14:textId="1E64CA43" w:rsidR="005848EA" w:rsidRPr="001458F5" w:rsidRDefault="001458F5" w:rsidP="001458F5">
            <w:pPr>
              <w:jc w:val="center"/>
              <w:rPr>
                <w:rFonts w:asciiTheme="minorHAnsi" w:eastAsia="Times New Roman" w:hAnsiTheme="minorHAnsi" w:cstheme="minorHAnsi"/>
                <w:b/>
                <w:bCs/>
                <w:sz w:val="20"/>
                <w:szCs w:val="20"/>
                <w:lang w:eastAsia="pl-PL"/>
              </w:rPr>
            </w:pPr>
            <w:r w:rsidRPr="001458F5">
              <w:rPr>
                <w:rFonts w:asciiTheme="minorHAnsi" w:eastAsia="Times New Roman" w:hAnsiTheme="minorHAnsi" w:cstheme="minorHAnsi"/>
                <w:b/>
                <w:bCs/>
                <w:sz w:val="20"/>
                <w:szCs w:val="20"/>
                <w:lang w:eastAsia="pl-PL"/>
              </w:rPr>
              <w:t>Przyczyna braku postępu</w:t>
            </w:r>
          </w:p>
        </w:tc>
        <w:tc>
          <w:tcPr>
            <w:tcW w:w="938" w:type="pct"/>
            <w:shd w:val="clear" w:color="auto" w:fill="BFBFBF" w:themeFill="background1" w:themeFillShade="BF"/>
            <w:noWrap/>
            <w:vAlign w:val="center"/>
            <w:hideMark/>
          </w:tcPr>
          <w:p w14:paraId="359AE587" w14:textId="77777777" w:rsidR="005848EA" w:rsidRPr="001458F5" w:rsidRDefault="005848EA" w:rsidP="00840CCD">
            <w:pPr>
              <w:spacing w:before="0" w:after="0"/>
              <w:jc w:val="center"/>
              <w:rPr>
                <w:rFonts w:asciiTheme="minorHAnsi" w:eastAsia="Times New Roman" w:hAnsiTheme="minorHAnsi" w:cstheme="minorHAnsi"/>
                <w:b/>
                <w:bCs/>
                <w:sz w:val="20"/>
                <w:szCs w:val="20"/>
                <w:lang w:eastAsia="pl-PL"/>
              </w:rPr>
            </w:pPr>
            <w:r w:rsidRPr="001458F5">
              <w:rPr>
                <w:rFonts w:asciiTheme="minorHAnsi" w:eastAsia="Times New Roman" w:hAnsiTheme="minorHAnsi" w:cstheme="minorHAnsi"/>
                <w:b/>
                <w:bCs/>
                <w:sz w:val="20"/>
                <w:szCs w:val="20"/>
                <w:lang w:eastAsia="pl-PL"/>
              </w:rPr>
              <w:t>liczba jcwp RW</w:t>
            </w:r>
          </w:p>
        </w:tc>
        <w:tc>
          <w:tcPr>
            <w:tcW w:w="936" w:type="pct"/>
            <w:shd w:val="clear" w:color="auto" w:fill="BFBFBF" w:themeFill="background1" w:themeFillShade="BF"/>
            <w:noWrap/>
            <w:vAlign w:val="center"/>
            <w:hideMark/>
          </w:tcPr>
          <w:p w14:paraId="126445E3" w14:textId="1BB02C7B" w:rsidR="005848EA" w:rsidRPr="001458F5" w:rsidRDefault="005848EA" w:rsidP="00840CCD">
            <w:pPr>
              <w:spacing w:before="0" w:after="0"/>
              <w:ind w:left="-198"/>
              <w:jc w:val="center"/>
              <w:rPr>
                <w:rFonts w:asciiTheme="minorHAnsi" w:eastAsia="Times New Roman" w:hAnsiTheme="minorHAnsi" w:cstheme="minorBidi"/>
                <w:b/>
                <w:bCs/>
                <w:sz w:val="20"/>
                <w:szCs w:val="20"/>
                <w:lang w:eastAsia="pl-PL"/>
              </w:rPr>
            </w:pPr>
            <w:r w:rsidRPr="001458F5">
              <w:rPr>
                <w:rFonts w:asciiTheme="minorHAnsi" w:eastAsia="Times New Roman" w:hAnsiTheme="minorHAnsi" w:cstheme="minorBidi"/>
                <w:b/>
                <w:bCs/>
                <w:iCs/>
                <w:sz w:val="20"/>
                <w:szCs w:val="20"/>
                <w:lang w:eastAsia="pl-PL"/>
              </w:rPr>
              <w:t>Udział jcwp (%)</w:t>
            </w:r>
          </w:p>
        </w:tc>
      </w:tr>
      <w:tr w:rsidR="005848EA" w:rsidRPr="00531E3C" w14:paraId="3A012904" w14:textId="77777777" w:rsidTr="00840CCD">
        <w:trPr>
          <w:trHeight w:val="422"/>
        </w:trPr>
        <w:tc>
          <w:tcPr>
            <w:tcW w:w="5000" w:type="pct"/>
            <w:gridSpan w:val="3"/>
            <w:shd w:val="clear" w:color="auto" w:fill="D9D9D9" w:themeFill="background1" w:themeFillShade="D9"/>
            <w:vAlign w:val="center"/>
            <w:hideMark/>
          </w:tcPr>
          <w:p w14:paraId="5BC54551" w14:textId="77777777" w:rsidR="005848EA" w:rsidRPr="00531E3C" w:rsidRDefault="005848EA" w:rsidP="00840CCD">
            <w:pPr>
              <w:spacing w:before="0" w:after="0"/>
              <w:jc w:val="center"/>
              <w:rPr>
                <w:rFonts w:asciiTheme="minorHAnsi" w:eastAsia="Times New Roman" w:hAnsiTheme="minorHAnsi" w:cstheme="minorHAnsi"/>
                <w:sz w:val="20"/>
                <w:szCs w:val="20"/>
                <w:lang w:eastAsia="pl-PL"/>
              </w:rPr>
            </w:pPr>
            <w:r w:rsidRPr="00531E3C">
              <w:rPr>
                <w:rFonts w:asciiTheme="minorHAnsi" w:eastAsia="Times New Roman" w:hAnsiTheme="minorHAnsi" w:cstheme="minorHAnsi"/>
                <w:sz w:val="20"/>
                <w:szCs w:val="20"/>
                <w:lang w:eastAsia="pl-PL"/>
              </w:rPr>
              <w:t>Zmiany legislacyjne (zmiana wartości granicznych klas, typologii abiotycznej)</w:t>
            </w:r>
          </w:p>
        </w:tc>
      </w:tr>
      <w:tr w:rsidR="0095160E" w:rsidRPr="00531E3C" w14:paraId="70BAA6F1" w14:textId="77777777" w:rsidTr="001458F5">
        <w:trPr>
          <w:trHeight w:val="340"/>
        </w:trPr>
        <w:tc>
          <w:tcPr>
            <w:tcW w:w="3126" w:type="pct"/>
            <w:noWrap/>
            <w:vAlign w:val="center"/>
            <w:hideMark/>
          </w:tcPr>
          <w:p w14:paraId="598F4A34" w14:textId="282C842E" w:rsidR="0095160E" w:rsidRPr="00531E3C" w:rsidRDefault="00D06F33" w:rsidP="0095160E">
            <w:pPr>
              <w:spacing w:before="0" w:after="0"/>
              <w:jc w:val="left"/>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A</w:t>
            </w:r>
            <w:r w:rsidR="0095160E" w:rsidRPr="00531E3C">
              <w:rPr>
                <w:rFonts w:asciiTheme="minorHAnsi" w:eastAsia="Times New Roman" w:hAnsiTheme="minorHAnsi" w:cstheme="minorHAnsi"/>
                <w:sz w:val="20"/>
                <w:szCs w:val="20"/>
                <w:lang w:eastAsia="pl-PL"/>
              </w:rPr>
              <w:t>nalizowana przyczyna łącznie</w:t>
            </w:r>
          </w:p>
        </w:tc>
        <w:tc>
          <w:tcPr>
            <w:tcW w:w="938" w:type="pct"/>
            <w:noWrap/>
            <w:vAlign w:val="center"/>
            <w:hideMark/>
          </w:tcPr>
          <w:p w14:paraId="691E9F3B" w14:textId="30EE1FA1" w:rsidR="0095160E" w:rsidRPr="00531E3C" w:rsidRDefault="0095160E" w:rsidP="0095160E">
            <w:pPr>
              <w:spacing w:before="0" w:after="0"/>
              <w:jc w:val="center"/>
              <w:rPr>
                <w:rFonts w:asciiTheme="minorHAnsi" w:eastAsia="Times New Roman" w:hAnsiTheme="minorHAnsi" w:cstheme="minorBidi"/>
                <w:sz w:val="20"/>
                <w:szCs w:val="20"/>
                <w:lang w:eastAsia="pl-PL"/>
              </w:rPr>
            </w:pPr>
            <w:r w:rsidRPr="00445D9B">
              <w:rPr>
                <w:sz w:val="20"/>
                <w:szCs w:val="20"/>
              </w:rPr>
              <w:t>21</w:t>
            </w:r>
          </w:p>
        </w:tc>
        <w:tc>
          <w:tcPr>
            <w:tcW w:w="936" w:type="pct"/>
            <w:noWrap/>
            <w:vAlign w:val="center"/>
            <w:hideMark/>
          </w:tcPr>
          <w:p w14:paraId="56CF7B51" w14:textId="4E18CA34"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25,6</w:t>
            </w:r>
          </w:p>
        </w:tc>
      </w:tr>
      <w:tr w:rsidR="0095160E" w:rsidRPr="00531E3C" w14:paraId="6634FD0E" w14:textId="77777777" w:rsidTr="001458F5">
        <w:trPr>
          <w:trHeight w:val="340"/>
        </w:trPr>
        <w:tc>
          <w:tcPr>
            <w:tcW w:w="3126" w:type="pct"/>
            <w:noWrap/>
            <w:vAlign w:val="center"/>
            <w:hideMark/>
          </w:tcPr>
          <w:p w14:paraId="43A3678F" w14:textId="43A4A000" w:rsidR="0095160E" w:rsidRPr="00531E3C" w:rsidRDefault="00D06F33" w:rsidP="0095160E">
            <w:pPr>
              <w:spacing w:before="0" w:after="0"/>
              <w:jc w:val="left"/>
              <w:rPr>
                <w:rFonts w:asciiTheme="minorHAnsi" w:eastAsia="Times New Roman" w:hAnsiTheme="minorHAnsi" w:cstheme="minorBidi"/>
                <w:sz w:val="20"/>
                <w:szCs w:val="20"/>
                <w:lang w:eastAsia="pl-PL"/>
              </w:rPr>
            </w:pPr>
            <w:r>
              <w:rPr>
                <w:rFonts w:asciiTheme="minorHAnsi" w:eastAsia="Times New Roman" w:hAnsiTheme="minorHAnsi" w:cstheme="minorBidi"/>
                <w:sz w:val="20"/>
                <w:szCs w:val="20"/>
                <w:lang w:eastAsia="pl-PL"/>
              </w:rPr>
              <w:t>S</w:t>
            </w:r>
            <w:r w:rsidR="0095160E" w:rsidRPr="3990DFC8">
              <w:rPr>
                <w:rFonts w:asciiTheme="minorHAnsi" w:eastAsia="Times New Roman" w:hAnsiTheme="minorHAnsi" w:cstheme="minorBidi"/>
                <w:sz w:val="20"/>
                <w:szCs w:val="20"/>
                <w:lang w:eastAsia="pl-PL"/>
              </w:rPr>
              <w:t>tan/potencjał poniżej dobrego</w:t>
            </w:r>
            <w:r w:rsidR="0095160E" w:rsidRPr="6F8CE248">
              <w:rPr>
                <w:rFonts w:asciiTheme="minorHAnsi" w:eastAsia="Times New Roman" w:hAnsiTheme="minorHAnsi" w:cstheme="minorBidi"/>
                <w:sz w:val="20"/>
                <w:szCs w:val="20"/>
                <w:lang w:eastAsia="pl-PL"/>
              </w:rPr>
              <w:t xml:space="preserve"> - brak postępu w osiąganiu </w:t>
            </w:r>
            <w:r w:rsidR="0095160E" w:rsidRPr="3990DFC8">
              <w:rPr>
                <w:rFonts w:asciiTheme="minorHAnsi" w:eastAsia="Times New Roman" w:hAnsiTheme="minorHAnsi" w:cstheme="minorBidi"/>
                <w:sz w:val="20"/>
                <w:szCs w:val="20"/>
                <w:lang w:eastAsia="pl-PL"/>
              </w:rPr>
              <w:t xml:space="preserve">dobrego </w:t>
            </w:r>
            <w:r w:rsidR="0095160E" w:rsidRPr="6F8CE248">
              <w:rPr>
                <w:rFonts w:asciiTheme="minorHAnsi" w:eastAsia="Times New Roman" w:hAnsiTheme="minorHAnsi" w:cstheme="minorBidi"/>
                <w:sz w:val="20"/>
                <w:szCs w:val="20"/>
                <w:lang w:eastAsia="pl-PL"/>
              </w:rPr>
              <w:t>stanu</w:t>
            </w:r>
            <w:r w:rsidR="0095160E" w:rsidRPr="3990DFC8">
              <w:rPr>
                <w:rFonts w:asciiTheme="minorHAnsi" w:eastAsia="Times New Roman" w:hAnsiTheme="minorHAnsi" w:cstheme="minorBidi"/>
                <w:sz w:val="20"/>
                <w:szCs w:val="20"/>
                <w:lang w:eastAsia="pl-PL"/>
              </w:rPr>
              <w:t>/potencjału</w:t>
            </w:r>
          </w:p>
        </w:tc>
        <w:tc>
          <w:tcPr>
            <w:tcW w:w="938" w:type="pct"/>
            <w:noWrap/>
            <w:vAlign w:val="center"/>
            <w:hideMark/>
          </w:tcPr>
          <w:p w14:paraId="6EC8A41A" w14:textId="57ACF930"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0</w:t>
            </w:r>
          </w:p>
        </w:tc>
        <w:tc>
          <w:tcPr>
            <w:tcW w:w="936" w:type="pct"/>
            <w:noWrap/>
            <w:vAlign w:val="center"/>
            <w:hideMark/>
          </w:tcPr>
          <w:p w14:paraId="224C5A68" w14:textId="408888B8" w:rsidR="0095160E" w:rsidRPr="00531E3C" w:rsidRDefault="0095160E" w:rsidP="0095160E">
            <w:pPr>
              <w:spacing w:before="0" w:after="0"/>
              <w:jc w:val="center"/>
              <w:rPr>
                <w:rFonts w:asciiTheme="minorHAnsi" w:eastAsia="Times New Roman" w:hAnsiTheme="minorHAnsi" w:cstheme="minorHAnsi"/>
                <w:i/>
                <w:sz w:val="20"/>
                <w:szCs w:val="20"/>
                <w:lang w:eastAsia="pl-PL"/>
              </w:rPr>
            </w:pPr>
            <w:r w:rsidRPr="00445D9B">
              <w:rPr>
                <w:sz w:val="20"/>
                <w:szCs w:val="20"/>
              </w:rPr>
              <w:t>0,0</w:t>
            </w:r>
          </w:p>
        </w:tc>
      </w:tr>
      <w:tr w:rsidR="0095160E" w:rsidRPr="00531E3C" w14:paraId="3B012E70" w14:textId="77777777" w:rsidTr="001458F5">
        <w:trPr>
          <w:trHeight w:val="340"/>
        </w:trPr>
        <w:tc>
          <w:tcPr>
            <w:tcW w:w="3126" w:type="pct"/>
            <w:noWrap/>
            <w:vAlign w:val="center"/>
            <w:hideMark/>
          </w:tcPr>
          <w:p w14:paraId="19DCE18C" w14:textId="5AF15B7D" w:rsidR="0095160E" w:rsidRPr="00531E3C" w:rsidRDefault="00D06F33" w:rsidP="0095160E">
            <w:pPr>
              <w:spacing w:before="0" w:after="0"/>
              <w:jc w:val="left"/>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P</w:t>
            </w:r>
            <w:r w:rsidR="0095160E" w:rsidRPr="00531E3C">
              <w:rPr>
                <w:rFonts w:asciiTheme="minorHAnsi" w:eastAsia="Times New Roman" w:hAnsiTheme="minorHAnsi" w:cstheme="minorHAnsi"/>
                <w:sz w:val="20"/>
                <w:szCs w:val="20"/>
                <w:lang w:eastAsia="pl-PL"/>
              </w:rPr>
              <w:t>ogorszenie do stanu</w:t>
            </w:r>
            <w:r w:rsidR="0095160E">
              <w:rPr>
                <w:rFonts w:asciiTheme="minorHAnsi" w:eastAsia="Times New Roman" w:hAnsiTheme="minorHAnsi" w:cstheme="minorHAnsi"/>
                <w:sz w:val="20"/>
                <w:szCs w:val="20"/>
                <w:lang w:eastAsia="pl-PL"/>
              </w:rPr>
              <w:t>/potencjału poniżej dobrego</w:t>
            </w:r>
          </w:p>
        </w:tc>
        <w:tc>
          <w:tcPr>
            <w:tcW w:w="938" w:type="pct"/>
            <w:noWrap/>
            <w:vAlign w:val="center"/>
            <w:hideMark/>
          </w:tcPr>
          <w:p w14:paraId="49C57B12" w14:textId="67709B24"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21</w:t>
            </w:r>
          </w:p>
        </w:tc>
        <w:tc>
          <w:tcPr>
            <w:tcW w:w="936" w:type="pct"/>
            <w:noWrap/>
            <w:vAlign w:val="center"/>
            <w:hideMark/>
          </w:tcPr>
          <w:p w14:paraId="380F38C2" w14:textId="29DF485E"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25,6</w:t>
            </w:r>
          </w:p>
        </w:tc>
      </w:tr>
      <w:tr w:rsidR="0095160E" w:rsidRPr="00531E3C" w14:paraId="0A040415" w14:textId="77777777" w:rsidTr="001458F5">
        <w:trPr>
          <w:trHeight w:val="340"/>
        </w:trPr>
        <w:tc>
          <w:tcPr>
            <w:tcW w:w="3126" w:type="pct"/>
            <w:noWrap/>
            <w:vAlign w:val="center"/>
            <w:hideMark/>
          </w:tcPr>
          <w:p w14:paraId="375F4EDD" w14:textId="216B87CA" w:rsidR="0095160E" w:rsidRPr="00531E3C" w:rsidRDefault="00D06F33" w:rsidP="0095160E">
            <w:pPr>
              <w:spacing w:before="0" w:after="0"/>
              <w:jc w:val="left"/>
              <w:rPr>
                <w:rFonts w:asciiTheme="minorHAnsi" w:eastAsia="Times New Roman" w:hAnsiTheme="minorHAnsi" w:cstheme="minorBidi"/>
                <w:sz w:val="20"/>
                <w:szCs w:val="20"/>
                <w:lang w:eastAsia="pl-PL"/>
              </w:rPr>
            </w:pPr>
            <w:r>
              <w:rPr>
                <w:rFonts w:asciiTheme="minorHAnsi" w:eastAsia="Times New Roman" w:hAnsiTheme="minorHAnsi" w:cstheme="minorBidi"/>
                <w:sz w:val="20"/>
                <w:szCs w:val="20"/>
                <w:lang w:eastAsia="pl-PL"/>
              </w:rPr>
              <w:t>B</w:t>
            </w:r>
            <w:r w:rsidR="0095160E" w:rsidRPr="4E50A413">
              <w:rPr>
                <w:rFonts w:asciiTheme="minorHAnsi" w:eastAsia="Times New Roman" w:hAnsiTheme="minorHAnsi" w:cstheme="minorBidi"/>
                <w:sz w:val="20"/>
                <w:szCs w:val="20"/>
                <w:lang w:eastAsia="pl-PL"/>
              </w:rPr>
              <w:t>rak postępu - ale poprawa stanu</w:t>
            </w:r>
            <w:r w:rsidR="0095160E">
              <w:rPr>
                <w:rFonts w:asciiTheme="minorHAnsi" w:eastAsia="Times New Roman" w:hAnsiTheme="minorHAnsi" w:cstheme="minorBidi"/>
                <w:sz w:val="20"/>
                <w:szCs w:val="20"/>
                <w:lang w:eastAsia="pl-PL"/>
              </w:rPr>
              <w:t>/potencjału</w:t>
            </w:r>
          </w:p>
        </w:tc>
        <w:tc>
          <w:tcPr>
            <w:tcW w:w="938" w:type="pct"/>
            <w:noWrap/>
            <w:vAlign w:val="center"/>
            <w:hideMark/>
          </w:tcPr>
          <w:p w14:paraId="5E613565" w14:textId="5EA0539F" w:rsidR="0095160E" w:rsidRPr="00531E3C" w:rsidRDefault="0095160E" w:rsidP="0095160E">
            <w:pPr>
              <w:spacing w:before="0" w:after="0"/>
              <w:jc w:val="center"/>
              <w:rPr>
                <w:rFonts w:asciiTheme="minorHAnsi" w:eastAsia="Times New Roman" w:hAnsiTheme="minorHAnsi" w:cstheme="minorBidi"/>
                <w:sz w:val="20"/>
                <w:szCs w:val="20"/>
                <w:lang w:eastAsia="pl-PL"/>
              </w:rPr>
            </w:pPr>
            <w:r w:rsidRPr="00445D9B">
              <w:rPr>
                <w:sz w:val="20"/>
                <w:szCs w:val="20"/>
              </w:rPr>
              <w:t>0</w:t>
            </w:r>
          </w:p>
        </w:tc>
        <w:tc>
          <w:tcPr>
            <w:tcW w:w="936" w:type="pct"/>
            <w:noWrap/>
            <w:vAlign w:val="center"/>
            <w:hideMark/>
          </w:tcPr>
          <w:p w14:paraId="524A5DF9" w14:textId="034C3B95"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0,0</w:t>
            </w:r>
          </w:p>
        </w:tc>
      </w:tr>
      <w:tr w:rsidR="0095160E" w:rsidRPr="00531E3C" w14:paraId="1CDE570F" w14:textId="77777777" w:rsidTr="00840CCD">
        <w:trPr>
          <w:trHeight w:val="552"/>
        </w:trPr>
        <w:tc>
          <w:tcPr>
            <w:tcW w:w="5000" w:type="pct"/>
            <w:gridSpan w:val="3"/>
            <w:shd w:val="clear" w:color="auto" w:fill="D9D9D9" w:themeFill="background1" w:themeFillShade="D9"/>
            <w:vAlign w:val="center"/>
            <w:hideMark/>
          </w:tcPr>
          <w:p w14:paraId="571D5F50" w14:textId="5667E53E" w:rsidR="0095160E" w:rsidRPr="0095160E" w:rsidRDefault="0095160E" w:rsidP="0095160E">
            <w:pPr>
              <w:spacing w:before="0" w:after="0"/>
              <w:jc w:val="center"/>
              <w:rPr>
                <w:rFonts w:asciiTheme="minorHAnsi" w:eastAsia="Times New Roman" w:hAnsiTheme="minorHAnsi" w:cstheme="minorBidi"/>
                <w:sz w:val="20"/>
                <w:szCs w:val="20"/>
                <w:lang w:eastAsia="pl-PL"/>
              </w:rPr>
            </w:pPr>
            <w:r w:rsidRPr="3AF12799">
              <w:rPr>
                <w:rFonts w:asciiTheme="minorHAnsi" w:eastAsia="Times New Roman" w:hAnsiTheme="minorHAnsi" w:cstheme="minorBidi"/>
                <w:sz w:val="20"/>
                <w:szCs w:val="20"/>
                <w:lang w:eastAsia="pl-PL"/>
              </w:rPr>
              <w:t>Dalsze wyst</w:t>
            </w:r>
            <w:r>
              <w:rPr>
                <w:rFonts w:asciiTheme="minorHAnsi" w:eastAsia="Times New Roman" w:hAnsiTheme="minorHAnsi" w:cstheme="minorBidi"/>
                <w:sz w:val="20"/>
                <w:szCs w:val="20"/>
                <w:lang w:eastAsia="pl-PL"/>
              </w:rPr>
              <w:t>ępowanie</w:t>
            </w:r>
            <w:r w:rsidRPr="3AF12799">
              <w:rPr>
                <w:rFonts w:asciiTheme="minorHAnsi" w:eastAsia="Times New Roman" w:hAnsiTheme="minorHAnsi" w:cstheme="minorBidi"/>
                <w:sz w:val="20"/>
                <w:szCs w:val="20"/>
                <w:lang w:eastAsia="pl-PL"/>
              </w:rPr>
              <w:t xml:space="preserve"> presji</w:t>
            </w:r>
            <w:r>
              <w:rPr>
                <w:rFonts w:asciiTheme="minorHAnsi" w:eastAsia="Times New Roman" w:hAnsiTheme="minorHAnsi" w:cstheme="minorBidi"/>
                <w:sz w:val="20"/>
                <w:szCs w:val="20"/>
                <w:lang w:eastAsia="pl-PL"/>
              </w:rPr>
              <w:t xml:space="preserve"> </w:t>
            </w:r>
            <w:r>
              <w:rPr>
                <w:rFonts w:cs="Calibri"/>
                <w:sz w:val="20"/>
                <w:szCs w:val="20"/>
              </w:rPr>
              <w:t>(niski stopień realizacji działań lub skuteczności działań)</w:t>
            </w:r>
          </w:p>
        </w:tc>
      </w:tr>
      <w:tr w:rsidR="0095160E" w:rsidRPr="00531E3C" w14:paraId="0487AD45" w14:textId="77777777" w:rsidTr="001458F5">
        <w:trPr>
          <w:trHeight w:val="340"/>
        </w:trPr>
        <w:tc>
          <w:tcPr>
            <w:tcW w:w="3126" w:type="pct"/>
            <w:noWrap/>
            <w:hideMark/>
          </w:tcPr>
          <w:p w14:paraId="18BE8982" w14:textId="33C8DF8F" w:rsidR="0095160E" w:rsidRPr="00531E3C" w:rsidRDefault="00D06F33" w:rsidP="0095160E">
            <w:pPr>
              <w:spacing w:before="0" w:after="0"/>
              <w:jc w:val="left"/>
              <w:rPr>
                <w:rFonts w:asciiTheme="minorHAnsi" w:eastAsia="Times New Roman" w:hAnsiTheme="minorHAnsi" w:cstheme="minorHAnsi"/>
                <w:sz w:val="20"/>
                <w:szCs w:val="20"/>
                <w:lang w:eastAsia="pl-PL"/>
              </w:rPr>
            </w:pPr>
            <w:r>
              <w:rPr>
                <w:sz w:val="20"/>
                <w:szCs w:val="20"/>
              </w:rPr>
              <w:t>A</w:t>
            </w:r>
            <w:r w:rsidR="0095160E" w:rsidRPr="00445D9B">
              <w:rPr>
                <w:sz w:val="20"/>
                <w:szCs w:val="20"/>
              </w:rPr>
              <w:t>nalizowana przyczyna łącznie</w:t>
            </w:r>
          </w:p>
        </w:tc>
        <w:tc>
          <w:tcPr>
            <w:tcW w:w="938" w:type="pct"/>
            <w:noWrap/>
            <w:vAlign w:val="center"/>
            <w:hideMark/>
          </w:tcPr>
          <w:p w14:paraId="60ADF666" w14:textId="5D45DE78" w:rsidR="0095160E" w:rsidRPr="00531E3C" w:rsidRDefault="0095160E" w:rsidP="0095160E">
            <w:pPr>
              <w:spacing w:before="0" w:after="0"/>
              <w:jc w:val="center"/>
              <w:rPr>
                <w:rFonts w:asciiTheme="minorHAnsi" w:eastAsia="Times New Roman" w:hAnsiTheme="minorHAnsi" w:cstheme="minorBidi"/>
                <w:sz w:val="20"/>
                <w:szCs w:val="20"/>
                <w:lang w:eastAsia="pl-PL"/>
              </w:rPr>
            </w:pPr>
            <w:r w:rsidRPr="00445D9B">
              <w:rPr>
                <w:sz w:val="20"/>
                <w:szCs w:val="20"/>
              </w:rPr>
              <w:t>36</w:t>
            </w:r>
          </w:p>
        </w:tc>
        <w:tc>
          <w:tcPr>
            <w:tcW w:w="936" w:type="pct"/>
            <w:vAlign w:val="center"/>
            <w:hideMark/>
          </w:tcPr>
          <w:p w14:paraId="0CD28D69" w14:textId="7F2E1AC6"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43,9</w:t>
            </w:r>
          </w:p>
        </w:tc>
      </w:tr>
      <w:tr w:rsidR="0095160E" w:rsidRPr="00531E3C" w14:paraId="4E411A62" w14:textId="77777777" w:rsidTr="001458F5">
        <w:trPr>
          <w:trHeight w:val="340"/>
        </w:trPr>
        <w:tc>
          <w:tcPr>
            <w:tcW w:w="3126" w:type="pct"/>
            <w:noWrap/>
            <w:hideMark/>
          </w:tcPr>
          <w:p w14:paraId="640EE56A" w14:textId="6440B084" w:rsidR="0095160E" w:rsidRPr="00531E3C" w:rsidRDefault="00D06F33" w:rsidP="0095160E">
            <w:pPr>
              <w:spacing w:before="0" w:after="0"/>
              <w:jc w:val="left"/>
              <w:rPr>
                <w:rFonts w:asciiTheme="minorHAnsi" w:eastAsia="Times New Roman" w:hAnsiTheme="minorHAnsi" w:cstheme="minorBidi"/>
                <w:sz w:val="20"/>
                <w:szCs w:val="20"/>
                <w:lang w:eastAsia="pl-PL"/>
              </w:rPr>
            </w:pPr>
            <w:r>
              <w:rPr>
                <w:sz w:val="20"/>
                <w:szCs w:val="20"/>
              </w:rPr>
              <w:t>S</w:t>
            </w:r>
            <w:r w:rsidR="0095160E" w:rsidRPr="00445D9B">
              <w:rPr>
                <w:sz w:val="20"/>
                <w:szCs w:val="20"/>
              </w:rPr>
              <w:t>tan/potencjał poniżej dobrego - brak postępu w osiąganiu dobrego stanu/potencjału</w:t>
            </w:r>
          </w:p>
        </w:tc>
        <w:tc>
          <w:tcPr>
            <w:tcW w:w="938" w:type="pct"/>
            <w:noWrap/>
            <w:vAlign w:val="center"/>
            <w:hideMark/>
          </w:tcPr>
          <w:p w14:paraId="2A83F9F0" w14:textId="088506AC"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15</w:t>
            </w:r>
          </w:p>
        </w:tc>
        <w:tc>
          <w:tcPr>
            <w:tcW w:w="936" w:type="pct"/>
            <w:vAlign w:val="center"/>
            <w:hideMark/>
          </w:tcPr>
          <w:p w14:paraId="24182B47" w14:textId="1020A19A"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18,3</w:t>
            </w:r>
          </w:p>
        </w:tc>
      </w:tr>
      <w:tr w:rsidR="0095160E" w:rsidRPr="00531E3C" w14:paraId="0468A00A" w14:textId="77777777" w:rsidTr="001458F5">
        <w:trPr>
          <w:trHeight w:val="340"/>
        </w:trPr>
        <w:tc>
          <w:tcPr>
            <w:tcW w:w="3126" w:type="pct"/>
            <w:noWrap/>
            <w:hideMark/>
          </w:tcPr>
          <w:p w14:paraId="329E0868" w14:textId="1BD02EEE" w:rsidR="0095160E" w:rsidRPr="00531E3C" w:rsidRDefault="00D06F33" w:rsidP="0095160E">
            <w:pPr>
              <w:spacing w:before="0" w:after="0"/>
              <w:jc w:val="left"/>
              <w:rPr>
                <w:sz w:val="20"/>
                <w:szCs w:val="20"/>
                <w:lang w:eastAsia="pl-PL"/>
              </w:rPr>
            </w:pPr>
            <w:r>
              <w:rPr>
                <w:sz w:val="20"/>
                <w:szCs w:val="20"/>
              </w:rPr>
              <w:t>P</w:t>
            </w:r>
            <w:r w:rsidR="0095160E" w:rsidRPr="00445D9B">
              <w:rPr>
                <w:sz w:val="20"/>
                <w:szCs w:val="20"/>
              </w:rPr>
              <w:t>ogorszenie do stanu/potencjału poniżej dobrego</w:t>
            </w:r>
          </w:p>
        </w:tc>
        <w:tc>
          <w:tcPr>
            <w:tcW w:w="938" w:type="pct"/>
            <w:noWrap/>
            <w:vAlign w:val="center"/>
            <w:hideMark/>
          </w:tcPr>
          <w:p w14:paraId="73B53959" w14:textId="1B68D145"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21</w:t>
            </w:r>
          </w:p>
        </w:tc>
        <w:tc>
          <w:tcPr>
            <w:tcW w:w="936" w:type="pct"/>
            <w:vAlign w:val="center"/>
            <w:hideMark/>
          </w:tcPr>
          <w:p w14:paraId="0A65F4AF" w14:textId="366CCBF6" w:rsidR="0095160E" w:rsidRPr="00531E3C" w:rsidRDefault="0095160E" w:rsidP="0095160E">
            <w:pPr>
              <w:spacing w:before="0" w:after="0"/>
              <w:jc w:val="center"/>
              <w:rPr>
                <w:rFonts w:asciiTheme="minorHAnsi" w:eastAsia="Times New Roman" w:hAnsiTheme="minorHAnsi" w:cstheme="minorBidi"/>
                <w:i/>
                <w:sz w:val="20"/>
                <w:szCs w:val="20"/>
                <w:lang w:eastAsia="pl-PL"/>
              </w:rPr>
            </w:pPr>
            <w:r w:rsidRPr="00445D9B">
              <w:rPr>
                <w:sz w:val="20"/>
                <w:szCs w:val="20"/>
              </w:rPr>
              <w:t>25,6</w:t>
            </w:r>
          </w:p>
        </w:tc>
      </w:tr>
      <w:tr w:rsidR="0095160E" w:rsidRPr="00531E3C" w14:paraId="59D7371C" w14:textId="77777777" w:rsidTr="001458F5">
        <w:trPr>
          <w:trHeight w:val="340"/>
        </w:trPr>
        <w:tc>
          <w:tcPr>
            <w:tcW w:w="3126" w:type="pct"/>
            <w:noWrap/>
            <w:hideMark/>
          </w:tcPr>
          <w:p w14:paraId="3CD05788" w14:textId="0747C9D7" w:rsidR="0095160E" w:rsidRPr="00531E3C" w:rsidRDefault="00D06F33" w:rsidP="0095160E">
            <w:pPr>
              <w:spacing w:before="0" w:after="0"/>
              <w:jc w:val="left"/>
              <w:rPr>
                <w:rFonts w:asciiTheme="minorHAnsi" w:eastAsia="Times New Roman" w:hAnsiTheme="minorHAnsi" w:cstheme="minorBidi"/>
                <w:sz w:val="20"/>
                <w:szCs w:val="20"/>
                <w:lang w:eastAsia="pl-PL"/>
              </w:rPr>
            </w:pPr>
            <w:r>
              <w:rPr>
                <w:sz w:val="20"/>
                <w:szCs w:val="20"/>
              </w:rPr>
              <w:t>B</w:t>
            </w:r>
            <w:r w:rsidR="0095160E" w:rsidRPr="00445D9B">
              <w:rPr>
                <w:sz w:val="20"/>
                <w:szCs w:val="20"/>
              </w:rPr>
              <w:t>rak postępu - ale poprawa stanu/potencjału</w:t>
            </w:r>
          </w:p>
        </w:tc>
        <w:tc>
          <w:tcPr>
            <w:tcW w:w="938" w:type="pct"/>
            <w:noWrap/>
            <w:vAlign w:val="center"/>
            <w:hideMark/>
          </w:tcPr>
          <w:p w14:paraId="1FBAC337" w14:textId="20781159" w:rsidR="0095160E" w:rsidRPr="00531E3C" w:rsidRDefault="0095160E" w:rsidP="0095160E">
            <w:pPr>
              <w:spacing w:before="0" w:after="0"/>
              <w:jc w:val="center"/>
              <w:rPr>
                <w:rFonts w:asciiTheme="minorHAnsi" w:eastAsia="Times New Roman" w:hAnsiTheme="minorHAnsi" w:cstheme="minorBidi"/>
                <w:sz w:val="20"/>
                <w:szCs w:val="20"/>
                <w:lang w:eastAsia="pl-PL"/>
              </w:rPr>
            </w:pPr>
            <w:r w:rsidRPr="00445D9B">
              <w:rPr>
                <w:sz w:val="20"/>
                <w:szCs w:val="20"/>
              </w:rPr>
              <w:t>0</w:t>
            </w:r>
          </w:p>
        </w:tc>
        <w:tc>
          <w:tcPr>
            <w:tcW w:w="936" w:type="pct"/>
            <w:vAlign w:val="center"/>
            <w:hideMark/>
          </w:tcPr>
          <w:p w14:paraId="5ADFE168" w14:textId="23E32833" w:rsidR="0095160E" w:rsidRPr="00531E3C" w:rsidRDefault="0095160E" w:rsidP="0095160E">
            <w:pPr>
              <w:spacing w:before="0" w:after="0"/>
              <w:jc w:val="center"/>
              <w:rPr>
                <w:rFonts w:asciiTheme="minorHAnsi" w:eastAsia="Times New Roman" w:hAnsiTheme="minorHAnsi" w:cstheme="minorBidi"/>
                <w:i/>
                <w:iCs/>
                <w:sz w:val="20"/>
                <w:szCs w:val="20"/>
                <w:lang w:eastAsia="pl-PL"/>
              </w:rPr>
            </w:pPr>
            <w:r w:rsidRPr="00445D9B">
              <w:rPr>
                <w:sz w:val="20"/>
                <w:szCs w:val="20"/>
              </w:rPr>
              <w:t>0,0</w:t>
            </w:r>
          </w:p>
        </w:tc>
      </w:tr>
      <w:tr w:rsidR="005848EA" w:rsidRPr="00531E3C" w14:paraId="6FDAE167" w14:textId="77777777" w:rsidTr="00840CCD">
        <w:trPr>
          <w:trHeight w:val="790"/>
        </w:trPr>
        <w:tc>
          <w:tcPr>
            <w:tcW w:w="5000" w:type="pct"/>
            <w:gridSpan w:val="3"/>
            <w:shd w:val="clear" w:color="auto" w:fill="D9D9D9" w:themeFill="background1" w:themeFillShade="D9"/>
            <w:vAlign w:val="center"/>
            <w:hideMark/>
          </w:tcPr>
          <w:p w14:paraId="306A0F54" w14:textId="77777777" w:rsidR="005848EA" w:rsidRPr="00531E3C" w:rsidRDefault="005848EA" w:rsidP="00840CCD">
            <w:pPr>
              <w:spacing w:before="0" w:after="0"/>
              <w:jc w:val="center"/>
              <w:rPr>
                <w:rFonts w:asciiTheme="minorHAnsi" w:eastAsia="Times New Roman" w:hAnsiTheme="minorHAnsi" w:cstheme="minorBidi"/>
                <w:sz w:val="20"/>
                <w:szCs w:val="20"/>
                <w:lang w:eastAsia="pl-PL"/>
              </w:rPr>
            </w:pPr>
            <w:r w:rsidRPr="33096EE4">
              <w:rPr>
                <w:rFonts w:asciiTheme="minorHAnsi" w:eastAsia="Times New Roman" w:hAnsiTheme="minorHAnsi" w:cstheme="minorBidi"/>
                <w:sz w:val="20"/>
                <w:szCs w:val="20"/>
                <w:lang w:eastAsia="pl-PL"/>
              </w:rPr>
              <w:t xml:space="preserve">Uwarunkowania zlewni (dopływ zanieczyszczeń z innego jcwp, niski potencjał sorpcyjny jcwp, zanik przepływu </w:t>
            </w:r>
            <w:r>
              <w:rPr>
                <w:rFonts w:asciiTheme="minorHAnsi" w:eastAsia="Times New Roman" w:hAnsiTheme="minorHAnsi" w:cstheme="minorBidi"/>
                <w:sz w:val="20"/>
                <w:szCs w:val="20"/>
                <w:lang w:eastAsia="pl-PL"/>
              </w:rPr>
              <w:t xml:space="preserve">wody w korycie </w:t>
            </w:r>
            <w:r w:rsidRPr="33096EE4">
              <w:rPr>
                <w:rFonts w:asciiTheme="minorHAnsi" w:eastAsia="Times New Roman" w:hAnsiTheme="minorHAnsi" w:cstheme="minorBidi"/>
                <w:sz w:val="20"/>
                <w:szCs w:val="20"/>
                <w:lang w:eastAsia="pl-PL"/>
              </w:rPr>
              <w:t>lub zagrożenie suszą)</w:t>
            </w:r>
          </w:p>
        </w:tc>
      </w:tr>
      <w:tr w:rsidR="0095160E" w:rsidRPr="00531E3C" w14:paraId="780BA98B" w14:textId="77777777" w:rsidTr="001458F5">
        <w:trPr>
          <w:trHeight w:val="340"/>
        </w:trPr>
        <w:tc>
          <w:tcPr>
            <w:tcW w:w="3126" w:type="pct"/>
            <w:noWrap/>
            <w:hideMark/>
          </w:tcPr>
          <w:p w14:paraId="3B062F18" w14:textId="556E3AE6" w:rsidR="0095160E" w:rsidRPr="00531E3C" w:rsidRDefault="00D06F33" w:rsidP="0095160E">
            <w:pPr>
              <w:spacing w:before="0" w:after="0"/>
              <w:jc w:val="left"/>
              <w:rPr>
                <w:rFonts w:asciiTheme="minorHAnsi" w:eastAsia="Times New Roman" w:hAnsiTheme="minorHAnsi" w:cstheme="minorHAnsi"/>
                <w:sz w:val="20"/>
                <w:szCs w:val="20"/>
                <w:lang w:eastAsia="pl-PL"/>
              </w:rPr>
            </w:pPr>
            <w:r>
              <w:rPr>
                <w:sz w:val="20"/>
                <w:szCs w:val="20"/>
              </w:rPr>
              <w:t>A</w:t>
            </w:r>
            <w:r w:rsidR="0095160E" w:rsidRPr="00445D9B">
              <w:rPr>
                <w:sz w:val="20"/>
                <w:szCs w:val="20"/>
              </w:rPr>
              <w:t>nalizowana przyczyna łącznie</w:t>
            </w:r>
          </w:p>
        </w:tc>
        <w:tc>
          <w:tcPr>
            <w:tcW w:w="938" w:type="pct"/>
            <w:noWrap/>
            <w:vAlign w:val="center"/>
            <w:hideMark/>
          </w:tcPr>
          <w:p w14:paraId="77497D2A" w14:textId="234BE2AC"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31</w:t>
            </w:r>
          </w:p>
        </w:tc>
        <w:tc>
          <w:tcPr>
            <w:tcW w:w="936" w:type="pct"/>
            <w:vAlign w:val="center"/>
            <w:hideMark/>
          </w:tcPr>
          <w:p w14:paraId="59539F1B" w14:textId="0992CA67" w:rsidR="0095160E" w:rsidRPr="00531E3C" w:rsidRDefault="0095160E" w:rsidP="0095160E">
            <w:pPr>
              <w:spacing w:before="0" w:after="0"/>
              <w:jc w:val="center"/>
              <w:rPr>
                <w:rFonts w:asciiTheme="minorHAnsi" w:eastAsia="Times New Roman" w:hAnsiTheme="minorHAnsi" w:cstheme="minorBidi"/>
                <w:i/>
                <w:iCs/>
                <w:sz w:val="20"/>
                <w:szCs w:val="20"/>
                <w:lang w:eastAsia="pl-PL"/>
              </w:rPr>
            </w:pPr>
            <w:r w:rsidRPr="00445D9B">
              <w:rPr>
                <w:sz w:val="20"/>
                <w:szCs w:val="20"/>
              </w:rPr>
              <w:t>37,8</w:t>
            </w:r>
          </w:p>
        </w:tc>
      </w:tr>
      <w:tr w:rsidR="0095160E" w:rsidRPr="00531E3C" w14:paraId="768D9460" w14:textId="77777777" w:rsidTr="001458F5">
        <w:trPr>
          <w:trHeight w:val="340"/>
        </w:trPr>
        <w:tc>
          <w:tcPr>
            <w:tcW w:w="3126" w:type="pct"/>
            <w:noWrap/>
            <w:hideMark/>
          </w:tcPr>
          <w:p w14:paraId="7274386C" w14:textId="3F6480B0" w:rsidR="0095160E" w:rsidRPr="00531E3C" w:rsidRDefault="00D06F33" w:rsidP="0095160E">
            <w:pPr>
              <w:spacing w:before="0" w:after="0"/>
              <w:jc w:val="left"/>
              <w:rPr>
                <w:sz w:val="20"/>
                <w:szCs w:val="20"/>
                <w:lang w:eastAsia="pl-PL"/>
              </w:rPr>
            </w:pPr>
            <w:r>
              <w:rPr>
                <w:sz w:val="20"/>
                <w:szCs w:val="20"/>
              </w:rPr>
              <w:t>S</w:t>
            </w:r>
            <w:r w:rsidR="0095160E" w:rsidRPr="00445D9B">
              <w:rPr>
                <w:sz w:val="20"/>
                <w:szCs w:val="20"/>
              </w:rPr>
              <w:t>tan/potencjał poniżej dobrego - brak postępu w osiąganiu dobrego stanu/potencjału</w:t>
            </w:r>
          </w:p>
        </w:tc>
        <w:tc>
          <w:tcPr>
            <w:tcW w:w="938" w:type="pct"/>
            <w:noWrap/>
            <w:vAlign w:val="center"/>
            <w:hideMark/>
          </w:tcPr>
          <w:p w14:paraId="6FA57C0C" w14:textId="14BC1D54"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12</w:t>
            </w:r>
          </w:p>
        </w:tc>
        <w:tc>
          <w:tcPr>
            <w:tcW w:w="936" w:type="pct"/>
            <w:vAlign w:val="center"/>
            <w:hideMark/>
          </w:tcPr>
          <w:p w14:paraId="3A94B918" w14:textId="03A705AB" w:rsidR="0095160E" w:rsidRPr="00531E3C" w:rsidRDefault="0095160E" w:rsidP="0095160E">
            <w:pPr>
              <w:spacing w:before="0" w:after="0"/>
              <w:jc w:val="center"/>
              <w:rPr>
                <w:rFonts w:asciiTheme="minorHAnsi" w:eastAsia="Times New Roman" w:hAnsiTheme="minorHAnsi" w:cstheme="minorBidi"/>
                <w:i/>
                <w:iCs/>
                <w:sz w:val="20"/>
                <w:szCs w:val="20"/>
                <w:lang w:eastAsia="pl-PL"/>
              </w:rPr>
            </w:pPr>
            <w:r w:rsidRPr="00445D9B">
              <w:rPr>
                <w:sz w:val="20"/>
                <w:szCs w:val="20"/>
              </w:rPr>
              <w:t>14,6</w:t>
            </w:r>
          </w:p>
        </w:tc>
      </w:tr>
      <w:tr w:rsidR="0095160E" w:rsidRPr="00531E3C" w14:paraId="457A18C3" w14:textId="77777777" w:rsidTr="001458F5">
        <w:trPr>
          <w:trHeight w:val="340"/>
        </w:trPr>
        <w:tc>
          <w:tcPr>
            <w:tcW w:w="3126" w:type="pct"/>
            <w:noWrap/>
            <w:hideMark/>
          </w:tcPr>
          <w:p w14:paraId="30820BBB" w14:textId="40A282F3" w:rsidR="0095160E" w:rsidRPr="00531E3C" w:rsidRDefault="00D06F33" w:rsidP="0095160E">
            <w:pPr>
              <w:spacing w:before="0" w:after="0"/>
              <w:jc w:val="left"/>
              <w:rPr>
                <w:rFonts w:asciiTheme="minorHAnsi" w:eastAsia="Times New Roman" w:hAnsiTheme="minorHAnsi" w:cstheme="minorHAnsi"/>
                <w:sz w:val="20"/>
                <w:szCs w:val="20"/>
                <w:lang w:eastAsia="pl-PL"/>
              </w:rPr>
            </w:pPr>
            <w:r>
              <w:rPr>
                <w:sz w:val="20"/>
                <w:szCs w:val="20"/>
              </w:rPr>
              <w:t>P</w:t>
            </w:r>
            <w:r w:rsidR="0095160E" w:rsidRPr="00445D9B">
              <w:rPr>
                <w:sz w:val="20"/>
                <w:szCs w:val="20"/>
              </w:rPr>
              <w:t>ogorszenie do stanu/potencjału poniżej dobrego</w:t>
            </w:r>
          </w:p>
        </w:tc>
        <w:tc>
          <w:tcPr>
            <w:tcW w:w="938" w:type="pct"/>
            <w:noWrap/>
            <w:vAlign w:val="center"/>
            <w:hideMark/>
          </w:tcPr>
          <w:p w14:paraId="0808CB4C" w14:textId="73EC2E75"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19</w:t>
            </w:r>
          </w:p>
        </w:tc>
        <w:tc>
          <w:tcPr>
            <w:tcW w:w="936" w:type="pct"/>
            <w:vAlign w:val="center"/>
            <w:hideMark/>
          </w:tcPr>
          <w:p w14:paraId="546BC53A" w14:textId="2FBECF8E" w:rsidR="0095160E" w:rsidRPr="00531E3C" w:rsidRDefault="0095160E" w:rsidP="0095160E">
            <w:pPr>
              <w:spacing w:before="0" w:after="0"/>
              <w:jc w:val="center"/>
              <w:rPr>
                <w:rFonts w:asciiTheme="minorHAnsi" w:eastAsia="Times New Roman" w:hAnsiTheme="minorHAnsi" w:cstheme="minorBidi"/>
                <w:i/>
                <w:iCs/>
                <w:sz w:val="20"/>
                <w:szCs w:val="20"/>
                <w:lang w:eastAsia="pl-PL"/>
              </w:rPr>
            </w:pPr>
            <w:r w:rsidRPr="00445D9B">
              <w:rPr>
                <w:sz w:val="20"/>
                <w:szCs w:val="20"/>
              </w:rPr>
              <w:t>23,2</w:t>
            </w:r>
          </w:p>
        </w:tc>
      </w:tr>
      <w:tr w:rsidR="0095160E" w:rsidRPr="00531E3C" w14:paraId="2D7F614B" w14:textId="77777777" w:rsidTr="001458F5">
        <w:trPr>
          <w:trHeight w:val="340"/>
        </w:trPr>
        <w:tc>
          <w:tcPr>
            <w:tcW w:w="3126" w:type="pct"/>
            <w:noWrap/>
            <w:hideMark/>
          </w:tcPr>
          <w:p w14:paraId="7814D0BF" w14:textId="0461ADE9" w:rsidR="0095160E" w:rsidRPr="00531E3C" w:rsidRDefault="00D06F33" w:rsidP="0095160E">
            <w:pPr>
              <w:spacing w:before="0" w:after="0"/>
              <w:jc w:val="left"/>
              <w:rPr>
                <w:rFonts w:asciiTheme="minorHAnsi" w:eastAsia="Times New Roman" w:hAnsiTheme="minorHAnsi" w:cstheme="minorBidi"/>
                <w:sz w:val="20"/>
                <w:szCs w:val="20"/>
                <w:lang w:eastAsia="pl-PL"/>
              </w:rPr>
            </w:pPr>
            <w:r>
              <w:rPr>
                <w:sz w:val="20"/>
                <w:szCs w:val="20"/>
              </w:rPr>
              <w:t>B</w:t>
            </w:r>
            <w:r w:rsidR="0095160E" w:rsidRPr="00445D9B">
              <w:rPr>
                <w:sz w:val="20"/>
                <w:szCs w:val="20"/>
              </w:rPr>
              <w:t>rak postępu - ale poprawa stanu/potencjału</w:t>
            </w:r>
          </w:p>
        </w:tc>
        <w:tc>
          <w:tcPr>
            <w:tcW w:w="938" w:type="pct"/>
            <w:noWrap/>
            <w:vAlign w:val="center"/>
            <w:hideMark/>
          </w:tcPr>
          <w:p w14:paraId="51991C68" w14:textId="4ED02957" w:rsidR="0095160E" w:rsidRPr="00531E3C" w:rsidRDefault="0095160E" w:rsidP="0095160E">
            <w:pPr>
              <w:spacing w:before="0" w:after="0"/>
              <w:jc w:val="center"/>
              <w:rPr>
                <w:rFonts w:asciiTheme="minorHAnsi" w:eastAsia="Times New Roman" w:hAnsiTheme="minorHAnsi" w:cstheme="minorHAnsi"/>
                <w:sz w:val="20"/>
                <w:szCs w:val="20"/>
                <w:lang w:eastAsia="pl-PL"/>
              </w:rPr>
            </w:pPr>
            <w:r w:rsidRPr="00445D9B">
              <w:rPr>
                <w:sz w:val="20"/>
                <w:szCs w:val="20"/>
              </w:rPr>
              <w:t>0</w:t>
            </w:r>
          </w:p>
        </w:tc>
        <w:tc>
          <w:tcPr>
            <w:tcW w:w="936" w:type="pct"/>
            <w:vAlign w:val="center"/>
            <w:hideMark/>
          </w:tcPr>
          <w:p w14:paraId="79E3A6B5" w14:textId="752B49B5" w:rsidR="0095160E" w:rsidRPr="00531E3C" w:rsidRDefault="0095160E" w:rsidP="0095160E">
            <w:pPr>
              <w:spacing w:before="0" w:after="0"/>
              <w:jc w:val="center"/>
              <w:rPr>
                <w:rFonts w:asciiTheme="minorHAnsi" w:eastAsia="Times New Roman" w:hAnsiTheme="minorHAnsi" w:cstheme="minorBidi"/>
                <w:i/>
                <w:iCs/>
                <w:sz w:val="20"/>
                <w:szCs w:val="20"/>
                <w:lang w:eastAsia="pl-PL"/>
              </w:rPr>
            </w:pPr>
            <w:r w:rsidRPr="00445D9B">
              <w:rPr>
                <w:sz w:val="20"/>
                <w:szCs w:val="20"/>
              </w:rPr>
              <w:t>0,0</w:t>
            </w:r>
          </w:p>
        </w:tc>
      </w:tr>
    </w:tbl>
    <w:p w14:paraId="0AC457AF" w14:textId="0A92249B" w:rsidR="005848EA" w:rsidRDefault="005848EA" w:rsidP="005848EA">
      <w:pPr>
        <w:pStyle w:val="rdo0"/>
        <w:rPr>
          <w:rFonts w:cstheme="minorBidi"/>
          <w:i w:val="0"/>
          <w:color w:val="000099"/>
        </w:rPr>
      </w:pPr>
      <w:r w:rsidRPr="4E31EDD4">
        <w:t xml:space="preserve">Źródło: </w:t>
      </w:r>
      <w:r w:rsidR="00445D9B">
        <w:t xml:space="preserve">opracowanie </w:t>
      </w:r>
      <w:r w:rsidR="00130D05">
        <w:t>własne</w:t>
      </w:r>
      <w:r w:rsidRPr="4E31EDD4">
        <w:rPr>
          <w:rFonts w:cstheme="minorBidi"/>
          <w:color w:val="000099"/>
        </w:rPr>
        <w:t xml:space="preserve"> na podstawie danych GIOŚ i opracowania Ustalenie celów </w:t>
      </w:r>
      <w:r w:rsidRPr="5BDCF7C9">
        <w:rPr>
          <w:rFonts w:cstheme="minorBidi"/>
          <w:color w:val="000099"/>
        </w:rPr>
        <w:t>środowiskowych</w:t>
      </w:r>
    </w:p>
    <w:p w14:paraId="29649B75" w14:textId="77777777" w:rsidR="005848EA" w:rsidRPr="00531E3C" w:rsidRDefault="005848EA" w:rsidP="00B50FFD">
      <w:pPr>
        <w:pStyle w:val="Nagwek3"/>
        <w:rPr>
          <w:bCs/>
        </w:rPr>
      </w:pPr>
      <w:bookmarkStart w:id="250" w:name="_Toc68726870"/>
      <w:r w:rsidRPr="0049589B">
        <w:t xml:space="preserve">Ocena postępu w osiąganiu celów środowiskowych dla </w:t>
      </w:r>
      <w:r>
        <w:t>stanu chemicznego</w:t>
      </w:r>
      <w:r w:rsidRPr="00531E3C">
        <w:t xml:space="preserve"> jcwp RW w okresie od 2016-2021 r. wraz z wyjaśnieniem przyczyn nieosiągnięcia celów środowiskowych</w:t>
      </w:r>
      <w:bookmarkEnd w:id="250"/>
      <w:r w:rsidRPr="00531E3C">
        <w:t xml:space="preserve"> </w:t>
      </w:r>
    </w:p>
    <w:p w14:paraId="13ACAAE7" w14:textId="6D536997" w:rsidR="005848EA" w:rsidRPr="00D06F33" w:rsidRDefault="005848EA" w:rsidP="00AA0CAB">
      <w:pPr>
        <w:pStyle w:val="Nagwek5"/>
        <w:rPr>
          <w:rStyle w:val="Pogrubienie"/>
          <w:rFonts w:ascii="Calibri" w:hAnsi="Calibri"/>
          <w:b/>
        </w:rPr>
      </w:pPr>
      <w:r w:rsidRPr="00D06F33">
        <w:rPr>
          <w:rStyle w:val="Pogrubienie"/>
          <w:rFonts w:ascii="Calibri" w:hAnsi="Calibri"/>
          <w:b/>
        </w:rPr>
        <w:t>Ocena postępu w osiąganiu celów środowiskowych dla stanu chemicznego jcwp RW (układ planistyczny aPGW</w:t>
      </w:r>
      <w:r w:rsidR="00186998" w:rsidRPr="00D06F33">
        <w:rPr>
          <w:rStyle w:val="Pogrubienie"/>
          <w:rFonts w:ascii="Calibri" w:hAnsi="Calibri"/>
          <w:b/>
        </w:rPr>
        <w:t>, 2016-2021</w:t>
      </w:r>
      <w:r w:rsidRPr="00D06F33">
        <w:rPr>
          <w:rStyle w:val="Pogrubienie"/>
          <w:rFonts w:ascii="Calibri" w:hAnsi="Calibri"/>
          <w:b/>
        </w:rPr>
        <w:t>)</w:t>
      </w:r>
    </w:p>
    <w:p w14:paraId="622519C3" w14:textId="6C798540" w:rsidR="000338C0" w:rsidRDefault="0095160E" w:rsidP="005848EA">
      <w:r>
        <w:t>24</w:t>
      </w:r>
      <w:r w:rsidRPr="6D64D837">
        <w:t xml:space="preserve"> jcwp RW (</w:t>
      </w:r>
      <w:r>
        <w:t>20,0</w:t>
      </w:r>
      <w:r w:rsidRPr="6D64D837">
        <w:t>% wszystkich jcwp w tym obszarze dorzecza)</w:t>
      </w:r>
      <w:r w:rsidR="00EC1782">
        <w:t xml:space="preserve"> osiągnęło cele środowiskowe</w:t>
      </w:r>
      <w:r w:rsidRPr="6D64D837">
        <w:t>. Dobry stan</w:t>
      </w:r>
      <w:r>
        <w:t xml:space="preserve"> chemiczny został utrzymany w stosunku do 10 (8,3%)</w:t>
      </w:r>
      <w:r w:rsidRPr="6D64D837">
        <w:t xml:space="preserve"> jcwp</w:t>
      </w:r>
      <w:r>
        <w:t>, natomiast dla 14 wykazano poprawę</w:t>
      </w:r>
      <w:r w:rsidRPr="6D64D837">
        <w:t xml:space="preserve"> </w:t>
      </w:r>
      <w:r>
        <w:t xml:space="preserve">(11,7%). </w:t>
      </w:r>
      <w:r w:rsidRPr="6D64D837">
        <w:t xml:space="preserve">W </w:t>
      </w:r>
      <w:r>
        <w:t>58</w:t>
      </w:r>
      <w:r w:rsidRPr="6D64D837">
        <w:t xml:space="preserve"> jcwp (</w:t>
      </w:r>
      <w:r>
        <w:t>48,7</w:t>
      </w:r>
      <w:r w:rsidRPr="6D64D837">
        <w:t xml:space="preserve">%) spośród wszystkich </w:t>
      </w:r>
      <w:r>
        <w:t>120</w:t>
      </w:r>
      <w:r w:rsidRPr="6D64D837">
        <w:t xml:space="preserve"> jcwp RW </w:t>
      </w:r>
      <w:r>
        <w:t xml:space="preserve">zlokalizowanych na obszarze dorzecza Pregoły </w:t>
      </w:r>
      <w:r w:rsidRPr="6D64D837">
        <w:t xml:space="preserve">cele środowiskowe nie zostały osiągnięte, w tym w </w:t>
      </w:r>
      <w:r>
        <w:t>14</w:t>
      </w:r>
      <w:r w:rsidRPr="6D64D837">
        <w:t xml:space="preserve"> jcwp (</w:t>
      </w:r>
      <w:r>
        <w:t>11,7</w:t>
      </w:r>
      <w:r w:rsidRPr="6D64D837">
        <w:t>% spośród wszystkich jcwp) z</w:t>
      </w:r>
      <w:r w:rsidR="007E5892">
        <w:t> </w:t>
      </w:r>
      <w:r w:rsidRPr="6D64D837">
        <w:t>powodu braku poprawy stan</w:t>
      </w:r>
      <w:r>
        <w:t xml:space="preserve">u chemicznego </w:t>
      </w:r>
      <w:r w:rsidRPr="6D64D837">
        <w:t xml:space="preserve">i w </w:t>
      </w:r>
      <w:r>
        <w:t>44</w:t>
      </w:r>
      <w:r w:rsidRPr="6D64D837">
        <w:t xml:space="preserve"> (</w:t>
      </w:r>
      <w:r>
        <w:t>36,7</w:t>
      </w:r>
      <w:r w:rsidRPr="6D64D837">
        <w:t>%) z</w:t>
      </w:r>
      <w:r w:rsidR="00445D9B">
        <w:t> </w:t>
      </w:r>
      <w:r w:rsidRPr="6D64D837">
        <w:t xml:space="preserve">powodu </w:t>
      </w:r>
      <w:r>
        <w:t>obniżenia stanu do poniżej dobrego</w:t>
      </w:r>
      <w:r w:rsidRPr="6D64D837">
        <w:t xml:space="preserve">. W odniesieniu do </w:t>
      </w:r>
      <w:r>
        <w:t>38</w:t>
      </w:r>
      <w:r w:rsidRPr="6D64D837">
        <w:t xml:space="preserve"> jcwp (</w:t>
      </w:r>
      <w:r>
        <w:t>31,</w:t>
      </w:r>
      <w:r w:rsidR="00502C0C">
        <w:t>6</w:t>
      </w:r>
      <w:r w:rsidRPr="6D64D837">
        <w:t>% wszystkich jcwp w</w:t>
      </w:r>
      <w:r w:rsidR="00445D9B">
        <w:t> </w:t>
      </w:r>
      <w:r w:rsidRPr="6D64D837">
        <w:t xml:space="preserve">obszarze dorzecza </w:t>
      </w:r>
      <w:r>
        <w:t>Pregoły</w:t>
      </w:r>
      <w:r w:rsidRPr="6D64D837">
        <w:t xml:space="preserve">) nie sporządzono oceny postępu w osiąganiu celów środowiskowych ze względu na </w:t>
      </w:r>
      <w:r w:rsidRPr="008C0B70">
        <w:t xml:space="preserve">brak danych monitoringowych i brak celu środowiskowego z przeniesienia dla nowo powstałych jcwp </w:t>
      </w:r>
      <w:r w:rsidR="005848EA" w:rsidRPr="008C0B70">
        <w:t>(tabela 9-4).</w:t>
      </w:r>
    </w:p>
    <w:p w14:paraId="3EFC5855" w14:textId="77777777" w:rsidR="000338C0" w:rsidRDefault="000338C0">
      <w:pPr>
        <w:spacing w:before="0" w:after="0"/>
        <w:jc w:val="left"/>
      </w:pPr>
      <w:r>
        <w:br w:type="page"/>
      </w:r>
    </w:p>
    <w:p w14:paraId="445A305F" w14:textId="6FCDD59C" w:rsidR="005848EA" w:rsidRPr="001B72C4" w:rsidRDefault="005848EA" w:rsidP="006802BB">
      <w:pPr>
        <w:pStyle w:val="Tabela"/>
      </w:pPr>
      <w:bookmarkStart w:id="251" w:name="_Toc66311296"/>
      <w:bookmarkStart w:id="252" w:name="_Toc68727000"/>
      <w:r w:rsidRPr="001B72C4">
        <w:t xml:space="preserve">Tabela </w:t>
      </w:r>
      <w:fldSimple w:instr=" STYLEREF 1 \s ">
        <w:r w:rsidR="007B4050">
          <w:rPr>
            <w:noProof/>
          </w:rPr>
          <w:t>9</w:t>
        </w:r>
      </w:fldSimple>
      <w:r w:rsidR="007B4050">
        <w:noBreakHyphen/>
      </w:r>
      <w:fldSimple w:instr=" SEQ Tabela \* ARABIC \s 1 ">
        <w:r w:rsidR="007B4050">
          <w:rPr>
            <w:noProof/>
          </w:rPr>
          <w:t>4</w:t>
        </w:r>
      </w:fldSimple>
      <w:r w:rsidRPr="001B72C4">
        <w:tab/>
      </w:r>
      <w:bookmarkEnd w:id="251"/>
      <w:r w:rsidR="0095160E" w:rsidRPr="00D773F7">
        <w:t>Ocena postępu w osiąganiu celów środowiskowych dla stanu</w:t>
      </w:r>
      <w:r w:rsidR="0095160E">
        <w:t xml:space="preserve"> chemicznego</w:t>
      </w:r>
      <w:r w:rsidR="0095160E" w:rsidRPr="00D773F7">
        <w:t xml:space="preserve"> </w:t>
      </w:r>
      <w:r w:rsidR="0095160E">
        <w:t>na obszarze</w:t>
      </w:r>
      <w:r w:rsidR="0095160E" w:rsidRPr="00D773F7">
        <w:t xml:space="preserve"> dorzecz</w:t>
      </w:r>
      <w:r w:rsidR="0095160E">
        <w:t>a</w:t>
      </w:r>
      <w:r w:rsidR="0095160E" w:rsidRPr="00D773F7">
        <w:t xml:space="preserve"> </w:t>
      </w:r>
      <w:r w:rsidR="0095160E">
        <w:t>Pregoły</w:t>
      </w:r>
      <w:r w:rsidR="0095160E" w:rsidRPr="00D773F7">
        <w:t xml:space="preserve"> dla jcwp RW w układzie planistycznym aPGW</w:t>
      </w:r>
      <w:r w:rsidR="00546F62">
        <w:t xml:space="preserve"> </w:t>
      </w:r>
      <w:r w:rsidR="00546F62">
        <w:rPr>
          <w:bCs/>
        </w:rPr>
        <w:t>(2016-2021)</w:t>
      </w:r>
      <w:bookmarkEnd w:id="252"/>
    </w:p>
    <w:tbl>
      <w:tblPr>
        <w:tblW w:w="9067" w:type="dxa"/>
        <w:tblLayout w:type="fixed"/>
        <w:tblLook w:val="04A0" w:firstRow="1" w:lastRow="0" w:firstColumn="1" w:lastColumn="0" w:noHBand="0" w:noVBand="1"/>
      </w:tblPr>
      <w:tblGrid>
        <w:gridCol w:w="4957"/>
        <w:gridCol w:w="1984"/>
        <w:gridCol w:w="2126"/>
      </w:tblGrid>
      <w:tr w:rsidR="00B25052" w:rsidRPr="00900592" w14:paraId="51874C8E" w14:textId="77777777" w:rsidTr="00CC3EC0">
        <w:trPr>
          <w:trHeight w:val="374"/>
        </w:trPr>
        <w:tc>
          <w:tcPr>
            <w:tcW w:w="495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FE80E1" w14:textId="1D880500" w:rsidR="00B25052" w:rsidRPr="00900592" w:rsidRDefault="00B25052" w:rsidP="00B25052">
            <w:pPr>
              <w:spacing w:before="0" w:after="0"/>
              <w:jc w:val="center"/>
              <w:rPr>
                <w:rFonts w:eastAsia="Times New Roman" w:cs="Calibri"/>
                <w:color w:val="000000"/>
                <w:sz w:val="20"/>
                <w:szCs w:val="20"/>
              </w:rPr>
            </w:pPr>
            <w:r w:rsidRPr="00E70F04">
              <w:rPr>
                <w:rFonts w:eastAsia="Times New Roman" w:cs="Calibri"/>
                <w:b/>
                <w:color w:val="000000"/>
                <w:sz w:val="20"/>
                <w:szCs w:val="20"/>
              </w:rPr>
              <w:t>Stopień osiągnięcia celu</w:t>
            </w:r>
          </w:p>
        </w:tc>
        <w:tc>
          <w:tcPr>
            <w:tcW w:w="198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8A325D0" w14:textId="77777777" w:rsidR="00B25052" w:rsidRPr="00900592" w:rsidRDefault="00B25052" w:rsidP="00B25052">
            <w:pPr>
              <w:spacing w:before="0" w:after="0"/>
              <w:jc w:val="center"/>
              <w:rPr>
                <w:rFonts w:eastAsia="Times New Roman" w:cs="Calibri"/>
                <w:b/>
                <w:bCs/>
                <w:color w:val="000000"/>
                <w:sz w:val="20"/>
                <w:szCs w:val="20"/>
              </w:rPr>
            </w:pPr>
            <w:r w:rsidRPr="00900592">
              <w:rPr>
                <w:rFonts w:eastAsia="Times New Roman" w:cs="Calibri"/>
                <w:b/>
                <w:bCs/>
                <w:color w:val="000000"/>
                <w:sz w:val="20"/>
                <w:szCs w:val="20"/>
              </w:rPr>
              <w:t>Liczba jcwp RW</w:t>
            </w:r>
          </w:p>
        </w:tc>
        <w:tc>
          <w:tcPr>
            <w:tcW w:w="212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5EE4984" w14:textId="77777777" w:rsidR="00B25052" w:rsidRPr="00900592" w:rsidRDefault="00B25052" w:rsidP="00B25052">
            <w:pPr>
              <w:spacing w:before="0" w:after="0"/>
              <w:jc w:val="center"/>
              <w:rPr>
                <w:rFonts w:eastAsia="Times New Roman" w:cs="Calibri"/>
                <w:b/>
                <w:bCs/>
                <w:color w:val="000000"/>
                <w:sz w:val="20"/>
                <w:szCs w:val="20"/>
              </w:rPr>
            </w:pPr>
            <w:r w:rsidRPr="00900592">
              <w:rPr>
                <w:rFonts w:asciiTheme="minorHAnsi" w:hAnsiTheme="minorHAnsi" w:cstheme="minorHAnsi"/>
                <w:b/>
                <w:bCs/>
                <w:sz w:val="20"/>
                <w:szCs w:val="20"/>
              </w:rPr>
              <w:t>Udział jcwp (%)</w:t>
            </w:r>
          </w:p>
        </w:tc>
      </w:tr>
      <w:tr w:rsidR="0095160E" w:rsidRPr="00900592" w14:paraId="1BE6F532" w14:textId="77777777" w:rsidTr="00CC3EC0">
        <w:trPr>
          <w:trHeight w:val="374"/>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63382312" w14:textId="77777777" w:rsidR="0095160E" w:rsidRPr="00900592" w:rsidRDefault="0095160E" w:rsidP="0095160E">
            <w:pPr>
              <w:spacing w:after="0"/>
              <w:rPr>
                <w:rFonts w:eastAsia="Times New Roman" w:cs="Calibri"/>
                <w:color w:val="000000"/>
                <w:sz w:val="20"/>
                <w:szCs w:val="20"/>
              </w:rPr>
            </w:pPr>
            <w:r w:rsidRPr="00900592">
              <w:rPr>
                <w:rFonts w:eastAsia="Times New Roman" w:cs="Calibri"/>
                <w:color w:val="000000"/>
                <w:sz w:val="20"/>
                <w:szCs w:val="20"/>
              </w:rPr>
              <w:t>Cel nieosiągnięty - brak postępu</w:t>
            </w:r>
          </w:p>
        </w:tc>
        <w:tc>
          <w:tcPr>
            <w:tcW w:w="1984" w:type="dxa"/>
            <w:tcBorders>
              <w:top w:val="nil"/>
              <w:left w:val="nil"/>
              <w:bottom w:val="single" w:sz="4" w:space="0" w:color="auto"/>
              <w:right w:val="single" w:sz="4" w:space="0" w:color="auto"/>
            </w:tcBorders>
            <w:shd w:val="clear" w:color="auto" w:fill="auto"/>
            <w:noWrap/>
            <w:vAlign w:val="center"/>
            <w:hideMark/>
          </w:tcPr>
          <w:p w14:paraId="7BA6568E" w14:textId="3C22D9E9" w:rsidR="0095160E" w:rsidRPr="00900592" w:rsidRDefault="0095160E" w:rsidP="00B25052">
            <w:pPr>
              <w:spacing w:after="0"/>
              <w:jc w:val="center"/>
              <w:rPr>
                <w:rFonts w:eastAsia="Times New Roman" w:cs="Calibri"/>
                <w:color w:val="000000"/>
                <w:sz w:val="20"/>
                <w:szCs w:val="20"/>
              </w:rPr>
            </w:pPr>
            <w:r w:rsidRPr="00900592">
              <w:rPr>
                <w:rFonts w:eastAsia="Times New Roman" w:cs="Calibri"/>
                <w:color w:val="000000"/>
                <w:sz w:val="20"/>
                <w:szCs w:val="20"/>
              </w:rPr>
              <w:t>14</w:t>
            </w:r>
          </w:p>
        </w:tc>
        <w:tc>
          <w:tcPr>
            <w:tcW w:w="2126" w:type="dxa"/>
            <w:tcBorders>
              <w:top w:val="nil"/>
              <w:left w:val="nil"/>
              <w:bottom w:val="single" w:sz="4" w:space="0" w:color="auto"/>
              <w:right w:val="single" w:sz="4" w:space="0" w:color="auto"/>
            </w:tcBorders>
            <w:shd w:val="clear" w:color="auto" w:fill="auto"/>
            <w:noWrap/>
            <w:vAlign w:val="center"/>
            <w:hideMark/>
          </w:tcPr>
          <w:p w14:paraId="375390CE" w14:textId="694E70CC" w:rsidR="0095160E" w:rsidRPr="00502C0C" w:rsidRDefault="0095160E" w:rsidP="00B25052">
            <w:pPr>
              <w:spacing w:after="0"/>
              <w:jc w:val="center"/>
              <w:rPr>
                <w:rFonts w:eastAsia="Times New Roman" w:cs="Calibri"/>
                <w:color w:val="000000"/>
                <w:sz w:val="20"/>
                <w:szCs w:val="20"/>
              </w:rPr>
            </w:pPr>
            <w:r w:rsidRPr="00502C0C">
              <w:rPr>
                <w:rFonts w:eastAsia="Times New Roman" w:cs="Calibri"/>
                <w:color w:val="000000"/>
                <w:sz w:val="20"/>
                <w:szCs w:val="20"/>
              </w:rPr>
              <w:t>11,7</w:t>
            </w:r>
          </w:p>
        </w:tc>
      </w:tr>
      <w:tr w:rsidR="0095160E" w:rsidRPr="00900592" w14:paraId="453542FF" w14:textId="77777777" w:rsidTr="00CC3EC0">
        <w:trPr>
          <w:trHeight w:val="374"/>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06594826" w14:textId="77777777" w:rsidR="0095160E" w:rsidRPr="00900592" w:rsidRDefault="0095160E" w:rsidP="0095160E">
            <w:pPr>
              <w:spacing w:after="0"/>
              <w:rPr>
                <w:rFonts w:eastAsia="Times New Roman" w:cs="Calibri"/>
                <w:color w:val="000000"/>
                <w:sz w:val="20"/>
                <w:szCs w:val="20"/>
              </w:rPr>
            </w:pPr>
            <w:r w:rsidRPr="00900592">
              <w:rPr>
                <w:rFonts w:eastAsia="Times New Roman" w:cs="Calibri"/>
                <w:color w:val="000000"/>
                <w:sz w:val="20"/>
                <w:szCs w:val="20"/>
              </w:rPr>
              <w:t>Cel nieosiągnięty - pogorszenie stanu </w:t>
            </w:r>
          </w:p>
        </w:tc>
        <w:tc>
          <w:tcPr>
            <w:tcW w:w="1984" w:type="dxa"/>
            <w:tcBorders>
              <w:top w:val="nil"/>
              <w:left w:val="nil"/>
              <w:bottom w:val="single" w:sz="4" w:space="0" w:color="auto"/>
              <w:right w:val="single" w:sz="4" w:space="0" w:color="auto"/>
            </w:tcBorders>
            <w:shd w:val="clear" w:color="auto" w:fill="auto"/>
            <w:noWrap/>
            <w:vAlign w:val="center"/>
            <w:hideMark/>
          </w:tcPr>
          <w:p w14:paraId="2A318A23" w14:textId="15FC09F9" w:rsidR="0095160E" w:rsidRPr="00900592" w:rsidRDefault="0095160E" w:rsidP="00B25052">
            <w:pPr>
              <w:spacing w:after="0"/>
              <w:jc w:val="center"/>
              <w:rPr>
                <w:rFonts w:eastAsia="Times New Roman" w:cs="Calibri"/>
                <w:color w:val="000000"/>
                <w:sz w:val="20"/>
                <w:szCs w:val="20"/>
              </w:rPr>
            </w:pPr>
            <w:r w:rsidRPr="00900592">
              <w:rPr>
                <w:rFonts w:eastAsia="Times New Roman" w:cs="Calibri"/>
                <w:color w:val="000000"/>
                <w:sz w:val="20"/>
                <w:szCs w:val="20"/>
              </w:rPr>
              <w:t>44</w:t>
            </w:r>
          </w:p>
        </w:tc>
        <w:tc>
          <w:tcPr>
            <w:tcW w:w="2126" w:type="dxa"/>
            <w:tcBorders>
              <w:top w:val="nil"/>
              <w:left w:val="nil"/>
              <w:bottom w:val="single" w:sz="4" w:space="0" w:color="auto"/>
              <w:right w:val="single" w:sz="4" w:space="0" w:color="auto"/>
            </w:tcBorders>
            <w:shd w:val="clear" w:color="auto" w:fill="auto"/>
            <w:noWrap/>
            <w:vAlign w:val="center"/>
            <w:hideMark/>
          </w:tcPr>
          <w:p w14:paraId="498D1A42" w14:textId="78C28E8D" w:rsidR="0095160E" w:rsidRPr="00502C0C" w:rsidRDefault="0095160E" w:rsidP="00B25052">
            <w:pPr>
              <w:spacing w:after="0"/>
              <w:jc w:val="center"/>
              <w:rPr>
                <w:rFonts w:eastAsia="Times New Roman" w:cs="Calibri"/>
                <w:color w:val="000000"/>
                <w:sz w:val="20"/>
                <w:szCs w:val="20"/>
              </w:rPr>
            </w:pPr>
            <w:r w:rsidRPr="00502C0C">
              <w:rPr>
                <w:rFonts w:eastAsia="Times New Roman" w:cs="Calibri"/>
                <w:color w:val="000000"/>
                <w:sz w:val="20"/>
                <w:szCs w:val="20"/>
              </w:rPr>
              <w:t>36,7</w:t>
            </w:r>
          </w:p>
        </w:tc>
      </w:tr>
      <w:tr w:rsidR="00B25052" w:rsidRPr="00900592" w14:paraId="38A2EC2E" w14:textId="77777777" w:rsidTr="00CC3EC0">
        <w:trPr>
          <w:trHeight w:val="374"/>
        </w:trPr>
        <w:tc>
          <w:tcPr>
            <w:tcW w:w="4957" w:type="dxa"/>
            <w:tcBorders>
              <w:top w:val="nil"/>
              <w:left w:val="single" w:sz="4" w:space="0" w:color="auto"/>
              <w:bottom w:val="single" w:sz="4" w:space="0" w:color="auto"/>
              <w:right w:val="single" w:sz="4" w:space="0" w:color="auto"/>
            </w:tcBorders>
            <w:shd w:val="clear" w:color="auto" w:fill="auto"/>
            <w:noWrap/>
            <w:vAlign w:val="bottom"/>
          </w:tcPr>
          <w:p w14:paraId="3A9787E1" w14:textId="24EFB457" w:rsidR="00B25052" w:rsidRPr="00900592" w:rsidRDefault="00B25052" w:rsidP="00B25052">
            <w:pPr>
              <w:spacing w:after="0"/>
              <w:rPr>
                <w:rFonts w:eastAsia="Times New Roman" w:cs="Calibri"/>
                <w:color w:val="000000"/>
                <w:sz w:val="20"/>
                <w:szCs w:val="20"/>
              </w:rPr>
            </w:pPr>
            <w:r w:rsidRPr="00900592">
              <w:rPr>
                <w:rFonts w:eastAsia="Times New Roman" w:cs="Calibri"/>
                <w:color w:val="000000"/>
                <w:sz w:val="20"/>
                <w:szCs w:val="20"/>
              </w:rPr>
              <w:t>Cel osiągnięty - utrzymanie dobrego stanu </w:t>
            </w:r>
          </w:p>
        </w:tc>
        <w:tc>
          <w:tcPr>
            <w:tcW w:w="1984" w:type="dxa"/>
            <w:tcBorders>
              <w:top w:val="nil"/>
              <w:left w:val="nil"/>
              <w:bottom w:val="single" w:sz="4" w:space="0" w:color="auto"/>
              <w:right w:val="single" w:sz="4" w:space="0" w:color="auto"/>
            </w:tcBorders>
            <w:shd w:val="clear" w:color="auto" w:fill="auto"/>
            <w:noWrap/>
            <w:vAlign w:val="center"/>
          </w:tcPr>
          <w:p w14:paraId="62448E1D" w14:textId="1AE622BC" w:rsidR="00B25052" w:rsidRPr="00900592" w:rsidRDefault="00B25052" w:rsidP="00B25052">
            <w:pPr>
              <w:spacing w:after="0"/>
              <w:jc w:val="center"/>
              <w:rPr>
                <w:rFonts w:eastAsia="Times New Roman" w:cs="Calibri"/>
                <w:color w:val="000000"/>
                <w:sz w:val="20"/>
                <w:szCs w:val="20"/>
              </w:rPr>
            </w:pPr>
            <w:r w:rsidRPr="00900592">
              <w:rPr>
                <w:rFonts w:eastAsia="Times New Roman" w:cs="Calibri"/>
                <w:color w:val="000000"/>
                <w:sz w:val="20"/>
                <w:szCs w:val="20"/>
              </w:rPr>
              <w:t>10</w:t>
            </w:r>
          </w:p>
        </w:tc>
        <w:tc>
          <w:tcPr>
            <w:tcW w:w="2126" w:type="dxa"/>
            <w:tcBorders>
              <w:top w:val="nil"/>
              <w:left w:val="nil"/>
              <w:bottom w:val="single" w:sz="4" w:space="0" w:color="auto"/>
              <w:right w:val="single" w:sz="4" w:space="0" w:color="auto"/>
            </w:tcBorders>
            <w:shd w:val="clear" w:color="auto" w:fill="auto"/>
            <w:noWrap/>
            <w:vAlign w:val="center"/>
          </w:tcPr>
          <w:p w14:paraId="7B0CE465" w14:textId="09CF4876" w:rsidR="00B25052" w:rsidRPr="00502C0C" w:rsidRDefault="00B25052" w:rsidP="00B25052">
            <w:pPr>
              <w:spacing w:after="0"/>
              <w:jc w:val="center"/>
              <w:rPr>
                <w:rFonts w:eastAsia="Times New Roman" w:cs="Calibri"/>
                <w:color w:val="000000"/>
                <w:sz w:val="20"/>
                <w:szCs w:val="20"/>
              </w:rPr>
            </w:pPr>
            <w:r w:rsidRPr="00502C0C">
              <w:rPr>
                <w:rFonts w:eastAsia="Times New Roman" w:cs="Calibri"/>
                <w:color w:val="000000"/>
                <w:sz w:val="20"/>
                <w:szCs w:val="20"/>
              </w:rPr>
              <w:t>8,3</w:t>
            </w:r>
          </w:p>
        </w:tc>
      </w:tr>
      <w:tr w:rsidR="0095160E" w:rsidRPr="00900592" w14:paraId="2274CDCB" w14:textId="77777777" w:rsidTr="00CC3EC0">
        <w:trPr>
          <w:trHeight w:val="374"/>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2758157E" w14:textId="77777777" w:rsidR="0095160E" w:rsidRPr="00900592" w:rsidRDefault="0095160E" w:rsidP="0095160E">
            <w:pPr>
              <w:spacing w:after="0"/>
              <w:rPr>
                <w:rFonts w:eastAsia="Times New Roman" w:cs="Calibri"/>
                <w:color w:val="000000"/>
                <w:sz w:val="20"/>
                <w:szCs w:val="20"/>
              </w:rPr>
            </w:pPr>
            <w:r w:rsidRPr="00900592">
              <w:rPr>
                <w:rFonts w:eastAsia="Times New Roman" w:cs="Calibri"/>
                <w:color w:val="000000"/>
                <w:sz w:val="20"/>
                <w:szCs w:val="20"/>
              </w:rPr>
              <w:t>Cel osiągnięty - poprawa stanu </w:t>
            </w:r>
          </w:p>
        </w:tc>
        <w:tc>
          <w:tcPr>
            <w:tcW w:w="1984" w:type="dxa"/>
            <w:tcBorders>
              <w:top w:val="nil"/>
              <w:left w:val="nil"/>
              <w:bottom w:val="single" w:sz="4" w:space="0" w:color="auto"/>
              <w:right w:val="single" w:sz="4" w:space="0" w:color="auto"/>
            </w:tcBorders>
            <w:shd w:val="clear" w:color="auto" w:fill="auto"/>
            <w:noWrap/>
            <w:vAlign w:val="center"/>
            <w:hideMark/>
          </w:tcPr>
          <w:p w14:paraId="793D48FA" w14:textId="6ABD77E7" w:rsidR="0095160E" w:rsidRPr="00900592" w:rsidRDefault="0095160E" w:rsidP="00B25052">
            <w:pPr>
              <w:spacing w:after="0"/>
              <w:jc w:val="center"/>
              <w:rPr>
                <w:rFonts w:eastAsia="Times New Roman" w:cs="Calibri"/>
                <w:color w:val="000000"/>
                <w:sz w:val="20"/>
                <w:szCs w:val="20"/>
              </w:rPr>
            </w:pPr>
            <w:r w:rsidRPr="00900592">
              <w:rPr>
                <w:rFonts w:eastAsia="Times New Roman" w:cs="Calibri"/>
                <w:color w:val="000000"/>
                <w:sz w:val="20"/>
                <w:szCs w:val="20"/>
              </w:rPr>
              <w:t>14</w:t>
            </w:r>
          </w:p>
        </w:tc>
        <w:tc>
          <w:tcPr>
            <w:tcW w:w="2126" w:type="dxa"/>
            <w:tcBorders>
              <w:top w:val="nil"/>
              <w:left w:val="nil"/>
              <w:bottom w:val="single" w:sz="4" w:space="0" w:color="auto"/>
              <w:right w:val="single" w:sz="4" w:space="0" w:color="auto"/>
            </w:tcBorders>
            <w:shd w:val="clear" w:color="auto" w:fill="auto"/>
            <w:noWrap/>
            <w:vAlign w:val="center"/>
            <w:hideMark/>
          </w:tcPr>
          <w:p w14:paraId="3F25A697" w14:textId="03B1BFFC" w:rsidR="0095160E" w:rsidRPr="00502C0C" w:rsidRDefault="0095160E" w:rsidP="00B25052">
            <w:pPr>
              <w:spacing w:after="0"/>
              <w:jc w:val="center"/>
              <w:rPr>
                <w:rFonts w:eastAsia="Times New Roman" w:cs="Calibri"/>
                <w:color w:val="000000"/>
                <w:sz w:val="20"/>
                <w:szCs w:val="20"/>
              </w:rPr>
            </w:pPr>
            <w:r w:rsidRPr="00502C0C">
              <w:rPr>
                <w:rFonts w:eastAsia="Times New Roman" w:cs="Calibri"/>
                <w:color w:val="000000"/>
                <w:sz w:val="20"/>
                <w:szCs w:val="20"/>
              </w:rPr>
              <w:t>11,7</w:t>
            </w:r>
          </w:p>
        </w:tc>
      </w:tr>
      <w:tr w:rsidR="00B25052" w:rsidRPr="00900592" w14:paraId="5907D54E" w14:textId="77777777" w:rsidTr="00CC3EC0">
        <w:trPr>
          <w:trHeight w:val="374"/>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5369DF" w14:textId="094B9ECC" w:rsidR="00B25052" w:rsidRPr="00900592" w:rsidRDefault="00B25052" w:rsidP="00B25052">
            <w:pPr>
              <w:spacing w:after="0"/>
              <w:rPr>
                <w:rFonts w:eastAsia="Times New Roman" w:cs="Calibri"/>
                <w:color w:val="000000"/>
                <w:sz w:val="20"/>
                <w:szCs w:val="20"/>
              </w:rPr>
            </w:pPr>
            <w:r w:rsidRPr="00900592">
              <w:rPr>
                <w:rFonts w:eastAsia="Times New Roman" w:cs="Calibri"/>
                <w:color w:val="000000"/>
                <w:sz w:val="20"/>
                <w:szCs w:val="20"/>
              </w:rPr>
              <w:t>Brak możliwości oceny postępu </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B114FA1" w14:textId="3517BD45" w:rsidR="00B25052" w:rsidRPr="00900592" w:rsidRDefault="00B25052" w:rsidP="00B25052">
            <w:pPr>
              <w:spacing w:after="0"/>
              <w:jc w:val="center"/>
              <w:rPr>
                <w:rFonts w:eastAsia="Times New Roman" w:cs="Calibri"/>
                <w:color w:val="000000"/>
                <w:sz w:val="20"/>
                <w:szCs w:val="20"/>
              </w:rPr>
            </w:pPr>
            <w:r w:rsidRPr="00900592">
              <w:rPr>
                <w:rFonts w:eastAsia="Times New Roman" w:cs="Calibri"/>
                <w:color w:val="000000"/>
                <w:sz w:val="20"/>
                <w:szCs w:val="20"/>
              </w:rPr>
              <w:t>38</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2288F22" w14:textId="3B5D5D3D" w:rsidR="00B25052" w:rsidRPr="00502C0C" w:rsidRDefault="00B25052" w:rsidP="00B25052">
            <w:pPr>
              <w:spacing w:after="0"/>
              <w:jc w:val="center"/>
              <w:rPr>
                <w:rFonts w:eastAsia="Times New Roman" w:cs="Calibri"/>
                <w:color w:val="000000"/>
                <w:sz w:val="20"/>
                <w:szCs w:val="20"/>
              </w:rPr>
            </w:pPr>
            <w:r w:rsidRPr="00502C0C">
              <w:rPr>
                <w:rFonts w:eastAsia="Times New Roman" w:cs="Calibri"/>
                <w:color w:val="000000"/>
                <w:sz w:val="20"/>
                <w:szCs w:val="20"/>
              </w:rPr>
              <w:t>31,</w:t>
            </w:r>
            <w:r w:rsidR="00502C0C" w:rsidRPr="00502C0C">
              <w:rPr>
                <w:rFonts w:eastAsia="Times New Roman" w:cs="Calibri"/>
                <w:color w:val="000000"/>
                <w:sz w:val="20"/>
                <w:szCs w:val="20"/>
              </w:rPr>
              <w:t>6</w:t>
            </w:r>
          </w:p>
        </w:tc>
      </w:tr>
      <w:tr w:rsidR="00B25052" w:rsidRPr="00900592" w14:paraId="5FD4E5BA" w14:textId="77777777" w:rsidTr="00CC3EC0">
        <w:trPr>
          <w:trHeight w:val="374"/>
        </w:trPr>
        <w:tc>
          <w:tcPr>
            <w:tcW w:w="495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66AC879" w14:textId="0A486B4E" w:rsidR="00B25052" w:rsidRPr="00900592" w:rsidRDefault="00B25052" w:rsidP="00B25052">
            <w:pPr>
              <w:spacing w:before="0" w:after="0"/>
              <w:jc w:val="center"/>
              <w:rPr>
                <w:rFonts w:eastAsia="Times New Roman" w:cs="Calibri"/>
                <w:color w:val="000000"/>
                <w:sz w:val="20"/>
                <w:szCs w:val="20"/>
              </w:rPr>
            </w:pPr>
            <w:r w:rsidRPr="00900592">
              <w:rPr>
                <w:rFonts w:eastAsia="Times New Roman" w:cs="Calibri"/>
                <w:b/>
                <w:bCs/>
                <w:color w:val="000000"/>
                <w:sz w:val="20"/>
                <w:szCs w:val="20"/>
              </w:rPr>
              <w:t xml:space="preserve">Liczba jcwp </w:t>
            </w:r>
            <w:r w:rsidR="003A03D4">
              <w:rPr>
                <w:rFonts w:eastAsia="Times New Roman" w:cs="Calibri"/>
                <w:b/>
                <w:bCs/>
                <w:color w:val="000000"/>
                <w:sz w:val="20"/>
                <w:szCs w:val="20"/>
              </w:rPr>
              <w:t xml:space="preserve">RW </w:t>
            </w:r>
            <w:r w:rsidRPr="00900592">
              <w:rPr>
                <w:rFonts w:eastAsia="Times New Roman" w:cs="Calibri"/>
                <w:b/>
                <w:bCs/>
                <w:color w:val="000000"/>
                <w:sz w:val="20"/>
                <w:szCs w:val="20"/>
              </w:rPr>
              <w:t xml:space="preserve">w </w:t>
            </w:r>
            <w:r>
              <w:rPr>
                <w:rFonts w:eastAsia="Times New Roman" w:cs="Calibri"/>
                <w:b/>
                <w:bCs/>
                <w:color w:val="000000"/>
                <w:sz w:val="20"/>
                <w:szCs w:val="20"/>
              </w:rPr>
              <w:t xml:space="preserve">obszarze </w:t>
            </w:r>
            <w:r w:rsidRPr="00900592">
              <w:rPr>
                <w:rFonts w:eastAsia="Times New Roman" w:cs="Calibri"/>
                <w:b/>
                <w:bCs/>
                <w:color w:val="000000"/>
                <w:sz w:val="20"/>
                <w:szCs w:val="20"/>
              </w:rPr>
              <w:t>dorzecz</w:t>
            </w:r>
            <w:r>
              <w:rPr>
                <w:rFonts w:eastAsia="Times New Roman" w:cs="Calibri"/>
                <w:b/>
                <w:bCs/>
                <w:color w:val="000000"/>
                <w:sz w:val="20"/>
                <w:szCs w:val="20"/>
              </w:rPr>
              <w:t>a</w:t>
            </w:r>
          </w:p>
        </w:tc>
        <w:tc>
          <w:tcPr>
            <w:tcW w:w="1984"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999B734" w14:textId="62A0AC7F" w:rsidR="00B25052" w:rsidRPr="00900592" w:rsidRDefault="00B25052" w:rsidP="00B25052">
            <w:pPr>
              <w:spacing w:before="0" w:after="0"/>
              <w:jc w:val="center"/>
              <w:rPr>
                <w:rFonts w:eastAsia="Times New Roman" w:cs="Calibri"/>
                <w:color w:val="000000"/>
                <w:sz w:val="20"/>
                <w:szCs w:val="20"/>
              </w:rPr>
            </w:pPr>
            <w:r w:rsidRPr="00900592">
              <w:rPr>
                <w:rFonts w:eastAsia="Times New Roman" w:cs="Calibri"/>
                <w:b/>
                <w:bCs/>
                <w:color w:val="000000"/>
                <w:sz w:val="20"/>
                <w:szCs w:val="20"/>
              </w:rPr>
              <w:t>120</w:t>
            </w:r>
          </w:p>
        </w:tc>
        <w:tc>
          <w:tcPr>
            <w:tcW w:w="2126"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9161948" w14:textId="50720386" w:rsidR="00B25052" w:rsidRPr="00900592" w:rsidRDefault="00B25052" w:rsidP="00B25052">
            <w:pPr>
              <w:spacing w:before="0" w:after="0"/>
              <w:jc w:val="center"/>
              <w:rPr>
                <w:rFonts w:eastAsia="Times New Roman" w:cs="Calibri"/>
                <w:color w:val="000000"/>
                <w:sz w:val="20"/>
                <w:szCs w:val="20"/>
              </w:rPr>
            </w:pPr>
            <w:r w:rsidRPr="00900592">
              <w:rPr>
                <w:rFonts w:eastAsia="Times New Roman" w:cs="Calibri"/>
                <w:b/>
                <w:bCs/>
                <w:color w:val="000000"/>
                <w:sz w:val="20"/>
                <w:szCs w:val="20"/>
              </w:rPr>
              <w:t>100</w:t>
            </w:r>
            <w:r w:rsidR="00D06F33">
              <w:rPr>
                <w:rFonts w:eastAsia="Times New Roman" w:cs="Calibri"/>
                <w:b/>
                <w:bCs/>
                <w:color w:val="000000"/>
                <w:sz w:val="20"/>
                <w:szCs w:val="20"/>
              </w:rPr>
              <w:t>,0</w:t>
            </w:r>
          </w:p>
        </w:tc>
      </w:tr>
    </w:tbl>
    <w:p w14:paraId="4B48A952" w14:textId="7248E447" w:rsidR="005848EA" w:rsidRPr="002A0524" w:rsidRDefault="005848EA" w:rsidP="000F4C8C">
      <w:pPr>
        <w:pStyle w:val="rdo0"/>
      </w:pPr>
      <w:r w:rsidRPr="002A0524">
        <w:t xml:space="preserve">Źródło: </w:t>
      </w:r>
      <w:r w:rsidR="00553428">
        <w:t xml:space="preserve">opracowanie </w:t>
      </w:r>
      <w:r w:rsidR="00B773E9">
        <w:t>własne</w:t>
      </w:r>
    </w:p>
    <w:p w14:paraId="3D949C56" w14:textId="77777777" w:rsidR="005848EA" w:rsidRPr="003863A0" w:rsidRDefault="005848EA" w:rsidP="003863A0">
      <w:pPr>
        <w:pStyle w:val="Nagwek5"/>
      </w:pPr>
      <w:r w:rsidRPr="003863A0">
        <w:t>Ocena postępu w osiąganiu celów środowiskowych dla stanu chemicznego jcwp RW (aktualny układ planistyczny IIaPGW)</w:t>
      </w:r>
    </w:p>
    <w:p w14:paraId="37C87987" w14:textId="67609E07" w:rsidR="005848EA" w:rsidRPr="008C0B70" w:rsidRDefault="0095160E" w:rsidP="005848EA">
      <w:r>
        <w:t>Zgodnie z przeprowadzonymi analizami cel środowiskowy tj. dobry stan chemiczny został osiągnięty w</w:t>
      </w:r>
      <w:r w:rsidR="007E5892">
        <w:t> </w:t>
      </w:r>
      <w:r>
        <w:t xml:space="preserve">4,9% jcwp rzecznych na obszarze dorzecza Pregoły. W stosunku do 26,8% jcwp rzecznych odnotowano stan chemiczny </w:t>
      </w:r>
      <w:r w:rsidRPr="008C0B70">
        <w:t xml:space="preserve">poniżej dobrego, co powoduje nieosiągnięcie wyznaczonego w aPGW celu środowiskowego </w:t>
      </w:r>
      <w:r w:rsidR="005848EA" w:rsidRPr="008C0B70">
        <w:t>(tabela 9-5).</w:t>
      </w:r>
    </w:p>
    <w:p w14:paraId="20EB1413" w14:textId="68FD63D5" w:rsidR="005848EA" w:rsidRDefault="005848EA" w:rsidP="006802BB">
      <w:pPr>
        <w:pStyle w:val="Legenda"/>
      </w:pPr>
      <w:bookmarkStart w:id="253" w:name="_Toc66311297"/>
      <w:bookmarkStart w:id="254" w:name="_Toc68727001"/>
      <w:r w:rsidRPr="008C0B70">
        <w:t xml:space="preserve">Tabela </w:t>
      </w:r>
      <w:fldSimple w:instr=" STYLEREF 1 \s ">
        <w:r w:rsidR="007B4050">
          <w:rPr>
            <w:noProof/>
          </w:rPr>
          <w:t>9</w:t>
        </w:r>
      </w:fldSimple>
      <w:r w:rsidR="007B4050">
        <w:noBreakHyphen/>
      </w:r>
      <w:fldSimple w:instr=" SEQ Tabela \* ARABIC \s 1 ">
        <w:r w:rsidR="007B4050">
          <w:rPr>
            <w:noProof/>
          </w:rPr>
          <w:t>5</w:t>
        </w:r>
      </w:fldSimple>
      <w:r w:rsidRPr="008C0B70">
        <w:tab/>
        <w:t>Ocena postępu w osiąganiu</w:t>
      </w:r>
      <w:r w:rsidRPr="002A0524">
        <w:t xml:space="preserve"> celów środowiskowych dla </w:t>
      </w:r>
      <w:r>
        <w:t>stanu chemicznego</w:t>
      </w:r>
      <w:r w:rsidRPr="002A0524">
        <w:t xml:space="preserve"> w obszarze dorzecza </w:t>
      </w:r>
      <w:r w:rsidR="00247F61">
        <w:t>Pregoły</w:t>
      </w:r>
      <w:r>
        <w:t xml:space="preserve"> bazujące na nowym układzie planistycznym IIaPGW </w:t>
      </w:r>
      <w:r w:rsidR="00D06F33">
        <w:t>(2022-2027)</w:t>
      </w:r>
      <w:r>
        <w:t>- jcwp rzeczne (RW)</w:t>
      </w:r>
      <w:bookmarkEnd w:id="253"/>
      <w:bookmarkEnd w:id="254"/>
    </w:p>
    <w:tbl>
      <w:tblPr>
        <w:tblStyle w:val="Tabela-Siatka"/>
        <w:tblW w:w="5000" w:type="pct"/>
        <w:tblLook w:val="04A0" w:firstRow="1" w:lastRow="0" w:firstColumn="1" w:lastColumn="0" w:noHBand="0" w:noVBand="1"/>
      </w:tblPr>
      <w:tblGrid>
        <w:gridCol w:w="4900"/>
        <w:gridCol w:w="2081"/>
        <w:gridCol w:w="2081"/>
      </w:tblGrid>
      <w:tr w:rsidR="005848EA" w:rsidRPr="00256DA1" w14:paraId="73E69842" w14:textId="77777777" w:rsidTr="00B25052">
        <w:trPr>
          <w:trHeight w:val="372"/>
        </w:trPr>
        <w:tc>
          <w:tcPr>
            <w:tcW w:w="2704" w:type="pct"/>
            <w:shd w:val="clear" w:color="auto" w:fill="BFBFBF" w:themeFill="background1" w:themeFillShade="BF"/>
            <w:noWrap/>
            <w:vAlign w:val="center"/>
            <w:hideMark/>
          </w:tcPr>
          <w:p w14:paraId="756DE32F" w14:textId="220B9FCE" w:rsidR="005848EA" w:rsidRPr="00E70F04" w:rsidRDefault="00E70F04" w:rsidP="00CC3EC0">
            <w:pPr>
              <w:spacing w:before="0" w:after="0"/>
              <w:jc w:val="center"/>
              <w:rPr>
                <w:rFonts w:eastAsia="Times New Roman" w:cs="Calibri"/>
                <w:b/>
                <w:color w:val="000000"/>
                <w:sz w:val="20"/>
                <w:szCs w:val="20"/>
              </w:rPr>
            </w:pPr>
            <w:r w:rsidRPr="00E70F04">
              <w:rPr>
                <w:rFonts w:eastAsia="Times New Roman" w:cs="Calibri"/>
                <w:b/>
                <w:color w:val="000000"/>
                <w:sz w:val="20"/>
                <w:szCs w:val="20"/>
              </w:rPr>
              <w:t>Stopień osiągnięcia celu</w:t>
            </w:r>
          </w:p>
        </w:tc>
        <w:tc>
          <w:tcPr>
            <w:tcW w:w="1148" w:type="pct"/>
            <w:shd w:val="clear" w:color="auto" w:fill="BFBFBF" w:themeFill="background1" w:themeFillShade="BF"/>
            <w:noWrap/>
            <w:vAlign w:val="center"/>
            <w:hideMark/>
          </w:tcPr>
          <w:p w14:paraId="13B16A74" w14:textId="77777777" w:rsidR="005848EA" w:rsidRPr="00256DA1" w:rsidRDefault="005848EA" w:rsidP="00B25052">
            <w:pPr>
              <w:spacing w:before="0" w:after="0"/>
              <w:jc w:val="center"/>
              <w:rPr>
                <w:rFonts w:eastAsia="Times New Roman" w:cs="Calibri"/>
                <w:b/>
                <w:color w:val="000000"/>
                <w:sz w:val="20"/>
                <w:szCs w:val="20"/>
              </w:rPr>
            </w:pPr>
            <w:r w:rsidRPr="00256DA1">
              <w:rPr>
                <w:rFonts w:eastAsia="Times New Roman" w:cs="Calibri"/>
                <w:b/>
                <w:color w:val="000000"/>
                <w:sz w:val="20"/>
                <w:szCs w:val="20"/>
              </w:rPr>
              <w:t>Liczba jcwp RW</w:t>
            </w:r>
          </w:p>
        </w:tc>
        <w:tc>
          <w:tcPr>
            <w:tcW w:w="1148" w:type="pct"/>
            <w:shd w:val="clear" w:color="auto" w:fill="BFBFBF" w:themeFill="background1" w:themeFillShade="BF"/>
            <w:noWrap/>
            <w:vAlign w:val="center"/>
            <w:hideMark/>
          </w:tcPr>
          <w:p w14:paraId="184D98AB" w14:textId="77777777" w:rsidR="005848EA" w:rsidRPr="00256DA1" w:rsidRDefault="005848EA" w:rsidP="00B25052">
            <w:pPr>
              <w:spacing w:before="0" w:after="0"/>
              <w:jc w:val="center"/>
              <w:rPr>
                <w:rFonts w:eastAsia="Times New Roman" w:cs="Calibri"/>
                <w:b/>
                <w:color w:val="000000"/>
                <w:sz w:val="20"/>
                <w:szCs w:val="20"/>
              </w:rPr>
            </w:pPr>
            <w:r w:rsidRPr="00256DA1">
              <w:rPr>
                <w:rFonts w:eastAsia="Times New Roman" w:cs="Calibri"/>
                <w:b/>
                <w:color w:val="000000"/>
                <w:sz w:val="20"/>
                <w:szCs w:val="20"/>
              </w:rPr>
              <w:t>Udział jcwp (%)</w:t>
            </w:r>
          </w:p>
        </w:tc>
      </w:tr>
      <w:tr w:rsidR="00247F61" w:rsidRPr="00256DA1" w14:paraId="467515DB" w14:textId="77777777" w:rsidTr="0085285D">
        <w:trPr>
          <w:trHeight w:val="397"/>
        </w:trPr>
        <w:tc>
          <w:tcPr>
            <w:tcW w:w="2704" w:type="pct"/>
            <w:shd w:val="clear" w:color="auto" w:fill="auto"/>
            <w:noWrap/>
            <w:vAlign w:val="center"/>
            <w:hideMark/>
          </w:tcPr>
          <w:p w14:paraId="706552CD" w14:textId="77777777" w:rsidR="00247F61" w:rsidRPr="00256DA1" w:rsidRDefault="00247F61" w:rsidP="00247F61">
            <w:pPr>
              <w:spacing w:after="0"/>
              <w:jc w:val="left"/>
              <w:rPr>
                <w:rFonts w:asciiTheme="minorHAnsi" w:hAnsiTheme="minorHAnsi" w:cstheme="minorHAnsi"/>
                <w:color w:val="FFFFFF" w:themeColor="background1"/>
                <w:sz w:val="20"/>
                <w:szCs w:val="20"/>
              </w:rPr>
            </w:pPr>
            <w:r w:rsidRPr="00256DA1">
              <w:rPr>
                <w:rFonts w:asciiTheme="minorHAnsi" w:hAnsiTheme="minorHAnsi" w:cstheme="minorHAnsi"/>
                <w:sz w:val="20"/>
                <w:szCs w:val="20"/>
              </w:rPr>
              <w:t>Cel nieosiągnięty - brak postępu</w:t>
            </w:r>
          </w:p>
        </w:tc>
        <w:tc>
          <w:tcPr>
            <w:tcW w:w="1148" w:type="pct"/>
            <w:noWrap/>
            <w:vAlign w:val="center"/>
          </w:tcPr>
          <w:p w14:paraId="7A2665C0" w14:textId="450FD5C9"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22</w:t>
            </w:r>
          </w:p>
        </w:tc>
        <w:tc>
          <w:tcPr>
            <w:tcW w:w="1148" w:type="pct"/>
            <w:noWrap/>
            <w:vAlign w:val="center"/>
          </w:tcPr>
          <w:p w14:paraId="2E1A6A84" w14:textId="31098A6C"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26,8</w:t>
            </w:r>
          </w:p>
        </w:tc>
      </w:tr>
      <w:tr w:rsidR="00247F61" w:rsidRPr="00256DA1" w14:paraId="5D60B9CB" w14:textId="77777777" w:rsidTr="0085285D">
        <w:trPr>
          <w:trHeight w:val="397"/>
        </w:trPr>
        <w:tc>
          <w:tcPr>
            <w:tcW w:w="2704" w:type="pct"/>
            <w:shd w:val="clear" w:color="auto" w:fill="auto"/>
            <w:noWrap/>
            <w:vAlign w:val="center"/>
            <w:hideMark/>
          </w:tcPr>
          <w:p w14:paraId="14D44C7A" w14:textId="77777777" w:rsidR="00247F61" w:rsidRPr="00256DA1" w:rsidRDefault="00247F61" w:rsidP="00247F61">
            <w:pPr>
              <w:spacing w:after="0"/>
              <w:jc w:val="left"/>
              <w:rPr>
                <w:rFonts w:asciiTheme="minorHAnsi" w:hAnsiTheme="minorHAnsi" w:cstheme="minorHAnsi"/>
                <w:color w:val="FFFFFF" w:themeColor="background1"/>
                <w:sz w:val="20"/>
                <w:szCs w:val="20"/>
              </w:rPr>
            </w:pPr>
            <w:r w:rsidRPr="00256DA1">
              <w:rPr>
                <w:rFonts w:asciiTheme="minorHAnsi" w:hAnsiTheme="minorHAnsi" w:cstheme="minorHAnsi"/>
                <w:sz w:val="20"/>
                <w:szCs w:val="20"/>
              </w:rPr>
              <w:t>Cel nieosiągnięty - pogorszenie stanu</w:t>
            </w:r>
          </w:p>
        </w:tc>
        <w:tc>
          <w:tcPr>
            <w:tcW w:w="1148" w:type="pct"/>
            <w:noWrap/>
            <w:vAlign w:val="center"/>
          </w:tcPr>
          <w:p w14:paraId="2F869699" w14:textId="40E4BC87"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0</w:t>
            </w:r>
          </w:p>
        </w:tc>
        <w:tc>
          <w:tcPr>
            <w:tcW w:w="1148" w:type="pct"/>
            <w:noWrap/>
            <w:vAlign w:val="center"/>
          </w:tcPr>
          <w:p w14:paraId="594C40D9" w14:textId="775A7B14"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0,0</w:t>
            </w:r>
          </w:p>
        </w:tc>
      </w:tr>
      <w:tr w:rsidR="00247F61" w:rsidRPr="00256DA1" w14:paraId="66FD98B2" w14:textId="77777777" w:rsidTr="0085285D">
        <w:trPr>
          <w:trHeight w:val="397"/>
        </w:trPr>
        <w:tc>
          <w:tcPr>
            <w:tcW w:w="2704" w:type="pct"/>
            <w:shd w:val="clear" w:color="auto" w:fill="auto"/>
            <w:noWrap/>
            <w:vAlign w:val="center"/>
            <w:hideMark/>
          </w:tcPr>
          <w:p w14:paraId="62C48F57" w14:textId="77777777" w:rsidR="00247F61" w:rsidRPr="00256DA1" w:rsidRDefault="00247F61" w:rsidP="00247F61">
            <w:pPr>
              <w:spacing w:after="0"/>
              <w:jc w:val="left"/>
              <w:rPr>
                <w:rFonts w:asciiTheme="minorHAnsi" w:hAnsiTheme="minorHAnsi" w:cstheme="minorHAnsi"/>
                <w:color w:val="FFFFFF" w:themeColor="background1"/>
                <w:sz w:val="20"/>
                <w:szCs w:val="20"/>
              </w:rPr>
            </w:pPr>
            <w:r w:rsidRPr="00256DA1">
              <w:rPr>
                <w:rFonts w:asciiTheme="minorHAnsi" w:hAnsiTheme="minorHAnsi" w:cstheme="minorHAnsi"/>
                <w:sz w:val="20"/>
                <w:szCs w:val="20"/>
              </w:rPr>
              <w:t>Cel osiągnięty - utrzymanie dobrego stanu</w:t>
            </w:r>
          </w:p>
        </w:tc>
        <w:tc>
          <w:tcPr>
            <w:tcW w:w="1148" w:type="pct"/>
            <w:noWrap/>
            <w:vAlign w:val="center"/>
          </w:tcPr>
          <w:p w14:paraId="29BBDA58" w14:textId="167CD089"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3</w:t>
            </w:r>
          </w:p>
        </w:tc>
        <w:tc>
          <w:tcPr>
            <w:tcW w:w="1148" w:type="pct"/>
            <w:noWrap/>
            <w:vAlign w:val="center"/>
          </w:tcPr>
          <w:p w14:paraId="26B41E5D" w14:textId="6334D927"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3,7</w:t>
            </w:r>
          </w:p>
        </w:tc>
      </w:tr>
      <w:tr w:rsidR="00247F61" w:rsidRPr="00256DA1" w14:paraId="1ED8A16A" w14:textId="77777777" w:rsidTr="0085285D">
        <w:trPr>
          <w:trHeight w:val="397"/>
        </w:trPr>
        <w:tc>
          <w:tcPr>
            <w:tcW w:w="2704" w:type="pct"/>
            <w:shd w:val="clear" w:color="auto" w:fill="auto"/>
            <w:noWrap/>
            <w:vAlign w:val="center"/>
            <w:hideMark/>
          </w:tcPr>
          <w:p w14:paraId="29D7C65F" w14:textId="77777777" w:rsidR="00247F61" w:rsidRPr="00256DA1" w:rsidRDefault="00247F61" w:rsidP="00247F61">
            <w:pPr>
              <w:spacing w:after="0"/>
              <w:jc w:val="left"/>
              <w:rPr>
                <w:rFonts w:asciiTheme="minorHAnsi" w:hAnsiTheme="minorHAnsi" w:cstheme="minorHAnsi"/>
                <w:color w:val="FFFFFF" w:themeColor="background1"/>
                <w:sz w:val="20"/>
                <w:szCs w:val="20"/>
              </w:rPr>
            </w:pPr>
            <w:r w:rsidRPr="00256DA1">
              <w:rPr>
                <w:rFonts w:asciiTheme="minorHAnsi" w:hAnsiTheme="minorHAnsi" w:cstheme="minorHAnsi"/>
                <w:sz w:val="20"/>
                <w:szCs w:val="20"/>
              </w:rPr>
              <w:t>Cel osiągnięty - poprawa stanu</w:t>
            </w:r>
          </w:p>
        </w:tc>
        <w:tc>
          <w:tcPr>
            <w:tcW w:w="1148" w:type="pct"/>
            <w:noWrap/>
            <w:vAlign w:val="center"/>
          </w:tcPr>
          <w:p w14:paraId="55E1FEF4" w14:textId="06FFC904"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1</w:t>
            </w:r>
          </w:p>
        </w:tc>
        <w:tc>
          <w:tcPr>
            <w:tcW w:w="1148" w:type="pct"/>
            <w:noWrap/>
            <w:vAlign w:val="center"/>
          </w:tcPr>
          <w:p w14:paraId="59FECBAD" w14:textId="339E3F1F"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1,2</w:t>
            </w:r>
          </w:p>
        </w:tc>
      </w:tr>
      <w:tr w:rsidR="00247F61" w:rsidRPr="00256DA1" w14:paraId="0F5D69DD" w14:textId="77777777" w:rsidTr="0085285D">
        <w:trPr>
          <w:trHeight w:val="397"/>
        </w:trPr>
        <w:tc>
          <w:tcPr>
            <w:tcW w:w="2704" w:type="pct"/>
            <w:shd w:val="clear" w:color="auto" w:fill="auto"/>
            <w:noWrap/>
            <w:vAlign w:val="center"/>
            <w:hideMark/>
          </w:tcPr>
          <w:p w14:paraId="77B512C1" w14:textId="77777777" w:rsidR="00247F61" w:rsidRPr="00256DA1" w:rsidRDefault="00247F61" w:rsidP="00247F61">
            <w:pPr>
              <w:spacing w:after="0"/>
              <w:jc w:val="left"/>
              <w:rPr>
                <w:rFonts w:asciiTheme="minorHAnsi" w:hAnsiTheme="minorHAnsi" w:cstheme="minorHAnsi"/>
                <w:color w:val="FFFFFF" w:themeColor="background1"/>
                <w:sz w:val="20"/>
                <w:szCs w:val="20"/>
              </w:rPr>
            </w:pPr>
            <w:r w:rsidRPr="00256DA1">
              <w:rPr>
                <w:rFonts w:asciiTheme="minorHAnsi" w:hAnsiTheme="minorHAnsi" w:cstheme="minorHAnsi"/>
                <w:sz w:val="20"/>
                <w:szCs w:val="20"/>
              </w:rPr>
              <w:t>Brak możliwości oceny postępu</w:t>
            </w:r>
          </w:p>
        </w:tc>
        <w:tc>
          <w:tcPr>
            <w:tcW w:w="1148" w:type="pct"/>
            <w:noWrap/>
            <w:vAlign w:val="center"/>
          </w:tcPr>
          <w:p w14:paraId="789D7F9B" w14:textId="61B882C7"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56</w:t>
            </w:r>
          </w:p>
        </w:tc>
        <w:tc>
          <w:tcPr>
            <w:tcW w:w="1148" w:type="pct"/>
            <w:noWrap/>
            <w:vAlign w:val="center"/>
          </w:tcPr>
          <w:p w14:paraId="4D354323" w14:textId="4051283F" w:rsidR="00247F61" w:rsidRPr="00256DA1" w:rsidRDefault="00247F61" w:rsidP="00247F61">
            <w:pPr>
              <w:spacing w:after="0"/>
              <w:jc w:val="center"/>
              <w:rPr>
                <w:rFonts w:asciiTheme="minorHAnsi" w:hAnsiTheme="minorHAnsi" w:cstheme="minorHAnsi"/>
                <w:color w:val="000000"/>
                <w:sz w:val="20"/>
                <w:szCs w:val="20"/>
              </w:rPr>
            </w:pPr>
            <w:r w:rsidRPr="00256DA1">
              <w:rPr>
                <w:rFonts w:cs="Calibri"/>
                <w:color w:val="000000"/>
                <w:sz w:val="20"/>
                <w:szCs w:val="20"/>
              </w:rPr>
              <w:t>68,3</w:t>
            </w:r>
          </w:p>
        </w:tc>
      </w:tr>
      <w:tr w:rsidR="00E70F04" w:rsidRPr="00256DA1" w14:paraId="40B0873C" w14:textId="77777777" w:rsidTr="00B25052">
        <w:trPr>
          <w:trHeight w:val="397"/>
        </w:trPr>
        <w:tc>
          <w:tcPr>
            <w:tcW w:w="2704" w:type="pct"/>
            <w:shd w:val="clear" w:color="auto" w:fill="BFBFBF" w:themeFill="background1" w:themeFillShade="BF"/>
            <w:noWrap/>
            <w:vAlign w:val="center"/>
          </w:tcPr>
          <w:p w14:paraId="7B45BE31" w14:textId="0875510F" w:rsidR="00E70F04" w:rsidRPr="00256DA1" w:rsidRDefault="00E70F04" w:rsidP="00B25052">
            <w:pPr>
              <w:spacing w:before="0" w:after="0"/>
              <w:jc w:val="center"/>
              <w:rPr>
                <w:rFonts w:asciiTheme="minorHAnsi" w:hAnsiTheme="minorHAnsi" w:cstheme="minorHAnsi"/>
                <w:sz w:val="20"/>
                <w:szCs w:val="20"/>
              </w:rPr>
            </w:pPr>
            <w:r w:rsidRPr="00256DA1">
              <w:rPr>
                <w:rFonts w:asciiTheme="minorHAnsi" w:hAnsiTheme="minorHAnsi" w:cstheme="minorHAnsi"/>
                <w:b/>
                <w:bCs/>
                <w:sz w:val="20"/>
                <w:szCs w:val="20"/>
              </w:rPr>
              <w:t xml:space="preserve">Liczba jcwp </w:t>
            </w:r>
            <w:r w:rsidR="003A03D4">
              <w:rPr>
                <w:rFonts w:asciiTheme="minorHAnsi" w:hAnsiTheme="minorHAnsi" w:cstheme="minorHAnsi"/>
                <w:b/>
                <w:bCs/>
                <w:sz w:val="20"/>
                <w:szCs w:val="20"/>
              </w:rPr>
              <w:t xml:space="preserve">RW </w:t>
            </w:r>
            <w:r w:rsidRPr="00256DA1">
              <w:rPr>
                <w:rFonts w:asciiTheme="minorHAnsi" w:hAnsiTheme="minorHAnsi" w:cstheme="minorHAnsi"/>
                <w:b/>
                <w:bCs/>
                <w:sz w:val="20"/>
                <w:szCs w:val="20"/>
              </w:rPr>
              <w:t xml:space="preserve">w </w:t>
            </w:r>
            <w:r>
              <w:rPr>
                <w:rFonts w:asciiTheme="minorHAnsi" w:hAnsiTheme="minorHAnsi" w:cstheme="minorHAnsi"/>
                <w:b/>
                <w:bCs/>
                <w:sz w:val="20"/>
                <w:szCs w:val="20"/>
              </w:rPr>
              <w:t xml:space="preserve">obszarze </w:t>
            </w:r>
            <w:r w:rsidRPr="00256DA1">
              <w:rPr>
                <w:rFonts w:asciiTheme="minorHAnsi" w:hAnsiTheme="minorHAnsi" w:cstheme="minorHAnsi"/>
                <w:b/>
                <w:bCs/>
                <w:sz w:val="20"/>
                <w:szCs w:val="20"/>
              </w:rPr>
              <w:t>dorzecz</w:t>
            </w:r>
            <w:r>
              <w:rPr>
                <w:rFonts w:asciiTheme="minorHAnsi" w:hAnsiTheme="minorHAnsi" w:cstheme="minorHAnsi"/>
                <w:b/>
                <w:bCs/>
                <w:sz w:val="20"/>
                <w:szCs w:val="20"/>
              </w:rPr>
              <w:t>a</w:t>
            </w:r>
          </w:p>
        </w:tc>
        <w:tc>
          <w:tcPr>
            <w:tcW w:w="1148" w:type="pct"/>
            <w:shd w:val="clear" w:color="auto" w:fill="BFBFBF" w:themeFill="background1" w:themeFillShade="BF"/>
            <w:noWrap/>
            <w:vAlign w:val="center"/>
          </w:tcPr>
          <w:p w14:paraId="3D9E5563" w14:textId="77D8BF4F" w:rsidR="00E70F04" w:rsidRPr="00256DA1" w:rsidRDefault="00E70F04" w:rsidP="00B25052">
            <w:pPr>
              <w:spacing w:before="0" w:after="0"/>
              <w:jc w:val="center"/>
              <w:rPr>
                <w:rFonts w:cs="Calibri"/>
                <w:color w:val="000000"/>
                <w:sz w:val="20"/>
                <w:szCs w:val="20"/>
              </w:rPr>
            </w:pPr>
            <w:r w:rsidRPr="00256DA1">
              <w:rPr>
                <w:rFonts w:cs="Calibri"/>
                <w:b/>
                <w:bCs/>
                <w:color w:val="000000"/>
                <w:sz w:val="20"/>
                <w:szCs w:val="20"/>
              </w:rPr>
              <w:t>82</w:t>
            </w:r>
          </w:p>
        </w:tc>
        <w:tc>
          <w:tcPr>
            <w:tcW w:w="1148" w:type="pct"/>
            <w:shd w:val="clear" w:color="auto" w:fill="BFBFBF" w:themeFill="background1" w:themeFillShade="BF"/>
            <w:noWrap/>
            <w:vAlign w:val="center"/>
          </w:tcPr>
          <w:p w14:paraId="7E3E8CE7" w14:textId="51302B24" w:rsidR="00E70F04" w:rsidRPr="00256DA1" w:rsidRDefault="00E70F04" w:rsidP="00B25052">
            <w:pPr>
              <w:spacing w:before="0" w:after="0"/>
              <w:jc w:val="center"/>
              <w:rPr>
                <w:rFonts w:cs="Calibri"/>
                <w:color w:val="000000"/>
                <w:sz w:val="20"/>
                <w:szCs w:val="20"/>
              </w:rPr>
            </w:pPr>
            <w:r w:rsidRPr="00256DA1">
              <w:rPr>
                <w:rFonts w:cs="Calibri"/>
                <w:b/>
                <w:bCs/>
                <w:color w:val="000000"/>
                <w:sz w:val="20"/>
                <w:szCs w:val="20"/>
              </w:rPr>
              <w:t>100,0</w:t>
            </w:r>
          </w:p>
        </w:tc>
      </w:tr>
    </w:tbl>
    <w:p w14:paraId="0DB2F617" w14:textId="562584B4" w:rsidR="005848EA" w:rsidRPr="002A0524" w:rsidRDefault="005848EA" w:rsidP="005848EA">
      <w:pPr>
        <w:pStyle w:val="rdo0"/>
        <w:rPr>
          <w:color w:val="000099"/>
        </w:rPr>
      </w:pPr>
      <w:r w:rsidRPr="002A0524">
        <w:t xml:space="preserve">Źródło: </w:t>
      </w:r>
      <w:r w:rsidR="00553428">
        <w:t xml:space="preserve">opracowanie </w:t>
      </w:r>
      <w:r w:rsidR="00B773E9">
        <w:t>własne</w:t>
      </w:r>
      <w:r>
        <w:rPr>
          <w:color w:val="000099"/>
        </w:rPr>
        <w:t xml:space="preserve"> </w:t>
      </w:r>
      <w:r w:rsidRPr="002A0524">
        <w:rPr>
          <w:color w:val="000099"/>
        </w:rPr>
        <w:t xml:space="preserve">na podstawie danych </w:t>
      </w:r>
      <w:r w:rsidR="00247F61">
        <w:rPr>
          <w:color w:val="000099"/>
        </w:rPr>
        <w:t>GIOŚ</w:t>
      </w:r>
    </w:p>
    <w:p w14:paraId="259789AD" w14:textId="2220CA85" w:rsidR="005848EA" w:rsidRDefault="00247F61" w:rsidP="005848EA">
      <w:pPr>
        <w:rPr>
          <w:i/>
          <w:iCs/>
        </w:rPr>
      </w:pPr>
      <w:bookmarkStart w:id="255" w:name="_Hlk66376232"/>
      <w:r>
        <w:t xml:space="preserve">Powodów wpływających na nieosiągnięcie dobrego stanu chemicznego jcwp jest wiele. Począwszy od niskiej skuteczności wprowadzanych działań przez uwarunkowania środowiskowe zlewni a kończąc na dopływie zanieczyszczeń antropogenicznych, co zostało przedstawione w </w:t>
      </w:r>
      <w:r w:rsidRPr="00540489">
        <w:t>rozdziale 7 IIaPGW</w:t>
      </w:r>
      <w:r>
        <w:t xml:space="preserve"> niniejszego opracowania. Biorąc pod uwagę aspekty niezwiązane z bezpośrednim dopływem zanieczyszczeń do zlewni, najczęstszą przyczyną nieosiągnięcia celów środowiskowych w jcwp było przekroczenie wartości granicznych w biocie, czyli matrycy wprowadzonej do Państwowego Monitoringu Środowiska w 2016 roku. Dodatkowo wykazano także przekroczenia EQS w stosunku do nowych substancji, dodanych do grupy wskaźników chemicznych w myśl dyrektywy </w:t>
      </w:r>
      <w:r>
        <w:rPr>
          <w:rFonts w:cs="Calibri"/>
          <w:color w:val="000000"/>
        </w:rPr>
        <w:t xml:space="preserve">2013/39/UE, co było znaczącą przyczyną obniżenia stanu 18 jcwp rzecznych. Ponadto, istotnym powodem nieosiągnięcia celów środowiskowych </w:t>
      </w:r>
      <w:r w:rsidR="00474ABF">
        <w:t xml:space="preserve">w obszarze dorzecza </w:t>
      </w:r>
      <w:r>
        <w:rPr>
          <w:rFonts w:cs="Calibri"/>
          <w:color w:val="000000"/>
        </w:rPr>
        <w:t xml:space="preserve">Pregoły był </w:t>
      </w:r>
      <w:r>
        <w:t xml:space="preserve">słaby stopień realizacji lub skuteczności działań z aPWŚK (18 jcwp), co związane było między innymi z niedopasowaniem działań do źródła presji. Niemniej jednak na obniżenie stanu chemicznego jcwp w znacznym stopniu wpłynęły także zmiany legislacyjne, w tym przypadku rozumiane jako obniżenie wartości </w:t>
      </w:r>
      <w:r w:rsidRPr="00540489">
        <w:t xml:space="preserve">granicznych mierzonych wskaźników (15 </w:t>
      </w:r>
      <w:r w:rsidRPr="008C0B70">
        <w:t>jcwp) (tabela 9-6). Ponadto w niektórych przypadkach wykazano, iż zestaw wdrożonych działań powoduje redukcję stężeń substancji priorytetowych oraz innych substancji zanieczyszczających. Jednak ze względu np. na znaczne przekroczenie wartości granicznej, nie odnotowuje się wystarczającego obniżenia stężeń w jednym cyklu planistycznym. Dodatkowo przeprowadzone analizy wykazały, że stopień osiągnięcia celów środowiskowych w rzekach jest także zależny od uwarunkowań zlewni. Pomimo wprowadzanych działań mających na celu ograniczanie dopływu zanieczyszczeń do jcwp, niski potencjał sorpcyjny zlewni (na poziomie 5) nie sprzyjał poprawie stanu chemicznego jednolitych części wód powierzchniowych</w:t>
      </w:r>
      <w:bookmarkEnd w:id="255"/>
      <w:r w:rsidRPr="008C0B70">
        <w:t xml:space="preserve"> </w:t>
      </w:r>
      <w:r w:rsidR="005848EA" w:rsidRPr="008C0B70">
        <w:t>(tabela 9-6).</w:t>
      </w:r>
    </w:p>
    <w:p w14:paraId="418989F7" w14:textId="30552814" w:rsidR="005848EA" w:rsidRDefault="005848EA" w:rsidP="006802BB">
      <w:pPr>
        <w:pStyle w:val="Tabela"/>
      </w:pPr>
      <w:bookmarkStart w:id="256" w:name="_Toc66311298"/>
      <w:bookmarkStart w:id="257" w:name="_Toc68727002"/>
      <w:r>
        <w:t xml:space="preserve">Tabela </w:t>
      </w:r>
      <w:fldSimple w:instr=" STYLEREF 1 \s ">
        <w:r w:rsidR="007B4050">
          <w:rPr>
            <w:noProof/>
          </w:rPr>
          <w:t>9</w:t>
        </w:r>
      </w:fldSimple>
      <w:r w:rsidR="007B4050">
        <w:noBreakHyphen/>
      </w:r>
      <w:fldSimple w:instr=" SEQ Tabela \* ARABIC \s 1 ">
        <w:r w:rsidR="007B4050">
          <w:rPr>
            <w:noProof/>
          </w:rPr>
          <w:t>6</w:t>
        </w:r>
      </w:fldSimple>
      <w:r>
        <w:tab/>
      </w:r>
      <w:r w:rsidRPr="002F31F3">
        <w:t xml:space="preserve">Analiza przyczyn wpływających na brak postępu w osiąganiu celów środowiskowych dla </w:t>
      </w:r>
      <w:r>
        <w:t xml:space="preserve">stanu chemicznego </w:t>
      </w:r>
      <w:r w:rsidRPr="002F31F3">
        <w:t xml:space="preserve">w obszarze dorzecza </w:t>
      </w:r>
      <w:r w:rsidR="00247F61">
        <w:t>Pregoły</w:t>
      </w:r>
      <w:r>
        <w:t xml:space="preserve"> </w:t>
      </w:r>
      <w:r>
        <w:rPr>
          <w:rFonts w:asciiTheme="minorHAnsi" w:hAnsiTheme="minorHAnsi" w:cstheme="minorHAnsi"/>
        </w:rPr>
        <w:t xml:space="preserve">bazując na nowym układzie planistycznym IIaPGW </w:t>
      </w:r>
      <w:r w:rsidR="00D06F33">
        <w:rPr>
          <w:rFonts w:asciiTheme="minorHAnsi" w:hAnsiTheme="minorHAnsi" w:cstheme="minorHAnsi"/>
        </w:rPr>
        <w:t>(2022-2027)</w:t>
      </w:r>
      <w:r w:rsidR="00024FDD">
        <w:rPr>
          <w:rFonts w:asciiTheme="minorHAnsi" w:hAnsiTheme="minorHAnsi" w:cstheme="minorHAnsi"/>
        </w:rPr>
        <w:t xml:space="preserve"> </w:t>
      </w:r>
      <w:r>
        <w:t>- jcwp RW</w:t>
      </w:r>
      <w:bookmarkEnd w:id="256"/>
      <w:bookmarkEnd w:id="257"/>
    </w:p>
    <w:tbl>
      <w:tblPr>
        <w:tblStyle w:val="Tabela-Siatka"/>
        <w:tblW w:w="5000" w:type="pct"/>
        <w:jc w:val="center"/>
        <w:tblLook w:val="04A0" w:firstRow="1" w:lastRow="0" w:firstColumn="1" w:lastColumn="0" w:noHBand="0" w:noVBand="1"/>
      </w:tblPr>
      <w:tblGrid>
        <w:gridCol w:w="3993"/>
        <w:gridCol w:w="2381"/>
        <w:gridCol w:w="2688"/>
      </w:tblGrid>
      <w:tr w:rsidR="005848EA" w:rsidRPr="002A0524" w14:paraId="16F0A694" w14:textId="77777777" w:rsidTr="00D77949">
        <w:trPr>
          <w:trHeight w:val="340"/>
          <w:tblHeader/>
          <w:jc w:val="center"/>
        </w:trPr>
        <w:tc>
          <w:tcPr>
            <w:tcW w:w="5000" w:type="pct"/>
            <w:gridSpan w:val="3"/>
            <w:shd w:val="clear" w:color="auto" w:fill="A6A6A6" w:themeFill="background1" w:themeFillShade="A6"/>
            <w:noWrap/>
            <w:vAlign w:val="center"/>
            <w:hideMark/>
          </w:tcPr>
          <w:p w14:paraId="547E9395" w14:textId="4C0B1366" w:rsidR="005848EA" w:rsidRPr="002A0524" w:rsidRDefault="00A90DE5" w:rsidP="00A90DE5">
            <w:pPr>
              <w:spacing w:before="0" w:after="0"/>
              <w:jc w:val="center"/>
              <w:rPr>
                <w:rFonts w:asciiTheme="minorHAnsi" w:hAnsiTheme="minorHAnsi" w:cstheme="minorHAnsi"/>
                <w:b/>
                <w:bCs/>
                <w:sz w:val="20"/>
                <w:szCs w:val="20"/>
              </w:rPr>
            </w:pPr>
            <w:r>
              <w:rPr>
                <w:rFonts w:asciiTheme="minorHAnsi" w:hAnsiTheme="minorHAnsi" w:cstheme="minorHAnsi"/>
                <w:b/>
                <w:bCs/>
                <w:sz w:val="20"/>
                <w:szCs w:val="20"/>
              </w:rPr>
              <w:t>Analiza przyczyn braku postępu</w:t>
            </w:r>
            <w:r w:rsidRPr="002A0524">
              <w:rPr>
                <w:rFonts w:asciiTheme="minorHAnsi" w:hAnsiTheme="minorHAnsi" w:cstheme="minorHAnsi"/>
                <w:b/>
                <w:bCs/>
                <w:sz w:val="20"/>
                <w:szCs w:val="20"/>
              </w:rPr>
              <w:t xml:space="preserve"> </w:t>
            </w:r>
            <w:r>
              <w:rPr>
                <w:rFonts w:asciiTheme="minorHAnsi" w:hAnsiTheme="minorHAnsi" w:cstheme="minorHAnsi"/>
                <w:b/>
                <w:bCs/>
                <w:sz w:val="20"/>
                <w:szCs w:val="20"/>
              </w:rPr>
              <w:t>w osiąganiu celu środowiskowego</w:t>
            </w:r>
            <w:r w:rsidR="005848EA" w:rsidRPr="002A0524">
              <w:rPr>
                <w:rFonts w:asciiTheme="minorHAnsi" w:hAnsiTheme="minorHAnsi" w:cstheme="minorHAnsi"/>
                <w:b/>
                <w:bCs/>
                <w:sz w:val="20"/>
                <w:szCs w:val="20"/>
              </w:rPr>
              <w:t xml:space="preserve"> </w:t>
            </w:r>
            <w:r w:rsidR="00024FDD">
              <w:rPr>
                <w:rFonts w:asciiTheme="minorHAnsi" w:hAnsiTheme="minorHAnsi" w:cstheme="minorHAnsi"/>
                <w:b/>
                <w:bCs/>
                <w:sz w:val="20"/>
                <w:szCs w:val="20"/>
              </w:rPr>
              <w:t>dla stanu chemicznego</w:t>
            </w:r>
          </w:p>
        </w:tc>
      </w:tr>
      <w:tr w:rsidR="005848EA" w:rsidRPr="002A0524" w14:paraId="175368E2" w14:textId="77777777" w:rsidTr="00130D05">
        <w:trPr>
          <w:trHeight w:val="340"/>
          <w:tblHeader/>
          <w:jc w:val="center"/>
        </w:trPr>
        <w:tc>
          <w:tcPr>
            <w:tcW w:w="2203" w:type="pct"/>
            <w:shd w:val="clear" w:color="auto" w:fill="BFBFBF" w:themeFill="background1" w:themeFillShade="BF"/>
            <w:noWrap/>
            <w:vAlign w:val="center"/>
            <w:hideMark/>
          </w:tcPr>
          <w:p w14:paraId="29334160" w14:textId="1C0E1EE9" w:rsidR="005848EA" w:rsidRPr="002A0524" w:rsidRDefault="001458F5" w:rsidP="001458F5">
            <w:pPr>
              <w:jc w:val="center"/>
              <w:rPr>
                <w:rFonts w:asciiTheme="minorHAnsi" w:hAnsiTheme="minorHAnsi" w:cstheme="minorHAnsi"/>
                <w:b/>
                <w:bCs/>
                <w:sz w:val="20"/>
                <w:szCs w:val="20"/>
              </w:rPr>
            </w:pPr>
            <w:r>
              <w:rPr>
                <w:rFonts w:asciiTheme="minorHAnsi" w:hAnsiTheme="minorHAnsi" w:cstheme="minorHAnsi"/>
                <w:b/>
                <w:bCs/>
                <w:sz w:val="20"/>
                <w:szCs w:val="20"/>
              </w:rPr>
              <w:t>Przyczyna braku postępu</w:t>
            </w:r>
          </w:p>
        </w:tc>
        <w:tc>
          <w:tcPr>
            <w:tcW w:w="1314" w:type="pct"/>
            <w:shd w:val="clear" w:color="auto" w:fill="BFBFBF" w:themeFill="background1" w:themeFillShade="BF"/>
            <w:noWrap/>
            <w:vAlign w:val="center"/>
            <w:hideMark/>
          </w:tcPr>
          <w:p w14:paraId="2E5FCFE6" w14:textId="59B006EE" w:rsidR="005848EA" w:rsidRPr="002A0524" w:rsidRDefault="005848EA" w:rsidP="00D77949">
            <w:pPr>
              <w:spacing w:before="0" w:after="0"/>
              <w:jc w:val="center"/>
              <w:rPr>
                <w:rFonts w:asciiTheme="minorHAnsi" w:hAnsiTheme="minorHAnsi" w:cstheme="minorHAnsi"/>
                <w:b/>
                <w:bCs/>
                <w:sz w:val="20"/>
                <w:szCs w:val="20"/>
              </w:rPr>
            </w:pPr>
            <w:r w:rsidRPr="002A0524">
              <w:rPr>
                <w:rFonts w:asciiTheme="minorHAnsi" w:hAnsiTheme="minorHAnsi" w:cstheme="minorHAnsi"/>
                <w:b/>
                <w:bCs/>
                <w:sz w:val="20"/>
                <w:szCs w:val="20"/>
              </w:rPr>
              <w:t>Liczba jcwp</w:t>
            </w:r>
            <w:r w:rsidR="00D77949">
              <w:rPr>
                <w:rFonts w:asciiTheme="minorHAnsi" w:hAnsiTheme="minorHAnsi" w:cstheme="minorHAnsi"/>
                <w:b/>
                <w:bCs/>
                <w:sz w:val="20"/>
                <w:szCs w:val="20"/>
              </w:rPr>
              <w:t xml:space="preserve"> RW</w:t>
            </w:r>
          </w:p>
        </w:tc>
        <w:tc>
          <w:tcPr>
            <w:tcW w:w="1483" w:type="pct"/>
            <w:shd w:val="clear" w:color="auto" w:fill="BFBFBF" w:themeFill="background1" w:themeFillShade="BF"/>
            <w:noWrap/>
            <w:vAlign w:val="center"/>
            <w:hideMark/>
          </w:tcPr>
          <w:p w14:paraId="2CB78418" w14:textId="7259F0B6" w:rsidR="005848EA" w:rsidRPr="002A0524" w:rsidRDefault="005848EA" w:rsidP="001458F5">
            <w:pPr>
              <w:spacing w:before="0" w:after="0"/>
              <w:jc w:val="center"/>
              <w:rPr>
                <w:rFonts w:asciiTheme="minorHAnsi" w:hAnsiTheme="minorHAnsi" w:cstheme="minorHAnsi"/>
                <w:b/>
                <w:bCs/>
                <w:sz w:val="20"/>
                <w:szCs w:val="20"/>
              </w:rPr>
            </w:pPr>
            <w:r>
              <w:rPr>
                <w:rFonts w:asciiTheme="minorHAnsi" w:hAnsiTheme="minorHAnsi" w:cstheme="minorHAnsi"/>
                <w:b/>
                <w:bCs/>
                <w:sz w:val="20"/>
                <w:szCs w:val="20"/>
              </w:rPr>
              <w:t xml:space="preserve">Udział </w:t>
            </w:r>
            <w:r w:rsidRPr="002A0524">
              <w:rPr>
                <w:rFonts w:asciiTheme="minorHAnsi" w:hAnsiTheme="minorHAnsi" w:cstheme="minorHAnsi"/>
                <w:b/>
                <w:bCs/>
                <w:sz w:val="20"/>
                <w:szCs w:val="20"/>
              </w:rPr>
              <w:t xml:space="preserve">jcwp </w:t>
            </w:r>
            <w:r>
              <w:rPr>
                <w:rFonts w:asciiTheme="minorHAnsi" w:hAnsiTheme="minorHAnsi" w:cstheme="minorHAnsi"/>
                <w:b/>
                <w:bCs/>
                <w:sz w:val="20"/>
                <w:szCs w:val="20"/>
              </w:rPr>
              <w:t>(%)</w:t>
            </w:r>
          </w:p>
        </w:tc>
      </w:tr>
      <w:tr w:rsidR="005848EA" w:rsidRPr="002A0524" w14:paraId="633F78C3" w14:textId="77777777" w:rsidTr="00D77949">
        <w:trPr>
          <w:trHeight w:val="397"/>
          <w:jc w:val="center"/>
        </w:trPr>
        <w:tc>
          <w:tcPr>
            <w:tcW w:w="5000" w:type="pct"/>
            <w:gridSpan w:val="3"/>
            <w:shd w:val="clear" w:color="auto" w:fill="F2F2F2" w:themeFill="background1" w:themeFillShade="F2"/>
            <w:vAlign w:val="center"/>
            <w:hideMark/>
          </w:tcPr>
          <w:p w14:paraId="75EB699C" w14:textId="77777777" w:rsidR="005848EA" w:rsidRPr="002A0524" w:rsidRDefault="005848EA" w:rsidP="00840CCD">
            <w:pPr>
              <w:spacing w:after="0"/>
              <w:jc w:val="center"/>
              <w:rPr>
                <w:rFonts w:asciiTheme="minorHAnsi" w:hAnsiTheme="minorHAnsi" w:cstheme="minorHAnsi"/>
                <w:sz w:val="20"/>
                <w:szCs w:val="20"/>
              </w:rPr>
            </w:pPr>
            <w:r w:rsidRPr="002A0524">
              <w:rPr>
                <w:rFonts w:asciiTheme="minorHAnsi" w:hAnsiTheme="minorHAnsi" w:cstheme="minorHAnsi"/>
                <w:sz w:val="20"/>
                <w:szCs w:val="20"/>
              </w:rPr>
              <w:t>Zmiany legislacyjne (zmiana wartości granicznych klas)</w:t>
            </w:r>
          </w:p>
        </w:tc>
      </w:tr>
      <w:tr w:rsidR="00247F61" w:rsidRPr="002A0524" w14:paraId="5A1A80FF" w14:textId="77777777" w:rsidTr="00130D05">
        <w:trPr>
          <w:trHeight w:val="340"/>
          <w:jc w:val="center"/>
        </w:trPr>
        <w:tc>
          <w:tcPr>
            <w:tcW w:w="2203" w:type="pct"/>
            <w:noWrap/>
            <w:vAlign w:val="center"/>
            <w:hideMark/>
          </w:tcPr>
          <w:p w14:paraId="1508AAAF"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1314" w:type="pct"/>
            <w:noWrap/>
            <w:vAlign w:val="center"/>
          </w:tcPr>
          <w:p w14:paraId="0888A6E3" w14:textId="0B22F4DE" w:rsidR="00247F61" w:rsidRPr="002A0524" w:rsidRDefault="00247F61" w:rsidP="00247F61">
            <w:pPr>
              <w:spacing w:after="0"/>
              <w:jc w:val="center"/>
              <w:rPr>
                <w:rFonts w:asciiTheme="minorHAnsi" w:hAnsiTheme="minorHAnsi" w:cstheme="minorHAnsi"/>
                <w:sz w:val="20"/>
                <w:szCs w:val="20"/>
              </w:rPr>
            </w:pPr>
            <w:r>
              <w:rPr>
                <w:rFonts w:cs="Calibri"/>
                <w:sz w:val="20"/>
                <w:szCs w:val="20"/>
              </w:rPr>
              <w:t>15</w:t>
            </w:r>
          </w:p>
        </w:tc>
        <w:tc>
          <w:tcPr>
            <w:tcW w:w="1483" w:type="pct"/>
            <w:noWrap/>
            <w:vAlign w:val="center"/>
          </w:tcPr>
          <w:p w14:paraId="7D77057D" w14:textId="695204F4" w:rsidR="00247F61" w:rsidRPr="002A0524" w:rsidRDefault="00247F61" w:rsidP="00247F61">
            <w:pPr>
              <w:spacing w:after="0"/>
              <w:jc w:val="center"/>
              <w:rPr>
                <w:rFonts w:asciiTheme="minorHAnsi" w:hAnsiTheme="minorHAnsi" w:cstheme="minorHAnsi"/>
                <w:sz w:val="20"/>
                <w:szCs w:val="20"/>
              </w:rPr>
            </w:pPr>
            <w:r>
              <w:rPr>
                <w:rFonts w:cs="Calibri"/>
                <w:sz w:val="20"/>
                <w:szCs w:val="20"/>
              </w:rPr>
              <w:t>18,3</w:t>
            </w:r>
          </w:p>
        </w:tc>
      </w:tr>
      <w:tr w:rsidR="00247F61" w:rsidRPr="002A0524" w14:paraId="7551DFAD" w14:textId="77777777" w:rsidTr="00130D05">
        <w:trPr>
          <w:trHeight w:val="340"/>
          <w:jc w:val="center"/>
        </w:trPr>
        <w:tc>
          <w:tcPr>
            <w:tcW w:w="2203" w:type="pct"/>
            <w:noWrap/>
            <w:vAlign w:val="center"/>
            <w:hideMark/>
          </w:tcPr>
          <w:p w14:paraId="45D3A8C1"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1314" w:type="pct"/>
            <w:noWrap/>
            <w:vAlign w:val="center"/>
          </w:tcPr>
          <w:p w14:paraId="63FDC017" w14:textId="10C55135" w:rsidR="00247F61" w:rsidRPr="002A0524" w:rsidRDefault="00247F61" w:rsidP="00247F61">
            <w:pPr>
              <w:spacing w:after="0"/>
              <w:jc w:val="center"/>
              <w:rPr>
                <w:rFonts w:asciiTheme="minorHAnsi" w:hAnsiTheme="minorHAnsi" w:cstheme="minorHAnsi"/>
                <w:sz w:val="20"/>
                <w:szCs w:val="20"/>
              </w:rPr>
            </w:pPr>
            <w:r>
              <w:rPr>
                <w:rFonts w:cs="Calibri"/>
                <w:sz w:val="20"/>
                <w:szCs w:val="20"/>
              </w:rPr>
              <w:t>15</w:t>
            </w:r>
          </w:p>
        </w:tc>
        <w:tc>
          <w:tcPr>
            <w:tcW w:w="1483" w:type="pct"/>
            <w:noWrap/>
            <w:vAlign w:val="center"/>
          </w:tcPr>
          <w:p w14:paraId="18BF133E" w14:textId="47CB6F57" w:rsidR="00247F61" w:rsidRPr="002A0524" w:rsidRDefault="00247F61" w:rsidP="00247F61">
            <w:pPr>
              <w:spacing w:after="0"/>
              <w:jc w:val="center"/>
              <w:rPr>
                <w:rFonts w:asciiTheme="minorHAnsi" w:hAnsiTheme="minorHAnsi" w:cstheme="minorHAnsi"/>
                <w:sz w:val="20"/>
                <w:szCs w:val="20"/>
              </w:rPr>
            </w:pPr>
            <w:r>
              <w:rPr>
                <w:rFonts w:cs="Calibri"/>
                <w:sz w:val="20"/>
                <w:szCs w:val="20"/>
              </w:rPr>
              <w:t>18,3</w:t>
            </w:r>
          </w:p>
        </w:tc>
      </w:tr>
      <w:tr w:rsidR="00247F61" w:rsidRPr="002A0524" w14:paraId="12FDF265" w14:textId="77777777" w:rsidTr="00130D05">
        <w:trPr>
          <w:trHeight w:val="340"/>
          <w:jc w:val="center"/>
        </w:trPr>
        <w:tc>
          <w:tcPr>
            <w:tcW w:w="2203" w:type="pct"/>
            <w:noWrap/>
            <w:vAlign w:val="center"/>
            <w:hideMark/>
          </w:tcPr>
          <w:p w14:paraId="60FEEBDA"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1314" w:type="pct"/>
            <w:noWrap/>
            <w:vAlign w:val="center"/>
          </w:tcPr>
          <w:p w14:paraId="2EAAFBB7" w14:textId="2B5A8B4C" w:rsidR="00247F61" w:rsidRPr="002A0524" w:rsidRDefault="00247F61" w:rsidP="00247F61">
            <w:pPr>
              <w:spacing w:after="0"/>
              <w:jc w:val="center"/>
              <w:rPr>
                <w:rFonts w:asciiTheme="minorHAnsi" w:hAnsiTheme="minorHAnsi" w:cstheme="minorHAnsi"/>
                <w:sz w:val="20"/>
                <w:szCs w:val="20"/>
              </w:rPr>
            </w:pPr>
            <w:r>
              <w:rPr>
                <w:rFonts w:cs="Calibri"/>
                <w:sz w:val="20"/>
                <w:szCs w:val="20"/>
              </w:rPr>
              <w:t>0</w:t>
            </w:r>
          </w:p>
        </w:tc>
        <w:tc>
          <w:tcPr>
            <w:tcW w:w="1483" w:type="pct"/>
            <w:noWrap/>
            <w:vAlign w:val="center"/>
          </w:tcPr>
          <w:p w14:paraId="70875612" w14:textId="1EC55219" w:rsidR="00247F61" w:rsidRPr="002A0524" w:rsidRDefault="00247F61" w:rsidP="00247F61">
            <w:pPr>
              <w:spacing w:after="0"/>
              <w:jc w:val="center"/>
              <w:rPr>
                <w:rFonts w:asciiTheme="minorHAnsi" w:hAnsiTheme="minorHAnsi" w:cstheme="minorHAnsi"/>
                <w:sz w:val="20"/>
                <w:szCs w:val="20"/>
              </w:rPr>
            </w:pPr>
            <w:r>
              <w:rPr>
                <w:rFonts w:cs="Calibri"/>
                <w:sz w:val="20"/>
                <w:szCs w:val="20"/>
              </w:rPr>
              <w:t>0,0</w:t>
            </w:r>
          </w:p>
        </w:tc>
      </w:tr>
      <w:tr w:rsidR="005848EA" w:rsidRPr="002A0524" w14:paraId="07C4D186" w14:textId="77777777" w:rsidTr="00D77949">
        <w:trPr>
          <w:trHeight w:val="397"/>
          <w:jc w:val="center"/>
        </w:trPr>
        <w:tc>
          <w:tcPr>
            <w:tcW w:w="5000" w:type="pct"/>
            <w:gridSpan w:val="3"/>
            <w:shd w:val="clear" w:color="auto" w:fill="F2F2F2" w:themeFill="background1" w:themeFillShade="F2"/>
            <w:vAlign w:val="center"/>
            <w:hideMark/>
          </w:tcPr>
          <w:p w14:paraId="3348B7ED" w14:textId="77777777" w:rsidR="005848EA" w:rsidRPr="00FB667F" w:rsidRDefault="005848EA" w:rsidP="00840CCD">
            <w:pPr>
              <w:spacing w:after="0"/>
              <w:jc w:val="center"/>
              <w:rPr>
                <w:rFonts w:asciiTheme="minorHAnsi" w:hAnsiTheme="minorHAnsi" w:cstheme="minorHAnsi"/>
                <w:sz w:val="20"/>
                <w:szCs w:val="20"/>
              </w:rPr>
            </w:pPr>
            <w:r>
              <w:rPr>
                <w:rFonts w:eastAsia="Times New Roman" w:cs="Calibri"/>
                <w:color w:val="000000" w:themeColor="text1"/>
                <w:sz w:val="20"/>
                <w:szCs w:val="20"/>
                <w:lang w:eastAsia="pl-PL"/>
              </w:rPr>
              <w:t>Zmiana zakresu monitoringu</w:t>
            </w:r>
          </w:p>
        </w:tc>
      </w:tr>
      <w:tr w:rsidR="00247F61" w:rsidRPr="002A0524" w14:paraId="311EB11B" w14:textId="77777777" w:rsidTr="00130D05">
        <w:trPr>
          <w:trHeight w:val="340"/>
          <w:jc w:val="center"/>
        </w:trPr>
        <w:tc>
          <w:tcPr>
            <w:tcW w:w="2203" w:type="pct"/>
            <w:noWrap/>
            <w:vAlign w:val="center"/>
            <w:hideMark/>
          </w:tcPr>
          <w:p w14:paraId="24A6ADAA"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1314" w:type="pct"/>
            <w:noWrap/>
            <w:vAlign w:val="center"/>
          </w:tcPr>
          <w:p w14:paraId="29611E23" w14:textId="6178E4D2" w:rsidR="00247F61" w:rsidRPr="002A0524" w:rsidRDefault="00247F61" w:rsidP="00247F61">
            <w:pPr>
              <w:spacing w:after="0"/>
              <w:jc w:val="center"/>
              <w:rPr>
                <w:rFonts w:asciiTheme="minorHAnsi" w:hAnsiTheme="minorHAnsi" w:cstheme="minorHAnsi"/>
                <w:sz w:val="20"/>
                <w:szCs w:val="20"/>
              </w:rPr>
            </w:pPr>
            <w:r>
              <w:rPr>
                <w:rFonts w:cs="Calibri"/>
                <w:sz w:val="20"/>
                <w:szCs w:val="20"/>
              </w:rPr>
              <w:t>18</w:t>
            </w:r>
          </w:p>
        </w:tc>
        <w:tc>
          <w:tcPr>
            <w:tcW w:w="1483" w:type="pct"/>
            <w:vAlign w:val="center"/>
          </w:tcPr>
          <w:p w14:paraId="0DCDF438" w14:textId="76878444" w:rsidR="00247F61" w:rsidRPr="002A0524" w:rsidRDefault="00247F61" w:rsidP="00247F61">
            <w:pPr>
              <w:spacing w:after="0"/>
              <w:jc w:val="center"/>
              <w:rPr>
                <w:rFonts w:asciiTheme="minorHAnsi" w:hAnsiTheme="minorHAnsi" w:cstheme="minorHAnsi"/>
                <w:sz w:val="20"/>
                <w:szCs w:val="20"/>
              </w:rPr>
            </w:pPr>
            <w:r>
              <w:rPr>
                <w:rFonts w:cs="Calibri"/>
                <w:sz w:val="20"/>
                <w:szCs w:val="20"/>
              </w:rPr>
              <w:t>22,0</w:t>
            </w:r>
          </w:p>
        </w:tc>
      </w:tr>
      <w:tr w:rsidR="00247F61" w:rsidRPr="002A0524" w14:paraId="7764E0D6" w14:textId="77777777" w:rsidTr="00130D05">
        <w:trPr>
          <w:trHeight w:val="340"/>
          <w:jc w:val="center"/>
        </w:trPr>
        <w:tc>
          <w:tcPr>
            <w:tcW w:w="2203" w:type="pct"/>
            <w:noWrap/>
            <w:vAlign w:val="center"/>
            <w:hideMark/>
          </w:tcPr>
          <w:p w14:paraId="017D2B75"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1314" w:type="pct"/>
            <w:noWrap/>
            <w:vAlign w:val="center"/>
          </w:tcPr>
          <w:p w14:paraId="39F8E864" w14:textId="787A995C" w:rsidR="00247F61" w:rsidRPr="002A0524" w:rsidRDefault="00247F61" w:rsidP="00247F61">
            <w:pPr>
              <w:spacing w:after="0"/>
              <w:jc w:val="center"/>
              <w:rPr>
                <w:rFonts w:asciiTheme="minorHAnsi" w:hAnsiTheme="minorHAnsi" w:cstheme="minorHAnsi"/>
                <w:sz w:val="20"/>
                <w:szCs w:val="20"/>
              </w:rPr>
            </w:pPr>
            <w:r>
              <w:rPr>
                <w:rFonts w:cs="Calibri"/>
                <w:sz w:val="20"/>
                <w:szCs w:val="20"/>
              </w:rPr>
              <w:t>18</w:t>
            </w:r>
          </w:p>
        </w:tc>
        <w:tc>
          <w:tcPr>
            <w:tcW w:w="1483" w:type="pct"/>
            <w:vAlign w:val="center"/>
          </w:tcPr>
          <w:p w14:paraId="1CF829B6" w14:textId="2CF8F3D0" w:rsidR="00247F61" w:rsidRPr="002A0524" w:rsidRDefault="00247F61" w:rsidP="00247F61">
            <w:pPr>
              <w:spacing w:after="0"/>
              <w:jc w:val="center"/>
              <w:rPr>
                <w:rFonts w:asciiTheme="minorHAnsi" w:hAnsiTheme="minorHAnsi" w:cstheme="minorHAnsi"/>
                <w:sz w:val="20"/>
                <w:szCs w:val="20"/>
              </w:rPr>
            </w:pPr>
            <w:r>
              <w:rPr>
                <w:rFonts w:cs="Calibri"/>
                <w:sz w:val="20"/>
                <w:szCs w:val="20"/>
              </w:rPr>
              <w:t>22,0</w:t>
            </w:r>
          </w:p>
        </w:tc>
      </w:tr>
      <w:tr w:rsidR="00247F61" w:rsidRPr="002A0524" w14:paraId="55194DBB" w14:textId="77777777" w:rsidTr="00130D05">
        <w:trPr>
          <w:trHeight w:val="340"/>
          <w:jc w:val="center"/>
        </w:trPr>
        <w:tc>
          <w:tcPr>
            <w:tcW w:w="2203" w:type="pct"/>
            <w:noWrap/>
            <w:vAlign w:val="center"/>
            <w:hideMark/>
          </w:tcPr>
          <w:p w14:paraId="74127B02"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1314" w:type="pct"/>
            <w:noWrap/>
            <w:vAlign w:val="center"/>
          </w:tcPr>
          <w:p w14:paraId="0405F2F1" w14:textId="6657AF65" w:rsidR="00247F61" w:rsidRPr="002A0524" w:rsidRDefault="00247F61" w:rsidP="00247F61">
            <w:pPr>
              <w:spacing w:after="0"/>
              <w:jc w:val="center"/>
              <w:rPr>
                <w:rFonts w:asciiTheme="minorHAnsi" w:hAnsiTheme="minorHAnsi" w:cstheme="minorHAnsi"/>
                <w:sz w:val="20"/>
                <w:szCs w:val="20"/>
              </w:rPr>
            </w:pPr>
            <w:r>
              <w:rPr>
                <w:rFonts w:cs="Calibri"/>
                <w:sz w:val="20"/>
                <w:szCs w:val="20"/>
              </w:rPr>
              <w:t>0</w:t>
            </w:r>
          </w:p>
        </w:tc>
        <w:tc>
          <w:tcPr>
            <w:tcW w:w="1483" w:type="pct"/>
            <w:vAlign w:val="center"/>
          </w:tcPr>
          <w:p w14:paraId="7345BAB9" w14:textId="483452BC" w:rsidR="00247F61" w:rsidRPr="002A0524" w:rsidRDefault="00247F61" w:rsidP="00247F61">
            <w:pPr>
              <w:spacing w:after="0"/>
              <w:jc w:val="center"/>
              <w:rPr>
                <w:rFonts w:asciiTheme="minorHAnsi" w:hAnsiTheme="minorHAnsi" w:cstheme="minorHAnsi"/>
                <w:sz w:val="20"/>
                <w:szCs w:val="20"/>
              </w:rPr>
            </w:pPr>
            <w:r>
              <w:rPr>
                <w:rFonts w:cs="Calibri"/>
                <w:sz w:val="20"/>
                <w:szCs w:val="20"/>
              </w:rPr>
              <w:t>0,0</w:t>
            </w:r>
          </w:p>
        </w:tc>
      </w:tr>
      <w:tr w:rsidR="005848EA" w:rsidRPr="002A0524" w14:paraId="7E40D9AA" w14:textId="77777777" w:rsidTr="00D77949">
        <w:trPr>
          <w:trHeight w:val="397"/>
          <w:jc w:val="center"/>
        </w:trPr>
        <w:tc>
          <w:tcPr>
            <w:tcW w:w="5000" w:type="pct"/>
            <w:gridSpan w:val="3"/>
            <w:shd w:val="clear" w:color="auto" w:fill="F2F2F2" w:themeFill="background1" w:themeFillShade="F2"/>
            <w:vAlign w:val="center"/>
            <w:hideMark/>
          </w:tcPr>
          <w:p w14:paraId="46C7E8F5" w14:textId="76E73238" w:rsidR="005848EA" w:rsidRPr="002A0524" w:rsidRDefault="00247F61" w:rsidP="00840CCD">
            <w:pPr>
              <w:spacing w:after="0"/>
              <w:jc w:val="center"/>
              <w:rPr>
                <w:rFonts w:asciiTheme="minorHAnsi" w:hAnsiTheme="minorHAnsi" w:cstheme="minorHAnsi"/>
                <w:sz w:val="20"/>
                <w:szCs w:val="20"/>
              </w:rPr>
            </w:pPr>
            <w:r>
              <w:rPr>
                <w:rFonts w:eastAsia="Times New Roman" w:cs="Calibri"/>
                <w:color w:val="000000"/>
                <w:sz w:val="20"/>
                <w:szCs w:val="20"/>
                <w:lang w:eastAsia="pl-PL"/>
              </w:rPr>
              <w:t>Dalsze występowanie presji (niski stopień realizacji lub skuteczności działań z aPWŚK)</w:t>
            </w:r>
          </w:p>
        </w:tc>
      </w:tr>
      <w:tr w:rsidR="00247F61" w:rsidRPr="002A0524" w14:paraId="48B3E9FE" w14:textId="77777777" w:rsidTr="00130D05">
        <w:trPr>
          <w:trHeight w:val="340"/>
          <w:jc w:val="center"/>
        </w:trPr>
        <w:tc>
          <w:tcPr>
            <w:tcW w:w="2203" w:type="pct"/>
            <w:noWrap/>
            <w:vAlign w:val="center"/>
            <w:hideMark/>
          </w:tcPr>
          <w:p w14:paraId="18EB46B9"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1314" w:type="pct"/>
            <w:noWrap/>
            <w:vAlign w:val="center"/>
          </w:tcPr>
          <w:p w14:paraId="1504D358" w14:textId="5C1F9FBA" w:rsidR="00247F61" w:rsidRPr="002A0524" w:rsidRDefault="00247F61" w:rsidP="00247F61">
            <w:pPr>
              <w:spacing w:after="0"/>
              <w:jc w:val="center"/>
              <w:rPr>
                <w:rFonts w:asciiTheme="minorHAnsi" w:hAnsiTheme="minorHAnsi" w:cstheme="minorHAnsi"/>
                <w:sz w:val="20"/>
                <w:szCs w:val="20"/>
              </w:rPr>
            </w:pPr>
            <w:r>
              <w:rPr>
                <w:rFonts w:cs="Calibri"/>
                <w:sz w:val="20"/>
                <w:szCs w:val="20"/>
              </w:rPr>
              <w:t>18</w:t>
            </w:r>
          </w:p>
        </w:tc>
        <w:tc>
          <w:tcPr>
            <w:tcW w:w="1483" w:type="pct"/>
            <w:vAlign w:val="center"/>
          </w:tcPr>
          <w:p w14:paraId="752C89EB" w14:textId="5591376A" w:rsidR="00247F61" w:rsidRPr="002A0524" w:rsidRDefault="00247F61" w:rsidP="00247F61">
            <w:pPr>
              <w:spacing w:after="0"/>
              <w:jc w:val="center"/>
              <w:rPr>
                <w:rFonts w:asciiTheme="minorHAnsi" w:hAnsiTheme="minorHAnsi" w:cstheme="minorHAnsi"/>
                <w:sz w:val="20"/>
                <w:szCs w:val="20"/>
              </w:rPr>
            </w:pPr>
            <w:r>
              <w:rPr>
                <w:rFonts w:cs="Calibri"/>
                <w:sz w:val="20"/>
                <w:szCs w:val="20"/>
              </w:rPr>
              <w:t>22,0</w:t>
            </w:r>
          </w:p>
        </w:tc>
      </w:tr>
      <w:tr w:rsidR="00247F61" w:rsidRPr="002A0524" w14:paraId="21405467" w14:textId="77777777" w:rsidTr="00130D05">
        <w:trPr>
          <w:trHeight w:val="340"/>
          <w:jc w:val="center"/>
        </w:trPr>
        <w:tc>
          <w:tcPr>
            <w:tcW w:w="2203" w:type="pct"/>
            <w:noWrap/>
            <w:vAlign w:val="center"/>
            <w:hideMark/>
          </w:tcPr>
          <w:p w14:paraId="39248539"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1314" w:type="pct"/>
            <w:noWrap/>
            <w:vAlign w:val="center"/>
          </w:tcPr>
          <w:p w14:paraId="4917AE47" w14:textId="28730797" w:rsidR="00247F61" w:rsidRPr="002A0524" w:rsidRDefault="00247F61" w:rsidP="00247F61">
            <w:pPr>
              <w:spacing w:after="0"/>
              <w:jc w:val="center"/>
              <w:rPr>
                <w:rFonts w:asciiTheme="minorHAnsi" w:hAnsiTheme="minorHAnsi" w:cstheme="minorHAnsi"/>
                <w:sz w:val="20"/>
                <w:szCs w:val="20"/>
              </w:rPr>
            </w:pPr>
            <w:r>
              <w:rPr>
                <w:rFonts w:cs="Calibri"/>
                <w:sz w:val="20"/>
                <w:szCs w:val="20"/>
              </w:rPr>
              <w:t>18</w:t>
            </w:r>
          </w:p>
        </w:tc>
        <w:tc>
          <w:tcPr>
            <w:tcW w:w="1483" w:type="pct"/>
            <w:vAlign w:val="center"/>
          </w:tcPr>
          <w:p w14:paraId="2C85BA14" w14:textId="1E1EC354" w:rsidR="00247F61" w:rsidRPr="002A0524" w:rsidRDefault="00247F61" w:rsidP="00247F61">
            <w:pPr>
              <w:spacing w:after="0"/>
              <w:jc w:val="center"/>
              <w:rPr>
                <w:rFonts w:asciiTheme="minorHAnsi" w:hAnsiTheme="minorHAnsi" w:cstheme="minorHAnsi"/>
                <w:sz w:val="20"/>
                <w:szCs w:val="20"/>
              </w:rPr>
            </w:pPr>
            <w:r>
              <w:rPr>
                <w:rFonts w:cs="Calibri"/>
                <w:sz w:val="20"/>
                <w:szCs w:val="20"/>
              </w:rPr>
              <w:t>22,0</w:t>
            </w:r>
          </w:p>
        </w:tc>
      </w:tr>
      <w:tr w:rsidR="00247F61" w:rsidRPr="002A0524" w14:paraId="5184B402" w14:textId="77777777" w:rsidTr="00130D05">
        <w:trPr>
          <w:trHeight w:val="340"/>
          <w:jc w:val="center"/>
        </w:trPr>
        <w:tc>
          <w:tcPr>
            <w:tcW w:w="2203" w:type="pct"/>
            <w:noWrap/>
            <w:vAlign w:val="center"/>
            <w:hideMark/>
          </w:tcPr>
          <w:p w14:paraId="3BF2C3AB"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1314" w:type="pct"/>
            <w:noWrap/>
            <w:vAlign w:val="center"/>
          </w:tcPr>
          <w:p w14:paraId="6B493F33" w14:textId="0E537691" w:rsidR="00247F61" w:rsidRPr="002A0524" w:rsidRDefault="00247F61" w:rsidP="00247F61">
            <w:pPr>
              <w:spacing w:after="0"/>
              <w:jc w:val="center"/>
              <w:rPr>
                <w:rFonts w:asciiTheme="minorHAnsi" w:hAnsiTheme="minorHAnsi" w:cstheme="minorHAnsi"/>
                <w:sz w:val="20"/>
                <w:szCs w:val="20"/>
              </w:rPr>
            </w:pPr>
            <w:r>
              <w:rPr>
                <w:rFonts w:cs="Calibri"/>
                <w:sz w:val="20"/>
                <w:szCs w:val="20"/>
              </w:rPr>
              <w:t>0</w:t>
            </w:r>
          </w:p>
        </w:tc>
        <w:tc>
          <w:tcPr>
            <w:tcW w:w="1483" w:type="pct"/>
            <w:vAlign w:val="center"/>
          </w:tcPr>
          <w:p w14:paraId="740A7DB0" w14:textId="7DA1E267" w:rsidR="00247F61" w:rsidRPr="002A0524" w:rsidRDefault="00247F61" w:rsidP="00247F61">
            <w:pPr>
              <w:spacing w:after="0"/>
              <w:jc w:val="center"/>
              <w:rPr>
                <w:rFonts w:asciiTheme="minorHAnsi" w:hAnsiTheme="minorHAnsi" w:cstheme="minorHAnsi"/>
                <w:sz w:val="20"/>
                <w:szCs w:val="20"/>
              </w:rPr>
            </w:pPr>
            <w:r>
              <w:rPr>
                <w:rFonts w:cs="Calibri"/>
                <w:sz w:val="20"/>
                <w:szCs w:val="20"/>
              </w:rPr>
              <w:t>0,0</w:t>
            </w:r>
          </w:p>
        </w:tc>
      </w:tr>
      <w:tr w:rsidR="005848EA" w:rsidRPr="002A0524" w14:paraId="2BE448D8" w14:textId="77777777" w:rsidTr="00D77949">
        <w:trPr>
          <w:trHeight w:val="397"/>
          <w:jc w:val="center"/>
        </w:trPr>
        <w:tc>
          <w:tcPr>
            <w:tcW w:w="5000" w:type="pct"/>
            <w:gridSpan w:val="3"/>
            <w:shd w:val="clear" w:color="auto" w:fill="F2F2F2" w:themeFill="background1" w:themeFillShade="F2"/>
            <w:noWrap/>
            <w:vAlign w:val="center"/>
            <w:hideMark/>
          </w:tcPr>
          <w:p w14:paraId="6AFAA04B" w14:textId="77777777" w:rsidR="005848EA" w:rsidRPr="002A0524" w:rsidRDefault="005848EA" w:rsidP="00840CCD">
            <w:pPr>
              <w:spacing w:after="0"/>
              <w:jc w:val="center"/>
              <w:rPr>
                <w:rFonts w:asciiTheme="minorHAnsi" w:hAnsiTheme="minorHAnsi" w:cstheme="minorHAnsi"/>
                <w:sz w:val="20"/>
                <w:szCs w:val="20"/>
              </w:rPr>
            </w:pPr>
            <w:r w:rsidRPr="002A0524">
              <w:rPr>
                <w:rFonts w:asciiTheme="minorHAnsi" w:hAnsiTheme="minorHAnsi" w:cstheme="minorHAnsi"/>
                <w:sz w:val="20"/>
                <w:szCs w:val="20"/>
              </w:rPr>
              <w:t xml:space="preserve">Uwarunkowania </w:t>
            </w:r>
            <w:r>
              <w:rPr>
                <w:rFonts w:asciiTheme="minorHAnsi" w:hAnsiTheme="minorHAnsi" w:cstheme="minorHAnsi"/>
                <w:sz w:val="20"/>
                <w:szCs w:val="20"/>
              </w:rPr>
              <w:t>zlewni</w:t>
            </w:r>
            <w:r w:rsidRPr="002A0524">
              <w:rPr>
                <w:rFonts w:asciiTheme="minorHAnsi" w:hAnsiTheme="minorHAnsi" w:cstheme="minorHAnsi"/>
                <w:sz w:val="20"/>
                <w:szCs w:val="20"/>
              </w:rPr>
              <w:t xml:space="preserve"> (dopływ zanieczyszczeń z innego jcwp, niski potencjał sorpcyjny jcwp)</w:t>
            </w:r>
          </w:p>
        </w:tc>
      </w:tr>
      <w:tr w:rsidR="00247F61" w:rsidRPr="002A0524" w14:paraId="687C43DA" w14:textId="77777777" w:rsidTr="00130D05">
        <w:trPr>
          <w:trHeight w:val="340"/>
          <w:jc w:val="center"/>
        </w:trPr>
        <w:tc>
          <w:tcPr>
            <w:tcW w:w="2203" w:type="pct"/>
            <w:noWrap/>
            <w:vAlign w:val="center"/>
            <w:hideMark/>
          </w:tcPr>
          <w:p w14:paraId="6FCB5A03" w14:textId="77777777" w:rsidR="00247F61" w:rsidRPr="002A0524" w:rsidRDefault="00247F61" w:rsidP="00247F61">
            <w:pPr>
              <w:spacing w:after="0"/>
              <w:jc w:val="left"/>
              <w:rPr>
                <w:rFonts w:asciiTheme="minorHAnsi" w:hAnsiTheme="minorHAnsi" w:cstheme="minorHAnsi"/>
                <w:b/>
                <w:bCs/>
                <w:sz w:val="20"/>
                <w:szCs w:val="20"/>
              </w:rPr>
            </w:pPr>
            <w:r w:rsidRPr="002A0524">
              <w:rPr>
                <w:rFonts w:asciiTheme="minorHAnsi" w:hAnsiTheme="minorHAnsi" w:cstheme="minorHAnsi"/>
                <w:sz w:val="20"/>
                <w:szCs w:val="20"/>
              </w:rPr>
              <w:t>Analizowana przyczyna łącznie</w:t>
            </w:r>
          </w:p>
        </w:tc>
        <w:tc>
          <w:tcPr>
            <w:tcW w:w="1314" w:type="pct"/>
            <w:noWrap/>
            <w:vAlign w:val="center"/>
          </w:tcPr>
          <w:p w14:paraId="6749133B" w14:textId="32092D2D" w:rsidR="00247F61" w:rsidRPr="002A0524" w:rsidRDefault="00247F61" w:rsidP="00247F61">
            <w:pPr>
              <w:spacing w:after="0"/>
              <w:jc w:val="center"/>
              <w:rPr>
                <w:rFonts w:asciiTheme="minorHAnsi" w:hAnsiTheme="minorHAnsi" w:cstheme="minorHAnsi"/>
                <w:sz w:val="20"/>
                <w:szCs w:val="20"/>
              </w:rPr>
            </w:pPr>
            <w:r>
              <w:rPr>
                <w:rFonts w:cs="Calibri"/>
                <w:sz w:val="20"/>
                <w:szCs w:val="20"/>
              </w:rPr>
              <w:t>5</w:t>
            </w:r>
          </w:p>
        </w:tc>
        <w:tc>
          <w:tcPr>
            <w:tcW w:w="1483" w:type="pct"/>
            <w:vAlign w:val="center"/>
          </w:tcPr>
          <w:p w14:paraId="7973BF3B" w14:textId="78165F4F" w:rsidR="00247F61" w:rsidRPr="002A0524" w:rsidRDefault="00247F61" w:rsidP="00247F61">
            <w:pPr>
              <w:spacing w:after="0"/>
              <w:jc w:val="center"/>
              <w:rPr>
                <w:rFonts w:asciiTheme="minorHAnsi" w:hAnsiTheme="minorHAnsi" w:cstheme="minorHAnsi"/>
                <w:sz w:val="20"/>
                <w:szCs w:val="20"/>
              </w:rPr>
            </w:pPr>
            <w:r>
              <w:rPr>
                <w:rFonts w:cs="Calibri"/>
                <w:sz w:val="20"/>
                <w:szCs w:val="20"/>
              </w:rPr>
              <w:t>6,1</w:t>
            </w:r>
          </w:p>
        </w:tc>
      </w:tr>
      <w:tr w:rsidR="00247F61" w:rsidRPr="002A0524" w14:paraId="0D17F491" w14:textId="77777777" w:rsidTr="00130D05">
        <w:trPr>
          <w:trHeight w:val="340"/>
          <w:jc w:val="center"/>
        </w:trPr>
        <w:tc>
          <w:tcPr>
            <w:tcW w:w="2203" w:type="pct"/>
            <w:noWrap/>
            <w:vAlign w:val="center"/>
            <w:hideMark/>
          </w:tcPr>
          <w:p w14:paraId="0243E122"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1314" w:type="pct"/>
            <w:noWrap/>
            <w:vAlign w:val="center"/>
          </w:tcPr>
          <w:p w14:paraId="01208E27" w14:textId="52CF1787" w:rsidR="00247F61" w:rsidRPr="002A0524" w:rsidRDefault="00247F61" w:rsidP="00247F61">
            <w:pPr>
              <w:spacing w:after="0"/>
              <w:jc w:val="center"/>
              <w:rPr>
                <w:rFonts w:asciiTheme="minorHAnsi" w:hAnsiTheme="minorHAnsi" w:cstheme="minorHAnsi"/>
                <w:sz w:val="20"/>
                <w:szCs w:val="20"/>
              </w:rPr>
            </w:pPr>
            <w:r>
              <w:rPr>
                <w:rFonts w:cs="Calibri"/>
                <w:sz w:val="20"/>
                <w:szCs w:val="20"/>
              </w:rPr>
              <w:t>5</w:t>
            </w:r>
          </w:p>
        </w:tc>
        <w:tc>
          <w:tcPr>
            <w:tcW w:w="1483" w:type="pct"/>
            <w:vAlign w:val="center"/>
          </w:tcPr>
          <w:p w14:paraId="58FA1582" w14:textId="718B1997" w:rsidR="00247F61" w:rsidRPr="002A0524" w:rsidRDefault="00247F61" w:rsidP="00247F61">
            <w:pPr>
              <w:spacing w:after="0"/>
              <w:jc w:val="center"/>
              <w:rPr>
                <w:rFonts w:asciiTheme="minorHAnsi" w:hAnsiTheme="minorHAnsi" w:cstheme="minorHAnsi"/>
                <w:sz w:val="20"/>
                <w:szCs w:val="20"/>
              </w:rPr>
            </w:pPr>
            <w:r>
              <w:rPr>
                <w:rFonts w:cs="Calibri"/>
                <w:sz w:val="20"/>
                <w:szCs w:val="20"/>
              </w:rPr>
              <w:t>6,1</w:t>
            </w:r>
          </w:p>
        </w:tc>
      </w:tr>
      <w:tr w:rsidR="00247F61" w:rsidRPr="002A0524" w14:paraId="7155AA6A" w14:textId="77777777" w:rsidTr="00130D05">
        <w:trPr>
          <w:trHeight w:val="340"/>
          <w:jc w:val="center"/>
        </w:trPr>
        <w:tc>
          <w:tcPr>
            <w:tcW w:w="2203" w:type="pct"/>
            <w:noWrap/>
            <w:vAlign w:val="center"/>
            <w:hideMark/>
          </w:tcPr>
          <w:p w14:paraId="6B0E04F6"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1314" w:type="pct"/>
            <w:noWrap/>
            <w:vAlign w:val="center"/>
          </w:tcPr>
          <w:p w14:paraId="13E14A9B" w14:textId="3BE9195B" w:rsidR="00247F61" w:rsidRPr="002A0524" w:rsidRDefault="00247F61" w:rsidP="00247F61">
            <w:pPr>
              <w:spacing w:after="0"/>
              <w:jc w:val="center"/>
              <w:rPr>
                <w:rFonts w:asciiTheme="minorHAnsi" w:hAnsiTheme="minorHAnsi" w:cstheme="minorHAnsi"/>
                <w:sz w:val="20"/>
                <w:szCs w:val="20"/>
              </w:rPr>
            </w:pPr>
            <w:r>
              <w:rPr>
                <w:rFonts w:cs="Calibri"/>
                <w:sz w:val="20"/>
                <w:szCs w:val="20"/>
              </w:rPr>
              <w:t>0</w:t>
            </w:r>
          </w:p>
        </w:tc>
        <w:tc>
          <w:tcPr>
            <w:tcW w:w="1483" w:type="pct"/>
            <w:vAlign w:val="center"/>
          </w:tcPr>
          <w:p w14:paraId="44F7CBE3" w14:textId="2BC6D812" w:rsidR="00247F61" w:rsidRPr="002A0524" w:rsidRDefault="00247F61" w:rsidP="00247F61">
            <w:pPr>
              <w:spacing w:after="0"/>
              <w:jc w:val="center"/>
              <w:rPr>
                <w:rFonts w:asciiTheme="minorHAnsi" w:hAnsiTheme="minorHAnsi" w:cstheme="minorHAnsi"/>
                <w:sz w:val="20"/>
                <w:szCs w:val="20"/>
              </w:rPr>
            </w:pPr>
            <w:r>
              <w:rPr>
                <w:rFonts w:cs="Calibri"/>
                <w:sz w:val="20"/>
                <w:szCs w:val="20"/>
              </w:rPr>
              <w:t>0,0</w:t>
            </w:r>
          </w:p>
        </w:tc>
      </w:tr>
      <w:tr w:rsidR="005848EA" w:rsidRPr="002A0524" w14:paraId="4C84080E" w14:textId="77777777" w:rsidTr="00D77949">
        <w:trPr>
          <w:trHeight w:val="397"/>
          <w:jc w:val="center"/>
        </w:trPr>
        <w:tc>
          <w:tcPr>
            <w:tcW w:w="5000" w:type="pct"/>
            <w:gridSpan w:val="3"/>
            <w:shd w:val="clear" w:color="auto" w:fill="F2F2F2" w:themeFill="background1" w:themeFillShade="F2"/>
            <w:noWrap/>
            <w:vAlign w:val="center"/>
            <w:hideMark/>
          </w:tcPr>
          <w:p w14:paraId="7E77945F" w14:textId="77777777" w:rsidR="005848EA" w:rsidRPr="002A0524" w:rsidRDefault="005848EA" w:rsidP="00840CCD">
            <w:pPr>
              <w:spacing w:after="0"/>
              <w:jc w:val="center"/>
              <w:rPr>
                <w:rFonts w:asciiTheme="minorHAnsi" w:hAnsiTheme="minorHAnsi" w:cstheme="minorHAnsi"/>
                <w:sz w:val="20"/>
                <w:szCs w:val="20"/>
              </w:rPr>
            </w:pPr>
            <w:r w:rsidRPr="002A0524">
              <w:rPr>
                <w:rFonts w:asciiTheme="minorHAnsi" w:hAnsiTheme="minorHAnsi" w:cstheme="minorHAnsi"/>
                <w:sz w:val="20"/>
                <w:szCs w:val="20"/>
              </w:rPr>
              <w:t>Inne (w tym działania niewystarczające do obniżenia presji w jednym cyklu planistycznym)</w:t>
            </w:r>
          </w:p>
        </w:tc>
      </w:tr>
      <w:tr w:rsidR="00247F61" w:rsidRPr="002A0524" w14:paraId="5BA155D9" w14:textId="77777777" w:rsidTr="00130D05">
        <w:trPr>
          <w:trHeight w:val="340"/>
          <w:jc w:val="center"/>
        </w:trPr>
        <w:tc>
          <w:tcPr>
            <w:tcW w:w="2203" w:type="pct"/>
            <w:noWrap/>
            <w:vAlign w:val="center"/>
            <w:hideMark/>
          </w:tcPr>
          <w:p w14:paraId="0035F18F" w14:textId="77777777" w:rsidR="00247F61" w:rsidRPr="002A0524" w:rsidRDefault="00247F61" w:rsidP="00247F61">
            <w:pPr>
              <w:spacing w:after="0"/>
              <w:jc w:val="left"/>
              <w:rPr>
                <w:rFonts w:asciiTheme="minorHAnsi" w:hAnsiTheme="minorHAnsi" w:cstheme="minorHAnsi"/>
                <w:b/>
                <w:bCs/>
                <w:sz w:val="20"/>
                <w:szCs w:val="20"/>
              </w:rPr>
            </w:pPr>
            <w:r w:rsidRPr="002A0524">
              <w:rPr>
                <w:rFonts w:asciiTheme="minorHAnsi" w:hAnsiTheme="minorHAnsi" w:cstheme="minorHAnsi"/>
                <w:sz w:val="20"/>
                <w:szCs w:val="20"/>
              </w:rPr>
              <w:t>Analizowana przyczyna łącznie</w:t>
            </w:r>
          </w:p>
        </w:tc>
        <w:tc>
          <w:tcPr>
            <w:tcW w:w="1314" w:type="pct"/>
            <w:noWrap/>
            <w:vAlign w:val="center"/>
          </w:tcPr>
          <w:p w14:paraId="3080A0B7" w14:textId="03D65318" w:rsidR="00247F61" w:rsidRPr="002A0524" w:rsidRDefault="00247F61" w:rsidP="00247F61">
            <w:pPr>
              <w:spacing w:after="0"/>
              <w:jc w:val="center"/>
              <w:rPr>
                <w:rFonts w:asciiTheme="minorHAnsi" w:hAnsiTheme="minorHAnsi" w:cstheme="minorHAnsi"/>
                <w:sz w:val="20"/>
                <w:szCs w:val="20"/>
              </w:rPr>
            </w:pPr>
            <w:r>
              <w:rPr>
                <w:rFonts w:cs="Calibri"/>
                <w:sz w:val="20"/>
                <w:szCs w:val="20"/>
              </w:rPr>
              <w:t>4</w:t>
            </w:r>
          </w:p>
        </w:tc>
        <w:tc>
          <w:tcPr>
            <w:tcW w:w="1483" w:type="pct"/>
            <w:vAlign w:val="center"/>
          </w:tcPr>
          <w:p w14:paraId="51A254F0" w14:textId="042FB55C" w:rsidR="00247F61" w:rsidRPr="002A0524" w:rsidRDefault="00247F61" w:rsidP="00247F61">
            <w:pPr>
              <w:spacing w:after="0"/>
              <w:jc w:val="center"/>
              <w:rPr>
                <w:rFonts w:asciiTheme="minorHAnsi" w:hAnsiTheme="minorHAnsi" w:cstheme="minorHAnsi"/>
                <w:sz w:val="20"/>
                <w:szCs w:val="20"/>
              </w:rPr>
            </w:pPr>
            <w:r>
              <w:rPr>
                <w:rFonts w:cs="Calibri"/>
                <w:sz w:val="20"/>
                <w:szCs w:val="20"/>
              </w:rPr>
              <w:t>4,9</w:t>
            </w:r>
          </w:p>
        </w:tc>
      </w:tr>
      <w:tr w:rsidR="00247F61" w:rsidRPr="002A0524" w14:paraId="6D89CB78" w14:textId="77777777" w:rsidTr="00130D05">
        <w:trPr>
          <w:trHeight w:val="340"/>
          <w:jc w:val="center"/>
        </w:trPr>
        <w:tc>
          <w:tcPr>
            <w:tcW w:w="2203" w:type="pct"/>
            <w:noWrap/>
            <w:vAlign w:val="center"/>
            <w:hideMark/>
          </w:tcPr>
          <w:p w14:paraId="57675DCB" w14:textId="77777777" w:rsidR="00247F61" w:rsidRPr="002A0524" w:rsidRDefault="00247F61" w:rsidP="00247F61">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1314" w:type="pct"/>
            <w:noWrap/>
            <w:vAlign w:val="center"/>
          </w:tcPr>
          <w:p w14:paraId="3386072B" w14:textId="71409BB9" w:rsidR="00247F61" w:rsidRPr="002A0524" w:rsidRDefault="00247F61" w:rsidP="00247F61">
            <w:pPr>
              <w:spacing w:after="0"/>
              <w:jc w:val="center"/>
              <w:rPr>
                <w:rFonts w:asciiTheme="minorHAnsi" w:hAnsiTheme="minorHAnsi" w:cstheme="minorHAnsi"/>
                <w:sz w:val="20"/>
                <w:szCs w:val="20"/>
              </w:rPr>
            </w:pPr>
            <w:r>
              <w:rPr>
                <w:rFonts w:cs="Calibri"/>
                <w:sz w:val="20"/>
                <w:szCs w:val="20"/>
              </w:rPr>
              <w:t>4</w:t>
            </w:r>
          </w:p>
        </w:tc>
        <w:tc>
          <w:tcPr>
            <w:tcW w:w="1483" w:type="pct"/>
            <w:vAlign w:val="center"/>
          </w:tcPr>
          <w:p w14:paraId="37CDCEF8" w14:textId="437BA473" w:rsidR="00247F61" w:rsidRPr="002A0524" w:rsidRDefault="00247F61" w:rsidP="00247F61">
            <w:pPr>
              <w:spacing w:after="0"/>
              <w:jc w:val="center"/>
              <w:rPr>
                <w:rFonts w:asciiTheme="minorHAnsi" w:hAnsiTheme="minorHAnsi" w:cstheme="minorHAnsi"/>
                <w:sz w:val="20"/>
                <w:szCs w:val="20"/>
              </w:rPr>
            </w:pPr>
            <w:r>
              <w:rPr>
                <w:rFonts w:cs="Calibri"/>
                <w:sz w:val="20"/>
                <w:szCs w:val="20"/>
              </w:rPr>
              <w:t>4,9</w:t>
            </w:r>
          </w:p>
        </w:tc>
      </w:tr>
      <w:tr w:rsidR="00247F61" w:rsidRPr="002A0524" w14:paraId="10F26F7F" w14:textId="77777777" w:rsidTr="00130D05">
        <w:trPr>
          <w:trHeight w:val="340"/>
          <w:jc w:val="center"/>
        </w:trPr>
        <w:tc>
          <w:tcPr>
            <w:tcW w:w="2203" w:type="pct"/>
            <w:noWrap/>
            <w:vAlign w:val="center"/>
            <w:hideMark/>
          </w:tcPr>
          <w:p w14:paraId="5A4FB074" w14:textId="77777777" w:rsidR="00247F61" w:rsidRPr="002A0524" w:rsidRDefault="00247F61" w:rsidP="00D77949">
            <w:pPr>
              <w:spacing w:before="0"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1314" w:type="pct"/>
            <w:noWrap/>
            <w:vAlign w:val="center"/>
          </w:tcPr>
          <w:p w14:paraId="3E3147B4" w14:textId="0B6F0E8D" w:rsidR="00247F61" w:rsidRPr="002A0524" w:rsidRDefault="00247F61" w:rsidP="00D77949">
            <w:pPr>
              <w:spacing w:before="0" w:after="0"/>
              <w:jc w:val="center"/>
              <w:rPr>
                <w:rFonts w:asciiTheme="minorHAnsi" w:hAnsiTheme="minorHAnsi" w:cstheme="minorHAnsi"/>
                <w:sz w:val="20"/>
                <w:szCs w:val="20"/>
              </w:rPr>
            </w:pPr>
            <w:r>
              <w:rPr>
                <w:rFonts w:cs="Calibri"/>
                <w:sz w:val="20"/>
                <w:szCs w:val="20"/>
              </w:rPr>
              <w:t>0</w:t>
            </w:r>
          </w:p>
        </w:tc>
        <w:tc>
          <w:tcPr>
            <w:tcW w:w="1483" w:type="pct"/>
            <w:vAlign w:val="center"/>
          </w:tcPr>
          <w:p w14:paraId="03989E02" w14:textId="63AB7B21" w:rsidR="00247F61" w:rsidRPr="002A0524" w:rsidRDefault="00247F61" w:rsidP="00D77949">
            <w:pPr>
              <w:spacing w:before="0" w:after="0"/>
              <w:jc w:val="center"/>
              <w:rPr>
                <w:rFonts w:asciiTheme="minorHAnsi" w:hAnsiTheme="minorHAnsi" w:cstheme="minorHAnsi"/>
                <w:sz w:val="20"/>
                <w:szCs w:val="20"/>
              </w:rPr>
            </w:pPr>
            <w:r>
              <w:rPr>
                <w:rFonts w:cs="Calibri"/>
                <w:sz w:val="20"/>
                <w:szCs w:val="20"/>
              </w:rPr>
              <w:t>0,0</w:t>
            </w:r>
          </w:p>
        </w:tc>
      </w:tr>
    </w:tbl>
    <w:p w14:paraId="3FAC1A87" w14:textId="5BD1724D" w:rsidR="005848EA" w:rsidRPr="002A0524" w:rsidRDefault="005848EA" w:rsidP="00D77949">
      <w:pPr>
        <w:pStyle w:val="rdo0"/>
        <w:spacing w:before="0" w:after="0"/>
      </w:pPr>
      <w:r w:rsidRPr="002A0524">
        <w:t xml:space="preserve">Źródło: </w:t>
      </w:r>
      <w:r w:rsidR="0085285D">
        <w:t xml:space="preserve">opracowanie </w:t>
      </w:r>
      <w:r w:rsidR="00B773E9">
        <w:t>własne</w:t>
      </w:r>
    </w:p>
    <w:p w14:paraId="4647BD7E" w14:textId="29BF805E" w:rsidR="005848EA" w:rsidRDefault="005848EA" w:rsidP="00B50FFD">
      <w:pPr>
        <w:pStyle w:val="Nagwek3"/>
        <w:rPr>
          <w:bCs/>
        </w:rPr>
      </w:pPr>
      <w:bookmarkStart w:id="258" w:name="_Toc68726871"/>
      <w:r w:rsidRPr="002A0524">
        <w:t>Ocena postępu w osiąganiu celów środowiskowych dla</w:t>
      </w:r>
      <w:r w:rsidRPr="00531E3C">
        <w:t xml:space="preserve"> </w:t>
      </w:r>
      <w:r w:rsidR="00587D71">
        <w:t>stanu/</w:t>
      </w:r>
      <w:r w:rsidRPr="002A0524">
        <w:t xml:space="preserve">potencjału ekologicznego jcwp </w:t>
      </w:r>
      <w:r>
        <w:t>LW</w:t>
      </w:r>
      <w:r w:rsidRPr="002A0524">
        <w:t xml:space="preserve"> w okresie od 2016-2021 r. wraz z wyjaśnieniem przyczyn nieosiągnięcia celów środowiskowych</w:t>
      </w:r>
      <w:bookmarkEnd w:id="258"/>
    </w:p>
    <w:p w14:paraId="53BA91FC" w14:textId="7460AABF" w:rsidR="0037520C" w:rsidRDefault="0037520C" w:rsidP="0037520C">
      <w:r>
        <w:t xml:space="preserve">W </w:t>
      </w:r>
      <w:r w:rsidR="00474ABF">
        <w:t xml:space="preserve">obszarze </w:t>
      </w:r>
      <w:r>
        <w:t>dorzecz</w:t>
      </w:r>
      <w:r w:rsidR="00474ABF">
        <w:t>a</w:t>
      </w:r>
      <w:r>
        <w:t xml:space="preserve"> Pregoły ocenie poddano 43 (42,6%) spośród wszystkich 101 jcwp LW. Dla 58 jezior (57,4%) z uwagi na ograniczone dane monitoringowe i brak możliwości porównania stanów/potencjałów ekologicznych na początku i na końcu okresu porównawczego, ocena postępu była niemożliwa do przeprowadzenia. W okresie od 2016 do 2021 roku cel środowiskowy został utrzymany lub osiągnięty w przypadku 10 jezior, co stanowi 9,9% jcwp jeziornych w </w:t>
      </w:r>
      <w:r w:rsidR="00474ABF">
        <w:t xml:space="preserve">obszarze </w:t>
      </w:r>
      <w:r>
        <w:t>dorzecz</w:t>
      </w:r>
      <w:r w:rsidR="00474ABF">
        <w:t>a</w:t>
      </w:r>
      <w:r>
        <w:t xml:space="preserve">. 7 jezior utrzymało co najmniej dobry stan/potencjał ekologiczny. Dla 3 jcwp osiągnięcie celu środowiskowego spowodowane było efektem poprawy stanu/potencjału ekologicznego. </w:t>
      </w:r>
    </w:p>
    <w:p w14:paraId="5246F858" w14:textId="37713BEE" w:rsidR="000F4C8C" w:rsidRDefault="0037520C" w:rsidP="0037520C">
      <w:r>
        <w:t>Założone cele środowiskowe dla stanu/potencjału ekologicznego nie zostały osiągnięte dla 33 jcwp, tj.</w:t>
      </w:r>
      <w:r w:rsidR="007E5892">
        <w:t> </w:t>
      </w:r>
      <w:r>
        <w:t xml:space="preserve">dla 22,8% jezior </w:t>
      </w:r>
      <w:r w:rsidR="00474ABF">
        <w:t>w obszarze dorzecza</w:t>
      </w:r>
      <w:r>
        <w:t xml:space="preserve">. W 15 przypadkach (14,9% ogólnej liczby jcwp) powodem nieosiągnięcia celów środowiskowych był brak poprawy stanu/potencjału ekologicznego. Niewystarczającą do osiągnięcia celów środowiskowych poprawę klasy stanu/potencjału ekologicznego stwierdzono w przypadku 5 jcwp LW, tj. 5,0% ogółu jezior </w:t>
      </w:r>
      <w:r w:rsidR="00474ABF">
        <w:t>w obszarze dorzecza</w:t>
      </w:r>
      <w:r>
        <w:t>, a</w:t>
      </w:r>
      <w:r w:rsidR="007E5892">
        <w:t> </w:t>
      </w:r>
      <w:r>
        <w:t>pogorszenie do złego stanu/potencjału ekologicznego w 13 kolejnych (12,9%) (tabela 9-7)</w:t>
      </w:r>
      <w:r w:rsidR="005848EA">
        <w:t xml:space="preserve">. </w:t>
      </w:r>
    </w:p>
    <w:p w14:paraId="07B23AFD" w14:textId="607D5D6B" w:rsidR="005848EA" w:rsidRPr="00AD051B" w:rsidRDefault="005848EA" w:rsidP="006802BB">
      <w:pPr>
        <w:pStyle w:val="Tabela"/>
        <w:rPr>
          <w:rFonts w:asciiTheme="minorHAnsi" w:hAnsiTheme="minorHAnsi" w:cstheme="minorBidi"/>
          <w:color w:val="000000" w:themeColor="text1"/>
        </w:rPr>
      </w:pPr>
      <w:bookmarkStart w:id="259" w:name="_Toc66311304"/>
      <w:bookmarkStart w:id="260" w:name="_Toc68727003"/>
      <w:r w:rsidRPr="00B82B80">
        <w:t xml:space="preserve">Tabela </w:t>
      </w:r>
      <w:fldSimple w:instr=" STYLEREF 1 \s ">
        <w:r w:rsidR="007B4050">
          <w:rPr>
            <w:noProof/>
          </w:rPr>
          <w:t>9</w:t>
        </w:r>
      </w:fldSimple>
      <w:r w:rsidR="007B4050">
        <w:noBreakHyphen/>
      </w:r>
      <w:fldSimple w:instr=" SEQ Tabela \* ARABIC \s 1 ">
        <w:r w:rsidR="007B4050">
          <w:rPr>
            <w:noProof/>
          </w:rPr>
          <w:t>7</w:t>
        </w:r>
      </w:fldSimple>
      <w:r w:rsidRPr="00B82B80">
        <w:tab/>
      </w:r>
      <w:bookmarkEnd w:id="259"/>
      <w:r w:rsidR="0037520C" w:rsidRPr="0037520C">
        <w:t>Ocena postępu w osiąganiu celów środowiskowych dla stanu/potencjału ekologicznego na obszarze dorzecza Pregoły dla jcwp LW w układzie planistycznym w aPGW</w:t>
      </w:r>
      <w:r w:rsidR="003A03D4">
        <w:t xml:space="preserve"> (2016-2021)</w:t>
      </w:r>
      <w:bookmarkEnd w:id="260"/>
    </w:p>
    <w:tbl>
      <w:tblPr>
        <w:tblW w:w="9120" w:type="dxa"/>
        <w:tblLook w:val="04A0" w:firstRow="1" w:lastRow="0" w:firstColumn="1" w:lastColumn="0" w:noHBand="0" w:noVBand="1"/>
      </w:tblPr>
      <w:tblGrid>
        <w:gridCol w:w="4673"/>
        <w:gridCol w:w="2552"/>
        <w:gridCol w:w="1895"/>
      </w:tblGrid>
      <w:tr w:rsidR="00B25052" w:rsidRPr="005830E6" w14:paraId="50D6DDAD" w14:textId="77777777" w:rsidTr="001458F5">
        <w:trPr>
          <w:trHeight w:val="454"/>
        </w:trPr>
        <w:tc>
          <w:tcPr>
            <w:tcW w:w="467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B8DA86B" w14:textId="5B63DB45" w:rsidR="00B25052" w:rsidRPr="005830E6" w:rsidRDefault="00B25052" w:rsidP="00B25052">
            <w:pPr>
              <w:spacing w:before="0" w:after="0"/>
              <w:jc w:val="center"/>
              <w:outlineLvl w:val="0"/>
              <w:rPr>
                <w:rFonts w:eastAsia="Times New Roman" w:cs="Calibri"/>
                <w:b/>
                <w:bCs/>
                <w:color w:val="000000"/>
                <w:sz w:val="20"/>
                <w:szCs w:val="20"/>
              </w:rPr>
            </w:pPr>
            <w:r w:rsidRPr="00E70F04">
              <w:rPr>
                <w:rFonts w:eastAsia="Times New Roman" w:cs="Calibri"/>
                <w:b/>
                <w:color w:val="000000"/>
                <w:sz w:val="20"/>
                <w:szCs w:val="20"/>
              </w:rPr>
              <w:t>Stopień osiągnięcia celu</w:t>
            </w:r>
          </w:p>
        </w:tc>
        <w:tc>
          <w:tcPr>
            <w:tcW w:w="2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482E6A9" w14:textId="52BC7D85" w:rsidR="00B25052" w:rsidRPr="005830E6" w:rsidRDefault="00B25052" w:rsidP="00B25052">
            <w:pPr>
              <w:spacing w:before="0" w:after="0"/>
              <w:jc w:val="center"/>
              <w:outlineLvl w:val="0"/>
              <w:rPr>
                <w:rFonts w:eastAsia="Times New Roman" w:cs="Calibri"/>
                <w:b/>
                <w:bCs/>
                <w:color w:val="000000"/>
                <w:sz w:val="20"/>
                <w:szCs w:val="20"/>
              </w:rPr>
            </w:pPr>
            <w:r w:rsidRPr="005830E6">
              <w:rPr>
                <w:rFonts w:eastAsia="Times New Roman" w:cs="Calibri"/>
                <w:b/>
                <w:bCs/>
                <w:color w:val="000000"/>
                <w:sz w:val="20"/>
                <w:szCs w:val="20"/>
              </w:rPr>
              <w:t xml:space="preserve">Liczba jcwp </w:t>
            </w:r>
            <w:r>
              <w:rPr>
                <w:rFonts w:eastAsia="Times New Roman" w:cs="Calibri"/>
                <w:b/>
                <w:bCs/>
                <w:color w:val="000000"/>
                <w:sz w:val="20"/>
                <w:szCs w:val="20"/>
              </w:rPr>
              <w:t>LW</w:t>
            </w:r>
          </w:p>
        </w:tc>
        <w:tc>
          <w:tcPr>
            <w:tcW w:w="189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CD7E0C7" w14:textId="38110BDC" w:rsidR="00B25052" w:rsidRPr="005830E6" w:rsidRDefault="00B25052" w:rsidP="00B25052">
            <w:pPr>
              <w:spacing w:before="0" w:after="0"/>
              <w:jc w:val="center"/>
              <w:outlineLvl w:val="0"/>
              <w:rPr>
                <w:rFonts w:eastAsia="Times New Roman" w:cs="Calibri"/>
                <w:b/>
                <w:bCs/>
                <w:color w:val="000000"/>
                <w:sz w:val="20"/>
                <w:szCs w:val="20"/>
              </w:rPr>
            </w:pPr>
            <w:r>
              <w:rPr>
                <w:rFonts w:eastAsia="Times New Roman" w:cs="Calibri"/>
                <w:b/>
                <w:bCs/>
                <w:color w:val="000000"/>
                <w:sz w:val="20"/>
                <w:szCs w:val="20"/>
              </w:rPr>
              <w:t>Udział</w:t>
            </w:r>
            <w:r w:rsidRPr="005830E6">
              <w:rPr>
                <w:rFonts w:eastAsia="Times New Roman" w:cs="Calibri"/>
                <w:b/>
                <w:bCs/>
                <w:color w:val="000000"/>
                <w:sz w:val="20"/>
                <w:szCs w:val="20"/>
              </w:rPr>
              <w:t xml:space="preserve"> jcwp </w:t>
            </w:r>
            <w:r>
              <w:rPr>
                <w:rFonts w:eastAsia="Times New Roman" w:cs="Calibri"/>
                <w:b/>
                <w:bCs/>
                <w:color w:val="000000"/>
                <w:sz w:val="20"/>
                <w:szCs w:val="20"/>
              </w:rPr>
              <w:t>(%)</w:t>
            </w:r>
          </w:p>
        </w:tc>
      </w:tr>
      <w:tr w:rsidR="003A03D4" w:rsidRPr="005830E6" w14:paraId="0C5B8B28"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tcPr>
          <w:p w14:paraId="2ACD1E7D" w14:textId="2F6E1E8A" w:rsidR="003A03D4" w:rsidRPr="005830E6" w:rsidRDefault="003A03D4" w:rsidP="003A03D4">
            <w:pPr>
              <w:spacing w:before="0" w:after="0"/>
              <w:jc w:val="left"/>
              <w:outlineLvl w:val="0"/>
              <w:rPr>
                <w:rFonts w:eastAsia="Times New Roman" w:cs="Calibri"/>
                <w:color w:val="000000"/>
                <w:sz w:val="20"/>
                <w:szCs w:val="20"/>
              </w:rPr>
            </w:pPr>
            <w:r>
              <w:rPr>
                <w:rFonts w:eastAsia="Times New Roman" w:cs="Calibri"/>
                <w:color w:val="000000"/>
                <w:sz w:val="20"/>
                <w:szCs w:val="20"/>
              </w:rPr>
              <w:t>C</w:t>
            </w:r>
            <w:r w:rsidRPr="005830E6">
              <w:rPr>
                <w:rFonts w:eastAsia="Times New Roman" w:cs="Calibri"/>
                <w:color w:val="000000"/>
                <w:sz w:val="20"/>
                <w:szCs w:val="20"/>
              </w:rPr>
              <w:t>el nieosiągnięty - brak postępu</w:t>
            </w:r>
          </w:p>
        </w:tc>
        <w:tc>
          <w:tcPr>
            <w:tcW w:w="2552" w:type="dxa"/>
            <w:tcBorders>
              <w:top w:val="nil"/>
              <w:left w:val="nil"/>
              <w:bottom w:val="single" w:sz="4" w:space="0" w:color="auto"/>
              <w:right w:val="single" w:sz="4" w:space="0" w:color="auto"/>
            </w:tcBorders>
            <w:shd w:val="clear" w:color="auto" w:fill="auto"/>
            <w:noWrap/>
            <w:vAlign w:val="center"/>
          </w:tcPr>
          <w:p w14:paraId="1A1777CE" w14:textId="2E967218" w:rsidR="003A03D4" w:rsidRPr="005830E6" w:rsidRDefault="003A03D4" w:rsidP="003A03D4">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15</w:t>
            </w:r>
          </w:p>
        </w:tc>
        <w:tc>
          <w:tcPr>
            <w:tcW w:w="1895" w:type="dxa"/>
            <w:tcBorders>
              <w:top w:val="nil"/>
              <w:left w:val="nil"/>
              <w:bottom w:val="single" w:sz="4" w:space="0" w:color="auto"/>
              <w:right w:val="single" w:sz="4" w:space="0" w:color="auto"/>
            </w:tcBorders>
            <w:shd w:val="clear" w:color="auto" w:fill="auto"/>
            <w:noWrap/>
            <w:vAlign w:val="center"/>
          </w:tcPr>
          <w:p w14:paraId="115BDDE0" w14:textId="765F0CBF" w:rsidR="00672B83" w:rsidRPr="00672B83" w:rsidRDefault="00B86603" w:rsidP="00672B83">
            <w:pPr>
              <w:spacing w:before="0" w:after="0"/>
              <w:jc w:val="center"/>
              <w:outlineLvl w:val="0"/>
              <w:rPr>
                <w:sz w:val="20"/>
                <w:szCs w:val="20"/>
              </w:rPr>
            </w:pPr>
            <w:r>
              <w:rPr>
                <w:sz w:val="20"/>
                <w:szCs w:val="20"/>
              </w:rPr>
              <w:t>14,9</w:t>
            </w:r>
          </w:p>
        </w:tc>
      </w:tr>
      <w:tr w:rsidR="003A03D4" w:rsidRPr="005830E6" w14:paraId="614E2080"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tcPr>
          <w:p w14:paraId="7EEAB97D" w14:textId="3A4A8FB4" w:rsidR="003A03D4" w:rsidRPr="005830E6" w:rsidRDefault="003A03D4" w:rsidP="003A03D4">
            <w:pPr>
              <w:spacing w:before="0" w:after="0"/>
              <w:jc w:val="left"/>
              <w:outlineLvl w:val="0"/>
              <w:rPr>
                <w:rFonts w:eastAsia="Times New Roman" w:cs="Calibri"/>
                <w:color w:val="000000"/>
                <w:sz w:val="20"/>
                <w:szCs w:val="20"/>
              </w:rPr>
            </w:pPr>
            <w:r w:rsidRPr="005830E6">
              <w:rPr>
                <w:rFonts w:eastAsia="Times New Roman" w:cs="Calibri"/>
                <w:color w:val="000000"/>
                <w:sz w:val="20"/>
                <w:szCs w:val="20"/>
              </w:rPr>
              <w:t>Cel nieosiągnięty - pogorszenie do stanu złego</w:t>
            </w:r>
          </w:p>
        </w:tc>
        <w:tc>
          <w:tcPr>
            <w:tcW w:w="2552" w:type="dxa"/>
            <w:tcBorders>
              <w:top w:val="nil"/>
              <w:left w:val="nil"/>
              <w:bottom w:val="single" w:sz="4" w:space="0" w:color="auto"/>
              <w:right w:val="single" w:sz="4" w:space="0" w:color="auto"/>
            </w:tcBorders>
            <w:shd w:val="clear" w:color="auto" w:fill="auto"/>
            <w:noWrap/>
            <w:vAlign w:val="center"/>
          </w:tcPr>
          <w:p w14:paraId="0DDADB09" w14:textId="5977BE96" w:rsidR="003A03D4" w:rsidRPr="005830E6" w:rsidRDefault="003A03D4" w:rsidP="003A03D4">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13</w:t>
            </w:r>
          </w:p>
        </w:tc>
        <w:tc>
          <w:tcPr>
            <w:tcW w:w="1895" w:type="dxa"/>
            <w:tcBorders>
              <w:top w:val="nil"/>
              <w:left w:val="nil"/>
              <w:bottom w:val="single" w:sz="4" w:space="0" w:color="auto"/>
              <w:right w:val="single" w:sz="4" w:space="0" w:color="auto"/>
            </w:tcBorders>
            <w:shd w:val="clear" w:color="auto" w:fill="auto"/>
            <w:noWrap/>
            <w:vAlign w:val="center"/>
          </w:tcPr>
          <w:p w14:paraId="2011AE08" w14:textId="230FFC41" w:rsidR="003A03D4" w:rsidRPr="00672B83" w:rsidRDefault="00672B83" w:rsidP="003A03D4">
            <w:pPr>
              <w:spacing w:before="0" w:after="0"/>
              <w:jc w:val="center"/>
              <w:outlineLvl w:val="0"/>
              <w:rPr>
                <w:sz w:val="20"/>
                <w:szCs w:val="20"/>
              </w:rPr>
            </w:pPr>
            <w:r w:rsidRPr="00672B83">
              <w:rPr>
                <w:sz w:val="20"/>
                <w:szCs w:val="20"/>
              </w:rPr>
              <w:t>13</w:t>
            </w:r>
          </w:p>
        </w:tc>
      </w:tr>
      <w:tr w:rsidR="001458F5" w:rsidRPr="005830E6" w14:paraId="14B88905"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tcPr>
          <w:p w14:paraId="20E8125B" w14:textId="57A318F6" w:rsidR="001458F5" w:rsidRPr="005830E6" w:rsidRDefault="001458F5" w:rsidP="001458F5">
            <w:pPr>
              <w:spacing w:before="0" w:after="0"/>
              <w:jc w:val="left"/>
              <w:outlineLvl w:val="0"/>
              <w:rPr>
                <w:rFonts w:eastAsia="Times New Roman" w:cs="Calibri"/>
                <w:color w:val="000000"/>
                <w:sz w:val="20"/>
                <w:szCs w:val="20"/>
              </w:rPr>
            </w:pPr>
            <w:r w:rsidRPr="005830E6">
              <w:rPr>
                <w:rFonts w:eastAsia="Times New Roman" w:cs="Calibri"/>
                <w:color w:val="000000"/>
                <w:sz w:val="20"/>
                <w:szCs w:val="20"/>
              </w:rPr>
              <w:t>Cel nieosiągnięty - ale poprawa stanu/potencjału</w:t>
            </w:r>
          </w:p>
        </w:tc>
        <w:tc>
          <w:tcPr>
            <w:tcW w:w="2552" w:type="dxa"/>
            <w:tcBorders>
              <w:top w:val="nil"/>
              <w:left w:val="nil"/>
              <w:bottom w:val="single" w:sz="4" w:space="0" w:color="auto"/>
              <w:right w:val="single" w:sz="4" w:space="0" w:color="auto"/>
            </w:tcBorders>
            <w:shd w:val="clear" w:color="auto" w:fill="auto"/>
            <w:noWrap/>
            <w:vAlign w:val="center"/>
          </w:tcPr>
          <w:p w14:paraId="0214F405" w14:textId="2701859D"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5</w:t>
            </w:r>
          </w:p>
        </w:tc>
        <w:tc>
          <w:tcPr>
            <w:tcW w:w="1895" w:type="dxa"/>
            <w:tcBorders>
              <w:top w:val="nil"/>
              <w:left w:val="nil"/>
              <w:bottom w:val="single" w:sz="4" w:space="0" w:color="auto"/>
              <w:right w:val="single" w:sz="4" w:space="0" w:color="auto"/>
            </w:tcBorders>
            <w:shd w:val="clear" w:color="auto" w:fill="auto"/>
            <w:noWrap/>
            <w:vAlign w:val="center"/>
          </w:tcPr>
          <w:p w14:paraId="78E217D0" w14:textId="242258A7" w:rsidR="001458F5" w:rsidRPr="00672B83" w:rsidRDefault="00672B83" w:rsidP="001458F5">
            <w:pPr>
              <w:spacing w:before="0" w:after="0"/>
              <w:jc w:val="center"/>
              <w:outlineLvl w:val="0"/>
              <w:rPr>
                <w:sz w:val="20"/>
                <w:szCs w:val="20"/>
              </w:rPr>
            </w:pPr>
            <w:r w:rsidRPr="00672B83">
              <w:rPr>
                <w:sz w:val="20"/>
                <w:szCs w:val="20"/>
              </w:rPr>
              <w:t>5</w:t>
            </w:r>
          </w:p>
        </w:tc>
      </w:tr>
      <w:tr w:rsidR="001458F5" w:rsidRPr="005830E6" w14:paraId="1F6BF85B"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tcPr>
          <w:p w14:paraId="052D253F" w14:textId="4AE92018" w:rsidR="001458F5" w:rsidRPr="005830E6" w:rsidRDefault="001458F5" w:rsidP="001458F5">
            <w:pPr>
              <w:spacing w:before="0" w:after="0"/>
              <w:jc w:val="left"/>
              <w:outlineLvl w:val="0"/>
              <w:rPr>
                <w:rFonts w:eastAsia="Times New Roman" w:cs="Calibri"/>
                <w:color w:val="000000"/>
                <w:sz w:val="20"/>
                <w:szCs w:val="20"/>
              </w:rPr>
            </w:pPr>
            <w:r w:rsidRPr="005830E6">
              <w:rPr>
                <w:rFonts w:eastAsia="Times New Roman" w:cs="Calibri"/>
                <w:color w:val="000000"/>
                <w:sz w:val="20"/>
                <w:szCs w:val="20"/>
              </w:rPr>
              <w:t xml:space="preserve">Cel osiągnięty </w:t>
            </w:r>
            <w:r>
              <w:rPr>
                <w:rFonts w:eastAsia="Times New Roman" w:cs="Calibri"/>
                <w:color w:val="000000"/>
                <w:sz w:val="20"/>
                <w:szCs w:val="20"/>
              </w:rPr>
              <w:t>-</w:t>
            </w:r>
            <w:r w:rsidRPr="005830E6">
              <w:rPr>
                <w:rFonts w:eastAsia="Times New Roman" w:cs="Calibri"/>
                <w:color w:val="000000"/>
                <w:sz w:val="20"/>
                <w:szCs w:val="20"/>
              </w:rPr>
              <w:t xml:space="preserve"> utrzymanie dobrego stanu</w:t>
            </w:r>
          </w:p>
        </w:tc>
        <w:tc>
          <w:tcPr>
            <w:tcW w:w="2552" w:type="dxa"/>
            <w:tcBorders>
              <w:top w:val="nil"/>
              <w:left w:val="nil"/>
              <w:bottom w:val="single" w:sz="4" w:space="0" w:color="auto"/>
              <w:right w:val="single" w:sz="4" w:space="0" w:color="auto"/>
            </w:tcBorders>
            <w:shd w:val="clear" w:color="auto" w:fill="auto"/>
            <w:noWrap/>
            <w:vAlign w:val="center"/>
          </w:tcPr>
          <w:p w14:paraId="2FFAA420" w14:textId="6C810C90"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7</w:t>
            </w:r>
          </w:p>
        </w:tc>
        <w:tc>
          <w:tcPr>
            <w:tcW w:w="1895" w:type="dxa"/>
            <w:tcBorders>
              <w:top w:val="nil"/>
              <w:left w:val="nil"/>
              <w:bottom w:val="single" w:sz="4" w:space="0" w:color="auto"/>
              <w:right w:val="single" w:sz="4" w:space="0" w:color="auto"/>
            </w:tcBorders>
            <w:shd w:val="clear" w:color="auto" w:fill="auto"/>
            <w:noWrap/>
            <w:vAlign w:val="center"/>
          </w:tcPr>
          <w:p w14:paraId="3D7728FB" w14:textId="7618072B" w:rsidR="001458F5" w:rsidRPr="00672B83" w:rsidRDefault="00672B83" w:rsidP="001458F5">
            <w:pPr>
              <w:spacing w:before="0" w:after="0"/>
              <w:jc w:val="center"/>
              <w:outlineLvl w:val="0"/>
              <w:rPr>
                <w:sz w:val="20"/>
                <w:szCs w:val="20"/>
              </w:rPr>
            </w:pPr>
            <w:r w:rsidRPr="00672B83">
              <w:rPr>
                <w:sz w:val="20"/>
                <w:szCs w:val="20"/>
              </w:rPr>
              <w:t>7</w:t>
            </w:r>
          </w:p>
        </w:tc>
      </w:tr>
      <w:tr w:rsidR="001458F5" w:rsidRPr="005830E6" w14:paraId="3D0899CE"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2014F732" w14:textId="77777777" w:rsidR="001458F5" w:rsidRPr="005830E6" w:rsidRDefault="001458F5" w:rsidP="001458F5">
            <w:pPr>
              <w:spacing w:before="0" w:after="0"/>
              <w:jc w:val="left"/>
              <w:outlineLvl w:val="0"/>
              <w:rPr>
                <w:rFonts w:eastAsia="Times New Roman" w:cs="Calibri"/>
                <w:color w:val="000000"/>
                <w:sz w:val="20"/>
                <w:szCs w:val="20"/>
              </w:rPr>
            </w:pPr>
            <w:r w:rsidRPr="005830E6">
              <w:rPr>
                <w:rFonts w:eastAsia="Times New Roman" w:cs="Calibri"/>
                <w:color w:val="000000"/>
                <w:sz w:val="20"/>
                <w:szCs w:val="20"/>
              </w:rPr>
              <w:t xml:space="preserve">Cel osiągnięty </w:t>
            </w:r>
            <w:r>
              <w:rPr>
                <w:rFonts w:eastAsia="Times New Roman" w:cs="Calibri"/>
                <w:color w:val="000000"/>
                <w:sz w:val="20"/>
                <w:szCs w:val="20"/>
              </w:rPr>
              <w:t>-</w:t>
            </w:r>
            <w:r w:rsidRPr="005830E6">
              <w:rPr>
                <w:rFonts w:eastAsia="Times New Roman" w:cs="Calibri"/>
                <w:color w:val="000000"/>
                <w:sz w:val="20"/>
                <w:szCs w:val="20"/>
              </w:rPr>
              <w:t xml:space="preserve"> poprawa stanu</w:t>
            </w:r>
          </w:p>
        </w:tc>
        <w:tc>
          <w:tcPr>
            <w:tcW w:w="2552" w:type="dxa"/>
            <w:tcBorders>
              <w:top w:val="nil"/>
              <w:left w:val="nil"/>
              <w:bottom w:val="single" w:sz="4" w:space="0" w:color="auto"/>
              <w:right w:val="single" w:sz="4" w:space="0" w:color="auto"/>
            </w:tcBorders>
            <w:shd w:val="clear" w:color="auto" w:fill="auto"/>
            <w:noWrap/>
            <w:vAlign w:val="center"/>
            <w:hideMark/>
          </w:tcPr>
          <w:p w14:paraId="5F5BFCF9" w14:textId="77A6BC6B"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3</w:t>
            </w:r>
          </w:p>
        </w:tc>
        <w:tc>
          <w:tcPr>
            <w:tcW w:w="1895" w:type="dxa"/>
            <w:tcBorders>
              <w:top w:val="nil"/>
              <w:left w:val="nil"/>
              <w:bottom w:val="single" w:sz="4" w:space="0" w:color="auto"/>
              <w:right w:val="single" w:sz="4" w:space="0" w:color="auto"/>
            </w:tcBorders>
            <w:shd w:val="clear" w:color="auto" w:fill="auto"/>
            <w:noWrap/>
            <w:vAlign w:val="center"/>
            <w:hideMark/>
          </w:tcPr>
          <w:p w14:paraId="6704C50E" w14:textId="7FE90067" w:rsidR="001458F5" w:rsidRPr="00672B83" w:rsidRDefault="00672B83" w:rsidP="001458F5">
            <w:pPr>
              <w:spacing w:before="0" w:after="0"/>
              <w:jc w:val="center"/>
              <w:outlineLvl w:val="0"/>
              <w:rPr>
                <w:rFonts w:eastAsia="Times New Roman" w:cs="Calibri"/>
                <w:color w:val="000000"/>
                <w:sz w:val="20"/>
                <w:szCs w:val="20"/>
              </w:rPr>
            </w:pPr>
            <w:r w:rsidRPr="00672B83">
              <w:rPr>
                <w:sz w:val="20"/>
                <w:szCs w:val="20"/>
              </w:rPr>
              <w:t>3</w:t>
            </w:r>
          </w:p>
        </w:tc>
      </w:tr>
      <w:tr w:rsidR="001458F5" w:rsidRPr="005830E6" w14:paraId="61938CB8" w14:textId="77777777" w:rsidTr="001458F5">
        <w:trPr>
          <w:trHeight w:val="397"/>
        </w:trPr>
        <w:tc>
          <w:tcPr>
            <w:tcW w:w="4673" w:type="dxa"/>
            <w:tcBorders>
              <w:top w:val="nil"/>
              <w:left w:val="single" w:sz="4" w:space="0" w:color="auto"/>
              <w:bottom w:val="single" w:sz="4" w:space="0" w:color="auto"/>
              <w:right w:val="single" w:sz="4" w:space="0" w:color="auto"/>
            </w:tcBorders>
            <w:shd w:val="clear" w:color="auto" w:fill="auto"/>
            <w:noWrap/>
            <w:vAlign w:val="center"/>
          </w:tcPr>
          <w:p w14:paraId="46DE9308" w14:textId="324E9484" w:rsidR="001458F5" w:rsidRPr="005830E6" w:rsidRDefault="001458F5" w:rsidP="001458F5">
            <w:pPr>
              <w:spacing w:before="0" w:after="0"/>
              <w:jc w:val="left"/>
              <w:outlineLvl w:val="0"/>
              <w:rPr>
                <w:rFonts w:eastAsia="Times New Roman" w:cs="Calibri"/>
                <w:color w:val="000000"/>
                <w:sz w:val="20"/>
                <w:szCs w:val="20"/>
              </w:rPr>
            </w:pPr>
            <w:r w:rsidRPr="005830E6">
              <w:rPr>
                <w:rFonts w:eastAsia="Times New Roman" w:cs="Calibri"/>
                <w:color w:val="000000"/>
                <w:sz w:val="20"/>
                <w:szCs w:val="20"/>
              </w:rPr>
              <w:t>Brak możliwości oceny postępu</w:t>
            </w:r>
          </w:p>
        </w:tc>
        <w:tc>
          <w:tcPr>
            <w:tcW w:w="2552" w:type="dxa"/>
            <w:tcBorders>
              <w:top w:val="nil"/>
              <w:left w:val="nil"/>
              <w:bottom w:val="single" w:sz="4" w:space="0" w:color="auto"/>
              <w:right w:val="single" w:sz="4" w:space="0" w:color="auto"/>
            </w:tcBorders>
            <w:shd w:val="clear" w:color="auto" w:fill="auto"/>
            <w:noWrap/>
            <w:vAlign w:val="center"/>
          </w:tcPr>
          <w:p w14:paraId="63BB8188" w14:textId="0BA44B0C"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color w:val="000000"/>
                <w:sz w:val="20"/>
                <w:szCs w:val="20"/>
              </w:rPr>
              <w:t>58</w:t>
            </w:r>
          </w:p>
        </w:tc>
        <w:tc>
          <w:tcPr>
            <w:tcW w:w="1895" w:type="dxa"/>
            <w:tcBorders>
              <w:top w:val="nil"/>
              <w:left w:val="nil"/>
              <w:bottom w:val="single" w:sz="4" w:space="0" w:color="auto"/>
              <w:right w:val="single" w:sz="4" w:space="0" w:color="auto"/>
            </w:tcBorders>
            <w:shd w:val="clear" w:color="auto" w:fill="auto"/>
            <w:noWrap/>
            <w:vAlign w:val="center"/>
          </w:tcPr>
          <w:p w14:paraId="2B652044" w14:textId="7BFDA3BF" w:rsidR="001458F5" w:rsidRPr="00672B83" w:rsidRDefault="00672B83" w:rsidP="001458F5">
            <w:pPr>
              <w:spacing w:before="0" w:after="0"/>
              <w:jc w:val="center"/>
              <w:outlineLvl w:val="0"/>
              <w:rPr>
                <w:sz w:val="20"/>
                <w:szCs w:val="20"/>
              </w:rPr>
            </w:pPr>
            <w:r w:rsidRPr="00672B83">
              <w:rPr>
                <w:sz w:val="20"/>
                <w:szCs w:val="20"/>
              </w:rPr>
              <w:t>57</w:t>
            </w:r>
          </w:p>
        </w:tc>
      </w:tr>
      <w:tr w:rsidR="001458F5" w:rsidRPr="005830E6" w14:paraId="58AA05D5" w14:textId="77777777" w:rsidTr="001458F5">
        <w:trPr>
          <w:trHeight w:val="454"/>
        </w:trPr>
        <w:tc>
          <w:tcPr>
            <w:tcW w:w="467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8D4D4CC" w14:textId="27ED19C9"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b/>
                <w:bCs/>
                <w:color w:val="000000"/>
                <w:sz w:val="20"/>
                <w:szCs w:val="20"/>
              </w:rPr>
              <w:t xml:space="preserve">Liczba jcwp </w:t>
            </w:r>
            <w:r>
              <w:rPr>
                <w:rFonts w:eastAsia="Times New Roman" w:cs="Calibri"/>
                <w:b/>
                <w:bCs/>
                <w:color w:val="000000"/>
                <w:sz w:val="20"/>
                <w:szCs w:val="20"/>
              </w:rPr>
              <w:t xml:space="preserve">LW </w:t>
            </w:r>
            <w:r w:rsidRPr="005830E6">
              <w:rPr>
                <w:rFonts w:eastAsia="Times New Roman" w:cs="Calibri"/>
                <w:b/>
                <w:bCs/>
                <w:color w:val="000000"/>
                <w:sz w:val="20"/>
                <w:szCs w:val="20"/>
              </w:rPr>
              <w:t>w</w:t>
            </w:r>
            <w:r>
              <w:rPr>
                <w:rFonts w:eastAsia="Times New Roman" w:cs="Calibri"/>
                <w:b/>
                <w:bCs/>
                <w:color w:val="000000"/>
                <w:sz w:val="20"/>
                <w:szCs w:val="20"/>
              </w:rPr>
              <w:t xml:space="preserve"> obszarze</w:t>
            </w:r>
            <w:r w:rsidRPr="005830E6">
              <w:rPr>
                <w:rFonts w:eastAsia="Times New Roman" w:cs="Calibri"/>
                <w:b/>
                <w:bCs/>
                <w:color w:val="000000"/>
                <w:sz w:val="20"/>
                <w:szCs w:val="20"/>
              </w:rPr>
              <w:t xml:space="preserve"> dorzecz</w:t>
            </w:r>
            <w:r>
              <w:rPr>
                <w:rFonts w:eastAsia="Times New Roman" w:cs="Calibri"/>
                <w:b/>
                <w:bCs/>
                <w:color w:val="000000"/>
                <w:sz w:val="20"/>
                <w:szCs w:val="20"/>
              </w:rPr>
              <w:t>a</w:t>
            </w:r>
          </w:p>
        </w:tc>
        <w:tc>
          <w:tcPr>
            <w:tcW w:w="2552"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27F48049" w14:textId="4A3C1E42" w:rsidR="001458F5" w:rsidRPr="005830E6" w:rsidRDefault="001458F5" w:rsidP="001458F5">
            <w:pPr>
              <w:spacing w:before="0" w:after="0"/>
              <w:jc w:val="center"/>
              <w:outlineLvl w:val="0"/>
              <w:rPr>
                <w:rFonts w:eastAsia="Times New Roman" w:cs="Calibri"/>
                <w:color w:val="000000"/>
                <w:sz w:val="20"/>
                <w:szCs w:val="20"/>
              </w:rPr>
            </w:pPr>
            <w:r w:rsidRPr="005830E6">
              <w:rPr>
                <w:rFonts w:eastAsia="Times New Roman" w:cs="Calibri"/>
                <w:b/>
                <w:bCs/>
                <w:color w:val="000000"/>
                <w:sz w:val="20"/>
                <w:szCs w:val="20"/>
              </w:rPr>
              <w:t>101</w:t>
            </w:r>
          </w:p>
        </w:tc>
        <w:tc>
          <w:tcPr>
            <w:tcW w:w="1895"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9EA32C1" w14:textId="60F05E3C" w:rsidR="001458F5" w:rsidRPr="005830E6" w:rsidRDefault="001458F5" w:rsidP="001458F5">
            <w:pPr>
              <w:spacing w:before="0" w:after="0"/>
              <w:jc w:val="center"/>
              <w:outlineLvl w:val="0"/>
              <w:rPr>
                <w:sz w:val="20"/>
                <w:szCs w:val="20"/>
              </w:rPr>
            </w:pPr>
            <w:r w:rsidRPr="005830E6">
              <w:rPr>
                <w:b/>
                <w:bCs/>
                <w:sz w:val="20"/>
                <w:szCs w:val="20"/>
              </w:rPr>
              <w:t>100</w:t>
            </w:r>
          </w:p>
        </w:tc>
      </w:tr>
    </w:tbl>
    <w:p w14:paraId="323D50C3" w14:textId="7C5EC514" w:rsidR="005848EA" w:rsidRPr="00B766BA" w:rsidRDefault="005848EA" w:rsidP="000F4C8C">
      <w:pPr>
        <w:pStyle w:val="rdo0"/>
        <w:rPr>
          <w:color w:val="000099"/>
          <w:sz w:val="20"/>
        </w:rPr>
      </w:pPr>
      <w:r w:rsidRPr="00B766BA">
        <w:t xml:space="preserve">Źródło: </w:t>
      </w:r>
      <w:r w:rsidR="00553428">
        <w:t>opracowanie</w:t>
      </w:r>
      <w:r w:rsidRPr="00B766BA">
        <w:t xml:space="preserve"> </w:t>
      </w:r>
      <w:r w:rsidR="00B773E9">
        <w:t>własne</w:t>
      </w:r>
      <w:r w:rsidRPr="00B766BA">
        <w:t xml:space="preserve"> na </w:t>
      </w:r>
      <w:r w:rsidRPr="000F4C8C">
        <w:t>podstawie</w:t>
      </w:r>
      <w:r w:rsidRPr="00B766BA">
        <w:t xml:space="preserve"> danych </w:t>
      </w:r>
      <w:r w:rsidR="0037520C">
        <w:t>aPGW</w:t>
      </w:r>
    </w:p>
    <w:p w14:paraId="574F2D2A" w14:textId="26331BD5" w:rsidR="0037520C" w:rsidRPr="003863A0" w:rsidRDefault="0037520C" w:rsidP="003863A0">
      <w:pPr>
        <w:pStyle w:val="Nagwek5"/>
      </w:pPr>
      <w:r w:rsidRPr="003863A0">
        <w:t>Ocena postępu w osiąganiu celów środowiskowych dla stanu/potencjału ekologicznego jcwp LW (</w:t>
      </w:r>
      <w:r w:rsidR="00165BA2" w:rsidRPr="003863A0">
        <w:t xml:space="preserve">aktualny </w:t>
      </w:r>
      <w:r w:rsidRPr="003863A0">
        <w:t>układ planistyczny IIaPGW)</w:t>
      </w:r>
    </w:p>
    <w:p w14:paraId="7550062A" w14:textId="342209D9" w:rsidR="005848EA" w:rsidRPr="00F51669" w:rsidRDefault="0037520C" w:rsidP="005848EA">
      <w:r>
        <w:t>Analiza przyczyn nieosiągnięcia celów środowiskowych w latach 2016-2021 stanowi podstawę do planowania działań naprawczych w ramach II aPGW, tym samym konicznym jest odwołanie się do nowego układu planistycznego z jednoczesnym uwzględnieniem zmian w sposobie klasyfikacji stanu potencjału/ekologicznego, wprowadzonych rozporządzeniem klasyfikacyjnym z 2019 roku. W</w:t>
      </w:r>
      <w:r w:rsidR="0085285D">
        <w:t> </w:t>
      </w:r>
      <w:r>
        <w:t>poniższej tabeli (tabela 9-8) zamieszczono wyniki oceny stopnia osiągnięcia celów środowiskowych w odniesieniu do nowego układu planistycznego, tj. w podziale na 1068 jcwp. Dla celów porównawczych wprowadzono dodatkowe kategorie;</w:t>
      </w:r>
      <w:r w:rsidRPr="00F51669">
        <w:rPr>
          <w:i/>
          <w:iCs/>
        </w:rPr>
        <w:t xml:space="preserve"> Cel osiągnięty - </w:t>
      </w:r>
      <w:r>
        <w:rPr>
          <w:rFonts w:asciiTheme="minorHAnsi" w:eastAsia="Times New Roman" w:hAnsiTheme="minorHAnsi"/>
          <w:lang w:eastAsia="pl-PL"/>
        </w:rPr>
        <w:t>aktualizacja oceny stanu/potencjału</w:t>
      </w:r>
      <w:r>
        <w:rPr>
          <w:i/>
          <w:iCs/>
        </w:rPr>
        <w:t xml:space="preserve">, </w:t>
      </w:r>
      <w:r w:rsidRPr="00F51669">
        <w:rPr>
          <w:i/>
          <w:iCs/>
        </w:rPr>
        <w:t xml:space="preserve">Cel nieosiągnięty - </w:t>
      </w:r>
      <w:r>
        <w:rPr>
          <w:rFonts w:asciiTheme="minorHAnsi" w:eastAsia="Times New Roman" w:hAnsiTheme="minorHAnsi"/>
          <w:lang w:eastAsia="pl-PL"/>
        </w:rPr>
        <w:t>aktualizacja oceny stanu/potencjału</w:t>
      </w:r>
      <w:r>
        <w:rPr>
          <w:i/>
          <w:iCs/>
        </w:rPr>
        <w:t xml:space="preserve"> </w:t>
      </w:r>
      <w:r>
        <w:t xml:space="preserve"> dla nowych jcwp, dla których zaktualizowano ocenę stanu/potencjału ekologicznego w ramach IIaPGW.</w:t>
      </w:r>
    </w:p>
    <w:p w14:paraId="1A098018" w14:textId="04745EA2" w:rsidR="005848EA" w:rsidRPr="00AD051B" w:rsidRDefault="005848EA" w:rsidP="006802BB">
      <w:pPr>
        <w:pStyle w:val="Tabela"/>
        <w:rPr>
          <w:rFonts w:asciiTheme="minorHAnsi" w:hAnsiTheme="minorHAnsi" w:cstheme="minorBidi"/>
          <w:color w:val="000000" w:themeColor="text1"/>
        </w:rPr>
      </w:pPr>
      <w:bookmarkStart w:id="261" w:name="_Toc66311305"/>
      <w:bookmarkStart w:id="262" w:name="_Toc68727004"/>
      <w:r w:rsidRPr="00B82B80">
        <w:t xml:space="preserve">Tabela </w:t>
      </w:r>
      <w:fldSimple w:instr=" STYLEREF 1 \s ">
        <w:r w:rsidR="007B4050">
          <w:rPr>
            <w:noProof/>
          </w:rPr>
          <w:t>9</w:t>
        </w:r>
      </w:fldSimple>
      <w:r w:rsidR="007B4050">
        <w:noBreakHyphen/>
      </w:r>
      <w:fldSimple w:instr=" SEQ Tabela \* ARABIC \s 1 ">
        <w:r w:rsidR="007B4050">
          <w:rPr>
            <w:noProof/>
          </w:rPr>
          <w:t>8</w:t>
        </w:r>
      </w:fldSimple>
      <w:r w:rsidRPr="00B82B80">
        <w:tab/>
      </w:r>
      <w:bookmarkEnd w:id="261"/>
      <w:r w:rsidR="0037520C" w:rsidRPr="0037520C">
        <w:t>Ocena postępu w osiąganiu celów środowiskowych dla stanu/potencjału ekologicznego na obszarze dorzecza Pregoły dla jcwp LW w układzie planistycznym w IIaPGW</w:t>
      </w:r>
      <w:r w:rsidR="003A03D4">
        <w:t xml:space="preserve"> (2022-2027)</w:t>
      </w:r>
      <w:bookmarkEnd w:id="262"/>
    </w:p>
    <w:tbl>
      <w:tblPr>
        <w:tblStyle w:val="Tabela-Siatka"/>
        <w:tblW w:w="5000" w:type="pct"/>
        <w:tblLayout w:type="fixed"/>
        <w:tblLook w:val="04A0" w:firstRow="1" w:lastRow="0" w:firstColumn="1" w:lastColumn="0" w:noHBand="0" w:noVBand="1"/>
      </w:tblPr>
      <w:tblGrid>
        <w:gridCol w:w="5948"/>
        <w:gridCol w:w="1557"/>
        <w:gridCol w:w="1557"/>
      </w:tblGrid>
      <w:tr w:rsidR="005848EA" w:rsidRPr="005830E6" w14:paraId="3CA313A2" w14:textId="77777777" w:rsidTr="001458F5">
        <w:trPr>
          <w:trHeight w:val="454"/>
          <w:tblHeader/>
        </w:trPr>
        <w:tc>
          <w:tcPr>
            <w:tcW w:w="3282" w:type="pct"/>
            <w:shd w:val="clear" w:color="auto" w:fill="BFBFBF" w:themeFill="background1" w:themeFillShade="BF"/>
            <w:noWrap/>
            <w:vAlign w:val="center"/>
            <w:hideMark/>
          </w:tcPr>
          <w:p w14:paraId="7E87B9CB" w14:textId="77777777" w:rsidR="005848EA" w:rsidRPr="005830E6" w:rsidRDefault="005848EA" w:rsidP="001458F5">
            <w:pPr>
              <w:spacing w:before="0" w:after="0"/>
              <w:jc w:val="center"/>
              <w:rPr>
                <w:rFonts w:asciiTheme="minorHAnsi" w:eastAsia="Times New Roman" w:hAnsiTheme="minorHAnsi"/>
                <w:b/>
                <w:bCs/>
                <w:sz w:val="20"/>
                <w:szCs w:val="20"/>
                <w:lang w:eastAsia="pl-PL"/>
              </w:rPr>
            </w:pPr>
            <w:r w:rsidRPr="005830E6">
              <w:rPr>
                <w:rFonts w:asciiTheme="minorHAnsi" w:eastAsia="Times New Roman" w:hAnsiTheme="minorHAnsi"/>
                <w:b/>
                <w:bCs/>
                <w:sz w:val="20"/>
                <w:szCs w:val="20"/>
                <w:lang w:eastAsia="pl-PL"/>
              </w:rPr>
              <w:t>Stopień osiągnięcia celu</w:t>
            </w:r>
          </w:p>
        </w:tc>
        <w:tc>
          <w:tcPr>
            <w:tcW w:w="859" w:type="pct"/>
            <w:shd w:val="clear" w:color="auto" w:fill="BFBFBF" w:themeFill="background1" w:themeFillShade="BF"/>
            <w:noWrap/>
            <w:vAlign w:val="center"/>
            <w:hideMark/>
          </w:tcPr>
          <w:p w14:paraId="37EF8E4B" w14:textId="5CB8DDF4" w:rsidR="005848EA" w:rsidRPr="005830E6" w:rsidRDefault="005848EA" w:rsidP="001458F5">
            <w:pPr>
              <w:spacing w:before="0" w:after="0"/>
              <w:jc w:val="center"/>
              <w:rPr>
                <w:rFonts w:asciiTheme="minorHAnsi" w:eastAsia="Times New Roman" w:hAnsiTheme="minorHAnsi"/>
                <w:b/>
                <w:bCs/>
                <w:sz w:val="20"/>
                <w:szCs w:val="20"/>
                <w:lang w:eastAsia="pl-PL"/>
              </w:rPr>
            </w:pPr>
            <w:r w:rsidRPr="005830E6">
              <w:rPr>
                <w:rFonts w:asciiTheme="minorHAnsi" w:eastAsia="Times New Roman" w:hAnsiTheme="minorHAnsi"/>
                <w:b/>
                <w:bCs/>
                <w:sz w:val="20"/>
                <w:szCs w:val="20"/>
                <w:lang w:eastAsia="pl-PL"/>
              </w:rPr>
              <w:t xml:space="preserve">Liczba jcwp </w:t>
            </w:r>
            <w:r w:rsidR="0037520C">
              <w:rPr>
                <w:rFonts w:asciiTheme="minorHAnsi" w:eastAsia="Times New Roman" w:hAnsiTheme="minorHAnsi"/>
                <w:b/>
                <w:bCs/>
                <w:sz w:val="20"/>
                <w:szCs w:val="20"/>
                <w:lang w:eastAsia="pl-PL"/>
              </w:rPr>
              <w:t>LW</w:t>
            </w:r>
          </w:p>
        </w:tc>
        <w:tc>
          <w:tcPr>
            <w:tcW w:w="859" w:type="pct"/>
            <w:shd w:val="clear" w:color="auto" w:fill="BFBFBF" w:themeFill="background1" w:themeFillShade="BF"/>
            <w:noWrap/>
            <w:vAlign w:val="center"/>
            <w:hideMark/>
          </w:tcPr>
          <w:p w14:paraId="7C329C4C" w14:textId="53B95514" w:rsidR="005848EA" w:rsidRPr="005830E6" w:rsidRDefault="000F4C8C" w:rsidP="001458F5">
            <w:pPr>
              <w:spacing w:before="0" w:after="0"/>
              <w:jc w:val="center"/>
              <w:rPr>
                <w:rFonts w:asciiTheme="minorHAnsi" w:eastAsia="Times New Roman" w:hAnsiTheme="minorHAnsi"/>
                <w:b/>
                <w:bCs/>
                <w:sz w:val="20"/>
                <w:szCs w:val="20"/>
                <w:lang w:eastAsia="pl-PL"/>
              </w:rPr>
            </w:pPr>
            <w:r>
              <w:rPr>
                <w:rFonts w:asciiTheme="minorHAnsi" w:eastAsia="Times New Roman" w:hAnsiTheme="minorHAnsi"/>
                <w:b/>
                <w:bCs/>
                <w:sz w:val="20"/>
                <w:szCs w:val="20"/>
                <w:lang w:eastAsia="pl-PL"/>
              </w:rPr>
              <w:t>U</w:t>
            </w:r>
            <w:r w:rsidR="0037520C">
              <w:rPr>
                <w:rFonts w:asciiTheme="minorHAnsi" w:eastAsia="Times New Roman" w:hAnsiTheme="minorHAnsi"/>
                <w:b/>
                <w:bCs/>
                <w:sz w:val="20"/>
                <w:szCs w:val="20"/>
                <w:lang w:eastAsia="pl-PL"/>
              </w:rPr>
              <w:t>dział</w:t>
            </w:r>
            <w:r w:rsidR="005848EA" w:rsidRPr="005830E6">
              <w:rPr>
                <w:rFonts w:asciiTheme="minorHAnsi" w:eastAsia="Times New Roman" w:hAnsiTheme="minorHAnsi"/>
                <w:b/>
                <w:bCs/>
                <w:sz w:val="20"/>
                <w:szCs w:val="20"/>
                <w:lang w:eastAsia="pl-PL"/>
              </w:rPr>
              <w:t xml:space="preserve"> jcwp</w:t>
            </w:r>
            <w:r w:rsidR="001458F5">
              <w:rPr>
                <w:rFonts w:asciiTheme="minorHAnsi" w:eastAsia="Times New Roman" w:hAnsiTheme="minorHAnsi"/>
                <w:b/>
                <w:bCs/>
                <w:sz w:val="20"/>
                <w:szCs w:val="20"/>
                <w:lang w:eastAsia="pl-PL"/>
              </w:rPr>
              <w:t xml:space="preserve"> </w:t>
            </w:r>
            <w:r w:rsidR="00E13BC3">
              <w:rPr>
                <w:rFonts w:asciiTheme="minorHAnsi" w:eastAsia="Times New Roman" w:hAnsiTheme="minorHAnsi"/>
                <w:b/>
                <w:bCs/>
                <w:sz w:val="20"/>
                <w:szCs w:val="20"/>
                <w:lang w:eastAsia="pl-PL"/>
              </w:rPr>
              <w:t>(</w:t>
            </w:r>
            <w:r w:rsidR="0037520C">
              <w:rPr>
                <w:rFonts w:asciiTheme="minorHAnsi" w:eastAsia="Times New Roman" w:hAnsiTheme="minorHAnsi"/>
                <w:b/>
                <w:bCs/>
                <w:sz w:val="20"/>
                <w:szCs w:val="20"/>
                <w:lang w:eastAsia="pl-PL"/>
              </w:rPr>
              <w:t>%</w:t>
            </w:r>
            <w:r w:rsidR="00E13BC3">
              <w:rPr>
                <w:rFonts w:asciiTheme="minorHAnsi" w:eastAsia="Times New Roman" w:hAnsiTheme="minorHAnsi"/>
                <w:b/>
                <w:bCs/>
                <w:sz w:val="20"/>
                <w:szCs w:val="20"/>
                <w:lang w:eastAsia="pl-PL"/>
              </w:rPr>
              <w:t>)</w:t>
            </w:r>
          </w:p>
        </w:tc>
      </w:tr>
      <w:tr w:rsidR="001458F5" w:rsidRPr="005830E6" w14:paraId="6FA9D4D1" w14:textId="77777777" w:rsidTr="001458F5">
        <w:trPr>
          <w:trHeight w:val="397"/>
        </w:trPr>
        <w:tc>
          <w:tcPr>
            <w:tcW w:w="3282" w:type="pct"/>
            <w:noWrap/>
            <w:vAlign w:val="center"/>
          </w:tcPr>
          <w:p w14:paraId="04949456" w14:textId="20396ED3" w:rsidR="001458F5" w:rsidRPr="005830E6"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 xml:space="preserve">Cel nieosiągnięty </w:t>
            </w:r>
            <w:r>
              <w:rPr>
                <w:rFonts w:asciiTheme="minorHAnsi" w:eastAsia="Times New Roman" w:hAnsiTheme="minorHAnsi"/>
                <w:sz w:val="20"/>
                <w:szCs w:val="20"/>
                <w:lang w:eastAsia="pl-PL"/>
              </w:rPr>
              <w:t>-</w:t>
            </w:r>
            <w:r w:rsidRPr="005830E6">
              <w:rPr>
                <w:rFonts w:asciiTheme="minorHAnsi" w:eastAsia="Times New Roman" w:hAnsiTheme="minorHAnsi"/>
                <w:sz w:val="20"/>
                <w:szCs w:val="20"/>
                <w:lang w:eastAsia="pl-PL"/>
              </w:rPr>
              <w:t xml:space="preserve"> brak postępu</w:t>
            </w:r>
          </w:p>
        </w:tc>
        <w:tc>
          <w:tcPr>
            <w:tcW w:w="859" w:type="pct"/>
            <w:noWrap/>
            <w:vAlign w:val="center"/>
          </w:tcPr>
          <w:p w14:paraId="530B6A27" w14:textId="565D565D" w:rsidR="001458F5" w:rsidRPr="005830E6" w:rsidRDefault="001458F5" w:rsidP="001458F5">
            <w:pPr>
              <w:spacing w:before="0" w:after="0"/>
              <w:jc w:val="center"/>
              <w:rPr>
                <w:sz w:val="20"/>
                <w:szCs w:val="20"/>
              </w:rPr>
            </w:pPr>
            <w:r w:rsidRPr="005830E6">
              <w:rPr>
                <w:sz w:val="20"/>
                <w:szCs w:val="20"/>
              </w:rPr>
              <w:t>21</w:t>
            </w:r>
          </w:p>
        </w:tc>
        <w:tc>
          <w:tcPr>
            <w:tcW w:w="859" w:type="pct"/>
            <w:noWrap/>
            <w:vAlign w:val="center"/>
          </w:tcPr>
          <w:p w14:paraId="77F43BDF" w14:textId="53F00C04" w:rsidR="001458F5" w:rsidRPr="005830E6" w:rsidRDefault="00672B83" w:rsidP="001458F5">
            <w:pPr>
              <w:spacing w:before="0" w:after="0"/>
              <w:jc w:val="center"/>
              <w:rPr>
                <w:sz w:val="20"/>
                <w:szCs w:val="20"/>
              </w:rPr>
            </w:pPr>
            <w:r>
              <w:rPr>
                <w:sz w:val="20"/>
                <w:szCs w:val="20"/>
              </w:rPr>
              <w:t>20</w:t>
            </w:r>
          </w:p>
        </w:tc>
      </w:tr>
      <w:tr w:rsidR="001458F5" w:rsidRPr="005830E6" w14:paraId="7EC86D96" w14:textId="77777777" w:rsidTr="001458F5">
        <w:trPr>
          <w:trHeight w:val="397"/>
        </w:trPr>
        <w:tc>
          <w:tcPr>
            <w:tcW w:w="3282" w:type="pct"/>
            <w:noWrap/>
            <w:vAlign w:val="center"/>
          </w:tcPr>
          <w:p w14:paraId="3F81BE20" w14:textId="51342302" w:rsidR="001458F5" w:rsidRPr="005830E6"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 xml:space="preserve">Cel nieosiągnięty </w:t>
            </w:r>
            <w:r>
              <w:rPr>
                <w:rFonts w:asciiTheme="minorHAnsi" w:eastAsia="Times New Roman" w:hAnsiTheme="minorHAnsi"/>
                <w:sz w:val="20"/>
                <w:szCs w:val="20"/>
                <w:lang w:eastAsia="pl-PL"/>
              </w:rPr>
              <w:t>-</w:t>
            </w:r>
            <w:r w:rsidRPr="005830E6">
              <w:rPr>
                <w:rFonts w:asciiTheme="minorHAnsi" w:eastAsia="Times New Roman" w:hAnsiTheme="minorHAnsi"/>
                <w:sz w:val="20"/>
                <w:szCs w:val="20"/>
                <w:lang w:eastAsia="pl-PL"/>
              </w:rPr>
              <w:t xml:space="preserve"> pogorszenie stanu/potencjału ekologicznego</w:t>
            </w:r>
          </w:p>
        </w:tc>
        <w:tc>
          <w:tcPr>
            <w:tcW w:w="859" w:type="pct"/>
            <w:noWrap/>
            <w:vAlign w:val="center"/>
          </w:tcPr>
          <w:p w14:paraId="6F67B43A" w14:textId="582FF2C5" w:rsidR="001458F5" w:rsidRPr="005830E6" w:rsidRDefault="001458F5" w:rsidP="001458F5">
            <w:pPr>
              <w:spacing w:before="0" w:after="0"/>
              <w:jc w:val="center"/>
              <w:rPr>
                <w:sz w:val="20"/>
                <w:szCs w:val="20"/>
              </w:rPr>
            </w:pPr>
            <w:r w:rsidRPr="005830E6">
              <w:rPr>
                <w:sz w:val="20"/>
                <w:szCs w:val="20"/>
              </w:rPr>
              <w:t>5</w:t>
            </w:r>
          </w:p>
        </w:tc>
        <w:tc>
          <w:tcPr>
            <w:tcW w:w="859" w:type="pct"/>
            <w:noWrap/>
            <w:vAlign w:val="center"/>
          </w:tcPr>
          <w:p w14:paraId="787A16C5" w14:textId="055D6FA0" w:rsidR="001458F5" w:rsidRPr="005830E6" w:rsidRDefault="00672B83" w:rsidP="001458F5">
            <w:pPr>
              <w:spacing w:before="0" w:after="0"/>
              <w:jc w:val="center"/>
              <w:rPr>
                <w:sz w:val="20"/>
                <w:szCs w:val="20"/>
              </w:rPr>
            </w:pPr>
            <w:r>
              <w:rPr>
                <w:sz w:val="20"/>
                <w:szCs w:val="20"/>
              </w:rPr>
              <w:t>5</w:t>
            </w:r>
          </w:p>
        </w:tc>
      </w:tr>
      <w:tr w:rsidR="001458F5" w:rsidRPr="005830E6" w14:paraId="782E4347" w14:textId="77777777" w:rsidTr="001458F5">
        <w:trPr>
          <w:trHeight w:val="397"/>
        </w:trPr>
        <w:tc>
          <w:tcPr>
            <w:tcW w:w="3282" w:type="pct"/>
            <w:noWrap/>
            <w:vAlign w:val="center"/>
          </w:tcPr>
          <w:p w14:paraId="69C5DA66" w14:textId="76039FC7" w:rsidR="001458F5" w:rsidRPr="005830E6"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 xml:space="preserve">Cel nieosiągnięty </w:t>
            </w:r>
            <w:r>
              <w:rPr>
                <w:rFonts w:asciiTheme="minorHAnsi" w:eastAsia="Times New Roman" w:hAnsiTheme="minorHAnsi"/>
                <w:sz w:val="20"/>
                <w:szCs w:val="20"/>
                <w:lang w:eastAsia="pl-PL"/>
              </w:rPr>
              <w:t>-</w:t>
            </w:r>
            <w:r w:rsidRPr="005830E6">
              <w:rPr>
                <w:rFonts w:asciiTheme="minorHAnsi" w:eastAsia="Times New Roman" w:hAnsiTheme="minorHAnsi"/>
                <w:sz w:val="20"/>
                <w:szCs w:val="20"/>
                <w:lang w:eastAsia="pl-PL"/>
              </w:rPr>
              <w:t xml:space="preserve"> aktualizacja oceny stanu/potencjału ekologicznego</w:t>
            </w:r>
          </w:p>
        </w:tc>
        <w:tc>
          <w:tcPr>
            <w:tcW w:w="859" w:type="pct"/>
            <w:noWrap/>
            <w:vAlign w:val="center"/>
          </w:tcPr>
          <w:p w14:paraId="665869B9" w14:textId="041580D2" w:rsidR="001458F5" w:rsidRPr="005830E6" w:rsidRDefault="001458F5" w:rsidP="001458F5">
            <w:pPr>
              <w:spacing w:before="0" w:after="0"/>
              <w:jc w:val="center"/>
              <w:rPr>
                <w:sz w:val="20"/>
                <w:szCs w:val="20"/>
              </w:rPr>
            </w:pPr>
            <w:r w:rsidRPr="005830E6">
              <w:rPr>
                <w:sz w:val="20"/>
                <w:szCs w:val="20"/>
              </w:rPr>
              <w:t>18</w:t>
            </w:r>
          </w:p>
        </w:tc>
        <w:tc>
          <w:tcPr>
            <w:tcW w:w="859" w:type="pct"/>
            <w:noWrap/>
            <w:vAlign w:val="center"/>
          </w:tcPr>
          <w:p w14:paraId="68DCC2E9" w14:textId="7E133C7F" w:rsidR="001458F5" w:rsidRPr="005830E6" w:rsidRDefault="00672B83" w:rsidP="001458F5">
            <w:pPr>
              <w:spacing w:before="0" w:after="0"/>
              <w:jc w:val="center"/>
              <w:rPr>
                <w:sz w:val="20"/>
                <w:szCs w:val="20"/>
              </w:rPr>
            </w:pPr>
            <w:r>
              <w:rPr>
                <w:sz w:val="20"/>
                <w:szCs w:val="20"/>
              </w:rPr>
              <w:t>17</w:t>
            </w:r>
          </w:p>
        </w:tc>
      </w:tr>
      <w:tr w:rsidR="001458F5" w:rsidRPr="005830E6" w14:paraId="3426C1AA" w14:textId="77777777" w:rsidTr="001458F5">
        <w:trPr>
          <w:trHeight w:val="397"/>
        </w:trPr>
        <w:tc>
          <w:tcPr>
            <w:tcW w:w="3282" w:type="pct"/>
            <w:noWrap/>
            <w:vAlign w:val="center"/>
          </w:tcPr>
          <w:p w14:paraId="48EF5B89" w14:textId="4C6D8121" w:rsidR="001458F5" w:rsidRPr="0085285D"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Cel osiągnięty - utrzymanie stanu/potencjału ekologicznego</w:t>
            </w:r>
          </w:p>
        </w:tc>
        <w:tc>
          <w:tcPr>
            <w:tcW w:w="859" w:type="pct"/>
            <w:noWrap/>
            <w:vAlign w:val="center"/>
          </w:tcPr>
          <w:p w14:paraId="21976153" w14:textId="1FFF9C3E" w:rsidR="001458F5" w:rsidRPr="005830E6" w:rsidRDefault="001458F5" w:rsidP="001458F5">
            <w:pPr>
              <w:spacing w:before="0" w:after="0"/>
              <w:jc w:val="center"/>
              <w:rPr>
                <w:rFonts w:asciiTheme="minorHAnsi" w:eastAsia="Times New Roman" w:hAnsiTheme="minorHAnsi"/>
                <w:sz w:val="20"/>
                <w:szCs w:val="20"/>
                <w:lang w:eastAsia="pl-PL"/>
              </w:rPr>
            </w:pPr>
            <w:r w:rsidRPr="005830E6">
              <w:rPr>
                <w:sz w:val="20"/>
                <w:szCs w:val="20"/>
              </w:rPr>
              <w:t>3</w:t>
            </w:r>
          </w:p>
        </w:tc>
        <w:tc>
          <w:tcPr>
            <w:tcW w:w="859" w:type="pct"/>
            <w:noWrap/>
            <w:vAlign w:val="center"/>
          </w:tcPr>
          <w:p w14:paraId="477D7CBA" w14:textId="2864A12F" w:rsidR="001458F5" w:rsidRPr="005830E6" w:rsidRDefault="00672B83" w:rsidP="001458F5">
            <w:pPr>
              <w:spacing w:before="0" w:after="0"/>
              <w:jc w:val="center"/>
              <w:rPr>
                <w:rFonts w:asciiTheme="minorHAnsi" w:eastAsia="Times New Roman" w:hAnsiTheme="minorHAnsi"/>
                <w:sz w:val="20"/>
                <w:szCs w:val="20"/>
                <w:lang w:eastAsia="pl-PL"/>
              </w:rPr>
            </w:pPr>
            <w:r>
              <w:rPr>
                <w:sz w:val="20"/>
                <w:szCs w:val="20"/>
              </w:rPr>
              <w:t>3</w:t>
            </w:r>
          </w:p>
        </w:tc>
      </w:tr>
      <w:tr w:rsidR="001458F5" w:rsidRPr="005830E6" w14:paraId="6C7C2C7F" w14:textId="77777777" w:rsidTr="001458F5">
        <w:trPr>
          <w:trHeight w:val="397"/>
        </w:trPr>
        <w:tc>
          <w:tcPr>
            <w:tcW w:w="3282" w:type="pct"/>
            <w:noWrap/>
            <w:vAlign w:val="center"/>
          </w:tcPr>
          <w:p w14:paraId="149DE0FE" w14:textId="4AA42E1F" w:rsidR="001458F5" w:rsidRPr="0085285D"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Cel osiągnięty - poprawa stanu/potencjału ekologicznego</w:t>
            </w:r>
          </w:p>
        </w:tc>
        <w:tc>
          <w:tcPr>
            <w:tcW w:w="859" w:type="pct"/>
            <w:noWrap/>
            <w:vAlign w:val="center"/>
          </w:tcPr>
          <w:p w14:paraId="07CD3F40" w14:textId="178A49DC" w:rsidR="001458F5" w:rsidRPr="005830E6" w:rsidRDefault="001458F5" w:rsidP="001458F5">
            <w:pPr>
              <w:spacing w:before="0" w:after="0"/>
              <w:jc w:val="center"/>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0</w:t>
            </w:r>
          </w:p>
        </w:tc>
        <w:tc>
          <w:tcPr>
            <w:tcW w:w="859" w:type="pct"/>
            <w:noWrap/>
            <w:vAlign w:val="center"/>
          </w:tcPr>
          <w:p w14:paraId="68003EF5" w14:textId="0556DB1B" w:rsidR="001458F5" w:rsidRPr="005830E6" w:rsidRDefault="00F8406D" w:rsidP="001458F5">
            <w:pPr>
              <w:spacing w:before="0" w:after="0"/>
              <w:jc w:val="center"/>
              <w:rPr>
                <w:rFonts w:asciiTheme="minorHAnsi" w:eastAsia="Times New Roman" w:hAnsiTheme="minorHAnsi"/>
                <w:sz w:val="20"/>
                <w:szCs w:val="20"/>
                <w:lang w:eastAsia="pl-PL"/>
              </w:rPr>
            </w:pPr>
            <w:r>
              <w:rPr>
                <w:rFonts w:asciiTheme="minorHAnsi" w:eastAsia="Times New Roman" w:hAnsiTheme="minorHAnsi"/>
                <w:sz w:val="20"/>
                <w:szCs w:val="20"/>
                <w:lang w:eastAsia="pl-PL"/>
              </w:rPr>
              <w:t>0</w:t>
            </w:r>
          </w:p>
        </w:tc>
      </w:tr>
      <w:tr w:rsidR="001458F5" w:rsidRPr="005830E6" w14:paraId="0FB04872" w14:textId="77777777" w:rsidTr="001458F5">
        <w:trPr>
          <w:trHeight w:val="397"/>
        </w:trPr>
        <w:tc>
          <w:tcPr>
            <w:tcW w:w="3282" w:type="pct"/>
            <w:noWrap/>
            <w:vAlign w:val="center"/>
          </w:tcPr>
          <w:p w14:paraId="72C3E8C3" w14:textId="2E422830" w:rsidR="001458F5" w:rsidRPr="0085285D" w:rsidRDefault="001458F5" w:rsidP="001458F5">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 xml:space="preserve">Cel osiągnięty </w:t>
            </w:r>
            <w:r>
              <w:rPr>
                <w:rFonts w:asciiTheme="minorHAnsi" w:eastAsia="Times New Roman" w:hAnsiTheme="minorHAnsi"/>
                <w:sz w:val="20"/>
                <w:szCs w:val="20"/>
                <w:lang w:eastAsia="pl-PL"/>
              </w:rPr>
              <w:t>-</w:t>
            </w:r>
            <w:r w:rsidRPr="005830E6">
              <w:rPr>
                <w:rFonts w:asciiTheme="minorHAnsi" w:eastAsia="Times New Roman" w:hAnsiTheme="minorHAnsi"/>
                <w:sz w:val="20"/>
                <w:szCs w:val="20"/>
                <w:lang w:eastAsia="pl-PL"/>
              </w:rPr>
              <w:t xml:space="preserve"> aktualizacja oceny stanu/potencjału ekologicznego</w:t>
            </w:r>
          </w:p>
        </w:tc>
        <w:tc>
          <w:tcPr>
            <w:tcW w:w="859" w:type="pct"/>
            <w:noWrap/>
            <w:vAlign w:val="center"/>
          </w:tcPr>
          <w:p w14:paraId="60C57EF1" w14:textId="3B0C9560" w:rsidR="001458F5" w:rsidRPr="005830E6" w:rsidRDefault="001458F5" w:rsidP="001458F5">
            <w:pPr>
              <w:spacing w:before="0" w:after="0"/>
              <w:jc w:val="center"/>
              <w:rPr>
                <w:rFonts w:asciiTheme="minorHAnsi" w:eastAsia="Times New Roman" w:hAnsiTheme="minorHAnsi"/>
                <w:sz w:val="20"/>
                <w:szCs w:val="20"/>
                <w:lang w:eastAsia="pl-PL"/>
              </w:rPr>
            </w:pPr>
            <w:r w:rsidRPr="005830E6">
              <w:rPr>
                <w:sz w:val="20"/>
                <w:szCs w:val="20"/>
              </w:rPr>
              <w:t>3</w:t>
            </w:r>
          </w:p>
        </w:tc>
        <w:tc>
          <w:tcPr>
            <w:tcW w:w="859" w:type="pct"/>
            <w:noWrap/>
            <w:vAlign w:val="center"/>
          </w:tcPr>
          <w:p w14:paraId="13A3D85E" w14:textId="029D682A" w:rsidR="001458F5" w:rsidRPr="005830E6" w:rsidRDefault="00672B83" w:rsidP="001458F5">
            <w:pPr>
              <w:spacing w:before="0" w:after="0"/>
              <w:jc w:val="center"/>
              <w:rPr>
                <w:rFonts w:asciiTheme="minorHAnsi" w:eastAsia="Times New Roman" w:hAnsiTheme="minorHAnsi"/>
                <w:sz w:val="20"/>
                <w:szCs w:val="20"/>
                <w:lang w:eastAsia="pl-PL"/>
              </w:rPr>
            </w:pPr>
            <w:r>
              <w:rPr>
                <w:sz w:val="20"/>
                <w:szCs w:val="20"/>
              </w:rPr>
              <w:t>3</w:t>
            </w:r>
          </w:p>
        </w:tc>
      </w:tr>
      <w:tr w:rsidR="0037520C" w:rsidRPr="005830E6" w14:paraId="38CDD0E7" w14:textId="77777777" w:rsidTr="001458F5">
        <w:trPr>
          <w:trHeight w:val="397"/>
        </w:trPr>
        <w:tc>
          <w:tcPr>
            <w:tcW w:w="3282" w:type="pct"/>
            <w:noWrap/>
            <w:vAlign w:val="center"/>
            <w:hideMark/>
          </w:tcPr>
          <w:p w14:paraId="78D7FD06" w14:textId="77777777" w:rsidR="0037520C" w:rsidRPr="0085285D" w:rsidRDefault="0037520C" w:rsidP="0037520C">
            <w:pPr>
              <w:spacing w:before="0" w:after="0"/>
              <w:jc w:val="left"/>
              <w:rPr>
                <w:rFonts w:asciiTheme="minorHAnsi" w:eastAsia="Times New Roman" w:hAnsiTheme="minorHAnsi"/>
                <w:sz w:val="20"/>
                <w:szCs w:val="20"/>
                <w:lang w:eastAsia="pl-PL"/>
              </w:rPr>
            </w:pPr>
            <w:r w:rsidRPr="005830E6">
              <w:rPr>
                <w:rFonts w:asciiTheme="minorHAnsi" w:eastAsia="Times New Roman" w:hAnsiTheme="minorHAnsi"/>
                <w:sz w:val="20"/>
                <w:szCs w:val="20"/>
                <w:lang w:eastAsia="pl-PL"/>
              </w:rPr>
              <w:t>Brak możliwości oceny stopnia osiągnięcia celu</w:t>
            </w:r>
          </w:p>
        </w:tc>
        <w:tc>
          <w:tcPr>
            <w:tcW w:w="859" w:type="pct"/>
            <w:noWrap/>
            <w:vAlign w:val="center"/>
          </w:tcPr>
          <w:p w14:paraId="1112D78D" w14:textId="6264E2D7" w:rsidR="0037520C" w:rsidRPr="005830E6" w:rsidRDefault="0037520C" w:rsidP="0037520C">
            <w:pPr>
              <w:spacing w:before="0" w:after="0"/>
              <w:jc w:val="center"/>
              <w:rPr>
                <w:rFonts w:asciiTheme="minorHAnsi" w:eastAsia="Times New Roman" w:hAnsiTheme="minorHAnsi"/>
                <w:sz w:val="20"/>
                <w:szCs w:val="20"/>
                <w:lang w:eastAsia="pl-PL"/>
              </w:rPr>
            </w:pPr>
            <w:r w:rsidRPr="005830E6">
              <w:rPr>
                <w:sz w:val="20"/>
                <w:szCs w:val="20"/>
              </w:rPr>
              <w:t>55</w:t>
            </w:r>
          </w:p>
        </w:tc>
        <w:tc>
          <w:tcPr>
            <w:tcW w:w="859" w:type="pct"/>
            <w:noWrap/>
            <w:vAlign w:val="center"/>
          </w:tcPr>
          <w:p w14:paraId="1AE4062E" w14:textId="5DAA293E" w:rsidR="0037520C" w:rsidRPr="005830E6" w:rsidRDefault="00672B83" w:rsidP="0037520C">
            <w:pPr>
              <w:spacing w:before="0" w:after="0"/>
              <w:jc w:val="center"/>
              <w:rPr>
                <w:rFonts w:asciiTheme="minorHAnsi" w:eastAsia="Times New Roman" w:hAnsiTheme="minorHAnsi"/>
                <w:sz w:val="20"/>
                <w:szCs w:val="20"/>
                <w:lang w:eastAsia="pl-PL"/>
              </w:rPr>
            </w:pPr>
            <w:r>
              <w:rPr>
                <w:sz w:val="20"/>
                <w:szCs w:val="20"/>
              </w:rPr>
              <w:t>52</w:t>
            </w:r>
          </w:p>
        </w:tc>
      </w:tr>
      <w:tr w:rsidR="0037520C" w:rsidRPr="005830E6" w14:paraId="5CE8B9A6" w14:textId="77777777" w:rsidTr="001458F5">
        <w:trPr>
          <w:trHeight w:val="454"/>
        </w:trPr>
        <w:tc>
          <w:tcPr>
            <w:tcW w:w="3282" w:type="pct"/>
            <w:shd w:val="clear" w:color="auto" w:fill="BFBFBF" w:themeFill="background1" w:themeFillShade="BF"/>
            <w:noWrap/>
            <w:vAlign w:val="center"/>
            <w:hideMark/>
          </w:tcPr>
          <w:p w14:paraId="4AD3FE9E" w14:textId="7AB8F7B6" w:rsidR="0037520C" w:rsidRPr="005830E6" w:rsidRDefault="001458F5" w:rsidP="001458F5">
            <w:pPr>
              <w:spacing w:before="0" w:after="0"/>
              <w:jc w:val="center"/>
              <w:rPr>
                <w:rFonts w:asciiTheme="minorHAnsi" w:eastAsia="Times New Roman" w:hAnsiTheme="minorHAnsi"/>
                <w:b/>
                <w:bCs/>
                <w:sz w:val="20"/>
                <w:szCs w:val="20"/>
                <w:lang w:eastAsia="pl-PL"/>
              </w:rPr>
            </w:pPr>
            <w:r w:rsidRPr="005830E6">
              <w:rPr>
                <w:rFonts w:eastAsia="Times New Roman" w:cs="Calibri"/>
                <w:b/>
                <w:bCs/>
                <w:color w:val="000000"/>
                <w:sz w:val="20"/>
                <w:szCs w:val="20"/>
              </w:rPr>
              <w:t xml:space="preserve">Liczba jcwp </w:t>
            </w:r>
            <w:r>
              <w:rPr>
                <w:rFonts w:eastAsia="Times New Roman" w:cs="Calibri"/>
                <w:b/>
                <w:bCs/>
                <w:color w:val="000000"/>
                <w:sz w:val="20"/>
                <w:szCs w:val="20"/>
              </w:rPr>
              <w:t xml:space="preserve">LW </w:t>
            </w:r>
            <w:r w:rsidRPr="005830E6">
              <w:rPr>
                <w:rFonts w:eastAsia="Times New Roman" w:cs="Calibri"/>
                <w:b/>
                <w:bCs/>
                <w:color w:val="000000"/>
                <w:sz w:val="20"/>
                <w:szCs w:val="20"/>
              </w:rPr>
              <w:t>w</w:t>
            </w:r>
            <w:r>
              <w:rPr>
                <w:rFonts w:eastAsia="Times New Roman" w:cs="Calibri"/>
                <w:b/>
                <w:bCs/>
                <w:color w:val="000000"/>
                <w:sz w:val="20"/>
                <w:szCs w:val="20"/>
              </w:rPr>
              <w:t xml:space="preserve"> obszarze</w:t>
            </w:r>
            <w:r w:rsidRPr="005830E6">
              <w:rPr>
                <w:rFonts w:eastAsia="Times New Roman" w:cs="Calibri"/>
                <w:b/>
                <w:bCs/>
                <w:color w:val="000000"/>
                <w:sz w:val="20"/>
                <w:szCs w:val="20"/>
              </w:rPr>
              <w:t xml:space="preserve"> dorzecz</w:t>
            </w:r>
            <w:r>
              <w:rPr>
                <w:rFonts w:eastAsia="Times New Roman" w:cs="Calibri"/>
                <w:b/>
                <w:bCs/>
                <w:color w:val="000000"/>
                <w:sz w:val="20"/>
                <w:szCs w:val="20"/>
              </w:rPr>
              <w:t>a</w:t>
            </w:r>
          </w:p>
        </w:tc>
        <w:tc>
          <w:tcPr>
            <w:tcW w:w="859" w:type="pct"/>
            <w:shd w:val="clear" w:color="auto" w:fill="BFBFBF" w:themeFill="background1" w:themeFillShade="BF"/>
            <w:noWrap/>
            <w:vAlign w:val="center"/>
          </w:tcPr>
          <w:p w14:paraId="41DBBEED" w14:textId="03E48083" w:rsidR="0037520C" w:rsidRPr="005830E6" w:rsidRDefault="0037520C" w:rsidP="0037520C">
            <w:pPr>
              <w:spacing w:before="0" w:after="0"/>
              <w:jc w:val="center"/>
              <w:rPr>
                <w:rFonts w:asciiTheme="minorHAnsi" w:eastAsia="Times New Roman" w:hAnsiTheme="minorHAnsi"/>
                <w:b/>
                <w:bCs/>
                <w:sz w:val="20"/>
                <w:szCs w:val="20"/>
                <w:lang w:eastAsia="pl-PL"/>
              </w:rPr>
            </w:pPr>
            <w:r w:rsidRPr="0085285D">
              <w:rPr>
                <w:b/>
                <w:sz w:val="20"/>
                <w:szCs w:val="20"/>
              </w:rPr>
              <w:t>105</w:t>
            </w:r>
          </w:p>
        </w:tc>
        <w:tc>
          <w:tcPr>
            <w:tcW w:w="859" w:type="pct"/>
            <w:shd w:val="clear" w:color="auto" w:fill="BFBFBF" w:themeFill="background1" w:themeFillShade="BF"/>
            <w:noWrap/>
            <w:vAlign w:val="center"/>
          </w:tcPr>
          <w:p w14:paraId="26386789" w14:textId="0056C431" w:rsidR="0037520C" w:rsidRPr="005830E6" w:rsidRDefault="0037520C" w:rsidP="0037520C">
            <w:pPr>
              <w:spacing w:before="0" w:after="0"/>
              <w:jc w:val="center"/>
              <w:rPr>
                <w:rFonts w:asciiTheme="minorHAnsi" w:eastAsia="Times New Roman" w:hAnsiTheme="minorHAnsi"/>
                <w:b/>
                <w:bCs/>
                <w:sz w:val="20"/>
                <w:szCs w:val="20"/>
                <w:lang w:eastAsia="pl-PL"/>
              </w:rPr>
            </w:pPr>
            <w:r w:rsidRPr="0085285D">
              <w:rPr>
                <w:b/>
                <w:sz w:val="20"/>
                <w:szCs w:val="20"/>
              </w:rPr>
              <w:t>100</w:t>
            </w:r>
          </w:p>
        </w:tc>
      </w:tr>
    </w:tbl>
    <w:p w14:paraId="67270F10" w14:textId="43D5FE29" w:rsidR="005848EA" w:rsidRPr="00B766BA" w:rsidRDefault="005848EA" w:rsidP="0085285D">
      <w:pPr>
        <w:pStyle w:val="rdo0"/>
        <w:rPr>
          <w:color w:val="000099"/>
          <w:sz w:val="20"/>
          <w:szCs w:val="20"/>
        </w:rPr>
      </w:pPr>
      <w:r w:rsidRPr="00B766BA">
        <w:t xml:space="preserve">Źródło: </w:t>
      </w:r>
      <w:r w:rsidR="00553428">
        <w:t xml:space="preserve">opracowanie </w:t>
      </w:r>
      <w:r w:rsidR="00B773E9">
        <w:t xml:space="preserve">własne </w:t>
      </w:r>
      <w:r w:rsidRPr="00B766BA">
        <w:t>na podstawie danych GIOŚ</w:t>
      </w:r>
    </w:p>
    <w:p w14:paraId="6079B905" w14:textId="1D4CE846" w:rsidR="005848EA" w:rsidRDefault="0037520C" w:rsidP="005848EA">
      <w:r>
        <w:t>Do zasadniczych przyczyn złego stanu/potencjału ekologicznego jcwp jeziornych zaliczyć należy uwarunkowania środowiskowe, w tym sposób użytkowania zlewni, jej potencjał sorpcyjny oraz zasilanie wewnętrzne, które są źródłem głównych presji fizy</w:t>
      </w:r>
      <w:r w:rsidR="00682629">
        <w:t>ko</w:t>
      </w:r>
      <w:r>
        <w:t>-chemicznych, w tym w szczególności związków biogennych niekorzystnie oddziałujących na elementy biologiczne jeziora. Część z presji decydujących o niskiej klasie elementów fiz</w:t>
      </w:r>
      <w:r w:rsidR="00682629">
        <w:t>yko</w:t>
      </w:r>
      <w:r>
        <w:t>-chemicznych jest trudna zarówno do monitorowania (np. zasilanie wewnętrzne jeziora, spływy obszarowe), jak i do całkowitego wyeliminowania, pomimo wdrożenia działań naprawczych. W analizie przyczyn braku postępu w osiąganiu celów środowiskowych, niski</w:t>
      </w:r>
      <w:r w:rsidRPr="00F25B07">
        <w:t xml:space="preserve"> stopień</w:t>
      </w:r>
      <w:r>
        <w:t xml:space="preserve"> realizacji i słabą skuteczność</w:t>
      </w:r>
      <w:r w:rsidRPr="00F25B07">
        <w:t xml:space="preserve"> </w:t>
      </w:r>
      <w:r>
        <w:t xml:space="preserve">zaplanowanych w aPWŚK </w:t>
      </w:r>
      <w:r w:rsidRPr="00F25B07">
        <w:t xml:space="preserve">działań </w:t>
      </w:r>
      <w:r>
        <w:t>naprawczych potwierdzono dla</w:t>
      </w:r>
      <w:r w:rsidRPr="00F25B07">
        <w:t xml:space="preserve"> </w:t>
      </w:r>
      <w:r w:rsidRPr="0085285D">
        <w:rPr>
          <w:rFonts w:eastAsia="Times New Roman"/>
          <w:color w:val="000000"/>
          <w:lang w:eastAsia="pl-PL"/>
        </w:rPr>
        <w:t>43</w:t>
      </w:r>
      <w:r>
        <w:t xml:space="preserve"> </w:t>
      </w:r>
      <w:r w:rsidRPr="00F25B07">
        <w:t>jcwp</w:t>
      </w:r>
      <w:r>
        <w:t xml:space="preserve"> jeziornych (4</w:t>
      </w:r>
      <w:r w:rsidR="00097820">
        <w:t>1</w:t>
      </w:r>
      <w:r>
        <w:t>,</w:t>
      </w:r>
      <w:r w:rsidR="00097820">
        <w:t>0</w:t>
      </w:r>
      <w:r>
        <w:t xml:space="preserve">% jcwp </w:t>
      </w:r>
      <w:r w:rsidR="00215474">
        <w:t>w obszarze dorzecza</w:t>
      </w:r>
      <w:r>
        <w:t xml:space="preserve">). Uwarunkowania zlewniowe, w tym niski potencjał sorpcyjny, ograniczone zasilanie wodami podziemnymi oraz  dopływ zanieczyszczeń z jcwp powiązanych zaliczono do przyczyn nieosiągnięcia co najmniej dobrego stanu/potencjału ekologicznego w przypadku </w:t>
      </w:r>
      <w:r w:rsidRPr="0085285D">
        <w:rPr>
          <w:rFonts w:eastAsia="Times New Roman"/>
          <w:color w:val="000000"/>
          <w:lang w:eastAsia="pl-PL"/>
        </w:rPr>
        <w:t>15</w:t>
      </w:r>
      <w:r>
        <w:t xml:space="preserve"> jcwp jeziornych (14,</w:t>
      </w:r>
      <w:r w:rsidR="00097820">
        <w:t>3</w:t>
      </w:r>
      <w:r>
        <w:t>%), a zmiany legislacyjne i</w:t>
      </w:r>
      <w:r w:rsidR="0085285D" w:rsidRPr="0085285D">
        <w:t> </w:t>
      </w:r>
      <w:r>
        <w:t xml:space="preserve">zakresu monitoringu odpowiednio dla </w:t>
      </w:r>
      <w:r w:rsidRPr="0085285D">
        <w:rPr>
          <w:rFonts w:eastAsia="Times New Roman"/>
          <w:color w:val="000000"/>
          <w:lang w:eastAsia="pl-PL"/>
        </w:rPr>
        <w:t>4</w:t>
      </w:r>
      <w:r>
        <w:t xml:space="preserve"> (</w:t>
      </w:r>
      <w:r w:rsidR="00097820">
        <w:t>3,8</w:t>
      </w:r>
      <w:r>
        <w:t xml:space="preserve">%) i </w:t>
      </w:r>
      <w:r w:rsidRPr="0085285D">
        <w:rPr>
          <w:rFonts w:eastAsia="Times New Roman"/>
          <w:color w:val="000000"/>
          <w:lang w:eastAsia="pl-PL"/>
        </w:rPr>
        <w:t>18</w:t>
      </w:r>
      <w:r>
        <w:t xml:space="preserve"> (17,</w:t>
      </w:r>
      <w:r w:rsidR="00097820">
        <w:t>1</w:t>
      </w:r>
      <w:r>
        <w:t>%) jezior (tabela 9-9)</w:t>
      </w:r>
      <w:r w:rsidR="005848EA">
        <w:t xml:space="preserve">. </w:t>
      </w:r>
    </w:p>
    <w:p w14:paraId="38BBD759" w14:textId="18EBB16D" w:rsidR="005848EA" w:rsidRPr="00AD051B" w:rsidRDefault="005848EA" w:rsidP="006802BB">
      <w:pPr>
        <w:pStyle w:val="Tabela"/>
        <w:rPr>
          <w:rFonts w:asciiTheme="minorHAnsi" w:hAnsiTheme="minorHAnsi" w:cstheme="minorBidi"/>
          <w:color w:val="000000" w:themeColor="text1"/>
        </w:rPr>
      </w:pPr>
      <w:bookmarkStart w:id="263" w:name="_Toc66311306"/>
      <w:bookmarkStart w:id="264" w:name="_Toc68727005"/>
      <w:r w:rsidRPr="00757FC6">
        <w:t xml:space="preserve">Tabela </w:t>
      </w:r>
      <w:fldSimple w:instr=" STYLEREF 1 \s ">
        <w:r w:rsidR="007B4050">
          <w:rPr>
            <w:noProof/>
          </w:rPr>
          <w:t>9</w:t>
        </w:r>
      </w:fldSimple>
      <w:r w:rsidR="007B4050">
        <w:noBreakHyphen/>
      </w:r>
      <w:fldSimple w:instr=" SEQ Tabela \* ARABIC \s 1 ">
        <w:r w:rsidR="007B4050">
          <w:rPr>
            <w:noProof/>
          </w:rPr>
          <w:t>9</w:t>
        </w:r>
      </w:fldSimple>
      <w:r w:rsidRPr="00757FC6">
        <w:tab/>
        <w:t xml:space="preserve">Analiza przyczyn braku postępu w osiąganiu celów środowiskowych dla stanu/potencjału ekologicznego w jcwp </w:t>
      </w:r>
      <w:r w:rsidR="00024FDD">
        <w:t>LW</w:t>
      </w:r>
      <w:r w:rsidRPr="00757FC6">
        <w:t xml:space="preserve"> dorzecza </w:t>
      </w:r>
      <w:r w:rsidR="000C4534">
        <w:t>Pregoły</w:t>
      </w:r>
      <w:r w:rsidRPr="00757FC6">
        <w:t xml:space="preserve"> wykonana w oparciu o nowy układ planistyczny IIaPGW</w:t>
      </w:r>
      <w:bookmarkEnd w:id="263"/>
      <w:bookmarkEnd w:id="264"/>
    </w:p>
    <w:tbl>
      <w:tblPr>
        <w:tblStyle w:val="Tabela-Siatka"/>
        <w:tblW w:w="5000" w:type="pct"/>
        <w:tblLayout w:type="fixed"/>
        <w:tblLook w:val="04A0" w:firstRow="1" w:lastRow="0" w:firstColumn="1" w:lastColumn="0" w:noHBand="0" w:noVBand="1"/>
      </w:tblPr>
      <w:tblGrid>
        <w:gridCol w:w="4389"/>
        <w:gridCol w:w="1985"/>
        <w:gridCol w:w="2688"/>
      </w:tblGrid>
      <w:tr w:rsidR="005848EA" w:rsidRPr="002B5FA6" w14:paraId="781BD218" w14:textId="77777777" w:rsidTr="00A90DE5">
        <w:trPr>
          <w:trHeight w:val="454"/>
        </w:trPr>
        <w:tc>
          <w:tcPr>
            <w:tcW w:w="5000" w:type="pct"/>
            <w:gridSpan w:val="3"/>
            <w:shd w:val="clear" w:color="auto" w:fill="BFBFBF" w:themeFill="background1" w:themeFillShade="BF"/>
            <w:noWrap/>
            <w:vAlign w:val="center"/>
            <w:hideMark/>
          </w:tcPr>
          <w:p w14:paraId="194145B4" w14:textId="24C87F6B" w:rsidR="005848EA" w:rsidRPr="002B5FA6" w:rsidRDefault="005848EA" w:rsidP="00840CCD">
            <w:pPr>
              <w:spacing w:before="0" w:after="0"/>
              <w:jc w:val="center"/>
              <w:rPr>
                <w:rFonts w:eastAsia="Times New Roman"/>
                <w:b/>
                <w:bCs/>
                <w:sz w:val="20"/>
                <w:szCs w:val="20"/>
                <w:lang w:eastAsia="pl-PL"/>
              </w:rPr>
            </w:pPr>
            <w:r w:rsidRPr="002B5FA6">
              <w:rPr>
                <w:rFonts w:eastAsia="Times New Roman"/>
                <w:b/>
                <w:bCs/>
                <w:sz w:val="20"/>
                <w:szCs w:val="20"/>
                <w:lang w:eastAsia="pl-PL"/>
              </w:rPr>
              <w:t>Analiza przyczyn i uwarunkowań braku postępu w osiąganiu celów środowiskowych</w:t>
            </w:r>
            <w:r w:rsidR="00024FDD">
              <w:rPr>
                <w:rFonts w:eastAsia="Times New Roman"/>
                <w:b/>
                <w:bCs/>
                <w:sz w:val="20"/>
                <w:szCs w:val="20"/>
                <w:lang w:eastAsia="pl-PL"/>
              </w:rPr>
              <w:t xml:space="preserve"> dla stanu/potencjału ekologicznego</w:t>
            </w:r>
          </w:p>
        </w:tc>
      </w:tr>
      <w:tr w:rsidR="005848EA" w:rsidRPr="002B5FA6" w14:paraId="50C1C8B8" w14:textId="77777777" w:rsidTr="004A1B76">
        <w:trPr>
          <w:trHeight w:val="454"/>
        </w:trPr>
        <w:tc>
          <w:tcPr>
            <w:tcW w:w="2422" w:type="pct"/>
            <w:shd w:val="clear" w:color="auto" w:fill="D9D9D9" w:themeFill="background1" w:themeFillShade="D9"/>
            <w:noWrap/>
            <w:vAlign w:val="center"/>
            <w:hideMark/>
          </w:tcPr>
          <w:p w14:paraId="5E57DC67" w14:textId="4CC65880" w:rsidR="005848EA" w:rsidRPr="002B5FA6" w:rsidRDefault="005848EA" w:rsidP="00840CCD">
            <w:pPr>
              <w:spacing w:before="0" w:after="0"/>
              <w:jc w:val="center"/>
              <w:rPr>
                <w:rFonts w:eastAsia="Times New Roman"/>
                <w:b/>
                <w:bCs/>
                <w:sz w:val="20"/>
                <w:szCs w:val="20"/>
                <w:lang w:eastAsia="pl-PL"/>
              </w:rPr>
            </w:pPr>
            <w:r w:rsidRPr="002B5FA6">
              <w:rPr>
                <w:rFonts w:eastAsia="Times New Roman"/>
                <w:b/>
                <w:bCs/>
                <w:sz w:val="20"/>
                <w:szCs w:val="20"/>
                <w:lang w:eastAsia="pl-PL"/>
              </w:rPr>
              <w:t>Przyczyna</w:t>
            </w:r>
            <w:r w:rsidR="00A90DE5">
              <w:rPr>
                <w:rFonts w:eastAsia="Times New Roman"/>
                <w:b/>
                <w:bCs/>
                <w:sz w:val="20"/>
                <w:szCs w:val="20"/>
                <w:lang w:eastAsia="pl-PL"/>
              </w:rPr>
              <w:t xml:space="preserve"> braku postępu</w:t>
            </w:r>
          </w:p>
        </w:tc>
        <w:tc>
          <w:tcPr>
            <w:tcW w:w="1095" w:type="pct"/>
            <w:shd w:val="clear" w:color="auto" w:fill="D9D9D9" w:themeFill="background1" w:themeFillShade="D9"/>
            <w:noWrap/>
            <w:vAlign w:val="center"/>
            <w:hideMark/>
          </w:tcPr>
          <w:p w14:paraId="6BAF34A8" w14:textId="4D3D6846" w:rsidR="005848EA" w:rsidRPr="002B5FA6" w:rsidRDefault="005848EA" w:rsidP="00840CCD">
            <w:pPr>
              <w:spacing w:before="0" w:after="0"/>
              <w:jc w:val="center"/>
              <w:rPr>
                <w:rFonts w:eastAsia="Times New Roman"/>
                <w:b/>
                <w:bCs/>
                <w:sz w:val="20"/>
                <w:szCs w:val="20"/>
                <w:lang w:eastAsia="pl-PL"/>
              </w:rPr>
            </w:pPr>
            <w:r w:rsidRPr="002B5FA6">
              <w:rPr>
                <w:rFonts w:eastAsia="Times New Roman"/>
                <w:b/>
                <w:bCs/>
                <w:sz w:val="20"/>
                <w:szCs w:val="20"/>
                <w:lang w:eastAsia="pl-PL"/>
              </w:rPr>
              <w:t>Liczba jcwp</w:t>
            </w:r>
            <w:r w:rsidR="0037520C">
              <w:rPr>
                <w:rFonts w:eastAsia="Times New Roman"/>
                <w:b/>
                <w:bCs/>
                <w:sz w:val="20"/>
                <w:szCs w:val="20"/>
                <w:lang w:eastAsia="pl-PL"/>
              </w:rPr>
              <w:t xml:space="preserve"> LW</w:t>
            </w:r>
          </w:p>
        </w:tc>
        <w:tc>
          <w:tcPr>
            <w:tcW w:w="1483" w:type="pct"/>
            <w:shd w:val="clear" w:color="auto" w:fill="D9D9D9" w:themeFill="background1" w:themeFillShade="D9"/>
            <w:vAlign w:val="center"/>
            <w:hideMark/>
          </w:tcPr>
          <w:p w14:paraId="3B83F7AF" w14:textId="315EECC1" w:rsidR="005848EA" w:rsidRPr="002B5FA6" w:rsidRDefault="005848EA" w:rsidP="00840CCD">
            <w:pPr>
              <w:spacing w:before="0" w:after="0"/>
              <w:jc w:val="center"/>
              <w:rPr>
                <w:rFonts w:eastAsia="Times New Roman"/>
                <w:b/>
                <w:bCs/>
                <w:sz w:val="20"/>
                <w:szCs w:val="20"/>
                <w:lang w:eastAsia="pl-PL"/>
              </w:rPr>
            </w:pPr>
            <w:r w:rsidRPr="001C0DCD">
              <w:rPr>
                <w:rFonts w:eastAsia="Times New Roman"/>
                <w:b/>
                <w:bCs/>
                <w:sz w:val="20"/>
                <w:szCs w:val="20"/>
                <w:lang w:eastAsia="pl-PL"/>
              </w:rPr>
              <w:t>Udział jcwp (%)</w:t>
            </w:r>
          </w:p>
        </w:tc>
      </w:tr>
      <w:tr w:rsidR="0037520C" w:rsidRPr="002B5FA6" w14:paraId="031A8932" w14:textId="77777777" w:rsidTr="00840CCD">
        <w:trPr>
          <w:trHeight w:val="454"/>
        </w:trPr>
        <w:tc>
          <w:tcPr>
            <w:tcW w:w="2422" w:type="pct"/>
            <w:noWrap/>
            <w:vAlign w:val="center"/>
            <w:hideMark/>
          </w:tcPr>
          <w:p w14:paraId="353E1402" w14:textId="77777777" w:rsidR="0037520C" w:rsidRPr="002B5FA6" w:rsidRDefault="0037520C" w:rsidP="0037520C">
            <w:pPr>
              <w:spacing w:before="0" w:after="0"/>
              <w:jc w:val="left"/>
              <w:rPr>
                <w:rFonts w:eastAsia="Times New Roman"/>
                <w:sz w:val="20"/>
                <w:szCs w:val="20"/>
                <w:lang w:eastAsia="pl-PL"/>
              </w:rPr>
            </w:pPr>
            <w:r w:rsidRPr="002B5FA6">
              <w:rPr>
                <w:rFonts w:eastAsia="Times New Roman"/>
                <w:sz w:val="20"/>
                <w:szCs w:val="20"/>
                <w:lang w:eastAsia="pl-PL"/>
              </w:rPr>
              <w:t>Zmiana zakresu - rozszerzenie monitoringu</w:t>
            </w:r>
          </w:p>
        </w:tc>
        <w:tc>
          <w:tcPr>
            <w:tcW w:w="1095" w:type="pct"/>
            <w:noWrap/>
            <w:vAlign w:val="center"/>
            <w:hideMark/>
          </w:tcPr>
          <w:p w14:paraId="29927069" w14:textId="024E79DD" w:rsidR="0037520C" w:rsidRPr="0083208F" w:rsidRDefault="0037520C" w:rsidP="0037520C">
            <w:pPr>
              <w:spacing w:before="0" w:after="0"/>
              <w:jc w:val="center"/>
              <w:rPr>
                <w:rFonts w:eastAsia="Times New Roman"/>
                <w:color w:val="000000"/>
                <w:sz w:val="20"/>
                <w:szCs w:val="20"/>
                <w:lang w:eastAsia="pl-PL"/>
              </w:rPr>
            </w:pPr>
            <w:r w:rsidRPr="0083208F">
              <w:rPr>
                <w:rFonts w:eastAsia="Times New Roman"/>
                <w:color w:val="000000"/>
                <w:sz w:val="20"/>
                <w:szCs w:val="20"/>
                <w:lang w:eastAsia="pl-PL"/>
              </w:rPr>
              <w:t>18</w:t>
            </w:r>
          </w:p>
        </w:tc>
        <w:tc>
          <w:tcPr>
            <w:tcW w:w="1483" w:type="pct"/>
            <w:noWrap/>
            <w:vAlign w:val="center"/>
            <w:hideMark/>
          </w:tcPr>
          <w:p w14:paraId="71EF4442" w14:textId="53C84135" w:rsidR="0037520C" w:rsidRPr="009A2B0F" w:rsidRDefault="0037520C" w:rsidP="0037520C">
            <w:pPr>
              <w:spacing w:before="0" w:after="0"/>
              <w:jc w:val="center"/>
              <w:rPr>
                <w:rFonts w:eastAsia="Times New Roman"/>
                <w:color w:val="000000"/>
                <w:sz w:val="20"/>
                <w:szCs w:val="20"/>
                <w:lang w:eastAsia="pl-PL"/>
              </w:rPr>
            </w:pPr>
            <w:r w:rsidRPr="009A2B0F">
              <w:rPr>
                <w:sz w:val="20"/>
                <w:szCs w:val="20"/>
              </w:rPr>
              <w:t>17,</w:t>
            </w:r>
            <w:r w:rsidR="009A2B0F" w:rsidRPr="009A2B0F">
              <w:rPr>
                <w:sz w:val="20"/>
                <w:szCs w:val="20"/>
              </w:rPr>
              <w:t>1</w:t>
            </w:r>
          </w:p>
        </w:tc>
      </w:tr>
      <w:tr w:rsidR="0037520C" w:rsidRPr="002B5FA6" w14:paraId="221B94F5" w14:textId="77777777" w:rsidTr="00840CCD">
        <w:trPr>
          <w:trHeight w:val="454"/>
        </w:trPr>
        <w:tc>
          <w:tcPr>
            <w:tcW w:w="2422" w:type="pct"/>
            <w:noWrap/>
            <w:vAlign w:val="center"/>
            <w:hideMark/>
          </w:tcPr>
          <w:p w14:paraId="2C0E0853" w14:textId="77777777" w:rsidR="0037520C" w:rsidRPr="002B5FA6" w:rsidRDefault="0037520C" w:rsidP="0037520C">
            <w:pPr>
              <w:spacing w:before="0" w:after="0"/>
              <w:jc w:val="left"/>
              <w:rPr>
                <w:rFonts w:eastAsia="Times New Roman"/>
                <w:sz w:val="20"/>
                <w:szCs w:val="20"/>
                <w:lang w:eastAsia="pl-PL"/>
              </w:rPr>
            </w:pPr>
            <w:r w:rsidRPr="002B5FA6">
              <w:rPr>
                <w:rFonts w:eastAsia="Times New Roman"/>
                <w:sz w:val="20"/>
                <w:szCs w:val="20"/>
                <w:lang w:eastAsia="pl-PL"/>
              </w:rPr>
              <w:t>Zmiany legislacyjne</w:t>
            </w:r>
          </w:p>
        </w:tc>
        <w:tc>
          <w:tcPr>
            <w:tcW w:w="1095" w:type="pct"/>
            <w:noWrap/>
            <w:vAlign w:val="center"/>
            <w:hideMark/>
          </w:tcPr>
          <w:p w14:paraId="316224BC" w14:textId="0566CA06" w:rsidR="0037520C" w:rsidRPr="0083208F" w:rsidRDefault="0037520C" w:rsidP="0037520C">
            <w:pPr>
              <w:spacing w:before="0" w:after="0"/>
              <w:jc w:val="center"/>
              <w:rPr>
                <w:rFonts w:eastAsia="Times New Roman"/>
                <w:color w:val="000000"/>
                <w:sz w:val="20"/>
                <w:szCs w:val="20"/>
                <w:lang w:eastAsia="pl-PL"/>
              </w:rPr>
            </w:pPr>
            <w:r w:rsidRPr="0083208F">
              <w:rPr>
                <w:rFonts w:eastAsia="Times New Roman"/>
                <w:color w:val="000000"/>
                <w:sz w:val="20"/>
                <w:szCs w:val="20"/>
                <w:lang w:eastAsia="pl-PL"/>
              </w:rPr>
              <w:t>4</w:t>
            </w:r>
          </w:p>
        </w:tc>
        <w:tc>
          <w:tcPr>
            <w:tcW w:w="1483" w:type="pct"/>
            <w:noWrap/>
            <w:vAlign w:val="center"/>
            <w:hideMark/>
          </w:tcPr>
          <w:p w14:paraId="1D27FCD7" w14:textId="226A99FD" w:rsidR="0037520C" w:rsidRPr="009A2B0F" w:rsidRDefault="009A2B0F" w:rsidP="0037520C">
            <w:pPr>
              <w:spacing w:before="0" w:after="0"/>
              <w:jc w:val="center"/>
              <w:rPr>
                <w:rFonts w:eastAsia="Times New Roman"/>
                <w:color w:val="000000"/>
                <w:sz w:val="20"/>
                <w:szCs w:val="20"/>
                <w:lang w:eastAsia="pl-PL"/>
              </w:rPr>
            </w:pPr>
            <w:r w:rsidRPr="009A2B0F">
              <w:rPr>
                <w:sz w:val="20"/>
                <w:szCs w:val="20"/>
              </w:rPr>
              <w:t>3,8</w:t>
            </w:r>
          </w:p>
        </w:tc>
      </w:tr>
      <w:tr w:rsidR="0037520C" w:rsidRPr="002B5FA6" w14:paraId="6147AAFD" w14:textId="77777777" w:rsidTr="00840CCD">
        <w:trPr>
          <w:trHeight w:val="454"/>
        </w:trPr>
        <w:tc>
          <w:tcPr>
            <w:tcW w:w="2422" w:type="pct"/>
            <w:noWrap/>
            <w:vAlign w:val="center"/>
            <w:hideMark/>
          </w:tcPr>
          <w:p w14:paraId="172E2E1C" w14:textId="77777777" w:rsidR="0037520C" w:rsidRPr="002B5FA6" w:rsidRDefault="0037520C" w:rsidP="0037520C">
            <w:pPr>
              <w:spacing w:before="0" w:after="0"/>
              <w:jc w:val="left"/>
              <w:rPr>
                <w:rFonts w:eastAsia="Times New Roman"/>
                <w:sz w:val="20"/>
                <w:szCs w:val="20"/>
                <w:lang w:eastAsia="pl-PL"/>
              </w:rPr>
            </w:pPr>
            <w:r w:rsidRPr="002B5FA6">
              <w:rPr>
                <w:rFonts w:eastAsia="Times New Roman"/>
                <w:sz w:val="20"/>
                <w:szCs w:val="20"/>
                <w:lang w:eastAsia="pl-PL"/>
              </w:rPr>
              <w:t>Uwarunkowania zlewni</w:t>
            </w:r>
          </w:p>
        </w:tc>
        <w:tc>
          <w:tcPr>
            <w:tcW w:w="1095" w:type="pct"/>
            <w:noWrap/>
            <w:vAlign w:val="center"/>
            <w:hideMark/>
          </w:tcPr>
          <w:p w14:paraId="61AB9700" w14:textId="473B0237" w:rsidR="0037520C" w:rsidRPr="0083208F" w:rsidRDefault="0037520C" w:rsidP="0037520C">
            <w:pPr>
              <w:spacing w:before="0" w:after="0"/>
              <w:jc w:val="center"/>
              <w:rPr>
                <w:rFonts w:eastAsia="Times New Roman"/>
                <w:color w:val="000000"/>
                <w:sz w:val="20"/>
                <w:szCs w:val="20"/>
                <w:lang w:eastAsia="pl-PL"/>
              </w:rPr>
            </w:pPr>
            <w:r w:rsidRPr="0083208F">
              <w:rPr>
                <w:rFonts w:eastAsia="Times New Roman"/>
                <w:color w:val="000000"/>
                <w:sz w:val="20"/>
                <w:szCs w:val="20"/>
                <w:lang w:eastAsia="pl-PL"/>
              </w:rPr>
              <w:t>15</w:t>
            </w:r>
          </w:p>
        </w:tc>
        <w:tc>
          <w:tcPr>
            <w:tcW w:w="1483" w:type="pct"/>
            <w:noWrap/>
            <w:vAlign w:val="center"/>
            <w:hideMark/>
          </w:tcPr>
          <w:p w14:paraId="0ECCC900" w14:textId="6222D2BA" w:rsidR="0037520C" w:rsidRPr="009A2B0F" w:rsidRDefault="0037520C" w:rsidP="0037520C">
            <w:pPr>
              <w:spacing w:before="0" w:after="0"/>
              <w:jc w:val="center"/>
              <w:rPr>
                <w:rFonts w:eastAsia="Times New Roman"/>
                <w:color w:val="000000"/>
                <w:sz w:val="20"/>
                <w:szCs w:val="20"/>
                <w:lang w:eastAsia="pl-PL"/>
              </w:rPr>
            </w:pPr>
            <w:r w:rsidRPr="009A2B0F">
              <w:rPr>
                <w:sz w:val="20"/>
                <w:szCs w:val="20"/>
              </w:rPr>
              <w:t>14,</w:t>
            </w:r>
            <w:r w:rsidR="009A2B0F" w:rsidRPr="009A2B0F">
              <w:rPr>
                <w:sz w:val="20"/>
                <w:szCs w:val="20"/>
              </w:rPr>
              <w:t>3</w:t>
            </w:r>
          </w:p>
        </w:tc>
      </w:tr>
      <w:tr w:rsidR="0037520C" w:rsidRPr="002B5FA6" w14:paraId="7A4391E0" w14:textId="77777777" w:rsidTr="00840CCD">
        <w:trPr>
          <w:trHeight w:val="454"/>
        </w:trPr>
        <w:tc>
          <w:tcPr>
            <w:tcW w:w="2422" w:type="pct"/>
            <w:noWrap/>
            <w:vAlign w:val="center"/>
            <w:hideMark/>
          </w:tcPr>
          <w:p w14:paraId="15778946" w14:textId="77777777" w:rsidR="0037520C" w:rsidRPr="002B5FA6" w:rsidRDefault="0037520C" w:rsidP="0037520C">
            <w:pPr>
              <w:spacing w:before="0" w:after="0"/>
              <w:jc w:val="left"/>
              <w:rPr>
                <w:rFonts w:eastAsia="Times New Roman"/>
                <w:sz w:val="20"/>
                <w:szCs w:val="20"/>
                <w:lang w:eastAsia="pl-PL"/>
              </w:rPr>
            </w:pPr>
            <w:r w:rsidRPr="002B5FA6">
              <w:rPr>
                <w:rFonts w:eastAsia="Times New Roman"/>
                <w:sz w:val="20"/>
                <w:szCs w:val="20"/>
                <w:lang w:eastAsia="pl-PL"/>
              </w:rPr>
              <w:t>Stopień realizacji oraz skuteczność zestawu działań</w:t>
            </w:r>
          </w:p>
        </w:tc>
        <w:tc>
          <w:tcPr>
            <w:tcW w:w="1095" w:type="pct"/>
            <w:noWrap/>
            <w:vAlign w:val="center"/>
            <w:hideMark/>
          </w:tcPr>
          <w:p w14:paraId="25DA0258" w14:textId="699D24A5" w:rsidR="0037520C" w:rsidRPr="0083208F" w:rsidRDefault="0037520C" w:rsidP="0037520C">
            <w:pPr>
              <w:spacing w:before="0" w:after="0"/>
              <w:jc w:val="center"/>
              <w:rPr>
                <w:rFonts w:eastAsia="Times New Roman"/>
                <w:color w:val="000000"/>
                <w:sz w:val="20"/>
                <w:szCs w:val="20"/>
                <w:lang w:eastAsia="pl-PL"/>
              </w:rPr>
            </w:pPr>
            <w:r w:rsidRPr="0083208F">
              <w:rPr>
                <w:rFonts w:eastAsia="Times New Roman"/>
                <w:color w:val="000000"/>
                <w:sz w:val="20"/>
                <w:szCs w:val="20"/>
                <w:lang w:eastAsia="pl-PL"/>
              </w:rPr>
              <w:t>43</w:t>
            </w:r>
          </w:p>
        </w:tc>
        <w:tc>
          <w:tcPr>
            <w:tcW w:w="1483" w:type="pct"/>
            <w:noWrap/>
            <w:vAlign w:val="center"/>
            <w:hideMark/>
          </w:tcPr>
          <w:p w14:paraId="3798C17C" w14:textId="63941592" w:rsidR="0037520C" w:rsidRPr="009A2B0F" w:rsidRDefault="0037520C" w:rsidP="0037520C">
            <w:pPr>
              <w:spacing w:before="0" w:after="0"/>
              <w:jc w:val="center"/>
              <w:rPr>
                <w:rFonts w:eastAsia="Times New Roman"/>
                <w:color w:val="000000"/>
                <w:sz w:val="20"/>
                <w:szCs w:val="20"/>
                <w:lang w:eastAsia="pl-PL"/>
              </w:rPr>
            </w:pPr>
            <w:r w:rsidRPr="009A2B0F">
              <w:rPr>
                <w:sz w:val="20"/>
                <w:szCs w:val="20"/>
              </w:rPr>
              <w:t>4</w:t>
            </w:r>
            <w:r w:rsidR="009A2B0F" w:rsidRPr="009A2B0F">
              <w:rPr>
                <w:sz w:val="20"/>
                <w:szCs w:val="20"/>
              </w:rPr>
              <w:t>1</w:t>
            </w:r>
            <w:r w:rsidRPr="009A2B0F">
              <w:rPr>
                <w:sz w:val="20"/>
                <w:szCs w:val="20"/>
              </w:rPr>
              <w:t>,</w:t>
            </w:r>
            <w:r w:rsidR="009A2B0F" w:rsidRPr="009A2B0F">
              <w:rPr>
                <w:sz w:val="20"/>
                <w:szCs w:val="20"/>
              </w:rPr>
              <w:t>0</w:t>
            </w:r>
          </w:p>
        </w:tc>
      </w:tr>
    </w:tbl>
    <w:p w14:paraId="0D404ACB" w14:textId="556B500F" w:rsidR="005848EA" w:rsidRPr="00B766BA" w:rsidRDefault="005848EA" w:rsidP="005848EA">
      <w:pPr>
        <w:pStyle w:val="rdo0"/>
      </w:pPr>
      <w:r w:rsidRPr="00B766BA">
        <w:t xml:space="preserve">Źródło: </w:t>
      </w:r>
      <w:r w:rsidR="00553428">
        <w:t xml:space="preserve">opracowanie </w:t>
      </w:r>
      <w:r w:rsidR="00B773E9">
        <w:t>własne</w:t>
      </w:r>
      <w:r w:rsidRPr="00B766BA">
        <w:t xml:space="preserve"> na podstawie danych </w:t>
      </w:r>
      <w:r w:rsidR="0037520C" w:rsidRPr="0085285D">
        <w:t>GIOŚ</w:t>
      </w:r>
      <w:r w:rsidR="0037520C" w:rsidRPr="0037520C">
        <w:t xml:space="preserve"> i opracowania Ustalenie celów środowiskowych</w:t>
      </w:r>
    </w:p>
    <w:p w14:paraId="76821081" w14:textId="77777777" w:rsidR="005848EA" w:rsidRDefault="005848EA" w:rsidP="00B50FFD">
      <w:pPr>
        <w:pStyle w:val="Nagwek3"/>
      </w:pPr>
      <w:bookmarkStart w:id="265" w:name="_Toc68726872"/>
      <w:r w:rsidRPr="00B82B80">
        <w:t>Ocena postępu w osiąganiu celów środowiskowych dla</w:t>
      </w:r>
      <w:r w:rsidRPr="00531E3C">
        <w:t xml:space="preserve"> </w:t>
      </w:r>
      <w:r>
        <w:t>stanu chemicznego</w:t>
      </w:r>
      <w:r w:rsidRPr="002A0524">
        <w:t xml:space="preserve"> jcwp </w:t>
      </w:r>
      <w:r>
        <w:t xml:space="preserve">LW </w:t>
      </w:r>
      <w:r w:rsidRPr="002A0524">
        <w:t>w okresie od 2016-2021 r. wraz z wyjaśnieniem przyczyn nieosiągnięcia celów środowiskowych</w:t>
      </w:r>
      <w:bookmarkEnd w:id="265"/>
    </w:p>
    <w:p w14:paraId="76C01EFE" w14:textId="3A8C0551" w:rsidR="005848EA" w:rsidRDefault="005848EA" w:rsidP="00AA0CAB">
      <w:pPr>
        <w:pStyle w:val="Nagwek5"/>
      </w:pPr>
      <w:r w:rsidRPr="6D64D837">
        <w:t>Ocena postępu w osiąganiu celów środowiskowych dla stan</w:t>
      </w:r>
      <w:r>
        <w:t>u chemicznego</w:t>
      </w:r>
      <w:r w:rsidRPr="6D64D837">
        <w:t xml:space="preserve"> jcwp </w:t>
      </w:r>
      <w:r>
        <w:t>LW</w:t>
      </w:r>
      <w:r w:rsidRPr="6D64D837">
        <w:t xml:space="preserve"> (układ planistyczny aPGW</w:t>
      </w:r>
      <w:r w:rsidR="00186998">
        <w:t>, 2016-2021</w:t>
      </w:r>
      <w:r w:rsidRPr="6D64D837">
        <w:t>)</w:t>
      </w:r>
    </w:p>
    <w:p w14:paraId="4371F979" w14:textId="5CA99F11" w:rsidR="00A90DE5" w:rsidRDefault="0037520C" w:rsidP="005848EA">
      <w:r w:rsidRPr="0037520C">
        <w:t>5 jcwp LW (4,9% wszystkich jcwp w tym obszarze dorzecza)</w:t>
      </w:r>
      <w:r w:rsidR="00EC1782">
        <w:t xml:space="preserve"> osiągnęło cele środowiskowe</w:t>
      </w:r>
      <w:r w:rsidRPr="0037520C">
        <w:t xml:space="preserve">, </w:t>
      </w:r>
      <w:r w:rsidR="00EC1782">
        <w:t>poprzez</w:t>
      </w:r>
      <w:r w:rsidRPr="0037520C">
        <w:t xml:space="preserve"> utrzymanie się stanu dobrego. W 14 jcwp (13,9%) spośród wszystkich 101 jcwp LW zlokalizowanych na obszarze dorzecza Pregoły cele środowiskowe nie zostały osiągnięte w związku z pogorszeniem się stanu chemicznego jcwp. W odniesieniu do 82 jcwp (81,2% wszystkich jcwp w obszarze dorzecza Pregoły) nie sporządzono oceny postępu w osiąganiu celów środowiskowych ze względu na brak danych monitoringowych i brak celu środowiskowego z przeniesienia dla nowo powstałych jcwp</w:t>
      </w:r>
      <w:r w:rsidRPr="0037520C">
        <w:rPr>
          <w:i/>
          <w:iCs/>
        </w:rPr>
        <w:t xml:space="preserve"> </w:t>
      </w:r>
      <w:r w:rsidR="005848EA" w:rsidRPr="0037520C">
        <w:t>(</w:t>
      </w:r>
      <w:r w:rsidRPr="0037520C">
        <w:t>tabela 9-10</w:t>
      </w:r>
      <w:r w:rsidR="005848EA" w:rsidRPr="0037520C">
        <w:t>).</w:t>
      </w:r>
    </w:p>
    <w:p w14:paraId="067C72E6" w14:textId="44D5BDA7" w:rsidR="005848EA" w:rsidRDefault="005848EA" w:rsidP="006802BB">
      <w:pPr>
        <w:pStyle w:val="Tabela"/>
      </w:pPr>
      <w:bookmarkStart w:id="266" w:name="_Toc66311307"/>
      <w:bookmarkStart w:id="267" w:name="_Toc68727006"/>
      <w:r>
        <w:t xml:space="preserve">Tabela </w:t>
      </w:r>
      <w:fldSimple w:instr=" STYLEREF 1 \s ">
        <w:r w:rsidR="007B4050">
          <w:rPr>
            <w:noProof/>
          </w:rPr>
          <w:t>9</w:t>
        </w:r>
      </w:fldSimple>
      <w:r w:rsidR="007B4050">
        <w:noBreakHyphen/>
      </w:r>
      <w:fldSimple w:instr=" SEQ Tabela \* ARABIC \s 1 ">
        <w:r w:rsidR="007B4050">
          <w:rPr>
            <w:noProof/>
          </w:rPr>
          <w:t>10</w:t>
        </w:r>
      </w:fldSimple>
      <w:r>
        <w:tab/>
      </w:r>
      <w:bookmarkEnd w:id="266"/>
      <w:r w:rsidR="0037520C" w:rsidRPr="0037520C">
        <w:t>Ocena postępu w osiąganiu celów środowiskowych dla stanu chemicznego na obszarze dorzecza Pregoły dla jcwp LW w układzie planistycznym w aPGW</w:t>
      </w:r>
      <w:r w:rsidR="00F9136A">
        <w:t xml:space="preserve"> (2016-2021)</w:t>
      </w:r>
      <w:bookmarkEnd w:id="267"/>
    </w:p>
    <w:tbl>
      <w:tblPr>
        <w:tblW w:w="9120" w:type="dxa"/>
        <w:tblLayout w:type="fixed"/>
        <w:tblLook w:val="04A0" w:firstRow="1" w:lastRow="0" w:firstColumn="1" w:lastColumn="0" w:noHBand="0" w:noVBand="1"/>
      </w:tblPr>
      <w:tblGrid>
        <w:gridCol w:w="5000"/>
        <w:gridCol w:w="2060"/>
        <w:gridCol w:w="2060"/>
      </w:tblGrid>
      <w:tr w:rsidR="00A90DE5" w:rsidRPr="000E581B" w14:paraId="5668E773" w14:textId="77777777" w:rsidTr="000D4351">
        <w:trPr>
          <w:trHeight w:val="288"/>
        </w:trPr>
        <w:tc>
          <w:tcPr>
            <w:tcW w:w="5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F509028" w14:textId="04BF1DE0" w:rsidR="00A90DE5" w:rsidRPr="000E581B" w:rsidRDefault="00A90DE5" w:rsidP="00A90DE5">
            <w:pPr>
              <w:jc w:val="center"/>
              <w:rPr>
                <w:rFonts w:eastAsia="Times New Roman" w:cs="Calibri"/>
                <w:color w:val="000000"/>
                <w:sz w:val="20"/>
                <w:szCs w:val="20"/>
              </w:rPr>
            </w:pPr>
            <w:r w:rsidRPr="005830E6">
              <w:rPr>
                <w:rFonts w:asciiTheme="minorHAnsi" w:eastAsia="Times New Roman" w:hAnsiTheme="minorHAnsi"/>
                <w:b/>
                <w:bCs/>
                <w:sz w:val="20"/>
                <w:szCs w:val="20"/>
                <w:lang w:eastAsia="pl-PL"/>
              </w:rPr>
              <w:t>Stopień osiągnięcia celu</w:t>
            </w:r>
          </w:p>
        </w:tc>
        <w:tc>
          <w:tcPr>
            <w:tcW w:w="206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0B74DFD" w14:textId="77777777" w:rsidR="00A90DE5" w:rsidRPr="000E581B" w:rsidRDefault="00A90DE5" w:rsidP="00A90DE5">
            <w:pPr>
              <w:jc w:val="center"/>
              <w:rPr>
                <w:rFonts w:eastAsia="Times New Roman" w:cs="Calibri"/>
                <w:b/>
                <w:bCs/>
                <w:color w:val="000000"/>
                <w:sz w:val="20"/>
                <w:szCs w:val="20"/>
              </w:rPr>
            </w:pPr>
            <w:r w:rsidRPr="000E581B">
              <w:rPr>
                <w:rFonts w:eastAsia="Times New Roman" w:cs="Calibri"/>
                <w:b/>
                <w:bCs/>
                <w:color w:val="000000"/>
                <w:sz w:val="20"/>
                <w:szCs w:val="20"/>
              </w:rPr>
              <w:t>Liczba jcwp LW</w:t>
            </w:r>
          </w:p>
        </w:tc>
        <w:tc>
          <w:tcPr>
            <w:tcW w:w="20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3379557" w14:textId="10E08A5B" w:rsidR="00A90DE5" w:rsidRPr="000E581B" w:rsidRDefault="00A90DE5" w:rsidP="00A90DE5">
            <w:pPr>
              <w:jc w:val="center"/>
              <w:rPr>
                <w:rFonts w:eastAsia="Times New Roman" w:cs="Calibri"/>
                <w:b/>
                <w:bCs/>
                <w:color w:val="000000"/>
                <w:sz w:val="20"/>
                <w:szCs w:val="20"/>
              </w:rPr>
            </w:pPr>
            <w:r w:rsidRPr="000E581B">
              <w:rPr>
                <w:rFonts w:eastAsia="Times New Roman" w:cs="Calibri"/>
                <w:b/>
                <w:bCs/>
                <w:color w:val="000000"/>
                <w:sz w:val="20"/>
                <w:szCs w:val="20"/>
              </w:rPr>
              <w:t>Udział jcwp</w:t>
            </w:r>
            <w:r w:rsidR="000D4351">
              <w:rPr>
                <w:rFonts w:eastAsia="Times New Roman" w:cs="Calibri"/>
                <w:b/>
                <w:bCs/>
                <w:color w:val="000000"/>
                <w:sz w:val="20"/>
                <w:szCs w:val="20"/>
              </w:rPr>
              <w:t xml:space="preserve"> </w:t>
            </w:r>
            <w:r w:rsidRPr="000E581B">
              <w:rPr>
                <w:rFonts w:eastAsia="Times New Roman" w:cs="Calibri"/>
                <w:b/>
                <w:bCs/>
                <w:color w:val="000000"/>
                <w:sz w:val="20"/>
                <w:szCs w:val="20"/>
              </w:rPr>
              <w:t>(%)</w:t>
            </w:r>
          </w:p>
        </w:tc>
      </w:tr>
      <w:tr w:rsidR="00E13BC3" w:rsidRPr="000E581B" w14:paraId="2D7D33A4" w14:textId="77777777" w:rsidTr="000D4351">
        <w:trPr>
          <w:trHeight w:val="288"/>
        </w:trPr>
        <w:tc>
          <w:tcPr>
            <w:tcW w:w="5000" w:type="dxa"/>
            <w:tcBorders>
              <w:top w:val="nil"/>
              <w:left w:val="single" w:sz="4" w:space="0" w:color="auto"/>
              <w:bottom w:val="single" w:sz="4" w:space="0" w:color="auto"/>
              <w:right w:val="single" w:sz="4" w:space="0" w:color="auto"/>
            </w:tcBorders>
            <w:shd w:val="clear" w:color="auto" w:fill="auto"/>
            <w:noWrap/>
            <w:vAlign w:val="bottom"/>
            <w:hideMark/>
          </w:tcPr>
          <w:p w14:paraId="6E6794A7" w14:textId="77777777" w:rsidR="00E13BC3" w:rsidRPr="000E581B" w:rsidRDefault="00E13BC3" w:rsidP="00672B83">
            <w:pPr>
              <w:spacing w:before="60" w:after="60"/>
              <w:rPr>
                <w:rFonts w:eastAsia="Times New Roman" w:cs="Calibri"/>
                <w:color w:val="000000"/>
                <w:sz w:val="20"/>
                <w:szCs w:val="20"/>
              </w:rPr>
            </w:pPr>
            <w:r w:rsidRPr="000E581B">
              <w:rPr>
                <w:rFonts w:eastAsia="Times New Roman" w:cs="Calibri"/>
                <w:color w:val="000000"/>
                <w:sz w:val="20"/>
                <w:szCs w:val="20"/>
              </w:rPr>
              <w:t>Cel nieosiągnięty - brak postępu</w:t>
            </w:r>
          </w:p>
        </w:tc>
        <w:tc>
          <w:tcPr>
            <w:tcW w:w="2060" w:type="dxa"/>
            <w:tcBorders>
              <w:top w:val="nil"/>
              <w:left w:val="nil"/>
              <w:bottom w:val="single" w:sz="4" w:space="0" w:color="auto"/>
              <w:right w:val="single" w:sz="4" w:space="0" w:color="auto"/>
            </w:tcBorders>
            <w:shd w:val="clear" w:color="auto" w:fill="auto"/>
            <w:noWrap/>
            <w:vAlign w:val="bottom"/>
            <w:hideMark/>
          </w:tcPr>
          <w:p w14:paraId="16BEBDFC" w14:textId="0FD629C9"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0</w:t>
            </w:r>
          </w:p>
        </w:tc>
        <w:tc>
          <w:tcPr>
            <w:tcW w:w="2060" w:type="dxa"/>
            <w:tcBorders>
              <w:top w:val="nil"/>
              <w:left w:val="nil"/>
              <w:bottom w:val="single" w:sz="4" w:space="0" w:color="auto"/>
              <w:right w:val="single" w:sz="4" w:space="0" w:color="auto"/>
            </w:tcBorders>
            <w:shd w:val="clear" w:color="auto" w:fill="auto"/>
            <w:noWrap/>
            <w:vAlign w:val="bottom"/>
            <w:hideMark/>
          </w:tcPr>
          <w:p w14:paraId="2E8B3501" w14:textId="79B238DF"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0,0</w:t>
            </w:r>
          </w:p>
        </w:tc>
      </w:tr>
      <w:tr w:rsidR="00E13BC3" w:rsidRPr="000E581B" w14:paraId="199A305E" w14:textId="77777777" w:rsidTr="000D4351">
        <w:trPr>
          <w:trHeight w:val="288"/>
        </w:trPr>
        <w:tc>
          <w:tcPr>
            <w:tcW w:w="5000" w:type="dxa"/>
            <w:tcBorders>
              <w:top w:val="nil"/>
              <w:left w:val="single" w:sz="4" w:space="0" w:color="auto"/>
              <w:bottom w:val="single" w:sz="4" w:space="0" w:color="auto"/>
              <w:right w:val="single" w:sz="4" w:space="0" w:color="auto"/>
            </w:tcBorders>
            <w:shd w:val="clear" w:color="auto" w:fill="auto"/>
            <w:noWrap/>
            <w:vAlign w:val="bottom"/>
            <w:hideMark/>
          </w:tcPr>
          <w:p w14:paraId="3732F0F9" w14:textId="77777777" w:rsidR="00E13BC3" w:rsidRPr="000E581B" w:rsidRDefault="00E13BC3" w:rsidP="00672B83">
            <w:pPr>
              <w:spacing w:before="60" w:after="60"/>
              <w:rPr>
                <w:rFonts w:eastAsia="Times New Roman" w:cs="Calibri"/>
                <w:color w:val="000000"/>
                <w:sz w:val="20"/>
                <w:szCs w:val="20"/>
              </w:rPr>
            </w:pPr>
            <w:r w:rsidRPr="000E581B">
              <w:rPr>
                <w:rFonts w:eastAsia="Times New Roman" w:cs="Calibri"/>
                <w:color w:val="000000"/>
                <w:sz w:val="20"/>
                <w:szCs w:val="20"/>
              </w:rPr>
              <w:t>Cel nieosiągnięty - pogorszenie stanu </w:t>
            </w:r>
          </w:p>
        </w:tc>
        <w:tc>
          <w:tcPr>
            <w:tcW w:w="2060" w:type="dxa"/>
            <w:tcBorders>
              <w:top w:val="nil"/>
              <w:left w:val="nil"/>
              <w:bottom w:val="single" w:sz="4" w:space="0" w:color="auto"/>
              <w:right w:val="single" w:sz="4" w:space="0" w:color="auto"/>
            </w:tcBorders>
            <w:shd w:val="clear" w:color="auto" w:fill="auto"/>
            <w:noWrap/>
            <w:vAlign w:val="bottom"/>
            <w:hideMark/>
          </w:tcPr>
          <w:p w14:paraId="3853447E" w14:textId="45DDB4F4"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14</w:t>
            </w:r>
          </w:p>
        </w:tc>
        <w:tc>
          <w:tcPr>
            <w:tcW w:w="2060" w:type="dxa"/>
            <w:tcBorders>
              <w:top w:val="nil"/>
              <w:left w:val="nil"/>
              <w:bottom w:val="single" w:sz="4" w:space="0" w:color="auto"/>
              <w:right w:val="single" w:sz="4" w:space="0" w:color="auto"/>
            </w:tcBorders>
            <w:shd w:val="clear" w:color="auto" w:fill="auto"/>
            <w:noWrap/>
            <w:vAlign w:val="bottom"/>
            <w:hideMark/>
          </w:tcPr>
          <w:p w14:paraId="6D776CEA" w14:textId="26B0F743"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13,9</w:t>
            </w:r>
          </w:p>
        </w:tc>
      </w:tr>
      <w:tr w:rsidR="00E13BC3" w:rsidRPr="000E581B" w14:paraId="7CD2CD1F" w14:textId="77777777" w:rsidTr="000D4351">
        <w:trPr>
          <w:trHeight w:val="288"/>
        </w:trPr>
        <w:tc>
          <w:tcPr>
            <w:tcW w:w="5000" w:type="dxa"/>
            <w:tcBorders>
              <w:top w:val="nil"/>
              <w:left w:val="single" w:sz="4" w:space="0" w:color="auto"/>
              <w:bottom w:val="single" w:sz="4" w:space="0" w:color="auto"/>
              <w:right w:val="single" w:sz="4" w:space="0" w:color="auto"/>
            </w:tcBorders>
            <w:shd w:val="clear" w:color="auto" w:fill="auto"/>
            <w:noWrap/>
            <w:vAlign w:val="bottom"/>
            <w:hideMark/>
          </w:tcPr>
          <w:p w14:paraId="4B3E343B" w14:textId="77777777" w:rsidR="00E13BC3" w:rsidRPr="000E581B" w:rsidRDefault="00E13BC3" w:rsidP="00672B83">
            <w:pPr>
              <w:spacing w:before="60" w:after="60"/>
              <w:rPr>
                <w:rFonts w:eastAsia="Times New Roman" w:cs="Calibri"/>
                <w:color w:val="000000"/>
                <w:sz w:val="20"/>
                <w:szCs w:val="20"/>
              </w:rPr>
            </w:pPr>
            <w:r w:rsidRPr="000E581B">
              <w:rPr>
                <w:rFonts w:eastAsia="Times New Roman" w:cs="Calibri"/>
                <w:color w:val="000000"/>
                <w:sz w:val="20"/>
                <w:szCs w:val="20"/>
              </w:rPr>
              <w:t>Cel osiągnięty - poprawa stanu </w:t>
            </w:r>
          </w:p>
        </w:tc>
        <w:tc>
          <w:tcPr>
            <w:tcW w:w="2060" w:type="dxa"/>
            <w:tcBorders>
              <w:top w:val="nil"/>
              <w:left w:val="nil"/>
              <w:bottom w:val="single" w:sz="4" w:space="0" w:color="auto"/>
              <w:right w:val="single" w:sz="4" w:space="0" w:color="auto"/>
            </w:tcBorders>
            <w:shd w:val="clear" w:color="auto" w:fill="auto"/>
            <w:noWrap/>
            <w:vAlign w:val="bottom"/>
            <w:hideMark/>
          </w:tcPr>
          <w:p w14:paraId="2C668A1C" w14:textId="270B2A96"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0</w:t>
            </w:r>
          </w:p>
        </w:tc>
        <w:tc>
          <w:tcPr>
            <w:tcW w:w="2060" w:type="dxa"/>
            <w:tcBorders>
              <w:top w:val="nil"/>
              <w:left w:val="nil"/>
              <w:bottom w:val="single" w:sz="4" w:space="0" w:color="auto"/>
              <w:right w:val="single" w:sz="4" w:space="0" w:color="auto"/>
            </w:tcBorders>
            <w:shd w:val="clear" w:color="auto" w:fill="auto"/>
            <w:noWrap/>
            <w:vAlign w:val="bottom"/>
            <w:hideMark/>
          </w:tcPr>
          <w:p w14:paraId="74CD235E" w14:textId="6D057C66"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0,0</w:t>
            </w:r>
          </w:p>
        </w:tc>
      </w:tr>
      <w:tr w:rsidR="00E13BC3" w:rsidRPr="000E581B" w14:paraId="7BB10EF4" w14:textId="77777777" w:rsidTr="000D4351">
        <w:trPr>
          <w:trHeight w:val="288"/>
        </w:trPr>
        <w:tc>
          <w:tcPr>
            <w:tcW w:w="5000" w:type="dxa"/>
            <w:tcBorders>
              <w:top w:val="nil"/>
              <w:left w:val="single" w:sz="4" w:space="0" w:color="auto"/>
              <w:bottom w:val="single" w:sz="4" w:space="0" w:color="auto"/>
              <w:right w:val="single" w:sz="4" w:space="0" w:color="auto"/>
            </w:tcBorders>
            <w:shd w:val="clear" w:color="auto" w:fill="auto"/>
            <w:noWrap/>
            <w:vAlign w:val="bottom"/>
            <w:hideMark/>
          </w:tcPr>
          <w:p w14:paraId="3E1427C1" w14:textId="77777777" w:rsidR="00E13BC3" w:rsidRPr="000E581B" w:rsidRDefault="00E13BC3" w:rsidP="00672B83">
            <w:pPr>
              <w:spacing w:before="60" w:after="60"/>
              <w:rPr>
                <w:rFonts w:eastAsia="Times New Roman" w:cs="Calibri"/>
                <w:color w:val="000000"/>
                <w:sz w:val="20"/>
                <w:szCs w:val="20"/>
              </w:rPr>
            </w:pPr>
            <w:r w:rsidRPr="000E581B">
              <w:rPr>
                <w:rFonts w:eastAsia="Times New Roman" w:cs="Calibri"/>
                <w:color w:val="000000"/>
                <w:sz w:val="20"/>
                <w:szCs w:val="20"/>
              </w:rPr>
              <w:t>Cel osiągnięty - utrzymanie dobrego stanu </w:t>
            </w:r>
          </w:p>
        </w:tc>
        <w:tc>
          <w:tcPr>
            <w:tcW w:w="2060" w:type="dxa"/>
            <w:tcBorders>
              <w:top w:val="nil"/>
              <w:left w:val="nil"/>
              <w:bottom w:val="single" w:sz="4" w:space="0" w:color="auto"/>
              <w:right w:val="single" w:sz="4" w:space="0" w:color="auto"/>
            </w:tcBorders>
            <w:shd w:val="clear" w:color="auto" w:fill="auto"/>
            <w:noWrap/>
            <w:vAlign w:val="bottom"/>
            <w:hideMark/>
          </w:tcPr>
          <w:p w14:paraId="2645FCF1" w14:textId="4F86A850"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5</w:t>
            </w:r>
          </w:p>
        </w:tc>
        <w:tc>
          <w:tcPr>
            <w:tcW w:w="2060" w:type="dxa"/>
            <w:tcBorders>
              <w:top w:val="nil"/>
              <w:left w:val="nil"/>
              <w:bottom w:val="single" w:sz="4" w:space="0" w:color="auto"/>
              <w:right w:val="single" w:sz="4" w:space="0" w:color="auto"/>
            </w:tcBorders>
            <w:shd w:val="clear" w:color="auto" w:fill="auto"/>
            <w:noWrap/>
            <w:vAlign w:val="bottom"/>
            <w:hideMark/>
          </w:tcPr>
          <w:p w14:paraId="66057D9E" w14:textId="54764434" w:rsidR="00E13BC3" w:rsidRPr="000E581B" w:rsidRDefault="00E13BC3"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4,9</w:t>
            </w:r>
          </w:p>
        </w:tc>
      </w:tr>
      <w:tr w:rsidR="00A90DE5" w:rsidRPr="000E581B" w14:paraId="64CB1CBC" w14:textId="77777777" w:rsidTr="000D4351">
        <w:trPr>
          <w:trHeight w:val="288"/>
        </w:trPr>
        <w:tc>
          <w:tcPr>
            <w:tcW w:w="5000" w:type="dxa"/>
            <w:tcBorders>
              <w:top w:val="nil"/>
              <w:left w:val="single" w:sz="4" w:space="0" w:color="auto"/>
              <w:bottom w:val="single" w:sz="4" w:space="0" w:color="auto"/>
              <w:right w:val="single" w:sz="4" w:space="0" w:color="auto"/>
            </w:tcBorders>
            <w:shd w:val="clear" w:color="auto" w:fill="auto"/>
            <w:noWrap/>
            <w:vAlign w:val="bottom"/>
          </w:tcPr>
          <w:p w14:paraId="61803801" w14:textId="5DC447EC" w:rsidR="00A90DE5" w:rsidRPr="000E581B" w:rsidRDefault="00A90DE5" w:rsidP="00672B83">
            <w:pPr>
              <w:spacing w:before="60" w:after="60"/>
              <w:rPr>
                <w:rFonts w:eastAsia="Times New Roman" w:cs="Calibri"/>
                <w:color w:val="000000"/>
                <w:sz w:val="20"/>
                <w:szCs w:val="20"/>
              </w:rPr>
            </w:pPr>
            <w:r w:rsidRPr="000E581B">
              <w:rPr>
                <w:rFonts w:eastAsia="Times New Roman" w:cs="Calibri"/>
                <w:color w:val="000000"/>
                <w:sz w:val="20"/>
                <w:szCs w:val="20"/>
              </w:rPr>
              <w:t>Brak możliwości oceny postępu </w:t>
            </w:r>
          </w:p>
        </w:tc>
        <w:tc>
          <w:tcPr>
            <w:tcW w:w="2060" w:type="dxa"/>
            <w:tcBorders>
              <w:top w:val="nil"/>
              <w:left w:val="nil"/>
              <w:bottom w:val="single" w:sz="4" w:space="0" w:color="auto"/>
              <w:right w:val="single" w:sz="4" w:space="0" w:color="auto"/>
            </w:tcBorders>
            <w:shd w:val="clear" w:color="auto" w:fill="auto"/>
            <w:noWrap/>
            <w:vAlign w:val="bottom"/>
          </w:tcPr>
          <w:p w14:paraId="0EF15E5A" w14:textId="4E081D19" w:rsidR="00A90DE5" w:rsidRPr="000E581B" w:rsidRDefault="00A90DE5"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82</w:t>
            </w:r>
          </w:p>
        </w:tc>
        <w:tc>
          <w:tcPr>
            <w:tcW w:w="2060" w:type="dxa"/>
            <w:tcBorders>
              <w:top w:val="nil"/>
              <w:left w:val="nil"/>
              <w:bottom w:val="single" w:sz="4" w:space="0" w:color="auto"/>
              <w:right w:val="single" w:sz="4" w:space="0" w:color="auto"/>
            </w:tcBorders>
            <w:shd w:val="clear" w:color="auto" w:fill="auto"/>
            <w:noWrap/>
            <w:vAlign w:val="bottom"/>
          </w:tcPr>
          <w:p w14:paraId="5CBD49F5" w14:textId="2851254B" w:rsidR="00A90DE5" w:rsidRPr="000E581B" w:rsidRDefault="00A90DE5" w:rsidP="00672B83">
            <w:pPr>
              <w:spacing w:before="60" w:after="60"/>
              <w:jc w:val="center"/>
              <w:rPr>
                <w:rFonts w:eastAsia="Times New Roman" w:cs="Calibri"/>
                <w:color w:val="000000"/>
                <w:sz w:val="20"/>
                <w:szCs w:val="20"/>
              </w:rPr>
            </w:pPr>
            <w:r w:rsidRPr="000E581B">
              <w:rPr>
                <w:rFonts w:eastAsia="Times New Roman" w:cs="Calibri"/>
                <w:color w:val="000000"/>
                <w:sz w:val="20"/>
                <w:szCs w:val="20"/>
              </w:rPr>
              <w:t>81,2</w:t>
            </w:r>
          </w:p>
        </w:tc>
      </w:tr>
      <w:tr w:rsidR="00A90DE5" w:rsidRPr="000E581B" w14:paraId="0316F58D" w14:textId="77777777" w:rsidTr="000D4351">
        <w:trPr>
          <w:trHeight w:val="288"/>
        </w:trPr>
        <w:tc>
          <w:tcPr>
            <w:tcW w:w="5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25B474C" w14:textId="22538745" w:rsidR="00A90DE5" w:rsidRPr="000E581B" w:rsidRDefault="00A90DE5" w:rsidP="00A90DE5">
            <w:pPr>
              <w:jc w:val="center"/>
              <w:rPr>
                <w:rFonts w:eastAsia="Times New Roman" w:cs="Calibri"/>
                <w:color w:val="000000"/>
                <w:sz w:val="20"/>
                <w:szCs w:val="20"/>
              </w:rPr>
            </w:pPr>
            <w:r w:rsidRPr="000E581B">
              <w:rPr>
                <w:rFonts w:eastAsia="Times New Roman" w:cs="Calibri"/>
                <w:b/>
                <w:bCs/>
                <w:color w:val="000000"/>
                <w:sz w:val="20"/>
                <w:szCs w:val="20"/>
              </w:rPr>
              <w:t xml:space="preserve">Liczba jcwp w </w:t>
            </w:r>
            <w:r>
              <w:rPr>
                <w:rFonts w:eastAsia="Times New Roman" w:cs="Calibri"/>
                <w:b/>
                <w:bCs/>
                <w:color w:val="000000"/>
                <w:sz w:val="20"/>
                <w:szCs w:val="20"/>
              </w:rPr>
              <w:t xml:space="preserve">obszarze </w:t>
            </w:r>
            <w:r w:rsidRPr="000E581B">
              <w:rPr>
                <w:rFonts w:eastAsia="Times New Roman" w:cs="Calibri"/>
                <w:b/>
                <w:bCs/>
                <w:color w:val="000000"/>
                <w:sz w:val="20"/>
                <w:szCs w:val="20"/>
              </w:rPr>
              <w:t>dorzecz</w:t>
            </w:r>
            <w:r>
              <w:rPr>
                <w:rFonts w:eastAsia="Times New Roman" w:cs="Calibri"/>
                <w:b/>
                <w:bCs/>
                <w:color w:val="000000"/>
                <w:sz w:val="20"/>
                <w:szCs w:val="20"/>
              </w:rPr>
              <w:t>a</w:t>
            </w:r>
          </w:p>
        </w:tc>
        <w:tc>
          <w:tcPr>
            <w:tcW w:w="206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2CB13D7" w14:textId="79791B75" w:rsidR="00A90DE5" w:rsidRPr="000E581B" w:rsidRDefault="00A90DE5" w:rsidP="00A90DE5">
            <w:pPr>
              <w:jc w:val="center"/>
              <w:rPr>
                <w:rFonts w:eastAsia="Times New Roman" w:cs="Calibri"/>
                <w:color w:val="000000"/>
                <w:sz w:val="20"/>
                <w:szCs w:val="20"/>
              </w:rPr>
            </w:pPr>
            <w:r w:rsidRPr="000E581B">
              <w:rPr>
                <w:rFonts w:eastAsia="Times New Roman" w:cs="Calibri"/>
                <w:b/>
                <w:bCs/>
                <w:color w:val="000000"/>
                <w:sz w:val="20"/>
                <w:szCs w:val="20"/>
              </w:rPr>
              <w:t>101</w:t>
            </w:r>
          </w:p>
        </w:tc>
        <w:tc>
          <w:tcPr>
            <w:tcW w:w="206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3C4E1CB" w14:textId="361F5CF4" w:rsidR="00A90DE5" w:rsidRPr="000E581B" w:rsidRDefault="00A90DE5" w:rsidP="00A90DE5">
            <w:pPr>
              <w:jc w:val="center"/>
              <w:rPr>
                <w:rFonts w:eastAsia="Times New Roman" w:cs="Calibri"/>
                <w:color w:val="000000"/>
                <w:sz w:val="20"/>
                <w:szCs w:val="20"/>
              </w:rPr>
            </w:pPr>
            <w:r w:rsidRPr="000E581B">
              <w:rPr>
                <w:rFonts w:eastAsia="Times New Roman" w:cs="Calibri"/>
                <w:b/>
                <w:bCs/>
                <w:color w:val="000000"/>
                <w:sz w:val="20"/>
                <w:szCs w:val="20"/>
              </w:rPr>
              <w:t>100,0</w:t>
            </w:r>
          </w:p>
        </w:tc>
      </w:tr>
    </w:tbl>
    <w:p w14:paraId="5297B0CF" w14:textId="599EB029" w:rsidR="005848EA" w:rsidRPr="00B766BA" w:rsidRDefault="005848EA" w:rsidP="005848EA">
      <w:pPr>
        <w:pStyle w:val="rdo0"/>
        <w:rPr>
          <w:color w:val="000099"/>
          <w:sz w:val="20"/>
        </w:rPr>
      </w:pPr>
      <w:r w:rsidRPr="00B766BA">
        <w:t xml:space="preserve">Źródło: </w:t>
      </w:r>
      <w:r w:rsidR="00553428">
        <w:t xml:space="preserve">opracowanie </w:t>
      </w:r>
      <w:r w:rsidR="00B773E9">
        <w:t>własne</w:t>
      </w:r>
      <w:r w:rsidRPr="00B766BA">
        <w:t xml:space="preserve"> na podstawie danych GIOŚ</w:t>
      </w:r>
    </w:p>
    <w:p w14:paraId="2066CCF1" w14:textId="26B66656" w:rsidR="005848EA" w:rsidRDefault="005848EA" w:rsidP="004A1B76">
      <w:pPr>
        <w:keepNext/>
        <w:rPr>
          <w:b/>
          <w:bCs/>
        </w:rPr>
      </w:pPr>
      <w:r w:rsidRPr="6D64D837">
        <w:rPr>
          <w:rFonts w:asciiTheme="minorHAnsi" w:hAnsiTheme="minorHAnsi" w:cstheme="minorBidi"/>
          <w:b/>
          <w:bCs/>
        </w:rPr>
        <w:t>Ocena postępu w osiąganiu celów środowiskowych dla stanu</w:t>
      </w:r>
      <w:r>
        <w:rPr>
          <w:rFonts w:asciiTheme="minorHAnsi" w:hAnsiTheme="minorHAnsi" w:cstheme="minorBidi"/>
          <w:b/>
          <w:bCs/>
        </w:rPr>
        <w:t xml:space="preserve"> chemicznego</w:t>
      </w:r>
      <w:r w:rsidRPr="6D64D837">
        <w:rPr>
          <w:rFonts w:asciiTheme="minorHAnsi" w:hAnsiTheme="minorHAnsi" w:cstheme="minorBidi"/>
          <w:b/>
          <w:bCs/>
        </w:rPr>
        <w:t xml:space="preserve"> jcwp </w:t>
      </w:r>
      <w:r>
        <w:rPr>
          <w:rFonts w:asciiTheme="minorHAnsi" w:hAnsiTheme="minorHAnsi" w:cstheme="minorBidi"/>
          <w:b/>
          <w:bCs/>
        </w:rPr>
        <w:t xml:space="preserve">LW </w:t>
      </w:r>
      <w:r w:rsidRPr="6D64D837">
        <w:rPr>
          <w:rFonts w:asciiTheme="minorHAnsi" w:hAnsiTheme="minorHAnsi" w:cstheme="minorBidi"/>
          <w:b/>
          <w:bCs/>
        </w:rPr>
        <w:t>(</w:t>
      </w:r>
      <w:r w:rsidR="00165BA2">
        <w:rPr>
          <w:rFonts w:asciiTheme="minorHAnsi" w:hAnsiTheme="minorHAnsi" w:cstheme="minorBidi"/>
          <w:b/>
          <w:bCs/>
        </w:rPr>
        <w:t xml:space="preserve">aktualny </w:t>
      </w:r>
      <w:r w:rsidRPr="6D64D837">
        <w:rPr>
          <w:rFonts w:asciiTheme="minorHAnsi" w:hAnsiTheme="minorHAnsi" w:cstheme="minorBidi"/>
          <w:b/>
          <w:bCs/>
        </w:rPr>
        <w:t>układ planistyczny IIaPGW)</w:t>
      </w:r>
    </w:p>
    <w:p w14:paraId="22D107EE" w14:textId="6548755E" w:rsidR="000338C0" w:rsidRDefault="00E13BC3" w:rsidP="005848EA">
      <w:r w:rsidRPr="00E13BC3">
        <w:t xml:space="preserve">W przypadku jcwp jeziornych, cel środowiskowy został osiągnięty dla 5,7% z nich. Przekroczenie wartości granicznych substancji priorytetowych oraz innych substancji zanieczyszczających stwierdzono dla 16,2% jednolitych częściach wód powierzchniowych jeziornych, co spowodowano nieosiągnięcie założonych celów środowiskowych tj. dobrego stanu chemicznego jcwp (tabela </w:t>
      </w:r>
      <w:r>
        <w:t>9-11</w:t>
      </w:r>
      <w:r w:rsidRPr="00E13BC3">
        <w:t>).</w:t>
      </w:r>
    </w:p>
    <w:p w14:paraId="27CB903C" w14:textId="77777777" w:rsidR="000338C0" w:rsidRDefault="000338C0">
      <w:pPr>
        <w:spacing w:before="0" w:after="0"/>
        <w:jc w:val="left"/>
      </w:pPr>
      <w:r>
        <w:br w:type="page"/>
      </w:r>
    </w:p>
    <w:p w14:paraId="4829E8C9" w14:textId="68C4BC8B" w:rsidR="005848EA" w:rsidRDefault="005848EA" w:rsidP="006802BB">
      <w:pPr>
        <w:pStyle w:val="Tabela"/>
      </w:pPr>
      <w:bookmarkStart w:id="268" w:name="_Toc66311308"/>
      <w:bookmarkStart w:id="269" w:name="_Toc68727007"/>
      <w:r>
        <w:t xml:space="preserve">Tabela </w:t>
      </w:r>
      <w:fldSimple w:instr=" STYLEREF 1 \s ">
        <w:r w:rsidR="007B4050">
          <w:rPr>
            <w:noProof/>
          </w:rPr>
          <w:t>9</w:t>
        </w:r>
      </w:fldSimple>
      <w:r w:rsidR="007B4050">
        <w:noBreakHyphen/>
      </w:r>
      <w:fldSimple w:instr=" SEQ Tabela \* ARABIC \s 1 ">
        <w:r w:rsidR="007B4050">
          <w:rPr>
            <w:noProof/>
          </w:rPr>
          <w:t>11</w:t>
        </w:r>
      </w:fldSimple>
      <w:r>
        <w:tab/>
      </w:r>
      <w:bookmarkEnd w:id="268"/>
      <w:r w:rsidR="00E13BC3" w:rsidRPr="00E13BC3">
        <w:t xml:space="preserve">Ocena postępu w osiąganiu celów środowiskowych dla stanu chemicznego na obszarze dorzecza Pregoły bazujące na nowym układzie planistycznym </w:t>
      </w:r>
      <w:r w:rsidR="00816B54">
        <w:t xml:space="preserve">IIaPGW </w:t>
      </w:r>
      <w:r w:rsidR="006C4947">
        <w:t>-</w:t>
      </w:r>
      <w:r w:rsidR="00E13BC3" w:rsidRPr="00E13BC3">
        <w:t xml:space="preserve"> jcwp LW</w:t>
      </w:r>
      <w:bookmarkEnd w:id="269"/>
    </w:p>
    <w:tbl>
      <w:tblPr>
        <w:tblStyle w:val="Tabela-Siatka"/>
        <w:tblW w:w="9067" w:type="dxa"/>
        <w:tblLayout w:type="fixed"/>
        <w:tblLook w:val="04A0" w:firstRow="1" w:lastRow="0" w:firstColumn="1" w:lastColumn="0" w:noHBand="0" w:noVBand="1"/>
      </w:tblPr>
      <w:tblGrid>
        <w:gridCol w:w="4957"/>
        <w:gridCol w:w="2055"/>
        <w:gridCol w:w="2055"/>
      </w:tblGrid>
      <w:tr w:rsidR="00A90DE5" w:rsidRPr="00753FBE" w14:paraId="70025BE5" w14:textId="77777777" w:rsidTr="000338C0">
        <w:trPr>
          <w:trHeight w:val="372"/>
          <w:tblHeader/>
        </w:trPr>
        <w:tc>
          <w:tcPr>
            <w:tcW w:w="495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AD4511F" w14:textId="1DDD53D3" w:rsidR="00A90DE5" w:rsidRPr="00753FBE" w:rsidRDefault="00A90DE5" w:rsidP="00A90DE5">
            <w:pPr>
              <w:jc w:val="center"/>
              <w:rPr>
                <w:rFonts w:asciiTheme="minorHAnsi" w:hAnsiTheme="minorHAnsi" w:cstheme="minorHAnsi"/>
                <w:sz w:val="20"/>
                <w:szCs w:val="20"/>
              </w:rPr>
            </w:pPr>
            <w:r w:rsidRPr="005830E6">
              <w:rPr>
                <w:rFonts w:asciiTheme="minorHAnsi" w:eastAsia="Times New Roman" w:hAnsiTheme="minorHAnsi"/>
                <w:b/>
                <w:bCs/>
                <w:sz w:val="20"/>
                <w:szCs w:val="20"/>
                <w:lang w:eastAsia="pl-PL"/>
              </w:rPr>
              <w:t>Stopień osiągnięcia celu</w:t>
            </w:r>
          </w:p>
        </w:tc>
        <w:tc>
          <w:tcPr>
            <w:tcW w:w="2055" w:type="dxa"/>
            <w:tcBorders>
              <w:left w:val="single" w:sz="4" w:space="0" w:color="auto"/>
            </w:tcBorders>
            <w:shd w:val="clear" w:color="auto" w:fill="BFBFBF" w:themeFill="background1" w:themeFillShade="BF"/>
            <w:noWrap/>
            <w:vAlign w:val="center"/>
            <w:hideMark/>
          </w:tcPr>
          <w:p w14:paraId="0E38CD89" w14:textId="77777777" w:rsidR="00A90DE5" w:rsidRPr="00753FBE" w:rsidRDefault="00A90DE5" w:rsidP="00A90DE5">
            <w:pPr>
              <w:jc w:val="center"/>
              <w:rPr>
                <w:rFonts w:asciiTheme="minorHAnsi" w:hAnsiTheme="minorHAnsi" w:cstheme="minorHAnsi"/>
                <w:b/>
                <w:bCs/>
                <w:sz w:val="20"/>
                <w:szCs w:val="20"/>
              </w:rPr>
            </w:pPr>
            <w:r w:rsidRPr="00753FBE">
              <w:rPr>
                <w:rFonts w:asciiTheme="minorHAnsi" w:hAnsiTheme="minorHAnsi" w:cstheme="minorHAnsi"/>
                <w:b/>
                <w:bCs/>
                <w:sz w:val="20"/>
                <w:szCs w:val="20"/>
              </w:rPr>
              <w:t>Liczba jcwp LW</w:t>
            </w:r>
          </w:p>
        </w:tc>
        <w:tc>
          <w:tcPr>
            <w:tcW w:w="2055" w:type="dxa"/>
            <w:shd w:val="clear" w:color="auto" w:fill="BFBFBF" w:themeFill="background1" w:themeFillShade="BF"/>
            <w:noWrap/>
            <w:vAlign w:val="center"/>
            <w:hideMark/>
          </w:tcPr>
          <w:p w14:paraId="3431A7E2" w14:textId="7691F87F" w:rsidR="00A90DE5" w:rsidRPr="00753FBE" w:rsidRDefault="00A90DE5" w:rsidP="00A90DE5">
            <w:pPr>
              <w:jc w:val="center"/>
              <w:rPr>
                <w:rFonts w:asciiTheme="minorHAnsi" w:hAnsiTheme="minorHAnsi" w:cstheme="minorHAnsi"/>
                <w:b/>
                <w:bCs/>
                <w:sz w:val="20"/>
                <w:szCs w:val="20"/>
              </w:rPr>
            </w:pPr>
            <w:r w:rsidRPr="00753FBE">
              <w:rPr>
                <w:rFonts w:asciiTheme="minorHAnsi" w:hAnsiTheme="minorHAnsi" w:cstheme="minorHAnsi"/>
                <w:b/>
                <w:bCs/>
                <w:sz w:val="20"/>
                <w:szCs w:val="20"/>
              </w:rPr>
              <w:t>Udział jcwp</w:t>
            </w:r>
            <w:r w:rsidR="000D4351">
              <w:rPr>
                <w:rFonts w:asciiTheme="minorHAnsi" w:hAnsiTheme="minorHAnsi" w:cstheme="minorHAnsi"/>
                <w:b/>
                <w:bCs/>
                <w:sz w:val="20"/>
                <w:szCs w:val="20"/>
              </w:rPr>
              <w:t xml:space="preserve"> </w:t>
            </w:r>
            <w:r w:rsidRPr="00753FBE">
              <w:rPr>
                <w:rFonts w:asciiTheme="minorHAnsi" w:hAnsiTheme="minorHAnsi" w:cstheme="minorHAnsi"/>
                <w:b/>
                <w:bCs/>
                <w:sz w:val="20"/>
                <w:szCs w:val="20"/>
              </w:rPr>
              <w:t>(%)</w:t>
            </w:r>
          </w:p>
        </w:tc>
      </w:tr>
      <w:tr w:rsidR="00A90DE5" w:rsidRPr="00753FBE" w14:paraId="05B2F500" w14:textId="77777777" w:rsidTr="000D4351">
        <w:trPr>
          <w:trHeight w:val="397"/>
        </w:trPr>
        <w:tc>
          <w:tcPr>
            <w:tcW w:w="4957" w:type="dxa"/>
            <w:shd w:val="clear" w:color="auto" w:fill="auto"/>
            <w:noWrap/>
            <w:vAlign w:val="center"/>
            <w:hideMark/>
          </w:tcPr>
          <w:p w14:paraId="2B7BF8EA" w14:textId="77777777" w:rsidR="00A90DE5" w:rsidRPr="00753FBE" w:rsidRDefault="00A90DE5" w:rsidP="00A90DE5">
            <w:pPr>
              <w:spacing w:after="0"/>
              <w:jc w:val="left"/>
              <w:rPr>
                <w:rFonts w:asciiTheme="minorHAnsi" w:hAnsiTheme="minorHAnsi" w:cstheme="minorHAnsi"/>
                <w:color w:val="FFFFFF" w:themeColor="background1"/>
                <w:sz w:val="20"/>
                <w:szCs w:val="20"/>
              </w:rPr>
            </w:pPr>
            <w:r w:rsidRPr="00753FBE">
              <w:rPr>
                <w:rFonts w:asciiTheme="minorHAnsi" w:hAnsiTheme="minorHAnsi" w:cstheme="minorHAnsi"/>
                <w:sz w:val="20"/>
                <w:szCs w:val="20"/>
              </w:rPr>
              <w:t>Cel nieosiągnięty - brak postępu</w:t>
            </w:r>
          </w:p>
        </w:tc>
        <w:tc>
          <w:tcPr>
            <w:tcW w:w="2055" w:type="dxa"/>
            <w:noWrap/>
            <w:vAlign w:val="center"/>
          </w:tcPr>
          <w:p w14:paraId="4E08F343" w14:textId="19DFF3D5"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0</w:t>
            </w:r>
          </w:p>
        </w:tc>
        <w:tc>
          <w:tcPr>
            <w:tcW w:w="2055" w:type="dxa"/>
            <w:noWrap/>
            <w:vAlign w:val="center"/>
          </w:tcPr>
          <w:p w14:paraId="48692B67" w14:textId="0F3BE6EA"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0,0</w:t>
            </w:r>
          </w:p>
        </w:tc>
      </w:tr>
      <w:tr w:rsidR="00A90DE5" w:rsidRPr="00753FBE" w14:paraId="02E57F50" w14:textId="77777777" w:rsidTr="000D4351">
        <w:trPr>
          <w:trHeight w:val="397"/>
        </w:trPr>
        <w:tc>
          <w:tcPr>
            <w:tcW w:w="4957" w:type="dxa"/>
            <w:shd w:val="clear" w:color="auto" w:fill="auto"/>
            <w:noWrap/>
            <w:vAlign w:val="center"/>
            <w:hideMark/>
          </w:tcPr>
          <w:p w14:paraId="3D6DA7AA" w14:textId="77777777" w:rsidR="00A90DE5" w:rsidRPr="00753FBE" w:rsidRDefault="00A90DE5" w:rsidP="00A90DE5">
            <w:pPr>
              <w:spacing w:after="0"/>
              <w:jc w:val="left"/>
              <w:rPr>
                <w:rFonts w:asciiTheme="minorHAnsi" w:hAnsiTheme="minorHAnsi" w:cstheme="minorHAnsi"/>
                <w:color w:val="FFFFFF" w:themeColor="background1"/>
                <w:sz w:val="20"/>
                <w:szCs w:val="20"/>
              </w:rPr>
            </w:pPr>
            <w:r w:rsidRPr="00753FBE">
              <w:rPr>
                <w:rFonts w:asciiTheme="minorHAnsi" w:hAnsiTheme="minorHAnsi" w:cstheme="minorHAnsi"/>
                <w:sz w:val="20"/>
                <w:szCs w:val="20"/>
              </w:rPr>
              <w:t>Cel nieosiągnięty - pogorszenie stanu</w:t>
            </w:r>
          </w:p>
        </w:tc>
        <w:tc>
          <w:tcPr>
            <w:tcW w:w="2055" w:type="dxa"/>
            <w:noWrap/>
            <w:vAlign w:val="center"/>
          </w:tcPr>
          <w:p w14:paraId="32C5F41C" w14:textId="5AF715C3"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17</w:t>
            </w:r>
          </w:p>
        </w:tc>
        <w:tc>
          <w:tcPr>
            <w:tcW w:w="2055" w:type="dxa"/>
            <w:noWrap/>
            <w:vAlign w:val="center"/>
          </w:tcPr>
          <w:p w14:paraId="6F32975B" w14:textId="3AA1801D"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16,2</w:t>
            </w:r>
          </w:p>
        </w:tc>
      </w:tr>
      <w:tr w:rsidR="00A90DE5" w:rsidRPr="00753FBE" w14:paraId="68E7E80F" w14:textId="77777777" w:rsidTr="000D4351">
        <w:trPr>
          <w:trHeight w:val="397"/>
        </w:trPr>
        <w:tc>
          <w:tcPr>
            <w:tcW w:w="4957" w:type="dxa"/>
            <w:shd w:val="clear" w:color="auto" w:fill="auto"/>
            <w:noWrap/>
            <w:vAlign w:val="center"/>
            <w:hideMark/>
          </w:tcPr>
          <w:p w14:paraId="3951E047" w14:textId="77777777" w:rsidR="00A90DE5" w:rsidRPr="00753FBE" w:rsidRDefault="00A90DE5" w:rsidP="00A90DE5">
            <w:pPr>
              <w:spacing w:after="0"/>
              <w:jc w:val="left"/>
              <w:rPr>
                <w:rFonts w:asciiTheme="minorHAnsi" w:hAnsiTheme="minorHAnsi" w:cstheme="minorHAnsi"/>
                <w:color w:val="FFFFFF" w:themeColor="background1"/>
                <w:sz w:val="20"/>
                <w:szCs w:val="20"/>
              </w:rPr>
            </w:pPr>
            <w:r w:rsidRPr="00753FBE">
              <w:rPr>
                <w:rFonts w:asciiTheme="minorHAnsi" w:hAnsiTheme="minorHAnsi" w:cstheme="minorHAnsi"/>
                <w:sz w:val="20"/>
                <w:szCs w:val="20"/>
              </w:rPr>
              <w:t>Cel osiągnięty - utrzymanie dobrego stanu</w:t>
            </w:r>
          </w:p>
        </w:tc>
        <w:tc>
          <w:tcPr>
            <w:tcW w:w="2055" w:type="dxa"/>
            <w:noWrap/>
            <w:vAlign w:val="center"/>
          </w:tcPr>
          <w:p w14:paraId="1515D0D3" w14:textId="434D3073"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6</w:t>
            </w:r>
          </w:p>
        </w:tc>
        <w:tc>
          <w:tcPr>
            <w:tcW w:w="2055" w:type="dxa"/>
            <w:noWrap/>
            <w:vAlign w:val="center"/>
          </w:tcPr>
          <w:p w14:paraId="00F8EEA5" w14:textId="11D5DD94"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5,7</w:t>
            </w:r>
          </w:p>
        </w:tc>
      </w:tr>
      <w:tr w:rsidR="00A90DE5" w:rsidRPr="00753FBE" w14:paraId="400E7834" w14:textId="77777777" w:rsidTr="000D4351">
        <w:trPr>
          <w:trHeight w:val="397"/>
        </w:trPr>
        <w:tc>
          <w:tcPr>
            <w:tcW w:w="4957" w:type="dxa"/>
            <w:shd w:val="clear" w:color="auto" w:fill="auto"/>
            <w:noWrap/>
            <w:vAlign w:val="center"/>
            <w:hideMark/>
          </w:tcPr>
          <w:p w14:paraId="23BE8987" w14:textId="77777777" w:rsidR="00A90DE5" w:rsidRPr="00753FBE" w:rsidRDefault="00A90DE5" w:rsidP="00A90DE5">
            <w:pPr>
              <w:spacing w:after="0"/>
              <w:jc w:val="left"/>
              <w:rPr>
                <w:rFonts w:asciiTheme="minorHAnsi" w:hAnsiTheme="minorHAnsi" w:cstheme="minorHAnsi"/>
                <w:color w:val="FFFFFF" w:themeColor="background1"/>
                <w:sz w:val="20"/>
                <w:szCs w:val="20"/>
              </w:rPr>
            </w:pPr>
            <w:r w:rsidRPr="00753FBE">
              <w:rPr>
                <w:rFonts w:asciiTheme="minorHAnsi" w:hAnsiTheme="minorHAnsi" w:cstheme="minorHAnsi"/>
                <w:sz w:val="20"/>
                <w:szCs w:val="20"/>
              </w:rPr>
              <w:t>Cel osiągnięty - poprawa stanu</w:t>
            </w:r>
          </w:p>
        </w:tc>
        <w:tc>
          <w:tcPr>
            <w:tcW w:w="2055" w:type="dxa"/>
            <w:noWrap/>
            <w:vAlign w:val="center"/>
          </w:tcPr>
          <w:p w14:paraId="5FAECB92" w14:textId="6FD62BAF"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0</w:t>
            </w:r>
          </w:p>
        </w:tc>
        <w:tc>
          <w:tcPr>
            <w:tcW w:w="2055" w:type="dxa"/>
            <w:noWrap/>
            <w:vAlign w:val="center"/>
          </w:tcPr>
          <w:p w14:paraId="4FC47D79" w14:textId="48940C68"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0,0</w:t>
            </w:r>
          </w:p>
        </w:tc>
      </w:tr>
      <w:tr w:rsidR="00A90DE5" w:rsidRPr="00753FBE" w14:paraId="0ADC91D2" w14:textId="77777777" w:rsidTr="000D4351">
        <w:trPr>
          <w:trHeight w:val="397"/>
        </w:trPr>
        <w:tc>
          <w:tcPr>
            <w:tcW w:w="4957" w:type="dxa"/>
            <w:shd w:val="clear" w:color="auto" w:fill="auto"/>
            <w:noWrap/>
            <w:vAlign w:val="center"/>
            <w:hideMark/>
          </w:tcPr>
          <w:p w14:paraId="0626364A" w14:textId="77777777" w:rsidR="00A90DE5" w:rsidRPr="00753FBE" w:rsidRDefault="00A90DE5" w:rsidP="00A90DE5">
            <w:pPr>
              <w:spacing w:after="0"/>
              <w:jc w:val="left"/>
              <w:rPr>
                <w:rFonts w:asciiTheme="minorHAnsi" w:hAnsiTheme="minorHAnsi" w:cstheme="minorHAnsi"/>
                <w:color w:val="FFFFFF" w:themeColor="background1"/>
                <w:sz w:val="20"/>
                <w:szCs w:val="20"/>
              </w:rPr>
            </w:pPr>
            <w:r w:rsidRPr="00753FBE">
              <w:rPr>
                <w:rFonts w:asciiTheme="minorHAnsi" w:hAnsiTheme="minorHAnsi" w:cstheme="minorHAnsi"/>
                <w:sz w:val="20"/>
                <w:szCs w:val="20"/>
              </w:rPr>
              <w:t>Brak możliwości oceny postępu</w:t>
            </w:r>
          </w:p>
        </w:tc>
        <w:tc>
          <w:tcPr>
            <w:tcW w:w="2055" w:type="dxa"/>
            <w:noWrap/>
            <w:vAlign w:val="center"/>
          </w:tcPr>
          <w:p w14:paraId="02FD6EBB" w14:textId="6C092D8A"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82</w:t>
            </w:r>
          </w:p>
        </w:tc>
        <w:tc>
          <w:tcPr>
            <w:tcW w:w="2055" w:type="dxa"/>
            <w:noWrap/>
            <w:vAlign w:val="center"/>
          </w:tcPr>
          <w:p w14:paraId="4F8DB81A" w14:textId="2274C18B" w:rsidR="00A90DE5" w:rsidRPr="00753FBE" w:rsidRDefault="00A90DE5" w:rsidP="00A90DE5">
            <w:pPr>
              <w:spacing w:after="0"/>
              <w:jc w:val="center"/>
              <w:rPr>
                <w:rFonts w:asciiTheme="minorHAnsi" w:hAnsiTheme="minorHAnsi" w:cstheme="minorHAnsi"/>
                <w:color w:val="000000"/>
                <w:sz w:val="20"/>
                <w:szCs w:val="20"/>
              </w:rPr>
            </w:pPr>
            <w:r w:rsidRPr="00753FBE">
              <w:rPr>
                <w:rFonts w:cs="Calibri"/>
                <w:color w:val="000000"/>
                <w:sz w:val="20"/>
                <w:szCs w:val="20"/>
              </w:rPr>
              <w:t>78,1</w:t>
            </w:r>
          </w:p>
        </w:tc>
      </w:tr>
      <w:tr w:rsidR="00A90DE5" w:rsidRPr="00753FBE" w14:paraId="74BD0151" w14:textId="77777777" w:rsidTr="000D4351">
        <w:trPr>
          <w:trHeight w:val="397"/>
        </w:trPr>
        <w:tc>
          <w:tcPr>
            <w:tcW w:w="4957" w:type="dxa"/>
            <w:shd w:val="clear" w:color="auto" w:fill="BFBFBF" w:themeFill="background1" w:themeFillShade="BF"/>
            <w:noWrap/>
            <w:vAlign w:val="center"/>
          </w:tcPr>
          <w:p w14:paraId="46BBAC9E" w14:textId="342DE0F6" w:rsidR="00A90DE5" w:rsidRPr="00753FBE" w:rsidRDefault="00A90DE5" w:rsidP="00A90DE5">
            <w:pPr>
              <w:jc w:val="center"/>
              <w:rPr>
                <w:rFonts w:asciiTheme="minorHAnsi" w:hAnsiTheme="minorHAnsi" w:cstheme="minorHAnsi"/>
                <w:sz w:val="20"/>
                <w:szCs w:val="20"/>
              </w:rPr>
            </w:pPr>
            <w:r w:rsidRPr="00215474">
              <w:rPr>
                <w:rFonts w:asciiTheme="minorHAnsi" w:hAnsiTheme="minorHAnsi" w:cstheme="minorHAnsi"/>
                <w:b/>
                <w:bCs/>
                <w:sz w:val="20"/>
                <w:szCs w:val="20"/>
              </w:rPr>
              <w:t xml:space="preserve">Liczba jcwp w </w:t>
            </w:r>
            <w:r>
              <w:rPr>
                <w:rFonts w:asciiTheme="minorHAnsi" w:hAnsiTheme="minorHAnsi" w:cstheme="minorHAnsi"/>
                <w:b/>
                <w:bCs/>
                <w:sz w:val="20"/>
                <w:szCs w:val="20"/>
              </w:rPr>
              <w:t xml:space="preserve">obszarze </w:t>
            </w:r>
            <w:r w:rsidRPr="00215474">
              <w:rPr>
                <w:rFonts w:asciiTheme="minorHAnsi" w:hAnsiTheme="minorHAnsi" w:cstheme="minorHAnsi"/>
                <w:b/>
                <w:bCs/>
                <w:sz w:val="20"/>
                <w:szCs w:val="20"/>
              </w:rPr>
              <w:t>dorzecz</w:t>
            </w:r>
            <w:r>
              <w:rPr>
                <w:rFonts w:asciiTheme="minorHAnsi" w:hAnsiTheme="minorHAnsi" w:cstheme="minorHAnsi"/>
                <w:b/>
                <w:bCs/>
                <w:sz w:val="20"/>
                <w:szCs w:val="20"/>
              </w:rPr>
              <w:t>a</w:t>
            </w:r>
          </w:p>
        </w:tc>
        <w:tc>
          <w:tcPr>
            <w:tcW w:w="2055" w:type="dxa"/>
            <w:shd w:val="clear" w:color="auto" w:fill="BFBFBF" w:themeFill="background1" w:themeFillShade="BF"/>
            <w:noWrap/>
            <w:vAlign w:val="center"/>
          </w:tcPr>
          <w:p w14:paraId="28DA0C75" w14:textId="5F1C1D59" w:rsidR="00A90DE5" w:rsidRPr="00753FBE" w:rsidRDefault="00A90DE5" w:rsidP="00A90DE5">
            <w:pPr>
              <w:jc w:val="center"/>
              <w:rPr>
                <w:rFonts w:cs="Calibri"/>
                <w:color w:val="000000"/>
                <w:sz w:val="20"/>
                <w:szCs w:val="20"/>
              </w:rPr>
            </w:pPr>
            <w:r w:rsidRPr="00753FBE">
              <w:rPr>
                <w:rFonts w:cs="Calibri"/>
                <w:b/>
                <w:bCs/>
                <w:color w:val="000000"/>
                <w:sz w:val="20"/>
                <w:szCs w:val="20"/>
              </w:rPr>
              <w:t>105</w:t>
            </w:r>
          </w:p>
        </w:tc>
        <w:tc>
          <w:tcPr>
            <w:tcW w:w="2055" w:type="dxa"/>
            <w:shd w:val="clear" w:color="auto" w:fill="BFBFBF" w:themeFill="background1" w:themeFillShade="BF"/>
            <w:noWrap/>
            <w:vAlign w:val="center"/>
          </w:tcPr>
          <w:p w14:paraId="501C9CED" w14:textId="549ED352" w:rsidR="00A90DE5" w:rsidRPr="00753FBE" w:rsidRDefault="00A90DE5" w:rsidP="00A90DE5">
            <w:pPr>
              <w:jc w:val="center"/>
              <w:rPr>
                <w:rFonts w:cs="Calibri"/>
                <w:color w:val="000000"/>
                <w:sz w:val="20"/>
                <w:szCs w:val="20"/>
              </w:rPr>
            </w:pPr>
            <w:r w:rsidRPr="00753FBE">
              <w:rPr>
                <w:rFonts w:cs="Calibri"/>
                <w:b/>
                <w:bCs/>
                <w:color w:val="000000"/>
                <w:sz w:val="20"/>
                <w:szCs w:val="20"/>
              </w:rPr>
              <w:t>100,0</w:t>
            </w:r>
          </w:p>
        </w:tc>
      </w:tr>
    </w:tbl>
    <w:p w14:paraId="4AD2DDA3" w14:textId="61A0D282" w:rsidR="005848EA" w:rsidRPr="00B766BA" w:rsidRDefault="005848EA" w:rsidP="005848EA">
      <w:pPr>
        <w:pStyle w:val="rdo0"/>
      </w:pPr>
      <w:r w:rsidRPr="00B766BA">
        <w:t xml:space="preserve">Źródło: </w:t>
      </w:r>
      <w:r w:rsidR="00553428">
        <w:t xml:space="preserve">opracowanie </w:t>
      </w:r>
      <w:r w:rsidR="00B773E9">
        <w:t>własne</w:t>
      </w:r>
      <w:r w:rsidRPr="00B766BA">
        <w:t xml:space="preserve"> na </w:t>
      </w:r>
      <w:r w:rsidRPr="0085285D">
        <w:t>podstawie</w:t>
      </w:r>
      <w:r w:rsidRPr="00B766BA">
        <w:t xml:space="preserve"> danych GIOŚ</w:t>
      </w:r>
    </w:p>
    <w:p w14:paraId="168D8079" w14:textId="3EEE5E91" w:rsidR="005848EA" w:rsidRDefault="00E13BC3" w:rsidP="005848EA">
      <w:pPr>
        <w:rPr>
          <w:i/>
          <w:iCs/>
          <w:color w:val="000000"/>
        </w:rPr>
      </w:pPr>
      <w:r w:rsidRPr="00E13BC3">
        <w:t xml:space="preserve">Tak samo jak w przypadku jcwp RW, w jcwp LW stwierdzono wiele czynników powodujących nieosiągnięcie celów środowiskowych. Najczęstszą przyczyną było przekroczenie EQS w biocie, której monitoring rozpoczął się w 2016 roku. </w:t>
      </w:r>
      <w:r w:rsidRPr="00E13BC3">
        <w:rPr>
          <w:color w:val="000000"/>
        </w:rPr>
        <w:t>Zostało to odnotowano szczególnie w stosunku do zlewni, w</w:t>
      </w:r>
      <w:r w:rsidR="0085285D">
        <w:rPr>
          <w:color w:val="000000"/>
        </w:rPr>
        <w:t> </w:t>
      </w:r>
      <w:r w:rsidRPr="00E13BC3">
        <w:rPr>
          <w:color w:val="000000"/>
        </w:rPr>
        <w:t xml:space="preserve">których po rozpoczęciu monitoringu bioty stwierdzono stan chemiczny poniżej dobrego. </w:t>
      </w:r>
      <w:r w:rsidRPr="00E13BC3">
        <w:t>Ponadto wykazano także przekroczenia wartości granicznych w wodzie w stosunku do substancji włączonych do wskaźniku stanowiących o stanie chemicznym jcwp zgodnie z dyrektywą EQS (</w:t>
      </w:r>
      <w:r w:rsidRPr="00E13BC3">
        <w:rPr>
          <w:rFonts w:cs="Calibri"/>
          <w:color w:val="000000"/>
        </w:rPr>
        <w:t>2013/39/UE)</w:t>
      </w:r>
      <w:r w:rsidRPr="00E13BC3">
        <w:t>. Dodatkowym aspektem niezwiązanym z presją zewnętrzną jest znaczne obniżenie wartości granicznych wielu wskaźników (12,4%)</w:t>
      </w:r>
      <w:r w:rsidRPr="00E13BC3">
        <w:rPr>
          <w:color w:val="000000"/>
        </w:rPr>
        <w:t>. Podobnie jak w przypadku rzek, niski stopień realizacji/skuteczności działań również przyczynił się do nieosiągnięcia dobrego stanu chemicznego jcwp (10,5% jcwp). Natomiast niektóre z działań, doprowadziły do redukcji stężeń substancji w wodzie, jednak nie doprowadziły do obniżenia wartości poniżej EQS. W stosunku do jcwp LW, istotny wpływ odgrywają także uwarunkowania zlewni</w:t>
      </w:r>
      <w:r w:rsidR="006C4947">
        <w:rPr>
          <w:color w:val="000000"/>
        </w:rPr>
        <w:t>-</w:t>
      </w:r>
      <w:r w:rsidRPr="00156C67">
        <w:rPr>
          <w:color w:val="000000"/>
        </w:rPr>
        <w:t xml:space="preserve"> przede wszystkim niski potencjał sorpcyjny, który był jednym z przyczyn złego stanu chemicznego 5 jcwp </w:t>
      </w:r>
      <w:r w:rsidR="005848EA" w:rsidRPr="00156C67">
        <w:rPr>
          <w:color w:val="000000" w:themeColor="text1"/>
        </w:rPr>
        <w:t xml:space="preserve">(tabela </w:t>
      </w:r>
      <w:r w:rsidR="005848EA" w:rsidRPr="00156C67">
        <w:rPr>
          <w:bCs/>
          <w:color w:val="000000" w:themeColor="text1"/>
        </w:rPr>
        <w:t>9-1</w:t>
      </w:r>
      <w:r w:rsidRPr="00156C67">
        <w:rPr>
          <w:bCs/>
          <w:color w:val="000000" w:themeColor="text1"/>
        </w:rPr>
        <w:t>2</w:t>
      </w:r>
      <w:r w:rsidR="005848EA" w:rsidRPr="00156C67">
        <w:rPr>
          <w:color w:val="000000" w:themeColor="text1"/>
        </w:rPr>
        <w:t>).</w:t>
      </w:r>
      <w:r w:rsidR="005848EA" w:rsidRPr="0941C553">
        <w:rPr>
          <w:color w:val="000000" w:themeColor="text1"/>
        </w:rPr>
        <w:t xml:space="preserve"> </w:t>
      </w:r>
    </w:p>
    <w:p w14:paraId="4D8655A8" w14:textId="1C2E0E8C" w:rsidR="005848EA" w:rsidRDefault="005848EA" w:rsidP="006802BB">
      <w:pPr>
        <w:pStyle w:val="Tabela"/>
      </w:pPr>
      <w:bookmarkStart w:id="270" w:name="_Toc66311309"/>
      <w:bookmarkStart w:id="271" w:name="_Toc68727008"/>
      <w:r>
        <w:t xml:space="preserve">Tabela </w:t>
      </w:r>
      <w:fldSimple w:instr=" STYLEREF 1 \s ">
        <w:r w:rsidR="007B4050">
          <w:rPr>
            <w:noProof/>
          </w:rPr>
          <w:t>9</w:t>
        </w:r>
      </w:fldSimple>
      <w:r w:rsidR="007B4050">
        <w:noBreakHyphen/>
      </w:r>
      <w:fldSimple w:instr=" SEQ Tabela \* ARABIC \s 1 ">
        <w:r w:rsidR="007B4050">
          <w:rPr>
            <w:noProof/>
          </w:rPr>
          <w:t>12</w:t>
        </w:r>
      </w:fldSimple>
      <w:r>
        <w:tab/>
      </w:r>
      <w:bookmarkEnd w:id="270"/>
      <w:r w:rsidR="00E13BC3" w:rsidRPr="00E13BC3">
        <w:t xml:space="preserve">Analiza przyczyn wpływających na brak postępu w osiąganiu celów środowiskowych dla stanu chemicznego na obszarze dorzecza Pregoły bazując na nowym układzie planistycznym </w:t>
      </w:r>
      <w:r w:rsidR="006C4947">
        <w:t>-</w:t>
      </w:r>
      <w:r w:rsidR="00E13BC3" w:rsidRPr="00E13BC3">
        <w:t xml:space="preserve"> jcwp</w:t>
      </w:r>
      <w:r w:rsidR="00F9136A">
        <w:t> </w:t>
      </w:r>
      <w:r w:rsidR="00E13BC3" w:rsidRPr="00E13BC3">
        <w:t>LW</w:t>
      </w:r>
      <w:bookmarkEnd w:id="271"/>
    </w:p>
    <w:tbl>
      <w:tblPr>
        <w:tblStyle w:val="Tabela-Siatka"/>
        <w:tblW w:w="5000" w:type="pct"/>
        <w:jc w:val="center"/>
        <w:tblLook w:val="04A0" w:firstRow="1" w:lastRow="0" w:firstColumn="1" w:lastColumn="0" w:noHBand="0" w:noVBand="1"/>
      </w:tblPr>
      <w:tblGrid>
        <w:gridCol w:w="4106"/>
        <w:gridCol w:w="2835"/>
        <w:gridCol w:w="2121"/>
      </w:tblGrid>
      <w:tr w:rsidR="000D4351" w:rsidRPr="002A0524" w14:paraId="1504D1B3" w14:textId="77777777" w:rsidTr="000F4C8C">
        <w:trPr>
          <w:trHeight w:val="425"/>
          <w:tblHeader/>
          <w:jc w:val="center"/>
        </w:trPr>
        <w:tc>
          <w:tcPr>
            <w:tcW w:w="9062" w:type="dxa"/>
            <w:gridSpan w:val="3"/>
            <w:shd w:val="clear" w:color="auto" w:fill="A6A6A6" w:themeFill="background1" w:themeFillShade="A6"/>
            <w:noWrap/>
            <w:vAlign w:val="center"/>
            <w:hideMark/>
          </w:tcPr>
          <w:p w14:paraId="3590F49C" w14:textId="655BCFAD" w:rsidR="000D4351" w:rsidRPr="002A0524" w:rsidRDefault="000D4351" w:rsidP="000D4351">
            <w:pPr>
              <w:jc w:val="center"/>
              <w:rPr>
                <w:rFonts w:asciiTheme="minorHAnsi" w:hAnsiTheme="minorHAnsi" w:cstheme="minorHAnsi"/>
                <w:b/>
                <w:bCs/>
                <w:sz w:val="20"/>
                <w:szCs w:val="20"/>
              </w:rPr>
            </w:pPr>
            <w:r>
              <w:rPr>
                <w:rFonts w:asciiTheme="minorHAnsi" w:hAnsiTheme="minorHAnsi" w:cstheme="minorHAnsi"/>
                <w:b/>
                <w:bCs/>
                <w:sz w:val="20"/>
                <w:szCs w:val="20"/>
              </w:rPr>
              <w:t>Analiza przyczyn braku postępu</w:t>
            </w:r>
            <w:r w:rsidRPr="002A0524">
              <w:rPr>
                <w:rFonts w:asciiTheme="minorHAnsi" w:hAnsiTheme="minorHAnsi" w:cstheme="minorHAnsi"/>
                <w:b/>
                <w:bCs/>
                <w:sz w:val="20"/>
                <w:szCs w:val="20"/>
              </w:rPr>
              <w:t xml:space="preserve"> </w:t>
            </w:r>
            <w:r>
              <w:rPr>
                <w:rFonts w:asciiTheme="minorHAnsi" w:hAnsiTheme="minorHAnsi" w:cstheme="minorHAnsi"/>
                <w:b/>
                <w:bCs/>
                <w:sz w:val="20"/>
                <w:szCs w:val="20"/>
              </w:rPr>
              <w:t>w osiąganiu celu środowiskowego</w:t>
            </w:r>
            <w:r w:rsidRPr="002A0524">
              <w:rPr>
                <w:rFonts w:asciiTheme="minorHAnsi" w:hAnsiTheme="minorHAnsi" w:cstheme="minorHAnsi"/>
                <w:b/>
                <w:bCs/>
                <w:sz w:val="20"/>
                <w:szCs w:val="20"/>
              </w:rPr>
              <w:t xml:space="preserve"> </w:t>
            </w:r>
            <w:r w:rsidR="00024FDD">
              <w:rPr>
                <w:rFonts w:asciiTheme="minorHAnsi" w:hAnsiTheme="minorHAnsi" w:cstheme="minorHAnsi"/>
                <w:b/>
                <w:bCs/>
                <w:sz w:val="20"/>
                <w:szCs w:val="20"/>
              </w:rPr>
              <w:t>dla stanu chemicznego</w:t>
            </w:r>
          </w:p>
        </w:tc>
      </w:tr>
      <w:tr w:rsidR="005848EA" w:rsidRPr="002A0524" w14:paraId="2B4A904B" w14:textId="77777777" w:rsidTr="00024FDD">
        <w:trPr>
          <w:trHeight w:val="425"/>
          <w:tblHeader/>
          <w:jc w:val="center"/>
        </w:trPr>
        <w:tc>
          <w:tcPr>
            <w:tcW w:w="4106" w:type="dxa"/>
            <w:shd w:val="clear" w:color="auto" w:fill="BFBFBF" w:themeFill="background1" w:themeFillShade="BF"/>
            <w:noWrap/>
            <w:vAlign w:val="center"/>
            <w:hideMark/>
          </w:tcPr>
          <w:p w14:paraId="74ED8F60" w14:textId="61241DC3" w:rsidR="005848EA" w:rsidRPr="002A0524" w:rsidRDefault="000D4351" w:rsidP="00024FDD">
            <w:pPr>
              <w:jc w:val="center"/>
              <w:rPr>
                <w:rFonts w:asciiTheme="minorHAnsi" w:hAnsiTheme="minorHAnsi" w:cstheme="minorHAnsi"/>
                <w:b/>
                <w:bCs/>
                <w:sz w:val="20"/>
                <w:szCs w:val="20"/>
              </w:rPr>
            </w:pPr>
            <w:r>
              <w:rPr>
                <w:rFonts w:asciiTheme="minorHAnsi" w:hAnsiTheme="minorHAnsi" w:cstheme="minorHAnsi"/>
                <w:b/>
                <w:bCs/>
                <w:sz w:val="20"/>
                <w:szCs w:val="20"/>
              </w:rPr>
              <w:t>Przyczyna braku postępu</w:t>
            </w:r>
          </w:p>
        </w:tc>
        <w:tc>
          <w:tcPr>
            <w:tcW w:w="2835" w:type="dxa"/>
            <w:shd w:val="clear" w:color="auto" w:fill="BFBFBF" w:themeFill="background1" w:themeFillShade="BF"/>
            <w:noWrap/>
            <w:vAlign w:val="center"/>
            <w:hideMark/>
          </w:tcPr>
          <w:p w14:paraId="58A23D6D" w14:textId="50E7CC9A" w:rsidR="005848EA" w:rsidRPr="002A0524" w:rsidRDefault="005848EA" w:rsidP="00840CCD">
            <w:pPr>
              <w:spacing w:after="0"/>
              <w:jc w:val="center"/>
              <w:rPr>
                <w:rFonts w:asciiTheme="minorHAnsi" w:hAnsiTheme="minorHAnsi" w:cstheme="minorHAnsi"/>
                <w:b/>
                <w:bCs/>
                <w:sz w:val="20"/>
                <w:szCs w:val="20"/>
              </w:rPr>
            </w:pPr>
            <w:r w:rsidRPr="002A0524">
              <w:rPr>
                <w:rFonts w:asciiTheme="minorHAnsi" w:hAnsiTheme="minorHAnsi" w:cstheme="minorHAnsi"/>
                <w:b/>
                <w:bCs/>
                <w:sz w:val="20"/>
                <w:szCs w:val="20"/>
              </w:rPr>
              <w:t>Liczba jcwp</w:t>
            </w:r>
            <w:r w:rsidR="00E310D8">
              <w:rPr>
                <w:rFonts w:asciiTheme="minorHAnsi" w:hAnsiTheme="minorHAnsi" w:cstheme="minorHAnsi"/>
                <w:b/>
                <w:bCs/>
                <w:sz w:val="20"/>
                <w:szCs w:val="20"/>
              </w:rPr>
              <w:t xml:space="preserve"> LW</w:t>
            </w:r>
          </w:p>
        </w:tc>
        <w:tc>
          <w:tcPr>
            <w:tcW w:w="2121" w:type="dxa"/>
            <w:shd w:val="clear" w:color="auto" w:fill="BFBFBF" w:themeFill="background1" w:themeFillShade="BF"/>
            <w:noWrap/>
            <w:vAlign w:val="center"/>
            <w:hideMark/>
          </w:tcPr>
          <w:p w14:paraId="631B59A2" w14:textId="4EFAF723" w:rsidR="005848EA" w:rsidRPr="002A0524" w:rsidRDefault="005848EA" w:rsidP="00840CCD">
            <w:pPr>
              <w:spacing w:after="0"/>
              <w:jc w:val="center"/>
              <w:rPr>
                <w:rFonts w:asciiTheme="minorHAnsi" w:hAnsiTheme="minorHAnsi" w:cstheme="minorHAnsi"/>
                <w:b/>
                <w:bCs/>
                <w:sz w:val="20"/>
                <w:szCs w:val="20"/>
              </w:rPr>
            </w:pPr>
            <w:r>
              <w:rPr>
                <w:rFonts w:asciiTheme="minorHAnsi" w:hAnsiTheme="minorHAnsi" w:cstheme="minorHAnsi"/>
                <w:b/>
                <w:bCs/>
                <w:sz w:val="20"/>
                <w:szCs w:val="20"/>
              </w:rPr>
              <w:t xml:space="preserve">Udział </w:t>
            </w:r>
            <w:r w:rsidRPr="002A0524">
              <w:rPr>
                <w:rFonts w:asciiTheme="minorHAnsi" w:hAnsiTheme="minorHAnsi" w:cstheme="minorHAnsi"/>
                <w:b/>
                <w:bCs/>
                <w:sz w:val="20"/>
                <w:szCs w:val="20"/>
              </w:rPr>
              <w:t>jcwp</w:t>
            </w:r>
            <w:r w:rsidR="00024FDD">
              <w:rPr>
                <w:rFonts w:asciiTheme="minorHAnsi" w:hAnsiTheme="minorHAnsi" w:cstheme="minorHAnsi"/>
                <w:b/>
                <w:bCs/>
                <w:sz w:val="20"/>
                <w:szCs w:val="20"/>
              </w:rPr>
              <w:t xml:space="preserve"> </w:t>
            </w:r>
            <w:r>
              <w:rPr>
                <w:rFonts w:asciiTheme="minorHAnsi" w:hAnsiTheme="minorHAnsi" w:cstheme="minorHAnsi"/>
                <w:b/>
                <w:bCs/>
                <w:sz w:val="20"/>
                <w:szCs w:val="20"/>
              </w:rPr>
              <w:t>(%)</w:t>
            </w:r>
          </w:p>
        </w:tc>
      </w:tr>
      <w:tr w:rsidR="005848EA" w:rsidRPr="002A0524" w14:paraId="7BE27907" w14:textId="77777777" w:rsidTr="000F4C8C">
        <w:trPr>
          <w:trHeight w:val="425"/>
          <w:jc w:val="center"/>
        </w:trPr>
        <w:tc>
          <w:tcPr>
            <w:tcW w:w="9062" w:type="dxa"/>
            <w:gridSpan w:val="3"/>
            <w:shd w:val="clear" w:color="auto" w:fill="D9D9D9" w:themeFill="background1" w:themeFillShade="D9"/>
            <w:vAlign w:val="center"/>
            <w:hideMark/>
          </w:tcPr>
          <w:p w14:paraId="668E4B0F" w14:textId="77777777" w:rsidR="005848EA" w:rsidRPr="002A0524" w:rsidRDefault="005848EA" w:rsidP="00672B83">
            <w:pPr>
              <w:spacing w:before="0" w:after="0"/>
              <w:jc w:val="center"/>
              <w:rPr>
                <w:rFonts w:asciiTheme="minorHAnsi" w:hAnsiTheme="minorHAnsi" w:cstheme="minorHAnsi"/>
                <w:sz w:val="20"/>
                <w:szCs w:val="20"/>
              </w:rPr>
            </w:pPr>
            <w:r w:rsidRPr="002A0524">
              <w:rPr>
                <w:rFonts w:asciiTheme="minorHAnsi" w:hAnsiTheme="minorHAnsi" w:cstheme="minorHAnsi"/>
                <w:sz w:val="20"/>
                <w:szCs w:val="20"/>
              </w:rPr>
              <w:t>Zmiany legislacyjne (zmiana wartości granicznych klas)</w:t>
            </w:r>
          </w:p>
        </w:tc>
      </w:tr>
      <w:tr w:rsidR="00E13BC3" w:rsidRPr="002A0524" w14:paraId="32BA3741" w14:textId="77777777" w:rsidTr="00024FDD">
        <w:trPr>
          <w:trHeight w:val="425"/>
          <w:jc w:val="center"/>
        </w:trPr>
        <w:tc>
          <w:tcPr>
            <w:tcW w:w="4106" w:type="dxa"/>
            <w:noWrap/>
            <w:vAlign w:val="center"/>
            <w:hideMark/>
          </w:tcPr>
          <w:p w14:paraId="3A4A080A"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2835" w:type="dxa"/>
            <w:noWrap/>
            <w:vAlign w:val="center"/>
          </w:tcPr>
          <w:p w14:paraId="45234345" w14:textId="406DE2E9" w:rsidR="00E13BC3" w:rsidRPr="002A0524" w:rsidRDefault="00E13BC3" w:rsidP="00E13BC3">
            <w:pPr>
              <w:spacing w:after="0"/>
              <w:jc w:val="center"/>
              <w:rPr>
                <w:rFonts w:asciiTheme="minorHAnsi" w:hAnsiTheme="minorHAnsi" w:cstheme="minorHAnsi"/>
                <w:sz w:val="20"/>
                <w:szCs w:val="20"/>
              </w:rPr>
            </w:pPr>
            <w:r>
              <w:rPr>
                <w:rFonts w:cs="Calibri"/>
                <w:sz w:val="20"/>
                <w:szCs w:val="20"/>
              </w:rPr>
              <w:t>2</w:t>
            </w:r>
          </w:p>
        </w:tc>
        <w:tc>
          <w:tcPr>
            <w:tcW w:w="2121" w:type="dxa"/>
            <w:noWrap/>
            <w:vAlign w:val="center"/>
          </w:tcPr>
          <w:p w14:paraId="74D88D86" w14:textId="669DED9F" w:rsidR="00E13BC3" w:rsidRPr="002A0524" w:rsidRDefault="00E13BC3" w:rsidP="00E13BC3">
            <w:pPr>
              <w:spacing w:after="0"/>
              <w:jc w:val="center"/>
              <w:rPr>
                <w:rFonts w:asciiTheme="minorHAnsi" w:hAnsiTheme="minorHAnsi" w:cstheme="minorHAnsi"/>
                <w:sz w:val="20"/>
                <w:szCs w:val="20"/>
              </w:rPr>
            </w:pPr>
            <w:r>
              <w:rPr>
                <w:rFonts w:cs="Calibri"/>
                <w:sz w:val="20"/>
                <w:szCs w:val="20"/>
              </w:rPr>
              <w:t>1,9</w:t>
            </w:r>
          </w:p>
        </w:tc>
      </w:tr>
      <w:tr w:rsidR="00E13BC3" w:rsidRPr="002A0524" w14:paraId="0E9210FA" w14:textId="77777777" w:rsidTr="00024FDD">
        <w:trPr>
          <w:trHeight w:val="425"/>
          <w:jc w:val="center"/>
        </w:trPr>
        <w:tc>
          <w:tcPr>
            <w:tcW w:w="4106" w:type="dxa"/>
            <w:noWrap/>
            <w:vAlign w:val="center"/>
            <w:hideMark/>
          </w:tcPr>
          <w:p w14:paraId="2CE68FE8"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2835" w:type="dxa"/>
            <w:noWrap/>
            <w:vAlign w:val="center"/>
          </w:tcPr>
          <w:p w14:paraId="242B8236" w14:textId="6A5E429A" w:rsidR="00E13BC3" w:rsidRPr="002A0524" w:rsidRDefault="00E13BC3" w:rsidP="00E13BC3">
            <w:pPr>
              <w:spacing w:after="0"/>
              <w:jc w:val="center"/>
              <w:rPr>
                <w:rFonts w:asciiTheme="minorHAnsi" w:hAnsiTheme="minorHAnsi" w:cstheme="minorHAnsi"/>
                <w:sz w:val="20"/>
                <w:szCs w:val="20"/>
              </w:rPr>
            </w:pPr>
            <w:r>
              <w:rPr>
                <w:rFonts w:cs="Calibri"/>
                <w:sz w:val="20"/>
                <w:szCs w:val="20"/>
              </w:rPr>
              <w:t>0</w:t>
            </w:r>
          </w:p>
        </w:tc>
        <w:tc>
          <w:tcPr>
            <w:tcW w:w="2121" w:type="dxa"/>
            <w:noWrap/>
            <w:vAlign w:val="center"/>
          </w:tcPr>
          <w:p w14:paraId="342F1DAC" w14:textId="26B72975" w:rsidR="00E13BC3" w:rsidRPr="002A0524" w:rsidRDefault="00E13BC3" w:rsidP="00E13BC3">
            <w:pPr>
              <w:spacing w:after="0"/>
              <w:jc w:val="center"/>
              <w:rPr>
                <w:rFonts w:asciiTheme="minorHAnsi" w:hAnsiTheme="minorHAnsi" w:cstheme="minorHAnsi"/>
                <w:sz w:val="20"/>
                <w:szCs w:val="20"/>
              </w:rPr>
            </w:pPr>
            <w:r>
              <w:rPr>
                <w:rFonts w:cs="Calibri"/>
                <w:sz w:val="20"/>
                <w:szCs w:val="20"/>
              </w:rPr>
              <w:t>0,0</w:t>
            </w:r>
          </w:p>
        </w:tc>
      </w:tr>
      <w:tr w:rsidR="00E13BC3" w:rsidRPr="002A0524" w14:paraId="05F7058A" w14:textId="77777777" w:rsidTr="00024FDD">
        <w:trPr>
          <w:trHeight w:val="425"/>
          <w:jc w:val="center"/>
        </w:trPr>
        <w:tc>
          <w:tcPr>
            <w:tcW w:w="4106" w:type="dxa"/>
            <w:noWrap/>
            <w:vAlign w:val="center"/>
            <w:hideMark/>
          </w:tcPr>
          <w:p w14:paraId="14A1F0DC"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2835" w:type="dxa"/>
            <w:noWrap/>
            <w:vAlign w:val="center"/>
          </w:tcPr>
          <w:p w14:paraId="23A1D794" w14:textId="2CDAF71E" w:rsidR="00E13BC3" w:rsidRPr="002A0524" w:rsidRDefault="00E13BC3" w:rsidP="00E13BC3">
            <w:pPr>
              <w:spacing w:after="0"/>
              <w:jc w:val="center"/>
              <w:rPr>
                <w:rFonts w:asciiTheme="minorHAnsi" w:hAnsiTheme="minorHAnsi" w:cstheme="minorHAnsi"/>
                <w:sz w:val="20"/>
                <w:szCs w:val="20"/>
              </w:rPr>
            </w:pPr>
            <w:r>
              <w:rPr>
                <w:rFonts w:cs="Calibri"/>
                <w:sz w:val="20"/>
                <w:szCs w:val="20"/>
              </w:rPr>
              <w:t>2</w:t>
            </w:r>
          </w:p>
        </w:tc>
        <w:tc>
          <w:tcPr>
            <w:tcW w:w="2121" w:type="dxa"/>
            <w:noWrap/>
            <w:vAlign w:val="center"/>
          </w:tcPr>
          <w:p w14:paraId="12D81053" w14:textId="2B03FFE5" w:rsidR="00E13BC3" w:rsidRPr="002A0524" w:rsidRDefault="00E13BC3" w:rsidP="00E13BC3">
            <w:pPr>
              <w:spacing w:after="0"/>
              <w:jc w:val="center"/>
              <w:rPr>
                <w:rFonts w:asciiTheme="minorHAnsi" w:hAnsiTheme="minorHAnsi" w:cstheme="minorHAnsi"/>
                <w:sz w:val="20"/>
                <w:szCs w:val="20"/>
              </w:rPr>
            </w:pPr>
            <w:r>
              <w:rPr>
                <w:rFonts w:cs="Calibri"/>
                <w:sz w:val="20"/>
                <w:szCs w:val="20"/>
              </w:rPr>
              <w:t>1,9</w:t>
            </w:r>
          </w:p>
        </w:tc>
      </w:tr>
      <w:tr w:rsidR="005848EA" w:rsidRPr="002A0524" w14:paraId="34738F27" w14:textId="77777777" w:rsidTr="000F4C8C">
        <w:trPr>
          <w:trHeight w:val="425"/>
          <w:jc w:val="center"/>
        </w:trPr>
        <w:tc>
          <w:tcPr>
            <w:tcW w:w="9062" w:type="dxa"/>
            <w:gridSpan w:val="3"/>
            <w:shd w:val="clear" w:color="auto" w:fill="D9D9D9" w:themeFill="background1" w:themeFillShade="D9"/>
            <w:vAlign w:val="center"/>
            <w:hideMark/>
          </w:tcPr>
          <w:p w14:paraId="709C3A40" w14:textId="77777777" w:rsidR="005848EA" w:rsidRPr="00FB667F" w:rsidRDefault="005848EA" w:rsidP="00672B83">
            <w:pPr>
              <w:spacing w:before="0" w:after="0"/>
              <w:jc w:val="center"/>
              <w:rPr>
                <w:rFonts w:asciiTheme="minorHAnsi" w:hAnsiTheme="minorHAnsi" w:cstheme="minorHAnsi"/>
                <w:sz w:val="20"/>
                <w:szCs w:val="20"/>
              </w:rPr>
            </w:pPr>
            <w:r>
              <w:rPr>
                <w:rFonts w:eastAsia="Times New Roman" w:cs="Calibri"/>
                <w:color w:val="000000" w:themeColor="text1"/>
                <w:sz w:val="20"/>
                <w:szCs w:val="20"/>
                <w:lang w:eastAsia="pl-PL"/>
              </w:rPr>
              <w:t>Zmiana zakresu monitoringu</w:t>
            </w:r>
          </w:p>
        </w:tc>
      </w:tr>
      <w:tr w:rsidR="00E13BC3" w:rsidRPr="002A0524" w14:paraId="2DE807E3" w14:textId="77777777" w:rsidTr="00024FDD">
        <w:trPr>
          <w:trHeight w:val="425"/>
          <w:jc w:val="center"/>
        </w:trPr>
        <w:tc>
          <w:tcPr>
            <w:tcW w:w="4106" w:type="dxa"/>
            <w:noWrap/>
            <w:vAlign w:val="center"/>
            <w:hideMark/>
          </w:tcPr>
          <w:p w14:paraId="5047A635"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2835" w:type="dxa"/>
            <w:noWrap/>
            <w:vAlign w:val="center"/>
          </w:tcPr>
          <w:p w14:paraId="67C00D54" w14:textId="0F7CA15D" w:rsidR="00E13BC3" w:rsidRPr="002A0524" w:rsidRDefault="00E13BC3" w:rsidP="00E13BC3">
            <w:pPr>
              <w:spacing w:after="0"/>
              <w:jc w:val="center"/>
              <w:rPr>
                <w:rFonts w:asciiTheme="minorHAnsi" w:hAnsiTheme="minorHAnsi" w:cstheme="minorHAnsi"/>
                <w:sz w:val="20"/>
                <w:szCs w:val="20"/>
              </w:rPr>
            </w:pPr>
            <w:r>
              <w:rPr>
                <w:rFonts w:cs="Calibri"/>
                <w:sz w:val="20"/>
                <w:szCs w:val="20"/>
              </w:rPr>
              <w:t>13</w:t>
            </w:r>
          </w:p>
        </w:tc>
        <w:tc>
          <w:tcPr>
            <w:tcW w:w="2121" w:type="dxa"/>
            <w:vAlign w:val="center"/>
          </w:tcPr>
          <w:p w14:paraId="4DCC33B2" w14:textId="3456E8DF" w:rsidR="00E13BC3" w:rsidRPr="002A0524" w:rsidRDefault="00E13BC3" w:rsidP="00E13BC3">
            <w:pPr>
              <w:spacing w:after="0"/>
              <w:jc w:val="center"/>
              <w:rPr>
                <w:rFonts w:asciiTheme="minorHAnsi" w:hAnsiTheme="minorHAnsi" w:cstheme="minorHAnsi"/>
                <w:sz w:val="20"/>
                <w:szCs w:val="20"/>
              </w:rPr>
            </w:pPr>
            <w:r>
              <w:rPr>
                <w:rFonts w:cs="Calibri"/>
                <w:sz w:val="20"/>
                <w:szCs w:val="20"/>
              </w:rPr>
              <w:t>12,4</w:t>
            </w:r>
          </w:p>
        </w:tc>
      </w:tr>
      <w:tr w:rsidR="00E13BC3" w:rsidRPr="002A0524" w14:paraId="0FB7236B" w14:textId="77777777" w:rsidTr="00024FDD">
        <w:trPr>
          <w:trHeight w:val="425"/>
          <w:jc w:val="center"/>
        </w:trPr>
        <w:tc>
          <w:tcPr>
            <w:tcW w:w="4106" w:type="dxa"/>
            <w:noWrap/>
            <w:vAlign w:val="center"/>
            <w:hideMark/>
          </w:tcPr>
          <w:p w14:paraId="3983493C"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2835" w:type="dxa"/>
            <w:noWrap/>
            <w:vAlign w:val="center"/>
          </w:tcPr>
          <w:p w14:paraId="7C9D5E5B" w14:textId="331C92EB" w:rsidR="00E13BC3" w:rsidRPr="002A0524" w:rsidRDefault="00E13BC3" w:rsidP="00E13BC3">
            <w:pPr>
              <w:spacing w:after="0"/>
              <w:jc w:val="center"/>
              <w:rPr>
                <w:rFonts w:asciiTheme="minorHAnsi" w:hAnsiTheme="minorHAnsi" w:cstheme="minorHAnsi"/>
                <w:sz w:val="20"/>
                <w:szCs w:val="20"/>
              </w:rPr>
            </w:pPr>
            <w:r>
              <w:rPr>
                <w:rFonts w:cs="Calibri"/>
                <w:sz w:val="20"/>
                <w:szCs w:val="20"/>
              </w:rPr>
              <w:t>0</w:t>
            </w:r>
          </w:p>
        </w:tc>
        <w:tc>
          <w:tcPr>
            <w:tcW w:w="2121" w:type="dxa"/>
            <w:vAlign w:val="center"/>
          </w:tcPr>
          <w:p w14:paraId="3C39C7EA" w14:textId="458EB52F" w:rsidR="00E13BC3" w:rsidRPr="002A0524" w:rsidRDefault="00E13BC3" w:rsidP="00E13BC3">
            <w:pPr>
              <w:spacing w:after="0"/>
              <w:jc w:val="center"/>
              <w:rPr>
                <w:rFonts w:asciiTheme="minorHAnsi" w:hAnsiTheme="minorHAnsi" w:cstheme="minorHAnsi"/>
                <w:sz w:val="20"/>
                <w:szCs w:val="20"/>
              </w:rPr>
            </w:pPr>
            <w:r>
              <w:rPr>
                <w:rFonts w:cs="Calibri"/>
                <w:sz w:val="20"/>
                <w:szCs w:val="20"/>
              </w:rPr>
              <w:t>0,0</w:t>
            </w:r>
          </w:p>
        </w:tc>
      </w:tr>
      <w:tr w:rsidR="00E13BC3" w:rsidRPr="002A0524" w14:paraId="4CA57EF5" w14:textId="77777777" w:rsidTr="00024FDD">
        <w:trPr>
          <w:trHeight w:val="425"/>
          <w:jc w:val="center"/>
        </w:trPr>
        <w:tc>
          <w:tcPr>
            <w:tcW w:w="4106" w:type="dxa"/>
            <w:noWrap/>
            <w:vAlign w:val="center"/>
            <w:hideMark/>
          </w:tcPr>
          <w:p w14:paraId="7FD67751"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2835" w:type="dxa"/>
            <w:noWrap/>
            <w:vAlign w:val="center"/>
          </w:tcPr>
          <w:p w14:paraId="61AC4826" w14:textId="6B4A7885" w:rsidR="00E13BC3" w:rsidRPr="002A0524" w:rsidRDefault="00E13BC3" w:rsidP="00E13BC3">
            <w:pPr>
              <w:spacing w:after="0"/>
              <w:jc w:val="center"/>
              <w:rPr>
                <w:rFonts w:asciiTheme="minorHAnsi" w:hAnsiTheme="minorHAnsi" w:cstheme="minorHAnsi"/>
                <w:sz w:val="20"/>
                <w:szCs w:val="20"/>
              </w:rPr>
            </w:pPr>
            <w:r>
              <w:rPr>
                <w:rFonts w:cs="Calibri"/>
                <w:sz w:val="20"/>
                <w:szCs w:val="20"/>
              </w:rPr>
              <w:t>13</w:t>
            </w:r>
          </w:p>
        </w:tc>
        <w:tc>
          <w:tcPr>
            <w:tcW w:w="2121" w:type="dxa"/>
            <w:vAlign w:val="center"/>
          </w:tcPr>
          <w:p w14:paraId="2958BF09" w14:textId="163413D4" w:rsidR="00E13BC3" w:rsidRPr="002A0524" w:rsidRDefault="00E13BC3" w:rsidP="00E13BC3">
            <w:pPr>
              <w:spacing w:after="0"/>
              <w:jc w:val="center"/>
              <w:rPr>
                <w:rFonts w:asciiTheme="minorHAnsi" w:hAnsiTheme="minorHAnsi" w:cstheme="minorHAnsi"/>
                <w:sz w:val="20"/>
                <w:szCs w:val="20"/>
              </w:rPr>
            </w:pPr>
            <w:r>
              <w:rPr>
                <w:rFonts w:cs="Calibri"/>
                <w:sz w:val="20"/>
                <w:szCs w:val="20"/>
              </w:rPr>
              <w:t>12,4</w:t>
            </w:r>
          </w:p>
        </w:tc>
      </w:tr>
      <w:tr w:rsidR="00E13BC3" w:rsidRPr="002A0524" w14:paraId="339044A5" w14:textId="77777777" w:rsidTr="000F4C8C">
        <w:trPr>
          <w:trHeight w:val="425"/>
          <w:jc w:val="center"/>
        </w:trPr>
        <w:tc>
          <w:tcPr>
            <w:tcW w:w="9062" w:type="dxa"/>
            <w:gridSpan w:val="3"/>
            <w:shd w:val="clear" w:color="auto" w:fill="D9D9D9" w:themeFill="background1" w:themeFillShade="D9"/>
            <w:vAlign w:val="center"/>
            <w:hideMark/>
          </w:tcPr>
          <w:p w14:paraId="040449CF" w14:textId="2FFAFD12" w:rsidR="00E13BC3" w:rsidRPr="002A0524" w:rsidRDefault="00E13BC3" w:rsidP="00E13BC3">
            <w:pPr>
              <w:spacing w:after="0"/>
              <w:jc w:val="center"/>
              <w:rPr>
                <w:rFonts w:asciiTheme="minorHAnsi" w:hAnsiTheme="minorHAnsi" w:cstheme="minorHAnsi"/>
                <w:sz w:val="20"/>
                <w:szCs w:val="20"/>
              </w:rPr>
            </w:pPr>
            <w:r>
              <w:rPr>
                <w:rFonts w:eastAsia="Times New Roman" w:cs="Calibri"/>
                <w:color w:val="000000"/>
                <w:sz w:val="20"/>
                <w:szCs w:val="20"/>
                <w:lang w:eastAsia="pl-PL"/>
              </w:rPr>
              <w:t>Dalsze występowanie presji (niski stopień realizacji lub skuteczności działań z aPWŚK)</w:t>
            </w:r>
          </w:p>
        </w:tc>
      </w:tr>
      <w:tr w:rsidR="00E13BC3" w:rsidRPr="002A0524" w14:paraId="6E758140" w14:textId="77777777" w:rsidTr="00024FDD">
        <w:trPr>
          <w:trHeight w:val="425"/>
          <w:jc w:val="center"/>
        </w:trPr>
        <w:tc>
          <w:tcPr>
            <w:tcW w:w="4106" w:type="dxa"/>
            <w:noWrap/>
            <w:vAlign w:val="center"/>
            <w:hideMark/>
          </w:tcPr>
          <w:p w14:paraId="40A63B7E"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Analizowana przyczyna łącznie</w:t>
            </w:r>
          </w:p>
        </w:tc>
        <w:tc>
          <w:tcPr>
            <w:tcW w:w="2835" w:type="dxa"/>
            <w:noWrap/>
            <w:vAlign w:val="center"/>
          </w:tcPr>
          <w:p w14:paraId="44452A8A" w14:textId="7CA369CB" w:rsidR="00E13BC3" w:rsidRPr="002A0524" w:rsidRDefault="00E13BC3" w:rsidP="00E13BC3">
            <w:pPr>
              <w:spacing w:after="0"/>
              <w:jc w:val="center"/>
              <w:rPr>
                <w:rFonts w:asciiTheme="minorHAnsi" w:hAnsiTheme="minorHAnsi" w:cstheme="minorHAnsi"/>
                <w:sz w:val="20"/>
                <w:szCs w:val="20"/>
              </w:rPr>
            </w:pPr>
            <w:r>
              <w:rPr>
                <w:rFonts w:cs="Calibri"/>
                <w:sz w:val="20"/>
                <w:szCs w:val="20"/>
              </w:rPr>
              <w:t>11</w:t>
            </w:r>
          </w:p>
        </w:tc>
        <w:tc>
          <w:tcPr>
            <w:tcW w:w="2121" w:type="dxa"/>
            <w:vAlign w:val="center"/>
          </w:tcPr>
          <w:p w14:paraId="2C7DBAD6" w14:textId="40F6CB44" w:rsidR="00E13BC3" w:rsidRPr="002A0524" w:rsidRDefault="00E13BC3" w:rsidP="00E13BC3">
            <w:pPr>
              <w:spacing w:after="0"/>
              <w:jc w:val="center"/>
              <w:rPr>
                <w:rFonts w:asciiTheme="minorHAnsi" w:hAnsiTheme="minorHAnsi" w:cstheme="minorHAnsi"/>
                <w:sz w:val="20"/>
                <w:szCs w:val="20"/>
              </w:rPr>
            </w:pPr>
            <w:r>
              <w:rPr>
                <w:rFonts w:cs="Calibri"/>
                <w:sz w:val="20"/>
                <w:szCs w:val="20"/>
              </w:rPr>
              <w:t>10,5</w:t>
            </w:r>
          </w:p>
        </w:tc>
      </w:tr>
      <w:tr w:rsidR="00E13BC3" w:rsidRPr="002A0524" w14:paraId="3BF66B50" w14:textId="77777777" w:rsidTr="00024FDD">
        <w:trPr>
          <w:trHeight w:val="425"/>
          <w:jc w:val="center"/>
        </w:trPr>
        <w:tc>
          <w:tcPr>
            <w:tcW w:w="4106" w:type="dxa"/>
            <w:noWrap/>
            <w:vAlign w:val="center"/>
            <w:hideMark/>
          </w:tcPr>
          <w:p w14:paraId="2CEC6877"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2835" w:type="dxa"/>
            <w:noWrap/>
            <w:vAlign w:val="center"/>
          </w:tcPr>
          <w:p w14:paraId="04706C95" w14:textId="0A023B44" w:rsidR="00E13BC3" w:rsidRPr="002A0524" w:rsidRDefault="00E13BC3" w:rsidP="00E13BC3">
            <w:pPr>
              <w:spacing w:after="0"/>
              <w:jc w:val="center"/>
              <w:rPr>
                <w:rFonts w:asciiTheme="minorHAnsi" w:hAnsiTheme="minorHAnsi" w:cstheme="minorHAnsi"/>
                <w:sz w:val="20"/>
                <w:szCs w:val="20"/>
              </w:rPr>
            </w:pPr>
            <w:r>
              <w:rPr>
                <w:rFonts w:cs="Calibri"/>
                <w:sz w:val="20"/>
                <w:szCs w:val="20"/>
              </w:rPr>
              <w:t>0</w:t>
            </w:r>
          </w:p>
        </w:tc>
        <w:tc>
          <w:tcPr>
            <w:tcW w:w="2121" w:type="dxa"/>
            <w:vAlign w:val="center"/>
          </w:tcPr>
          <w:p w14:paraId="68025150" w14:textId="5D414C41" w:rsidR="00E13BC3" w:rsidRPr="002A0524" w:rsidRDefault="00E13BC3" w:rsidP="00E13BC3">
            <w:pPr>
              <w:spacing w:after="0"/>
              <w:jc w:val="center"/>
              <w:rPr>
                <w:rFonts w:asciiTheme="minorHAnsi" w:hAnsiTheme="minorHAnsi" w:cstheme="minorHAnsi"/>
                <w:sz w:val="20"/>
                <w:szCs w:val="20"/>
              </w:rPr>
            </w:pPr>
            <w:r>
              <w:rPr>
                <w:rFonts w:cs="Calibri"/>
                <w:sz w:val="20"/>
                <w:szCs w:val="20"/>
              </w:rPr>
              <w:t>0,0</w:t>
            </w:r>
          </w:p>
        </w:tc>
      </w:tr>
      <w:tr w:rsidR="00E13BC3" w:rsidRPr="002A0524" w14:paraId="60911353" w14:textId="77777777" w:rsidTr="00024FDD">
        <w:trPr>
          <w:trHeight w:val="425"/>
          <w:jc w:val="center"/>
        </w:trPr>
        <w:tc>
          <w:tcPr>
            <w:tcW w:w="4106" w:type="dxa"/>
            <w:noWrap/>
            <w:vAlign w:val="center"/>
            <w:hideMark/>
          </w:tcPr>
          <w:p w14:paraId="777FC290"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2835" w:type="dxa"/>
            <w:noWrap/>
            <w:vAlign w:val="center"/>
          </w:tcPr>
          <w:p w14:paraId="7B57FABB" w14:textId="7014C42E" w:rsidR="00E13BC3" w:rsidRPr="002A0524" w:rsidRDefault="00E13BC3" w:rsidP="00E13BC3">
            <w:pPr>
              <w:spacing w:after="0"/>
              <w:jc w:val="center"/>
              <w:rPr>
                <w:rFonts w:asciiTheme="minorHAnsi" w:hAnsiTheme="minorHAnsi" w:cstheme="minorHAnsi"/>
                <w:sz w:val="20"/>
                <w:szCs w:val="20"/>
              </w:rPr>
            </w:pPr>
            <w:r>
              <w:rPr>
                <w:rFonts w:cs="Calibri"/>
                <w:sz w:val="20"/>
                <w:szCs w:val="20"/>
              </w:rPr>
              <w:t>11</w:t>
            </w:r>
          </w:p>
        </w:tc>
        <w:tc>
          <w:tcPr>
            <w:tcW w:w="2121" w:type="dxa"/>
            <w:vAlign w:val="center"/>
          </w:tcPr>
          <w:p w14:paraId="793AD1D7" w14:textId="719AB059" w:rsidR="00E13BC3" w:rsidRPr="002A0524" w:rsidRDefault="00E13BC3" w:rsidP="00E13BC3">
            <w:pPr>
              <w:spacing w:after="0"/>
              <w:jc w:val="center"/>
              <w:rPr>
                <w:rFonts w:asciiTheme="minorHAnsi" w:hAnsiTheme="minorHAnsi" w:cstheme="minorHAnsi"/>
                <w:sz w:val="20"/>
                <w:szCs w:val="20"/>
              </w:rPr>
            </w:pPr>
            <w:r>
              <w:rPr>
                <w:rFonts w:cs="Calibri"/>
                <w:sz w:val="20"/>
                <w:szCs w:val="20"/>
              </w:rPr>
              <w:t>10,5</w:t>
            </w:r>
          </w:p>
        </w:tc>
      </w:tr>
      <w:tr w:rsidR="005848EA" w:rsidRPr="002A0524" w14:paraId="4F46C503" w14:textId="77777777" w:rsidTr="000F4C8C">
        <w:trPr>
          <w:trHeight w:val="425"/>
          <w:jc w:val="center"/>
        </w:trPr>
        <w:tc>
          <w:tcPr>
            <w:tcW w:w="9062" w:type="dxa"/>
            <w:gridSpan w:val="3"/>
            <w:shd w:val="clear" w:color="auto" w:fill="D9D9D9" w:themeFill="background1" w:themeFillShade="D9"/>
            <w:noWrap/>
            <w:vAlign w:val="center"/>
            <w:hideMark/>
          </w:tcPr>
          <w:p w14:paraId="389F387C" w14:textId="77777777" w:rsidR="005848EA" w:rsidRPr="002A0524" w:rsidRDefault="005848EA" w:rsidP="00840CCD">
            <w:pPr>
              <w:spacing w:after="0"/>
              <w:jc w:val="center"/>
              <w:rPr>
                <w:rFonts w:asciiTheme="minorHAnsi" w:hAnsiTheme="minorHAnsi" w:cstheme="minorHAnsi"/>
                <w:sz w:val="20"/>
                <w:szCs w:val="20"/>
              </w:rPr>
            </w:pPr>
            <w:r w:rsidRPr="002A0524">
              <w:rPr>
                <w:rFonts w:asciiTheme="minorHAnsi" w:hAnsiTheme="minorHAnsi" w:cstheme="minorHAnsi"/>
                <w:sz w:val="20"/>
                <w:szCs w:val="20"/>
              </w:rPr>
              <w:t xml:space="preserve">Uwarunkowania </w:t>
            </w:r>
            <w:r>
              <w:rPr>
                <w:rFonts w:asciiTheme="minorHAnsi" w:hAnsiTheme="minorHAnsi" w:cstheme="minorHAnsi"/>
                <w:sz w:val="20"/>
                <w:szCs w:val="20"/>
              </w:rPr>
              <w:t>zlewni</w:t>
            </w:r>
            <w:r w:rsidRPr="002A0524">
              <w:rPr>
                <w:rFonts w:asciiTheme="minorHAnsi" w:hAnsiTheme="minorHAnsi" w:cstheme="minorHAnsi"/>
                <w:sz w:val="20"/>
                <w:szCs w:val="20"/>
              </w:rPr>
              <w:t xml:space="preserve"> (dopływ zanieczyszczeń z innego jcwp, niski potencjał sorpcyjny jcwp)</w:t>
            </w:r>
          </w:p>
        </w:tc>
      </w:tr>
      <w:tr w:rsidR="00E13BC3" w:rsidRPr="002A0524" w14:paraId="434CFACC" w14:textId="77777777" w:rsidTr="00024FDD">
        <w:trPr>
          <w:trHeight w:val="425"/>
          <w:jc w:val="center"/>
        </w:trPr>
        <w:tc>
          <w:tcPr>
            <w:tcW w:w="4106" w:type="dxa"/>
            <w:noWrap/>
            <w:vAlign w:val="center"/>
            <w:hideMark/>
          </w:tcPr>
          <w:p w14:paraId="6900E75E" w14:textId="77777777" w:rsidR="00E13BC3" w:rsidRPr="002A0524" w:rsidRDefault="00E13BC3" w:rsidP="00E13BC3">
            <w:pPr>
              <w:spacing w:after="0"/>
              <w:jc w:val="left"/>
              <w:rPr>
                <w:rFonts w:asciiTheme="minorHAnsi" w:hAnsiTheme="minorHAnsi" w:cstheme="minorHAnsi"/>
                <w:b/>
                <w:bCs/>
                <w:sz w:val="20"/>
                <w:szCs w:val="20"/>
              </w:rPr>
            </w:pPr>
            <w:r w:rsidRPr="002A0524">
              <w:rPr>
                <w:rFonts w:asciiTheme="minorHAnsi" w:hAnsiTheme="minorHAnsi" w:cstheme="minorHAnsi"/>
                <w:sz w:val="20"/>
                <w:szCs w:val="20"/>
              </w:rPr>
              <w:t>Analizowana przyczyna łącznie</w:t>
            </w:r>
          </w:p>
        </w:tc>
        <w:tc>
          <w:tcPr>
            <w:tcW w:w="2835" w:type="dxa"/>
            <w:noWrap/>
            <w:vAlign w:val="center"/>
          </w:tcPr>
          <w:p w14:paraId="62B8F4D6" w14:textId="2655B2B5" w:rsidR="00E13BC3" w:rsidRPr="002A0524" w:rsidRDefault="00E13BC3" w:rsidP="00E13BC3">
            <w:pPr>
              <w:spacing w:after="0"/>
              <w:jc w:val="center"/>
              <w:rPr>
                <w:rFonts w:asciiTheme="minorHAnsi" w:hAnsiTheme="minorHAnsi" w:cstheme="minorHAnsi"/>
                <w:sz w:val="20"/>
                <w:szCs w:val="20"/>
              </w:rPr>
            </w:pPr>
            <w:r>
              <w:rPr>
                <w:rFonts w:cs="Calibri"/>
                <w:sz w:val="20"/>
                <w:szCs w:val="20"/>
              </w:rPr>
              <w:t>5</w:t>
            </w:r>
          </w:p>
        </w:tc>
        <w:tc>
          <w:tcPr>
            <w:tcW w:w="2121" w:type="dxa"/>
            <w:vAlign w:val="center"/>
          </w:tcPr>
          <w:p w14:paraId="6C95A0F6" w14:textId="1323D1F6" w:rsidR="00E13BC3" w:rsidRPr="002A0524" w:rsidRDefault="00E13BC3" w:rsidP="00E13BC3">
            <w:pPr>
              <w:spacing w:after="0"/>
              <w:jc w:val="center"/>
              <w:rPr>
                <w:rFonts w:asciiTheme="minorHAnsi" w:hAnsiTheme="minorHAnsi" w:cstheme="minorHAnsi"/>
                <w:sz w:val="20"/>
                <w:szCs w:val="20"/>
              </w:rPr>
            </w:pPr>
            <w:r>
              <w:rPr>
                <w:rFonts w:cs="Calibri"/>
                <w:sz w:val="20"/>
                <w:szCs w:val="20"/>
              </w:rPr>
              <w:t>4,8</w:t>
            </w:r>
          </w:p>
        </w:tc>
      </w:tr>
      <w:tr w:rsidR="00E13BC3" w:rsidRPr="002A0524" w14:paraId="48D45063" w14:textId="77777777" w:rsidTr="00024FDD">
        <w:trPr>
          <w:trHeight w:val="425"/>
          <w:jc w:val="center"/>
        </w:trPr>
        <w:tc>
          <w:tcPr>
            <w:tcW w:w="4106" w:type="dxa"/>
            <w:noWrap/>
            <w:vAlign w:val="center"/>
            <w:hideMark/>
          </w:tcPr>
          <w:p w14:paraId="7B3E40A4"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2835" w:type="dxa"/>
            <w:noWrap/>
            <w:vAlign w:val="center"/>
          </w:tcPr>
          <w:p w14:paraId="1E42E04C" w14:textId="430B2A53" w:rsidR="00E13BC3" w:rsidRPr="002A0524" w:rsidRDefault="00E13BC3" w:rsidP="00E13BC3">
            <w:pPr>
              <w:spacing w:after="0"/>
              <w:jc w:val="center"/>
              <w:rPr>
                <w:rFonts w:asciiTheme="minorHAnsi" w:hAnsiTheme="minorHAnsi" w:cstheme="minorHAnsi"/>
                <w:sz w:val="20"/>
                <w:szCs w:val="20"/>
              </w:rPr>
            </w:pPr>
            <w:r>
              <w:rPr>
                <w:rFonts w:cs="Calibri"/>
                <w:sz w:val="20"/>
                <w:szCs w:val="20"/>
              </w:rPr>
              <w:t>0</w:t>
            </w:r>
          </w:p>
        </w:tc>
        <w:tc>
          <w:tcPr>
            <w:tcW w:w="2121" w:type="dxa"/>
            <w:vAlign w:val="center"/>
          </w:tcPr>
          <w:p w14:paraId="06A37BE2" w14:textId="6C93DA38" w:rsidR="00E13BC3" w:rsidRPr="002A0524" w:rsidRDefault="00E13BC3" w:rsidP="00E13BC3">
            <w:pPr>
              <w:spacing w:after="0"/>
              <w:jc w:val="center"/>
              <w:rPr>
                <w:rFonts w:asciiTheme="minorHAnsi" w:hAnsiTheme="minorHAnsi" w:cstheme="minorHAnsi"/>
                <w:sz w:val="20"/>
                <w:szCs w:val="20"/>
              </w:rPr>
            </w:pPr>
            <w:r>
              <w:rPr>
                <w:rFonts w:cs="Calibri"/>
                <w:sz w:val="20"/>
                <w:szCs w:val="20"/>
              </w:rPr>
              <w:t>0,0</w:t>
            </w:r>
          </w:p>
        </w:tc>
      </w:tr>
      <w:tr w:rsidR="00E13BC3" w:rsidRPr="002A0524" w14:paraId="2EAA1663" w14:textId="77777777" w:rsidTr="00024FDD">
        <w:trPr>
          <w:trHeight w:val="425"/>
          <w:jc w:val="center"/>
        </w:trPr>
        <w:tc>
          <w:tcPr>
            <w:tcW w:w="4106" w:type="dxa"/>
            <w:noWrap/>
            <w:vAlign w:val="center"/>
            <w:hideMark/>
          </w:tcPr>
          <w:p w14:paraId="141CC427"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2835" w:type="dxa"/>
            <w:noWrap/>
            <w:vAlign w:val="center"/>
          </w:tcPr>
          <w:p w14:paraId="2E9DCC02" w14:textId="2957B22E" w:rsidR="00E13BC3" w:rsidRPr="002A0524" w:rsidRDefault="00E13BC3" w:rsidP="00E13BC3">
            <w:pPr>
              <w:spacing w:after="0"/>
              <w:jc w:val="center"/>
              <w:rPr>
                <w:rFonts w:asciiTheme="minorHAnsi" w:hAnsiTheme="minorHAnsi" w:cstheme="minorHAnsi"/>
                <w:sz w:val="20"/>
                <w:szCs w:val="20"/>
              </w:rPr>
            </w:pPr>
            <w:r>
              <w:rPr>
                <w:rFonts w:cs="Calibri"/>
                <w:sz w:val="20"/>
                <w:szCs w:val="20"/>
              </w:rPr>
              <w:t>5</w:t>
            </w:r>
          </w:p>
        </w:tc>
        <w:tc>
          <w:tcPr>
            <w:tcW w:w="2121" w:type="dxa"/>
            <w:vAlign w:val="center"/>
          </w:tcPr>
          <w:p w14:paraId="76A83945" w14:textId="6205F80C" w:rsidR="00E13BC3" w:rsidRPr="002A0524" w:rsidRDefault="00E13BC3" w:rsidP="00E13BC3">
            <w:pPr>
              <w:spacing w:after="0"/>
              <w:jc w:val="center"/>
              <w:rPr>
                <w:rFonts w:asciiTheme="minorHAnsi" w:hAnsiTheme="minorHAnsi" w:cstheme="minorHAnsi"/>
                <w:sz w:val="20"/>
                <w:szCs w:val="20"/>
              </w:rPr>
            </w:pPr>
            <w:r>
              <w:rPr>
                <w:rFonts w:cs="Calibri"/>
                <w:sz w:val="20"/>
                <w:szCs w:val="20"/>
              </w:rPr>
              <w:t>4,8</w:t>
            </w:r>
          </w:p>
        </w:tc>
      </w:tr>
      <w:tr w:rsidR="005848EA" w:rsidRPr="002A0524" w14:paraId="2C09B708" w14:textId="77777777" w:rsidTr="000F4C8C">
        <w:trPr>
          <w:trHeight w:val="425"/>
          <w:jc w:val="center"/>
        </w:trPr>
        <w:tc>
          <w:tcPr>
            <w:tcW w:w="9062" w:type="dxa"/>
            <w:gridSpan w:val="3"/>
            <w:shd w:val="clear" w:color="auto" w:fill="D9D9D9" w:themeFill="background1" w:themeFillShade="D9"/>
            <w:noWrap/>
            <w:vAlign w:val="center"/>
            <w:hideMark/>
          </w:tcPr>
          <w:p w14:paraId="4E29936E" w14:textId="77777777" w:rsidR="005848EA" w:rsidRPr="002A0524" w:rsidRDefault="005848EA" w:rsidP="00840CCD">
            <w:pPr>
              <w:spacing w:after="0"/>
              <w:jc w:val="center"/>
              <w:rPr>
                <w:rFonts w:asciiTheme="minorHAnsi" w:hAnsiTheme="minorHAnsi" w:cstheme="minorHAnsi"/>
                <w:sz w:val="20"/>
                <w:szCs w:val="20"/>
              </w:rPr>
            </w:pPr>
            <w:r w:rsidRPr="002A0524">
              <w:rPr>
                <w:rFonts w:asciiTheme="minorHAnsi" w:hAnsiTheme="minorHAnsi" w:cstheme="minorHAnsi"/>
                <w:sz w:val="20"/>
                <w:szCs w:val="20"/>
              </w:rPr>
              <w:t>Inne (w tym działania niewystarczające do obniżenia presji w jednym cyklu planistycznym)</w:t>
            </w:r>
          </w:p>
        </w:tc>
      </w:tr>
      <w:tr w:rsidR="00E13BC3" w:rsidRPr="002A0524" w14:paraId="38FD25A6" w14:textId="77777777" w:rsidTr="00024FDD">
        <w:trPr>
          <w:trHeight w:val="425"/>
          <w:jc w:val="center"/>
        </w:trPr>
        <w:tc>
          <w:tcPr>
            <w:tcW w:w="4106" w:type="dxa"/>
            <w:noWrap/>
            <w:vAlign w:val="center"/>
            <w:hideMark/>
          </w:tcPr>
          <w:p w14:paraId="0BBF801B" w14:textId="77777777" w:rsidR="00E13BC3" w:rsidRPr="002A0524" w:rsidRDefault="00E13BC3" w:rsidP="00E13BC3">
            <w:pPr>
              <w:spacing w:after="0"/>
              <w:jc w:val="left"/>
              <w:rPr>
                <w:rFonts w:asciiTheme="minorHAnsi" w:hAnsiTheme="minorHAnsi" w:cstheme="minorHAnsi"/>
                <w:b/>
                <w:bCs/>
                <w:sz w:val="20"/>
                <w:szCs w:val="20"/>
              </w:rPr>
            </w:pPr>
            <w:r w:rsidRPr="002A0524">
              <w:rPr>
                <w:rFonts w:asciiTheme="minorHAnsi" w:hAnsiTheme="minorHAnsi" w:cstheme="minorHAnsi"/>
                <w:sz w:val="20"/>
                <w:szCs w:val="20"/>
              </w:rPr>
              <w:t>Analizowana przyczyna łącznie</w:t>
            </w:r>
          </w:p>
        </w:tc>
        <w:tc>
          <w:tcPr>
            <w:tcW w:w="2835" w:type="dxa"/>
            <w:noWrap/>
            <w:vAlign w:val="center"/>
          </w:tcPr>
          <w:p w14:paraId="4CA24940" w14:textId="3868031D" w:rsidR="00E13BC3" w:rsidRPr="002A0524" w:rsidRDefault="00E13BC3" w:rsidP="00E13BC3">
            <w:pPr>
              <w:spacing w:after="0"/>
              <w:jc w:val="center"/>
              <w:rPr>
                <w:rFonts w:asciiTheme="minorHAnsi" w:hAnsiTheme="minorHAnsi" w:cstheme="minorHAnsi"/>
                <w:sz w:val="20"/>
                <w:szCs w:val="20"/>
              </w:rPr>
            </w:pPr>
            <w:r>
              <w:rPr>
                <w:rFonts w:cs="Calibri"/>
                <w:sz w:val="20"/>
                <w:szCs w:val="20"/>
              </w:rPr>
              <w:t>2</w:t>
            </w:r>
          </w:p>
        </w:tc>
        <w:tc>
          <w:tcPr>
            <w:tcW w:w="2121" w:type="dxa"/>
            <w:vAlign w:val="center"/>
          </w:tcPr>
          <w:p w14:paraId="08E0F3FF" w14:textId="4F7C6FFA" w:rsidR="00E13BC3" w:rsidRPr="002A0524" w:rsidRDefault="00E13BC3" w:rsidP="00E13BC3">
            <w:pPr>
              <w:spacing w:after="0"/>
              <w:jc w:val="center"/>
              <w:rPr>
                <w:rFonts w:asciiTheme="minorHAnsi" w:hAnsiTheme="minorHAnsi" w:cstheme="minorHAnsi"/>
                <w:sz w:val="20"/>
                <w:szCs w:val="20"/>
              </w:rPr>
            </w:pPr>
            <w:r>
              <w:rPr>
                <w:rFonts w:cs="Calibri"/>
                <w:sz w:val="20"/>
                <w:szCs w:val="20"/>
              </w:rPr>
              <w:t>1,9</w:t>
            </w:r>
          </w:p>
        </w:tc>
      </w:tr>
      <w:tr w:rsidR="00E13BC3" w:rsidRPr="002A0524" w14:paraId="79CB5AEA" w14:textId="77777777" w:rsidTr="00024FDD">
        <w:trPr>
          <w:trHeight w:val="425"/>
          <w:jc w:val="center"/>
        </w:trPr>
        <w:tc>
          <w:tcPr>
            <w:tcW w:w="4106" w:type="dxa"/>
            <w:noWrap/>
            <w:vAlign w:val="center"/>
            <w:hideMark/>
          </w:tcPr>
          <w:p w14:paraId="629A2AFE"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brak postępu</w:t>
            </w:r>
          </w:p>
        </w:tc>
        <w:tc>
          <w:tcPr>
            <w:tcW w:w="2835" w:type="dxa"/>
            <w:noWrap/>
            <w:vAlign w:val="center"/>
          </w:tcPr>
          <w:p w14:paraId="4F703C5F" w14:textId="0C2CD97C" w:rsidR="00E13BC3" w:rsidRPr="002A0524" w:rsidRDefault="00E13BC3" w:rsidP="00E13BC3">
            <w:pPr>
              <w:spacing w:after="0"/>
              <w:jc w:val="center"/>
              <w:rPr>
                <w:rFonts w:asciiTheme="minorHAnsi" w:hAnsiTheme="minorHAnsi" w:cstheme="minorHAnsi"/>
                <w:sz w:val="20"/>
                <w:szCs w:val="20"/>
              </w:rPr>
            </w:pPr>
            <w:r>
              <w:rPr>
                <w:rFonts w:cs="Calibri"/>
                <w:sz w:val="20"/>
                <w:szCs w:val="20"/>
              </w:rPr>
              <w:t>0</w:t>
            </w:r>
          </w:p>
        </w:tc>
        <w:tc>
          <w:tcPr>
            <w:tcW w:w="2121" w:type="dxa"/>
            <w:vAlign w:val="center"/>
          </w:tcPr>
          <w:p w14:paraId="1FC8EA25" w14:textId="2BB379B3" w:rsidR="00E13BC3" w:rsidRPr="002A0524" w:rsidRDefault="00E13BC3" w:rsidP="00E13BC3">
            <w:pPr>
              <w:spacing w:after="0"/>
              <w:jc w:val="center"/>
              <w:rPr>
                <w:rFonts w:asciiTheme="minorHAnsi" w:hAnsiTheme="minorHAnsi" w:cstheme="minorHAnsi"/>
                <w:sz w:val="20"/>
                <w:szCs w:val="20"/>
              </w:rPr>
            </w:pPr>
            <w:r>
              <w:rPr>
                <w:rFonts w:cs="Calibri"/>
                <w:sz w:val="20"/>
                <w:szCs w:val="20"/>
              </w:rPr>
              <w:t>0,0</w:t>
            </w:r>
          </w:p>
        </w:tc>
      </w:tr>
      <w:tr w:rsidR="00E13BC3" w:rsidRPr="002A0524" w14:paraId="5B8D327C" w14:textId="77777777" w:rsidTr="00024FDD">
        <w:trPr>
          <w:trHeight w:val="425"/>
          <w:jc w:val="center"/>
        </w:trPr>
        <w:tc>
          <w:tcPr>
            <w:tcW w:w="4106" w:type="dxa"/>
            <w:noWrap/>
            <w:vAlign w:val="center"/>
            <w:hideMark/>
          </w:tcPr>
          <w:p w14:paraId="096BBC2C" w14:textId="77777777" w:rsidR="00E13BC3" w:rsidRPr="002A0524" w:rsidRDefault="00E13BC3" w:rsidP="00E13BC3">
            <w:pPr>
              <w:spacing w:after="0"/>
              <w:jc w:val="left"/>
              <w:rPr>
                <w:rFonts w:asciiTheme="minorHAnsi" w:hAnsiTheme="minorHAnsi" w:cstheme="minorHAnsi"/>
                <w:sz w:val="20"/>
                <w:szCs w:val="20"/>
              </w:rPr>
            </w:pPr>
            <w:r w:rsidRPr="002A0524">
              <w:rPr>
                <w:rFonts w:asciiTheme="minorHAnsi" w:hAnsiTheme="minorHAnsi" w:cstheme="minorHAnsi"/>
                <w:sz w:val="20"/>
                <w:szCs w:val="20"/>
              </w:rPr>
              <w:t xml:space="preserve">Cel nieosiągnięty </w:t>
            </w:r>
            <w:r>
              <w:rPr>
                <w:rFonts w:asciiTheme="minorHAnsi" w:hAnsiTheme="minorHAnsi" w:cstheme="minorHAnsi"/>
                <w:sz w:val="20"/>
                <w:szCs w:val="20"/>
              </w:rPr>
              <w:t>-</w:t>
            </w:r>
            <w:r w:rsidRPr="002A0524">
              <w:rPr>
                <w:rFonts w:asciiTheme="minorHAnsi" w:hAnsiTheme="minorHAnsi" w:cstheme="minorHAnsi"/>
                <w:sz w:val="20"/>
                <w:szCs w:val="20"/>
              </w:rPr>
              <w:t xml:space="preserve"> obniżenie </w:t>
            </w:r>
            <w:r>
              <w:rPr>
                <w:rFonts w:asciiTheme="minorHAnsi" w:hAnsiTheme="minorHAnsi" w:cstheme="minorHAnsi"/>
                <w:sz w:val="20"/>
                <w:szCs w:val="20"/>
              </w:rPr>
              <w:t>stanu</w:t>
            </w:r>
          </w:p>
        </w:tc>
        <w:tc>
          <w:tcPr>
            <w:tcW w:w="2835" w:type="dxa"/>
            <w:noWrap/>
            <w:vAlign w:val="center"/>
          </w:tcPr>
          <w:p w14:paraId="051E8C86" w14:textId="70F76EFE" w:rsidR="00E13BC3" w:rsidRPr="002A0524" w:rsidRDefault="00E13BC3" w:rsidP="00E13BC3">
            <w:pPr>
              <w:spacing w:after="0"/>
              <w:jc w:val="center"/>
              <w:rPr>
                <w:rFonts w:asciiTheme="minorHAnsi" w:hAnsiTheme="minorHAnsi" w:cstheme="minorHAnsi"/>
                <w:sz w:val="20"/>
                <w:szCs w:val="20"/>
              </w:rPr>
            </w:pPr>
            <w:r>
              <w:rPr>
                <w:rFonts w:cs="Calibri"/>
                <w:sz w:val="20"/>
                <w:szCs w:val="20"/>
              </w:rPr>
              <w:t>2</w:t>
            </w:r>
          </w:p>
        </w:tc>
        <w:tc>
          <w:tcPr>
            <w:tcW w:w="2121" w:type="dxa"/>
            <w:vAlign w:val="center"/>
          </w:tcPr>
          <w:p w14:paraId="0001AE6D" w14:textId="0164C9A0" w:rsidR="00E13BC3" w:rsidRPr="002A0524" w:rsidRDefault="00E13BC3" w:rsidP="00E13BC3">
            <w:pPr>
              <w:spacing w:after="0"/>
              <w:jc w:val="center"/>
              <w:rPr>
                <w:rFonts w:asciiTheme="minorHAnsi" w:hAnsiTheme="minorHAnsi" w:cstheme="minorHAnsi"/>
                <w:sz w:val="20"/>
                <w:szCs w:val="20"/>
              </w:rPr>
            </w:pPr>
            <w:r>
              <w:rPr>
                <w:rFonts w:cs="Calibri"/>
                <w:sz w:val="20"/>
                <w:szCs w:val="20"/>
              </w:rPr>
              <w:t>1,9</w:t>
            </w:r>
          </w:p>
        </w:tc>
      </w:tr>
    </w:tbl>
    <w:p w14:paraId="52D6A34D" w14:textId="715090D4" w:rsidR="005848EA" w:rsidRPr="00B766BA" w:rsidRDefault="005848EA" w:rsidP="005848EA">
      <w:pPr>
        <w:pStyle w:val="rdo0"/>
        <w:rPr>
          <w:i w:val="0"/>
          <w:color w:val="000099"/>
          <w:sz w:val="20"/>
        </w:rPr>
      </w:pPr>
      <w:r w:rsidRPr="00B766BA">
        <w:t xml:space="preserve">Źródło: </w:t>
      </w:r>
      <w:r w:rsidR="00553428">
        <w:t xml:space="preserve">opracowanie </w:t>
      </w:r>
      <w:r w:rsidR="00B773E9">
        <w:t>własne</w:t>
      </w:r>
      <w:r w:rsidRPr="00B766BA">
        <w:t xml:space="preserve"> na podstawie danych GIOŚ</w:t>
      </w:r>
      <w:r w:rsidRPr="00B766BA">
        <w:rPr>
          <w:color w:val="000099"/>
          <w:sz w:val="20"/>
        </w:rPr>
        <w:t xml:space="preserve"> i aPGW</w:t>
      </w:r>
    </w:p>
    <w:p w14:paraId="61481BFA" w14:textId="77777777" w:rsidR="00373A13" w:rsidRPr="00531E3C" w:rsidRDefault="00373A13" w:rsidP="00B50FFD">
      <w:pPr>
        <w:pStyle w:val="Nagwek2"/>
        <w:rPr>
          <w:bCs/>
        </w:rPr>
      </w:pPr>
      <w:bookmarkStart w:id="272" w:name="_Toc66305708"/>
      <w:bookmarkStart w:id="273" w:name="_Toc66311180"/>
      <w:bookmarkStart w:id="274" w:name="_Hlk66040980"/>
      <w:bookmarkStart w:id="275" w:name="_Toc68726873"/>
      <w:r w:rsidRPr="000A7909">
        <w:t>Ocena postępu w osiąganiu celów środowiskowych jcwp</w:t>
      </w:r>
      <w:r>
        <w:t>d</w:t>
      </w:r>
      <w:bookmarkEnd w:id="275"/>
      <w:r w:rsidRPr="002A0524">
        <w:t xml:space="preserve"> </w:t>
      </w:r>
    </w:p>
    <w:p w14:paraId="26662E5E" w14:textId="522BC0A6" w:rsidR="00373A13" w:rsidRPr="000E6A74" w:rsidRDefault="00373A13" w:rsidP="00373A13">
      <w:pPr>
        <w:spacing w:after="100"/>
      </w:pPr>
      <w:r w:rsidRPr="000E6A74">
        <w:t xml:space="preserve">Przedstawiony w </w:t>
      </w:r>
      <w:r>
        <w:t>ocenie stanu jcwpd</w:t>
      </w:r>
      <w:r w:rsidRPr="000E6A74">
        <w:t xml:space="preserve"> zakres pomiarów, wyników analiz </w:t>
      </w:r>
      <w:r>
        <w:t>fizyko</w:t>
      </w:r>
      <w:r w:rsidRPr="000E6A74">
        <w:t xml:space="preserve">chemicznych, innych danych uzyskanych od wykonawców zewnętrznych i ich interpretacja, </w:t>
      </w:r>
      <w:r>
        <w:t xml:space="preserve">umożliwiła </w:t>
      </w:r>
      <w:r w:rsidRPr="000E6A74">
        <w:t xml:space="preserve">ocenę stanu wód podziemnych zgodnie z przyjętą metodyką nawiązującą do obowiązującego </w:t>
      </w:r>
      <w:r w:rsidRPr="00C8395A">
        <w:t>r.m.jcw</w:t>
      </w:r>
      <w:r>
        <w:t xml:space="preserve"> z dnia 1</w:t>
      </w:r>
      <w:r w:rsidRPr="000E6A74">
        <w:t>1</w:t>
      </w:r>
      <w:r w:rsidR="007E5892">
        <w:t> </w:t>
      </w:r>
      <w:r>
        <w:t>października 2019</w:t>
      </w:r>
      <w:r w:rsidRPr="000E6A74">
        <w:t xml:space="preserve"> r., </w:t>
      </w:r>
      <w:r>
        <w:t>RDW</w:t>
      </w:r>
      <w:r w:rsidRPr="000E6A74">
        <w:t xml:space="preserve"> (2000/60/WE) i </w:t>
      </w:r>
      <w:r>
        <w:t>DWP</w:t>
      </w:r>
      <w:r w:rsidRPr="000E6A74">
        <w:t xml:space="preserve"> (2006/118/WE)</w:t>
      </w:r>
      <w:r>
        <w:rPr>
          <w:rStyle w:val="Odwoanieprzypisudolnego"/>
        </w:rPr>
        <w:footnoteReference w:id="28"/>
      </w:r>
      <w:r w:rsidRPr="000E6A74">
        <w:t>.</w:t>
      </w:r>
    </w:p>
    <w:p w14:paraId="390D86AB" w14:textId="30081EC5" w:rsidR="00373A13" w:rsidRDefault="00373A13" w:rsidP="00373A13">
      <w:pPr>
        <w:spacing w:after="100"/>
      </w:pPr>
      <w:r>
        <w:t>Porównania oceny stanu jcwpd na podstawie danych z 2019 r. dokonano w odniesieniu do oceny stanu z roku 2016, którą wykonano w podziale na 172 jcwpd, obowiązującego w cyklu planistycznym 2016</w:t>
      </w:r>
      <w:r w:rsidR="006C4947">
        <w:t>-</w:t>
      </w:r>
      <w:r>
        <w:t>2021. Ocena stanu na podstawie danych z 2019 r. wykonana została według zmodyfikowanej względem obowiązującej w 2016 r. metodyki oceny stanu jcwpd</w:t>
      </w:r>
      <w:r>
        <w:rPr>
          <w:vertAlign w:val="superscript"/>
        </w:rPr>
        <w:t>24</w:t>
      </w:r>
      <w:r>
        <w:t xml:space="preserve">, co wpłynęło na interpretację i końcową ocenę stanu jcwpd. Szczególnie zauważalne jest to w wynikach testów: C.3/I.3 </w:t>
      </w:r>
      <w:r w:rsidR="006C4947">
        <w:t>-</w:t>
      </w:r>
      <w:r>
        <w:t xml:space="preserve"> Ochrona ekosystemów zależnych od wód podziemnych; C.4 </w:t>
      </w:r>
      <w:r w:rsidR="006C4947">
        <w:t>-</w:t>
      </w:r>
      <w:r>
        <w:t xml:space="preserve"> Ochrona wód powierzchniowych; C.5 </w:t>
      </w:r>
      <w:r w:rsidR="006C4947">
        <w:t>-</w:t>
      </w:r>
      <w:r>
        <w:t xml:space="preserve"> Ochrona wód przeznaczonych do spożycia.</w:t>
      </w:r>
    </w:p>
    <w:p w14:paraId="56F422A4" w14:textId="05114AFD" w:rsidR="00373A13" w:rsidRDefault="00373A13" w:rsidP="00373A13">
      <w:pPr>
        <w:rPr>
          <w:rFonts w:asciiTheme="minorHAnsi" w:hAnsiTheme="minorHAnsi" w:cstheme="minorBidi"/>
        </w:rPr>
      </w:pPr>
      <w:r>
        <w:rPr>
          <w:rFonts w:asciiTheme="minorHAnsi" w:hAnsiTheme="minorHAnsi" w:cstheme="minorBidi"/>
        </w:rPr>
        <w:t xml:space="preserve">Wyniki i wnioski z kolejnych raportów oceny stanu jcwpd są na bieżąco analizowane, a potrzeby wykonania bardziej rozbudowanych analiz umożliwiających lepsze rozpoznanie sytuacji hydrogeologicznej w jcwpd i wybiegających poza zakres metodyki oceny stanu jcwpd, są uwzględniane w realizacjach prac zespołu PSH. </w:t>
      </w:r>
    </w:p>
    <w:p w14:paraId="6EE1C338" w14:textId="580410C4" w:rsidR="00373A13" w:rsidRPr="004A5D9B" w:rsidRDefault="00373A13" w:rsidP="00373A13">
      <w:pPr>
        <w:rPr>
          <w:rFonts w:asciiTheme="minorHAnsi" w:hAnsiTheme="minorHAnsi" w:cstheme="minorBidi"/>
        </w:rPr>
      </w:pPr>
      <w:r>
        <w:rPr>
          <w:rFonts w:asciiTheme="minorHAnsi" w:hAnsiTheme="minorHAnsi" w:cstheme="minorBidi"/>
        </w:rPr>
        <w:t>Stan rozpoznania budowy geologicznej, warunków hydrodynamicznych i hydrogeochemicznych jcwpd z roku na rok jest coraz lepszy i ma to znaczący wpływ na końcowy wynik oceny stanu jcwpd i</w:t>
      </w:r>
      <w:r w:rsidR="007E5892">
        <w:rPr>
          <w:rFonts w:asciiTheme="minorHAnsi" w:hAnsiTheme="minorHAnsi" w:cstheme="minorBidi"/>
        </w:rPr>
        <w:t> </w:t>
      </w:r>
      <w:r>
        <w:rPr>
          <w:rFonts w:asciiTheme="minorHAnsi" w:hAnsiTheme="minorHAnsi" w:cstheme="minorBidi"/>
        </w:rPr>
        <w:t>porównanie wyników ocen pomiędzy kolejnymi edycjami raportu oceny stanu jcwpd. Informacje są</w:t>
      </w:r>
      <w:r w:rsidR="007E5892">
        <w:rPr>
          <w:rFonts w:asciiTheme="minorHAnsi" w:hAnsiTheme="minorHAnsi" w:cstheme="minorBidi"/>
        </w:rPr>
        <w:t> </w:t>
      </w:r>
      <w:r>
        <w:rPr>
          <w:rFonts w:asciiTheme="minorHAnsi" w:hAnsiTheme="minorHAnsi" w:cstheme="minorBidi"/>
        </w:rPr>
        <w:t xml:space="preserve">uaktualniane i uzupełniane, w związku z czym zmiany wyniku oceny stanu nie zawsze będą świadectwem faktycznej poprawy lub pogorszenia się stanu środowiska wodnego, a związane będą ze zmianą stopnia rozpoznania badanej jednostki. Dla przykładu, w ostatnich latach wzrosła liczba oznaczeń tych samych par wskaźników w monitoringu wód podziemnych i powierzchniowych, które </w:t>
      </w:r>
      <w:r w:rsidRPr="004A5D9B">
        <w:rPr>
          <w:rFonts w:asciiTheme="minorHAnsi" w:hAnsiTheme="minorHAnsi" w:cstheme="minorBidi"/>
        </w:rPr>
        <w:t xml:space="preserve">podlegały ocenie w teście C.4 </w:t>
      </w:r>
      <w:r w:rsidR="006C4947">
        <w:rPr>
          <w:rFonts w:asciiTheme="minorHAnsi" w:hAnsiTheme="minorHAnsi" w:cstheme="minorBidi"/>
        </w:rPr>
        <w:t>-</w:t>
      </w:r>
      <w:r w:rsidRPr="004A5D9B">
        <w:rPr>
          <w:rFonts w:asciiTheme="minorHAnsi" w:hAnsiTheme="minorHAnsi" w:cstheme="minorBidi"/>
        </w:rPr>
        <w:t xml:space="preserve"> Ochrona wód powierzchniowych. Spowodowało to, że stan niektórych jcwpd został określony z większą wiarygodnością.</w:t>
      </w:r>
    </w:p>
    <w:p w14:paraId="660B2CC8" w14:textId="253A9E4D" w:rsidR="00373A13" w:rsidRPr="004A5D9B" w:rsidRDefault="00373A13" w:rsidP="00373A13">
      <w:pPr>
        <w:rPr>
          <w:rFonts w:asciiTheme="minorHAnsi" w:hAnsiTheme="minorHAnsi" w:cstheme="minorBidi"/>
        </w:rPr>
      </w:pPr>
      <w:r w:rsidRPr="004A5D9B">
        <w:t>Poniżej w tabeli 9-</w:t>
      </w:r>
      <w:r>
        <w:t>13</w:t>
      </w:r>
      <w:r w:rsidRPr="004A5D9B">
        <w:t xml:space="preserve"> znajduje się zestawienie wyników ocen stanu chemicznego i ilościowego jcwpd z</w:t>
      </w:r>
      <w:r>
        <w:t> </w:t>
      </w:r>
      <w:r w:rsidRPr="004A5D9B">
        <w:t xml:space="preserve">lat 2016 i 2019 w </w:t>
      </w:r>
      <w:r>
        <w:t xml:space="preserve">regionie wodnym Łyny i Węgorapy. </w:t>
      </w:r>
      <w:r w:rsidRPr="004A5D9B">
        <w:t>Jak wskazuje tabela 9-</w:t>
      </w:r>
      <w:r>
        <w:t>13</w:t>
      </w:r>
      <w:r w:rsidRPr="004A5D9B">
        <w:t xml:space="preserve">, ani stan chemiczny ani ilościowy jcwpd zlokalizowanych w </w:t>
      </w:r>
      <w:r>
        <w:t xml:space="preserve">obszarze </w:t>
      </w:r>
      <w:r w:rsidRPr="004A5D9B">
        <w:t>dorzecz</w:t>
      </w:r>
      <w:r>
        <w:t>a</w:t>
      </w:r>
      <w:r w:rsidRPr="004A5D9B">
        <w:t xml:space="preserve"> Pregoły nie uległ zmianie i jest dobry</w:t>
      </w:r>
      <w:r w:rsidRPr="004A5D9B">
        <w:rPr>
          <w:rFonts w:asciiTheme="minorHAnsi" w:hAnsiTheme="minorHAnsi" w:cstheme="minorBidi"/>
        </w:rPr>
        <w:t>.</w:t>
      </w:r>
    </w:p>
    <w:p w14:paraId="55C1F528" w14:textId="72D15547" w:rsidR="00373A13" w:rsidRDefault="00373A13" w:rsidP="006802BB">
      <w:pPr>
        <w:pStyle w:val="Legenda"/>
      </w:pPr>
      <w:bookmarkStart w:id="276" w:name="_Toc68727009"/>
      <w:r>
        <w:t xml:space="preserve">Tabela </w:t>
      </w:r>
      <w:fldSimple w:instr=" STYLEREF 1 \s ">
        <w:r w:rsidR="007B4050">
          <w:rPr>
            <w:noProof/>
          </w:rPr>
          <w:t>9</w:t>
        </w:r>
      </w:fldSimple>
      <w:r w:rsidR="007B4050">
        <w:noBreakHyphen/>
      </w:r>
      <w:fldSimple w:instr=" SEQ Tabela \* ARABIC \s 1 ">
        <w:r w:rsidR="007B4050">
          <w:rPr>
            <w:noProof/>
          </w:rPr>
          <w:t>13</w:t>
        </w:r>
      </w:fldSimple>
      <w:r>
        <w:tab/>
      </w:r>
      <w:r w:rsidRPr="00B766BA">
        <w:t xml:space="preserve">Porównanie wyniku oceny stanu jcwpd w latach 2016 i 2019 w </w:t>
      </w:r>
      <w:r>
        <w:t xml:space="preserve">obszarze </w:t>
      </w:r>
      <w:r w:rsidRPr="00B766BA">
        <w:t>dorzecz</w:t>
      </w:r>
      <w:r>
        <w:t>a</w:t>
      </w:r>
      <w:r w:rsidRPr="00B766BA">
        <w:t xml:space="preserve"> </w:t>
      </w:r>
      <w:r>
        <w:t>Pregoły</w:t>
      </w:r>
      <w:bookmarkEnd w:id="276"/>
      <w:r w:rsidRPr="00B766BA">
        <w:t xml:space="preserve"> </w:t>
      </w:r>
    </w:p>
    <w:tbl>
      <w:tblPr>
        <w:tblW w:w="9159" w:type="dxa"/>
        <w:tblInd w:w="55" w:type="dxa"/>
        <w:tblLayout w:type="fixed"/>
        <w:tblCellMar>
          <w:left w:w="70" w:type="dxa"/>
          <w:right w:w="70" w:type="dxa"/>
        </w:tblCellMar>
        <w:tblLook w:val="04A0" w:firstRow="1" w:lastRow="0" w:firstColumn="1" w:lastColumn="0" w:noHBand="0" w:noVBand="1"/>
      </w:tblPr>
      <w:tblGrid>
        <w:gridCol w:w="1788"/>
        <w:gridCol w:w="921"/>
        <w:gridCol w:w="921"/>
        <w:gridCol w:w="922"/>
        <w:gridCol w:w="921"/>
        <w:gridCol w:w="921"/>
        <w:gridCol w:w="922"/>
        <w:gridCol w:w="921"/>
        <w:gridCol w:w="922"/>
      </w:tblGrid>
      <w:tr w:rsidR="00373A13" w:rsidRPr="004A5D9B" w14:paraId="713517C8" w14:textId="77777777" w:rsidTr="000338C0">
        <w:trPr>
          <w:trHeight w:val="585"/>
        </w:trPr>
        <w:tc>
          <w:tcPr>
            <w:tcW w:w="1788" w:type="dxa"/>
            <w:tcBorders>
              <w:top w:val="nil"/>
              <w:left w:val="nil"/>
              <w:bottom w:val="nil"/>
              <w:right w:val="nil"/>
            </w:tcBorders>
            <w:shd w:val="clear" w:color="auto" w:fill="auto"/>
            <w:noWrap/>
            <w:vAlign w:val="center"/>
            <w:hideMark/>
          </w:tcPr>
          <w:p w14:paraId="0CE6ED14" w14:textId="77777777" w:rsidR="00373A13" w:rsidRPr="004A5D9B" w:rsidRDefault="00373A13" w:rsidP="000338C0">
            <w:pPr>
              <w:spacing w:before="0" w:after="0"/>
              <w:jc w:val="center"/>
              <w:rPr>
                <w:rFonts w:eastAsia="Times New Roman"/>
                <w:color w:val="000000"/>
                <w:sz w:val="20"/>
                <w:szCs w:val="20"/>
                <w:lang w:eastAsia="pl-PL"/>
              </w:rPr>
            </w:pPr>
          </w:p>
        </w:tc>
        <w:tc>
          <w:tcPr>
            <w:tcW w:w="3685"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21E12D"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porównanie wyników oceny stanu chemicznego jcwpd</w:t>
            </w:r>
          </w:p>
        </w:tc>
        <w:tc>
          <w:tcPr>
            <w:tcW w:w="3686" w:type="dxa"/>
            <w:gridSpan w:val="4"/>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8C824B5"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porównanie wyników oceny stanu ilościowego jcwpd</w:t>
            </w:r>
          </w:p>
        </w:tc>
      </w:tr>
      <w:tr w:rsidR="00373A13" w:rsidRPr="004A5D9B" w14:paraId="754C9FD5" w14:textId="77777777" w:rsidTr="000338C0">
        <w:trPr>
          <w:trHeight w:val="300"/>
        </w:trPr>
        <w:tc>
          <w:tcPr>
            <w:tcW w:w="1788" w:type="dxa"/>
            <w:tcBorders>
              <w:top w:val="nil"/>
              <w:left w:val="nil"/>
              <w:bottom w:val="nil"/>
              <w:right w:val="nil"/>
            </w:tcBorders>
            <w:shd w:val="clear" w:color="auto" w:fill="auto"/>
            <w:noWrap/>
            <w:vAlign w:val="center"/>
            <w:hideMark/>
          </w:tcPr>
          <w:p w14:paraId="1CDE404E" w14:textId="77777777" w:rsidR="00373A13" w:rsidRPr="004A5D9B" w:rsidRDefault="00373A13" w:rsidP="000338C0">
            <w:pPr>
              <w:spacing w:before="0" w:after="0"/>
              <w:jc w:val="center"/>
              <w:rPr>
                <w:rFonts w:eastAsia="Times New Roman"/>
                <w:color w:val="000000"/>
                <w:sz w:val="20"/>
                <w:szCs w:val="20"/>
                <w:lang w:eastAsia="pl-PL"/>
              </w:rPr>
            </w:pPr>
          </w:p>
        </w:tc>
        <w:tc>
          <w:tcPr>
            <w:tcW w:w="18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555B280"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2016</w:t>
            </w:r>
          </w:p>
        </w:tc>
        <w:tc>
          <w:tcPr>
            <w:tcW w:w="1843"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3AD9AE4"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2019</w:t>
            </w:r>
          </w:p>
        </w:tc>
        <w:tc>
          <w:tcPr>
            <w:tcW w:w="1843"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61BCDC3"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2016</w:t>
            </w:r>
          </w:p>
        </w:tc>
        <w:tc>
          <w:tcPr>
            <w:tcW w:w="1843"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3B15667"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2019</w:t>
            </w:r>
          </w:p>
        </w:tc>
      </w:tr>
      <w:tr w:rsidR="00373A13" w:rsidRPr="004A5D9B" w14:paraId="06C6A782" w14:textId="77777777" w:rsidTr="000338C0">
        <w:trPr>
          <w:trHeight w:val="300"/>
        </w:trPr>
        <w:tc>
          <w:tcPr>
            <w:tcW w:w="1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C964F"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Region wodny</w:t>
            </w:r>
          </w:p>
        </w:tc>
        <w:tc>
          <w:tcPr>
            <w:tcW w:w="921"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6D3F05C6"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dobry</w:t>
            </w:r>
          </w:p>
        </w:tc>
        <w:tc>
          <w:tcPr>
            <w:tcW w:w="921"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25CD7C29"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słaby</w:t>
            </w:r>
          </w:p>
        </w:tc>
        <w:tc>
          <w:tcPr>
            <w:tcW w:w="922"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5720F4DA"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dobry</w:t>
            </w:r>
          </w:p>
        </w:tc>
        <w:tc>
          <w:tcPr>
            <w:tcW w:w="921"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265E45BC"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słaby</w:t>
            </w:r>
          </w:p>
        </w:tc>
        <w:tc>
          <w:tcPr>
            <w:tcW w:w="921"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09A5FE6A"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dobry</w:t>
            </w:r>
          </w:p>
        </w:tc>
        <w:tc>
          <w:tcPr>
            <w:tcW w:w="922"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401DD611"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słaby</w:t>
            </w:r>
          </w:p>
        </w:tc>
        <w:tc>
          <w:tcPr>
            <w:tcW w:w="921"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53AA0E6F"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dobry</w:t>
            </w:r>
          </w:p>
        </w:tc>
        <w:tc>
          <w:tcPr>
            <w:tcW w:w="922"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3DF8A45F"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color w:val="000000"/>
                <w:sz w:val="20"/>
                <w:szCs w:val="20"/>
                <w:lang w:eastAsia="pl-PL"/>
              </w:rPr>
              <w:t>słaby</w:t>
            </w:r>
          </w:p>
        </w:tc>
      </w:tr>
      <w:tr w:rsidR="00373A13" w:rsidRPr="004A5D9B" w14:paraId="64EFB1B8" w14:textId="77777777" w:rsidTr="000338C0">
        <w:trPr>
          <w:trHeight w:val="300"/>
        </w:trPr>
        <w:tc>
          <w:tcPr>
            <w:tcW w:w="1788" w:type="dxa"/>
            <w:tcBorders>
              <w:top w:val="nil"/>
              <w:left w:val="single" w:sz="4" w:space="0" w:color="auto"/>
              <w:bottom w:val="single" w:sz="4" w:space="0" w:color="auto"/>
              <w:right w:val="single" w:sz="4" w:space="0" w:color="auto"/>
            </w:tcBorders>
            <w:shd w:val="clear" w:color="auto" w:fill="auto"/>
            <w:noWrap/>
            <w:vAlign w:val="center"/>
          </w:tcPr>
          <w:p w14:paraId="0E14D549" w14:textId="77777777" w:rsidR="00373A13" w:rsidRPr="004A5D9B" w:rsidRDefault="00373A13" w:rsidP="000338C0">
            <w:pPr>
              <w:spacing w:before="0" w:after="0"/>
              <w:jc w:val="center"/>
              <w:rPr>
                <w:rFonts w:eastAsia="Times New Roman"/>
                <w:color w:val="000000"/>
                <w:sz w:val="20"/>
                <w:szCs w:val="20"/>
                <w:lang w:eastAsia="pl-PL"/>
              </w:rPr>
            </w:pPr>
            <w:r w:rsidRPr="004A5D9B">
              <w:rPr>
                <w:color w:val="000000"/>
                <w:sz w:val="20"/>
                <w:szCs w:val="20"/>
              </w:rPr>
              <w:t>Łyny i Węgorapy</w:t>
            </w:r>
          </w:p>
        </w:tc>
        <w:tc>
          <w:tcPr>
            <w:tcW w:w="921" w:type="dxa"/>
            <w:tcBorders>
              <w:top w:val="nil"/>
              <w:left w:val="nil"/>
              <w:bottom w:val="single" w:sz="4" w:space="0" w:color="auto"/>
              <w:right w:val="single" w:sz="4" w:space="0" w:color="auto"/>
            </w:tcBorders>
            <w:shd w:val="clear" w:color="auto" w:fill="auto"/>
            <w:noWrap/>
            <w:vAlign w:val="center"/>
          </w:tcPr>
          <w:p w14:paraId="504707B1" w14:textId="77777777" w:rsidR="00373A13" w:rsidRPr="004A5D9B" w:rsidRDefault="00373A13" w:rsidP="000338C0">
            <w:pPr>
              <w:spacing w:before="0" w:after="0"/>
              <w:jc w:val="center"/>
              <w:rPr>
                <w:rFonts w:eastAsia="Times New Roman"/>
                <w:color w:val="000000"/>
                <w:sz w:val="20"/>
                <w:szCs w:val="20"/>
                <w:lang w:eastAsia="pl-PL"/>
              </w:rPr>
            </w:pPr>
            <w:r w:rsidRPr="004A5D9B">
              <w:rPr>
                <w:color w:val="000000"/>
                <w:sz w:val="20"/>
                <w:szCs w:val="20"/>
              </w:rPr>
              <w:t>2</w:t>
            </w:r>
          </w:p>
        </w:tc>
        <w:tc>
          <w:tcPr>
            <w:tcW w:w="921" w:type="dxa"/>
            <w:tcBorders>
              <w:top w:val="nil"/>
              <w:left w:val="nil"/>
              <w:bottom w:val="single" w:sz="4" w:space="0" w:color="auto"/>
              <w:right w:val="single" w:sz="4" w:space="0" w:color="auto"/>
            </w:tcBorders>
            <w:shd w:val="clear" w:color="auto" w:fill="auto"/>
            <w:noWrap/>
            <w:vAlign w:val="center"/>
          </w:tcPr>
          <w:p w14:paraId="4FFEF7A7"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color w:val="000000"/>
                <w:sz w:val="20"/>
                <w:szCs w:val="20"/>
                <w:lang w:eastAsia="pl-PL"/>
              </w:rPr>
              <w:t>0</w:t>
            </w:r>
          </w:p>
        </w:tc>
        <w:tc>
          <w:tcPr>
            <w:tcW w:w="922" w:type="dxa"/>
            <w:tcBorders>
              <w:top w:val="nil"/>
              <w:left w:val="nil"/>
              <w:bottom w:val="single" w:sz="4" w:space="0" w:color="auto"/>
              <w:right w:val="single" w:sz="4" w:space="0" w:color="auto"/>
            </w:tcBorders>
            <w:shd w:val="clear" w:color="auto" w:fill="auto"/>
            <w:noWrap/>
            <w:vAlign w:val="center"/>
          </w:tcPr>
          <w:p w14:paraId="036FA028" w14:textId="77777777" w:rsidR="00373A13" w:rsidRPr="004A5D9B" w:rsidRDefault="00373A13" w:rsidP="000338C0">
            <w:pPr>
              <w:spacing w:before="0" w:after="0"/>
              <w:jc w:val="center"/>
              <w:rPr>
                <w:rFonts w:eastAsia="Times New Roman"/>
                <w:color w:val="000000"/>
                <w:sz w:val="20"/>
                <w:szCs w:val="20"/>
                <w:lang w:eastAsia="pl-PL"/>
              </w:rPr>
            </w:pPr>
            <w:r w:rsidRPr="004A5D9B">
              <w:rPr>
                <w:color w:val="000000"/>
                <w:sz w:val="20"/>
                <w:szCs w:val="20"/>
              </w:rPr>
              <w:t>2</w:t>
            </w:r>
          </w:p>
        </w:tc>
        <w:tc>
          <w:tcPr>
            <w:tcW w:w="921" w:type="dxa"/>
            <w:tcBorders>
              <w:top w:val="nil"/>
              <w:left w:val="nil"/>
              <w:bottom w:val="single" w:sz="4" w:space="0" w:color="auto"/>
              <w:right w:val="single" w:sz="4" w:space="0" w:color="auto"/>
            </w:tcBorders>
            <w:shd w:val="clear" w:color="auto" w:fill="auto"/>
            <w:noWrap/>
            <w:vAlign w:val="center"/>
          </w:tcPr>
          <w:p w14:paraId="6C5FD3E1"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color w:val="000000"/>
                <w:sz w:val="20"/>
                <w:szCs w:val="20"/>
                <w:lang w:eastAsia="pl-PL"/>
              </w:rPr>
              <w:t>0</w:t>
            </w:r>
          </w:p>
        </w:tc>
        <w:tc>
          <w:tcPr>
            <w:tcW w:w="921" w:type="dxa"/>
            <w:tcBorders>
              <w:top w:val="nil"/>
              <w:left w:val="nil"/>
              <w:bottom w:val="single" w:sz="4" w:space="0" w:color="auto"/>
              <w:right w:val="single" w:sz="4" w:space="0" w:color="auto"/>
            </w:tcBorders>
            <w:shd w:val="clear" w:color="auto" w:fill="auto"/>
            <w:noWrap/>
            <w:vAlign w:val="center"/>
          </w:tcPr>
          <w:p w14:paraId="3350452B" w14:textId="77777777" w:rsidR="00373A13" w:rsidRPr="004A5D9B" w:rsidRDefault="00373A13" w:rsidP="000338C0">
            <w:pPr>
              <w:spacing w:before="0" w:after="0"/>
              <w:jc w:val="center"/>
              <w:rPr>
                <w:rFonts w:eastAsia="Times New Roman"/>
                <w:color w:val="000000"/>
                <w:sz w:val="20"/>
                <w:szCs w:val="20"/>
                <w:lang w:eastAsia="pl-PL"/>
              </w:rPr>
            </w:pPr>
            <w:r w:rsidRPr="004A5D9B">
              <w:rPr>
                <w:color w:val="000000"/>
                <w:sz w:val="20"/>
                <w:szCs w:val="20"/>
              </w:rPr>
              <w:t>2</w:t>
            </w:r>
          </w:p>
        </w:tc>
        <w:tc>
          <w:tcPr>
            <w:tcW w:w="922" w:type="dxa"/>
            <w:tcBorders>
              <w:top w:val="nil"/>
              <w:left w:val="nil"/>
              <w:bottom w:val="single" w:sz="4" w:space="0" w:color="auto"/>
              <w:right w:val="single" w:sz="4" w:space="0" w:color="auto"/>
            </w:tcBorders>
            <w:shd w:val="clear" w:color="auto" w:fill="auto"/>
            <w:noWrap/>
            <w:vAlign w:val="center"/>
          </w:tcPr>
          <w:p w14:paraId="297A41CA"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color w:val="000000"/>
                <w:sz w:val="20"/>
                <w:szCs w:val="20"/>
                <w:lang w:eastAsia="pl-PL"/>
              </w:rPr>
              <w:t>0</w:t>
            </w:r>
          </w:p>
        </w:tc>
        <w:tc>
          <w:tcPr>
            <w:tcW w:w="921" w:type="dxa"/>
            <w:tcBorders>
              <w:top w:val="nil"/>
              <w:left w:val="nil"/>
              <w:bottom w:val="single" w:sz="4" w:space="0" w:color="auto"/>
              <w:right w:val="single" w:sz="4" w:space="0" w:color="auto"/>
            </w:tcBorders>
            <w:shd w:val="clear" w:color="auto" w:fill="auto"/>
            <w:noWrap/>
            <w:vAlign w:val="center"/>
          </w:tcPr>
          <w:p w14:paraId="523A9A94" w14:textId="77777777" w:rsidR="00373A13" w:rsidRPr="004A5D9B" w:rsidRDefault="00373A13" w:rsidP="000338C0">
            <w:pPr>
              <w:spacing w:before="0" w:after="0"/>
              <w:jc w:val="center"/>
              <w:rPr>
                <w:rFonts w:eastAsia="Times New Roman"/>
                <w:color w:val="000000"/>
                <w:sz w:val="20"/>
                <w:szCs w:val="20"/>
                <w:lang w:eastAsia="pl-PL"/>
              </w:rPr>
            </w:pPr>
            <w:r w:rsidRPr="004A5D9B">
              <w:rPr>
                <w:color w:val="000000"/>
                <w:sz w:val="20"/>
                <w:szCs w:val="20"/>
              </w:rPr>
              <w:t>2</w:t>
            </w:r>
          </w:p>
        </w:tc>
        <w:tc>
          <w:tcPr>
            <w:tcW w:w="922" w:type="dxa"/>
            <w:tcBorders>
              <w:top w:val="nil"/>
              <w:left w:val="nil"/>
              <w:bottom w:val="single" w:sz="4" w:space="0" w:color="auto"/>
              <w:right w:val="single" w:sz="4" w:space="0" w:color="auto"/>
            </w:tcBorders>
            <w:shd w:val="clear" w:color="auto" w:fill="auto"/>
            <w:noWrap/>
            <w:vAlign w:val="center"/>
          </w:tcPr>
          <w:p w14:paraId="2D490273"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color w:val="000000"/>
                <w:sz w:val="20"/>
                <w:szCs w:val="20"/>
                <w:lang w:eastAsia="pl-PL"/>
              </w:rPr>
              <w:t>0</w:t>
            </w:r>
          </w:p>
        </w:tc>
      </w:tr>
      <w:tr w:rsidR="00373A13" w:rsidRPr="004A5D9B" w14:paraId="03DAB332" w14:textId="77777777" w:rsidTr="000338C0">
        <w:trPr>
          <w:trHeight w:val="300"/>
        </w:trPr>
        <w:tc>
          <w:tcPr>
            <w:tcW w:w="1788" w:type="dxa"/>
            <w:tcBorders>
              <w:top w:val="nil"/>
              <w:left w:val="single" w:sz="4" w:space="0" w:color="auto"/>
              <w:bottom w:val="single" w:sz="4" w:space="0" w:color="auto"/>
              <w:right w:val="single" w:sz="4" w:space="0" w:color="auto"/>
            </w:tcBorders>
            <w:shd w:val="clear" w:color="auto" w:fill="auto"/>
            <w:noWrap/>
            <w:vAlign w:val="center"/>
          </w:tcPr>
          <w:p w14:paraId="5A81C5AC" w14:textId="77777777" w:rsidR="00373A13" w:rsidRPr="004A5D9B" w:rsidRDefault="00373A13" w:rsidP="000338C0">
            <w:pPr>
              <w:spacing w:before="0" w:after="0"/>
              <w:jc w:val="center"/>
              <w:rPr>
                <w:rFonts w:eastAsia="Times New Roman"/>
                <w:color w:val="000000"/>
                <w:sz w:val="20"/>
                <w:szCs w:val="20"/>
                <w:lang w:eastAsia="pl-PL"/>
              </w:rPr>
            </w:pPr>
            <w:r w:rsidRPr="004A5D9B">
              <w:rPr>
                <w:b/>
                <w:bCs/>
                <w:color w:val="000000"/>
                <w:sz w:val="20"/>
                <w:szCs w:val="20"/>
              </w:rPr>
              <w:t>Suma końcowa</w:t>
            </w:r>
          </w:p>
        </w:tc>
        <w:tc>
          <w:tcPr>
            <w:tcW w:w="921" w:type="dxa"/>
            <w:tcBorders>
              <w:top w:val="nil"/>
              <w:left w:val="nil"/>
              <w:bottom w:val="single" w:sz="4" w:space="0" w:color="auto"/>
              <w:right w:val="single" w:sz="4" w:space="0" w:color="auto"/>
            </w:tcBorders>
            <w:shd w:val="clear" w:color="auto" w:fill="auto"/>
            <w:noWrap/>
            <w:vAlign w:val="center"/>
          </w:tcPr>
          <w:p w14:paraId="3F892B8E" w14:textId="77777777" w:rsidR="00373A13" w:rsidRPr="004A5D9B" w:rsidRDefault="00373A13" w:rsidP="000338C0">
            <w:pPr>
              <w:spacing w:before="0" w:after="0"/>
              <w:jc w:val="center"/>
              <w:rPr>
                <w:rFonts w:eastAsia="Times New Roman"/>
                <w:color w:val="000000"/>
                <w:sz w:val="20"/>
                <w:szCs w:val="20"/>
                <w:lang w:eastAsia="pl-PL"/>
              </w:rPr>
            </w:pPr>
            <w:r w:rsidRPr="004A5D9B">
              <w:rPr>
                <w:b/>
                <w:bCs/>
                <w:color w:val="000000"/>
                <w:sz w:val="20"/>
                <w:szCs w:val="20"/>
              </w:rPr>
              <w:t>2</w:t>
            </w:r>
          </w:p>
        </w:tc>
        <w:tc>
          <w:tcPr>
            <w:tcW w:w="921" w:type="dxa"/>
            <w:tcBorders>
              <w:top w:val="nil"/>
              <w:left w:val="nil"/>
              <w:bottom w:val="single" w:sz="4" w:space="0" w:color="auto"/>
              <w:right w:val="single" w:sz="4" w:space="0" w:color="auto"/>
            </w:tcBorders>
            <w:shd w:val="clear" w:color="auto" w:fill="auto"/>
            <w:noWrap/>
            <w:vAlign w:val="center"/>
          </w:tcPr>
          <w:p w14:paraId="0C58B8C9" w14:textId="77777777" w:rsidR="00373A13" w:rsidRPr="004A5D9B" w:rsidRDefault="00373A13" w:rsidP="000338C0">
            <w:pPr>
              <w:spacing w:before="0" w:after="0"/>
              <w:jc w:val="center"/>
              <w:rPr>
                <w:rFonts w:eastAsia="Times New Roman"/>
                <w:b/>
                <w:color w:val="000000"/>
                <w:sz w:val="20"/>
                <w:szCs w:val="20"/>
                <w:lang w:eastAsia="pl-PL"/>
              </w:rPr>
            </w:pPr>
            <w:r w:rsidRPr="004A5D9B">
              <w:rPr>
                <w:rFonts w:eastAsia="Times New Roman"/>
                <w:b/>
                <w:color w:val="000000"/>
                <w:sz w:val="20"/>
                <w:szCs w:val="20"/>
                <w:lang w:eastAsia="pl-PL"/>
              </w:rPr>
              <w:t>0</w:t>
            </w:r>
          </w:p>
        </w:tc>
        <w:tc>
          <w:tcPr>
            <w:tcW w:w="922" w:type="dxa"/>
            <w:tcBorders>
              <w:top w:val="nil"/>
              <w:left w:val="nil"/>
              <w:bottom w:val="single" w:sz="4" w:space="0" w:color="auto"/>
              <w:right w:val="single" w:sz="4" w:space="0" w:color="auto"/>
            </w:tcBorders>
            <w:shd w:val="clear" w:color="auto" w:fill="auto"/>
            <w:noWrap/>
            <w:vAlign w:val="center"/>
          </w:tcPr>
          <w:p w14:paraId="42B5B476" w14:textId="77777777" w:rsidR="00373A13" w:rsidRPr="004A5D9B" w:rsidRDefault="00373A13" w:rsidP="000338C0">
            <w:pPr>
              <w:spacing w:before="0" w:after="0"/>
              <w:jc w:val="center"/>
              <w:rPr>
                <w:rFonts w:eastAsia="Times New Roman"/>
                <w:color w:val="000000"/>
                <w:sz w:val="20"/>
                <w:szCs w:val="20"/>
                <w:lang w:eastAsia="pl-PL"/>
              </w:rPr>
            </w:pPr>
            <w:r w:rsidRPr="004A5D9B">
              <w:rPr>
                <w:b/>
                <w:bCs/>
                <w:color w:val="000000"/>
                <w:sz w:val="20"/>
                <w:szCs w:val="20"/>
              </w:rPr>
              <w:t>2</w:t>
            </w:r>
          </w:p>
        </w:tc>
        <w:tc>
          <w:tcPr>
            <w:tcW w:w="921" w:type="dxa"/>
            <w:tcBorders>
              <w:top w:val="nil"/>
              <w:left w:val="nil"/>
              <w:bottom w:val="single" w:sz="4" w:space="0" w:color="auto"/>
              <w:right w:val="single" w:sz="4" w:space="0" w:color="auto"/>
            </w:tcBorders>
            <w:shd w:val="clear" w:color="auto" w:fill="auto"/>
            <w:noWrap/>
            <w:vAlign w:val="center"/>
          </w:tcPr>
          <w:p w14:paraId="4FD8EA9C"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b/>
                <w:color w:val="000000"/>
                <w:sz w:val="20"/>
                <w:szCs w:val="20"/>
                <w:lang w:eastAsia="pl-PL"/>
              </w:rPr>
              <w:t>0</w:t>
            </w:r>
          </w:p>
        </w:tc>
        <w:tc>
          <w:tcPr>
            <w:tcW w:w="921" w:type="dxa"/>
            <w:tcBorders>
              <w:top w:val="nil"/>
              <w:left w:val="nil"/>
              <w:bottom w:val="single" w:sz="4" w:space="0" w:color="auto"/>
              <w:right w:val="single" w:sz="4" w:space="0" w:color="auto"/>
            </w:tcBorders>
            <w:shd w:val="clear" w:color="auto" w:fill="auto"/>
            <w:noWrap/>
            <w:vAlign w:val="center"/>
          </w:tcPr>
          <w:p w14:paraId="4FAD310C" w14:textId="77777777" w:rsidR="00373A13" w:rsidRPr="004A5D9B" w:rsidRDefault="00373A13" w:rsidP="000338C0">
            <w:pPr>
              <w:spacing w:before="0" w:after="0"/>
              <w:jc w:val="center"/>
              <w:rPr>
                <w:rFonts w:eastAsia="Times New Roman"/>
                <w:color w:val="000000"/>
                <w:sz w:val="20"/>
                <w:szCs w:val="20"/>
                <w:lang w:eastAsia="pl-PL"/>
              </w:rPr>
            </w:pPr>
            <w:r w:rsidRPr="004A5D9B">
              <w:rPr>
                <w:b/>
                <w:bCs/>
                <w:color w:val="000000"/>
                <w:sz w:val="20"/>
                <w:szCs w:val="20"/>
              </w:rPr>
              <w:t>2</w:t>
            </w:r>
          </w:p>
        </w:tc>
        <w:tc>
          <w:tcPr>
            <w:tcW w:w="922" w:type="dxa"/>
            <w:tcBorders>
              <w:top w:val="nil"/>
              <w:left w:val="nil"/>
              <w:bottom w:val="single" w:sz="4" w:space="0" w:color="auto"/>
              <w:right w:val="single" w:sz="4" w:space="0" w:color="auto"/>
            </w:tcBorders>
            <w:shd w:val="clear" w:color="auto" w:fill="auto"/>
            <w:noWrap/>
            <w:vAlign w:val="center"/>
          </w:tcPr>
          <w:p w14:paraId="423F730C"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b/>
                <w:color w:val="000000"/>
                <w:sz w:val="20"/>
                <w:szCs w:val="20"/>
                <w:lang w:eastAsia="pl-PL"/>
              </w:rPr>
              <w:t>0</w:t>
            </w:r>
          </w:p>
        </w:tc>
        <w:tc>
          <w:tcPr>
            <w:tcW w:w="921" w:type="dxa"/>
            <w:tcBorders>
              <w:top w:val="nil"/>
              <w:left w:val="nil"/>
              <w:bottom w:val="single" w:sz="4" w:space="0" w:color="auto"/>
              <w:right w:val="single" w:sz="4" w:space="0" w:color="auto"/>
            </w:tcBorders>
            <w:shd w:val="clear" w:color="auto" w:fill="auto"/>
            <w:noWrap/>
            <w:vAlign w:val="center"/>
          </w:tcPr>
          <w:p w14:paraId="172D7D76" w14:textId="77777777" w:rsidR="00373A13" w:rsidRPr="004A5D9B" w:rsidRDefault="00373A13" w:rsidP="000338C0">
            <w:pPr>
              <w:spacing w:before="0" w:after="0"/>
              <w:jc w:val="center"/>
              <w:rPr>
                <w:rFonts w:eastAsia="Times New Roman"/>
                <w:color w:val="000000"/>
                <w:sz w:val="20"/>
                <w:szCs w:val="20"/>
                <w:lang w:eastAsia="pl-PL"/>
              </w:rPr>
            </w:pPr>
            <w:r w:rsidRPr="004A5D9B">
              <w:rPr>
                <w:b/>
                <w:bCs/>
                <w:color w:val="000000"/>
                <w:sz w:val="20"/>
                <w:szCs w:val="20"/>
              </w:rPr>
              <w:t>2</w:t>
            </w:r>
          </w:p>
        </w:tc>
        <w:tc>
          <w:tcPr>
            <w:tcW w:w="922" w:type="dxa"/>
            <w:tcBorders>
              <w:top w:val="nil"/>
              <w:left w:val="nil"/>
              <w:bottom w:val="single" w:sz="4" w:space="0" w:color="auto"/>
              <w:right w:val="single" w:sz="4" w:space="0" w:color="auto"/>
            </w:tcBorders>
            <w:shd w:val="clear" w:color="auto" w:fill="auto"/>
            <w:noWrap/>
            <w:vAlign w:val="center"/>
          </w:tcPr>
          <w:p w14:paraId="4732D323" w14:textId="77777777" w:rsidR="00373A13" w:rsidRPr="004A5D9B" w:rsidRDefault="00373A13" w:rsidP="000338C0">
            <w:pPr>
              <w:spacing w:before="0" w:after="0"/>
              <w:jc w:val="center"/>
              <w:rPr>
                <w:rFonts w:eastAsia="Times New Roman"/>
                <w:color w:val="000000"/>
                <w:sz w:val="20"/>
                <w:szCs w:val="20"/>
                <w:lang w:eastAsia="pl-PL"/>
              </w:rPr>
            </w:pPr>
            <w:r w:rsidRPr="004A5D9B">
              <w:rPr>
                <w:rFonts w:eastAsia="Times New Roman"/>
                <w:b/>
                <w:color w:val="000000"/>
                <w:sz w:val="20"/>
                <w:szCs w:val="20"/>
                <w:lang w:eastAsia="pl-PL"/>
              </w:rPr>
              <w:t>0</w:t>
            </w:r>
          </w:p>
        </w:tc>
      </w:tr>
    </w:tbl>
    <w:p w14:paraId="78193198" w14:textId="77777777" w:rsidR="00373A13" w:rsidRPr="00BF153B" w:rsidRDefault="00373A13" w:rsidP="00373A13">
      <w:pPr>
        <w:pStyle w:val="rdo0"/>
        <w:rPr>
          <w:i w:val="0"/>
          <w:color w:val="000099"/>
        </w:rPr>
      </w:pPr>
      <w:r w:rsidRPr="00BF153B">
        <w:t xml:space="preserve">Źródło: </w:t>
      </w:r>
      <w:r>
        <w:t>opracowanie własne</w:t>
      </w:r>
    </w:p>
    <w:p w14:paraId="38F437EB" w14:textId="2F3BABE7" w:rsidR="00373A13" w:rsidRPr="008A6497" w:rsidRDefault="00373A13" w:rsidP="00102C3A">
      <w:pPr>
        <w:spacing w:after="0"/>
      </w:pPr>
      <w:r>
        <w:t>Porównanie</w:t>
      </w:r>
      <w:r w:rsidRPr="000E6A74">
        <w:t xml:space="preserve"> oceny stanu </w:t>
      </w:r>
      <w:r>
        <w:t>jcwpd</w:t>
      </w:r>
      <w:r w:rsidRPr="000E6A74">
        <w:t xml:space="preserve"> w stosunku do roku 201</w:t>
      </w:r>
      <w:r>
        <w:t xml:space="preserve">6 przedstawione </w:t>
      </w:r>
      <w:r w:rsidRPr="00156C67">
        <w:t xml:space="preserve">zostało w załączniku nr 5.2 </w:t>
      </w:r>
      <w:r w:rsidRPr="00156C67">
        <w:rPr>
          <w:rFonts w:asciiTheme="minorHAnsi" w:hAnsiTheme="minorHAnsi" w:cstheme="minorHAnsi"/>
        </w:rPr>
        <w:t>(Porównanie oceny stanu jcwpd 2016, 2019).</w:t>
      </w:r>
    </w:p>
    <w:p w14:paraId="66C4C177" w14:textId="1493D4B6" w:rsidR="005848EA" w:rsidRPr="00EE7889" w:rsidRDefault="005848EA" w:rsidP="00B50FFD">
      <w:pPr>
        <w:pStyle w:val="Nagwek2"/>
        <w:rPr>
          <w:bCs/>
        </w:rPr>
      </w:pPr>
      <w:bookmarkStart w:id="277" w:name="_Toc68726874"/>
      <w:r w:rsidRPr="001915EF">
        <w:t>Ocena postępu w osiąganiu celów środowiskowych dla obszarów chronionych</w:t>
      </w:r>
      <w:bookmarkEnd w:id="272"/>
      <w:bookmarkEnd w:id="273"/>
      <w:bookmarkEnd w:id="277"/>
    </w:p>
    <w:p w14:paraId="253ECD7F" w14:textId="0FD48D78" w:rsidR="005848EA" w:rsidRPr="00EE7889" w:rsidRDefault="005848EA" w:rsidP="005848EA">
      <w:r w:rsidRPr="00EE7889">
        <w:t xml:space="preserve">Dla obszarów chronionych, o których mowa w art. 317 ust. 4 </w:t>
      </w:r>
      <w:r w:rsidR="00FA4331">
        <w:t xml:space="preserve">ustawy </w:t>
      </w:r>
      <w:r w:rsidRPr="00EE7889">
        <w:t>pr.w.:</w:t>
      </w:r>
    </w:p>
    <w:p w14:paraId="755E3DC0" w14:textId="09111540" w:rsidR="005848EA" w:rsidRPr="008D4DDE" w:rsidRDefault="005848EA" w:rsidP="00AA3506">
      <w:pPr>
        <w:pStyle w:val="Numerowanie"/>
        <w:numPr>
          <w:ilvl w:val="0"/>
          <w:numId w:val="90"/>
        </w:numPr>
      </w:pPr>
      <w:bookmarkStart w:id="278" w:name="_Hlk66038946"/>
      <w:r>
        <w:t>jcw</w:t>
      </w:r>
      <w:r w:rsidRPr="008D4DDE">
        <w:t xml:space="preserve"> przeznaczonych do poboru wody na potrzeby zaopatrzenia ludności w wodę przeznaczoną do spożycia przez ludzi</w:t>
      </w:r>
      <w:bookmarkEnd w:id="278"/>
      <w:r w:rsidRPr="008D4DDE">
        <w:t>, o których mowa w art. 71</w:t>
      </w:r>
      <w:r>
        <w:t xml:space="preserve"> </w:t>
      </w:r>
      <w:r w:rsidR="00FA4331">
        <w:t xml:space="preserve">ustawy </w:t>
      </w:r>
      <w:r>
        <w:t>pr.w.</w:t>
      </w:r>
      <w:r w:rsidRPr="008D4DDE">
        <w:t>;</w:t>
      </w:r>
    </w:p>
    <w:p w14:paraId="3B73ECEE" w14:textId="77777777" w:rsidR="005848EA" w:rsidRPr="008D4DDE" w:rsidRDefault="005848EA" w:rsidP="00F06393">
      <w:pPr>
        <w:pStyle w:val="Numerowanie"/>
      </w:pPr>
      <w:r>
        <w:t>jcw</w:t>
      </w:r>
      <w:r w:rsidRPr="008D4DDE">
        <w:t xml:space="preserve"> przeznaczonych do celów rekreacyjnych, w tym kąpieliskowych;</w:t>
      </w:r>
    </w:p>
    <w:p w14:paraId="69553BCD" w14:textId="3AA40744" w:rsidR="005848EA" w:rsidRDefault="005848EA" w:rsidP="00F06393">
      <w:pPr>
        <w:pStyle w:val="Numerowanie"/>
      </w:pPr>
      <w:r w:rsidRPr="008D4DDE">
        <w:t>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w:t>
      </w:r>
      <w:r w:rsidR="00553428">
        <w:t> </w:t>
      </w:r>
      <w:r w:rsidRPr="008D4DDE">
        <w:t>wyniku którego następują niepożądane zakłócenia biologicznych stosunków w środowisku wodnym oraz pogorszenie jakości tych wód;</w:t>
      </w:r>
    </w:p>
    <w:p w14:paraId="046E8416" w14:textId="45C9AA36" w:rsidR="00E13BC3" w:rsidRDefault="00E13BC3" w:rsidP="00E13BC3">
      <w:r>
        <w:t>Podstawowym celem jest osiągnięcie dobrego stanu/potencjału ekologicznego i dobrego stanu chemicznego, zatem ocena postępu w osiąganiu celów dla tych obszarów będzie równoznaczna z</w:t>
      </w:r>
      <w:r w:rsidR="00553428">
        <w:t> </w:t>
      </w:r>
      <w:r>
        <w:t>oceną postępu w osiąganiu celów dla jcwp. W III cyklu planistycznym aPGW (2016-2021):</w:t>
      </w:r>
    </w:p>
    <w:p w14:paraId="1ECDE16A" w14:textId="195BD10C" w:rsidR="00E13BC3" w:rsidRPr="000627EC" w:rsidRDefault="00E13BC3" w:rsidP="00AA3506">
      <w:pPr>
        <w:pStyle w:val="Akapitzlist"/>
        <w:numPr>
          <w:ilvl w:val="0"/>
          <w:numId w:val="91"/>
        </w:numPr>
      </w:pPr>
      <w:r>
        <w:t>Brak</w:t>
      </w:r>
      <w:r w:rsidRPr="000627EC">
        <w:t xml:space="preserve"> obszarów chronionych wód przeznaczonych do poboru wody na potrzeby zaopatrzenia ludności w wodę przeznaczoną do spożycia przez ludzi w obszarze dorzecza </w:t>
      </w:r>
      <w:r>
        <w:t>Pregoły</w:t>
      </w:r>
      <w:r w:rsidR="004A5D9B">
        <w:t>.</w:t>
      </w:r>
    </w:p>
    <w:p w14:paraId="4A20A7FE" w14:textId="49E9F083" w:rsidR="00124021" w:rsidRPr="00124021" w:rsidRDefault="007C02F7" w:rsidP="00AA3506">
      <w:pPr>
        <w:pStyle w:val="Akapitzlist"/>
        <w:numPr>
          <w:ilvl w:val="0"/>
          <w:numId w:val="91"/>
        </w:numPr>
      </w:pPr>
      <w:r>
        <w:t>Wynikiem niespełnienia celów środowiskowych jcwp w zakresie obszaru ochronnego o</w:t>
      </w:r>
      <w:r w:rsidR="007E5892">
        <w:t> </w:t>
      </w:r>
      <w:r>
        <w:t xml:space="preserve">przeznaczeniu wód na cele rekreacyjne, w tym kąpieliskowe (zgodnie z wytycznymi </w:t>
      </w:r>
      <w:r>
        <w:rPr>
          <w:rFonts w:cstheme="minorHAnsi"/>
        </w:rPr>
        <w:t xml:space="preserve">rozporządzenia Ministra Zdrowia z dnia 17 stycznia 2019 roku w sprawie nadzoru nad jakością wody w kąpielisku i miejscu okazjonalnie wykorzystywanym do kąpieli </w:t>
      </w:r>
      <w:r w:rsidR="006C4947">
        <w:rPr>
          <w:rFonts w:cstheme="minorHAnsi"/>
        </w:rPr>
        <w:t>-</w:t>
      </w:r>
      <w:r>
        <w:rPr>
          <w:rFonts w:cstheme="minorHAnsi"/>
        </w:rPr>
        <w:t xml:space="preserve"> </w:t>
      </w:r>
      <w:r w:rsidR="00030201">
        <w:rPr>
          <w:rFonts w:cstheme="minorHAnsi"/>
        </w:rPr>
        <w:t xml:space="preserve">t.j. </w:t>
      </w:r>
      <w:r>
        <w:rPr>
          <w:rFonts w:cstheme="minorHAnsi"/>
        </w:rPr>
        <w:t>Dz.U. z 2019 r., poz. 255)</w:t>
      </w:r>
      <w:r>
        <w:t xml:space="preserve">, jest w prosty sposób zamknięcie kąpieliska, co może być działaniem trwałym bądź chwilowym. W związku z tym zgodnie z metodyką przyjętą w opracowaniu </w:t>
      </w:r>
      <w:r>
        <w:rPr>
          <w:i/>
          <w:iCs/>
        </w:rPr>
        <w:t>Ustalenie celów środowiskowych (…)</w:t>
      </w:r>
      <w:r>
        <w:t xml:space="preserve">  na potrzeby oceny spełnienia celów środowiskowych przez jednolite części wód powierzchniowych przeznaczone do celów rekreacyjnych, w tym kąpieliskowych jest porównanie wykazu jcwp z aPGW, na których zlokalizowany był ten typ obszaru chronionego ze zaktualizowanym wykazem opracowanym na potrzeby cyklu planistycznego IIaPGW 2022-2027. Porównanie tych dwóch wykazów pozwala na identyfikację jcwp, które utrzymały swoje funkcje w tym zakresie, co oznacza że spełniają one cel środowiskowy obszaru chronionego. </w:t>
      </w:r>
      <w:r w:rsidR="00124021" w:rsidRPr="00124021">
        <w:t xml:space="preserve">Na obszarze dorzecza Pregoły: </w:t>
      </w:r>
    </w:p>
    <w:p w14:paraId="73F522CC" w14:textId="4619297A" w:rsidR="00124021" w:rsidRPr="00124021" w:rsidRDefault="00124021" w:rsidP="00AA3506">
      <w:pPr>
        <w:pStyle w:val="Akapitzlist"/>
        <w:numPr>
          <w:ilvl w:val="1"/>
          <w:numId w:val="91"/>
        </w:numPr>
      </w:pPr>
      <w:r w:rsidRPr="00124021">
        <w:t xml:space="preserve">3 jcwp </w:t>
      </w:r>
      <w:r>
        <w:t xml:space="preserve">RW </w:t>
      </w:r>
      <w:r w:rsidRPr="00124021">
        <w:t>wskazane w aPGW osiągnęły cel środowiskowy.</w:t>
      </w:r>
    </w:p>
    <w:p w14:paraId="076986D1" w14:textId="166873E1" w:rsidR="00124021" w:rsidRDefault="00124021" w:rsidP="00AA3506">
      <w:pPr>
        <w:pStyle w:val="Akapitzlist"/>
        <w:numPr>
          <w:ilvl w:val="1"/>
          <w:numId w:val="91"/>
        </w:numPr>
      </w:pPr>
      <w:r w:rsidRPr="00124021">
        <w:t xml:space="preserve">2 jcwp </w:t>
      </w:r>
      <w:r>
        <w:t xml:space="preserve">LW </w:t>
      </w:r>
      <w:r w:rsidRPr="00124021">
        <w:t xml:space="preserve">wskazane w aPGW zostały ponownie wyznaczone jako jcwp przeznaczone do celów kąpieliskowych </w:t>
      </w:r>
      <w:r w:rsidR="006C4947">
        <w:t>-</w:t>
      </w:r>
      <w:r w:rsidRPr="00124021">
        <w:t xml:space="preserve"> osiągnęły cel środowiskowy.</w:t>
      </w:r>
    </w:p>
    <w:p w14:paraId="5B4D536F" w14:textId="453E705D" w:rsidR="00E13BC3" w:rsidRPr="004A5D9B" w:rsidRDefault="00E13BC3" w:rsidP="00124021">
      <w:pPr>
        <w:spacing w:line="259" w:lineRule="auto"/>
        <w:ind w:left="709"/>
      </w:pPr>
      <w:r>
        <w:t>Dla</w:t>
      </w:r>
      <w:r w:rsidRPr="000627EC">
        <w:t xml:space="preserve"> obszarów chronionych wód przeznaczonych do celów rekreacyjnych, w tym kąpieliskowych w obszarze dorzecza </w:t>
      </w:r>
      <w:r>
        <w:t xml:space="preserve">Pregoły cel dla stanu/potencjału ekologicznego i cel chemiczny został osiągnięty dla 1 jcwp (20,0%) spośród 5 jcwp z tym typem obszaru </w:t>
      </w:r>
      <w:r w:rsidRPr="004A5D9B">
        <w:t xml:space="preserve">chronionego. </w:t>
      </w:r>
    </w:p>
    <w:p w14:paraId="463A4E6C" w14:textId="16B6F484" w:rsidR="005848EA" w:rsidRPr="00156C67" w:rsidRDefault="00E13BC3" w:rsidP="00AA3506">
      <w:pPr>
        <w:pStyle w:val="Akapitzlist"/>
        <w:numPr>
          <w:ilvl w:val="0"/>
          <w:numId w:val="91"/>
        </w:numPr>
      </w:pPr>
      <w:r w:rsidRPr="008B568A">
        <w:t>Dla obszarów chronionych wód wrażliwych na eutrofizację wywołaną zanieczyszczeniami pochodzącymi ze źródeł komunalnych rozumianą jako wzbogacanie wód biogenami, w</w:t>
      </w:r>
      <w:r w:rsidR="00553428">
        <w:t> </w:t>
      </w:r>
      <w:r w:rsidRPr="008B568A">
        <w:t>obszarze dorzecza Pregoły cel dla stanu/potencjału został osiągnięty dla 15 jcwp (6,8%), a</w:t>
      </w:r>
      <w:r w:rsidR="00553428">
        <w:t> </w:t>
      </w:r>
      <w:r w:rsidRPr="008B568A">
        <w:t xml:space="preserve">dla stanu chemicznego został osiągnięty dla 29 jcwp (13,1%) spośród 221 jcwp z tym typem obszaru chronionego </w:t>
      </w:r>
      <w:r w:rsidR="005848EA" w:rsidRPr="00E0289B">
        <w:t>(</w:t>
      </w:r>
      <w:r w:rsidR="004A1B76" w:rsidRPr="00156C67">
        <w:t>t</w:t>
      </w:r>
      <w:r w:rsidR="005848EA" w:rsidRPr="00156C67">
        <w:t>abela 9-</w:t>
      </w:r>
      <w:r w:rsidRPr="00156C67">
        <w:t>1</w:t>
      </w:r>
      <w:r w:rsidR="00373A13">
        <w:t>4</w:t>
      </w:r>
      <w:r w:rsidR="005848EA" w:rsidRPr="00156C67">
        <w:t>).</w:t>
      </w:r>
    </w:p>
    <w:p w14:paraId="45DF59E7" w14:textId="53E629F5" w:rsidR="005848EA" w:rsidRPr="00B766BA" w:rsidRDefault="005848EA" w:rsidP="006802BB">
      <w:pPr>
        <w:pStyle w:val="Tabela"/>
        <w:rPr>
          <w:i/>
        </w:rPr>
      </w:pPr>
      <w:bookmarkStart w:id="279" w:name="_Ref66040176"/>
      <w:bookmarkStart w:id="280" w:name="_Toc66311316"/>
      <w:bookmarkStart w:id="281" w:name="_Toc68727010"/>
      <w:r w:rsidRPr="00B766BA">
        <w:t xml:space="preserve">Tabela </w:t>
      </w:r>
      <w:bookmarkEnd w:id="279"/>
      <w:r w:rsidR="007B4050">
        <w:fldChar w:fldCharType="begin"/>
      </w:r>
      <w:r w:rsidR="007B4050">
        <w:instrText xml:space="preserve"> STYLEREF 1 \s </w:instrText>
      </w:r>
      <w:r w:rsidR="007B4050">
        <w:fldChar w:fldCharType="separate"/>
      </w:r>
      <w:r w:rsidR="007B4050">
        <w:rPr>
          <w:noProof/>
        </w:rPr>
        <w:t>9</w:t>
      </w:r>
      <w:r w:rsidR="007B4050">
        <w:fldChar w:fldCharType="end"/>
      </w:r>
      <w:r w:rsidR="007B4050">
        <w:noBreakHyphen/>
      </w:r>
      <w:fldSimple w:instr=" SEQ Tabela \* ARABIC \s 1 ">
        <w:r w:rsidR="007B4050">
          <w:rPr>
            <w:noProof/>
          </w:rPr>
          <w:t>14</w:t>
        </w:r>
      </w:fldSimple>
      <w:r>
        <w:tab/>
      </w:r>
      <w:bookmarkEnd w:id="280"/>
      <w:r w:rsidR="00E13BC3" w:rsidRPr="00E13BC3">
        <w:t>Ocena postępu w osiąganiu podstawowych celów środowiskowych dla obszarów chronionych; wód przeznaczonych do celów rekreacyjnych, w tym kąpieliskowych; wrażliwych na eutrofizację wywołaną zanieczyszczeniami pochodzącymi ze źródeł komunalnych rozumianą jako wzbogacanie wód biogenami w obszarze dorzecza Pregoły</w:t>
      </w:r>
      <w:bookmarkEnd w:id="281"/>
    </w:p>
    <w:tbl>
      <w:tblPr>
        <w:tblStyle w:val="GridTable4-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1376"/>
        <w:gridCol w:w="1512"/>
        <w:gridCol w:w="1376"/>
        <w:gridCol w:w="1512"/>
      </w:tblGrid>
      <w:tr w:rsidR="005848EA" w:rsidRPr="007401E3" w14:paraId="0552E50E" w14:textId="77777777" w:rsidTr="007E5892">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3286"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3099AF56" w14:textId="2B16D8FB" w:rsidR="005848EA" w:rsidRPr="00491D70" w:rsidRDefault="00B8384A" w:rsidP="00024FDD">
            <w:pPr>
              <w:spacing w:before="0" w:after="0"/>
              <w:jc w:val="center"/>
              <w:rPr>
                <w:rFonts w:eastAsia="Times New Roman" w:cs="Calibri"/>
                <w:color w:val="000000" w:themeColor="text1"/>
                <w:sz w:val="20"/>
                <w:szCs w:val="20"/>
                <w:lang w:val="pl-PL"/>
              </w:rPr>
            </w:pPr>
            <w:bookmarkStart w:id="282" w:name="_Hlk66041089"/>
            <w:bookmarkEnd w:id="274"/>
            <w:r>
              <w:rPr>
                <w:rFonts w:eastAsia="Times New Roman" w:cs="Calibri"/>
                <w:color w:val="000000" w:themeColor="text1"/>
                <w:sz w:val="20"/>
                <w:szCs w:val="20"/>
                <w:lang w:val="pl-PL"/>
              </w:rPr>
              <w:t>Stopień osiągnięcia celu</w:t>
            </w:r>
          </w:p>
        </w:tc>
        <w:tc>
          <w:tcPr>
            <w:tcW w:w="28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12E850FC" w14:textId="0879D04D" w:rsidR="005848EA" w:rsidRPr="007401E3" w:rsidRDefault="000D4351" w:rsidP="00840CC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Pr>
                <w:rFonts w:eastAsia="Times New Roman" w:cs="Calibri"/>
                <w:color w:val="000000" w:themeColor="text1"/>
                <w:sz w:val="20"/>
                <w:szCs w:val="20"/>
              </w:rPr>
              <w:t>Stan/potencjał ekologiczny</w:t>
            </w:r>
          </w:p>
        </w:tc>
        <w:tc>
          <w:tcPr>
            <w:tcW w:w="28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757785BF" w14:textId="11ADC132" w:rsidR="005848EA" w:rsidRPr="007401E3" w:rsidRDefault="000D4351" w:rsidP="00840CC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Pr>
                <w:rFonts w:eastAsia="Times New Roman" w:cs="Calibri"/>
                <w:color w:val="000000" w:themeColor="text1"/>
                <w:sz w:val="20"/>
                <w:szCs w:val="20"/>
              </w:rPr>
              <w:t>Stan chemiczny</w:t>
            </w:r>
          </w:p>
        </w:tc>
      </w:tr>
      <w:tr w:rsidR="00215474" w:rsidRPr="007401E3" w14:paraId="24C4E21D" w14:textId="77777777" w:rsidTr="007E5892">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328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829F684" w14:textId="77777777" w:rsidR="00215474" w:rsidRPr="00491D70" w:rsidRDefault="00215474" w:rsidP="00215474">
            <w:pPr>
              <w:spacing w:after="0"/>
              <w:rPr>
                <w:rFonts w:eastAsia="Times New Roman" w:cs="Calibri"/>
                <w:color w:val="000000" w:themeColor="text1"/>
                <w:sz w:val="20"/>
                <w:szCs w:val="20"/>
                <w:lang w:val="pl-PL"/>
              </w:rPr>
            </w:pPr>
          </w:p>
        </w:tc>
        <w:tc>
          <w:tcPr>
            <w:tcW w:w="13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E31B24" w14:textId="77777777" w:rsidR="00215474" w:rsidRPr="007401E3" w:rsidRDefault="00215474" w:rsidP="0021547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7401E3">
              <w:rPr>
                <w:rFonts w:eastAsia="Times New Roman" w:cs="Calibri"/>
                <w:color w:val="000000" w:themeColor="text1"/>
                <w:sz w:val="20"/>
                <w:szCs w:val="20"/>
              </w:rPr>
              <w:t>liczba jcwp</w:t>
            </w:r>
          </w:p>
        </w:tc>
        <w:tc>
          <w:tcPr>
            <w:tcW w:w="151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951138" w14:textId="0C1CA20A" w:rsidR="00215474" w:rsidRPr="00215474" w:rsidRDefault="00215474" w:rsidP="0021547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lang w:val="pl-PL"/>
              </w:rPr>
            </w:pPr>
            <w:r w:rsidRPr="00215474">
              <w:rPr>
                <w:rFonts w:eastAsia="Times New Roman" w:cs="Calibri"/>
                <w:color w:val="000000" w:themeColor="text1"/>
                <w:sz w:val="20"/>
                <w:szCs w:val="20"/>
                <w:lang w:val="pl-PL"/>
              </w:rPr>
              <w:t>udział jcwp w obszarze dorzecz</w:t>
            </w:r>
            <w:r>
              <w:rPr>
                <w:rFonts w:eastAsia="Times New Roman" w:cs="Calibri"/>
                <w:color w:val="000000" w:themeColor="text1"/>
                <w:sz w:val="20"/>
                <w:szCs w:val="20"/>
                <w:lang w:val="pl-PL"/>
              </w:rPr>
              <w:t>a (%)</w:t>
            </w:r>
          </w:p>
        </w:tc>
        <w:tc>
          <w:tcPr>
            <w:tcW w:w="13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C23C5A" w14:textId="77777777" w:rsidR="00215474" w:rsidRPr="007401E3" w:rsidRDefault="00215474" w:rsidP="0021547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7401E3">
              <w:rPr>
                <w:rFonts w:eastAsia="Times New Roman" w:cs="Calibri"/>
                <w:color w:val="000000" w:themeColor="text1"/>
                <w:sz w:val="20"/>
                <w:szCs w:val="20"/>
              </w:rPr>
              <w:t>liczba jcwp</w:t>
            </w:r>
          </w:p>
        </w:tc>
        <w:tc>
          <w:tcPr>
            <w:tcW w:w="151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22C94" w14:textId="34D3D91C" w:rsidR="00215474" w:rsidRPr="00215474" w:rsidRDefault="00215474" w:rsidP="0021547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 w:val="20"/>
                <w:szCs w:val="20"/>
                <w:lang w:val="pl-PL"/>
              </w:rPr>
            </w:pPr>
            <w:r w:rsidRPr="00215474">
              <w:rPr>
                <w:rFonts w:eastAsia="Times New Roman" w:cs="Calibri"/>
                <w:color w:val="000000" w:themeColor="text1"/>
                <w:sz w:val="20"/>
                <w:szCs w:val="20"/>
                <w:lang w:val="pl-PL"/>
              </w:rPr>
              <w:t>udział jcwp w obszarze dorzecz</w:t>
            </w:r>
            <w:r>
              <w:rPr>
                <w:rFonts w:eastAsia="Times New Roman" w:cs="Calibri"/>
                <w:color w:val="000000" w:themeColor="text1"/>
                <w:sz w:val="20"/>
                <w:szCs w:val="20"/>
                <w:lang w:val="pl-PL"/>
              </w:rPr>
              <w:t>a (%)</w:t>
            </w:r>
          </w:p>
        </w:tc>
      </w:tr>
      <w:tr w:rsidR="005848EA" w:rsidRPr="007401E3" w14:paraId="631806D2" w14:textId="77777777" w:rsidTr="007E589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062" w:type="dxa"/>
            <w:gridSpan w:val="5"/>
            <w:tcBorders>
              <w:top w:val="single" w:sz="4" w:space="0" w:color="auto"/>
            </w:tcBorders>
            <w:shd w:val="clear" w:color="auto" w:fill="BFBFBF" w:themeFill="background1" w:themeFillShade="BF"/>
            <w:vAlign w:val="center"/>
            <w:hideMark/>
          </w:tcPr>
          <w:p w14:paraId="32D9A83D" w14:textId="77777777" w:rsidR="005848EA" w:rsidRPr="007401E3" w:rsidRDefault="005848EA" w:rsidP="00840CCD">
            <w:pPr>
              <w:spacing w:after="0"/>
              <w:jc w:val="center"/>
              <w:rPr>
                <w:rFonts w:eastAsia="Times New Roman" w:cs="Calibri"/>
                <w:color w:val="000000" w:themeColor="text1"/>
                <w:sz w:val="20"/>
                <w:szCs w:val="20"/>
                <w:lang w:val="pl-PL"/>
              </w:rPr>
            </w:pPr>
            <w:r w:rsidRPr="007401E3">
              <w:rPr>
                <w:rFonts w:eastAsia="Times New Roman" w:cs="Calibri"/>
                <w:color w:val="000000" w:themeColor="text1"/>
                <w:sz w:val="20"/>
                <w:szCs w:val="20"/>
                <w:lang w:val="pl-PL"/>
              </w:rPr>
              <w:t>Obszary chronione wód wrażliwych na eutrofizację wywołaną zanieczyszczeniami pochodzącymi ze źródeł komunalnych</w:t>
            </w:r>
          </w:p>
        </w:tc>
      </w:tr>
      <w:tr w:rsidR="004A5D9B" w:rsidRPr="007401E3" w14:paraId="0C0E1388" w14:textId="77777777" w:rsidTr="004A5D9B">
        <w:trPr>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hideMark/>
          </w:tcPr>
          <w:p w14:paraId="17C6FC45" w14:textId="77777777" w:rsidR="004A5D9B" w:rsidRPr="00024FDD" w:rsidRDefault="004A5D9B" w:rsidP="004A5D9B">
            <w:pPr>
              <w:spacing w:after="0"/>
              <w:jc w:val="left"/>
              <w:rPr>
                <w:rFonts w:eastAsia="Times New Roman" w:cs="Calibri"/>
                <w:b w:val="0"/>
                <w:bCs w:val="0"/>
                <w:color w:val="000000" w:themeColor="text1"/>
                <w:sz w:val="20"/>
                <w:szCs w:val="20"/>
              </w:rPr>
            </w:pPr>
            <w:r w:rsidRPr="00024FDD">
              <w:rPr>
                <w:b w:val="0"/>
                <w:bCs w:val="0"/>
                <w:color w:val="000000" w:themeColor="text1"/>
                <w:sz w:val="20"/>
                <w:szCs w:val="20"/>
              </w:rPr>
              <w:t>Cel nieosiągniety - brak postępu</w:t>
            </w:r>
          </w:p>
        </w:tc>
        <w:tc>
          <w:tcPr>
            <w:tcW w:w="1376" w:type="dxa"/>
            <w:shd w:val="clear" w:color="auto" w:fill="auto"/>
            <w:noWrap/>
            <w:vAlign w:val="center"/>
            <w:hideMark/>
          </w:tcPr>
          <w:p w14:paraId="47C8939F" w14:textId="30747814"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43</w:t>
            </w:r>
          </w:p>
        </w:tc>
        <w:tc>
          <w:tcPr>
            <w:tcW w:w="1512" w:type="dxa"/>
            <w:shd w:val="clear" w:color="auto" w:fill="auto"/>
            <w:noWrap/>
            <w:vAlign w:val="center"/>
            <w:hideMark/>
          </w:tcPr>
          <w:p w14:paraId="74D40935" w14:textId="7130983F"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19,5</w:t>
            </w:r>
          </w:p>
        </w:tc>
        <w:tc>
          <w:tcPr>
            <w:tcW w:w="1376" w:type="dxa"/>
            <w:shd w:val="clear" w:color="auto" w:fill="auto"/>
            <w:noWrap/>
            <w:vAlign w:val="center"/>
            <w:hideMark/>
          </w:tcPr>
          <w:p w14:paraId="05723D47" w14:textId="7AE95B30"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14</w:t>
            </w:r>
          </w:p>
        </w:tc>
        <w:tc>
          <w:tcPr>
            <w:tcW w:w="1512" w:type="dxa"/>
            <w:shd w:val="clear" w:color="auto" w:fill="auto"/>
            <w:noWrap/>
            <w:vAlign w:val="center"/>
            <w:hideMark/>
          </w:tcPr>
          <w:p w14:paraId="0AA58C8F" w14:textId="6E226589" w:rsidR="004A5D9B" w:rsidRPr="00B747A1"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B747A1">
              <w:rPr>
                <w:rFonts w:cs="Calibri"/>
                <w:color w:val="000000"/>
                <w:sz w:val="20"/>
                <w:szCs w:val="20"/>
              </w:rPr>
              <w:t>6,3</w:t>
            </w:r>
          </w:p>
        </w:tc>
      </w:tr>
      <w:tr w:rsidR="00E310D8" w:rsidRPr="007401E3" w14:paraId="6AF554AA" w14:textId="77777777" w:rsidTr="004A5D9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tcPr>
          <w:p w14:paraId="77C5E098" w14:textId="428A4ED5" w:rsidR="00E310D8" w:rsidRPr="00E310D8" w:rsidRDefault="00E310D8" w:rsidP="00E310D8">
            <w:pPr>
              <w:spacing w:after="0"/>
              <w:jc w:val="left"/>
              <w:rPr>
                <w:b w:val="0"/>
                <w:bCs w:val="0"/>
                <w:color w:val="000000" w:themeColor="text1"/>
                <w:sz w:val="20"/>
                <w:szCs w:val="20"/>
                <w:lang w:val="pl-PL"/>
              </w:rPr>
            </w:pPr>
            <w:r w:rsidRPr="00024FDD">
              <w:rPr>
                <w:b w:val="0"/>
                <w:bCs w:val="0"/>
                <w:color w:val="000000" w:themeColor="text1"/>
                <w:sz w:val="20"/>
                <w:szCs w:val="20"/>
                <w:lang w:val="pl-PL"/>
              </w:rPr>
              <w:t>Cel nieosiągnięty - pogorszenie do stanu złego </w:t>
            </w:r>
          </w:p>
        </w:tc>
        <w:tc>
          <w:tcPr>
            <w:tcW w:w="1376" w:type="dxa"/>
            <w:shd w:val="clear" w:color="auto" w:fill="auto"/>
            <w:noWrap/>
            <w:vAlign w:val="center"/>
          </w:tcPr>
          <w:p w14:paraId="7D461642" w14:textId="4EFF0C88"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94</w:t>
            </w:r>
          </w:p>
        </w:tc>
        <w:tc>
          <w:tcPr>
            <w:tcW w:w="1512" w:type="dxa"/>
            <w:shd w:val="clear" w:color="auto" w:fill="auto"/>
            <w:noWrap/>
            <w:vAlign w:val="center"/>
          </w:tcPr>
          <w:p w14:paraId="04D0E9AD" w14:textId="29909E5D"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42,5</w:t>
            </w:r>
          </w:p>
        </w:tc>
        <w:tc>
          <w:tcPr>
            <w:tcW w:w="1376" w:type="dxa"/>
            <w:shd w:val="clear" w:color="auto" w:fill="auto"/>
            <w:noWrap/>
            <w:vAlign w:val="center"/>
          </w:tcPr>
          <w:p w14:paraId="5DA14386" w14:textId="2C183146"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58</w:t>
            </w:r>
          </w:p>
        </w:tc>
        <w:tc>
          <w:tcPr>
            <w:tcW w:w="1512" w:type="dxa"/>
            <w:shd w:val="clear" w:color="auto" w:fill="auto"/>
            <w:noWrap/>
            <w:vAlign w:val="center"/>
          </w:tcPr>
          <w:p w14:paraId="0EA855EE" w14:textId="37271BF4" w:rsidR="00E310D8" w:rsidRPr="00B747A1"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B747A1">
              <w:rPr>
                <w:rFonts w:cs="Calibri"/>
                <w:color w:val="000000"/>
                <w:sz w:val="20"/>
                <w:szCs w:val="20"/>
              </w:rPr>
              <w:t>26,2</w:t>
            </w:r>
          </w:p>
        </w:tc>
      </w:tr>
      <w:tr w:rsidR="004A5D9B" w:rsidRPr="007401E3" w14:paraId="11A3C575" w14:textId="77777777" w:rsidTr="004A5D9B">
        <w:trPr>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hideMark/>
          </w:tcPr>
          <w:p w14:paraId="13100A1F" w14:textId="77777777" w:rsidR="004A5D9B" w:rsidRPr="00024FDD" w:rsidRDefault="004A5D9B" w:rsidP="004A5D9B">
            <w:pPr>
              <w:spacing w:after="0"/>
              <w:jc w:val="left"/>
              <w:rPr>
                <w:rFonts w:eastAsia="Times New Roman" w:cs="Calibri"/>
                <w:b w:val="0"/>
                <w:bCs w:val="0"/>
                <w:color w:val="000000" w:themeColor="text1"/>
                <w:sz w:val="20"/>
                <w:szCs w:val="20"/>
                <w:lang w:val="pl-PL"/>
              </w:rPr>
            </w:pPr>
            <w:r w:rsidRPr="00024FDD">
              <w:rPr>
                <w:b w:val="0"/>
                <w:bCs w:val="0"/>
                <w:color w:val="000000" w:themeColor="text1"/>
                <w:sz w:val="20"/>
                <w:szCs w:val="20"/>
                <w:lang w:val="pl-PL"/>
              </w:rPr>
              <w:t xml:space="preserve">Cel nieosiągnięty - ale poprawa stanu/potencjału </w:t>
            </w:r>
          </w:p>
        </w:tc>
        <w:tc>
          <w:tcPr>
            <w:tcW w:w="1376" w:type="dxa"/>
            <w:shd w:val="clear" w:color="auto" w:fill="auto"/>
            <w:noWrap/>
            <w:vAlign w:val="center"/>
            <w:hideMark/>
          </w:tcPr>
          <w:p w14:paraId="69610633" w14:textId="69E82AB8"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6</w:t>
            </w:r>
          </w:p>
        </w:tc>
        <w:tc>
          <w:tcPr>
            <w:tcW w:w="1512" w:type="dxa"/>
            <w:shd w:val="clear" w:color="auto" w:fill="auto"/>
            <w:noWrap/>
            <w:vAlign w:val="center"/>
            <w:hideMark/>
          </w:tcPr>
          <w:p w14:paraId="4A37C28B" w14:textId="704D948E"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2,7</w:t>
            </w:r>
          </w:p>
        </w:tc>
        <w:tc>
          <w:tcPr>
            <w:tcW w:w="1376" w:type="dxa"/>
            <w:shd w:val="clear" w:color="auto" w:fill="auto"/>
            <w:noWrap/>
            <w:vAlign w:val="center"/>
            <w:hideMark/>
          </w:tcPr>
          <w:p w14:paraId="582F3D8A" w14:textId="2225983F"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0</w:t>
            </w:r>
          </w:p>
        </w:tc>
        <w:tc>
          <w:tcPr>
            <w:tcW w:w="1512" w:type="dxa"/>
            <w:shd w:val="clear" w:color="auto" w:fill="auto"/>
            <w:noWrap/>
            <w:vAlign w:val="center"/>
            <w:hideMark/>
          </w:tcPr>
          <w:p w14:paraId="2758B851" w14:textId="389E3AFF" w:rsidR="004A5D9B" w:rsidRPr="00B747A1"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B747A1">
              <w:rPr>
                <w:rFonts w:cs="Calibri"/>
                <w:color w:val="000000"/>
                <w:sz w:val="20"/>
                <w:szCs w:val="20"/>
              </w:rPr>
              <w:t>0,0</w:t>
            </w:r>
          </w:p>
        </w:tc>
      </w:tr>
      <w:tr w:rsidR="00E310D8" w:rsidRPr="007401E3" w14:paraId="0C53BB4D" w14:textId="77777777" w:rsidTr="00E310D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tcPr>
          <w:p w14:paraId="52DADEA9" w14:textId="745CE7DC" w:rsidR="00E310D8" w:rsidRPr="00024FDD" w:rsidRDefault="00E310D8" w:rsidP="00E310D8">
            <w:pPr>
              <w:spacing w:after="0"/>
              <w:jc w:val="left"/>
              <w:rPr>
                <w:rFonts w:eastAsia="Times New Roman" w:cs="Calibri"/>
                <w:b w:val="0"/>
                <w:bCs w:val="0"/>
                <w:color w:val="000000" w:themeColor="text1"/>
                <w:sz w:val="20"/>
                <w:szCs w:val="20"/>
                <w:lang w:val="pl-PL"/>
              </w:rPr>
            </w:pPr>
            <w:r w:rsidRPr="00024FDD">
              <w:rPr>
                <w:b w:val="0"/>
                <w:bCs w:val="0"/>
                <w:color w:val="000000" w:themeColor="text1"/>
                <w:sz w:val="20"/>
                <w:szCs w:val="20"/>
                <w:lang w:val="pl-PL"/>
              </w:rPr>
              <w:t>Cel osiągnięty - utrzymanie dobrego stanu </w:t>
            </w:r>
          </w:p>
        </w:tc>
        <w:tc>
          <w:tcPr>
            <w:tcW w:w="1376" w:type="dxa"/>
            <w:shd w:val="clear" w:color="auto" w:fill="auto"/>
            <w:noWrap/>
            <w:vAlign w:val="center"/>
          </w:tcPr>
          <w:p w14:paraId="319CEC56" w14:textId="2B37D7A9"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10</w:t>
            </w:r>
          </w:p>
        </w:tc>
        <w:tc>
          <w:tcPr>
            <w:tcW w:w="1512" w:type="dxa"/>
            <w:shd w:val="clear" w:color="auto" w:fill="auto"/>
            <w:noWrap/>
            <w:vAlign w:val="center"/>
          </w:tcPr>
          <w:p w14:paraId="6C236B24" w14:textId="1859483C"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4,5</w:t>
            </w:r>
          </w:p>
        </w:tc>
        <w:tc>
          <w:tcPr>
            <w:tcW w:w="1376" w:type="dxa"/>
            <w:shd w:val="clear" w:color="auto" w:fill="auto"/>
            <w:noWrap/>
            <w:vAlign w:val="center"/>
          </w:tcPr>
          <w:p w14:paraId="25D2445B" w14:textId="3434F778"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15</w:t>
            </w:r>
          </w:p>
        </w:tc>
        <w:tc>
          <w:tcPr>
            <w:tcW w:w="1512" w:type="dxa"/>
            <w:shd w:val="clear" w:color="auto" w:fill="auto"/>
            <w:noWrap/>
            <w:vAlign w:val="center"/>
          </w:tcPr>
          <w:p w14:paraId="0E952FB4" w14:textId="6F068FFB" w:rsidR="00E310D8" w:rsidRPr="00B747A1"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 w:val="20"/>
                <w:szCs w:val="20"/>
              </w:rPr>
            </w:pPr>
            <w:r w:rsidRPr="00B747A1">
              <w:rPr>
                <w:rFonts w:cs="Calibri"/>
                <w:color w:val="000000"/>
                <w:sz w:val="20"/>
                <w:szCs w:val="20"/>
              </w:rPr>
              <w:t>6,8</w:t>
            </w:r>
          </w:p>
        </w:tc>
      </w:tr>
      <w:tr w:rsidR="004A5D9B" w:rsidRPr="007401E3" w14:paraId="6CBA57EF" w14:textId="77777777" w:rsidTr="004A5D9B">
        <w:trPr>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hideMark/>
          </w:tcPr>
          <w:p w14:paraId="03452137" w14:textId="77777777" w:rsidR="004A5D9B" w:rsidRPr="00024FDD" w:rsidRDefault="004A5D9B" w:rsidP="004A5D9B">
            <w:pPr>
              <w:spacing w:after="0"/>
              <w:jc w:val="left"/>
              <w:rPr>
                <w:rFonts w:eastAsia="Times New Roman" w:cs="Calibri"/>
                <w:b w:val="0"/>
                <w:bCs w:val="0"/>
                <w:color w:val="000000" w:themeColor="text1"/>
                <w:sz w:val="20"/>
                <w:szCs w:val="20"/>
                <w:lang w:val="pl-PL"/>
              </w:rPr>
            </w:pPr>
            <w:r w:rsidRPr="00024FDD">
              <w:rPr>
                <w:b w:val="0"/>
                <w:bCs w:val="0"/>
                <w:color w:val="000000" w:themeColor="text1"/>
                <w:sz w:val="20"/>
                <w:szCs w:val="20"/>
              </w:rPr>
              <w:t>Cel osiągnięty - poprawa stanu </w:t>
            </w:r>
          </w:p>
        </w:tc>
        <w:tc>
          <w:tcPr>
            <w:tcW w:w="1376" w:type="dxa"/>
            <w:shd w:val="clear" w:color="auto" w:fill="auto"/>
            <w:noWrap/>
            <w:vAlign w:val="center"/>
            <w:hideMark/>
          </w:tcPr>
          <w:p w14:paraId="0E17DCDA" w14:textId="12DFB864"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5</w:t>
            </w:r>
          </w:p>
        </w:tc>
        <w:tc>
          <w:tcPr>
            <w:tcW w:w="1512" w:type="dxa"/>
            <w:shd w:val="clear" w:color="auto" w:fill="auto"/>
            <w:noWrap/>
            <w:vAlign w:val="center"/>
            <w:hideMark/>
          </w:tcPr>
          <w:p w14:paraId="44804E92" w14:textId="6C72D4D5"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2,3</w:t>
            </w:r>
          </w:p>
        </w:tc>
        <w:tc>
          <w:tcPr>
            <w:tcW w:w="1376" w:type="dxa"/>
            <w:shd w:val="clear" w:color="auto" w:fill="auto"/>
            <w:noWrap/>
            <w:vAlign w:val="center"/>
            <w:hideMark/>
          </w:tcPr>
          <w:p w14:paraId="09530A70" w14:textId="3058B642" w:rsidR="004A5D9B" w:rsidRPr="004A5D9B"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4A5D9B">
              <w:rPr>
                <w:rFonts w:cs="Calibri"/>
                <w:color w:val="000000"/>
                <w:sz w:val="20"/>
                <w:szCs w:val="20"/>
              </w:rPr>
              <w:t>14</w:t>
            </w:r>
          </w:p>
        </w:tc>
        <w:tc>
          <w:tcPr>
            <w:tcW w:w="1512" w:type="dxa"/>
            <w:shd w:val="clear" w:color="auto" w:fill="auto"/>
            <w:noWrap/>
            <w:vAlign w:val="center"/>
            <w:hideMark/>
          </w:tcPr>
          <w:p w14:paraId="51C42488" w14:textId="1A59082B" w:rsidR="004A5D9B" w:rsidRPr="00B747A1" w:rsidRDefault="004A5D9B" w:rsidP="00553428">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B747A1">
              <w:rPr>
                <w:rFonts w:cs="Calibri"/>
                <w:color w:val="000000"/>
                <w:sz w:val="20"/>
                <w:szCs w:val="20"/>
              </w:rPr>
              <w:t>6,3</w:t>
            </w:r>
          </w:p>
        </w:tc>
      </w:tr>
      <w:tr w:rsidR="00E310D8" w:rsidRPr="007401E3" w14:paraId="1D62189B" w14:textId="77777777" w:rsidTr="004A5D9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auto"/>
            <w:noWrap/>
            <w:vAlign w:val="center"/>
          </w:tcPr>
          <w:p w14:paraId="60479A8F" w14:textId="227BD4FF" w:rsidR="00E310D8" w:rsidRPr="00024FDD" w:rsidRDefault="00E310D8" w:rsidP="00E310D8">
            <w:pPr>
              <w:spacing w:after="0"/>
              <w:jc w:val="left"/>
              <w:rPr>
                <w:b w:val="0"/>
                <w:bCs w:val="0"/>
                <w:color w:val="000000" w:themeColor="text1"/>
                <w:sz w:val="20"/>
                <w:szCs w:val="20"/>
              </w:rPr>
            </w:pPr>
            <w:r w:rsidRPr="00024FDD">
              <w:rPr>
                <w:b w:val="0"/>
                <w:bCs w:val="0"/>
                <w:color w:val="000000" w:themeColor="text1"/>
                <w:sz w:val="20"/>
                <w:szCs w:val="20"/>
              </w:rPr>
              <w:t>Brak możliwości oceny postępu </w:t>
            </w:r>
          </w:p>
        </w:tc>
        <w:tc>
          <w:tcPr>
            <w:tcW w:w="1376" w:type="dxa"/>
            <w:shd w:val="clear" w:color="auto" w:fill="auto"/>
            <w:noWrap/>
            <w:vAlign w:val="center"/>
          </w:tcPr>
          <w:p w14:paraId="36014661" w14:textId="03A6FDDA"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63</w:t>
            </w:r>
          </w:p>
        </w:tc>
        <w:tc>
          <w:tcPr>
            <w:tcW w:w="1512" w:type="dxa"/>
            <w:shd w:val="clear" w:color="auto" w:fill="auto"/>
            <w:noWrap/>
            <w:vAlign w:val="center"/>
          </w:tcPr>
          <w:p w14:paraId="69F5B653" w14:textId="3865450D"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28,5</w:t>
            </w:r>
          </w:p>
        </w:tc>
        <w:tc>
          <w:tcPr>
            <w:tcW w:w="1376" w:type="dxa"/>
            <w:shd w:val="clear" w:color="auto" w:fill="auto"/>
            <w:noWrap/>
            <w:vAlign w:val="center"/>
          </w:tcPr>
          <w:p w14:paraId="12608C1C" w14:textId="2016C7AF" w:rsidR="00E310D8" w:rsidRPr="004A5D9B"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A5D9B">
              <w:rPr>
                <w:rFonts w:cs="Calibri"/>
                <w:color w:val="000000"/>
                <w:sz w:val="20"/>
                <w:szCs w:val="20"/>
              </w:rPr>
              <w:t>120</w:t>
            </w:r>
          </w:p>
        </w:tc>
        <w:tc>
          <w:tcPr>
            <w:tcW w:w="1512" w:type="dxa"/>
            <w:shd w:val="clear" w:color="auto" w:fill="auto"/>
            <w:noWrap/>
            <w:vAlign w:val="center"/>
          </w:tcPr>
          <w:p w14:paraId="1CEBCE9D" w14:textId="24F754C0" w:rsidR="00E310D8" w:rsidRPr="00B747A1" w:rsidRDefault="00E310D8" w:rsidP="00E310D8">
            <w:pPr>
              <w:spacing w:after="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B747A1">
              <w:rPr>
                <w:rFonts w:cs="Calibri"/>
                <w:color w:val="000000"/>
                <w:sz w:val="20"/>
                <w:szCs w:val="20"/>
              </w:rPr>
              <w:t>54,3</w:t>
            </w:r>
          </w:p>
        </w:tc>
      </w:tr>
      <w:tr w:rsidR="00E310D8" w:rsidRPr="007401E3" w14:paraId="2828DA2C" w14:textId="77777777" w:rsidTr="00E310D8">
        <w:trPr>
          <w:trHeight w:val="454"/>
        </w:trPr>
        <w:tc>
          <w:tcPr>
            <w:cnfStyle w:val="001000000000" w:firstRow="0" w:lastRow="0" w:firstColumn="1" w:lastColumn="0" w:oddVBand="0" w:evenVBand="0" w:oddHBand="0" w:evenHBand="0" w:firstRowFirstColumn="0" w:firstRowLastColumn="0" w:lastRowFirstColumn="0" w:lastRowLastColumn="0"/>
            <w:tcW w:w="3286" w:type="dxa"/>
            <w:shd w:val="clear" w:color="auto" w:fill="BFBFBF" w:themeFill="background1" w:themeFillShade="BF"/>
            <w:noWrap/>
            <w:vAlign w:val="center"/>
          </w:tcPr>
          <w:p w14:paraId="63D16C1C" w14:textId="1FCA8F6B" w:rsidR="00E310D8" w:rsidRPr="00E310D8" w:rsidRDefault="00E310D8" w:rsidP="00E310D8">
            <w:pPr>
              <w:spacing w:after="0"/>
              <w:jc w:val="left"/>
              <w:rPr>
                <w:color w:val="000000" w:themeColor="text1"/>
                <w:sz w:val="20"/>
                <w:szCs w:val="20"/>
                <w:lang w:val="pl-PL"/>
              </w:rPr>
            </w:pPr>
            <w:r w:rsidRPr="00E310D8">
              <w:rPr>
                <w:rFonts w:eastAsia="Times New Roman" w:cs="Calibri"/>
                <w:color w:val="000000" w:themeColor="text1"/>
                <w:sz w:val="20"/>
                <w:szCs w:val="20"/>
                <w:lang w:val="pl-PL"/>
              </w:rPr>
              <w:t>Łączna liczba jcwp w obszarze dorzecza</w:t>
            </w:r>
          </w:p>
        </w:tc>
        <w:tc>
          <w:tcPr>
            <w:tcW w:w="1376" w:type="dxa"/>
            <w:shd w:val="clear" w:color="auto" w:fill="BFBFBF" w:themeFill="background1" w:themeFillShade="BF"/>
            <w:noWrap/>
            <w:vAlign w:val="center"/>
          </w:tcPr>
          <w:p w14:paraId="742D671A" w14:textId="38ECB179" w:rsidR="00E310D8" w:rsidRPr="00E310D8" w:rsidRDefault="00E310D8" w:rsidP="00E310D8">
            <w:pPr>
              <w:spacing w:after="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rPr>
            </w:pPr>
            <w:r w:rsidRPr="00E310D8">
              <w:rPr>
                <w:rFonts w:cs="Calibri"/>
                <w:b/>
                <w:bCs/>
                <w:color w:val="000000"/>
                <w:sz w:val="20"/>
                <w:szCs w:val="20"/>
              </w:rPr>
              <w:t>221</w:t>
            </w:r>
          </w:p>
        </w:tc>
        <w:tc>
          <w:tcPr>
            <w:tcW w:w="1512" w:type="dxa"/>
            <w:shd w:val="clear" w:color="auto" w:fill="BFBFBF" w:themeFill="background1" w:themeFillShade="BF"/>
            <w:noWrap/>
            <w:vAlign w:val="center"/>
          </w:tcPr>
          <w:p w14:paraId="0CD95718" w14:textId="6B614B57" w:rsidR="00E310D8" w:rsidRPr="00E310D8" w:rsidRDefault="00E310D8" w:rsidP="00E310D8">
            <w:pPr>
              <w:spacing w:after="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rPr>
            </w:pPr>
            <w:r w:rsidRPr="00E310D8">
              <w:rPr>
                <w:rFonts w:cs="Calibri"/>
                <w:b/>
                <w:bCs/>
                <w:color w:val="000000"/>
                <w:sz w:val="20"/>
                <w:szCs w:val="20"/>
              </w:rPr>
              <w:t>100,0</w:t>
            </w:r>
          </w:p>
        </w:tc>
        <w:tc>
          <w:tcPr>
            <w:tcW w:w="1376" w:type="dxa"/>
            <w:shd w:val="clear" w:color="auto" w:fill="BFBFBF" w:themeFill="background1" w:themeFillShade="BF"/>
            <w:noWrap/>
            <w:vAlign w:val="center"/>
          </w:tcPr>
          <w:p w14:paraId="08EEF6EF" w14:textId="0E944763" w:rsidR="00E310D8" w:rsidRPr="00E310D8" w:rsidRDefault="00E310D8" w:rsidP="00E310D8">
            <w:pPr>
              <w:spacing w:after="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rPr>
            </w:pPr>
            <w:r w:rsidRPr="00E310D8">
              <w:rPr>
                <w:rFonts w:cs="Calibri"/>
                <w:b/>
                <w:bCs/>
                <w:color w:val="000000"/>
                <w:sz w:val="20"/>
                <w:szCs w:val="20"/>
              </w:rPr>
              <w:t>221</w:t>
            </w:r>
          </w:p>
        </w:tc>
        <w:tc>
          <w:tcPr>
            <w:tcW w:w="1512" w:type="dxa"/>
            <w:shd w:val="clear" w:color="auto" w:fill="BFBFBF" w:themeFill="background1" w:themeFillShade="BF"/>
            <w:noWrap/>
            <w:vAlign w:val="center"/>
          </w:tcPr>
          <w:p w14:paraId="5283DFAD" w14:textId="69836153" w:rsidR="00E310D8" w:rsidRPr="00E310D8" w:rsidRDefault="00E310D8" w:rsidP="00E310D8">
            <w:pPr>
              <w:spacing w:after="0"/>
              <w:jc w:val="cente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rPr>
            </w:pPr>
            <w:r w:rsidRPr="00E310D8">
              <w:rPr>
                <w:rFonts w:cs="Calibri"/>
                <w:b/>
                <w:bCs/>
                <w:color w:val="000000"/>
                <w:sz w:val="20"/>
                <w:szCs w:val="20"/>
              </w:rPr>
              <w:t>100,0</w:t>
            </w:r>
          </w:p>
        </w:tc>
      </w:tr>
    </w:tbl>
    <w:bookmarkEnd w:id="282"/>
    <w:p w14:paraId="0E13FF78" w14:textId="45EC7FB6" w:rsidR="00672B83" w:rsidRDefault="005848EA" w:rsidP="003461CF">
      <w:pPr>
        <w:pStyle w:val="rdo0"/>
      </w:pPr>
      <w:r w:rsidRPr="00B766BA">
        <w:t xml:space="preserve">Źródło: </w:t>
      </w:r>
      <w:r w:rsidR="00553428">
        <w:t xml:space="preserve">opracowanie </w:t>
      </w:r>
      <w:r w:rsidR="00B773E9">
        <w:t>własne</w:t>
      </w:r>
      <w:r w:rsidRPr="00B766BA">
        <w:t xml:space="preserve"> na podstawie </w:t>
      </w:r>
      <w:r w:rsidRPr="00553428">
        <w:t>danych</w:t>
      </w:r>
      <w:r w:rsidRPr="00B766BA">
        <w:t xml:space="preserve"> </w:t>
      </w:r>
      <w:bookmarkStart w:id="283" w:name="_Hlk66042100"/>
      <w:r w:rsidRPr="00B766BA">
        <w:t>GIOŚ i aPGW</w:t>
      </w:r>
      <w:bookmarkEnd w:id="283"/>
    </w:p>
    <w:p w14:paraId="1CEC486E" w14:textId="77777777" w:rsidR="00672B83" w:rsidRDefault="00672B83">
      <w:pPr>
        <w:spacing w:before="0" w:after="0"/>
        <w:jc w:val="left"/>
        <w:rPr>
          <w:rFonts w:asciiTheme="minorHAnsi" w:hAnsiTheme="minorHAnsi" w:cstheme="minorHAnsi"/>
          <w:i/>
          <w:iCs/>
          <w:color w:val="003399"/>
          <w:sz w:val="18"/>
          <w:szCs w:val="18"/>
        </w:rPr>
      </w:pPr>
      <w:r>
        <w:br w:type="page"/>
      </w:r>
    </w:p>
    <w:p w14:paraId="278C8CFC" w14:textId="6ADC2793" w:rsidR="00035198" w:rsidRDefault="00035198" w:rsidP="00B50FFD">
      <w:pPr>
        <w:pStyle w:val="Nagwek1"/>
      </w:pPr>
      <w:bookmarkStart w:id="284" w:name="_Toc51050192"/>
      <w:bookmarkStart w:id="285" w:name="_Toc51050090"/>
      <w:bookmarkStart w:id="286" w:name="_Toc68726875"/>
      <w:bookmarkEnd w:id="237"/>
      <w:r>
        <w:t>Podsumowanie działań zawartych w aPGW</w:t>
      </w:r>
      <w:bookmarkEnd w:id="286"/>
    </w:p>
    <w:p w14:paraId="560966CD" w14:textId="447A88D5" w:rsidR="00035198" w:rsidRDefault="00035198" w:rsidP="00B50FFD">
      <w:pPr>
        <w:pStyle w:val="Nagwek2"/>
      </w:pPr>
      <w:bookmarkStart w:id="287" w:name="_Toc68726876"/>
      <w:r>
        <w:t xml:space="preserve">Podsumowanie informacji uzyskanych w wyniku monitorowania </w:t>
      </w:r>
      <w:r w:rsidR="00EA234C">
        <w:br/>
      </w:r>
      <w:r>
        <w:t xml:space="preserve">realizacji działań zawartych w ostatnim planie gospodarowania </w:t>
      </w:r>
      <w:r w:rsidR="00EA234C">
        <w:br/>
      </w:r>
      <w:r>
        <w:t xml:space="preserve">wodami na obszarze dorzecza, pozyskanych na podstawie art. 328 ust. 2 </w:t>
      </w:r>
      <w:r w:rsidR="00C35851">
        <w:t>ustawy Prawo wodne</w:t>
      </w:r>
      <w:bookmarkEnd w:id="287"/>
    </w:p>
    <w:p w14:paraId="502586AE" w14:textId="77777777" w:rsidR="00334F6D" w:rsidRDefault="00334F6D" w:rsidP="00334F6D">
      <w:pPr>
        <w:suppressAutoHyphens/>
        <w:rPr>
          <w:rFonts w:asciiTheme="minorHAnsi" w:hAnsiTheme="minorHAnsi" w:cstheme="minorHAnsi"/>
        </w:rPr>
      </w:pPr>
      <w:bookmarkStart w:id="288" w:name="_Hlk66333547"/>
      <w:r>
        <w:rPr>
          <w:rFonts w:asciiTheme="minorHAnsi" w:hAnsiTheme="minorHAnsi" w:cstheme="minorHAnsi"/>
        </w:rPr>
        <w:t>Podsumowanie działań zawartych w aPGW przygotowane zostało na podstawie dokumentów, przy sporządzaniu których wykorzystano dane z monitoringu realizacji działań (w ramach sprawozdawczości podmiotów odpowiedzialnych za realizację działań):</w:t>
      </w:r>
    </w:p>
    <w:p w14:paraId="4AACB3DA" w14:textId="77777777" w:rsidR="00334F6D" w:rsidRPr="00C57924" w:rsidRDefault="00334F6D" w:rsidP="00AA3506">
      <w:pPr>
        <w:pStyle w:val="Akapitzlist"/>
        <w:numPr>
          <w:ilvl w:val="0"/>
          <w:numId w:val="92"/>
        </w:numPr>
      </w:pPr>
      <w:r w:rsidRPr="00C57924">
        <w:rPr>
          <w:i/>
          <w:iCs/>
        </w:rPr>
        <w:t>Ocena postępu we wdrażaniu programów działań dla jcwp i jcwpd wynikających z aPWŚK (2018)</w:t>
      </w:r>
      <w:r w:rsidRPr="00C57924">
        <w:t>, który syntetycznie przedstawia informacje na temat stopnia realizacji działań w latach 2016-2018 r.</w:t>
      </w:r>
    </w:p>
    <w:p w14:paraId="5E7C8896" w14:textId="3DA02D94" w:rsidR="00334F6D" w:rsidRPr="00C57924" w:rsidRDefault="00334F6D" w:rsidP="00AA3506">
      <w:pPr>
        <w:pStyle w:val="Akapitzlist"/>
        <w:numPr>
          <w:ilvl w:val="0"/>
          <w:numId w:val="92"/>
        </w:numPr>
      </w:pPr>
      <w:r w:rsidRPr="00C57924">
        <w:t xml:space="preserve">Sprawozdanie z </w:t>
      </w:r>
      <w:r w:rsidR="005769E2" w:rsidRPr="00DB2311">
        <w:rPr>
          <w:rFonts w:eastAsia="Times New Roman"/>
          <w:color w:val="000000"/>
        </w:rPr>
        <w:t>realizacji działań za lata 2018-2019</w:t>
      </w:r>
      <w:r w:rsidR="005769E2" w:rsidRPr="00DB2311">
        <w:t xml:space="preserve">. </w:t>
      </w:r>
    </w:p>
    <w:p w14:paraId="6A90CCE3" w14:textId="68CD3024" w:rsidR="00334F6D" w:rsidRDefault="00334F6D" w:rsidP="00334F6D">
      <w:pPr>
        <w:suppressAutoHyphens/>
        <w:rPr>
          <w:rFonts w:asciiTheme="minorHAnsi" w:hAnsiTheme="minorHAnsi" w:cstheme="minorHAnsi"/>
        </w:rPr>
      </w:pPr>
      <w:r>
        <w:rPr>
          <w:rFonts w:asciiTheme="minorHAnsi" w:hAnsiTheme="minorHAnsi" w:cstheme="minorHAnsi"/>
        </w:rPr>
        <w:t>Obowiązek prawny w zakresie monitorowania działań zawartych m.in. w planach gospodarowania wodami na obszarach dorzeczy wynika z art. 328 ust. 2 ustawy pr.w., który wskazuje organy zobowiązane do sprawozdawania realizacji działań zawartych w dokumentach planistycznych z zakresu gospodarki wodnej: PGW</w:t>
      </w:r>
      <w:r w:rsidR="001B1731">
        <w:rPr>
          <w:rFonts w:asciiTheme="minorHAnsi" w:hAnsiTheme="minorHAnsi" w:cstheme="minorHAnsi"/>
        </w:rPr>
        <w:t xml:space="preserve"> </w:t>
      </w:r>
      <w:r>
        <w:rPr>
          <w:rFonts w:asciiTheme="minorHAnsi" w:hAnsiTheme="minorHAnsi" w:cstheme="minorHAnsi"/>
        </w:rPr>
        <w:t xml:space="preserve">WP oraz wojewodowie, marszałkowie województw, dyrektorzy urzędów morskich oraz wójtowie, burmistrzowie lub prezydenci miast. </w:t>
      </w:r>
    </w:p>
    <w:p w14:paraId="50111DF8" w14:textId="12AC8B0E" w:rsidR="00334F6D" w:rsidRDefault="00334F6D" w:rsidP="00334F6D">
      <w:pPr>
        <w:suppressAutoHyphens/>
        <w:rPr>
          <w:rFonts w:asciiTheme="minorHAnsi" w:hAnsiTheme="minorHAnsi" w:cstheme="minorHAnsi"/>
        </w:rPr>
      </w:pPr>
      <w:r>
        <w:rPr>
          <w:rFonts w:asciiTheme="minorHAnsi" w:hAnsiTheme="minorHAnsi" w:cstheme="minorHAnsi"/>
        </w:rPr>
        <w:t>Sprawozdania z realizacji PGW powinny być sporządzane w oparciu o zakres informacji wskazany w</w:t>
      </w:r>
      <w:r w:rsidR="007E5892">
        <w:rPr>
          <w:rFonts w:asciiTheme="minorHAnsi" w:hAnsiTheme="minorHAnsi" w:cstheme="minorHAnsi"/>
        </w:rPr>
        <w:t> </w:t>
      </w:r>
      <w:r>
        <w:rPr>
          <w:rFonts w:asciiTheme="minorHAnsi" w:hAnsiTheme="minorHAnsi" w:cstheme="minorHAnsi"/>
        </w:rPr>
        <w:t xml:space="preserve">rozporządzeniu Ministra Gospodarki Morskiej i Żeglugi Śródlądowej z dnia 14 grudnia 2018 r. w sprawie zakresu informacji z realizacji działań zawartych w planach gospodarowania wodami na obszarach dorzeczy, planach zarządzania ryzykiem powodziowym i programie ochrony wód morskich (Dz.U. z 2018 r. poz. 2390). </w:t>
      </w:r>
    </w:p>
    <w:p w14:paraId="3BB79673" w14:textId="77777777" w:rsidR="00334F6D" w:rsidRDefault="00334F6D" w:rsidP="00334F6D">
      <w:pPr>
        <w:suppressAutoHyphens/>
        <w:rPr>
          <w:rFonts w:asciiTheme="minorHAnsi" w:hAnsiTheme="minorHAnsi" w:cstheme="minorHAnsi"/>
        </w:rPr>
      </w:pPr>
      <w:r>
        <w:rPr>
          <w:rFonts w:asciiTheme="minorHAnsi" w:hAnsiTheme="minorHAnsi" w:cstheme="minorHAnsi"/>
        </w:rPr>
        <w:t>Informacje dotyczące statusu realizacji działań zaplanowanych w poprzednim cyklu planistycznym stanowiły element prac analitycznych mających na celu zbudowanie skutecznych zestawów działań dla jcw w IIaPGW.</w:t>
      </w:r>
    </w:p>
    <w:p w14:paraId="55BF2A98" w14:textId="77777777" w:rsidR="00770E4B" w:rsidRPr="002D6624" w:rsidRDefault="00770E4B" w:rsidP="00770E4B">
      <w:pPr>
        <w:suppressAutoHyphens/>
        <w:rPr>
          <w:rFonts w:asciiTheme="minorHAnsi" w:hAnsiTheme="minorHAnsi" w:cstheme="minorHAnsi"/>
        </w:rPr>
      </w:pPr>
      <w:bookmarkStart w:id="289" w:name="_Hlk67528065"/>
      <w:r w:rsidRPr="003349F8">
        <w:rPr>
          <w:rFonts w:cstheme="minorHAnsi"/>
        </w:rPr>
        <w:t>W poprzednim cyklu planistycznym (2016-2021) w aPWŚK (stanowiącym „program działań” w rozumieniu RDW), podobnie jak w IIaPGW, zaplanowano działania podstawowe i uzupełniające, przy jednoczesnym wydzieleniu działań podstawowych na poziomie</w:t>
      </w:r>
      <w:r w:rsidRPr="002D6624">
        <w:rPr>
          <w:rFonts w:cstheme="minorHAnsi"/>
        </w:rPr>
        <w:t xml:space="preserve"> krajowym i na</w:t>
      </w:r>
      <w:r>
        <w:rPr>
          <w:rFonts w:cstheme="minorHAnsi"/>
        </w:rPr>
        <w:t> </w:t>
      </w:r>
      <w:r w:rsidRPr="002D6624">
        <w:rPr>
          <w:rFonts w:cstheme="minorHAnsi"/>
        </w:rPr>
        <w:t>poziomie konkretnych jcw. Te ostatnie łącznie z</w:t>
      </w:r>
      <w:r>
        <w:rPr>
          <w:rFonts w:cstheme="minorHAnsi"/>
        </w:rPr>
        <w:t> </w:t>
      </w:r>
      <w:r w:rsidRPr="002D6624">
        <w:rPr>
          <w:rFonts w:cstheme="minorHAnsi"/>
        </w:rPr>
        <w:t xml:space="preserve">działaniami </w:t>
      </w:r>
      <w:bookmarkEnd w:id="289"/>
      <w:r w:rsidRPr="002D6624">
        <w:rPr>
          <w:rFonts w:asciiTheme="minorHAnsi" w:hAnsiTheme="minorHAnsi" w:cstheme="minorHAnsi"/>
        </w:rPr>
        <w:t>uzupełniającymi stanowiły katalog, z</w:t>
      </w:r>
      <w:r>
        <w:rPr>
          <w:rFonts w:asciiTheme="minorHAnsi" w:hAnsiTheme="minorHAnsi" w:cstheme="minorHAnsi"/>
        </w:rPr>
        <w:t> </w:t>
      </w:r>
      <w:r w:rsidRPr="002D6624">
        <w:rPr>
          <w:rFonts w:asciiTheme="minorHAnsi" w:hAnsiTheme="minorHAnsi" w:cstheme="minorHAnsi"/>
        </w:rPr>
        <w:t>którego dokonywano wyboru działań na</w:t>
      </w:r>
      <w:r>
        <w:rPr>
          <w:rFonts w:asciiTheme="minorHAnsi" w:hAnsiTheme="minorHAnsi" w:cstheme="minorHAnsi"/>
        </w:rPr>
        <w:t> </w:t>
      </w:r>
      <w:r w:rsidRPr="002D6624">
        <w:rPr>
          <w:rFonts w:asciiTheme="minorHAnsi" w:hAnsiTheme="minorHAnsi" w:cstheme="minorHAnsi"/>
        </w:rPr>
        <w:t xml:space="preserve">potrzeby budowy zestawu działań dla poszczególnych jcw. Działania podstawowe krajowe odnosiły się </w:t>
      </w:r>
      <w:r>
        <w:rPr>
          <w:rFonts w:asciiTheme="minorHAnsi" w:hAnsiTheme="minorHAnsi" w:cstheme="minorHAnsi"/>
        </w:rPr>
        <w:t>do wymagań dyrektyw wskazujących zasady wpływające na zapewnienie osiągnięcia celów środowiskowych, d</w:t>
      </w:r>
      <w:r w:rsidRPr="002D6624">
        <w:rPr>
          <w:rFonts w:asciiTheme="minorHAnsi" w:hAnsiTheme="minorHAnsi" w:cstheme="minorHAnsi"/>
        </w:rPr>
        <w:t>o obowiązku wypełniania obowiązujących przepisów prawnych oraz opracowania programów i</w:t>
      </w:r>
      <w:r>
        <w:rPr>
          <w:rFonts w:asciiTheme="minorHAnsi" w:hAnsiTheme="minorHAnsi" w:cstheme="minorHAnsi"/>
        </w:rPr>
        <w:t> </w:t>
      </w:r>
      <w:r w:rsidRPr="002D6624">
        <w:rPr>
          <w:rFonts w:asciiTheme="minorHAnsi" w:hAnsiTheme="minorHAnsi" w:cstheme="minorHAnsi"/>
        </w:rPr>
        <w:t xml:space="preserve">dokumentów dobrych praktyk, wspierających osiągnięcie celów środowiskowych. </w:t>
      </w:r>
    </w:p>
    <w:p w14:paraId="21D1FD23" w14:textId="457F1DDC" w:rsidR="00770E4B" w:rsidRDefault="00770E4B" w:rsidP="00770E4B">
      <w:pPr>
        <w:suppressAutoHyphens/>
        <w:rPr>
          <w:rFonts w:cstheme="minorHAnsi"/>
        </w:rPr>
      </w:pPr>
      <w:r w:rsidRPr="00674622">
        <w:rPr>
          <w:rFonts w:cstheme="minorHAnsi"/>
        </w:rPr>
        <w:t>W katalogu działań podstawowych krajowych aPWŚK, w którym znajdowało się łącznie 131 działań</w:t>
      </w:r>
      <w:r>
        <w:rPr>
          <w:rFonts w:cstheme="minorHAnsi"/>
        </w:rPr>
        <w:t xml:space="preserve"> wśród których 7 posiadało określony termin realizacji Stopień realizacji działań określony został dla działań innych, niż ciągłe.</w:t>
      </w:r>
      <w:r w:rsidRPr="00674622">
        <w:rPr>
          <w:rFonts w:cstheme="minorHAnsi"/>
        </w:rPr>
        <w:t xml:space="preserve"> </w:t>
      </w:r>
      <w:r>
        <w:rPr>
          <w:rFonts w:cstheme="minorHAnsi"/>
        </w:rPr>
        <w:t>(tabela 10-1).</w:t>
      </w:r>
      <w:bookmarkStart w:id="290" w:name="_Hlk67528011"/>
      <w:r w:rsidRPr="002D6624">
        <w:rPr>
          <w:rFonts w:cstheme="minorHAnsi"/>
        </w:rPr>
        <w:t xml:space="preserve"> </w:t>
      </w:r>
      <w:bookmarkEnd w:id="290"/>
    </w:p>
    <w:p w14:paraId="50927CD5" w14:textId="2955C211" w:rsidR="007B4050" w:rsidRDefault="007B4050" w:rsidP="008C4B53">
      <w:pPr>
        <w:pStyle w:val="Tabela"/>
      </w:pPr>
      <w:bookmarkStart w:id="291" w:name="_Toc68727011"/>
      <w:r>
        <w:t xml:space="preserve">Tabela </w:t>
      </w:r>
      <w:fldSimple w:instr=" STYLEREF 1 \s ">
        <w:r>
          <w:rPr>
            <w:noProof/>
          </w:rPr>
          <w:t>10</w:t>
        </w:r>
      </w:fldSimple>
      <w:r>
        <w:noBreakHyphen/>
      </w:r>
      <w:fldSimple w:instr=" SEQ Tabela \* ARABIC \s 1 ">
        <w:r>
          <w:rPr>
            <w:noProof/>
          </w:rPr>
          <w:t>1</w:t>
        </w:r>
      </w:fldSimple>
      <w:r>
        <w:tab/>
      </w:r>
      <w:r w:rsidRPr="002E3242">
        <w:t>Stopień realizacji działań podstawowych krajowych</w:t>
      </w:r>
      <w:bookmarkEnd w:id="291"/>
    </w:p>
    <w:tbl>
      <w:tblPr>
        <w:tblW w:w="5000" w:type="pct"/>
        <w:tblLayout w:type="fixed"/>
        <w:tblCellMar>
          <w:left w:w="70" w:type="dxa"/>
          <w:right w:w="70" w:type="dxa"/>
        </w:tblCellMar>
        <w:tblLook w:val="04A0" w:firstRow="1" w:lastRow="0" w:firstColumn="1" w:lastColumn="0" w:noHBand="0" w:noVBand="1"/>
      </w:tblPr>
      <w:tblGrid>
        <w:gridCol w:w="421"/>
        <w:gridCol w:w="3687"/>
        <w:gridCol w:w="1699"/>
        <w:gridCol w:w="1604"/>
        <w:gridCol w:w="1651"/>
      </w:tblGrid>
      <w:tr w:rsidR="002F3821" w14:paraId="163A1C53" w14:textId="77777777" w:rsidTr="00B50FFD">
        <w:trPr>
          <w:trHeight w:val="510"/>
          <w:tblHeader/>
        </w:trPr>
        <w:tc>
          <w:tcPr>
            <w:tcW w:w="23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5EEFACC" w14:textId="77777777" w:rsidR="002F3821" w:rsidRDefault="002F3821" w:rsidP="00B50FFD">
            <w:pPr>
              <w:suppressAutoHyphens/>
              <w:jc w:val="center"/>
              <w:rPr>
                <w:rFonts w:asciiTheme="minorHAnsi" w:hAnsiTheme="minorHAnsi" w:cstheme="minorHAnsi"/>
                <w:b/>
                <w:sz w:val="20"/>
                <w:szCs w:val="20"/>
              </w:rPr>
            </w:pPr>
            <w:r>
              <w:rPr>
                <w:rFonts w:asciiTheme="minorHAnsi" w:hAnsiTheme="minorHAnsi" w:cstheme="minorHAnsi"/>
                <w:b/>
                <w:sz w:val="20"/>
                <w:szCs w:val="20"/>
              </w:rPr>
              <w:t>Lp.</w:t>
            </w:r>
          </w:p>
        </w:tc>
        <w:tc>
          <w:tcPr>
            <w:tcW w:w="203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C1830FC" w14:textId="77777777" w:rsidR="002F3821" w:rsidRDefault="002F3821" w:rsidP="00B50FFD">
            <w:pPr>
              <w:suppressAutoHyphens/>
              <w:jc w:val="center"/>
              <w:rPr>
                <w:rFonts w:asciiTheme="minorHAnsi" w:hAnsiTheme="minorHAnsi" w:cstheme="minorHAnsi"/>
                <w:b/>
                <w:sz w:val="20"/>
                <w:szCs w:val="20"/>
              </w:rPr>
            </w:pPr>
            <w:r>
              <w:rPr>
                <w:rFonts w:asciiTheme="minorHAnsi" w:hAnsiTheme="minorHAnsi" w:cstheme="minorHAnsi"/>
                <w:b/>
                <w:sz w:val="20"/>
                <w:szCs w:val="20"/>
              </w:rPr>
              <w:t>Działanie</w:t>
            </w:r>
          </w:p>
        </w:tc>
        <w:tc>
          <w:tcPr>
            <w:tcW w:w="93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71C1B53" w14:textId="77777777" w:rsidR="002F3821" w:rsidRDefault="002F3821" w:rsidP="00B50FFD">
            <w:pPr>
              <w:suppressAutoHyphens/>
              <w:jc w:val="center"/>
              <w:rPr>
                <w:rFonts w:asciiTheme="minorHAnsi" w:hAnsiTheme="minorHAnsi" w:cstheme="minorHAnsi"/>
                <w:b/>
                <w:sz w:val="20"/>
                <w:szCs w:val="20"/>
              </w:rPr>
            </w:pPr>
            <w:r>
              <w:rPr>
                <w:rFonts w:asciiTheme="minorHAnsi" w:hAnsiTheme="minorHAnsi" w:cstheme="minorHAnsi"/>
                <w:b/>
                <w:sz w:val="20"/>
                <w:szCs w:val="20"/>
              </w:rPr>
              <w:t>Jednostka odpowiedzialna</w:t>
            </w:r>
          </w:p>
        </w:tc>
        <w:tc>
          <w:tcPr>
            <w:tcW w:w="8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C510894" w14:textId="77777777" w:rsidR="002F3821" w:rsidRDefault="002F3821" w:rsidP="00B50FFD">
            <w:pPr>
              <w:suppressAutoHyphens/>
              <w:jc w:val="center"/>
              <w:rPr>
                <w:rFonts w:asciiTheme="minorHAnsi" w:hAnsiTheme="minorHAnsi" w:cstheme="minorHAnsi"/>
                <w:b/>
                <w:sz w:val="20"/>
                <w:szCs w:val="20"/>
              </w:rPr>
            </w:pPr>
            <w:r>
              <w:rPr>
                <w:rFonts w:asciiTheme="minorHAnsi" w:hAnsiTheme="minorHAnsi" w:cstheme="minorHAnsi"/>
                <w:b/>
                <w:sz w:val="20"/>
                <w:szCs w:val="20"/>
              </w:rPr>
              <w:t>Harmonogram realizacji</w:t>
            </w:r>
          </w:p>
        </w:tc>
        <w:tc>
          <w:tcPr>
            <w:tcW w:w="91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BC31644" w14:textId="77777777" w:rsidR="002F3821" w:rsidRDefault="002F3821" w:rsidP="00B50FFD">
            <w:pPr>
              <w:suppressAutoHyphens/>
              <w:jc w:val="center"/>
              <w:rPr>
                <w:rFonts w:asciiTheme="minorHAnsi" w:hAnsiTheme="minorHAnsi" w:cstheme="minorHAnsi"/>
                <w:b/>
                <w:sz w:val="20"/>
                <w:szCs w:val="20"/>
              </w:rPr>
            </w:pPr>
            <w:r>
              <w:rPr>
                <w:rFonts w:asciiTheme="minorHAnsi" w:hAnsiTheme="minorHAnsi" w:cstheme="minorHAnsi"/>
                <w:b/>
                <w:sz w:val="20"/>
                <w:szCs w:val="20"/>
              </w:rPr>
              <w:t>Stopień realizacji</w:t>
            </w:r>
          </w:p>
        </w:tc>
      </w:tr>
      <w:tr w:rsidR="002F3821" w14:paraId="200BF699" w14:textId="77777777" w:rsidTr="00B50FFD">
        <w:trPr>
          <w:trHeight w:val="1245"/>
        </w:trPr>
        <w:tc>
          <w:tcPr>
            <w:tcW w:w="232" w:type="pct"/>
            <w:tcBorders>
              <w:top w:val="nil"/>
              <w:left w:val="single" w:sz="4" w:space="0" w:color="auto"/>
              <w:bottom w:val="single" w:sz="4" w:space="0" w:color="auto"/>
              <w:right w:val="single" w:sz="4" w:space="0" w:color="auto"/>
            </w:tcBorders>
            <w:noWrap/>
            <w:vAlign w:val="center"/>
            <w:hideMark/>
          </w:tcPr>
          <w:p w14:paraId="4E5D6C06"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1.</w:t>
            </w:r>
          </w:p>
        </w:tc>
        <w:tc>
          <w:tcPr>
            <w:tcW w:w="2034" w:type="pct"/>
            <w:tcBorders>
              <w:top w:val="nil"/>
              <w:left w:val="nil"/>
              <w:bottom w:val="single" w:sz="4" w:space="0" w:color="auto"/>
              <w:right w:val="single" w:sz="4" w:space="0" w:color="auto"/>
            </w:tcBorders>
            <w:vAlign w:val="center"/>
            <w:hideMark/>
          </w:tcPr>
          <w:p w14:paraId="71061425"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Obowiązek opracowania i weryfikacji warunków korzystania z wód regionu, jako aktu prawa miejscowego wspomagającego osiągnięcie celów środowiskowych</w:t>
            </w:r>
          </w:p>
        </w:tc>
        <w:tc>
          <w:tcPr>
            <w:tcW w:w="937" w:type="pct"/>
            <w:tcBorders>
              <w:top w:val="nil"/>
              <w:left w:val="nil"/>
              <w:bottom w:val="single" w:sz="4" w:space="0" w:color="auto"/>
              <w:right w:val="single" w:sz="4" w:space="0" w:color="auto"/>
            </w:tcBorders>
            <w:noWrap/>
            <w:vAlign w:val="center"/>
            <w:hideMark/>
          </w:tcPr>
          <w:p w14:paraId="113FB3D9"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dyrektor RZGW WP</w:t>
            </w:r>
          </w:p>
        </w:tc>
        <w:tc>
          <w:tcPr>
            <w:tcW w:w="885" w:type="pct"/>
            <w:tcBorders>
              <w:top w:val="nil"/>
              <w:left w:val="nil"/>
              <w:bottom w:val="single" w:sz="4" w:space="0" w:color="auto"/>
              <w:right w:val="single" w:sz="4" w:space="0" w:color="auto"/>
            </w:tcBorders>
            <w:vAlign w:val="center"/>
            <w:hideMark/>
          </w:tcPr>
          <w:p w14:paraId="53E34E98"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do końca</w:t>
            </w:r>
            <w:r>
              <w:rPr>
                <w:rFonts w:asciiTheme="minorHAnsi" w:hAnsiTheme="minorHAnsi" w:cstheme="minorHAnsi"/>
                <w:color w:val="000000"/>
                <w:sz w:val="20"/>
                <w:szCs w:val="20"/>
              </w:rPr>
              <w:br/>
              <w:t>IV kw. 2016 r.</w:t>
            </w:r>
          </w:p>
        </w:tc>
        <w:tc>
          <w:tcPr>
            <w:tcW w:w="911" w:type="pct"/>
            <w:tcBorders>
              <w:top w:val="nil"/>
              <w:left w:val="nil"/>
              <w:bottom w:val="single" w:sz="4" w:space="0" w:color="auto"/>
              <w:right w:val="single" w:sz="4" w:space="0" w:color="auto"/>
            </w:tcBorders>
            <w:noWrap/>
            <w:vAlign w:val="center"/>
            <w:hideMark/>
          </w:tcPr>
          <w:p w14:paraId="524AF0FD"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zróżnicowany stopień realizacji</w:t>
            </w:r>
          </w:p>
        </w:tc>
      </w:tr>
      <w:tr w:rsidR="002F3821" w14:paraId="6ADE5BDD" w14:textId="77777777" w:rsidTr="00B50FFD">
        <w:trPr>
          <w:trHeight w:val="3530"/>
        </w:trPr>
        <w:tc>
          <w:tcPr>
            <w:tcW w:w="232" w:type="pct"/>
            <w:tcBorders>
              <w:top w:val="nil"/>
              <w:left w:val="single" w:sz="4" w:space="0" w:color="auto"/>
              <w:bottom w:val="single" w:sz="4" w:space="0" w:color="auto"/>
              <w:right w:val="single" w:sz="4" w:space="0" w:color="auto"/>
            </w:tcBorders>
            <w:noWrap/>
            <w:vAlign w:val="center"/>
            <w:hideMark/>
          </w:tcPr>
          <w:p w14:paraId="06001983"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2.</w:t>
            </w:r>
          </w:p>
        </w:tc>
        <w:tc>
          <w:tcPr>
            <w:tcW w:w="2034" w:type="pct"/>
            <w:tcBorders>
              <w:top w:val="nil"/>
              <w:left w:val="nil"/>
              <w:bottom w:val="single" w:sz="4" w:space="0" w:color="auto"/>
              <w:right w:val="single" w:sz="4" w:space="0" w:color="auto"/>
            </w:tcBorders>
            <w:vAlign w:val="center"/>
            <w:hideMark/>
          </w:tcPr>
          <w:p w14:paraId="4CDF6678"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Uporządkowanie gospodarki wodami opadowymi lub roztopowymi - przygotowanie opracowania dotyczącego zaostrzenia warunków, jakie należy spełnić przy wprowadzaniu do jezior i zbiorników retencyjnych wód opadowych lub roztopowych w zakresie oczyszczania z substancji biogennych, celem przedłożenia Ministrowi Środowiska na potrzeby zmiany rozporządzenia MŚ z dnia 18 listopada 2014 r. w sprawie warunków, jakie należy spełnić przy wprowadzaniu ścieków do wód lub do ziemi oraz w sprawie substancji szczególnie szkodliwych dla środowiska wodnego</w:t>
            </w:r>
          </w:p>
        </w:tc>
        <w:tc>
          <w:tcPr>
            <w:tcW w:w="937" w:type="pct"/>
            <w:tcBorders>
              <w:top w:val="nil"/>
              <w:left w:val="nil"/>
              <w:bottom w:val="single" w:sz="4" w:space="0" w:color="000000"/>
              <w:right w:val="single" w:sz="4" w:space="0" w:color="000000"/>
            </w:tcBorders>
            <w:vAlign w:val="center"/>
            <w:hideMark/>
          </w:tcPr>
          <w:p w14:paraId="316AE60E" w14:textId="77777777" w:rsidR="002F3821" w:rsidRDefault="002F3821" w:rsidP="00B50FFD">
            <w:pPr>
              <w:suppressAutoHyphens/>
              <w:rPr>
                <w:rFonts w:asciiTheme="minorHAnsi" w:hAnsiTheme="minorHAnsi" w:cstheme="minorHAnsi"/>
                <w:sz w:val="20"/>
                <w:szCs w:val="20"/>
              </w:rPr>
            </w:pPr>
            <w:r>
              <w:rPr>
                <w:rFonts w:asciiTheme="minorHAnsi" w:hAnsiTheme="minorHAnsi" w:cstheme="minorHAnsi"/>
                <w:sz w:val="20"/>
                <w:szCs w:val="20"/>
              </w:rPr>
              <w:t>Minister Środowiska</w:t>
            </w:r>
          </w:p>
        </w:tc>
        <w:tc>
          <w:tcPr>
            <w:tcW w:w="885" w:type="pct"/>
            <w:tcBorders>
              <w:top w:val="nil"/>
              <w:left w:val="nil"/>
              <w:bottom w:val="single" w:sz="4" w:space="0" w:color="000000"/>
              <w:right w:val="single" w:sz="4" w:space="0" w:color="000000"/>
            </w:tcBorders>
            <w:noWrap/>
            <w:vAlign w:val="center"/>
            <w:hideMark/>
          </w:tcPr>
          <w:p w14:paraId="6D088678" w14:textId="77777777" w:rsidR="002F3821" w:rsidRDefault="002F3821" w:rsidP="00B50FFD">
            <w:pPr>
              <w:suppressAutoHyphens/>
              <w:jc w:val="center"/>
              <w:rPr>
                <w:rFonts w:asciiTheme="minorHAnsi" w:hAnsiTheme="minorHAnsi" w:cstheme="minorHAnsi"/>
                <w:sz w:val="20"/>
                <w:szCs w:val="20"/>
              </w:rPr>
            </w:pPr>
            <w:r>
              <w:rPr>
                <w:rFonts w:asciiTheme="minorHAnsi" w:hAnsiTheme="minorHAnsi" w:cstheme="minorHAnsi"/>
                <w:sz w:val="20"/>
                <w:szCs w:val="20"/>
              </w:rPr>
              <w:t>IV kw. 2018</w:t>
            </w:r>
          </w:p>
        </w:tc>
        <w:tc>
          <w:tcPr>
            <w:tcW w:w="911" w:type="pct"/>
            <w:tcBorders>
              <w:top w:val="nil"/>
              <w:left w:val="nil"/>
              <w:bottom w:val="single" w:sz="4" w:space="0" w:color="auto"/>
              <w:right w:val="single" w:sz="4" w:space="0" w:color="auto"/>
            </w:tcBorders>
            <w:noWrap/>
            <w:vAlign w:val="center"/>
            <w:hideMark/>
          </w:tcPr>
          <w:p w14:paraId="7B1B8C32"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 xml:space="preserve">nie zrealizowano; zmiana podstawy prawnej </w:t>
            </w:r>
            <w:r>
              <w:rPr>
                <w:rFonts w:asciiTheme="minorHAnsi" w:hAnsiTheme="minorHAnsi" w:cstheme="minorHAnsi"/>
                <w:color w:val="000000"/>
                <w:sz w:val="20"/>
                <w:szCs w:val="20"/>
              </w:rPr>
              <w:br/>
              <w:t>w 2017 r.</w:t>
            </w:r>
          </w:p>
        </w:tc>
      </w:tr>
      <w:tr w:rsidR="002F3821" w14:paraId="0FBEA8FF" w14:textId="77777777" w:rsidTr="00B50FFD">
        <w:trPr>
          <w:trHeight w:val="628"/>
        </w:trPr>
        <w:tc>
          <w:tcPr>
            <w:tcW w:w="232" w:type="pct"/>
            <w:tcBorders>
              <w:top w:val="nil"/>
              <w:left w:val="single" w:sz="4" w:space="0" w:color="auto"/>
              <w:bottom w:val="single" w:sz="4" w:space="0" w:color="auto"/>
              <w:right w:val="single" w:sz="4" w:space="0" w:color="auto"/>
            </w:tcBorders>
            <w:noWrap/>
            <w:vAlign w:val="center"/>
            <w:hideMark/>
          </w:tcPr>
          <w:p w14:paraId="6F77174E"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3.</w:t>
            </w:r>
          </w:p>
        </w:tc>
        <w:tc>
          <w:tcPr>
            <w:tcW w:w="2034" w:type="pct"/>
            <w:tcBorders>
              <w:top w:val="nil"/>
              <w:left w:val="nil"/>
              <w:bottom w:val="single" w:sz="4" w:space="0" w:color="auto"/>
              <w:right w:val="single" w:sz="4" w:space="0" w:color="auto"/>
            </w:tcBorders>
            <w:vAlign w:val="center"/>
            <w:hideMark/>
          </w:tcPr>
          <w:p w14:paraId="46C60C70"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Weryfikacja sposobu oceny potencjału ekologicznego dla SZCW i SCW</w:t>
            </w:r>
          </w:p>
        </w:tc>
        <w:tc>
          <w:tcPr>
            <w:tcW w:w="937" w:type="pct"/>
            <w:tcBorders>
              <w:top w:val="nil"/>
              <w:left w:val="nil"/>
              <w:bottom w:val="single" w:sz="4" w:space="0" w:color="000000"/>
              <w:right w:val="single" w:sz="4" w:space="0" w:color="000000"/>
            </w:tcBorders>
            <w:vAlign w:val="center"/>
            <w:hideMark/>
          </w:tcPr>
          <w:p w14:paraId="36D7FD54" w14:textId="77777777" w:rsidR="002F3821" w:rsidRDefault="002F3821" w:rsidP="00B50FFD">
            <w:pPr>
              <w:suppressAutoHyphens/>
              <w:rPr>
                <w:rFonts w:asciiTheme="minorHAnsi" w:hAnsiTheme="minorHAnsi" w:cstheme="minorHAnsi"/>
                <w:sz w:val="20"/>
                <w:szCs w:val="20"/>
              </w:rPr>
            </w:pPr>
            <w:r>
              <w:rPr>
                <w:rFonts w:asciiTheme="minorHAnsi" w:hAnsiTheme="minorHAnsi" w:cstheme="minorHAnsi"/>
                <w:sz w:val="20"/>
                <w:szCs w:val="20"/>
              </w:rPr>
              <w:t>Minister Środowiska</w:t>
            </w:r>
          </w:p>
        </w:tc>
        <w:tc>
          <w:tcPr>
            <w:tcW w:w="885" w:type="pct"/>
            <w:tcBorders>
              <w:top w:val="nil"/>
              <w:left w:val="nil"/>
              <w:bottom w:val="single" w:sz="4" w:space="0" w:color="auto"/>
              <w:right w:val="single" w:sz="4" w:space="0" w:color="auto"/>
            </w:tcBorders>
            <w:noWrap/>
            <w:vAlign w:val="center"/>
            <w:hideMark/>
          </w:tcPr>
          <w:p w14:paraId="171E54C9"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IV kw. 2021</w:t>
            </w:r>
          </w:p>
        </w:tc>
        <w:tc>
          <w:tcPr>
            <w:tcW w:w="911" w:type="pct"/>
            <w:tcBorders>
              <w:top w:val="nil"/>
              <w:left w:val="nil"/>
              <w:bottom w:val="single" w:sz="4" w:space="0" w:color="auto"/>
              <w:right w:val="single" w:sz="4" w:space="0" w:color="auto"/>
            </w:tcBorders>
            <w:noWrap/>
            <w:vAlign w:val="center"/>
            <w:hideMark/>
          </w:tcPr>
          <w:p w14:paraId="01A771A0"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zrealizowano</w:t>
            </w:r>
          </w:p>
        </w:tc>
      </w:tr>
      <w:tr w:rsidR="002F3821" w14:paraId="57E99863" w14:textId="77777777" w:rsidTr="00B50FFD">
        <w:trPr>
          <w:trHeight w:val="765"/>
        </w:trPr>
        <w:tc>
          <w:tcPr>
            <w:tcW w:w="232" w:type="pct"/>
            <w:tcBorders>
              <w:top w:val="nil"/>
              <w:left w:val="single" w:sz="4" w:space="0" w:color="auto"/>
              <w:bottom w:val="single" w:sz="4" w:space="0" w:color="auto"/>
              <w:right w:val="single" w:sz="4" w:space="0" w:color="auto"/>
            </w:tcBorders>
            <w:noWrap/>
            <w:vAlign w:val="center"/>
            <w:hideMark/>
          </w:tcPr>
          <w:p w14:paraId="2065F603"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4.</w:t>
            </w:r>
          </w:p>
        </w:tc>
        <w:tc>
          <w:tcPr>
            <w:tcW w:w="2034" w:type="pct"/>
            <w:tcBorders>
              <w:top w:val="nil"/>
              <w:left w:val="nil"/>
              <w:bottom w:val="single" w:sz="4" w:space="0" w:color="auto"/>
              <w:right w:val="single" w:sz="4" w:space="0" w:color="auto"/>
            </w:tcBorders>
            <w:vAlign w:val="center"/>
            <w:hideMark/>
          </w:tcPr>
          <w:p w14:paraId="029B98FD"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Opracowanie Kodeksu Dobrej Praktyki wędkarskiej regulujących m.in. stosowanie zanęt</w:t>
            </w:r>
          </w:p>
        </w:tc>
        <w:tc>
          <w:tcPr>
            <w:tcW w:w="937" w:type="pct"/>
            <w:tcBorders>
              <w:top w:val="nil"/>
              <w:left w:val="nil"/>
              <w:bottom w:val="single" w:sz="4" w:space="0" w:color="auto"/>
              <w:right w:val="single" w:sz="4" w:space="0" w:color="auto"/>
            </w:tcBorders>
            <w:vAlign w:val="center"/>
            <w:hideMark/>
          </w:tcPr>
          <w:p w14:paraId="2648CD1C"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Minister Rolnictwa i Rozwoju Wsi, Minister Środowiska</w:t>
            </w:r>
          </w:p>
        </w:tc>
        <w:tc>
          <w:tcPr>
            <w:tcW w:w="885" w:type="pct"/>
            <w:tcBorders>
              <w:top w:val="nil"/>
              <w:left w:val="nil"/>
              <w:bottom w:val="single" w:sz="4" w:space="0" w:color="auto"/>
              <w:right w:val="single" w:sz="4" w:space="0" w:color="auto"/>
            </w:tcBorders>
            <w:noWrap/>
            <w:vAlign w:val="center"/>
            <w:hideMark/>
          </w:tcPr>
          <w:p w14:paraId="51F166EE"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IV kw. 2018</w:t>
            </w:r>
          </w:p>
        </w:tc>
        <w:tc>
          <w:tcPr>
            <w:tcW w:w="911" w:type="pct"/>
            <w:tcBorders>
              <w:top w:val="nil"/>
              <w:left w:val="nil"/>
              <w:bottom w:val="single" w:sz="4" w:space="0" w:color="auto"/>
              <w:right w:val="single" w:sz="4" w:space="0" w:color="auto"/>
            </w:tcBorders>
            <w:noWrap/>
            <w:vAlign w:val="center"/>
            <w:hideMark/>
          </w:tcPr>
          <w:p w14:paraId="350690B1"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nie zrealizowano</w:t>
            </w:r>
          </w:p>
        </w:tc>
      </w:tr>
      <w:tr w:rsidR="002F3821" w14:paraId="590AF4B0" w14:textId="77777777" w:rsidTr="00B50FFD">
        <w:trPr>
          <w:trHeight w:val="1290"/>
        </w:trPr>
        <w:tc>
          <w:tcPr>
            <w:tcW w:w="232" w:type="pct"/>
            <w:tcBorders>
              <w:top w:val="nil"/>
              <w:left w:val="single" w:sz="4" w:space="0" w:color="auto"/>
              <w:bottom w:val="single" w:sz="4" w:space="0" w:color="auto"/>
              <w:right w:val="single" w:sz="4" w:space="0" w:color="auto"/>
            </w:tcBorders>
            <w:noWrap/>
            <w:vAlign w:val="center"/>
            <w:hideMark/>
          </w:tcPr>
          <w:p w14:paraId="3787EFBF"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5.</w:t>
            </w:r>
          </w:p>
        </w:tc>
        <w:tc>
          <w:tcPr>
            <w:tcW w:w="2034" w:type="pct"/>
            <w:tcBorders>
              <w:top w:val="nil"/>
              <w:left w:val="nil"/>
              <w:bottom w:val="single" w:sz="4" w:space="0" w:color="auto"/>
              <w:right w:val="single" w:sz="4" w:space="0" w:color="auto"/>
            </w:tcBorders>
            <w:vAlign w:val="bottom"/>
            <w:hideMark/>
          </w:tcPr>
          <w:p w14:paraId="75054DCC"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Przygotowanie dobrych praktyk dotyczących ochrony środowiska wodnego przy zrzucie wody ze stawów hodowlanych w celu wsparcia merytorycznego dla inwestorów oraz organów wydających decyzje administracyjne</w:t>
            </w:r>
          </w:p>
        </w:tc>
        <w:tc>
          <w:tcPr>
            <w:tcW w:w="937" w:type="pct"/>
            <w:tcBorders>
              <w:top w:val="nil"/>
              <w:left w:val="nil"/>
              <w:bottom w:val="single" w:sz="4" w:space="0" w:color="auto"/>
              <w:right w:val="single" w:sz="4" w:space="0" w:color="auto"/>
            </w:tcBorders>
            <w:vAlign w:val="center"/>
            <w:hideMark/>
          </w:tcPr>
          <w:p w14:paraId="67867C06"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Minister Rolnictwa i Rozwoju Wsi, Minister Środowiska</w:t>
            </w:r>
          </w:p>
        </w:tc>
        <w:tc>
          <w:tcPr>
            <w:tcW w:w="885" w:type="pct"/>
            <w:tcBorders>
              <w:top w:val="nil"/>
              <w:left w:val="nil"/>
              <w:bottom w:val="single" w:sz="4" w:space="0" w:color="auto"/>
              <w:right w:val="single" w:sz="4" w:space="0" w:color="auto"/>
            </w:tcBorders>
            <w:noWrap/>
            <w:vAlign w:val="center"/>
            <w:hideMark/>
          </w:tcPr>
          <w:p w14:paraId="2D50E831"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IV kw. 2018</w:t>
            </w:r>
          </w:p>
        </w:tc>
        <w:tc>
          <w:tcPr>
            <w:tcW w:w="911" w:type="pct"/>
            <w:tcBorders>
              <w:top w:val="nil"/>
              <w:left w:val="nil"/>
              <w:bottom w:val="single" w:sz="4" w:space="0" w:color="auto"/>
              <w:right w:val="single" w:sz="4" w:space="0" w:color="auto"/>
            </w:tcBorders>
            <w:noWrap/>
            <w:vAlign w:val="center"/>
            <w:hideMark/>
          </w:tcPr>
          <w:p w14:paraId="13E87CDD"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zrealizowano</w:t>
            </w:r>
          </w:p>
        </w:tc>
      </w:tr>
      <w:tr w:rsidR="002F3821" w14:paraId="6B30AF7F" w14:textId="77777777" w:rsidTr="00B50FFD">
        <w:trPr>
          <w:trHeight w:val="780"/>
        </w:trPr>
        <w:tc>
          <w:tcPr>
            <w:tcW w:w="232" w:type="pct"/>
            <w:tcBorders>
              <w:top w:val="nil"/>
              <w:left w:val="single" w:sz="4" w:space="0" w:color="auto"/>
              <w:bottom w:val="single" w:sz="4" w:space="0" w:color="auto"/>
              <w:right w:val="single" w:sz="4" w:space="0" w:color="auto"/>
            </w:tcBorders>
            <w:noWrap/>
            <w:vAlign w:val="center"/>
            <w:hideMark/>
          </w:tcPr>
          <w:p w14:paraId="1459EBF1"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6.</w:t>
            </w:r>
          </w:p>
        </w:tc>
        <w:tc>
          <w:tcPr>
            <w:tcW w:w="2034" w:type="pct"/>
            <w:tcBorders>
              <w:top w:val="nil"/>
              <w:left w:val="nil"/>
              <w:bottom w:val="single" w:sz="4" w:space="0" w:color="auto"/>
              <w:right w:val="single" w:sz="4" w:space="0" w:color="auto"/>
            </w:tcBorders>
            <w:vAlign w:val="bottom"/>
            <w:hideMark/>
          </w:tcPr>
          <w:p w14:paraId="58BD3485"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Opracowanie dobrych praktyk w zakresie robót hydrotechnicznych i prac utrzymaniowych wraz z ustaleniem zasad ich wdrażania</w:t>
            </w:r>
          </w:p>
        </w:tc>
        <w:tc>
          <w:tcPr>
            <w:tcW w:w="937" w:type="pct"/>
            <w:tcBorders>
              <w:top w:val="nil"/>
              <w:left w:val="nil"/>
              <w:bottom w:val="single" w:sz="4" w:space="0" w:color="auto"/>
              <w:right w:val="single" w:sz="4" w:space="0" w:color="auto"/>
            </w:tcBorders>
            <w:noWrap/>
            <w:vAlign w:val="center"/>
            <w:hideMark/>
          </w:tcPr>
          <w:p w14:paraId="6D94C674"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Minister Środowiska</w:t>
            </w:r>
          </w:p>
        </w:tc>
        <w:tc>
          <w:tcPr>
            <w:tcW w:w="885" w:type="pct"/>
            <w:tcBorders>
              <w:top w:val="nil"/>
              <w:left w:val="nil"/>
              <w:bottom w:val="single" w:sz="4" w:space="0" w:color="auto"/>
              <w:right w:val="single" w:sz="4" w:space="0" w:color="auto"/>
            </w:tcBorders>
            <w:noWrap/>
            <w:vAlign w:val="center"/>
            <w:hideMark/>
          </w:tcPr>
          <w:p w14:paraId="7F8E3ECE"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IV kw. 2018</w:t>
            </w:r>
          </w:p>
        </w:tc>
        <w:tc>
          <w:tcPr>
            <w:tcW w:w="911" w:type="pct"/>
            <w:tcBorders>
              <w:top w:val="nil"/>
              <w:left w:val="nil"/>
              <w:bottom w:val="single" w:sz="4" w:space="0" w:color="auto"/>
              <w:right w:val="single" w:sz="4" w:space="0" w:color="auto"/>
            </w:tcBorders>
            <w:noWrap/>
            <w:vAlign w:val="center"/>
            <w:hideMark/>
          </w:tcPr>
          <w:p w14:paraId="0F0C6FFB"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zrealizowano</w:t>
            </w:r>
          </w:p>
        </w:tc>
      </w:tr>
      <w:tr w:rsidR="002F3821" w14:paraId="5227EC27" w14:textId="77777777" w:rsidTr="00B50FFD">
        <w:trPr>
          <w:trHeight w:val="525"/>
        </w:trPr>
        <w:tc>
          <w:tcPr>
            <w:tcW w:w="232" w:type="pct"/>
            <w:tcBorders>
              <w:top w:val="nil"/>
              <w:left w:val="single" w:sz="4" w:space="0" w:color="auto"/>
              <w:bottom w:val="single" w:sz="4" w:space="0" w:color="auto"/>
              <w:right w:val="single" w:sz="4" w:space="0" w:color="auto"/>
            </w:tcBorders>
            <w:noWrap/>
            <w:vAlign w:val="center"/>
            <w:hideMark/>
          </w:tcPr>
          <w:p w14:paraId="45C987A2"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7.</w:t>
            </w:r>
          </w:p>
        </w:tc>
        <w:tc>
          <w:tcPr>
            <w:tcW w:w="2034" w:type="pct"/>
            <w:tcBorders>
              <w:top w:val="nil"/>
              <w:left w:val="nil"/>
              <w:bottom w:val="single" w:sz="4" w:space="0" w:color="auto"/>
              <w:right w:val="single" w:sz="4" w:space="0" w:color="auto"/>
            </w:tcBorders>
            <w:vAlign w:val="bottom"/>
            <w:hideMark/>
          </w:tcPr>
          <w:p w14:paraId="5F652C4A"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Opracowanie krajowego programu renaturyzacji wód powierzchniowych</w:t>
            </w:r>
          </w:p>
        </w:tc>
        <w:tc>
          <w:tcPr>
            <w:tcW w:w="937" w:type="pct"/>
            <w:tcBorders>
              <w:top w:val="nil"/>
              <w:left w:val="nil"/>
              <w:bottom w:val="single" w:sz="4" w:space="0" w:color="auto"/>
              <w:right w:val="single" w:sz="4" w:space="0" w:color="auto"/>
            </w:tcBorders>
            <w:noWrap/>
            <w:vAlign w:val="center"/>
            <w:hideMark/>
          </w:tcPr>
          <w:p w14:paraId="4760F5F0" w14:textId="77777777" w:rsidR="002F3821" w:rsidRDefault="002F3821" w:rsidP="00B50FFD">
            <w:pPr>
              <w:suppressAutoHyphens/>
              <w:rPr>
                <w:rFonts w:asciiTheme="minorHAnsi" w:hAnsiTheme="minorHAnsi" w:cstheme="minorHAnsi"/>
                <w:color w:val="000000"/>
                <w:sz w:val="20"/>
                <w:szCs w:val="20"/>
              </w:rPr>
            </w:pPr>
            <w:r>
              <w:rPr>
                <w:rFonts w:asciiTheme="minorHAnsi" w:hAnsiTheme="minorHAnsi" w:cstheme="minorHAnsi"/>
                <w:color w:val="000000"/>
                <w:sz w:val="20"/>
                <w:szCs w:val="20"/>
              </w:rPr>
              <w:t>Prezes KZGW</w:t>
            </w:r>
          </w:p>
        </w:tc>
        <w:tc>
          <w:tcPr>
            <w:tcW w:w="885" w:type="pct"/>
            <w:tcBorders>
              <w:top w:val="nil"/>
              <w:left w:val="nil"/>
              <w:bottom w:val="single" w:sz="4" w:space="0" w:color="auto"/>
              <w:right w:val="single" w:sz="4" w:space="0" w:color="auto"/>
            </w:tcBorders>
            <w:noWrap/>
            <w:vAlign w:val="center"/>
            <w:hideMark/>
          </w:tcPr>
          <w:p w14:paraId="6DC7D6F8" w14:textId="77777777" w:rsidR="002F3821" w:rsidRDefault="002F3821" w:rsidP="00B50FFD">
            <w:pPr>
              <w:suppressAutoHyphens/>
              <w:jc w:val="center"/>
              <w:rPr>
                <w:rFonts w:asciiTheme="minorHAnsi" w:hAnsiTheme="minorHAnsi" w:cstheme="minorHAnsi"/>
                <w:color w:val="000000"/>
                <w:sz w:val="20"/>
                <w:szCs w:val="20"/>
              </w:rPr>
            </w:pPr>
            <w:r>
              <w:rPr>
                <w:rFonts w:asciiTheme="minorHAnsi" w:hAnsiTheme="minorHAnsi" w:cstheme="minorHAnsi"/>
                <w:color w:val="000000"/>
                <w:sz w:val="20"/>
                <w:szCs w:val="20"/>
              </w:rPr>
              <w:t>IV kw. 2021</w:t>
            </w:r>
          </w:p>
        </w:tc>
        <w:tc>
          <w:tcPr>
            <w:tcW w:w="911" w:type="pct"/>
            <w:tcBorders>
              <w:top w:val="nil"/>
              <w:left w:val="nil"/>
              <w:bottom w:val="single" w:sz="4" w:space="0" w:color="auto"/>
              <w:right w:val="single" w:sz="4" w:space="0" w:color="auto"/>
            </w:tcBorders>
            <w:noWrap/>
            <w:vAlign w:val="center"/>
            <w:hideMark/>
          </w:tcPr>
          <w:p w14:paraId="268EDFAE" w14:textId="77777777" w:rsidR="002F3821" w:rsidRDefault="002F3821" w:rsidP="00B50FFD">
            <w:pPr>
              <w:keepNext/>
              <w:suppressAutoHyphens/>
              <w:rPr>
                <w:rFonts w:asciiTheme="minorHAnsi" w:hAnsiTheme="minorHAnsi" w:cstheme="minorHAnsi"/>
                <w:color w:val="000000"/>
                <w:sz w:val="20"/>
                <w:szCs w:val="20"/>
              </w:rPr>
            </w:pPr>
            <w:r>
              <w:rPr>
                <w:rFonts w:asciiTheme="minorHAnsi" w:hAnsiTheme="minorHAnsi" w:cstheme="minorHAnsi"/>
                <w:color w:val="000000"/>
                <w:sz w:val="20"/>
                <w:szCs w:val="20"/>
              </w:rPr>
              <w:t>zrealizowano</w:t>
            </w:r>
          </w:p>
        </w:tc>
      </w:tr>
    </w:tbl>
    <w:p w14:paraId="47CF1DC4" w14:textId="77777777" w:rsidR="002F3821" w:rsidRDefault="002F3821" w:rsidP="002F3821">
      <w:pPr>
        <w:pStyle w:val="rdo0"/>
        <w:rPr>
          <w:color w:val="4472C4"/>
        </w:rPr>
      </w:pPr>
      <w:r>
        <w:t>Źródło: opracowanie własne</w:t>
      </w:r>
    </w:p>
    <w:p w14:paraId="07836F5C" w14:textId="66609CC3" w:rsidR="00C40A58" w:rsidRDefault="00C40A58" w:rsidP="00C40A58">
      <w:pPr>
        <w:rPr>
          <w:rFonts w:cstheme="minorHAnsi"/>
        </w:rPr>
      </w:pPr>
      <w:bookmarkStart w:id="292" w:name="_Toc66311459"/>
      <w:r>
        <w:rPr>
          <w:rFonts w:cstheme="minorHAnsi"/>
        </w:rPr>
        <w:t xml:space="preserve">Spośród </w:t>
      </w:r>
      <w:r w:rsidRPr="002D6624">
        <w:rPr>
          <w:rFonts w:cstheme="minorHAnsi"/>
        </w:rPr>
        <w:t>zidentyfikowan</w:t>
      </w:r>
      <w:r>
        <w:rPr>
          <w:rFonts w:cstheme="minorHAnsi"/>
        </w:rPr>
        <w:t>ych</w:t>
      </w:r>
      <w:r w:rsidRPr="002D6624">
        <w:rPr>
          <w:rFonts w:cstheme="minorHAnsi"/>
        </w:rPr>
        <w:t xml:space="preserve"> 7 działań z</w:t>
      </w:r>
      <w:r>
        <w:rPr>
          <w:rFonts w:cstheme="minorHAnsi"/>
        </w:rPr>
        <w:t> </w:t>
      </w:r>
      <w:r w:rsidRPr="002D6624">
        <w:rPr>
          <w:rFonts w:cstheme="minorHAnsi"/>
        </w:rPr>
        <w:t>określonym terminem realizacji, zrealizowano 5 z</w:t>
      </w:r>
      <w:r>
        <w:rPr>
          <w:rFonts w:cstheme="minorHAnsi"/>
        </w:rPr>
        <w:t> </w:t>
      </w:r>
      <w:r w:rsidRPr="002D6624">
        <w:rPr>
          <w:rFonts w:cstheme="minorHAnsi"/>
        </w:rPr>
        <w:t>nich co stanowi 71% wszystkich działań z</w:t>
      </w:r>
      <w:r>
        <w:rPr>
          <w:rFonts w:cstheme="minorHAnsi"/>
        </w:rPr>
        <w:t> </w:t>
      </w:r>
      <w:r w:rsidRPr="002D6624">
        <w:rPr>
          <w:rFonts w:cstheme="minorHAnsi"/>
        </w:rPr>
        <w:t xml:space="preserve">określonym </w:t>
      </w:r>
      <w:r w:rsidRPr="00B747A1">
        <w:rPr>
          <w:rFonts w:cstheme="minorHAnsi"/>
        </w:rPr>
        <w:t>terminem realizacji (wykres 10-1, wykres 10-2).</w:t>
      </w:r>
      <w:r>
        <w:rPr>
          <w:rFonts w:cstheme="minorHAnsi"/>
        </w:rPr>
        <w:t xml:space="preserve"> Wskazany w przypadku działania: </w:t>
      </w:r>
      <w:r w:rsidRPr="00674622">
        <w:rPr>
          <w:rFonts w:cstheme="minorHAnsi"/>
          <w:color w:val="000000"/>
        </w:rPr>
        <w:t>Obowiązek opracowania i weryfikacji warunków korzystania z wód regionu, jako aktu prawa miejscowego wspomagającego osiągnięcie celów środowiskowych</w:t>
      </w:r>
      <w:r>
        <w:rPr>
          <w:rFonts w:cstheme="minorHAnsi"/>
        </w:rPr>
        <w:t xml:space="preserve">, zróżnicowany stopień realizacji, </w:t>
      </w:r>
      <w:r w:rsidRPr="00674622">
        <w:rPr>
          <w:rFonts w:cstheme="minorHAnsi"/>
        </w:rPr>
        <w:t xml:space="preserve">wynika </w:t>
      </w:r>
      <w:r>
        <w:rPr>
          <w:rFonts w:cstheme="minorHAnsi"/>
        </w:rPr>
        <w:t>z</w:t>
      </w:r>
      <w:r w:rsidRPr="00674622">
        <w:rPr>
          <w:rFonts w:cstheme="minorHAnsi"/>
        </w:rPr>
        <w:t xml:space="preserve">e zmiany zapisów w ustawie </w:t>
      </w:r>
      <w:r>
        <w:rPr>
          <w:rFonts w:cstheme="minorHAnsi"/>
        </w:rPr>
        <w:t>pr.w.</w:t>
      </w:r>
      <w:r w:rsidRPr="00674622">
        <w:rPr>
          <w:rFonts w:cstheme="minorHAnsi"/>
        </w:rPr>
        <w:t xml:space="preserve">, która nie przewiduje wydawania przez dyrektorów </w:t>
      </w:r>
      <w:r>
        <w:rPr>
          <w:rFonts w:cstheme="minorHAnsi"/>
        </w:rPr>
        <w:t>RZGW WP</w:t>
      </w:r>
      <w:r w:rsidRPr="00674622">
        <w:rPr>
          <w:rFonts w:cstheme="minorHAnsi"/>
        </w:rPr>
        <w:t xml:space="preserve"> rozporządzeń ustalających warunki korzystania z wód</w:t>
      </w:r>
      <w:r>
        <w:rPr>
          <w:rFonts w:cstheme="minorHAnsi"/>
        </w:rPr>
        <w:t>. Rozporządzenia,</w:t>
      </w:r>
      <w:r w:rsidRPr="00674622">
        <w:rPr>
          <w:rFonts w:cstheme="minorHAnsi"/>
        </w:rPr>
        <w:t xml:space="preserve"> zgodnie z zapisami aPWŚK stanowi</w:t>
      </w:r>
      <w:r>
        <w:rPr>
          <w:rFonts w:cstheme="minorHAnsi"/>
        </w:rPr>
        <w:t>ą</w:t>
      </w:r>
      <w:r w:rsidRPr="00674622">
        <w:rPr>
          <w:rFonts w:cstheme="minorHAnsi"/>
        </w:rPr>
        <w:t xml:space="preserve"> efekt rzeczowy działania, którego realizacja w</w:t>
      </w:r>
      <w:r w:rsidR="007E5892">
        <w:rPr>
          <w:rFonts w:cstheme="minorHAnsi"/>
        </w:rPr>
        <w:t> </w:t>
      </w:r>
      <w:r w:rsidRPr="00674622">
        <w:rPr>
          <w:rFonts w:cstheme="minorHAnsi"/>
        </w:rPr>
        <w:t>tym kontekście st</w:t>
      </w:r>
      <w:r>
        <w:rPr>
          <w:rFonts w:cstheme="minorHAnsi"/>
        </w:rPr>
        <w:t>ała</w:t>
      </w:r>
      <w:r w:rsidRPr="00674622">
        <w:rPr>
          <w:rFonts w:cstheme="minorHAnsi"/>
        </w:rPr>
        <w:t xml:space="preserve"> się bezprzedmiotowa</w:t>
      </w:r>
      <w:r>
        <w:rPr>
          <w:rFonts w:cstheme="minorHAnsi"/>
        </w:rPr>
        <w:t>.</w:t>
      </w:r>
    </w:p>
    <w:p w14:paraId="4B2D63B1" w14:textId="275658B7" w:rsidR="00E0220E" w:rsidRDefault="00E0220E" w:rsidP="008C4B53">
      <w:pPr>
        <w:jc w:val="center"/>
        <w:rPr>
          <w:rFonts w:cstheme="minorHAnsi"/>
        </w:rPr>
      </w:pPr>
      <w:r w:rsidRPr="002D6624">
        <w:rPr>
          <w:noProof/>
        </w:rPr>
        <w:drawing>
          <wp:inline distT="0" distB="0" distL="0" distR="0" wp14:anchorId="36962F09" wp14:editId="3A973BD8">
            <wp:extent cx="4581525" cy="2752725"/>
            <wp:effectExtent l="0" t="0" r="9525" b="9525"/>
            <wp:docPr id="1866059345" name="Wykres 1866059345">
              <a:extLst xmlns:a="http://schemas.openxmlformats.org/drawingml/2006/main">
                <a:ext uri="{FF2B5EF4-FFF2-40B4-BE49-F238E27FC236}">
                  <a16:creationId xmlns:a16="http://schemas.microsoft.com/office/drawing/2014/main" id="{013594D3-85AC-41AB-9EC2-98851E529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20D5EAF" w14:textId="63C7845E" w:rsidR="00334F6D" w:rsidRPr="00C57924" w:rsidRDefault="00334F6D" w:rsidP="006802BB">
      <w:pPr>
        <w:pStyle w:val="Wykres"/>
      </w:pPr>
      <w:bookmarkStart w:id="293" w:name="_Toc68727110"/>
      <w:r w:rsidRPr="00C57924">
        <w:t xml:space="preserve">Wykres </w:t>
      </w:r>
      <w:fldSimple w:instr=" STYLEREF 1 \s ">
        <w:r w:rsidR="00935EFD">
          <w:rPr>
            <w:noProof/>
          </w:rPr>
          <w:t>10</w:t>
        </w:r>
      </w:fldSimple>
      <w:r w:rsidR="00EF3FD3">
        <w:noBreakHyphen/>
      </w:r>
      <w:fldSimple w:instr=" SEQ Wykres \* ARABIC \s 1 ">
        <w:r w:rsidR="00935EFD">
          <w:rPr>
            <w:noProof/>
          </w:rPr>
          <w:t>1</w:t>
        </w:r>
      </w:fldSimple>
      <w:r w:rsidRPr="00C57924">
        <w:tab/>
      </w:r>
      <w:bookmarkEnd w:id="292"/>
      <w:r w:rsidR="00E0220E">
        <w:t>Udział działań krajowych z określonym terminem realizacji (aPGW) (2016-2021)</w:t>
      </w:r>
      <w:bookmarkEnd w:id="293"/>
    </w:p>
    <w:p w14:paraId="55F62362" w14:textId="0C334A46" w:rsidR="00334F6D" w:rsidRDefault="00334F6D" w:rsidP="00334F6D">
      <w:pPr>
        <w:pStyle w:val="rdo0"/>
        <w:rPr>
          <w:i w:val="0"/>
        </w:rPr>
      </w:pPr>
      <w:r>
        <w:t xml:space="preserve">Źródło: </w:t>
      </w:r>
      <w:r w:rsidR="000F4C8C">
        <w:t xml:space="preserve">opracowanie </w:t>
      </w:r>
      <w:r w:rsidR="006F7559">
        <w:t>własne</w:t>
      </w:r>
      <w:r>
        <w:t xml:space="preserve"> na podstawie Oceny postępu we wdrażaniu programów działań dla jcwp i jcwpd wynikających z aPWŚK (2018)</w:t>
      </w:r>
    </w:p>
    <w:p w14:paraId="5EB84F34" w14:textId="11B7E214" w:rsidR="00334F6D" w:rsidRDefault="00296985" w:rsidP="00334F6D">
      <w:pPr>
        <w:suppressAutoHyphens/>
        <w:jc w:val="center"/>
        <w:rPr>
          <w:rFonts w:asciiTheme="minorHAnsi" w:hAnsiTheme="minorHAnsi" w:cstheme="minorHAnsi"/>
          <w:i/>
          <w:iCs/>
          <w:color w:val="003399"/>
          <w:sz w:val="20"/>
          <w:szCs w:val="20"/>
          <w:lang w:eastAsia="zh-CN"/>
        </w:rPr>
      </w:pPr>
      <w:r>
        <w:rPr>
          <w:noProof/>
        </w:rPr>
        <w:drawing>
          <wp:inline distT="0" distB="0" distL="0" distR="0" wp14:anchorId="52C56BEB" wp14:editId="7AC9EAF6">
            <wp:extent cx="4572000" cy="2743200"/>
            <wp:effectExtent l="0" t="0" r="0" b="0"/>
            <wp:docPr id="1866059346" name="Wykres 1866059346">
              <a:extLst xmlns:a="http://schemas.openxmlformats.org/drawingml/2006/main">
                <a:ext uri="{FF2B5EF4-FFF2-40B4-BE49-F238E27FC236}">
                  <a16:creationId xmlns:a16="http://schemas.microsoft.com/office/drawing/2014/main" id="{C154F5BF-10C2-489B-8316-956345FCD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FC35E3F" w14:textId="2010ACE6" w:rsidR="00334F6D" w:rsidRPr="008C4B53" w:rsidRDefault="00334F6D" w:rsidP="00AB7722">
      <w:pPr>
        <w:pStyle w:val="Wykres"/>
      </w:pPr>
      <w:bookmarkStart w:id="294" w:name="_Toc66311460"/>
      <w:bookmarkStart w:id="295" w:name="_Toc68727111"/>
      <w:r w:rsidRPr="00AB7722">
        <w:t xml:space="preserve">Wykres </w:t>
      </w:r>
      <w:r w:rsidR="008302C5" w:rsidRPr="008C4B53">
        <w:fldChar w:fldCharType="begin"/>
      </w:r>
      <w:r w:rsidR="008302C5" w:rsidRPr="00CA1F27">
        <w:instrText xml:space="preserve"> STYLEREF 1 \s </w:instrText>
      </w:r>
      <w:r w:rsidR="008302C5" w:rsidRPr="008C4B53">
        <w:fldChar w:fldCharType="separate"/>
      </w:r>
      <w:r w:rsidR="00EF3FD3" w:rsidRPr="008C4B53">
        <w:t>10</w:t>
      </w:r>
      <w:r w:rsidR="008302C5" w:rsidRPr="008C4B53">
        <w:fldChar w:fldCharType="end"/>
      </w:r>
      <w:r w:rsidR="00EF3FD3" w:rsidRPr="00AB7722">
        <w:noBreakHyphen/>
      </w:r>
      <w:r w:rsidR="008302C5" w:rsidRPr="008C4B53">
        <w:fldChar w:fldCharType="begin"/>
      </w:r>
      <w:r w:rsidR="008302C5" w:rsidRPr="00CA1F27">
        <w:instrText xml:space="preserve"> SEQ Wykres \* ARABIC \s 1 </w:instrText>
      </w:r>
      <w:r w:rsidR="008302C5" w:rsidRPr="008C4B53">
        <w:fldChar w:fldCharType="separate"/>
      </w:r>
      <w:r w:rsidR="00EF3FD3" w:rsidRPr="008C4B53">
        <w:t>2</w:t>
      </w:r>
      <w:r w:rsidR="008302C5" w:rsidRPr="008C4B53">
        <w:fldChar w:fldCharType="end"/>
      </w:r>
      <w:r w:rsidRPr="00AB7722">
        <w:tab/>
      </w:r>
      <w:bookmarkEnd w:id="294"/>
      <w:r w:rsidR="00CA1F27" w:rsidRPr="00CA1F27">
        <w:t>Stan realizacji działań krajowych ze wskazanym terminem realizacji (aPGW), (2016-2021)</w:t>
      </w:r>
      <w:bookmarkEnd w:id="295"/>
    </w:p>
    <w:p w14:paraId="6503875A" w14:textId="07211C70" w:rsidR="00334F6D" w:rsidRDefault="00334F6D" w:rsidP="00334F6D">
      <w:pPr>
        <w:pStyle w:val="rdo0"/>
      </w:pPr>
      <w:r>
        <w:t xml:space="preserve">Źródło: </w:t>
      </w:r>
      <w:r w:rsidR="000F4C8C">
        <w:t xml:space="preserve">opracowanie </w:t>
      </w:r>
      <w:r w:rsidR="00B773E9">
        <w:t>własne</w:t>
      </w:r>
      <w:r>
        <w:t xml:space="preserve"> na podstawie Oceny postępu we wdrażaniu programów działań dla jcwp i jcwpd wynikających z aPWŚK (2018)</w:t>
      </w:r>
    </w:p>
    <w:p w14:paraId="359D42FD" w14:textId="7CBAA82E" w:rsidR="00334F6D" w:rsidRDefault="00334F6D" w:rsidP="00334F6D">
      <w:pPr>
        <w:widowControl w:val="0"/>
        <w:suppressAutoHyphens/>
        <w:autoSpaceDE w:val="0"/>
        <w:autoSpaceDN w:val="0"/>
        <w:adjustRightInd w:val="0"/>
        <w:spacing w:before="282" w:line="264" w:lineRule="auto"/>
        <w:rPr>
          <w:rFonts w:cs="Calibri"/>
          <w:color w:val="000000"/>
        </w:rPr>
      </w:pPr>
      <w:r>
        <w:rPr>
          <w:rFonts w:cs="Calibri"/>
          <w:color w:val="000000"/>
        </w:rPr>
        <w:t xml:space="preserve">Ogólna liczba działań zaplanowanych do realizacji w cyklu planistycznym 2016-2021 w aPGW </w:t>
      </w:r>
      <w:r w:rsidR="005F6EBC">
        <w:rPr>
          <w:rFonts w:cs="Calibri"/>
          <w:color w:val="000000"/>
        </w:rPr>
        <w:t>w skali kraju</w:t>
      </w:r>
      <w:r>
        <w:rPr>
          <w:rFonts w:cs="Calibri"/>
          <w:color w:val="000000"/>
        </w:rPr>
        <w:t xml:space="preserve"> wyniosła łącznie ok. 25 tys. działań, w tym ponad 82% stanowiły działania dotyczące jcwp RW. Udział działań poszczególnych kategorii wód w ogólnej liczbie działań aPGW prezentuje </w:t>
      </w:r>
      <w:r w:rsidRPr="000C4534">
        <w:rPr>
          <w:rFonts w:cs="Calibri"/>
          <w:color w:val="000000"/>
        </w:rPr>
        <w:t>poniższy wykres 10-3.</w:t>
      </w:r>
    </w:p>
    <w:p w14:paraId="262D1100" w14:textId="7B7C84B0" w:rsidR="00AB7722" w:rsidRDefault="00AB7722" w:rsidP="00334F6D">
      <w:pPr>
        <w:widowControl w:val="0"/>
        <w:suppressAutoHyphens/>
        <w:autoSpaceDE w:val="0"/>
        <w:autoSpaceDN w:val="0"/>
        <w:adjustRightInd w:val="0"/>
        <w:spacing w:before="282" w:line="261" w:lineRule="auto"/>
        <w:jc w:val="center"/>
        <w:rPr>
          <w:rFonts w:cs="Calibri"/>
          <w:color w:val="000000"/>
        </w:rPr>
      </w:pPr>
      <w:r w:rsidRPr="002D6624">
        <w:rPr>
          <w:noProof/>
        </w:rPr>
        <w:drawing>
          <wp:inline distT="0" distB="0" distL="0" distR="0" wp14:anchorId="29C1F6D9" wp14:editId="1127AB24">
            <wp:extent cx="4581525" cy="2752725"/>
            <wp:effectExtent l="0" t="0" r="9525" b="9525"/>
            <wp:docPr id="241" name="Wykres 241">
              <a:extLst xmlns:a="http://schemas.openxmlformats.org/drawingml/2006/main">
                <a:ext uri="{FF2B5EF4-FFF2-40B4-BE49-F238E27FC236}">
                  <a16:creationId xmlns:a16="http://schemas.microsoft.com/office/drawing/2014/main" id="{F2AFF814-BE75-4164-B444-D2C13D804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2FF001B" w14:textId="125823EE" w:rsidR="00334F6D" w:rsidRPr="00C57924" w:rsidRDefault="00334F6D" w:rsidP="006802BB">
      <w:pPr>
        <w:pStyle w:val="Wykres"/>
        <w:rPr>
          <w:rFonts w:eastAsia="Times New Roman"/>
          <w:i/>
        </w:rPr>
      </w:pPr>
      <w:bookmarkStart w:id="296" w:name="_Toc66311461"/>
      <w:bookmarkStart w:id="297" w:name="_Toc68727112"/>
      <w:r w:rsidRPr="00C57924">
        <w:t xml:space="preserve">Wykres </w:t>
      </w:r>
      <w:fldSimple w:instr=" STYLEREF 1 \s ">
        <w:r w:rsidR="00B72A3E">
          <w:rPr>
            <w:noProof/>
          </w:rPr>
          <w:t>10</w:t>
        </w:r>
      </w:fldSimple>
      <w:r w:rsidR="00EF3FD3">
        <w:noBreakHyphen/>
      </w:r>
      <w:fldSimple w:instr=" SEQ Wykres \* ARABIC \s 1 ">
        <w:r w:rsidR="00B72A3E">
          <w:rPr>
            <w:noProof/>
          </w:rPr>
          <w:t>3</w:t>
        </w:r>
      </w:fldSimple>
      <w:r w:rsidRPr="00C57924">
        <w:tab/>
        <w:t xml:space="preserve">Udział działań zaplanowanych dla poszczególnych kategorii wód w ogólnej liczbie działań aPGW </w:t>
      </w:r>
      <w:r w:rsidR="00F9136A">
        <w:t>(cykl planistyczny 2016-2021)</w:t>
      </w:r>
      <w:r w:rsidR="00F9136A" w:rsidRPr="00C57924">
        <w:t xml:space="preserve"> </w:t>
      </w:r>
      <w:r w:rsidRPr="00C57924">
        <w:t>(w skali kraju)</w:t>
      </w:r>
      <w:bookmarkEnd w:id="296"/>
      <w:bookmarkEnd w:id="297"/>
      <w:r w:rsidRPr="00C57924">
        <w:t xml:space="preserve"> </w:t>
      </w:r>
    </w:p>
    <w:p w14:paraId="3BB3F17D" w14:textId="7EA5B0EE" w:rsidR="00334F6D" w:rsidRDefault="00334F6D" w:rsidP="00334F6D">
      <w:pPr>
        <w:pStyle w:val="rdo0"/>
      </w:pPr>
      <w:r>
        <w:t xml:space="preserve">Źródło: </w:t>
      </w:r>
      <w:r w:rsidR="008A2A0B">
        <w:t xml:space="preserve">opracowanie </w:t>
      </w:r>
      <w:r w:rsidR="00B773E9">
        <w:t>własne</w:t>
      </w:r>
      <w:r>
        <w:t xml:space="preserve"> na podstawie Oceny postępu we wdrażaniu programów działań dla jcwp i jcwpd wynikających z aPWŚK (2018)</w:t>
      </w:r>
    </w:p>
    <w:p w14:paraId="01440E9F" w14:textId="03598516" w:rsidR="00334F6D" w:rsidRDefault="009F048E" w:rsidP="00334F6D">
      <w:pPr>
        <w:widowControl w:val="0"/>
        <w:suppressAutoHyphens/>
        <w:autoSpaceDE w:val="0"/>
        <w:autoSpaceDN w:val="0"/>
        <w:adjustRightInd w:val="0"/>
        <w:spacing w:before="282" w:line="264" w:lineRule="auto"/>
        <w:rPr>
          <w:rFonts w:cs="Calibri"/>
          <w:color w:val="000000"/>
        </w:rPr>
      </w:pPr>
      <w:r w:rsidRPr="002D6624">
        <w:rPr>
          <w:rFonts w:cs="Calibri"/>
          <w:color w:val="000000"/>
        </w:rPr>
        <w:t>Stopień zaawansowania realizacji działań w</w:t>
      </w:r>
      <w:r>
        <w:rPr>
          <w:rFonts w:cs="Calibri"/>
          <w:color w:val="000000"/>
        </w:rPr>
        <w:t> </w:t>
      </w:r>
      <w:r w:rsidRPr="002D6624">
        <w:rPr>
          <w:rFonts w:cs="Calibri"/>
          <w:color w:val="000000"/>
        </w:rPr>
        <w:t>poszczególnych kategoriach wód wyniósł średnio ok. 10%.</w:t>
      </w:r>
      <w:r>
        <w:rPr>
          <w:rFonts w:cs="Calibri"/>
          <w:color w:val="000000"/>
        </w:rPr>
        <w:t xml:space="preserve"> </w:t>
      </w:r>
      <w:r w:rsidRPr="00BB556C">
        <w:rPr>
          <w:rFonts w:cs="Calibri"/>
          <w:color w:val="000000"/>
        </w:rPr>
        <w:t xml:space="preserve">Średni stopień zaawansowania realizacji działań w poszczególnych kategoriach odnosi się do uzyskanej informacji co do zaawansowania realizacji w stosunku do wszystkich działań zaplanowanych w aPWŚK (zgodnie z przyjętym sposobem prezentacji danych w opracowaniu </w:t>
      </w:r>
      <w:r w:rsidRPr="00BB556C">
        <w:rPr>
          <w:rFonts w:cs="Calibri"/>
          <w:i/>
          <w:iCs/>
          <w:color w:val="000000"/>
        </w:rPr>
        <w:t>Ocena postępu we wdrażaniu działań (...)</w:t>
      </w:r>
      <w:r>
        <w:rPr>
          <w:rFonts w:cs="Calibri"/>
          <w:i/>
          <w:iCs/>
          <w:color w:val="000000"/>
        </w:rPr>
        <w:t xml:space="preserve">, </w:t>
      </w:r>
      <w:r w:rsidRPr="009269A1">
        <w:rPr>
          <w:rFonts w:cs="Calibri"/>
          <w:color w:val="000000"/>
        </w:rPr>
        <w:t>który</w:t>
      </w:r>
      <w:r>
        <w:rPr>
          <w:rFonts w:cs="Calibri"/>
          <w:color w:val="000000"/>
        </w:rPr>
        <w:t xml:space="preserve"> zakłada włączenie do grupy działań niezrealizowanych również działań dla których nie uzyskano informacji o statusie zaawansowania)</w:t>
      </w:r>
      <w:r>
        <w:rPr>
          <w:rFonts w:cs="Calibri"/>
          <w:i/>
          <w:iCs/>
          <w:color w:val="000000"/>
        </w:rPr>
        <w:t xml:space="preserve">. </w:t>
      </w:r>
      <w:r w:rsidRPr="00BB556C">
        <w:rPr>
          <w:rFonts w:cs="Calibri"/>
          <w:color w:val="000000"/>
        </w:rPr>
        <w:t>Należy zauważyć, że wartość ta jest pesymistycznym szacunkiem stopnia zaawansowania realizacji działań, gdyż w przypadku braku odpowiedzi na ankiety, działania zostały potraktowane jako niezrealizowane</w:t>
      </w:r>
      <w:r>
        <w:rPr>
          <w:rFonts w:cs="Calibri"/>
          <w:color w:val="000000"/>
        </w:rPr>
        <w:t xml:space="preserve"> (uzyskany zwrot ankiet dotyczących działań innych, niż działania krajowe, wyniósł 67%</w:t>
      </w:r>
      <w:r w:rsidR="00A21D75">
        <w:rPr>
          <w:rFonts w:cs="Calibri"/>
          <w:color w:val="000000"/>
        </w:rPr>
        <w:t xml:space="preserve"> </w:t>
      </w:r>
      <w:r w:rsidR="00A21D75" w:rsidRPr="00F43682">
        <w:rPr>
          <w:rFonts w:cs="Calibri"/>
          <w:color w:val="000000"/>
        </w:rPr>
        <w:t>jednakże analiza ankiet wykazała jednak dość znaczny udział ankiet pustych lub bez podawania konkretnych odpowiedzi</w:t>
      </w:r>
      <w:r>
        <w:rPr>
          <w:rFonts w:cs="Calibri"/>
          <w:color w:val="000000"/>
        </w:rPr>
        <w:t>).</w:t>
      </w:r>
      <w:r w:rsidRPr="00BB556C">
        <w:rPr>
          <w:rFonts w:cs="Calibri"/>
          <w:color w:val="000000"/>
        </w:rPr>
        <w:t xml:space="preserve"> </w:t>
      </w:r>
      <w:r w:rsidR="003B75D8" w:rsidRPr="003B75D8">
        <w:rPr>
          <w:rFonts w:cs="Calibri"/>
          <w:color w:val="000000"/>
        </w:rPr>
        <w:t>Ponadto średni stopień zaawansowania realizacji działań</w:t>
      </w:r>
      <w:r w:rsidRPr="00BB556C">
        <w:rPr>
          <w:rFonts w:cs="Calibri"/>
          <w:color w:val="000000"/>
        </w:rPr>
        <w:t xml:space="preserve"> nie uwzględnia działań zrealizowanych od 2019</w:t>
      </w:r>
      <w:r w:rsidRPr="00BB556C">
        <w:rPr>
          <w:rFonts w:eastAsia="Times New Roman" w:cs="Calibri"/>
          <w:color w:val="000000"/>
          <w:sz w:val="20"/>
          <w:szCs w:val="20"/>
          <w:lang w:eastAsia="pl-PL"/>
        </w:rPr>
        <w:t xml:space="preserve"> r.</w:t>
      </w:r>
      <w:r>
        <w:rPr>
          <w:rFonts w:eastAsia="Times New Roman" w:cs="Calibri"/>
          <w:color w:val="000000"/>
          <w:sz w:val="20"/>
          <w:szCs w:val="20"/>
          <w:lang w:eastAsia="pl-PL"/>
        </w:rPr>
        <w:t xml:space="preserve"> </w:t>
      </w:r>
      <w:r w:rsidR="00334F6D">
        <w:rPr>
          <w:rFonts w:cs="Calibri"/>
          <w:color w:val="000000"/>
        </w:rPr>
        <w:t>Informacje dotyczące stopnia realizacji działań z wyszczególnieniem zastosowanego podziału statusu, przedstawia poniższa tabela</w:t>
      </w:r>
      <w:r w:rsidR="000F39E6">
        <w:rPr>
          <w:rFonts w:cs="Calibri"/>
          <w:color w:val="000000"/>
        </w:rPr>
        <w:t xml:space="preserve"> 10-2</w:t>
      </w:r>
      <w:r w:rsidR="00334F6D">
        <w:rPr>
          <w:rFonts w:cs="Calibri"/>
          <w:color w:val="000000"/>
        </w:rPr>
        <w:t>.</w:t>
      </w:r>
    </w:p>
    <w:p w14:paraId="2AF1A4CF" w14:textId="6BEB6C8B" w:rsidR="00334F6D" w:rsidRPr="00C57924" w:rsidRDefault="00334F6D" w:rsidP="003F4A95">
      <w:pPr>
        <w:pStyle w:val="Tabela"/>
      </w:pPr>
      <w:bookmarkStart w:id="298" w:name="_Toc66261843"/>
      <w:bookmarkStart w:id="299" w:name="_Toc66311319"/>
      <w:bookmarkStart w:id="300" w:name="_Toc68727012"/>
      <w:r w:rsidRPr="00C57924">
        <w:t xml:space="preserve">Tabela </w:t>
      </w:r>
      <w:fldSimple w:instr=" STYLEREF 1 \s ">
        <w:r w:rsidR="007B4050">
          <w:rPr>
            <w:noProof/>
          </w:rPr>
          <w:t>10</w:t>
        </w:r>
      </w:fldSimple>
      <w:r w:rsidR="007B4050">
        <w:noBreakHyphen/>
      </w:r>
      <w:fldSimple w:instr=" SEQ Tabela \* ARABIC \s 1 ">
        <w:r w:rsidR="007B4050">
          <w:rPr>
            <w:noProof/>
          </w:rPr>
          <w:t>2</w:t>
        </w:r>
      </w:fldSimple>
      <w:r w:rsidRPr="00C57924">
        <w:tab/>
        <w:t xml:space="preserve">Stopień realizacji działań wynikających z aPWŚK w </w:t>
      </w:r>
      <w:bookmarkEnd w:id="298"/>
      <w:bookmarkEnd w:id="299"/>
      <w:r w:rsidR="00AF14AD">
        <w:t>skali kraju</w:t>
      </w:r>
      <w:bookmarkEnd w:id="300"/>
    </w:p>
    <w:tbl>
      <w:tblPr>
        <w:tblStyle w:val="Tabela-Siatka"/>
        <w:tblW w:w="5003" w:type="pct"/>
        <w:jc w:val="center"/>
        <w:tblLook w:val="04A0" w:firstRow="1" w:lastRow="0" w:firstColumn="1" w:lastColumn="0" w:noHBand="0" w:noVBand="1"/>
      </w:tblPr>
      <w:tblGrid>
        <w:gridCol w:w="1271"/>
        <w:gridCol w:w="1276"/>
        <w:gridCol w:w="1276"/>
        <w:gridCol w:w="992"/>
        <w:gridCol w:w="1134"/>
        <w:gridCol w:w="850"/>
        <w:gridCol w:w="993"/>
        <w:gridCol w:w="1275"/>
      </w:tblGrid>
      <w:tr w:rsidR="00334F6D" w14:paraId="20A6AF19" w14:textId="77777777" w:rsidTr="0045575C">
        <w:trPr>
          <w:trHeight w:val="412"/>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34C51C6" w14:textId="77777777" w:rsidR="00334F6D" w:rsidRDefault="00334F6D" w:rsidP="0045575C">
            <w:pPr>
              <w:suppressAutoHyphens/>
              <w:jc w:val="center"/>
              <w:rPr>
                <w:rFonts w:cs="Calibri"/>
                <w:b/>
                <w:bCs/>
                <w:sz w:val="20"/>
                <w:szCs w:val="20"/>
              </w:rPr>
            </w:pPr>
            <w:r>
              <w:rPr>
                <w:rFonts w:cs="Calibri"/>
                <w:b/>
                <w:bCs/>
                <w:sz w:val="20"/>
                <w:szCs w:val="20"/>
              </w:rPr>
              <w:t>Kategoria wód</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E9DD39" w14:textId="46EEC8C3" w:rsidR="00334F6D" w:rsidRDefault="0045575C" w:rsidP="000F4C8C">
            <w:pPr>
              <w:suppressAutoHyphens/>
              <w:jc w:val="center"/>
              <w:rPr>
                <w:rFonts w:cs="Calibri"/>
                <w:b/>
                <w:bCs/>
                <w:sz w:val="20"/>
                <w:szCs w:val="20"/>
              </w:rPr>
            </w:pPr>
            <w:r>
              <w:rPr>
                <w:rFonts w:cs="Calibri"/>
                <w:b/>
                <w:bCs/>
                <w:sz w:val="20"/>
                <w:szCs w:val="20"/>
              </w:rPr>
              <w:t>L</w:t>
            </w:r>
            <w:r w:rsidR="00334F6D">
              <w:rPr>
                <w:rFonts w:cs="Calibri"/>
                <w:b/>
                <w:bCs/>
                <w:sz w:val="20"/>
                <w:szCs w:val="20"/>
              </w:rPr>
              <w:t>iczba działań w</w:t>
            </w:r>
            <w:r>
              <w:rPr>
                <w:rFonts w:cs="Calibri"/>
                <w:b/>
                <w:bCs/>
                <w:sz w:val="20"/>
                <w:szCs w:val="20"/>
              </w:rPr>
              <w:t> </w:t>
            </w:r>
            <w:r w:rsidR="00334F6D">
              <w:rPr>
                <w:rFonts w:cs="Calibri"/>
                <w:b/>
                <w:bCs/>
                <w:sz w:val="20"/>
                <w:szCs w:val="20"/>
              </w:rPr>
              <w:t>aPWŚK</w:t>
            </w:r>
          </w:p>
        </w:tc>
        <w:tc>
          <w:tcPr>
            <w:tcW w:w="652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3D8D66C" w14:textId="6A521163" w:rsidR="00334F6D" w:rsidRDefault="00334F6D" w:rsidP="000F4C8C">
            <w:pPr>
              <w:suppressAutoHyphens/>
              <w:jc w:val="center"/>
              <w:rPr>
                <w:rFonts w:cs="Calibri"/>
                <w:b/>
                <w:bCs/>
                <w:sz w:val="20"/>
                <w:szCs w:val="20"/>
              </w:rPr>
            </w:pPr>
            <w:r>
              <w:rPr>
                <w:rFonts w:cs="Calibri"/>
                <w:b/>
                <w:bCs/>
                <w:sz w:val="20"/>
                <w:szCs w:val="20"/>
              </w:rPr>
              <w:t>Stopień realizacji działań wynikających z aPWŚK</w:t>
            </w:r>
            <w:r w:rsidR="00616324">
              <w:rPr>
                <w:rFonts w:cs="Calibri"/>
                <w:b/>
                <w:bCs/>
                <w:sz w:val="20"/>
                <w:szCs w:val="20"/>
              </w:rPr>
              <w:t xml:space="preserve"> (%)</w:t>
            </w:r>
          </w:p>
        </w:tc>
      </w:tr>
      <w:tr w:rsidR="00334F6D" w14:paraId="6A1238D2" w14:textId="77777777" w:rsidTr="0045575C">
        <w:trPr>
          <w:trHeight w:val="2381"/>
          <w:tblHeader/>
          <w:jc w:val="center"/>
        </w:trPr>
        <w:tc>
          <w:tcPr>
            <w:tcW w:w="12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981EF6" w14:textId="77777777" w:rsidR="00334F6D" w:rsidRDefault="00334F6D" w:rsidP="00840CCD">
            <w:pPr>
              <w:rPr>
                <w:rFonts w:eastAsia="Times New Roman" w:cs="Calibri"/>
                <w:b/>
                <w:bCs/>
                <w:sz w:val="20"/>
                <w:szCs w:val="20"/>
              </w:rPr>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E884C8" w14:textId="77777777" w:rsidR="00334F6D" w:rsidRDefault="00334F6D" w:rsidP="000F4C8C">
            <w:pPr>
              <w:jc w:val="center"/>
              <w:rPr>
                <w:rFonts w:eastAsia="Times New Roman" w:cs="Calibri"/>
                <w:b/>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1E3AB617" w14:textId="14BAAB85"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Działania, dla których podmioty</w:t>
            </w:r>
            <w:r w:rsidR="00B41FF9">
              <w:rPr>
                <w:rFonts w:cs="Calibri"/>
                <w:b/>
                <w:bCs/>
                <w:sz w:val="20"/>
                <w:szCs w:val="20"/>
              </w:rPr>
              <w:t xml:space="preserve"> </w:t>
            </w:r>
            <w:r w:rsidRPr="00B41FF9">
              <w:rPr>
                <w:rFonts w:cs="Calibri"/>
                <w:b/>
                <w:bCs/>
                <w:sz w:val="20"/>
                <w:szCs w:val="20"/>
              </w:rPr>
              <w:t>sprawozdające się nie przekazały danych</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4D684421" w14:textId="77777777"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Nierozpoczęte</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340A9389" w14:textId="77777777"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W trakcie przygotowania</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14CAB7AD" w14:textId="77777777"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W trakcie realizacji</w:t>
            </w: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3FF53792" w14:textId="77777777"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Zakończone</w:t>
            </w:r>
          </w:p>
        </w:tc>
        <w:tc>
          <w:tcPr>
            <w:tcW w:w="127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extDirection w:val="btLr"/>
            <w:vAlign w:val="center"/>
            <w:hideMark/>
          </w:tcPr>
          <w:p w14:paraId="3D61C012" w14:textId="70552192" w:rsidR="00334F6D" w:rsidRPr="00B41FF9" w:rsidRDefault="00334F6D" w:rsidP="00104E0D">
            <w:pPr>
              <w:suppressAutoHyphens/>
              <w:spacing w:before="0" w:after="0"/>
              <w:jc w:val="left"/>
              <w:rPr>
                <w:rFonts w:cs="Calibri"/>
                <w:b/>
                <w:bCs/>
                <w:sz w:val="20"/>
                <w:szCs w:val="20"/>
              </w:rPr>
            </w:pPr>
            <w:r w:rsidRPr="00B41FF9">
              <w:rPr>
                <w:rFonts w:cs="Calibri"/>
                <w:b/>
                <w:bCs/>
                <w:sz w:val="20"/>
                <w:szCs w:val="20"/>
              </w:rPr>
              <w:t>Stan zaawansowania realizacji</w:t>
            </w:r>
            <w:r w:rsidR="00104E0D">
              <w:rPr>
                <w:rFonts w:cs="Calibri"/>
                <w:b/>
                <w:bCs/>
                <w:sz w:val="20"/>
                <w:szCs w:val="20"/>
              </w:rPr>
              <w:t xml:space="preserve"> (przy traktowaniu braku odpowiedzi jako działania niezrealizowane)</w:t>
            </w:r>
          </w:p>
        </w:tc>
      </w:tr>
      <w:tr w:rsidR="00334F6D" w14:paraId="713ABFF4" w14:textId="77777777" w:rsidTr="0045575C">
        <w:trPr>
          <w:trHeight w:val="300"/>
          <w:jc w:val="center"/>
        </w:trPr>
        <w:tc>
          <w:tcPr>
            <w:tcW w:w="1271" w:type="dxa"/>
            <w:tcBorders>
              <w:top w:val="single" w:sz="4" w:space="0" w:color="auto"/>
              <w:left w:val="single" w:sz="4" w:space="0" w:color="auto"/>
              <w:bottom w:val="single" w:sz="4" w:space="0" w:color="auto"/>
              <w:right w:val="single" w:sz="4" w:space="0" w:color="auto"/>
            </w:tcBorders>
            <w:noWrap/>
            <w:vAlign w:val="center"/>
            <w:hideMark/>
          </w:tcPr>
          <w:p w14:paraId="581AB8AA" w14:textId="77777777" w:rsidR="00334F6D" w:rsidRDefault="00334F6D" w:rsidP="00840CCD">
            <w:pPr>
              <w:suppressAutoHyphens/>
              <w:rPr>
                <w:rFonts w:cs="Calibri"/>
                <w:sz w:val="20"/>
                <w:szCs w:val="20"/>
              </w:rPr>
            </w:pPr>
            <w:r>
              <w:rPr>
                <w:rFonts w:cs="Calibri"/>
                <w:sz w:val="20"/>
                <w:szCs w:val="20"/>
              </w:rPr>
              <w:t>jcwp RW</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2B2C93" w14:textId="77777777" w:rsidR="00334F6D" w:rsidRDefault="00334F6D" w:rsidP="003F18A4">
            <w:pPr>
              <w:suppressAutoHyphens/>
              <w:jc w:val="center"/>
              <w:rPr>
                <w:rFonts w:cs="Calibri"/>
                <w:sz w:val="20"/>
                <w:szCs w:val="20"/>
              </w:rPr>
            </w:pPr>
            <w:r>
              <w:rPr>
                <w:rFonts w:cs="Calibri"/>
                <w:color w:val="000000"/>
                <w:sz w:val="20"/>
                <w:szCs w:val="20"/>
              </w:rPr>
              <w:t>20 504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759BC92" w14:textId="76430B8D" w:rsidR="00334F6D" w:rsidRDefault="00334F6D" w:rsidP="003F18A4">
            <w:pPr>
              <w:suppressAutoHyphens/>
              <w:jc w:val="center"/>
              <w:rPr>
                <w:rFonts w:cs="Calibri"/>
                <w:sz w:val="20"/>
                <w:szCs w:val="20"/>
              </w:rPr>
            </w:pPr>
            <w:r>
              <w:rPr>
                <w:rFonts w:cs="Calibri"/>
                <w:sz w:val="20"/>
                <w:szCs w:val="20"/>
              </w:rPr>
              <w:t>12,4</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8A41D95" w14:textId="051F19FC" w:rsidR="00334F6D" w:rsidRDefault="00334F6D" w:rsidP="003F18A4">
            <w:pPr>
              <w:suppressAutoHyphens/>
              <w:jc w:val="center"/>
              <w:rPr>
                <w:rFonts w:cs="Calibri"/>
                <w:sz w:val="20"/>
                <w:szCs w:val="20"/>
              </w:rPr>
            </w:pPr>
            <w:r>
              <w:rPr>
                <w:rFonts w:cs="Calibri"/>
                <w:sz w:val="20"/>
                <w:szCs w:val="20"/>
              </w:rPr>
              <w:t>23,7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B0FB03A" w14:textId="15349278" w:rsidR="00334F6D" w:rsidRDefault="00334F6D" w:rsidP="003F18A4">
            <w:pPr>
              <w:suppressAutoHyphens/>
              <w:jc w:val="center"/>
              <w:rPr>
                <w:rFonts w:cs="Calibri"/>
                <w:sz w:val="20"/>
                <w:szCs w:val="20"/>
              </w:rPr>
            </w:pPr>
            <w:r>
              <w:rPr>
                <w:rFonts w:cs="Calibri"/>
                <w:sz w:val="20"/>
                <w:szCs w:val="20"/>
              </w:rPr>
              <w:t>3,5</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3E86567" w14:textId="1CE3C8BB" w:rsidR="00334F6D" w:rsidRDefault="00334F6D" w:rsidP="003F18A4">
            <w:pPr>
              <w:suppressAutoHyphens/>
              <w:jc w:val="center"/>
              <w:rPr>
                <w:rFonts w:cs="Calibri"/>
                <w:sz w:val="20"/>
                <w:szCs w:val="20"/>
              </w:rPr>
            </w:pPr>
            <w:r>
              <w:rPr>
                <w:rFonts w:cs="Calibri"/>
                <w:sz w:val="20"/>
                <w:szCs w:val="20"/>
              </w:rPr>
              <w:t>20,9</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6587136E" w14:textId="69987E2E" w:rsidR="00334F6D" w:rsidRDefault="00334F6D" w:rsidP="003F18A4">
            <w:pPr>
              <w:suppressAutoHyphens/>
              <w:jc w:val="center"/>
              <w:rPr>
                <w:rFonts w:cs="Calibri"/>
                <w:sz w:val="20"/>
                <w:szCs w:val="20"/>
              </w:rPr>
            </w:pPr>
            <w:r>
              <w:rPr>
                <w:rFonts w:cs="Calibri"/>
                <w:sz w:val="20"/>
                <w:szCs w:val="20"/>
              </w:rPr>
              <w:t>39,5</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A015C33" w14:textId="6971F168" w:rsidR="00334F6D" w:rsidRDefault="00334F6D" w:rsidP="003F18A4">
            <w:pPr>
              <w:suppressAutoHyphens/>
              <w:jc w:val="center"/>
              <w:rPr>
                <w:rFonts w:cs="Calibri"/>
                <w:sz w:val="20"/>
                <w:szCs w:val="20"/>
              </w:rPr>
            </w:pPr>
            <w:r>
              <w:rPr>
                <w:rFonts w:cs="Calibri"/>
                <w:sz w:val="20"/>
                <w:szCs w:val="20"/>
              </w:rPr>
              <w:t>10,2</w:t>
            </w:r>
          </w:p>
        </w:tc>
      </w:tr>
      <w:tr w:rsidR="00334F6D" w14:paraId="6CB33FA5" w14:textId="77777777" w:rsidTr="0045575C">
        <w:trPr>
          <w:trHeight w:val="300"/>
          <w:jc w:val="center"/>
        </w:trPr>
        <w:tc>
          <w:tcPr>
            <w:tcW w:w="1271" w:type="dxa"/>
            <w:tcBorders>
              <w:top w:val="single" w:sz="4" w:space="0" w:color="auto"/>
              <w:left w:val="single" w:sz="4" w:space="0" w:color="auto"/>
              <w:bottom w:val="single" w:sz="4" w:space="0" w:color="auto"/>
              <w:right w:val="single" w:sz="4" w:space="0" w:color="auto"/>
            </w:tcBorders>
            <w:noWrap/>
            <w:vAlign w:val="center"/>
            <w:hideMark/>
          </w:tcPr>
          <w:p w14:paraId="75E2F304" w14:textId="77777777" w:rsidR="00334F6D" w:rsidRDefault="00334F6D" w:rsidP="00840CCD">
            <w:pPr>
              <w:suppressAutoHyphens/>
              <w:rPr>
                <w:rFonts w:cs="Calibri"/>
                <w:sz w:val="20"/>
                <w:szCs w:val="20"/>
              </w:rPr>
            </w:pPr>
            <w:r>
              <w:rPr>
                <w:rFonts w:cs="Calibri"/>
                <w:sz w:val="20"/>
                <w:szCs w:val="20"/>
              </w:rPr>
              <w:t>jcwp LW</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91D891" w14:textId="77777777" w:rsidR="00334F6D" w:rsidRDefault="00334F6D" w:rsidP="003F18A4">
            <w:pPr>
              <w:suppressAutoHyphens/>
              <w:jc w:val="center"/>
              <w:rPr>
                <w:rFonts w:cs="Calibri"/>
                <w:sz w:val="20"/>
                <w:szCs w:val="20"/>
              </w:rPr>
            </w:pPr>
            <w:r>
              <w:rPr>
                <w:rFonts w:cs="Calibri"/>
                <w:color w:val="000000"/>
                <w:sz w:val="20"/>
                <w:szCs w:val="20"/>
              </w:rPr>
              <w:t>780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C2DECBE" w14:textId="1A2D9928" w:rsidR="00334F6D" w:rsidRDefault="00334F6D" w:rsidP="003F18A4">
            <w:pPr>
              <w:suppressAutoHyphens/>
              <w:jc w:val="center"/>
              <w:rPr>
                <w:rFonts w:cs="Calibri"/>
                <w:sz w:val="20"/>
                <w:szCs w:val="20"/>
              </w:rPr>
            </w:pPr>
            <w:r>
              <w:rPr>
                <w:rFonts w:cs="Calibri"/>
                <w:color w:val="000000"/>
                <w:sz w:val="20"/>
                <w:szCs w:val="20"/>
              </w:rPr>
              <w:t>40,0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8E02C75" w14:textId="62596354" w:rsidR="00334F6D" w:rsidRDefault="00334F6D" w:rsidP="003F18A4">
            <w:pPr>
              <w:suppressAutoHyphens/>
              <w:jc w:val="center"/>
              <w:rPr>
                <w:rFonts w:cs="Calibri"/>
                <w:sz w:val="20"/>
                <w:szCs w:val="20"/>
              </w:rPr>
            </w:pPr>
            <w:r>
              <w:rPr>
                <w:rFonts w:cs="Calibri"/>
                <w:color w:val="000000"/>
                <w:sz w:val="20"/>
                <w:szCs w:val="20"/>
              </w:rPr>
              <w:t>1,0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B1672DF" w14:textId="77777777" w:rsidR="00334F6D" w:rsidRDefault="00334F6D" w:rsidP="003F18A4">
            <w:pPr>
              <w:suppressAutoHyphens/>
              <w:jc w:val="center"/>
              <w:rPr>
                <w:rFonts w:cs="Calibri"/>
                <w:sz w:val="20"/>
                <w:szCs w:val="20"/>
              </w:rPr>
            </w:pPr>
            <w:r>
              <w:rPr>
                <w:rFonts w:cs="Calibri"/>
                <w:color w:val="000000"/>
                <w:sz w:val="20"/>
                <w:szCs w:val="20"/>
              </w:rPr>
              <w:t>0,0%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741C435" w14:textId="1A447884" w:rsidR="00334F6D" w:rsidRDefault="00334F6D" w:rsidP="003F18A4">
            <w:pPr>
              <w:suppressAutoHyphens/>
              <w:jc w:val="center"/>
              <w:rPr>
                <w:rFonts w:cs="Calibri"/>
                <w:sz w:val="20"/>
                <w:szCs w:val="20"/>
              </w:rPr>
            </w:pPr>
            <w:r>
              <w:rPr>
                <w:rFonts w:cs="Calibri"/>
                <w:color w:val="000000"/>
                <w:sz w:val="20"/>
                <w:szCs w:val="20"/>
              </w:rPr>
              <w:t>57,9</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2110EE03" w14:textId="4FD0221D" w:rsidR="00334F6D" w:rsidRDefault="00334F6D" w:rsidP="003F18A4">
            <w:pPr>
              <w:suppressAutoHyphens/>
              <w:jc w:val="center"/>
              <w:rPr>
                <w:rFonts w:cs="Calibri"/>
                <w:sz w:val="20"/>
                <w:szCs w:val="20"/>
              </w:rPr>
            </w:pPr>
            <w:r>
              <w:rPr>
                <w:rFonts w:cs="Calibri"/>
                <w:color w:val="000000"/>
                <w:sz w:val="20"/>
                <w:szCs w:val="20"/>
              </w:rPr>
              <w:t>1,0</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187AAE1" w14:textId="77777777" w:rsidR="00334F6D" w:rsidRDefault="00334F6D" w:rsidP="003F18A4">
            <w:pPr>
              <w:suppressAutoHyphens/>
              <w:jc w:val="center"/>
              <w:rPr>
                <w:rFonts w:cs="Calibri"/>
                <w:sz w:val="20"/>
                <w:szCs w:val="20"/>
              </w:rPr>
            </w:pPr>
            <w:r>
              <w:rPr>
                <w:rFonts w:cs="Calibri"/>
                <w:sz w:val="20"/>
                <w:szCs w:val="20"/>
              </w:rPr>
              <w:t>-</w:t>
            </w:r>
          </w:p>
        </w:tc>
      </w:tr>
      <w:tr w:rsidR="00334F6D" w14:paraId="20EE974B" w14:textId="77777777" w:rsidTr="0045575C">
        <w:trPr>
          <w:trHeight w:val="300"/>
          <w:jc w:val="center"/>
        </w:trPr>
        <w:tc>
          <w:tcPr>
            <w:tcW w:w="1271" w:type="dxa"/>
            <w:tcBorders>
              <w:top w:val="single" w:sz="4" w:space="0" w:color="auto"/>
              <w:left w:val="single" w:sz="4" w:space="0" w:color="auto"/>
              <w:bottom w:val="single" w:sz="4" w:space="0" w:color="auto"/>
              <w:right w:val="single" w:sz="4" w:space="0" w:color="auto"/>
            </w:tcBorders>
            <w:noWrap/>
            <w:vAlign w:val="center"/>
            <w:hideMark/>
          </w:tcPr>
          <w:p w14:paraId="11B83FB5" w14:textId="77777777" w:rsidR="00334F6D" w:rsidRDefault="00334F6D" w:rsidP="00840CCD">
            <w:pPr>
              <w:suppressAutoHyphens/>
              <w:rPr>
                <w:rFonts w:cs="Calibri"/>
                <w:sz w:val="20"/>
                <w:szCs w:val="20"/>
              </w:rPr>
            </w:pPr>
            <w:r>
              <w:rPr>
                <w:rFonts w:cs="Calibri"/>
                <w:sz w:val="20"/>
                <w:szCs w:val="20"/>
              </w:rPr>
              <w:t>jcwpd</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6470B5B4" w14:textId="77777777" w:rsidR="00334F6D" w:rsidRDefault="00334F6D" w:rsidP="003F18A4">
            <w:pPr>
              <w:suppressAutoHyphens/>
              <w:jc w:val="center"/>
              <w:rPr>
                <w:rFonts w:cs="Calibri"/>
                <w:sz w:val="20"/>
                <w:szCs w:val="20"/>
              </w:rPr>
            </w:pPr>
            <w:r>
              <w:rPr>
                <w:rFonts w:cs="Calibri"/>
                <w:color w:val="000000"/>
                <w:sz w:val="20"/>
                <w:szCs w:val="20"/>
              </w:rPr>
              <w:t>3 485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2F7A803" w14:textId="7EB99B48" w:rsidR="00334F6D" w:rsidRDefault="00334F6D" w:rsidP="003F18A4">
            <w:pPr>
              <w:suppressAutoHyphens/>
              <w:jc w:val="center"/>
              <w:rPr>
                <w:rFonts w:cs="Calibri"/>
                <w:sz w:val="20"/>
                <w:szCs w:val="20"/>
              </w:rPr>
            </w:pPr>
            <w:r>
              <w:rPr>
                <w:rFonts w:cs="Calibri"/>
                <w:sz w:val="20"/>
                <w:szCs w:val="20"/>
              </w:rPr>
              <w:t>12,4</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1F54AF8" w14:textId="318716D0" w:rsidR="00334F6D" w:rsidRDefault="00334F6D" w:rsidP="003F18A4">
            <w:pPr>
              <w:suppressAutoHyphens/>
              <w:jc w:val="center"/>
              <w:rPr>
                <w:rFonts w:cs="Calibri"/>
                <w:sz w:val="20"/>
                <w:szCs w:val="20"/>
              </w:rPr>
            </w:pPr>
            <w:r>
              <w:rPr>
                <w:rFonts w:cs="Calibri"/>
                <w:sz w:val="20"/>
                <w:szCs w:val="20"/>
              </w:rPr>
              <w:t>25,2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A49B155" w14:textId="2682F491" w:rsidR="00334F6D" w:rsidRDefault="00334F6D" w:rsidP="003F18A4">
            <w:pPr>
              <w:suppressAutoHyphens/>
              <w:jc w:val="center"/>
              <w:rPr>
                <w:rFonts w:cs="Calibri"/>
                <w:sz w:val="20"/>
                <w:szCs w:val="20"/>
              </w:rPr>
            </w:pPr>
            <w:r>
              <w:rPr>
                <w:rFonts w:cs="Calibri"/>
                <w:sz w:val="20"/>
                <w:szCs w:val="20"/>
              </w:rPr>
              <w:t>1,1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824EE49" w14:textId="08ED31B3" w:rsidR="00334F6D" w:rsidRDefault="00334F6D" w:rsidP="003F18A4">
            <w:pPr>
              <w:suppressAutoHyphens/>
              <w:jc w:val="center"/>
              <w:rPr>
                <w:rFonts w:cs="Calibri"/>
                <w:sz w:val="20"/>
                <w:szCs w:val="20"/>
              </w:rPr>
            </w:pPr>
            <w:r>
              <w:rPr>
                <w:rFonts w:cs="Calibri"/>
                <w:sz w:val="20"/>
                <w:szCs w:val="20"/>
              </w:rPr>
              <w:t>14,7</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7BD64048" w14:textId="0E985D66" w:rsidR="00334F6D" w:rsidRDefault="00334F6D" w:rsidP="003F18A4">
            <w:pPr>
              <w:suppressAutoHyphens/>
              <w:jc w:val="center"/>
              <w:rPr>
                <w:rFonts w:cs="Calibri"/>
                <w:sz w:val="20"/>
                <w:szCs w:val="20"/>
              </w:rPr>
            </w:pPr>
            <w:r>
              <w:rPr>
                <w:rFonts w:cs="Calibri"/>
                <w:sz w:val="20"/>
                <w:szCs w:val="20"/>
              </w:rPr>
              <w:t>46,6</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56CFB39" w14:textId="534718F1" w:rsidR="00334F6D" w:rsidRDefault="00334F6D" w:rsidP="003F18A4">
            <w:pPr>
              <w:suppressAutoHyphens/>
              <w:jc w:val="center"/>
              <w:rPr>
                <w:rFonts w:cs="Calibri"/>
                <w:sz w:val="20"/>
                <w:szCs w:val="20"/>
              </w:rPr>
            </w:pPr>
            <w:r>
              <w:rPr>
                <w:rFonts w:cs="Calibri"/>
                <w:sz w:val="20"/>
                <w:szCs w:val="20"/>
              </w:rPr>
              <w:t>11,82</w:t>
            </w:r>
          </w:p>
        </w:tc>
      </w:tr>
    </w:tbl>
    <w:p w14:paraId="7C2EED10" w14:textId="0A46FEAE" w:rsidR="00334F6D" w:rsidRDefault="00334F6D" w:rsidP="00334F6D">
      <w:pPr>
        <w:pStyle w:val="rdo0"/>
        <w:rPr>
          <w:rFonts w:eastAsia="Times New Roman"/>
        </w:rPr>
      </w:pPr>
      <w:r>
        <w:t xml:space="preserve">Źródło: </w:t>
      </w:r>
      <w:r w:rsidR="00060339">
        <w:t xml:space="preserve">opracowanie </w:t>
      </w:r>
      <w:r w:rsidR="00B773E9">
        <w:t>wlasne</w:t>
      </w:r>
      <w:r>
        <w:t xml:space="preserve"> na podstawie Oceny postępu we wdrażaniu programów działań dla jcwp i jcwpd wynikających z aPWŚK (2018)</w:t>
      </w:r>
    </w:p>
    <w:p w14:paraId="39A78B1B" w14:textId="77777777" w:rsidR="004B2694" w:rsidRPr="002D6624" w:rsidRDefault="004B2694" w:rsidP="00EA23BD">
      <w:pPr>
        <w:suppressAutoHyphens/>
        <w:spacing w:before="0" w:after="0"/>
        <w:rPr>
          <w:rFonts w:cs="Calibri"/>
          <w:color w:val="000000"/>
          <w:lang w:eastAsia="pl-PL"/>
        </w:rPr>
      </w:pPr>
      <w:r w:rsidRPr="002D6624">
        <w:rPr>
          <w:rFonts w:cs="Calibri"/>
          <w:color w:val="000000"/>
        </w:rPr>
        <w:t>Poniżej przedstawiony został opis stopnia realizacji zaplanowanych działań w</w:t>
      </w:r>
      <w:r>
        <w:rPr>
          <w:rFonts w:cs="Calibri"/>
          <w:color w:val="000000"/>
        </w:rPr>
        <w:t> </w:t>
      </w:r>
      <w:r w:rsidRPr="002D6624">
        <w:rPr>
          <w:rFonts w:cs="Calibri"/>
          <w:color w:val="000000"/>
        </w:rPr>
        <w:t>podziale na</w:t>
      </w:r>
      <w:r>
        <w:rPr>
          <w:rFonts w:cs="Calibri"/>
          <w:color w:val="000000"/>
        </w:rPr>
        <w:t> </w:t>
      </w:r>
      <w:r w:rsidRPr="002D6624">
        <w:rPr>
          <w:rFonts w:cs="Calibri"/>
          <w:color w:val="000000"/>
        </w:rPr>
        <w:t>poszczególne kategorie wód.</w:t>
      </w:r>
      <w:r>
        <w:rPr>
          <w:rFonts w:cs="Calibri"/>
          <w:color w:val="000000"/>
        </w:rPr>
        <w:t xml:space="preserve"> Szczegółowe informacje dotyczące postępu wdrożenia poszczególnych działań dla jcwp i jcwpd wynikających z aPWŚK zawarte są w pracy Ocena postępu we wdrażaniu programów działań dla jcwp i jcwpd wynikających z aPWŚK oraz Ocena skuteczności działań z aPWŚK kategorii Gospodarka komunalna. </w:t>
      </w:r>
      <w:r>
        <w:rPr>
          <w:rFonts w:asciiTheme="minorHAnsi" w:hAnsiTheme="minorHAnsi" w:cstheme="minorHAnsi"/>
          <w:iCs/>
        </w:rPr>
        <w:t xml:space="preserve">Podsumowania działań </w:t>
      </w:r>
      <w:r w:rsidRPr="002D6624">
        <w:t xml:space="preserve">podjętych </w:t>
      </w:r>
      <w:r>
        <w:t>i planowanych w podziale na poszczególne kategorie przedstawia rozdział 13 IIaPGW.</w:t>
      </w:r>
    </w:p>
    <w:p w14:paraId="2F67278D" w14:textId="77777777" w:rsidR="00334F6D" w:rsidRDefault="00334F6D" w:rsidP="00EA23BD">
      <w:pPr>
        <w:widowControl w:val="0"/>
        <w:suppressAutoHyphens/>
        <w:autoSpaceDE w:val="0"/>
        <w:autoSpaceDN w:val="0"/>
        <w:adjustRightInd w:val="0"/>
        <w:spacing w:before="0" w:after="0" w:line="261" w:lineRule="auto"/>
        <w:rPr>
          <w:rFonts w:cs="Calibri"/>
          <w:b/>
          <w:bCs/>
          <w:color w:val="000000"/>
        </w:rPr>
      </w:pPr>
      <w:r>
        <w:rPr>
          <w:rFonts w:cs="Calibri"/>
          <w:b/>
          <w:bCs/>
          <w:color w:val="000000"/>
        </w:rPr>
        <w:t>Jcwp RW</w:t>
      </w:r>
    </w:p>
    <w:p w14:paraId="23650851" w14:textId="77777777" w:rsidR="00334F6D" w:rsidRDefault="00334F6D" w:rsidP="00334F6D">
      <w:pPr>
        <w:widowControl w:val="0"/>
        <w:suppressAutoHyphens/>
        <w:autoSpaceDE w:val="0"/>
        <w:autoSpaceDN w:val="0"/>
        <w:adjustRightInd w:val="0"/>
        <w:rPr>
          <w:rFonts w:cs="Calibri"/>
          <w:sz w:val="24"/>
          <w:szCs w:val="24"/>
        </w:rPr>
      </w:pPr>
      <w:r>
        <w:rPr>
          <w:rFonts w:cs="Calibri"/>
          <w:color w:val="000000"/>
        </w:rPr>
        <w:t>W aPWŚK dla jcwp RW zaplanowanych zostało ponad 20 tys. działań podzielonych na 7 kategorii:</w:t>
      </w:r>
    </w:p>
    <w:p w14:paraId="75FCD8D3" w14:textId="77777777" w:rsidR="00334F6D" w:rsidRPr="00C57924" w:rsidRDefault="00334F6D" w:rsidP="00AA3506">
      <w:pPr>
        <w:pStyle w:val="Akapitzlist"/>
        <w:numPr>
          <w:ilvl w:val="0"/>
          <w:numId w:val="92"/>
        </w:numPr>
        <w:spacing w:before="0" w:after="0"/>
        <w:ind w:left="714" w:hanging="357"/>
        <w:rPr>
          <w:rFonts w:cs="Calibri"/>
        </w:rPr>
      </w:pPr>
      <w:r w:rsidRPr="00C57924">
        <w:t>gospodarka komunalna,</w:t>
      </w:r>
    </w:p>
    <w:p w14:paraId="001708D9" w14:textId="77777777" w:rsidR="00334F6D" w:rsidRPr="00C57924" w:rsidRDefault="00334F6D" w:rsidP="00AA3506">
      <w:pPr>
        <w:pStyle w:val="Akapitzlist"/>
        <w:numPr>
          <w:ilvl w:val="0"/>
          <w:numId w:val="92"/>
        </w:numPr>
        <w:spacing w:before="0" w:after="0"/>
        <w:ind w:left="714" w:hanging="357"/>
        <w:rPr>
          <w:rFonts w:cs="Calibri"/>
        </w:rPr>
      </w:pPr>
      <w:r w:rsidRPr="00C57924">
        <w:t>rolnictwo,</w:t>
      </w:r>
    </w:p>
    <w:p w14:paraId="0EBB196B" w14:textId="77777777" w:rsidR="00334F6D" w:rsidRPr="00C57924" w:rsidRDefault="00334F6D" w:rsidP="00AA3506">
      <w:pPr>
        <w:pStyle w:val="Akapitzlist"/>
        <w:numPr>
          <w:ilvl w:val="0"/>
          <w:numId w:val="92"/>
        </w:numPr>
        <w:spacing w:before="0" w:after="0"/>
        <w:ind w:left="714" w:hanging="357"/>
      </w:pPr>
      <w:r w:rsidRPr="00C57924">
        <w:t xml:space="preserve">kształtowanie stosunków wodnych oraz ochrona ekosystemów od wód zależnych (w tym morfologia i zachowanie ciągłości biologicznej cieków), </w:t>
      </w:r>
    </w:p>
    <w:p w14:paraId="3ACAD445" w14:textId="77777777" w:rsidR="00334F6D" w:rsidRPr="00C57924" w:rsidRDefault="00334F6D" w:rsidP="00AA3506">
      <w:pPr>
        <w:pStyle w:val="Akapitzlist"/>
        <w:numPr>
          <w:ilvl w:val="0"/>
          <w:numId w:val="92"/>
        </w:numPr>
        <w:spacing w:before="0" w:after="0"/>
        <w:ind w:left="714" w:hanging="357"/>
      </w:pPr>
      <w:r w:rsidRPr="00C57924">
        <w:t>monitoring,</w:t>
      </w:r>
    </w:p>
    <w:p w14:paraId="123E3D9E" w14:textId="77777777" w:rsidR="00334F6D" w:rsidRPr="00C57924" w:rsidRDefault="00334F6D" w:rsidP="00AA3506">
      <w:pPr>
        <w:pStyle w:val="Akapitzlist"/>
        <w:numPr>
          <w:ilvl w:val="0"/>
          <w:numId w:val="92"/>
        </w:numPr>
        <w:spacing w:before="0" w:after="0"/>
        <w:ind w:left="714" w:hanging="357"/>
        <w:rPr>
          <w:rFonts w:cs="Calibri"/>
        </w:rPr>
      </w:pPr>
      <w:r w:rsidRPr="00C57924">
        <w:t>działania kontrolne,</w:t>
      </w:r>
    </w:p>
    <w:p w14:paraId="78CEA2E6" w14:textId="77777777" w:rsidR="00334F6D" w:rsidRPr="00C57924" w:rsidRDefault="00334F6D" w:rsidP="00AA3506">
      <w:pPr>
        <w:pStyle w:val="Akapitzlist"/>
        <w:numPr>
          <w:ilvl w:val="0"/>
          <w:numId w:val="92"/>
        </w:numPr>
        <w:spacing w:before="0" w:after="0"/>
        <w:ind w:left="714" w:hanging="357"/>
        <w:rPr>
          <w:rFonts w:cs="Calibri"/>
        </w:rPr>
      </w:pPr>
      <w:r w:rsidRPr="00C57924">
        <w:t>działania organizacyjno-prawne i edukacyjne,</w:t>
      </w:r>
    </w:p>
    <w:p w14:paraId="2A4C3CDB" w14:textId="77777777" w:rsidR="00334F6D" w:rsidRPr="00C57924" w:rsidRDefault="00334F6D" w:rsidP="00AA3506">
      <w:pPr>
        <w:pStyle w:val="Akapitzlist"/>
        <w:numPr>
          <w:ilvl w:val="0"/>
          <w:numId w:val="92"/>
        </w:numPr>
        <w:spacing w:before="0" w:after="0"/>
        <w:ind w:left="714" w:hanging="357"/>
      </w:pPr>
      <w:r w:rsidRPr="00C57924">
        <w:t>rekultywacja.</w:t>
      </w:r>
    </w:p>
    <w:p w14:paraId="49C7553B" w14:textId="0178E204" w:rsidR="00334F6D" w:rsidRDefault="003E0E49" w:rsidP="00334F6D">
      <w:pPr>
        <w:widowControl w:val="0"/>
        <w:suppressAutoHyphens/>
        <w:autoSpaceDE w:val="0"/>
        <w:autoSpaceDN w:val="0"/>
        <w:adjustRightInd w:val="0"/>
        <w:ind w:right="81"/>
        <w:rPr>
          <w:rFonts w:cs="Calibri"/>
          <w:sz w:val="24"/>
          <w:szCs w:val="24"/>
        </w:rPr>
      </w:pPr>
      <w:bookmarkStart w:id="301" w:name="_Hlk67646877"/>
      <w:r w:rsidRPr="002D6624">
        <w:rPr>
          <w:rFonts w:cs="Calibri"/>
          <w:color w:val="000000"/>
        </w:rPr>
        <w:t>Średni stopień realizacji działań dla jcwp RW zgodnie z</w:t>
      </w:r>
      <w:r>
        <w:rPr>
          <w:rFonts w:cs="Calibri"/>
          <w:color w:val="000000"/>
        </w:rPr>
        <w:t> </w:t>
      </w:r>
      <w:r w:rsidRPr="002D6624">
        <w:rPr>
          <w:rFonts w:cs="Calibri"/>
          <w:color w:val="000000"/>
        </w:rPr>
        <w:t xml:space="preserve">deklaracjami podmiotów realizujących prace, wyniósł 10,2 %. </w:t>
      </w:r>
      <w:r w:rsidRPr="00DB2311">
        <w:rPr>
          <w:rFonts w:cs="Calibri"/>
          <w:color w:val="000000"/>
        </w:rPr>
        <w:t>W</w:t>
      </w:r>
      <w:r>
        <w:rPr>
          <w:rFonts w:cs="Calibri"/>
          <w:color w:val="000000"/>
        </w:rPr>
        <w:t> </w:t>
      </w:r>
      <w:r w:rsidRPr="002D6624">
        <w:rPr>
          <w:rFonts w:cs="Calibri"/>
          <w:color w:val="000000"/>
        </w:rPr>
        <w:t>większym stopniu zaawansowane są działania podstawowe, niż działania uzupełniające. Dla działań uzupełniających w</w:t>
      </w:r>
      <w:r>
        <w:rPr>
          <w:rFonts w:cs="Calibri"/>
          <w:color w:val="000000"/>
        </w:rPr>
        <w:t> </w:t>
      </w:r>
      <w:r w:rsidRPr="002D6624">
        <w:rPr>
          <w:rFonts w:cs="Calibri"/>
          <w:color w:val="000000"/>
        </w:rPr>
        <w:t>większym stopniu jednostki zadeklarowały brak danych pozwalających na</w:t>
      </w:r>
      <w:r>
        <w:rPr>
          <w:rFonts w:cs="Calibri"/>
          <w:color w:val="000000"/>
        </w:rPr>
        <w:t> </w:t>
      </w:r>
      <w:r w:rsidRPr="002D6624">
        <w:rPr>
          <w:rFonts w:cs="Calibri"/>
          <w:color w:val="000000"/>
        </w:rPr>
        <w:t>określenie statusu realizacji. Udział działań nierozpoczętych jest podobny dla obu rodzajów działań (</w:t>
      </w:r>
      <w:r w:rsidRPr="00D2465B">
        <w:rPr>
          <w:rFonts w:cs="Calibri"/>
          <w:color w:val="000000"/>
        </w:rPr>
        <w:t>wykres 10-4).</w:t>
      </w:r>
      <w:r>
        <w:rPr>
          <w:rFonts w:cs="Calibri"/>
          <w:color w:val="000000"/>
        </w:rPr>
        <w:t xml:space="preserve"> Kategorią działań o najmniejszym stwierdzonym stopniu zaawansowania są działania organizacyjno-prawne i edukacyjne, których stopień zaawansowania określony został na poziomie ok. 20%.</w:t>
      </w:r>
      <w:bookmarkEnd w:id="301"/>
    </w:p>
    <w:p w14:paraId="7F1D90B2" w14:textId="77777777" w:rsidR="00334F6D" w:rsidRDefault="00334F6D" w:rsidP="00334F6D">
      <w:pPr>
        <w:widowControl w:val="0"/>
        <w:suppressAutoHyphens/>
        <w:autoSpaceDE w:val="0"/>
        <w:autoSpaceDN w:val="0"/>
        <w:adjustRightInd w:val="0"/>
        <w:ind w:left="1134" w:hanging="1134"/>
        <w:rPr>
          <w:rFonts w:asciiTheme="minorHAnsi" w:hAnsiTheme="minorHAnsi" w:cstheme="minorHAnsi"/>
          <w:b/>
          <w:bCs/>
          <w:sz w:val="20"/>
          <w:szCs w:val="20"/>
        </w:rPr>
      </w:pPr>
      <w:r>
        <w:rPr>
          <w:noProof/>
        </w:rPr>
        <w:drawing>
          <wp:inline distT="0" distB="0" distL="0" distR="0" wp14:anchorId="34E88796" wp14:editId="2A631C6A">
            <wp:extent cx="5743575" cy="2886075"/>
            <wp:effectExtent l="0" t="0" r="9525" b="952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pic:nvPicPr>
                  <pic:blipFill>
                    <a:blip r:embed="rId64">
                      <a:extLst>
                        <a:ext uri="{28A0092B-C50C-407E-A947-70E740481C1C}">
                          <a14:useLocalDpi xmlns:a14="http://schemas.microsoft.com/office/drawing/2010/main" val="0"/>
                        </a:ext>
                      </a:extLst>
                    </a:blip>
                    <a:stretch>
                      <a:fillRect/>
                    </a:stretch>
                  </pic:blipFill>
                  <pic:spPr>
                    <a:xfrm>
                      <a:off x="0" y="0"/>
                      <a:ext cx="5743575" cy="2886075"/>
                    </a:xfrm>
                    <a:prstGeom prst="rect">
                      <a:avLst/>
                    </a:prstGeom>
                  </pic:spPr>
                </pic:pic>
              </a:graphicData>
            </a:graphic>
          </wp:inline>
        </w:drawing>
      </w:r>
      <w:r w:rsidRPr="3AFA5F37">
        <w:rPr>
          <w:rFonts w:asciiTheme="minorHAnsi" w:hAnsiTheme="minorHAnsi" w:cstheme="minorBidi"/>
          <w:b/>
          <w:bCs/>
          <w:sz w:val="20"/>
          <w:szCs w:val="20"/>
        </w:rPr>
        <w:t xml:space="preserve"> </w:t>
      </w:r>
    </w:p>
    <w:p w14:paraId="2C44FBD2" w14:textId="6CEF1151" w:rsidR="00334F6D" w:rsidRDefault="00334F6D" w:rsidP="006802BB">
      <w:pPr>
        <w:pStyle w:val="Wykres"/>
        <w:rPr>
          <w:rFonts w:eastAsia="Times New Roman"/>
          <w:i/>
          <w:iCs/>
          <w:lang w:eastAsia="pl-PL"/>
        </w:rPr>
      </w:pPr>
      <w:bookmarkStart w:id="302" w:name="_Toc66311462"/>
      <w:bookmarkStart w:id="303" w:name="_Toc68727113"/>
      <w:r>
        <w:t xml:space="preserve">Wykres </w:t>
      </w:r>
      <w:fldSimple w:instr=" STYLEREF 1 \s ">
        <w:r w:rsidR="00EF3FD3">
          <w:rPr>
            <w:noProof/>
          </w:rPr>
          <w:t>10</w:t>
        </w:r>
      </w:fldSimple>
      <w:r w:rsidR="00EF3FD3">
        <w:noBreakHyphen/>
      </w:r>
      <w:fldSimple w:instr=" SEQ Wykres \* ARABIC \s 1 ">
        <w:r w:rsidR="00EF3FD3">
          <w:rPr>
            <w:noProof/>
          </w:rPr>
          <w:t>4</w:t>
        </w:r>
      </w:fldSimple>
      <w:r>
        <w:tab/>
        <w:t>Udział działań o określonym statusie w podziale na działania podstawowe i uzupełniające - jcwp RW (w skali kraju)</w:t>
      </w:r>
      <w:bookmarkEnd w:id="302"/>
      <w:bookmarkEnd w:id="303"/>
    </w:p>
    <w:p w14:paraId="6D7D6434" w14:textId="6AC6AD4B" w:rsidR="00334F6D" w:rsidRDefault="00334F6D" w:rsidP="00334F6D">
      <w:pPr>
        <w:pStyle w:val="rdo0"/>
        <w:rPr>
          <w:i w:val="0"/>
          <w:iCs w:val="0"/>
        </w:rPr>
      </w:pPr>
      <w:r>
        <w:t xml:space="preserve">Źródło: </w:t>
      </w:r>
      <w:r w:rsidR="000F4C8C">
        <w:t xml:space="preserve">opracowanie </w:t>
      </w:r>
      <w:r w:rsidR="00B773E9">
        <w:t>własne</w:t>
      </w:r>
      <w:r w:rsidR="000F4C8C">
        <w:t xml:space="preserve"> na podstawie </w:t>
      </w:r>
      <w:r>
        <w:t>Ocen</w:t>
      </w:r>
      <w:r w:rsidR="000F4C8C">
        <w:t>y</w:t>
      </w:r>
      <w:r>
        <w:t xml:space="preserve"> postępu we wdrażaniu programów działań dla jcwp i jcwpd wynikających z aPWŚK (2018)</w:t>
      </w:r>
    </w:p>
    <w:p w14:paraId="7E7A1294" w14:textId="60CF89BA" w:rsidR="00334F6D" w:rsidRDefault="00334F6D" w:rsidP="00334F6D">
      <w:pPr>
        <w:widowControl w:val="0"/>
        <w:suppressAutoHyphens/>
        <w:autoSpaceDE w:val="0"/>
        <w:autoSpaceDN w:val="0"/>
        <w:adjustRightInd w:val="0"/>
        <w:spacing w:before="282" w:line="261" w:lineRule="auto"/>
        <w:rPr>
          <w:rFonts w:cs="Calibri"/>
          <w:b/>
          <w:bCs/>
          <w:color w:val="000000"/>
          <w:lang w:eastAsia="pl-PL"/>
        </w:rPr>
      </w:pPr>
      <w:r>
        <w:rPr>
          <w:rFonts w:cs="Calibri"/>
          <w:b/>
          <w:bCs/>
          <w:color w:val="000000"/>
        </w:rPr>
        <w:t>Jcwp LW</w:t>
      </w:r>
    </w:p>
    <w:p w14:paraId="2C27A2FD" w14:textId="77777777" w:rsidR="00334F6D" w:rsidRDefault="00334F6D" w:rsidP="00334F6D">
      <w:pPr>
        <w:widowControl w:val="0"/>
        <w:suppressAutoHyphens/>
        <w:autoSpaceDE w:val="0"/>
        <w:autoSpaceDN w:val="0"/>
        <w:adjustRightInd w:val="0"/>
        <w:spacing w:before="165" w:line="276" w:lineRule="auto"/>
        <w:rPr>
          <w:rFonts w:cs="Calibri"/>
          <w:sz w:val="24"/>
          <w:szCs w:val="24"/>
        </w:rPr>
      </w:pPr>
      <w:r>
        <w:rPr>
          <w:rFonts w:cs="Calibri"/>
          <w:color w:val="000000"/>
        </w:rPr>
        <w:t>Program działań w aPWŚK, dotyczących jcwp LW obejmował 33 działania zgrupowane w sześciu kategoriach:</w:t>
      </w:r>
    </w:p>
    <w:p w14:paraId="07A49B0E" w14:textId="77777777" w:rsidR="00334F6D" w:rsidRDefault="00334F6D" w:rsidP="00AA3506">
      <w:pPr>
        <w:pStyle w:val="Akapitzlist"/>
        <w:numPr>
          <w:ilvl w:val="0"/>
          <w:numId w:val="61"/>
        </w:numPr>
      </w:pPr>
      <w:r>
        <w:t>gospodarka komunalna</w:t>
      </w:r>
    </w:p>
    <w:p w14:paraId="50DD2514" w14:textId="77777777" w:rsidR="00334F6D" w:rsidRDefault="00334F6D" w:rsidP="00AA3506">
      <w:pPr>
        <w:pStyle w:val="Akapitzlist"/>
        <w:numPr>
          <w:ilvl w:val="0"/>
          <w:numId w:val="61"/>
        </w:numPr>
      </w:pPr>
      <w:r>
        <w:t>rolnictwo,</w:t>
      </w:r>
    </w:p>
    <w:p w14:paraId="4EE4448F" w14:textId="77777777" w:rsidR="00334F6D" w:rsidRDefault="00334F6D" w:rsidP="00AA3506">
      <w:pPr>
        <w:pStyle w:val="Akapitzlist"/>
        <w:numPr>
          <w:ilvl w:val="0"/>
          <w:numId w:val="61"/>
        </w:numPr>
      </w:pPr>
      <w:r>
        <w:t xml:space="preserve">działania organizacyjno-prawne i edukacyjne, </w:t>
      </w:r>
    </w:p>
    <w:p w14:paraId="2627090D" w14:textId="77777777" w:rsidR="00334F6D" w:rsidRDefault="00334F6D" w:rsidP="00AA3506">
      <w:pPr>
        <w:pStyle w:val="Akapitzlist"/>
        <w:numPr>
          <w:ilvl w:val="0"/>
          <w:numId w:val="61"/>
        </w:numPr>
      </w:pPr>
      <w:r>
        <w:t>rekultywacja,</w:t>
      </w:r>
    </w:p>
    <w:p w14:paraId="42930F2A" w14:textId="77777777" w:rsidR="00334F6D" w:rsidRDefault="00334F6D" w:rsidP="00AA3506">
      <w:pPr>
        <w:pStyle w:val="Akapitzlist"/>
        <w:numPr>
          <w:ilvl w:val="0"/>
          <w:numId w:val="61"/>
        </w:numPr>
      </w:pPr>
      <w:r>
        <w:t>monitoring,</w:t>
      </w:r>
    </w:p>
    <w:p w14:paraId="1EB99720" w14:textId="77777777" w:rsidR="00334F6D" w:rsidRDefault="00334F6D" w:rsidP="00AA3506">
      <w:pPr>
        <w:pStyle w:val="Akapitzlist"/>
        <w:numPr>
          <w:ilvl w:val="0"/>
          <w:numId w:val="61"/>
        </w:numPr>
      </w:pPr>
      <w:r>
        <w:t>działania kontrolne.</w:t>
      </w:r>
    </w:p>
    <w:p w14:paraId="50E76A6F" w14:textId="77777777" w:rsidR="00334F6D" w:rsidRDefault="00334F6D" w:rsidP="00334F6D">
      <w:pPr>
        <w:widowControl w:val="0"/>
        <w:suppressAutoHyphens/>
        <w:autoSpaceDE w:val="0"/>
        <w:autoSpaceDN w:val="0"/>
        <w:adjustRightInd w:val="0"/>
        <w:ind w:right="51"/>
        <w:rPr>
          <w:rFonts w:cs="Calibri"/>
        </w:rPr>
      </w:pPr>
      <w:r>
        <w:rPr>
          <w:rFonts w:cs="Calibri"/>
          <w:color w:val="000000"/>
        </w:rPr>
        <w:t>Łącznie, wszystkim 769 jcwp LW (układ planistyczny aPGW) ze wskazanymi działaniami, przypisane zostały 1842 działania. Dodatkowo, 215 jcwp przypisano działanie o brzmieniu „część wód przepływowa, niezagrożona -tylko działania na poziomie krajowym oraz dla jcwp rzek”, co oznacza, że nie miały one wskazanych żadnych dedykowanych działań dla jcwp LW.</w:t>
      </w:r>
    </w:p>
    <w:p w14:paraId="58EB0CEC" w14:textId="44562F34" w:rsidR="00334F6D" w:rsidRDefault="00334F6D" w:rsidP="00334F6D">
      <w:pPr>
        <w:widowControl w:val="0"/>
        <w:suppressAutoHyphens/>
        <w:autoSpaceDE w:val="0"/>
        <w:autoSpaceDN w:val="0"/>
        <w:adjustRightInd w:val="0"/>
        <w:ind w:right="51"/>
        <w:rPr>
          <w:rFonts w:cs="Calibri"/>
          <w:color w:val="000000"/>
        </w:rPr>
      </w:pPr>
      <w:r>
        <w:rPr>
          <w:rFonts w:cs="Calibri"/>
          <w:color w:val="000000"/>
        </w:rPr>
        <w:t xml:space="preserve">Największej liczbie jezior zostały przypisane działania kontrolne (wszystkie jcwp wskazane do przypisania działań tj. 769 w skali kraju) i z zakresu gospodarki komunalnej, najmniejszej zaś działania z kategorii rolnictwa i działań organizacyjno-prawnych </w:t>
      </w:r>
      <w:r w:rsidRPr="000F39E6">
        <w:rPr>
          <w:rFonts w:cs="Calibri"/>
          <w:color w:val="000000"/>
        </w:rPr>
        <w:t>i edukacyjnych (wykres</w:t>
      </w:r>
      <w:r>
        <w:rPr>
          <w:rFonts w:cs="Calibri"/>
          <w:color w:val="000000"/>
        </w:rPr>
        <w:t xml:space="preserve"> 10-5).</w:t>
      </w:r>
      <w:r w:rsidR="003E0E49">
        <w:rPr>
          <w:rFonts w:cs="Calibri"/>
          <w:color w:val="000000"/>
        </w:rPr>
        <w:t xml:space="preserve"> </w:t>
      </w:r>
      <w:bookmarkStart w:id="304" w:name="_Hlk67646911"/>
      <w:r w:rsidR="003E0E49">
        <w:t>W przypadku jcwp LW kategorią działań o najniższym stopniu zaawansowania stanowi kategoria monitoring.</w:t>
      </w:r>
      <w:bookmarkEnd w:id="304"/>
    </w:p>
    <w:p w14:paraId="4C5BA974" w14:textId="47E19971" w:rsidR="00334F6D" w:rsidRDefault="00334F6D" w:rsidP="00334F6D">
      <w:pPr>
        <w:widowControl w:val="0"/>
        <w:suppressAutoHyphens/>
        <w:autoSpaceDE w:val="0"/>
        <w:autoSpaceDN w:val="0"/>
        <w:adjustRightInd w:val="0"/>
        <w:ind w:right="51"/>
        <w:rPr>
          <w:rFonts w:cs="Calibri"/>
          <w:sz w:val="24"/>
          <w:szCs w:val="24"/>
        </w:rPr>
      </w:pPr>
      <w:r>
        <w:rPr>
          <w:rFonts w:cs="Calibri"/>
          <w:color w:val="000000"/>
        </w:rPr>
        <w:t xml:space="preserve">W przypadku jcwp LW działania ciągłe, dla których nie ma możliwości określenia stopnia ich realizacji, z powodu braku danych przekazanych przez podmioty odpowiedzialne za sprawozdawczość, stanowią 58% wszystkich działań zaplanowanych w obszarze dorzecza </w:t>
      </w:r>
      <w:r w:rsidR="000C4534">
        <w:rPr>
          <w:rFonts w:cs="Calibri"/>
          <w:color w:val="000000"/>
        </w:rPr>
        <w:t>Pregoły</w:t>
      </w:r>
      <w:r>
        <w:rPr>
          <w:rFonts w:cs="Calibri"/>
          <w:color w:val="000000"/>
        </w:rPr>
        <w:t xml:space="preserve"> dla jcwp LW.</w:t>
      </w:r>
    </w:p>
    <w:p w14:paraId="73809A4F" w14:textId="77777777" w:rsidR="00334F6D" w:rsidRDefault="00334F6D" w:rsidP="00334F6D">
      <w:pPr>
        <w:widowControl w:val="0"/>
        <w:suppressAutoHyphens/>
        <w:autoSpaceDE w:val="0"/>
        <w:autoSpaceDN w:val="0"/>
        <w:adjustRightInd w:val="0"/>
        <w:spacing w:before="184" w:line="333" w:lineRule="auto"/>
        <w:ind w:right="50"/>
        <w:jc w:val="center"/>
        <w:rPr>
          <w:rFonts w:cs="Calibri"/>
          <w:color w:val="000000"/>
        </w:rPr>
      </w:pPr>
      <w:r>
        <w:rPr>
          <w:noProof/>
        </w:rPr>
        <w:drawing>
          <wp:inline distT="0" distB="0" distL="0" distR="0" wp14:anchorId="22CF86A2" wp14:editId="1A7759FB">
            <wp:extent cx="4581525" cy="2752725"/>
            <wp:effectExtent l="0" t="0" r="9525" b="9525"/>
            <wp:docPr id="39" name="Wykres 39">
              <a:extLst xmlns:a="http://schemas.openxmlformats.org/drawingml/2006/main">
                <a:ext uri="{FF2B5EF4-FFF2-40B4-BE49-F238E27FC236}">
                  <a16:creationId xmlns:a16="http://schemas.microsoft.com/office/drawing/2014/main" id="{DD8C3A37-433C-4ECA-B89A-968189985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7ACBA5E" w14:textId="3C4E15A3" w:rsidR="00334F6D" w:rsidRPr="009A694C" w:rsidRDefault="00334F6D" w:rsidP="006802BB">
      <w:pPr>
        <w:pStyle w:val="Wykres"/>
      </w:pPr>
      <w:bookmarkStart w:id="305" w:name="_Toc66311463"/>
      <w:bookmarkStart w:id="306" w:name="_Toc68727114"/>
      <w:r w:rsidRPr="009A694C">
        <w:t xml:space="preserve">Wykres </w:t>
      </w:r>
      <w:fldSimple w:instr=" STYLEREF 1 \s ">
        <w:r w:rsidR="00EF3FD3">
          <w:rPr>
            <w:noProof/>
          </w:rPr>
          <w:t>10</w:t>
        </w:r>
      </w:fldSimple>
      <w:r w:rsidR="00EF3FD3">
        <w:noBreakHyphen/>
      </w:r>
      <w:fldSimple w:instr=" SEQ Wykres \* ARABIC \s 1 ">
        <w:r w:rsidR="00EF3FD3">
          <w:rPr>
            <w:noProof/>
          </w:rPr>
          <w:t>5</w:t>
        </w:r>
      </w:fldSimple>
      <w:r w:rsidRPr="009A694C">
        <w:tab/>
        <w:t>Liczba jcwp LW z przypisanymi działaniami danej kategorii</w:t>
      </w:r>
      <w:bookmarkEnd w:id="305"/>
      <w:bookmarkEnd w:id="306"/>
      <w:r w:rsidRPr="009A694C">
        <w:t xml:space="preserve"> </w:t>
      </w:r>
    </w:p>
    <w:p w14:paraId="287670C1" w14:textId="63E22B3A" w:rsidR="00334F6D" w:rsidRDefault="00334F6D" w:rsidP="00334F6D">
      <w:pPr>
        <w:pStyle w:val="rdo0"/>
      </w:pPr>
      <w:r>
        <w:t xml:space="preserve">Źródło: </w:t>
      </w:r>
      <w:r w:rsidR="0060632E">
        <w:t xml:space="preserve">opracowanie </w:t>
      </w:r>
      <w:r w:rsidR="00B773E9">
        <w:t>własne</w:t>
      </w:r>
      <w:r>
        <w:t xml:space="preserve"> na podstawie Oceny postępu we wdrażaniu programów działań dla jcwp i jcwpd wynikających z aPWŚK (2018)</w:t>
      </w:r>
    </w:p>
    <w:p w14:paraId="2489A00A" w14:textId="3297A6B2" w:rsidR="00334F6D" w:rsidRDefault="00334F6D" w:rsidP="00334F6D">
      <w:pPr>
        <w:suppressAutoHyphens/>
        <w:rPr>
          <w:rFonts w:asciiTheme="minorHAnsi" w:hAnsiTheme="minorHAnsi" w:cstheme="minorHAnsi"/>
          <w:b/>
          <w:bCs/>
        </w:rPr>
      </w:pPr>
      <w:r>
        <w:rPr>
          <w:rFonts w:asciiTheme="minorHAnsi" w:hAnsiTheme="minorHAnsi" w:cstheme="minorHAnsi"/>
          <w:b/>
          <w:bCs/>
        </w:rPr>
        <w:t>Jcwpd</w:t>
      </w:r>
    </w:p>
    <w:p w14:paraId="4ECD65EA" w14:textId="77777777" w:rsidR="00334F6D" w:rsidRDefault="00334F6D" w:rsidP="00334F6D">
      <w:pPr>
        <w:widowControl w:val="0"/>
        <w:suppressAutoHyphens/>
        <w:autoSpaceDE w:val="0"/>
        <w:autoSpaceDN w:val="0"/>
        <w:adjustRightInd w:val="0"/>
        <w:spacing w:before="206"/>
        <w:ind w:firstLine="1"/>
        <w:rPr>
          <w:rFonts w:asciiTheme="minorHAnsi" w:hAnsiTheme="minorHAnsi" w:cstheme="minorHAnsi"/>
          <w:sz w:val="24"/>
          <w:szCs w:val="24"/>
        </w:rPr>
      </w:pPr>
      <w:r>
        <w:rPr>
          <w:rFonts w:asciiTheme="minorHAnsi" w:hAnsiTheme="minorHAnsi" w:cstheme="minorHAnsi"/>
          <w:color w:val="000000"/>
        </w:rPr>
        <w:t xml:space="preserve">Działania przypisane do jcwpd w aPWŚK zgrupowano w 7 kategorii: </w:t>
      </w:r>
    </w:p>
    <w:p w14:paraId="38CBAA62" w14:textId="77777777" w:rsidR="00334F6D" w:rsidRDefault="00334F6D" w:rsidP="00AA3506">
      <w:pPr>
        <w:pStyle w:val="Akapitzlist"/>
        <w:numPr>
          <w:ilvl w:val="0"/>
          <w:numId w:val="62"/>
        </w:numPr>
      </w:pPr>
      <w:r>
        <w:t>działania kontrolne,</w:t>
      </w:r>
    </w:p>
    <w:p w14:paraId="78544C69" w14:textId="77777777" w:rsidR="00334F6D" w:rsidRDefault="00334F6D" w:rsidP="00AA3506">
      <w:pPr>
        <w:pStyle w:val="Akapitzlist"/>
        <w:numPr>
          <w:ilvl w:val="0"/>
          <w:numId w:val="62"/>
        </w:numPr>
      </w:pPr>
      <w:r>
        <w:t>działania organizacyjno-prawne i edukacyjne,</w:t>
      </w:r>
    </w:p>
    <w:p w14:paraId="55045E0A" w14:textId="77777777" w:rsidR="00334F6D" w:rsidRDefault="00334F6D" w:rsidP="00AA3506">
      <w:pPr>
        <w:pStyle w:val="Akapitzlist"/>
        <w:numPr>
          <w:ilvl w:val="0"/>
          <w:numId w:val="62"/>
        </w:numPr>
      </w:pPr>
      <w:r>
        <w:t>gospodarka komunalna,</w:t>
      </w:r>
    </w:p>
    <w:p w14:paraId="23989641" w14:textId="77777777" w:rsidR="00334F6D" w:rsidRDefault="00334F6D" w:rsidP="00AA3506">
      <w:pPr>
        <w:pStyle w:val="Akapitzlist"/>
        <w:numPr>
          <w:ilvl w:val="0"/>
          <w:numId w:val="62"/>
        </w:numPr>
      </w:pPr>
      <w:r>
        <w:t>gospodarka komunalna/przemysł,</w:t>
      </w:r>
    </w:p>
    <w:p w14:paraId="2FC8EF51" w14:textId="77777777" w:rsidR="00334F6D" w:rsidRDefault="00334F6D" w:rsidP="00AA3506">
      <w:pPr>
        <w:pStyle w:val="Akapitzlist"/>
        <w:numPr>
          <w:ilvl w:val="0"/>
          <w:numId w:val="62"/>
        </w:numPr>
      </w:pPr>
      <w:r>
        <w:t>przemysł,</w:t>
      </w:r>
    </w:p>
    <w:p w14:paraId="4A91B6A4" w14:textId="77777777" w:rsidR="00334F6D" w:rsidRDefault="00334F6D" w:rsidP="00AA3506">
      <w:pPr>
        <w:pStyle w:val="Akapitzlist"/>
        <w:numPr>
          <w:ilvl w:val="0"/>
          <w:numId w:val="62"/>
        </w:numPr>
      </w:pPr>
      <w:r>
        <w:t>monitoring,</w:t>
      </w:r>
    </w:p>
    <w:p w14:paraId="53187E9B" w14:textId="77777777" w:rsidR="00334F6D" w:rsidRDefault="00334F6D" w:rsidP="00AA3506">
      <w:pPr>
        <w:pStyle w:val="Akapitzlist"/>
        <w:numPr>
          <w:ilvl w:val="0"/>
          <w:numId w:val="62"/>
        </w:numPr>
      </w:pPr>
      <w:r>
        <w:t>rolnictwo.</w:t>
      </w:r>
    </w:p>
    <w:p w14:paraId="6DBDCFA8" w14:textId="77777777" w:rsidR="00334F6D" w:rsidRDefault="00334F6D" w:rsidP="00334F6D">
      <w:pPr>
        <w:widowControl w:val="0"/>
        <w:suppressAutoHyphens/>
        <w:autoSpaceDE w:val="0"/>
        <w:autoSpaceDN w:val="0"/>
        <w:adjustRightInd w:val="0"/>
        <w:rPr>
          <w:rFonts w:asciiTheme="minorHAnsi" w:hAnsiTheme="minorHAnsi" w:cstheme="minorHAnsi"/>
        </w:rPr>
      </w:pPr>
      <w:r>
        <w:rPr>
          <w:rFonts w:asciiTheme="minorHAnsi" w:hAnsiTheme="minorHAnsi" w:cstheme="minorHAnsi"/>
          <w:color w:val="000000"/>
        </w:rPr>
        <w:t>Ww. kategorie zostały dodatkowo podzielone na 9 grup działań obejmujących łącznie 31 typów działań.</w:t>
      </w:r>
    </w:p>
    <w:p w14:paraId="25D44796" w14:textId="7534F12B" w:rsidR="00334F6D" w:rsidRDefault="00334F6D" w:rsidP="00334F6D">
      <w:pPr>
        <w:widowControl w:val="0"/>
        <w:suppressAutoHyphens/>
        <w:autoSpaceDE w:val="0"/>
        <w:autoSpaceDN w:val="0"/>
        <w:adjustRightInd w:val="0"/>
        <w:ind w:right="52"/>
        <w:rPr>
          <w:rFonts w:asciiTheme="minorHAnsi" w:hAnsiTheme="minorHAnsi" w:cstheme="minorHAnsi"/>
        </w:rPr>
      </w:pPr>
      <w:r>
        <w:rPr>
          <w:rFonts w:asciiTheme="minorHAnsi" w:hAnsiTheme="minorHAnsi" w:cstheme="minorHAnsi"/>
          <w:color w:val="000000"/>
        </w:rPr>
        <w:t>Dla wszystkich 172 jcwpd (układ planistyczny aPGW) i zaplanowanych dla nich działań uśredniona wartość stopnia zaawansowania realizacji działań wynosi 12%.</w:t>
      </w:r>
      <w:r>
        <w:rPr>
          <w:rFonts w:asciiTheme="minorHAnsi" w:hAnsiTheme="minorHAnsi" w:cstheme="minorHAnsi"/>
        </w:rPr>
        <w:t xml:space="preserve"> </w:t>
      </w:r>
      <w:r>
        <w:rPr>
          <w:rFonts w:cs="Calibri"/>
          <w:color w:val="000000"/>
        </w:rPr>
        <w:t>Działania zakończone stanowią 4</w:t>
      </w:r>
      <w:r w:rsidR="003E0E49">
        <w:rPr>
          <w:rFonts w:cs="Calibri"/>
          <w:color w:val="000000"/>
        </w:rPr>
        <w:t>7</w:t>
      </w:r>
      <w:r>
        <w:rPr>
          <w:rFonts w:cs="Calibri"/>
          <w:color w:val="000000"/>
        </w:rPr>
        <w:t>%, natomiast działania nierozpoczęte 2</w:t>
      </w:r>
      <w:r w:rsidR="003E0E49">
        <w:rPr>
          <w:rFonts w:cs="Calibri"/>
          <w:color w:val="000000"/>
        </w:rPr>
        <w:t>5</w:t>
      </w:r>
      <w:r>
        <w:rPr>
          <w:rFonts w:cs="Calibri"/>
          <w:color w:val="000000"/>
        </w:rPr>
        <w:t>%. Istotne znaczenie ma też fakt, iż dla 678 działań pomimo wypełnienia ankiety nie było możliwe określenie postępu w realizacji.</w:t>
      </w:r>
      <w:r w:rsidR="003E0E49">
        <w:rPr>
          <w:rFonts w:cs="Calibri"/>
          <w:color w:val="000000"/>
        </w:rPr>
        <w:t xml:space="preserve"> </w:t>
      </w:r>
      <w:bookmarkStart w:id="307" w:name="_Hlk67645601"/>
      <w:r w:rsidR="003E0E49">
        <w:t>W przypadku jcwpd najmniejszy stopień zaawansowania realizacji działań stwierdzono w przypadku działań z grupy Ograniczanie rozprzestrzeniania zanieczyszczeń w jcwpd (ok. 28% działań zrealizowanych).</w:t>
      </w:r>
      <w:bookmarkEnd w:id="307"/>
    </w:p>
    <w:p w14:paraId="5BCAFA2A" w14:textId="29117033" w:rsidR="000F4C8C" w:rsidRDefault="00334F6D" w:rsidP="00334F6D">
      <w:pPr>
        <w:widowControl w:val="0"/>
        <w:suppressAutoHyphens/>
        <w:autoSpaceDE w:val="0"/>
        <w:autoSpaceDN w:val="0"/>
        <w:adjustRightInd w:val="0"/>
        <w:ind w:right="50"/>
        <w:rPr>
          <w:rFonts w:cs="Calibri"/>
          <w:color w:val="000000"/>
        </w:rPr>
      </w:pPr>
      <w:r>
        <w:rPr>
          <w:rFonts w:cs="Calibri"/>
          <w:color w:val="000000"/>
        </w:rPr>
        <w:t xml:space="preserve">Udział działań zakończonych jest większy dla działań podstawowych i wynosi około 45% -w przypadku działań uzupełniających - 35%. Natomiast nie rozpoczęto wdrażania 26% działań podstawowych i 42% działań </w:t>
      </w:r>
      <w:r w:rsidRPr="009B2F4B">
        <w:rPr>
          <w:rFonts w:cs="Calibri"/>
          <w:color w:val="000000"/>
        </w:rPr>
        <w:t>uzupełniających (wykres 10-</w:t>
      </w:r>
      <w:r w:rsidR="00B561E5">
        <w:rPr>
          <w:rFonts w:cs="Calibri"/>
          <w:color w:val="000000"/>
        </w:rPr>
        <w:t>6</w:t>
      </w:r>
      <w:r w:rsidRPr="009B2F4B">
        <w:rPr>
          <w:rFonts w:cs="Calibri"/>
          <w:color w:val="000000"/>
        </w:rPr>
        <w:t>).</w:t>
      </w:r>
    </w:p>
    <w:p w14:paraId="14EC11B3" w14:textId="77777777" w:rsidR="00334F6D" w:rsidRDefault="00334F6D" w:rsidP="00334F6D">
      <w:pPr>
        <w:widowControl w:val="0"/>
        <w:suppressAutoHyphens/>
        <w:autoSpaceDE w:val="0"/>
        <w:autoSpaceDN w:val="0"/>
        <w:adjustRightInd w:val="0"/>
        <w:spacing w:before="169" w:line="333" w:lineRule="auto"/>
        <w:ind w:right="50"/>
        <w:jc w:val="center"/>
        <w:rPr>
          <w:rFonts w:cs="Calibri"/>
          <w:sz w:val="24"/>
          <w:szCs w:val="24"/>
        </w:rPr>
      </w:pPr>
      <w:r>
        <w:rPr>
          <w:noProof/>
        </w:rPr>
        <w:drawing>
          <wp:inline distT="0" distB="0" distL="0" distR="0" wp14:anchorId="780E08F1" wp14:editId="36E3F6CA">
            <wp:extent cx="4600575" cy="3069204"/>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pic:nvPicPr>
                  <pic:blipFill>
                    <a:blip r:embed="rId66">
                      <a:extLst>
                        <a:ext uri="{28A0092B-C50C-407E-A947-70E740481C1C}">
                          <a14:useLocalDpi xmlns:a14="http://schemas.microsoft.com/office/drawing/2010/main" val="0"/>
                        </a:ext>
                      </a:extLst>
                    </a:blip>
                    <a:stretch>
                      <a:fillRect/>
                    </a:stretch>
                  </pic:blipFill>
                  <pic:spPr>
                    <a:xfrm>
                      <a:off x="0" y="0"/>
                      <a:ext cx="4600575" cy="3069204"/>
                    </a:xfrm>
                    <a:prstGeom prst="rect">
                      <a:avLst/>
                    </a:prstGeom>
                  </pic:spPr>
                </pic:pic>
              </a:graphicData>
            </a:graphic>
          </wp:inline>
        </w:drawing>
      </w:r>
    </w:p>
    <w:p w14:paraId="3F6FBDD8" w14:textId="55658D81" w:rsidR="00334F6D" w:rsidRPr="009A694C" w:rsidRDefault="00334F6D" w:rsidP="006802BB">
      <w:pPr>
        <w:pStyle w:val="Wykres"/>
      </w:pPr>
      <w:bookmarkStart w:id="308" w:name="_Toc66311465"/>
      <w:bookmarkStart w:id="309" w:name="_Toc68727115"/>
      <w:r w:rsidRPr="009A694C">
        <w:t xml:space="preserve">Wykres </w:t>
      </w:r>
      <w:fldSimple w:instr=" STYLEREF 1 \s ">
        <w:r w:rsidR="00EF3FD3">
          <w:rPr>
            <w:noProof/>
          </w:rPr>
          <w:t>10</w:t>
        </w:r>
      </w:fldSimple>
      <w:r w:rsidR="00EF3FD3">
        <w:noBreakHyphen/>
      </w:r>
      <w:fldSimple w:instr=" SEQ Wykres \* ARABIC \s 1 ">
        <w:r w:rsidR="00EF3FD3">
          <w:rPr>
            <w:noProof/>
          </w:rPr>
          <w:t>6</w:t>
        </w:r>
      </w:fldSimple>
      <w:r w:rsidRPr="009A694C">
        <w:tab/>
        <w:t>Udział działań o określonym statusie w podziale na działania podstawowe i uzupełniające - jcwpd (w skali kraju)</w:t>
      </w:r>
      <w:bookmarkEnd w:id="308"/>
      <w:bookmarkEnd w:id="309"/>
    </w:p>
    <w:p w14:paraId="3CD2DBB0" w14:textId="7F3D69E3" w:rsidR="00334F6D" w:rsidRDefault="00334F6D" w:rsidP="00334F6D">
      <w:pPr>
        <w:pStyle w:val="rdo0"/>
      </w:pPr>
      <w:r>
        <w:t xml:space="preserve">Źródło: </w:t>
      </w:r>
      <w:r w:rsidR="000F4C8C">
        <w:t xml:space="preserve">opracowanie </w:t>
      </w:r>
      <w:r w:rsidR="00B773E9">
        <w:t xml:space="preserve">własne </w:t>
      </w:r>
      <w:r w:rsidR="000F4C8C">
        <w:t xml:space="preserve">na podstawie </w:t>
      </w:r>
      <w:r>
        <w:t>Ocen</w:t>
      </w:r>
      <w:r w:rsidR="000F4C8C">
        <w:t>y</w:t>
      </w:r>
      <w:r>
        <w:t xml:space="preserve"> postępu we wdrażaniu programów działań dla jcwp i jcwpd wynikających z aPWŚK (2018)</w:t>
      </w:r>
    </w:p>
    <w:p w14:paraId="41B9BCB6" w14:textId="64F1C9EC" w:rsidR="00035198" w:rsidRDefault="00035198" w:rsidP="00B50FFD">
      <w:pPr>
        <w:pStyle w:val="Nagwek2"/>
      </w:pPr>
      <w:bookmarkStart w:id="310" w:name="_Toc68726877"/>
      <w:bookmarkEnd w:id="288"/>
      <w:r>
        <w:t>D</w:t>
      </w:r>
      <w:r w:rsidRPr="00606A5C">
        <w:t xml:space="preserve">ziałania z aPGW, które nie zostały </w:t>
      </w:r>
      <w:bookmarkEnd w:id="284"/>
      <w:r w:rsidR="009B2F4B">
        <w:t>zrealizowane</w:t>
      </w:r>
      <w:bookmarkEnd w:id="310"/>
    </w:p>
    <w:p w14:paraId="08B607ED" w14:textId="5477B2DC" w:rsidR="00766470" w:rsidRDefault="00766470" w:rsidP="00766470">
      <w:pPr>
        <w:suppressAutoHyphens/>
        <w:rPr>
          <w:rFonts w:asciiTheme="minorHAnsi" w:hAnsiTheme="minorHAnsi" w:cstheme="minorHAnsi"/>
        </w:rPr>
      </w:pPr>
      <w:bookmarkStart w:id="311" w:name="_Hlk66325706"/>
      <w:r>
        <w:rPr>
          <w:rFonts w:asciiTheme="minorHAnsi" w:hAnsiTheme="minorHAnsi" w:cstheme="minorHAnsi"/>
        </w:rPr>
        <w:t>Działania zaplanowane w aPWŚK zostały zrealizowane w zróżnicowanym stopniu. Rozpoczęto (lub</w:t>
      </w:r>
      <w:r w:rsidR="007E5892">
        <w:rPr>
          <w:rFonts w:asciiTheme="minorHAnsi" w:hAnsiTheme="minorHAnsi" w:cstheme="minorHAnsi"/>
        </w:rPr>
        <w:t> </w:t>
      </w:r>
      <w:r>
        <w:rPr>
          <w:rFonts w:asciiTheme="minorHAnsi" w:hAnsiTheme="minorHAnsi" w:cstheme="minorHAnsi"/>
        </w:rPr>
        <w:t xml:space="preserve">kontynuowano) wdrażanie wszystkich kluczowych działań (zwłaszcza w dziedzinie gospodarki komunalnej w aglomeracjach, w związku z wdrażaniem KPOŚK). </w:t>
      </w:r>
    </w:p>
    <w:p w14:paraId="4A5AD6E1" w14:textId="77777777" w:rsidR="00766470" w:rsidRDefault="00766470" w:rsidP="00766470">
      <w:pPr>
        <w:suppressAutoHyphens/>
        <w:rPr>
          <w:rFonts w:asciiTheme="minorHAnsi" w:hAnsiTheme="minorHAnsi" w:cstheme="minorHAnsi"/>
        </w:rPr>
      </w:pPr>
      <w:r>
        <w:rPr>
          <w:rFonts w:asciiTheme="minorHAnsi" w:hAnsiTheme="minorHAnsi" w:cstheme="minorHAnsi"/>
        </w:rPr>
        <w:t xml:space="preserve">Wprowadzone ustawą pr.w. zmiany miały na celu pełne wdrożenie przepisów UE w tym przede wszystkim RDW. Przejęcie kompetencji przez jeden organ (PGW WP) pozwoliło na skuteczniejsze monitorowanie realizacji działań, przy jednoczesnym zapewnieniu weryfikacji ich zasadności. </w:t>
      </w:r>
    </w:p>
    <w:p w14:paraId="19F25B88" w14:textId="77777777" w:rsidR="00766470" w:rsidRDefault="00766470" w:rsidP="00766470">
      <w:pPr>
        <w:suppressAutoHyphens/>
        <w:rPr>
          <w:rFonts w:asciiTheme="minorHAnsi" w:hAnsiTheme="minorHAnsi" w:cstheme="minorHAnsi"/>
        </w:rPr>
      </w:pPr>
      <w:r>
        <w:rPr>
          <w:rFonts w:asciiTheme="minorHAnsi" w:hAnsiTheme="minorHAnsi" w:cstheme="minorHAnsi"/>
        </w:rPr>
        <w:t xml:space="preserve">Ustawa pr.w. była kompleksową zmianą uregulowań prawnych, która zmieniała kompetencje organów właściwych w sprawach gospodarowania wodami, w tym organy odpowiedzialne za wykonanie przeglądów pozwoleń wodnoprawnych. Dodatkowo zmiany legislacyjne te unieważniły zasadność dalszej realizacji działań polegających na opracowaniu warunków korzystania z wód. Dokonane zmiany wpłynęły jednocześnie na brak możliwości pełnego zrealizowania zaplanowanych w aPGW działań. </w:t>
      </w:r>
    </w:p>
    <w:p w14:paraId="01AE2DDA" w14:textId="08B43F5A" w:rsidR="00766470" w:rsidRDefault="00766470" w:rsidP="00766470">
      <w:pPr>
        <w:suppressAutoHyphens/>
        <w:rPr>
          <w:rFonts w:asciiTheme="minorHAnsi" w:hAnsiTheme="minorHAnsi" w:cstheme="minorHAnsi"/>
        </w:rPr>
      </w:pPr>
      <w:r>
        <w:rPr>
          <w:rFonts w:asciiTheme="minorHAnsi" w:hAnsiTheme="minorHAnsi" w:cstheme="minorHAnsi"/>
        </w:rPr>
        <w:t xml:space="preserve">Wśród działań w przypadku których nie otrzymano odpowiedniego zwrotu informacji od podmiotów odpowiedzialnych za ich wdrożenie, znajdują się </w:t>
      </w:r>
      <w:r w:rsidR="004E4832">
        <w:rPr>
          <w:rFonts w:asciiTheme="minorHAnsi" w:hAnsiTheme="minorHAnsi" w:cstheme="minorHAnsi"/>
        </w:rPr>
        <w:t xml:space="preserve">gminne </w:t>
      </w:r>
      <w:r>
        <w:rPr>
          <w:rFonts w:asciiTheme="minorHAnsi" w:hAnsiTheme="minorHAnsi" w:cstheme="minorHAnsi"/>
        </w:rPr>
        <w:t>działania</w:t>
      </w:r>
      <w:r w:rsidR="00C0781E">
        <w:rPr>
          <w:rFonts w:asciiTheme="minorHAnsi" w:hAnsiTheme="minorHAnsi" w:cstheme="minorHAnsi"/>
        </w:rPr>
        <w:t xml:space="preserve"> inwestycyjne</w:t>
      </w:r>
      <w:r>
        <w:rPr>
          <w:rFonts w:asciiTheme="minorHAnsi" w:hAnsiTheme="minorHAnsi" w:cstheme="minorHAnsi"/>
        </w:rPr>
        <w:t xml:space="preserve"> z zakresu porządkowania gospodarki komunalnej na obszarach pozaaglomeracyjnych. </w:t>
      </w:r>
    </w:p>
    <w:p w14:paraId="1221B594" w14:textId="5F40480E" w:rsidR="00766470" w:rsidRDefault="00766470" w:rsidP="00766470">
      <w:pPr>
        <w:suppressAutoHyphens/>
        <w:rPr>
          <w:rFonts w:asciiTheme="minorHAnsi" w:hAnsiTheme="minorHAnsi" w:cstheme="minorHAnsi"/>
          <w:iCs/>
        </w:rPr>
      </w:pPr>
      <w:r>
        <w:rPr>
          <w:rFonts w:asciiTheme="minorHAnsi" w:hAnsiTheme="minorHAnsi" w:cstheme="minorHAnsi"/>
        </w:rPr>
        <w:t xml:space="preserve">Według ustaleń opracowania pn. </w:t>
      </w:r>
      <w:r>
        <w:rPr>
          <w:rFonts w:asciiTheme="minorHAnsi" w:hAnsiTheme="minorHAnsi" w:cstheme="minorHAnsi"/>
          <w:i/>
        </w:rPr>
        <w:t>Ocena postępu (…)</w:t>
      </w:r>
      <w:r>
        <w:rPr>
          <w:rFonts w:asciiTheme="minorHAnsi" w:hAnsiTheme="minorHAnsi" w:cstheme="minorHAnsi"/>
          <w:iCs/>
        </w:rPr>
        <w:t>,</w:t>
      </w:r>
      <w:r>
        <w:rPr>
          <w:rFonts w:asciiTheme="minorHAnsi" w:hAnsiTheme="minorHAnsi" w:cstheme="minorHAnsi"/>
          <w:i/>
        </w:rPr>
        <w:t xml:space="preserve"> g</w:t>
      </w:r>
      <w:r>
        <w:rPr>
          <w:rFonts w:asciiTheme="minorHAnsi" w:hAnsiTheme="minorHAnsi" w:cstheme="minorHAnsi"/>
        </w:rPr>
        <w:t xml:space="preserve">łównymi przeszkodami w realizacji działań zgłoszonymi przez podmioty były brak zapewnienia finansowania oraz brak mechanizmów wdrażania. Pośród innych przeszkód wskazywano także na braki kadrowe, brak świadomości potrzeby realizacji działań, </w:t>
      </w:r>
      <w:r w:rsidR="003A3334" w:rsidRPr="002D6624">
        <w:rPr>
          <w:rFonts w:asciiTheme="minorHAnsi" w:hAnsiTheme="minorHAnsi" w:cstheme="minorHAnsi"/>
        </w:rPr>
        <w:t>bariery infrastrukturalne, problemy przy procedurach przetargowych oraz zmiany administracyjne.</w:t>
      </w:r>
      <w:r w:rsidR="003A3334">
        <w:rPr>
          <w:rFonts w:asciiTheme="minorHAnsi" w:hAnsiTheme="minorHAnsi" w:cstheme="minorHAnsi"/>
        </w:rPr>
        <w:t xml:space="preserve"> Szczegółowe informacje dotyczące poszczególnych działań zawarte są w pracy </w:t>
      </w:r>
      <w:r w:rsidR="003A3334" w:rsidRPr="002D6624">
        <w:rPr>
          <w:rFonts w:asciiTheme="minorHAnsi" w:hAnsiTheme="minorHAnsi" w:cstheme="minorHAnsi"/>
          <w:i/>
        </w:rPr>
        <w:t>Ocena postępu (…)</w:t>
      </w:r>
      <w:r w:rsidR="003A3334">
        <w:rPr>
          <w:rFonts w:asciiTheme="minorHAnsi" w:hAnsiTheme="minorHAnsi" w:cstheme="minorHAnsi"/>
          <w:iCs/>
        </w:rPr>
        <w:t xml:space="preserve"> oraz Ocena skuteczności działań z aPWŚK kategorii gospodarka wodna. </w:t>
      </w:r>
    </w:p>
    <w:p w14:paraId="3EC1D4C0" w14:textId="77777777" w:rsidR="007E2248" w:rsidRPr="007E2248" w:rsidRDefault="007E2248" w:rsidP="007E2248">
      <w:pPr>
        <w:suppressAutoHyphens/>
        <w:rPr>
          <w:rFonts w:asciiTheme="minorHAnsi" w:hAnsiTheme="minorHAnsi" w:cstheme="minorHAnsi"/>
        </w:rPr>
      </w:pPr>
      <w:r w:rsidRPr="007E2248">
        <w:rPr>
          <w:rFonts w:asciiTheme="minorHAnsi" w:hAnsiTheme="minorHAnsi" w:cstheme="minorHAnsi"/>
          <w:iCs/>
        </w:rPr>
        <w:t xml:space="preserve">Podsumowania działań </w:t>
      </w:r>
      <w:r w:rsidRPr="008C4B53">
        <w:rPr>
          <w:rFonts w:asciiTheme="minorHAnsi" w:hAnsiTheme="minorHAnsi"/>
        </w:rPr>
        <w:t>podjętych i planowanych w podziale na poszczególne kategorie przedstawia rozdział 13 IIaPGW, a tym podsumowanie działań podjętych w celu eliminowania stężeń substancji priorytetowych do których zalicza się działania kategorii gospodarka komunalna (rozdział 13.5 IIaPGW).</w:t>
      </w:r>
    </w:p>
    <w:p w14:paraId="381DEAF3" w14:textId="6D69304E" w:rsidR="00766470" w:rsidRPr="00C3402C" w:rsidRDefault="00766470" w:rsidP="00C3402C">
      <w:pPr>
        <w:suppressAutoHyphens/>
        <w:rPr>
          <w:rFonts w:asciiTheme="minorHAnsi" w:hAnsiTheme="minorHAnsi" w:cstheme="minorHAnsi"/>
        </w:rPr>
      </w:pPr>
      <w:r>
        <w:rPr>
          <w:rFonts w:asciiTheme="minorHAnsi" w:hAnsiTheme="minorHAnsi" w:cstheme="minorHAnsi"/>
        </w:rPr>
        <w:t>Dla zapewnienia pełnej informacji o statusie realizowanych działań IIaPGW niezbędne jest skuteczne informowanie podmiotów odpowiedzialnych za realizację działań o zaplanowanych w ramach IIaPGW działaniach wraz ze skutecznym egzekwowaniem informacji sprawozdawczych z realizacji.</w:t>
      </w:r>
      <w:bookmarkEnd w:id="311"/>
    </w:p>
    <w:p w14:paraId="4EDD2C95" w14:textId="47B7E84B" w:rsidR="00035198" w:rsidRDefault="00035198" w:rsidP="00B50FFD">
      <w:pPr>
        <w:pStyle w:val="Nagwek2"/>
      </w:pPr>
      <w:bookmarkStart w:id="312" w:name="_Toc68726878"/>
      <w:r>
        <w:t>K</w:t>
      </w:r>
      <w:r w:rsidRPr="00203957">
        <w:t>onieczn</w:t>
      </w:r>
      <w:r>
        <w:t>e</w:t>
      </w:r>
      <w:r w:rsidRPr="00203957">
        <w:t>, dodatkow</w:t>
      </w:r>
      <w:r>
        <w:t>e</w:t>
      </w:r>
      <w:r w:rsidRPr="00203957">
        <w:t xml:space="preserve"> działa</w:t>
      </w:r>
      <w:r>
        <w:t>nia</w:t>
      </w:r>
      <w:r w:rsidRPr="00203957">
        <w:t xml:space="preserve"> podjęt</w:t>
      </w:r>
      <w:r>
        <w:t>e</w:t>
      </w:r>
      <w:r w:rsidRPr="00203957">
        <w:t xml:space="preserve"> w trakcie realizacji </w:t>
      </w:r>
      <w:r w:rsidR="00E80A0C">
        <w:t>aPGW</w:t>
      </w:r>
      <w:r w:rsidRPr="00203957">
        <w:t xml:space="preserve"> na obszarze dorzecza</w:t>
      </w:r>
      <w:bookmarkEnd w:id="312"/>
    </w:p>
    <w:p w14:paraId="1E0AFA22" w14:textId="77777777" w:rsidR="00C3402C" w:rsidRDefault="00C3402C" w:rsidP="00C3402C">
      <w:pPr>
        <w:suppressAutoHyphens/>
        <w:rPr>
          <w:rFonts w:asciiTheme="minorHAnsi" w:hAnsiTheme="minorHAnsi" w:cstheme="minorHAnsi"/>
        </w:rPr>
      </w:pPr>
      <w:bookmarkStart w:id="313" w:name="_Hlk66325596"/>
      <w:r>
        <w:rPr>
          <w:rFonts w:asciiTheme="minorHAnsi" w:hAnsiTheme="minorHAnsi" w:cstheme="minorHAnsi"/>
        </w:rPr>
        <w:t>Zgodnie z art. 11 ust. 5 RDW, jeżeli monitorowanie (lub inne dane) wskazują, że cele środowiskowe prawdopodobnie nie będą osiągnięte, państwa UE zapewniają:</w:t>
      </w:r>
    </w:p>
    <w:p w14:paraId="262AA420" w14:textId="77777777" w:rsidR="00C3402C" w:rsidRDefault="00C3402C" w:rsidP="00AA3506">
      <w:pPr>
        <w:pStyle w:val="Akapitzlist"/>
        <w:numPr>
          <w:ilvl w:val="0"/>
          <w:numId w:val="110"/>
        </w:numPr>
      </w:pPr>
      <w:r>
        <w:t>zbadanie przyczyn możliwego niepowodzenia;</w:t>
      </w:r>
    </w:p>
    <w:p w14:paraId="4CE714D3" w14:textId="77777777" w:rsidR="00C3402C" w:rsidRDefault="00C3402C" w:rsidP="00AA3506">
      <w:pPr>
        <w:pStyle w:val="Akapitzlist"/>
        <w:numPr>
          <w:ilvl w:val="0"/>
          <w:numId w:val="110"/>
        </w:numPr>
      </w:pPr>
      <w:r>
        <w:t>zbadanie i kontrolę odpowiednich pozwoleń i zezwoleń, w oparciu o które wywierana jest presja na stan wód;</w:t>
      </w:r>
    </w:p>
    <w:p w14:paraId="5816BB24" w14:textId="77777777" w:rsidR="00C3402C" w:rsidRDefault="00C3402C" w:rsidP="00AA3506">
      <w:pPr>
        <w:pStyle w:val="Akapitzlist"/>
        <w:numPr>
          <w:ilvl w:val="0"/>
          <w:numId w:val="110"/>
        </w:numPr>
      </w:pPr>
      <w:r>
        <w:t>przegląd i dostosowania programów monitorowania;</w:t>
      </w:r>
    </w:p>
    <w:p w14:paraId="7B1641C5" w14:textId="77777777" w:rsidR="00C3402C" w:rsidRDefault="00C3402C" w:rsidP="00AA3506">
      <w:pPr>
        <w:pStyle w:val="Akapitzlist"/>
        <w:numPr>
          <w:ilvl w:val="0"/>
          <w:numId w:val="110"/>
        </w:numPr>
      </w:pPr>
      <w:r>
        <w:t>podjęcie dodatkowych środków, jakie mogą być konieczne do osiągnięcia celów, zostaną ustalone, włączając, jeżeli to stosowne, ustalenie bardziej restrykcyjnych środowiskowych norm jakości.</w:t>
      </w:r>
    </w:p>
    <w:p w14:paraId="1FE61FC6" w14:textId="77777777" w:rsidR="00C3402C" w:rsidRDefault="00C3402C" w:rsidP="00C3402C">
      <w:pPr>
        <w:suppressAutoHyphens/>
        <w:rPr>
          <w:rFonts w:asciiTheme="minorHAnsi" w:hAnsiTheme="minorHAnsi" w:cstheme="minorHAnsi"/>
        </w:rPr>
      </w:pPr>
      <w:r>
        <w:rPr>
          <w:rFonts w:asciiTheme="minorHAnsi" w:hAnsiTheme="minorHAnsi" w:cstheme="minorHAnsi"/>
        </w:rPr>
        <w:t>Ustawa pr.w. w art. 325 ust. 1 stanowi, że jeżeli wyniki monitoringu wód lub innych danych wskazują, że jest zagrożone osiągnięcie celów środowiskowych:</w:t>
      </w:r>
    </w:p>
    <w:p w14:paraId="5A5DB67C" w14:textId="77777777" w:rsidR="00C3402C" w:rsidRDefault="00C3402C" w:rsidP="00AA3506">
      <w:pPr>
        <w:pStyle w:val="Akapitzlist"/>
        <w:numPr>
          <w:ilvl w:val="0"/>
          <w:numId w:val="111"/>
        </w:numPr>
      </w:pPr>
      <w:r>
        <w:t>dokonuje się analizy przyczyn tych zagrożeń i wprowadza do planu gospodarowania wodami na obszarze dorzecza lub jego aktualizacji działania uzupełniające, o których mowa w art. 324 ust. 4, w tym, jeżeli jest to uzasadnione, ustala się bardziej restrykcyjne środowiskowe normy jakości; w takim przypadku minister właściwy do spraw gospodarki wodnej dokonuje analizy przyczyny zagrożeń i wprowadza do planu gospodarowania wodami na obszarze dorzecza lub jego aktualizacji działania uzupełniające</w:t>
      </w:r>
    </w:p>
    <w:p w14:paraId="582E9ECB" w14:textId="77777777" w:rsidR="00C3402C" w:rsidRDefault="00C3402C" w:rsidP="00AA3506">
      <w:pPr>
        <w:pStyle w:val="Akapitzlist"/>
        <w:numPr>
          <w:ilvl w:val="0"/>
          <w:numId w:val="111"/>
        </w:numPr>
      </w:pPr>
      <w:r>
        <w:t>dokonuje się dodatkowego przeglądu udzielonych pozwoleń wodnoprawnych;</w:t>
      </w:r>
    </w:p>
    <w:p w14:paraId="0F8EB33B" w14:textId="77777777" w:rsidR="00C3402C" w:rsidRDefault="00C3402C" w:rsidP="00AA3506">
      <w:pPr>
        <w:pStyle w:val="Akapitzlist"/>
        <w:numPr>
          <w:ilvl w:val="0"/>
          <w:numId w:val="111"/>
        </w:numPr>
      </w:pPr>
      <w:r>
        <w:t>poddaje się przeglądowi programy monitoringu wód i w razie potrzeby właściwie je dostosowuje w celu zapewnienia osiągnięcia celów środowiskowych.</w:t>
      </w:r>
    </w:p>
    <w:p w14:paraId="3E3F0DE8" w14:textId="77777777" w:rsidR="003E0E49" w:rsidRDefault="00C3402C" w:rsidP="00C3402C">
      <w:pPr>
        <w:suppressAutoHyphens/>
        <w:rPr>
          <w:rFonts w:asciiTheme="minorHAnsi" w:hAnsiTheme="minorHAnsi" w:cstheme="minorHAnsi"/>
        </w:rPr>
      </w:pPr>
      <w:r>
        <w:rPr>
          <w:rFonts w:asciiTheme="minorHAnsi" w:hAnsiTheme="minorHAnsi" w:cstheme="minorHAnsi"/>
        </w:rPr>
        <w:t xml:space="preserve">Ponadto, art. 416 ust. 2 ww. ustawy wskazuje, że jeżeli na podstawie wyników monitoringu wód lub innych danych (w tym danych uzyskanych w toku opracowywania projektu planu gospodarowania wodami na obszarze dorzecza lub jego aktualizacji) minister właściwy do spraw gospodarki wodnej stwierdził, że jest zagrożone osiągnięcie celów środowiskowych, to organ właściwy w sprawach pozwoleń wodnoprawnych dokonuje (w oparciu o dane wskazane przez ministra - art. 325 ust. 4) dodatkowego przeglądu pozwoleń wodnoprawnych na pobór wód lub wprowadzanie ścieków do wód lub do ziemi. </w:t>
      </w:r>
    </w:p>
    <w:p w14:paraId="707E9DF8" w14:textId="1405631D" w:rsidR="00C3402C" w:rsidRDefault="003E0E49" w:rsidP="00C3402C">
      <w:pPr>
        <w:suppressAutoHyphens/>
        <w:rPr>
          <w:rFonts w:asciiTheme="minorHAnsi" w:hAnsiTheme="minorHAnsi" w:cstheme="minorHAnsi"/>
        </w:rPr>
      </w:pPr>
      <w:r w:rsidRPr="003A6EF0">
        <w:rPr>
          <w:rFonts w:asciiTheme="minorHAnsi" w:hAnsiTheme="minorHAnsi" w:cstheme="minorHAnsi"/>
        </w:rPr>
        <w:t>IIaPGW wprowadza działania polegające na przeprowadzeniu dodatkowych przeglądów pozwoleń wodnoprawnych (jcwp i jcwpd), jako działania uzupełniające indywidualne dla poszczególnych jcw w zestawach działań. W obecnym cyklu planistycznym dobór działań oparty był między innymi na ocenie stanu wód z okresu 2014-2019, która w stosunku do oceny stanu stanowiącej podstawę aPGW jest oparta na bardziej rozbudowanym monitoringu stanu wód</w:t>
      </w:r>
      <w:r>
        <w:rPr>
          <w:rFonts w:asciiTheme="minorHAnsi" w:hAnsiTheme="minorHAnsi" w:cstheme="minorHAnsi"/>
        </w:rPr>
        <w:t>.</w:t>
      </w:r>
    </w:p>
    <w:p w14:paraId="447F347F" w14:textId="45FD5C3A" w:rsidR="00C3402C" w:rsidRDefault="00C3402C" w:rsidP="00C3402C">
      <w:pPr>
        <w:suppressAutoHyphens/>
        <w:rPr>
          <w:rFonts w:asciiTheme="minorHAnsi" w:hAnsiTheme="minorHAnsi" w:cstheme="minorHAnsi"/>
          <w:iCs/>
        </w:rPr>
      </w:pPr>
      <w:r>
        <w:rPr>
          <w:rFonts w:asciiTheme="minorHAnsi" w:hAnsiTheme="minorHAnsi" w:cstheme="minorHAnsi"/>
        </w:rPr>
        <w:t xml:space="preserve">Oprócz przeglądu dodatkowego, o którym mowa powyżej, </w:t>
      </w:r>
      <w:r>
        <w:rPr>
          <w:rFonts w:asciiTheme="minorHAnsi" w:hAnsiTheme="minorHAnsi" w:cstheme="minorHAnsi"/>
          <w:iCs/>
        </w:rPr>
        <w:t xml:space="preserve">organy właściwe w sprawach pozwoleń wodnoprawnych w myśl art. 416 ust. 1 </w:t>
      </w:r>
      <w:r w:rsidR="00FA4331">
        <w:rPr>
          <w:rFonts w:asciiTheme="minorHAnsi" w:hAnsiTheme="minorHAnsi" w:cstheme="minorHAnsi"/>
          <w:iCs/>
        </w:rPr>
        <w:t xml:space="preserve">ustawy </w:t>
      </w:r>
      <w:r>
        <w:rPr>
          <w:rFonts w:asciiTheme="minorHAnsi" w:hAnsiTheme="minorHAnsi" w:cstheme="minorHAnsi"/>
          <w:iCs/>
        </w:rPr>
        <w:t>pr.w. dokonują systematycznie, co najmniej raz na 4 lata, przeglądu pozwoleń wodnoprawnych na pobór wód lub wprowadzanie ścieków do wód lub do ziemi, lub do urządzeń kanalizacyjnych, a także realizacji tych pozwoleń. Konsekwencją takiego przeglądu może być również cofnięcie lub ograniczenie pozwolenia (bez odszkodowania), jednak z</w:t>
      </w:r>
      <w:r w:rsidR="007E5892">
        <w:rPr>
          <w:rFonts w:asciiTheme="minorHAnsi" w:hAnsiTheme="minorHAnsi" w:cstheme="minorHAnsi"/>
          <w:iCs/>
        </w:rPr>
        <w:t> </w:t>
      </w:r>
      <w:r>
        <w:rPr>
          <w:rFonts w:asciiTheme="minorHAnsi" w:hAnsiTheme="minorHAnsi" w:cstheme="minorHAnsi"/>
          <w:iCs/>
        </w:rPr>
        <w:t>innych względów niż w przypadku przeglądu dodatkowego. Powodem cofnięcia lub ograniczenia pozwolenia może być np. zmiana celu i zakresu korzystania z wód lub </w:t>
      </w:r>
      <w:r>
        <w:rPr>
          <w:rFonts w:asciiTheme="minorHAnsi" w:hAnsiTheme="minorHAnsi" w:cstheme="minorHAnsi"/>
          <w:bCs/>
          <w:iCs/>
        </w:rPr>
        <w:t>warunków wykonywania uprawnień ustalonych w pozwoleniu wodnoprawnym</w:t>
      </w:r>
      <w:r>
        <w:rPr>
          <w:rFonts w:asciiTheme="minorHAnsi" w:hAnsiTheme="minorHAnsi" w:cstheme="minorHAnsi"/>
          <w:iCs/>
        </w:rPr>
        <w:t xml:space="preserve"> bądź wykonanie urządzenia wodnego niezgodnie z</w:t>
      </w:r>
      <w:r w:rsidR="00CA4CF3">
        <w:rPr>
          <w:rFonts w:asciiTheme="minorHAnsi" w:hAnsiTheme="minorHAnsi" w:cstheme="minorHAnsi"/>
          <w:iCs/>
        </w:rPr>
        <w:t> </w:t>
      </w:r>
      <w:r>
        <w:rPr>
          <w:rFonts w:asciiTheme="minorHAnsi" w:hAnsiTheme="minorHAnsi" w:cstheme="minorHAnsi"/>
          <w:iCs/>
        </w:rPr>
        <w:t xml:space="preserve">warunkami ustalonymi w pozwoleniu (por. art. 415 </w:t>
      </w:r>
      <w:r w:rsidR="00FA4331">
        <w:rPr>
          <w:rFonts w:asciiTheme="minorHAnsi" w:hAnsiTheme="minorHAnsi" w:cstheme="minorHAnsi"/>
          <w:iCs/>
        </w:rPr>
        <w:t xml:space="preserve">ustawy </w:t>
      </w:r>
      <w:r>
        <w:rPr>
          <w:rFonts w:asciiTheme="minorHAnsi" w:hAnsiTheme="minorHAnsi" w:cstheme="minorHAnsi"/>
          <w:iCs/>
        </w:rPr>
        <w:t xml:space="preserve">pr.w.). </w:t>
      </w:r>
    </w:p>
    <w:p w14:paraId="15F0B90B" w14:textId="77777777" w:rsidR="003A6EF0" w:rsidRPr="003A6EF0" w:rsidRDefault="003A6EF0" w:rsidP="003A6EF0">
      <w:pPr>
        <w:suppressAutoHyphens/>
        <w:rPr>
          <w:rFonts w:asciiTheme="minorHAnsi" w:hAnsiTheme="minorHAnsi" w:cstheme="minorHAnsi"/>
        </w:rPr>
      </w:pPr>
      <w:r w:rsidRPr="003A6EF0">
        <w:rPr>
          <w:rFonts w:asciiTheme="minorHAnsi" w:hAnsiTheme="minorHAnsi" w:cstheme="minorHAnsi"/>
        </w:rPr>
        <w:t>Działania w ww. zakresie są prowadzone zgodnie z prawem krajowym, w aPGW przyjęte jako działania o charakterze ciągłym, nie podlegające miarodajnemu systemowi sprawozdawczości i monitorowania.</w:t>
      </w:r>
    </w:p>
    <w:bookmarkEnd w:id="313"/>
    <w:p w14:paraId="465594F4" w14:textId="0F9D5C68" w:rsidR="009E1B50" w:rsidRPr="002D6624" w:rsidRDefault="009E1B50" w:rsidP="009E1B50">
      <w:pPr>
        <w:suppressAutoHyphens/>
        <w:rPr>
          <w:rFonts w:asciiTheme="minorHAnsi" w:hAnsiTheme="minorHAnsi" w:cstheme="minorHAnsi"/>
        </w:rPr>
      </w:pPr>
      <w:r>
        <w:rPr>
          <w:rFonts w:asciiTheme="minorHAnsi" w:hAnsiTheme="minorHAnsi" w:cstheme="minorHAnsi"/>
        </w:rPr>
        <w:t>Podsumowanie działań</w:t>
      </w:r>
      <w:r w:rsidRPr="002D6624">
        <w:t>, o</w:t>
      </w:r>
      <w:r>
        <w:t> </w:t>
      </w:r>
      <w:r w:rsidRPr="002D6624">
        <w:t>których mowa w</w:t>
      </w:r>
      <w:r>
        <w:t> </w:t>
      </w:r>
      <w:r w:rsidRPr="002D6624">
        <w:t xml:space="preserve">art. 325 ust. 1 </w:t>
      </w:r>
      <w:r>
        <w:t>ustawy Prawo wodne przedstawiające informacje o działaniach podjętych i planowanych przedstawia rozdział 13.7 IIaPGW.</w:t>
      </w:r>
    </w:p>
    <w:p w14:paraId="2450675F" w14:textId="15EA21EF" w:rsidR="008A6497" w:rsidRPr="008A6497" w:rsidRDefault="008A6497" w:rsidP="008A6497">
      <w:r>
        <w:br w:type="page"/>
      </w:r>
    </w:p>
    <w:p w14:paraId="1497A092" w14:textId="0228DCF6" w:rsidR="00E4721F" w:rsidRDefault="00E4721F" w:rsidP="00B50FFD">
      <w:pPr>
        <w:pStyle w:val="Nagwek1"/>
      </w:pPr>
      <w:bookmarkStart w:id="314" w:name="_Hlk67271927"/>
      <w:bookmarkStart w:id="315" w:name="_Toc68726879"/>
      <w:r>
        <w:t>Analizy ekonomiczne związane z korzystaniem z wód</w:t>
      </w:r>
      <w:bookmarkEnd w:id="315"/>
    </w:p>
    <w:p w14:paraId="79B06DC3" w14:textId="4DF37741" w:rsidR="00BE0188" w:rsidRPr="001E4D45" w:rsidRDefault="00BE0188" w:rsidP="00BE0188">
      <w:pPr>
        <w:suppressAutoHyphens/>
        <w:ind w:right="113"/>
        <w:rPr>
          <w:rFonts w:cs="Lucida Grande"/>
        </w:rPr>
      </w:pPr>
      <w:r w:rsidRPr="001E4D45">
        <w:rPr>
          <w:rFonts w:cs="Lucida Grande"/>
        </w:rPr>
        <w:t xml:space="preserve">Punktem wyjścia do analiz ekonomicznych są wymogi określone w </w:t>
      </w:r>
      <w:r>
        <w:rPr>
          <w:rFonts w:cs="Lucida Grande"/>
        </w:rPr>
        <w:t>Z</w:t>
      </w:r>
      <w:r w:rsidRPr="001E4D45">
        <w:rPr>
          <w:rFonts w:cs="Lucida Grande"/>
        </w:rPr>
        <w:t>ałączniku III RDW, zgodnie z</w:t>
      </w:r>
      <w:r w:rsidR="00553428">
        <w:rPr>
          <w:rFonts w:cs="Lucida Grande"/>
        </w:rPr>
        <w:t> </w:t>
      </w:r>
      <w:r w:rsidRPr="001E4D45">
        <w:rPr>
          <w:rFonts w:cs="Lucida Grande"/>
        </w:rPr>
        <w:t>którym analiza ekonomiczna zawiera wystarczające informacje o odpowiedniej szczegółowości (uwzględniając koszty związane z zebraniem odpowiednich danych) w celu:</w:t>
      </w:r>
    </w:p>
    <w:p w14:paraId="006FB8B8" w14:textId="77777777" w:rsidR="00BE0188" w:rsidRPr="001E4D45" w:rsidRDefault="00BE0188" w:rsidP="00AA3506">
      <w:pPr>
        <w:numPr>
          <w:ilvl w:val="0"/>
          <w:numId w:val="67"/>
        </w:numPr>
        <w:suppressAutoHyphens/>
        <w:ind w:left="426" w:hanging="426"/>
      </w:pPr>
      <w:r w:rsidRPr="001E4D45">
        <w:t xml:space="preserve">wykonania odpowiednich obliczeń niezbędnych dla uwzględnienia określonej na mocy art. 9 zasady zwrotu kosztów za usługi wodne </w:t>
      </w:r>
      <w:r>
        <w:t>z włączeniem</w:t>
      </w:r>
      <w:r w:rsidRPr="001E4D45">
        <w:t xml:space="preserve"> prognoz długoterminow</w:t>
      </w:r>
      <w:r>
        <w:t>ych</w:t>
      </w:r>
      <w:r w:rsidRPr="001E4D45">
        <w:t xml:space="preserve"> dotycząc</w:t>
      </w:r>
      <w:r>
        <w:t>ych</w:t>
      </w:r>
      <w:r w:rsidRPr="001E4D45">
        <w:t xml:space="preserve"> zaopatrzenia i zapotrzebowania na wodę w obszarze dorzecza oraz w miarę potrzeby:</w:t>
      </w:r>
    </w:p>
    <w:p w14:paraId="590E2D74" w14:textId="77777777" w:rsidR="00BE0188" w:rsidRPr="001E4D45" w:rsidRDefault="00BE0188" w:rsidP="00AA3506">
      <w:pPr>
        <w:numPr>
          <w:ilvl w:val="0"/>
          <w:numId w:val="66"/>
        </w:numPr>
        <w:suppressAutoHyphens/>
        <w:ind w:left="993" w:hanging="567"/>
      </w:pPr>
      <w:r w:rsidRPr="001E4D45">
        <w:t>oszacowania dotyczące wielkości, cen i kosztów związanych z usługami wodnymi</w:t>
      </w:r>
      <w:r>
        <w:t>;</w:t>
      </w:r>
    </w:p>
    <w:p w14:paraId="0FF2A757" w14:textId="77777777" w:rsidR="00BE0188" w:rsidRPr="001E4D45" w:rsidRDefault="00BE0188" w:rsidP="00AA3506">
      <w:pPr>
        <w:numPr>
          <w:ilvl w:val="0"/>
          <w:numId w:val="66"/>
        </w:numPr>
        <w:suppressAutoHyphens/>
        <w:ind w:left="993" w:hanging="567"/>
      </w:pPr>
      <w:r w:rsidRPr="001E4D45">
        <w:t>oszacowania odpowiednich inwestycji, obejmujące prognozowanie takich inwestycji;</w:t>
      </w:r>
    </w:p>
    <w:p w14:paraId="6B0A7EA2" w14:textId="77777777" w:rsidR="00BE0188" w:rsidRPr="001E4D45" w:rsidRDefault="00BE0188" w:rsidP="00AA3506">
      <w:pPr>
        <w:numPr>
          <w:ilvl w:val="0"/>
          <w:numId w:val="67"/>
        </w:numPr>
        <w:suppressAutoHyphens/>
        <w:ind w:left="426" w:hanging="426"/>
      </w:pPr>
      <w:r w:rsidRPr="001E4D45">
        <w:t>dokonania oceny najbardziej efektywnego ekonomicznie połączenia środków w odniesieniu do korzystania z wód, które będą zawarte w programie środków działania na mocy art. 11, opartego na oszacowaniach potencjalnych kosztów takich środków.</w:t>
      </w:r>
    </w:p>
    <w:p w14:paraId="0CA8F861" w14:textId="77777777" w:rsidR="00BE0188" w:rsidRPr="001E4D45" w:rsidRDefault="00BE0188" w:rsidP="00BE0188">
      <w:pPr>
        <w:suppressAutoHyphens/>
        <w:ind w:right="113"/>
        <w:rPr>
          <w:rFonts w:cs="Lucida Grande"/>
        </w:rPr>
      </w:pPr>
      <w:r w:rsidRPr="001E4D45">
        <w:rPr>
          <w:rFonts w:cs="Lucida Grande"/>
        </w:rPr>
        <w:t xml:space="preserve">Powyższe zapisy znalazły swoje odzwierciedlenie w prawodawstwie krajowym. Zgodnie z art. 324 ust. 6 ustawy pr.w. dla potrzeb sporządzania </w:t>
      </w:r>
      <w:r>
        <w:rPr>
          <w:rFonts w:cs="Lucida Grande"/>
        </w:rPr>
        <w:t>planów gospodarowania wodami</w:t>
      </w:r>
      <w:r w:rsidRPr="001E4D45">
        <w:rPr>
          <w:rFonts w:cs="Lucida Grande"/>
        </w:rPr>
        <w:t xml:space="preserve"> przeprowadza się analizy ekonomiczne związane z korzystaniem z wód z uwzględnieniem zasady zwrotu kosztów usług wodnych oraz długoterminowych prognoz, dotyczących możliwości zaspokojenia potrzeb w zakresie korzystania z zasobów wodnych na obszarze dorzecza, obejmujących śródlądowe wody powierzchniowe i wody podziemne, morskie wody wewnętrzne oraz wody przejściowe i wody przybrzeżne znajdujące się na obszarze dorzecza.</w:t>
      </w:r>
    </w:p>
    <w:p w14:paraId="494D4787" w14:textId="2DCEBF10" w:rsidR="00BE0188" w:rsidRPr="001E4D45" w:rsidRDefault="00BE0188" w:rsidP="00BE0188">
      <w:pPr>
        <w:suppressAutoHyphens/>
        <w:ind w:right="113"/>
        <w:rPr>
          <w:rFonts w:cs="Lucida Grande"/>
        </w:rPr>
      </w:pPr>
      <w:r w:rsidRPr="001E4D45">
        <w:rPr>
          <w:rFonts w:cs="Lucida Grande"/>
        </w:rPr>
        <w:t>Z kolei w par. 5 pkt 1 r.p.g.w. wskazuje się, ż</w:t>
      </w:r>
      <w:r>
        <w:rPr>
          <w:rFonts w:cs="Lucida Grande"/>
        </w:rPr>
        <w:t>e</w:t>
      </w:r>
      <w:r w:rsidRPr="001E4D45">
        <w:rPr>
          <w:rFonts w:cs="Lucida Grande"/>
        </w:rPr>
        <w:t xml:space="preserve"> zakres analiz ekonomicznych, o</w:t>
      </w:r>
      <w:r>
        <w:rPr>
          <w:rFonts w:cs="Lucida Grande"/>
        </w:rPr>
        <w:t xml:space="preserve"> </w:t>
      </w:r>
      <w:r w:rsidRPr="001E4D45">
        <w:rPr>
          <w:rFonts w:cs="Lucida Grande"/>
        </w:rPr>
        <w:t>których mowa w</w:t>
      </w:r>
      <w:r>
        <w:rPr>
          <w:rFonts w:cs="Lucida Grande"/>
        </w:rPr>
        <w:t xml:space="preserve"> </w:t>
      </w:r>
      <w:r w:rsidRPr="001E4D45">
        <w:rPr>
          <w:rFonts w:cs="Lucida Grande"/>
        </w:rPr>
        <w:t>art.</w:t>
      </w:r>
      <w:r w:rsidR="00553428">
        <w:rPr>
          <w:rFonts w:cs="Lucida Grande"/>
        </w:rPr>
        <w:t> </w:t>
      </w:r>
      <w:r w:rsidRPr="001E4D45">
        <w:rPr>
          <w:rFonts w:cs="Lucida Grande"/>
        </w:rPr>
        <w:t>324 ust.</w:t>
      </w:r>
      <w:r>
        <w:rPr>
          <w:rFonts w:cs="Lucida Grande"/>
        </w:rPr>
        <w:t xml:space="preserve"> </w:t>
      </w:r>
      <w:r w:rsidRPr="001E4D45">
        <w:rPr>
          <w:rFonts w:cs="Lucida Grande"/>
        </w:rPr>
        <w:t>6 ustawy pr.w., związanych z</w:t>
      </w:r>
      <w:r>
        <w:rPr>
          <w:rFonts w:cs="Lucida Grande"/>
        </w:rPr>
        <w:t xml:space="preserve"> </w:t>
      </w:r>
      <w:r w:rsidRPr="001E4D45">
        <w:rPr>
          <w:rFonts w:cs="Lucida Grande"/>
        </w:rPr>
        <w:t>korzystaniem z</w:t>
      </w:r>
      <w:r>
        <w:rPr>
          <w:rFonts w:cs="Lucida Grande"/>
        </w:rPr>
        <w:t xml:space="preserve"> </w:t>
      </w:r>
      <w:r w:rsidRPr="001E4D45">
        <w:rPr>
          <w:rFonts w:cs="Lucida Grande"/>
        </w:rPr>
        <w:t>wód</w:t>
      </w:r>
      <w:r>
        <w:rPr>
          <w:rFonts w:cs="Lucida Grande"/>
        </w:rPr>
        <w:t>,</w:t>
      </w:r>
      <w:r w:rsidRPr="001E4D45">
        <w:rPr>
          <w:rFonts w:cs="Lucida Grande"/>
        </w:rPr>
        <w:t xml:space="preserve"> obejmuje:</w:t>
      </w:r>
    </w:p>
    <w:p w14:paraId="34BDD8EA" w14:textId="77777777" w:rsidR="00BE0188" w:rsidRPr="001E4D45" w:rsidRDefault="00BE0188" w:rsidP="00AA3506">
      <w:pPr>
        <w:numPr>
          <w:ilvl w:val="0"/>
          <w:numId w:val="66"/>
        </w:numPr>
        <w:suppressAutoHyphens/>
        <w:ind w:left="567" w:hanging="567"/>
      </w:pPr>
      <w:r w:rsidRPr="001E4D45">
        <w:t>analizę usług wodnych na obszarze dorzecza i</w:t>
      </w:r>
      <w:r>
        <w:t xml:space="preserve"> </w:t>
      </w:r>
      <w:r w:rsidRPr="001E4D45">
        <w:t>stopnia zwrotu ich kosztów przy uwzględnieniu wkładu wniesionego przez użytkowników wód oraz kosztów środowiskowych i</w:t>
      </w:r>
      <w:r>
        <w:t xml:space="preserve"> </w:t>
      </w:r>
      <w:r w:rsidRPr="001E4D45">
        <w:t>zasobowych;</w:t>
      </w:r>
    </w:p>
    <w:p w14:paraId="72375ECC" w14:textId="77777777" w:rsidR="00BE0188" w:rsidRPr="001E4D45" w:rsidRDefault="00BE0188" w:rsidP="00AA3506">
      <w:pPr>
        <w:numPr>
          <w:ilvl w:val="0"/>
          <w:numId w:val="66"/>
        </w:numPr>
        <w:suppressAutoHyphens/>
        <w:ind w:left="567" w:hanging="567"/>
      </w:pPr>
      <w:r w:rsidRPr="001E4D45">
        <w:t>informacje związane z</w:t>
      </w:r>
      <w:r>
        <w:t xml:space="preserve"> </w:t>
      </w:r>
      <w:r w:rsidRPr="001E4D45">
        <w:t>dokonaniem wyboru najefektywniejszych ekonomicznie kombinacji działań odnoszących się do sposobów korzystania z</w:t>
      </w:r>
      <w:r>
        <w:t xml:space="preserve"> </w:t>
      </w:r>
      <w:r w:rsidRPr="001E4D45">
        <w:t>wód i</w:t>
      </w:r>
      <w:r>
        <w:t xml:space="preserve"> </w:t>
      </w:r>
      <w:r w:rsidRPr="001E4D45">
        <w:t>zawartych w</w:t>
      </w:r>
      <w:r>
        <w:t xml:space="preserve"> </w:t>
      </w:r>
      <w:r w:rsidRPr="001E4D45">
        <w:t>zestawie działań, o którym mowa w art. 318 ust. 1 pkt 7 ustawy pr.w., opartego na oszacowaniach potencjalnych kosztów tych działań i uwzględniającego wkład wniesiony przez użytkowników wód.</w:t>
      </w:r>
    </w:p>
    <w:p w14:paraId="513CB77D" w14:textId="77777777" w:rsidR="00BE0188" w:rsidRPr="001E4D45" w:rsidRDefault="00BE0188" w:rsidP="00BE0188">
      <w:pPr>
        <w:suppressAutoHyphens/>
        <w:ind w:right="113"/>
        <w:rPr>
          <w:rFonts w:cs="Lucida Grande"/>
        </w:rPr>
      </w:pPr>
      <w:r w:rsidRPr="001E4D45">
        <w:rPr>
          <w:rFonts w:cs="Lucida Grande"/>
        </w:rPr>
        <w:t>Mając powyższe na uwadze</w:t>
      </w:r>
      <w:r>
        <w:rPr>
          <w:rFonts w:cs="Lucida Grande"/>
        </w:rPr>
        <w:t>,</w:t>
      </w:r>
      <w:r w:rsidRPr="001E4D45">
        <w:rPr>
          <w:rFonts w:cs="Lucida Grande"/>
        </w:rPr>
        <w:t xml:space="preserve"> koncepcja podejścia do analiz zosta</w:t>
      </w:r>
      <w:r>
        <w:rPr>
          <w:rFonts w:cs="Lucida Grande"/>
        </w:rPr>
        <w:t>ła przedstawiona w podzia</w:t>
      </w:r>
      <w:r w:rsidRPr="001E4D45">
        <w:rPr>
          <w:rFonts w:cs="Lucida Grande"/>
        </w:rPr>
        <w:t>l</w:t>
      </w:r>
      <w:r>
        <w:rPr>
          <w:rFonts w:cs="Lucida Grande"/>
        </w:rPr>
        <w:t>e</w:t>
      </w:r>
      <w:r w:rsidRPr="001E4D45">
        <w:rPr>
          <w:rFonts w:cs="Lucida Grande"/>
        </w:rPr>
        <w:t xml:space="preserve"> na następujące obszary:</w:t>
      </w:r>
    </w:p>
    <w:p w14:paraId="21580829" w14:textId="77777777" w:rsidR="00BE0188" w:rsidRPr="001E4D45" w:rsidRDefault="00BE0188" w:rsidP="00AA3506">
      <w:pPr>
        <w:numPr>
          <w:ilvl w:val="0"/>
          <w:numId w:val="66"/>
        </w:numPr>
        <w:suppressAutoHyphens/>
        <w:ind w:left="567" w:hanging="567"/>
      </w:pPr>
      <w:r w:rsidRPr="001E4D45">
        <w:t>analiza zwrotu kosztów usług wodnych,</w:t>
      </w:r>
    </w:p>
    <w:p w14:paraId="493DC6E4" w14:textId="60C2F964" w:rsidR="00BE0188" w:rsidRPr="001E4D45" w:rsidRDefault="00BE0188" w:rsidP="00AA3506">
      <w:pPr>
        <w:numPr>
          <w:ilvl w:val="0"/>
          <w:numId w:val="66"/>
        </w:numPr>
        <w:suppressAutoHyphens/>
        <w:ind w:left="567" w:hanging="567"/>
      </w:pPr>
      <w:r w:rsidRPr="001E4D45">
        <w:t xml:space="preserve">analiza efektywności kosztowej poszczególnych działań w celu wyboru najefektywniejszej ekonomicznie kombinacji działań </w:t>
      </w:r>
      <w:r w:rsidR="006C4947">
        <w:t>-</w:t>
      </w:r>
      <w:r w:rsidRPr="001E4D45">
        <w:t xml:space="preserve"> stanowiąca element opracowywania zestawów działań,</w:t>
      </w:r>
    </w:p>
    <w:p w14:paraId="6203E2EE" w14:textId="77777777" w:rsidR="00BE0188" w:rsidRPr="001E4D45" w:rsidRDefault="00BE0188" w:rsidP="00AA3506">
      <w:pPr>
        <w:numPr>
          <w:ilvl w:val="0"/>
          <w:numId w:val="66"/>
        </w:numPr>
        <w:suppressAutoHyphens/>
        <w:ind w:left="567" w:hanging="567"/>
      </w:pPr>
      <w:r w:rsidRPr="001E4D45">
        <w:t>analiza ekonomiczna kosztów i korzyści, będąca uzupełnieniem procesu decyzyjnego w zakresie wyboru najefektywniejszej ekonomicznie kombinacji działań.</w:t>
      </w:r>
    </w:p>
    <w:p w14:paraId="4A25B6F3" w14:textId="77777777" w:rsidR="00BE0188" w:rsidRPr="001E4D45" w:rsidRDefault="00BE0188" w:rsidP="00B50FFD">
      <w:pPr>
        <w:pStyle w:val="Nagwek2"/>
      </w:pPr>
      <w:bookmarkStart w:id="316" w:name="_Toc63632746"/>
      <w:r>
        <w:br w:type="page"/>
      </w:r>
      <w:bookmarkStart w:id="317" w:name="_Toc68726880"/>
      <w:r w:rsidRPr="001E4D45">
        <w:t>Analiza zwrotu kosztów usług wodnych</w:t>
      </w:r>
      <w:bookmarkEnd w:id="316"/>
      <w:bookmarkEnd w:id="317"/>
    </w:p>
    <w:p w14:paraId="23E87719" w14:textId="4C50CF14" w:rsidR="00BE0188" w:rsidRPr="00201295" w:rsidRDefault="00BE0188" w:rsidP="00B50FFD">
      <w:pPr>
        <w:pStyle w:val="Nagwek3"/>
      </w:pPr>
      <w:bookmarkStart w:id="318" w:name="_Toc63632747"/>
      <w:bookmarkStart w:id="319" w:name="_Toc68726881"/>
      <w:r w:rsidRPr="00201295">
        <w:t xml:space="preserve">Zinternalizowane koszty zasobowe </w:t>
      </w:r>
      <w:r w:rsidR="006C4947">
        <w:t>-</w:t>
      </w:r>
      <w:r w:rsidRPr="00201295">
        <w:t xml:space="preserve"> opłaty za usługi wodne </w:t>
      </w:r>
      <w:r>
        <w:t xml:space="preserve">w Polsce </w:t>
      </w:r>
      <w:r w:rsidRPr="00201295">
        <w:t>w 2019 r.</w:t>
      </w:r>
      <w:bookmarkEnd w:id="318"/>
      <w:bookmarkEnd w:id="319"/>
    </w:p>
    <w:p w14:paraId="282DC65C" w14:textId="18BB7320" w:rsidR="00BE0188" w:rsidRPr="001E4D45" w:rsidRDefault="00BE0188" w:rsidP="003C76C5">
      <w:r w:rsidRPr="001E4D45">
        <w:t>W 2019 r. użytkownicy wód uiścili łącznie 568,3 mln zł tytułem opłat za usługi wodne, z czego opłaty stałe</w:t>
      </w:r>
      <w:r w:rsidR="00447BDA">
        <w:t xml:space="preserve">, </w:t>
      </w:r>
      <w:r w:rsidR="00447BDA" w:rsidRPr="00313505">
        <w:t>których podstawę stanowi pozwolenie wodnoprawne lub pozwolenie zintegrowane</w:t>
      </w:r>
      <w:r w:rsidR="00447BDA">
        <w:t>,</w:t>
      </w:r>
      <w:r w:rsidRPr="001E4D45">
        <w:t xml:space="preserve"> wyniosły 15,8 mln zł</w:t>
      </w:r>
      <w:r w:rsidR="00156C67">
        <w:t xml:space="preserve"> (tabela 11-1)</w:t>
      </w:r>
      <w:r w:rsidRPr="001E4D45">
        <w:t>, a opłaty zmienne</w:t>
      </w:r>
      <w:r w:rsidR="00447BDA">
        <w:t xml:space="preserve">, </w:t>
      </w:r>
      <w:r w:rsidR="00447BDA" w:rsidRPr="00313505">
        <w:t>które zależą od faktycznego zakresu korzystania z wód,</w:t>
      </w:r>
      <w:r w:rsidRPr="001E4D45">
        <w:t xml:space="preserve"> 552,5 mln zł</w:t>
      </w:r>
      <w:r w:rsidR="00156C67">
        <w:t xml:space="preserve"> (tabela 11-2)</w:t>
      </w:r>
      <w:r w:rsidRPr="001E4D45">
        <w:t>.</w:t>
      </w:r>
      <w:r w:rsidR="00156C67">
        <w:t xml:space="preserve"> Wysokość opłat jednostkowych za usługi wodne w 2019 r. przedstawia tabela 11-3.</w:t>
      </w:r>
    </w:p>
    <w:p w14:paraId="7ADCA66C" w14:textId="2F1BF6B2" w:rsidR="0007044D" w:rsidRDefault="0007044D" w:rsidP="006802BB">
      <w:pPr>
        <w:pStyle w:val="Tabela"/>
      </w:pPr>
      <w:bookmarkStart w:id="320" w:name="_Toc68727013"/>
      <w:r>
        <w:t xml:space="preserve">Tabela </w:t>
      </w:r>
      <w:fldSimple w:instr=" STYLEREF 1 \s ">
        <w:r w:rsidR="007B4050">
          <w:rPr>
            <w:noProof/>
          </w:rPr>
          <w:t>11</w:t>
        </w:r>
      </w:fldSimple>
      <w:r w:rsidR="007B4050">
        <w:noBreakHyphen/>
      </w:r>
      <w:fldSimple w:instr=" SEQ Tabela \* ARABIC \s 1 ">
        <w:r w:rsidR="007B4050">
          <w:rPr>
            <w:noProof/>
          </w:rPr>
          <w:t>1</w:t>
        </w:r>
      </w:fldSimple>
      <w:r>
        <w:tab/>
      </w:r>
      <w:r w:rsidRPr="001E4D45">
        <w:t>Opłaty stałe za usługi wodne</w:t>
      </w:r>
      <w:r>
        <w:t>,</w:t>
      </w:r>
      <w:r w:rsidRPr="001E4D45">
        <w:t xml:space="preserve"> uiszczone w 2019 r.</w:t>
      </w:r>
      <w:bookmarkEnd w:id="3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976"/>
      </w:tblGrid>
      <w:tr w:rsidR="00BE0188" w:rsidRPr="001E4D45" w14:paraId="41CA00A8" w14:textId="77777777" w:rsidTr="00B41FF9">
        <w:trPr>
          <w:trHeight w:val="304"/>
          <w:tblHeader/>
        </w:trPr>
        <w:tc>
          <w:tcPr>
            <w:tcW w:w="6946" w:type="dxa"/>
            <w:shd w:val="clear" w:color="auto" w:fill="BFBFBF" w:themeFill="background1" w:themeFillShade="BF"/>
            <w:vAlign w:val="center"/>
          </w:tcPr>
          <w:p w14:paraId="78904EF5" w14:textId="77777777" w:rsidR="00BE0188" w:rsidRPr="001E4D45" w:rsidRDefault="00BE0188" w:rsidP="00B41FF9">
            <w:pPr>
              <w:suppressAutoHyphens/>
              <w:jc w:val="center"/>
              <w:rPr>
                <w:b/>
                <w:bCs/>
                <w:sz w:val="20"/>
                <w:szCs w:val="20"/>
              </w:rPr>
            </w:pPr>
            <w:r w:rsidRPr="001E4D45">
              <w:rPr>
                <w:rFonts w:cs="Calibri"/>
                <w:b/>
                <w:bCs/>
                <w:sz w:val="20"/>
                <w:szCs w:val="20"/>
              </w:rPr>
              <w:t>Rodzaj usługi wodnej</w:t>
            </w:r>
          </w:p>
        </w:tc>
        <w:tc>
          <w:tcPr>
            <w:tcW w:w="1976" w:type="dxa"/>
            <w:shd w:val="clear" w:color="auto" w:fill="BFBFBF" w:themeFill="background1" w:themeFillShade="BF"/>
            <w:vAlign w:val="center"/>
          </w:tcPr>
          <w:p w14:paraId="53320A82" w14:textId="788D638A" w:rsidR="00BE0188" w:rsidRPr="001E4D45" w:rsidRDefault="00BE0188" w:rsidP="00840CCD">
            <w:pPr>
              <w:suppressAutoHyphens/>
              <w:jc w:val="center"/>
              <w:rPr>
                <w:b/>
                <w:bCs/>
                <w:sz w:val="20"/>
                <w:szCs w:val="20"/>
              </w:rPr>
            </w:pPr>
            <w:r w:rsidRPr="001E4D45">
              <w:rPr>
                <w:rFonts w:cs="Calibri"/>
                <w:b/>
                <w:bCs/>
                <w:sz w:val="20"/>
                <w:szCs w:val="20"/>
              </w:rPr>
              <w:t xml:space="preserve">Suma </w:t>
            </w:r>
            <w:r w:rsidR="00B41FF9">
              <w:rPr>
                <w:rFonts w:cs="Calibri"/>
                <w:b/>
                <w:bCs/>
                <w:sz w:val="20"/>
                <w:szCs w:val="20"/>
              </w:rPr>
              <w:t>(</w:t>
            </w:r>
            <w:r w:rsidRPr="001E4D45">
              <w:rPr>
                <w:rFonts w:cs="Calibri"/>
                <w:b/>
                <w:bCs/>
                <w:sz w:val="20"/>
                <w:szCs w:val="20"/>
              </w:rPr>
              <w:t>zł</w:t>
            </w:r>
            <w:r w:rsidR="00B41FF9">
              <w:rPr>
                <w:rFonts w:cs="Calibri"/>
                <w:b/>
                <w:bCs/>
                <w:sz w:val="20"/>
                <w:szCs w:val="20"/>
              </w:rPr>
              <w:t>)</w:t>
            </w:r>
          </w:p>
        </w:tc>
      </w:tr>
      <w:tr w:rsidR="00BE0188" w:rsidRPr="001E4D45" w14:paraId="7D4F70F5" w14:textId="77777777" w:rsidTr="00840CCD">
        <w:trPr>
          <w:trHeight w:val="304"/>
        </w:trPr>
        <w:tc>
          <w:tcPr>
            <w:tcW w:w="6946" w:type="dxa"/>
            <w:shd w:val="clear" w:color="auto" w:fill="auto"/>
            <w:vAlign w:val="bottom"/>
          </w:tcPr>
          <w:p w14:paraId="7D88084A" w14:textId="77777777" w:rsidR="00BE0188" w:rsidRPr="001E4D45" w:rsidRDefault="00BE0188" w:rsidP="00840CCD">
            <w:pPr>
              <w:suppressAutoHyphens/>
              <w:rPr>
                <w:bCs/>
                <w:sz w:val="20"/>
                <w:szCs w:val="20"/>
              </w:rPr>
            </w:pPr>
            <w:r w:rsidRPr="001E4D45">
              <w:rPr>
                <w:rFonts w:cs="Calibri"/>
                <w:sz w:val="20"/>
                <w:szCs w:val="20"/>
              </w:rPr>
              <w:t>Pobór wód powierzchniowych</w:t>
            </w:r>
          </w:p>
        </w:tc>
        <w:tc>
          <w:tcPr>
            <w:tcW w:w="1976" w:type="dxa"/>
            <w:shd w:val="clear" w:color="auto" w:fill="auto"/>
            <w:vAlign w:val="bottom"/>
          </w:tcPr>
          <w:p w14:paraId="66B30839" w14:textId="77777777" w:rsidR="00BE0188" w:rsidRPr="001E4D45" w:rsidRDefault="00BE0188" w:rsidP="00840CCD">
            <w:pPr>
              <w:suppressAutoHyphens/>
              <w:jc w:val="center"/>
              <w:rPr>
                <w:sz w:val="20"/>
                <w:szCs w:val="20"/>
              </w:rPr>
            </w:pPr>
            <w:r w:rsidRPr="001E4D45">
              <w:rPr>
                <w:rFonts w:cs="Calibri"/>
                <w:sz w:val="20"/>
                <w:szCs w:val="20"/>
              </w:rPr>
              <w:t>2 875 126</w:t>
            </w:r>
          </w:p>
        </w:tc>
      </w:tr>
      <w:tr w:rsidR="00BE0188" w:rsidRPr="001E4D45" w14:paraId="26CB5CF5" w14:textId="77777777" w:rsidTr="00840CCD">
        <w:trPr>
          <w:trHeight w:val="304"/>
        </w:trPr>
        <w:tc>
          <w:tcPr>
            <w:tcW w:w="6946" w:type="dxa"/>
            <w:shd w:val="clear" w:color="auto" w:fill="auto"/>
            <w:vAlign w:val="bottom"/>
          </w:tcPr>
          <w:p w14:paraId="6BAD69AD" w14:textId="77777777" w:rsidR="00BE0188" w:rsidRPr="001E4D45" w:rsidRDefault="00BE0188" w:rsidP="00840CCD">
            <w:pPr>
              <w:tabs>
                <w:tab w:val="right" w:pos="2852"/>
              </w:tabs>
              <w:suppressAutoHyphens/>
              <w:rPr>
                <w:bCs/>
                <w:sz w:val="20"/>
                <w:szCs w:val="20"/>
              </w:rPr>
            </w:pPr>
            <w:r w:rsidRPr="001E4D45">
              <w:rPr>
                <w:rFonts w:cs="Calibri"/>
                <w:sz w:val="20"/>
                <w:szCs w:val="20"/>
              </w:rPr>
              <w:t>Pobór wód podziemnych</w:t>
            </w:r>
          </w:p>
        </w:tc>
        <w:tc>
          <w:tcPr>
            <w:tcW w:w="1976" w:type="dxa"/>
            <w:shd w:val="clear" w:color="auto" w:fill="auto"/>
            <w:vAlign w:val="bottom"/>
          </w:tcPr>
          <w:p w14:paraId="76BC09A8" w14:textId="77777777" w:rsidR="00BE0188" w:rsidRPr="001E4D45" w:rsidRDefault="00BE0188" w:rsidP="00840CCD">
            <w:pPr>
              <w:suppressAutoHyphens/>
              <w:jc w:val="center"/>
              <w:rPr>
                <w:sz w:val="20"/>
                <w:szCs w:val="20"/>
              </w:rPr>
            </w:pPr>
            <w:r w:rsidRPr="001E4D45">
              <w:rPr>
                <w:rFonts w:cs="Calibri"/>
                <w:sz w:val="20"/>
                <w:szCs w:val="20"/>
              </w:rPr>
              <w:t>6 223 589</w:t>
            </w:r>
          </w:p>
        </w:tc>
      </w:tr>
      <w:tr w:rsidR="00BE0188" w:rsidRPr="001E4D45" w14:paraId="4676C714" w14:textId="77777777" w:rsidTr="00840CCD">
        <w:trPr>
          <w:trHeight w:val="304"/>
        </w:trPr>
        <w:tc>
          <w:tcPr>
            <w:tcW w:w="6946" w:type="dxa"/>
            <w:shd w:val="clear" w:color="auto" w:fill="auto"/>
            <w:vAlign w:val="bottom"/>
          </w:tcPr>
          <w:p w14:paraId="62B9DE45" w14:textId="77777777" w:rsidR="00BE0188" w:rsidRPr="001E4D45" w:rsidRDefault="00BE0188" w:rsidP="00840CCD">
            <w:pPr>
              <w:suppressAutoHyphens/>
              <w:rPr>
                <w:bCs/>
                <w:sz w:val="20"/>
                <w:szCs w:val="20"/>
              </w:rPr>
            </w:pPr>
            <w:r w:rsidRPr="001E4D45">
              <w:rPr>
                <w:rFonts w:cs="Calibri"/>
                <w:sz w:val="20"/>
                <w:szCs w:val="20"/>
              </w:rPr>
              <w:t>Wprowadzanie ścieków</w:t>
            </w:r>
          </w:p>
        </w:tc>
        <w:tc>
          <w:tcPr>
            <w:tcW w:w="1976" w:type="dxa"/>
            <w:shd w:val="clear" w:color="auto" w:fill="auto"/>
            <w:vAlign w:val="bottom"/>
          </w:tcPr>
          <w:p w14:paraId="0F90F0E9" w14:textId="77777777" w:rsidR="00BE0188" w:rsidRPr="001E4D45" w:rsidRDefault="00BE0188" w:rsidP="00840CCD">
            <w:pPr>
              <w:suppressAutoHyphens/>
              <w:jc w:val="center"/>
              <w:rPr>
                <w:sz w:val="20"/>
                <w:szCs w:val="20"/>
              </w:rPr>
            </w:pPr>
            <w:r w:rsidRPr="001E4D45">
              <w:rPr>
                <w:rFonts w:cs="Calibri"/>
                <w:sz w:val="20"/>
                <w:szCs w:val="20"/>
              </w:rPr>
              <w:t>5 033 857</w:t>
            </w:r>
          </w:p>
        </w:tc>
      </w:tr>
      <w:tr w:rsidR="00BE0188" w:rsidRPr="001E4D45" w14:paraId="290F0726" w14:textId="77777777" w:rsidTr="00840CCD">
        <w:trPr>
          <w:trHeight w:val="304"/>
        </w:trPr>
        <w:tc>
          <w:tcPr>
            <w:tcW w:w="6946" w:type="dxa"/>
            <w:shd w:val="clear" w:color="auto" w:fill="auto"/>
            <w:vAlign w:val="bottom"/>
          </w:tcPr>
          <w:p w14:paraId="55C01917" w14:textId="77777777" w:rsidR="00BE0188" w:rsidRPr="001E4D45" w:rsidRDefault="00BE0188" w:rsidP="00840CCD">
            <w:pPr>
              <w:suppressAutoHyphens/>
              <w:rPr>
                <w:bCs/>
                <w:sz w:val="20"/>
                <w:szCs w:val="20"/>
              </w:rPr>
            </w:pPr>
            <w:r w:rsidRPr="001E4D45">
              <w:rPr>
                <w:rFonts w:cs="Calibri"/>
                <w:sz w:val="20"/>
                <w:szCs w:val="20"/>
              </w:rPr>
              <w:t>Odprowadzanie do wód wód pochodzących z odwodnienia gruntów</w:t>
            </w:r>
          </w:p>
        </w:tc>
        <w:tc>
          <w:tcPr>
            <w:tcW w:w="1976" w:type="dxa"/>
            <w:shd w:val="clear" w:color="auto" w:fill="auto"/>
            <w:vAlign w:val="bottom"/>
          </w:tcPr>
          <w:p w14:paraId="458F647E" w14:textId="77777777" w:rsidR="00BE0188" w:rsidRPr="001E4D45" w:rsidRDefault="00BE0188" w:rsidP="00840CCD">
            <w:pPr>
              <w:suppressAutoHyphens/>
              <w:jc w:val="center"/>
              <w:rPr>
                <w:sz w:val="20"/>
                <w:szCs w:val="20"/>
              </w:rPr>
            </w:pPr>
            <w:r w:rsidRPr="001E4D45">
              <w:rPr>
                <w:rFonts w:cs="Calibri"/>
                <w:sz w:val="20"/>
                <w:szCs w:val="20"/>
              </w:rPr>
              <w:t>104</w:t>
            </w:r>
          </w:p>
        </w:tc>
      </w:tr>
      <w:tr w:rsidR="00BE0188" w:rsidRPr="001E4D45" w14:paraId="2D62CAC1" w14:textId="77777777" w:rsidTr="00840CCD">
        <w:trPr>
          <w:trHeight w:val="304"/>
        </w:trPr>
        <w:tc>
          <w:tcPr>
            <w:tcW w:w="6946" w:type="dxa"/>
            <w:shd w:val="clear" w:color="auto" w:fill="auto"/>
            <w:vAlign w:val="bottom"/>
          </w:tcPr>
          <w:p w14:paraId="4091FA52" w14:textId="77777777" w:rsidR="00BE0188" w:rsidRPr="001E4D45" w:rsidRDefault="00BE0188" w:rsidP="00840CCD">
            <w:pPr>
              <w:suppressAutoHyphens/>
              <w:rPr>
                <w:bCs/>
                <w:sz w:val="20"/>
                <w:szCs w:val="20"/>
              </w:rPr>
            </w:pPr>
            <w:r w:rsidRPr="001E4D45">
              <w:rPr>
                <w:rFonts w:cs="Calibri"/>
                <w:sz w:val="20"/>
                <w:szCs w:val="20"/>
              </w:rPr>
              <w:t>Odprowadzanie do wód wód opadowych lub roztopowych</w:t>
            </w:r>
          </w:p>
        </w:tc>
        <w:tc>
          <w:tcPr>
            <w:tcW w:w="1976" w:type="dxa"/>
            <w:shd w:val="clear" w:color="auto" w:fill="auto"/>
            <w:vAlign w:val="bottom"/>
          </w:tcPr>
          <w:p w14:paraId="3B3CFA80" w14:textId="77777777" w:rsidR="00BE0188" w:rsidRPr="001E4D45" w:rsidRDefault="00BE0188" w:rsidP="00840CCD">
            <w:pPr>
              <w:suppressAutoHyphens/>
              <w:jc w:val="center"/>
              <w:rPr>
                <w:sz w:val="20"/>
                <w:szCs w:val="20"/>
              </w:rPr>
            </w:pPr>
            <w:r w:rsidRPr="001E4D45">
              <w:rPr>
                <w:rFonts w:cs="Calibri"/>
                <w:sz w:val="20"/>
                <w:szCs w:val="20"/>
              </w:rPr>
              <w:t>840 170</w:t>
            </w:r>
          </w:p>
        </w:tc>
      </w:tr>
      <w:tr w:rsidR="00BE0188" w:rsidRPr="001E4D45" w14:paraId="4F634D20" w14:textId="77777777" w:rsidTr="00840CCD">
        <w:trPr>
          <w:trHeight w:val="304"/>
        </w:trPr>
        <w:tc>
          <w:tcPr>
            <w:tcW w:w="6946" w:type="dxa"/>
            <w:shd w:val="clear" w:color="auto" w:fill="auto"/>
            <w:vAlign w:val="bottom"/>
          </w:tcPr>
          <w:p w14:paraId="4209282D" w14:textId="77777777" w:rsidR="00BE0188" w:rsidRPr="001E4D45" w:rsidRDefault="00BE0188" w:rsidP="00840CCD">
            <w:pPr>
              <w:suppressAutoHyphens/>
              <w:rPr>
                <w:bCs/>
                <w:sz w:val="20"/>
                <w:szCs w:val="20"/>
              </w:rPr>
            </w:pPr>
            <w:r w:rsidRPr="001E4D45">
              <w:rPr>
                <w:rFonts w:cs="Calibri"/>
                <w:sz w:val="20"/>
                <w:szCs w:val="20"/>
              </w:rPr>
              <w:t>Pobór wód podziemnych do wytwarzania energii</w:t>
            </w:r>
          </w:p>
        </w:tc>
        <w:tc>
          <w:tcPr>
            <w:tcW w:w="1976" w:type="dxa"/>
            <w:shd w:val="clear" w:color="auto" w:fill="auto"/>
            <w:vAlign w:val="bottom"/>
          </w:tcPr>
          <w:p w14:paraId="74572CEC" w14:textId="77777777" w:rsidR="00BE0188" w:rsidRPr="001E4D45" w:rsidRDefault="00BE0188" w:rsidP="00840CCD">
            <w:pPr>
              <w:suppressAutoHyphens/>
              <w:jc w:val="center"/>
              <w:rPr>
                <w:sz w:val="20"/>
                <w:szCs w:val="20"/>
              </w:rPr>
            </w:pPr>
            <w:r w:rsidRPr="001E4D45">
              <w:rPr>
                <w:rFonts w:cs="Calibri"/>
                <w:sz w:val="20"/>
                <w:szCs w:val="20"/>
              </w:rPr>
              <w:t>1325</w:t>
            </w:r>
          </w:p>
        </w:tc>
      </w:tr>
      <w:tr w:rsidR="00BE0188" w:rsidRPr="001E4D45" w14:paraId="2E37EA9E" w14:textId="77777777" w:rsidTr="00840CCD">
        <w:trPr>
          <w:trHeight w:val="304"/>
        </w:trPr>
        <w:tc>
          <w:tcPr>
            <w:tcW w:w="6946" w:type="dxa"/>
            <w:shd w:val="clear" w:color="auto" w:fill="auto"/>
            <w:vAlign w:val="bottom"/>
          </w:tcPr>
          <w:p w14:paraId="2F9293FA" w14:textId="77777777" w:rsidR="00BE0188" w:rsidRPr="001E4D45" w:rsidRDefault="00BE0188" w:rsidP="00840CCD">
            <w:pPr>
              <w:suppressAutoHyphens/>
              <w:rPr>
                <w:bCs/>
                <w:sz w:val="20"/>
                <w:szCs w:val="20"/>
              </w:rPr>
            </w:pPr>
            <w:r w:rsidRPr="001E4D45">
              <w:rPr>
                <w:rFonts w:cs="Calibri"/>
                <w:sz w:val="20"/>
                <w:szCs w:val="20"/>
              </w:rPr>
              <w:t>Pobór wód powierzchniowych do wytwarzania energii</w:t>
            </w:r>
          </w:p>
        </w:tc>
        <w:tc>
          <w:tcPr>
            <w:tcW w:w="1976" w:type="dxa"/>
            <w:shd w:val="clear" w:color="auto" w:fill="auto"/>
            <w:vAlign w:val="bottom"/>
          </w:tcPr>
          <w:p w14:paraId="25439F03" w14:textId="77777777" w:rsidR="00BE0188" w:rsidRPr="001E4D45" w:rsidRDefault="00BE0188" w:rsidP="00840CCD">
            <w:pPr>
              <w:suppressAutoHyphens/>
              <w:jc w:val="center"/>
              <w:rPr>
                <w:sz w:val="20"/>
                <w:szCs w:val="20"/>
              </w:rPr>
            </w:pPr>
            <w:r w:rsidRPr="001E4D45">
              <w:rPr>
                <w:rFonts w:cs="Calibri"/>
                <w:sz w:val="20"/>
                <w:szCs w:val="20"/>
              </w:rPr>
              <w:t>812 241</w:t>
            </w:r>
          </w:p>
        </w:tc>
      </w:tr>
      <w:tr w:rsidR="00BE0188" w:rsidRPr="001E4D45" w14:paraId="686D7645" w14:textId="77777777" w:rsidTr="00B41FF9">
        <w:trPr>
          <w:trHeight w:val="304"/>
        </w:trPr>
        <w:tc>
          <w:tcPr>
            <w:tcW w:w="6946" w:type="dxa"/>
            <w:shd w:val="clear" w:color="auto" w:fill="BFBFBF" w:themeFill="background1" w:themeFillShade="BF"/>
            <w:vAlign w:val="bottom"/>
          </w:tcPr>
          <w:p w14:paraId="32306F8A" w14:textId="77777777" w:rsidR="00BE0188" w:rsidRPr="001E4D45" w:rsidRDefault="00BE0188" w:rsidP="00B41FF9">
            <w:pPr>
              <w:suppressAutoHyphens/>
              <w:jc w:val="center"/>
              <w:rPr>
                <w:bCs/>
                <w:sz w:val="20"/>
                <w:szCs w:val="20"/>
              </w:rPr>
            </w:pPr>
            <w:r w:rsidRPr="001E4D45">
              <w:rPr>
                <w:rFonts w:cs="Calibri"/>
                <w:b/>
                <w:bCs/>
                <w:sz w:val="20"/>
                <w:szCs w:val="20"/>
              </w:rPr>
              <w:t>RAZEM opłaty stałe</w:t>
            </w:r>
          </w:p>
        </w:tc>
        <w:tc>
          <w:tcPr>
            <w:tcW w:w="1976" w:type="dxa"/>
            <w:shd w:val="clear" w:color="auto" w:fill="BFBFBF" w:themeFill="background1" w:themeFillShade="BF"/>
            <w:vAlign w:val="bottom"/>
          </w:tcPr>
          <w:p w14:paraId="0733C732" w14:textId="77777777" w:rsidR="00BE0188" w:rsidRPr="001E4D45" w:rsidRDefault="00BE0188" w:rsidP="00840CCD">
            <w:pPr>
              <w:suppressAutoHyphens/>
              <w:jc w:val="center"/>
              <w:rPr>
                <w:sz w:val="20"/>
                <w:szCs w:val="20"/>
              </w:rPr>
            </w:pPr>
            <w:r w:rsidRPr="001E4D45">
              <w:rPr>
                <w:rFonts w:cs="Calibri"/>
                <w:b/>
                <w:bCs/>
                <w:sz w:val="20"/>
                <w:szCs w:val="20"/>
              </w:rPr>
              <w:t>15 786 412</w:t>
            </w:r>
          </w:p>
        </w:tc>
      </w:tr>
    </w:tbl>
    <w:p w14:paraId="4A5F1C3E" w14:textId="195A83C2" w:rsidR="00BE0188" w:rsidRPr="001E4D45" w:rsidRDefault="00BE0188" w:rsidP="000F4C8C">
      <w:pPr>
        <w:pStyle w:val="rdo0"/>
      </w:pPr>
      <w:r w:rsidRPr="001E4D45">
        <w:rPr>
          <w:lang w:eastAsia="zh-CN"/>
        </w:rPr>
        <w:t xml:space="preserve">Źródło: opracowanie </w:t>
      </w:r>
      <w:r w:rsidR="00B773E9">
        <w:rPr>
          <w:lang w:eastAsia="zh-CN"/>
        </w:rPr>
        <w:t>własne</w:t>
      </w:r>
    </w:p>
    <w:p w14:paraId="3DCB54EF" w14:textId="298ABA29" w:rsidR="00BE0188" w:rsidRPr="001E4D45" w:rsidRDefault="00BE0188" w:rsidP="006802BB">
      <w:pPr>
        <w:pStyle w:val="Tabela"/>
      </w:pPr>
      <w:bookmarkStart w:id="321" w:name="_Toc68727014"/>
      <w:r w:rsidRPr="001E4D45">
        <w:t xml:space="preserve">Tabela </w:t>
      </w:r>
      <w:fldSimple w:instr=" STYLEREF 1 \s ">
        <w:r w:rsidR="007B4050">
          <w:rPr>
            <w:noProof/>
          </w:rPr>
          <w:t>11</w:t>
        </w:r>
      </w:fldSimple>
      <w:r w:rsidR="007B4050">
        <w:noBreakHyphen/>
      </w:r>
      <w:fldSimple w:instr=" SEQ Tabela \* ARABIC \s 1 ">
        <w:r w:rsidR="007B4050">
          <w:rPr>
            <w:noProof/>
          </w:rPr>
          <w:t>2</w:t>
        </w:r>
      </w:fldSimple>
      <w:r w:rsidR="004A1B76">
        <w:tab/>
      </w:r>
      <w:r w:rsidRPr="001E4D45">
        <w:t>Opłaty zmienne za usługi wodne</w:t>
      </w:r>
      <w:r>
        <w:t>,</w:t>
      </w:r>
      <w:r w:rsidRPr="001E4D45">
        <w:t xml:space="preserve"> uiszczon</w:t>
      </w:r>
      <w:r>
        <w:t>e</w:t>
      </w:r>
      <w:r w:rsidRPr="001E4D45">
        <w:t xml:space="preserve"> w 2019 r.</w:t>
      </w:r>
      <w:bookmarkEnd w:id="32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976"/>
      </w:tblGrid>
      <w:tr w:rsidR="00BE0188" w:rsidRPr="001E4D45" w14:paraId="43C491C9" w14:textId="77777777" w:rsidTr="00B41FF9">
        <w:trPr>
          <w:trHeight w:val="305"/>
        </w:trPr>
        <w:tc>
          <w:tcPr>
            <w:tcW w:w="6946" w:type="dxa"/>
            <w:shd w:val="clear" w:color="auto" w:fill="BFBFBF" w:themeFill="background1" w:themeFillShade="BF"/>
            <w:vAlign w:val="center"/>
          </w:tcPr>
          <w:p w14:paraId="3C862992" w14:textId="77777777" w:rsidR="00BE0188" w:rsidRPr="001E4D45" w:rsidRDefault="00BE0188" w:rsidP="00B41FF9">
            <w:pPr>
              <w:suppressAutoHyphens/>
              <w:jc w:val="center"/>
              <w:rPr>
                <w:b/>
                <w:bCs/>
                <w:sz w:val="20"/>
                <w:szCs w:val="20"/>
              </w:rPr>
            </w:pPr>
            <w:r w:rsidRPr="001E4D45">
              <w:rPr>
                <w:rFonts w:cs="Calibri"/>
                <w:b/>
                <w:bCs/>
                <w:sz w:val="20"/>
                <w:szCs w:val="20"/>
              </w:rPr>
              <w:t>Rodzaj usługi wodnej</w:t>
            </w:r>
          </w:p>
        </w:tc>
        <w:tc>
          <w:tcPr>
            <w:tcW w:w="1976" w:type="dxa"/>
            <w:shd w:val="clear" w:color="auto" w:fill="BFBFBF" w:themeFill="background1" w:themeFillShade="BF"/>
            <w:vAlign w:val="center"/>
          </w:tcPr>
          <w:p w14:paraId="01F58A3A" w14:textId="6311AA7F" w:rsidR="00BE0188" w:rsidRPr="001E4D45" w:rsidRDefault="00BE0188" w:rsidP="00840CCD">
            <w:pPr>
              <w:suppressAutoHyphens/>
              <w:jc w:val="center"/>
              <w:rPr>
                <w:b/>
                <w:bCs/>
                <w:sz w:val="20"/>
                <w:szCs w:val="20"/>
              </w:rPr>
            </w:pPr>
            <w:r w:rsidRPr="001E4D45">
              <w:rPr>
                <w:rFonts w:cs="Calibri"/>
                <w:b/>
                <w:bCs/>
                <w:sz w:val="20"/>
                <w:szCs w:val="20"/>
              </w:rPr>
              <w:t>Suma</w:t>
            </w:r>
            <w:r w:rsidR="00B41FF9">
              <w:rPr>
                <w:rFonts w:cs="Calibri"/>
                <w:b/>
                <w:bCs/>
                <w:sz w:val="20"/>
                <w:szCs w:val="20"/>
              </w:rPr>
              <w:t xml:space="preserve"> (</w:t>
            </w:r>
            <w:r w:rsidRPr="001E4D45">
              <w:rPr>
                <w:rFonts w:cs="Calibri"/>
                <w:b/>
                <w:bCs/>
                <w:sz w:val="20"/>
                <w:szCs w:val="20"/>
              </w:rPr>
              <w:t>zł</w:t>
            </w:r>
            <w:r w:rsidR="00B41FF9">
              <w:rPr>
                <w:rFonts w:cs="Calibri"/>
                <w:b/>
                <w:bCs/>
                <w:sz w:val="20"/>
                <w:szCs w:val="20"/>
              </w:rPr>
              <w:t>)</w:t>
            </w:r>
          </w:p>
        </w:tc>
      </w:tr>
      <w:tr w:rsidR="00BE0188" w:rsidRPr="001E4D45" w14:paraId="19AEB30D" w14:textId="77777777" w:rsidTr="00840CCD">
        <w:trPr>
          <w:trHeight w:val="305"/>
        </w:trPr>
        <w:tc>
          <w:tcPr>
            <w:tcW w:w="6946" w:type="dxa"/>
            <w:shd w:val="clear" w:color="auto" w:fill="auto"/>
            <w:vAlign w:val="bottom"/>
          </w:tcPr>
          <w:p w14:paraId="6719A722" w14:textId="77777777" w:rsidR="00BE0188" w:rsidRPr="001E4D45" w:rsidRDefault="00BE0188" w:rsidP="00840CCD">
            <w:pPr>
              <w:suppressAutoHyphens/>
              <w:rPr>
                <w:bCs/>
                <w:sz w:val="20"/>
                <w:szCs w:val="20"/>
              </w:rPr>
            </w:pPr>
            <w:r w:rsidRPr="001E4D45">
              <w:rPr>
                <w:rFonts w:cs="Calibri"/>
                <w:sz w:val="20"/>
                <w:szCs w:val="20"/>
              </w:rPr>
              <w:t>Pobór wód powierzchniowych</w:t>
            </w:r>
          </w:p>
        </w:tc>
        <w:tc>
          <w:tcPr>
            <w:tcW w:w="1976" w:type="dxa"/>
            <w:shd w:val="clear" w:color="auto" w:fill="auto"/>
            <w:vAlign w:val="bottom"/>
          </w:tcPr>
          <w:p w14:paraId="5E2DAF66" w14:textId="77777777" w:rsidR="00BE0188" w:rsidRPr="001E4D45" w:rsidRDefault="00BE0188" w:rsidP="00840CCD">
            <w:pPr>
              <w:suppressAutoHyphens/>
              <w:jc w:val="center"/>
              <w:rPr>
                <w:sz w:val="20"/>
                <w:szCs w:val="20"/>
              </w:rPr>
            </w:pPr>
            <w:r w:rsidRPr="001E4D45">
              <w:rPr>
                <w:rFonts w:cs="Calibri"/>
                <w:sz w:val="20"/>
                <w:szCs w:val="20"/>
              </w:rPr>
              <w:t>80 444 061</w:t>
            </w:r>
          </w:p>
        </w:tc>
      </w:tr>
      <w:tr w:rsidR="00BE0188" w:rsidRPr="001E4D45" w14:paraId="7F1CC95D" w14:textId="77777777" w:rsidTr="00840CCD">
        <w:trPr>
          <w:trHeight w:val="305"/>
        </w:trPr>
        <w:tc>
          <w:tcPr>
            <w:tcW w:w="6946" w:type="dxa"/>
            <w:shd w:val="clear" w:color="auto" w:fill="auto"/>
            <w:vAlign w:val="bottom"/>
          </w:tcPr>
          <w:p w14:paraId="5E17A8C7" w14:textId="77777777" w:rsidR="00BE0188" w:rsidRPr="001E4D45" w:rsidRDefault="00BE0188" w:rsidP="00840CCD">
            <w:pPr>
              <w:tabs>
                <w:tab w:val="right" w:pos="2852"/>
              </w:tabs>
              <w:suppressAutoHyphens/>
              <w:rPr>
                <w:bCs/>
                <w:sz w:val="20"/>
                <w:szCs w:val="20"/>
              </w:rPr>
            </w:pPr>
            <w:r w:rsidRPr="001E4D45">
              <w:rPr>
                <w:rFonts w:cs="Calibri"/>
                <w:sz w:val="20"/>
                <w:szCs w:val="20"/>
              </w:rPr>
              <w:t>Pobór wód podziemnych</w:t>
            </w:r>
          </w:p>
        </w:tc>
        <w:tc>
          <w:tcPr>
            <w:tcW w:w="1976" w:type="dxa"/>
            <w:shd w:val="clear" w:color="auto" w:fill="auto"/>
            <w:vAlign w:val="bottom"/>
          </w:tcPr>
          <w:p w14:paraId="4CB2B6D4" w14:textId="77777777" w:rsidR="00BE0188" w:rsidRPr="001E4D45" w:rsidRDefault="00BE0188" w:rsidP="00840CCD">
            <w:pPr>
              <w:suppressAutoHyphens/>
              <w:jc w:val="center"/>
              <w:rPr>
                <w:sz w:val="20"/>
                <w:szCs w:val="20"/>
              </w:rPr>
            </w:pPr>
            <w:r w:rsidRPr="001E4D45">
              <w:rPr>
                <w:rFonts w:cs="Calibri"/>
                <w:sz w:val="20"/>
                <w:szCs w:val="20"/>
              </w:rPr>
              <w:t>159 489 989</w:t>
            </w:r>
          </w:p>
        </w:tc>
      </w:tr>
      <w:tr w:rsidR="00BE0188" w:rsidRPr="001E4D45" w14:paraId="5894359C" w14:textId="77777777" w:rsidTr="00840CCD">
        <w:trPr>
          <w:trHeight w:val="305"/>
        </w:trPr>
        <w:tc>
          <w:tcPr>
            <w:tcW w:w="6946" w:type="dxa"/>
            <w:shd w:val="clear" w:color="auto" w:fill="auto"/>
            <w:vAlign w:val="bottom"/>
          </w:tcPr>
          <w:p w14:paraId="0E65F9A3" w14:textId="77777777" w:rsidR="00BE0188" w:rsidRPr="001E4D45" w:rsidRDefault="00BE0188" w:rsidP="00840CCD">
            <w:pPr>
              <w:suppressAutoHyphens/>
              <w:rPr>
                <w:bCs/>
                <w:sz w:val="20"/>
                <w:szCs w:val="20"/>
              </w:rPr>
            </w:pPr>
            <w:r w:rsidRPr="001E4D45">
              <w:rPr>
                <w:rFonts w:cs="Calibri"/>
                <w:sz w:val="20"/>
                <w:szCs w:val="20"/>
              </w:rPr>
              <w:t>Wprowadzanie ścieków</w:t>
            </w:r>
          </w:p>
        </w:tc>
        <w:tc>
          <w:tcPr>
            <w:tcW w:w="1976" w:type="dxa"/>
            <w:shd w:val="clear" w:color="auto" w:fill="auto"/>
            <w:vAlign w:val="bottom"/>
          </w:tcPr>
          <w:p w14:paraId="792697A3" w14:textId="77777777" w:rsidR="00BE0188" w:rsidRPr="001E4D45" w:rsidRDefault="00BE0188" w:rsidP="00840CCD">
            <w:pPr>
              <w:suppressAutoHyphens/>
              <w:jc w:val="center"/>
              <w:rPr>
                <w:sz w:val="20"/>
                <w:szCs w:val="20"/>
              </w:rPr>
            </w:pPr>
            <w:r w:rsidRPr="001E4D45">
              <w:rPr>
                <w:rFonts w:cs="Calibri"/>
                <w:sz w:val="20"/>
                <w:szCs w:val="20"/>
              </w:rPr>
              <w:t>202 163 173</w:t>
            </w:r>
          </w:p>
        </w:tc>
      </w:tr>
      <w:tr w:rsidR="00BE0188" w:rsidRPr="001E4D45" w14:paraId="62049ACB" w14:textId="77777777" w:rsidTr="00840CCD">
        <w:trPr>
          <w:trHeight w:val="305"/>
        </w:trPr>
        <w:tc>
          <w:tcPr>
            <w:tcW w:w="6946" w:type="dxa"/>
            <w:shd w:val="clear" w:color="auto" w:fill="auto"/>
            <w:vAlign w:val="bottom"/>
          </w:tcPr>
          <w:p w14:paraId="48D98301" w14:textId="77777777" w:rsidR="00BE0188" w:rsidRPr="001E4D45" w:rsidRDefault="00BE0188" w:rsidP="00840CCD">
            <w:pPr>
              <w:suppressAutoHyphens/>
              <w:rPr>
                <w:bCs/>
                <w:sz w:val="20"/>
                <w:szCs w:val="20"/>
              </w:rPr>
            </w:pPr>
            <w:r w:rsidRPr="001E4D45">
              <w:rPr>
                <w:rFonts w:cs="Calibri"/>
                <w:sz w:val="20"/>
                <w:szCs w:val="20"/>
              </w:rPr>
              <w:t>Odprowadzanie do wód wód opadowych lub roztopowych</w:t>
            </w:r>
          </w:p>
        </w:tc>
        <w:tc>
          <w:tcPr>
            <w:tcW w:w="1976" w:type="dxa"/>
            <w:shd w:val="clear" w:color="auto" w:fill="auto"/>
            <w:vAlign w:val="bottom"/>
          </w:tcPr>
          <w:p w14:paraId="5B839554" w14:textId="77777777" w:rsidR="00BE0188" w:rsidRPr="001E4D45" w:rsidRDefault="00BE0188" w:rsidP="00840CCD">
            <w:pPr>
              <w:suppressAutoHyphens/>
              <w:jc w:val="center"/>
              <w:rPr>
                <w:sz w:val="20"/>
                <w:szCs w:val="20"/>
              </w:rPr>
            </w:pPr>
            <w:r w:rsidRPr="001E4D45">
              <w:rPr>
                <w:rFonts w:cs="Calibri"/>
                <w:sz w:val="20"/>
                <w:szCs w:val="20"/>
              </w:rPr>
              <w:t>108 534 260</w:t>
            </w:r>
          </w:p>
        </w:tc>
      </w:tr>
      <w:tr w:rsidR="00BE0188" w:rsidRPr="001E4D45" w14:paraId="0363A3EE" w14:textId="77777777" w:rsidTr="00840CCD">
        <w:trPr>
          <w:trHeight w:val="305"/>
        </w:trPr>
        <w:tc>
          <w:tcPr>
            <w:tcW w:w="6946" w:type="dxa"/>
            <w:shd w:val="clear" w:color="auto" w:fill="auto"/>
            <w:vAlign w:val="bottom"/>
          </w:tcPr>
          <w:p w14:paraId="65B3516F" w14:textId="77777777" w:rsidR="00BE0188" w:rsidRPr="001E4D45" w:rsidRDefault="00BE0188" w:rsidP="00840CCD">
            <w:pPr>
              <w:suppressAutoHyphens/>
              <w:rPr>
                <w:bCs/>
                <w:sz w:val="20"/>
                <w:szCs w:val="20"/>
              </w:rPr>
            </w:pPr>
            <w:r w:rsidRPr="001E4D45">
              <w:rPr>
                <w:rFonts w:cs="Calibri"/>
                <w:sz w:val="20"/>
                <w:szCs w:val="20"/>
              </w:rPr>
              <w:t>Pobór wód na potrzeby chowu i hodowli ryb</w:t>
            </w:r>
          </w:p>
        </w:tc>
        <w:tc>
          <w:tcPr>
            <w:tcW w:w="1976" w:type="dxa"/>
            <w:shd w:val="clear" w:color="auto" w:fill="auto"/>
            <w:vAlign w:val="bottom"/>
          </w:tcPr>
          <w:p w14:paraId="2B47FA8C" w14:textId="77777777" w:rsidR="00BE0188" w:rsidRPr="001E4D45" w:rsidRDefault="00BE0188" w:rsidP="00840CCD">
            <w:pPr>
              <w:suppressAutoHyphens/>
              <w:jc w:val="center"/>
              <w:rPr>
                <w:sz w:val="20"/>
                <w:szCs w:val="20"/>
              </w:rPr>
            </w:pPr>
            <w:r w:rsidRPr="001E4D45">
              <w:rPr>
                <w:rFonts w:cs="Calibri"/>
                <w:sz w:val="20"/>
                <w:szCs w:val="20"/>
              </w:rPr>
              <w:t>548 500</w:t>
            </w:r>
          </w:p>
        </w:tc>
      </w:tr>
      <w:tr w:rsidR="00BE0188" w:rsidRPr="001E4D45" w14:paraId="10DCBD99" w14:textId="77777777" w:rsidTr="00840CCD">
        <w:trPr>
          <w:trHeight w:val="305"/>
        </w:trPr>
        <w:tc>
          <w:tcPr>
            <w:tcW w:w="6946" w:type="dxa"/>
            <w:shd w:val="clear" w:color="auto" w:fill="auto"/>
            <w:vAlign w:val="bottom"/>
          </w:tcPr>
          <w:p w14:paraId="2094977D" w14:textId="77777777" w:rsidR="00BE0188" w:rsidRPr="001E4D45" w:rsidRDefault="00BE0188" w:rsidP="00840CCD">
            <w:pPr>
              <w:suppressAutoHyphens/>
              <w:rPr>
                <w:bCs/>
                <w:sz w:val="20"/>
                <w:szCs w:val="20"/>
              </w:rPr>
            </w:pPr>
            <w:r w:rsidRPr="001E4D45">
              <w:rPr>
                <w:rFonts w:cs="Calibri"/>
                <w:sz w:val="20"/>
                <w:szCs w:val="20"/>
              </w:rPr>
              <w:t>Wydobywanie z wód kamieni, żwiru i piasku oraz wycinanie roślin</w:t>
            </w:r>
          </w:p>
        </w:tc>
        <w:tc>
          <w:tcPr>
            <w:tcW w:w="1976" w:type="dxa"/>
            <w:shd w:val="clear" w:color="auto" w:fill="auto"/>
            <w:vAlign w:val="bottom"/>
          </w:tcPr>
          <w:p w14:paraId="7F844875" w14:textId="77777777" w:rsidR="00BE0188" w:rsidRPr="001E4D45" w:rsidRDefault="00BE0188" w:rsidP="00840CCD">
            <w:pPr>
              <w:suppressAutoHyphens/>
              <w:jc w:val="center"/>
              <w:rPr>
                <w:sz w:val="20"/>
                <w:szCs w:val="20"/>
              </w:rPr>
            </w:pPr>
            <w:r w:rsidRPr="001E4D45">
              <w:rPr>
                <w:rFonts w:cs="Calibri"/>
                <w:sz w:val="20"/>
                <w:szCs w:val="20"/>
              </w:rPr>
              <w:t>1 323 679</w:t>
            </w:r>
          </w:p>
        </w:tc>
      </w:tr>
      <w:tr w:rsidR="00BE0188" w:rsidRPr="001E4D45" w14:paraId="5B45640D" w14:textId="77777777" w:rsidTr="00B41FF9">
        <w:trPr>
          <w:trHeight w:val="305"/>
        </w:trPr>
        <w:tc>
          <w:tcPr>
            <w:tcW w:w="6946" w:type="dxa"/>
            <w:shd w:val="clear" w:color="auto" w:fill="BFBFBF" w:themeFill="background1" w:themeFillShade="BF"/>
            <w:vAlign w:val="bottom"/>
          </w:tcPr>
          <w:p w14:paraId="7F624B41" w14:textId="77777777" w:rsidR="00BE0188" w:rsidRPr="001E4D45" w:rsidRDefault="00BE0188" w:rsidP="00B41FF9">
            <w:pPr>
              <w:suppressAutoHyphens/>
              <w:jc w:val="center"/>
              <w:rPr>
                <w:bCs/>
                <w:sz w:val="20"/>
                <w:szCs w:val="20"/>
              </w:rPr>
            </w:pPr>
            <w:r w:rsidRPr="001E4D45">
              <w:rPr>
                <w:rFonts w:cs="Calibri"/>
                <w:b/>
                <w:bCs/>
                <w:sz w:val="20"/>
                <w:szCs w:val="20"/>
              </w:rPr>
              <w:t>RAZEM opłaty zmienne</w:t>
            </w:r>
          </w:p>
        </w:tc>
        <w:tc>
          <w:tcPr>
            <w:tcW w:w="1976" w:type="dxa"/>
            <w:shd w:val="clear" w:color="auto" w:fill="BFBFBF" w:themeFill="background1" w:themeFillShade="BF"/>
            <w:vAlign w:val="bottom"/>
          </w:tcPr>
          <w:p w14:paraId="78EDF10C" w14:textId="77777777" w:rsidR="00BE0188" w:rsidRPr="001E4D45" w:rsidRDefault="00BE0188" w:rsidP="00840CCD">
            <w:pPr>
              <w:suppressAutoHyphens/>
              <w:jc w:val="center"/>
              <w:rPr>
                <w:sz w:val="20"/>
                <w:szCs w:val="20"/>
              </w:rPr>
            </w:pPr>
            <w:r w:rsidRPr="001E4D45">
              <w:rPr>
                <w:rFonts w:cs="Calibri"/>
                <w:b/>
                <w:bCs/>
                <w:sz w:val="20"/>
                <w:szCs w:val="20"/>
              </w:rPr>
              <w:t>552 503 662</w:t>
            </w:r>
          </w:p>
        </w:tc>
      </w:tr>
    </w:tbl>
    <w:p w14:paraId="101C28F5" w14:textId="5952C5EE" w:rsidR="00BE0188" w:rsidRPr="001E4D45" w:rsidRDefault="00BE0188" w:rsidP="0059760C">
      <w:pPr>
        <w:pStyle w:val="rdo0"/>
      </w:pPr>
      <w:r w:rsidRPr="001E4D45">
        <w:rPr>
          <w:lang w:eastAsia="zh-CN"/>
        </w:rPr>
        <w:t xml:space="preserve">Źródło: opracowanie </w:t>
      </w:r>
      <w:r w:rsidR="00B773E9">
        <w:rPr>
          <w:lang w:eastAsia="zh-CN"/>
        </w:rPr>
        <w:t>własne</w:t>
      </w:r>
    </w:p>
    <w:p w14:paraId="283D7520" w14:textId="3C2BBE9B" w:rsidR="00BE0188" w:rsidRPr="001E4D45" w:rsidRDefault="00BE0188" w:rsidP="006802BB">
      <w:pPr>
        <w:pStyle w:val="Tabela"/>
      </w:pPr>
      <w:r>
        <w:br w:type="page"/>
      </w:r>
      <w:bookmarkStart w:id="322" w:name="_Toc68727015"/>
      <w:r w:rsidRPr="001E4D45">
        <w:t xml:space="preserve">Tabela </w:t>
      </w:r>
      <w:fldSimple w:instr=" STYLEREF 1 \s ">
        <w:r w:rsidR="007B4050">
          <w:rPr>
            <w:noProof/>
          </w:rPr>
          <w:t>11</w:t>
        </w:r>
      </w:fldSimple>
      <w:r w:rsidR="007B4050">
        <w:noBreakHyphen/>
      </w:r>
      <w:fldSimple w:instr=" SEQ Tabela \* ARABIC \s 1 ">
        <w:r w:rsidR="007B4050">
          <w:rPr>
            <w:noProof/>
          </w:rPr>
          <w:t>3</w:t>
        </w:r>
      </w:fldSimple>
      <w:r w:rsidR="004A1B76">
        <w:tab/>
      </w:r>
      <w:r>
        <w:t xml:space="preserve">Wysokość jednostkowych opłat za usługi wodne </w:t>
      </w:r>
      <w:r w:rsidRPr="001E4D45">
        <w:t>w 2019 r.</w:t>
      </w:r>
      <w:bookmarkEnd w:id="32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3"/>
        <w:gridCol w:w="1049"/>
        <w:gridCol w:w="1371"/>
        <w:gridCol w:w="1423"/>
        <w:gridCol w:w="1548"/>
      </w:tblGrid>
      <w:tr w:rsidR="00BE0188" w:rsidRPr="001E4D45" w14:paraId="170C4697" w14:textId="77777777" w:rsidTr="00B41FF9">
        <w:trPr>
          <w:trHeight w:val="488"/>
        </w:trPr>
        <w:tc>
          <w:tcPr>
            <w:tcW w:w="3631" w:type="dxa"/>
            <w:shd w:val="clear" w:color="auto" w:fill="BFBFBF" w:themeFill="background1" w:themeFillShade="BF"/>
            <w:vAlign w:val="center"/>
          </w:tcPr>
          <w:p w14:paraId="58C30D96" w14:textId="77777777" w:rsidR="00BE0188" w:rsidRPr="001E4D45" w:rsidRDefault="00BE0188" w:rsidP="00840CCD">
            <w:pPr>
              <w:suppressAutoHyphens/>
              <w:rPr>
                <w:b/>
                <w:bCs/>
                <w:sz w:val="20"/>
                <w:szCs w:val="20"/>
              </w:rPr>
            </w:pPr>
            <w:r w:rsidRPr="001E4D45">
              <w:rPr>
                <w:rFonts w:cs="Calibri"/>
                <w:b/>
                <w:bCs/>
                <w:sz w:val="20"/>
                <w:szCs w:val="20"/>
              </w:rPr>
              <w:t>Rodzaj usługi wodnej</w:t>
            </w:r>
          </w:p>
        </w:tc>
        <w:tc>
          <w:tcPr>
            <w:tcW w:w="1049" w:type="dxa"/>
            <w:shd w:val="clear" w:color="auto" w:fill="BFBFBF" w:themeFill="background1" w:themeFillShade="BF"/>
            <w:vAlign w:val="center"/>
          </w:tcPr>
          <w:p w14:paraId="4DED1FD7" w14:textId="77777777" w:rsidR="00BE0188" w:rsidRPr="001E4D45" w:rsidRDefault="00BE0188" w:rsidP="00840CCD">
            <w:pPr>
              <w:suppressAutoHyphens/>
              <w:jc w:val="center"/>
              <w:rPr>
                <w:rFonts w:cs="Calibri"/>
                <w:b/>
                <w:bCs/>
                <w:sz w:val="20"/>
                <w:szCs w:val="20"/>
              </w:rPr>
            </w:pPr>
            <w:r w:rsidRPr="001E4D45">
              <w:rPr>
                <w:rFonts w:cs="Calibri"/>
                <w:b/>
                <w:bCs/>
                <w:sz w:val="20"/>
                <w:szCs w:val="20"/>
              </w:rPr>
              <w:t>Jednostka</w:t>
            </w:r>
          </w:p>
        </w:tc>
        <w:tc>
          <w:tcPr>
            <w:tcW w:w="1383" w:type="dxa"/>
            <w:shd w:val="clear" w:color="auto" w:fill="BFBFBF" w:themeFill="background1" w:themeFillShade="BF"/>
            <w:vAlign w:val="center"/>
          </w:tcPr>
          <w:p w14:paraId="1CEB479C" w14:textId="77777777" w:rsidR="00BE0188" w:rsidRPr="001E4D45" w:rsidRDefault="00BE0188" w:rsidP="00840CCD">
            <w:pPr>
              <w:suppressAutoHyphens/>
              <w:jc w:val="center"/>
              <w:rPr>
                <w:rFonts w:cs="Calibri"/>
                <w:b/>
                <w:bCs/>
                <w:sz w:val="20"/>
                <w:szCs w:val="20"/>
              </w:rPr>
            </w:pPr>
            <w:r>
              <w:rPr>
                <w:rFonts w:cs="Calibri"/>
                <w:b/>
                <w:bCs/>
                <w:sz w:val="20"/>
                <w:szCs w:val="20"/>
              </w:rPr>
              <w:t xml:space="preserve">Liczba </w:t>
            </w:r>
            <w:r w:rsidRPr="001E4D45">
              <w:rPr>
                <w:rFonts w:cs="Calibri"/>
                <w:b/>
                <w:bCs/>
                <w:sz w:val="20"/>
                <w:szCs w:val="20"/>
              </w:rPr>
              <w:t>jednostek</w:t>
            </w:r>
          </w:p>
        </w:tc>
        <w:tc>
          <w:tcPr>
            <w:tcW w:w="1450" w:type="dxa"/>
            <w:shd w:val="clear" w:color="auto" w:fill="BFBFBF" w:themeFill="background1" w:themeFillShade="BF"/>
            <w:vAlign w:val="center"/>
          </w:tcPr>
          <w:p w14:paraId="0926F09C" w14:textId="77777777" w:rsidR="00BE0188" w:rsidRDefault="00BE0188" w:rsidP="00840CCD">
            <w:pPr>
              <w:suppressAutoHyphens/>
              <w:jc w:val="center"/>
              <w:rPr>
                <w:rFonts w:cs="Calibri"/>
                <w:b/>
                <w:bCs/>
                <w:sz w:val="20"/>
                <w:szCs w:val="20"/>
              </w:rPr>
            </w:pPr>
            <w:r w:rsidRPr="001E4D45">
              <w:rPr>
                <w:rFonts w:cs="Calibri"/>
                <w:b/>
                <w:bCs/>
                <w:sz w:val="20"/>
                <w:szCs w:val="20"/>
              </w:rPr>
              <w:t>Suma opłat</w:t>
            </w:r>
          </w:p>
          <w:p w14:paraId="35E94858" w14:textId="3C7029BF" w:rsidR="00BE0188" w:rsidRPr="001E4D45" w:rsidRDefault="00FA42AE" w:rsidP="00840CCD">
            <w:pPr>
              <w:suppressAutoHyphens/>
              <w:jc w:val="center"/>
              <w:rPr>
                <w:rFonts w:cs="Calibri"/>
                <w:b/>
                <w:bCs/>
                <w:sz w:val="20"/>
                <w:szCs w:val="20"/>
              </w:rPr>
            </w:pPr>
            <w:r>
              <w:rPr>
                <w:rFonts w:cs="Calibri"/>
                <w:b/>
                <w:bCs/>
                <w:sz w:val="20"/>
                <w:szCs w:val="20"/>
              </w:rPr>
              <w:t>(</w:t>
            </w:r>
            <w:r w:rsidR="00BE0188">
              <w:rPr>
                <w:rFonts w:cs="Calibri"/>
                <w:b/>
                <w:bCs/>
                <w:sz w:val="20"/>
                <w:szCs w:val="20"/>
              </w:rPr>
              <w:t>zł</w:t>
            </w:r>
            <w:r>
              <w:rPr>
                <w:rFonts w:cs="Calibri"/>
                <w:b/>
                <w:bCs/>
                <w:sz w:val="20"/>
                <w:szCs w:val="20"/>
              </w:rPr>
              <w:t>)</w:t>
            </w:r>
          </w:p>
        </w:tc>
        <w:tc>
          <w:tcPr>
            <w:tcW w:w="1558" w:type="dxa"/>
            <w:shd w:val="clear" w:color="auto" w:fill="BFBFBF" w:themeFill="background1" w:themeFillShade="BF"/>
            <w:vAlign w:val="center"/>
          </w:tcPr>
          <w:p w14:paraId="5189303C" w14:textId="77777777" w:rsidR="00BE0188" w:rsidRPr="001E4D45" w:rsidRDefault="00BE0188" w:rsidP="00840CCD">
            <w:pPr>
              <w:suppressAutoHyphens/>
              <w:jc w:val="center"/>
              <w:rPr>
                <w:b/>
                <w:bCs/>
                <w:sz w:val="20"/>
                <w:szCs w:val="20"/>
              </w:rPr>
            </w:pPr>
            <w:r w:rsidRPr="001E4D45">
              <w:rPr>
                <w:rFonts w:cs="Calibri"/>
                <w:b/>
                <w:bCs/>
                <w:sz w:val="20"/>
                <w:szCs w:val="20"/>
              </w:rPr>
              <w:t>Cena jednostkowa</w:t>
            </w:r>
          </w:p>
        </w:tc>
      </w:tr>
      <w:tr w:rsidR="00BE0188" w:rsidRPr="001E4D45" w14:paraId="46C6F500" w14:textId="77777777" w:rsidTr="00840CCD">
        <w:trPr>
          <w:trHeight w:val="488"/>
        </w:trPr>
        <w:tc>
          <w:tcPr>
            <w:tcW w:w="3631" w:type="dxa"/>
            <w:shd w:val="clear" w:color="auto" w:fill="auto"/>
            <w:vAlign w:val="center"/>
          </w:tcPr>
          <w:p w14:paraId="4CFCCBB2" w14:textId="77777777" w:rsidR="00BE0188" w:rsidRPr="001E4D45" w:rsidRDefault="00BE0188" w:rsidP="00840CCD">
            <w:pPr>
              <w:suppressAutoHyphens/>
              <w:rPr>
                <w:bCs/>
                <w:sz w:val="20"/>
                <w:szCs w:val="20"/>
              </w:rPr>
            </w:pPr>
            <w:r w:rsidRPr="001E4D45">
              <w:rPr>
                <w:rFonts w:cs="Calibri"/>
                <w:sz w:val="20"/>
                <w:szCs w:val="20"/>
              </w:rPr>
              <w:t>Pobór wód powierzchniowych</w:t>
            </w:r>
          </w:p>
        </w:tc>
        <w:tc>
          <w:tcPr>
            <w:tcW w:w="1049" w:type="dxa"/>
            <w:vAlign w:val="center"/>
          </w:tcPr>
          <w:p w14:paraId="191F5863" w14:textId="77777777" w:rsidR="00BE0188" w:rsidRPr="001E4D45" w:rsidRDefault="00BE0188" w:rsidP="00840CCD">
            <w:pPr>
              <w:suppressAutoHyphens/>
              <w:jc w:val="center"/>
              <w:rPr>
                <w:rFonts w:cs="Calibri"/>
                <w:sz w:val="20"/>
                <w:szCs w:val="20"/>
              </w:rPr>
            </w:pPr>
            <w:r w:rsidRPr="001E4D45">
              <w:rPr>
                <w:rFonts w:cs="Calibri"/>
                <w:sz w:val="20"/>
                <w:szCs w:val="20"/>
              </w:rPr>
              <w:t>m</w:t>
            </w:r>
            <w:r w:rsidRPr="001E4D45">
              <w:rPr>
                <w:rFonts w:cs="Calibri"/>
                <w:sz w:val="20"/>
                <w:szCs w:val="20"/>
                <w:vertAlign w:val="superscript"/>
              </w:rPr>
              <w:t>3</w:t>
            </w:r>
          </w:p>
        </w:tc>
        <w:tc>
          <w:tcPr>
            <w:tcW w:w="1383" w:type="dxa"/>
            <w:vAlign w:val="center"/>
          </w:tcPr>
          <w:p w14:paraId="628E96F1" w14:textId="77777777" w:rsidR="00BE0188" w:rsidRPr="001E4D45" w:rsidRDefault="00BE0188" w:rsidP="00840CCD">
            <w:pPr>
              <w:suppressAutoHyphens/>
              <w:jc w:val="center"/>
              <w:rPr>
                <w:rFonts w:cs="Calibri"/>
                <w:sz w:val="20"/>
                <w:szCs w:val="20"/>
              </w:rPr>
            </w:pPr>
            <w:r w:rsidRPr="001E4D45">
              <w:rPr>
                <w:rFonts w:cs="Calibri"/>
                <w:sz w:val="20"/>
                <w:szCs w:val="20"/>
              </w:rPr>
              <w:t>1 223 206 974</w:t>
            </w:r>
            <w:r>
              <w:rPr>
                <w:rFonts w:cs="Calibri"/>
                <w:sz w:val="20"/>
                <w:szCs w:val="20"/>
              </w:rPr>
              <w:t xml:space="preserve"> </w:t>
            </w:r>
          </w:p>
        </w:tc>
        <w:tc>
          <w:tcPr>
            <w:tcW w:w="1450" w:type="dxa"/>
            <w:vAlign w:val="center"/>
          </w:tcPr>
          <w:p w14:paraId="1341989C" w14:textId="77777777" w:rsidR="00BE0188" w:rsidRPr="001E4D45" w:rsidRDefault="00BE0188" w:rsidP="00840CCD">
            <w:pPr>
              <w:suppressAutoHyphens/>
              <w:jc w:val="center"/>
              <w:rPr>
                <w:sz w:val="20"/>
                <w:szCs w:val="20"/>
              </w:rPr>
            </w:pPr>
            <w:r w:rsidRPr="001E4D45">
              <w:rPr>
                <w:rFonts w:cs="Calibri"/>
                <w:sz w:val="20"/>
                <w:szCs w:val="20"/>
              </w:rPr>
              <w:t>83 319 188</w:t>
            </w:r>
          </w:p>
        </w:tc>
        <w:tc>
          <w:tcPr>
            <w:tcW w:w="1558" w:type="dxa"/>
            <w:shd w:val="clear" w:color="auto" w:fill="auto"/>
            <w:vAlign w:val="center"/>
          </w:tcPr>
          <w:p w14:paraId="56885237" w14:textId="77777777" w:rsidR="00BE0188" w:rsidRPr="001E4D45" w:rsidRDefault="00BE0188" w:rsidP="00840CCD">
            <w:pPr>
              <w:suppressAutoHyphens/>
              <w:jc w:val="center"/>
              <w:rPr>
                <w:sz w:val="20"/>
                <w:szCs w:val="20"/>
              </w:rPr>
            </w:pPr>
            <w:r w:rsidRPr="001E4D45">
              <w:rPr>
                <w:rFonts w:cs="Calibri"/>
                <w:sz w:val="20"/>
                <w:szCs w:val="20"/>
              </w:rPr>
              <w:t>0,07 zł/m</w:t>
            </w:r>
            <w:r w:rsidRPr="001E4D45">
              <w:rPr>
                <w:rFonts w:cs="Calibri"/>
                <w:sz w:val="20"/>
                <w:szCs w:val="20"/>
                <w:vertAlign w:val="superscript"/>
              </w:rPr>
              <w:t>3</w:t>
            </w:r>
          </w:p>
        </w:tc>
      </w:tr>
      <w:tr w:rsidR="00BE0188" w:rsidRPr="001E4D45" w14:paraId="6B93DD4B" w14:textId="77777777" w:rsidTr="00840CCD">
        <w:trPr>
          <w:trHeight w:val="488"/>
        </w:trPr>
        <w:tc>
          <w:tcPr>
            <w:tcW w:w="3631" w:type="dxa"/>
            <w:shd w:val="clear" w:color="auto" w:fill="auto"/>
            <w:vAlign w:val="center"/>
          </w:tcPr>
          <w:p w14:paraId="59B1E5DA" w14:textId="77777777" w:rsidR="00BE0188" w:rsidRPr="001E4D45" w:rsidRDefault="00BE0188" w:rsidP="00840CCD">
            <w:pPr>
              <w:tabs>
                <w:tab w:val="right" w:pos="2852"/>
              </w:tabs>
              <w:suppressAutoHyphens/>
              <w:rPr>
                <w:bCs/>
                <w:sz w:val="20"/>
                <w:szCs w:val="20"/>
              </w:rPr>
            </w:pPr>
            <w:r w:rsidRPr="001E4D45">
              <w:rPr>
                <w:rFonts w:cs="Calibri"/>
                <w:sz w:val="20"/>
                <w:szCs w:val="20"/>
              </w:rPr>
              <w:t>Pobór wód podziemnych</w:t>
            </w:r>
          </w:p>
        </w:tc>
        <w:tc>
          <w:tcPr>
            <w:tcW w:w="1049" w:type="dxa"/>
            <w:vAlign w:val="center"/>
          </w:tcPr>
          <w:p w14:paraId="18CBC8C5" w14:textId="77777777" w:rsidR="00BE0188" w:rsidRPr="001E4D45" w:rsidRDefault="00BE0188" w:rsidP="00840CCD">
            <w:pPr>
              <w:suppressAutoHyphens/>
              <w:jc w:val="center"/>
              <w:rPr>
                <w:rFonts w:cs="Calibri"/>
                <w:sz w:val="20"/>
                <w:szCs w:val="20"/>
              </w:rPr>
            </w:pPr>
            <w:r w:rsidRPr="001E4D45">
              <w:rPr>
                <w:rFonts w:cs="Calibri"/>
                <w:sz w:val="20"/>
                <w:szCs w:val="20"/>
              </w:rPr>
              <w:t>m</w:t>
            </w:r>
            <w:r w:rsidRPr="001E4D45">
              <w:rPr>
                <w:rFonts w:cs="Calibri"/>
                <w:sz w:val="20"/>
                <w:szCs w:val="20"/>
                <w:vertAlign w:val="superscript"/>
              </w:rPr>
              <w:t>3</w:t>
            </w:r>
          </w:p>
        </w:tc>
        <w:tc>
          <w:tcPr>
            <w:tcW w:w="1383" w:type="dxa"/>
            <w:vAlign w:val="center"/>
          </w:tcPr>
          <w:p w14:paraId="5CE1E89C" w14:textId="77777777" w:rsidR="00BE0188" w:rsidRPr="001E4D45" w:rsidRDefault="00BE0188" w:rsidP="00840CCD">
            <w:pPr>
              <w:suppressAutoHyphens/>
              <w:jc w:val="center"/>
              <w:rPr>
                <w:rFonts w:cs="Calibri"/>
                <w:sz w:val="20"/>
                <w:szCs w:val="20"/>
              </w:rPr>
            </w:pPr>
            <w:r w:rsidRPr="001E4D45">
              <w:rPr>
                <w:rFonts w:cs="Calibri"/>
                <w:sz w:val="20"/>
                <w:szCs w:val="20"/>
              </w:rPr>
              <w:t>1 926 291 168</w:t>
            </w:r>
          </w:p>
        </w:tc>
        <w:tc>
          <w:tcPr>
            <w:tcW w:w="1450" w:type="dxa"/>
            <w:vAlign w:val="center"/>
          </w:tcPr>
          <w:p w14:paraId="61A5879B" w14:textId="77777777" w:rsidR="00BE0188" w:rsidRPr="001E4D45" w:rsidRDefault="00BE0188" w:rsidP="00840CCD">
            <w:pPr>
              <w:suppressAutoHyphens/>
              <w:jc w:val="center"/>
              <w:rPr>
                <w:sz w:val="20"/>
                <w:szCs w:val="20"/>
              </w:rPr>
            </w:pPr>
            <w:r w:rsidRPr="001E4D45">
              <w:rPr>
                <w:rFonts w:cs="Calibri"/>
                <w:sz w:val="20"/>
                <w:szCs w:val="20"/>
              </w:rPr>
              <w:t>165 713 578</w:t>
            </w:r>
          </w:p>
        </w:tc>
        <w:tc>
          <w:tcPr>
            <w:tcW w:w="1558" w:type="dxa"/>
            <w:shd w:val="clear" w:color="auto" w:fill="auto"/>
            <w:vAlign w:val="center"/>
          </w:tcPr>
          <w:p w14:paraId="26502478" w14:textId="77777777" w:rsidR="00BE0188" w:rsidRPr="001E4D45" w:rsidRDefault="00BE0188" w:rsidP="00840CCD">
            <w:pPr>
              <w:suppressAutoHyphens/>
              <w:jc w:val="center"/>
              <w:rPr>
                <w:sz w:val="20"/>
                <w:szCs w:val="20"/>
              </w:rPr>
            </w:pPr>
            <w:r w:rsidRPr="001E4D45">
              <w:rPr>
                <w:rFonts w:cs="Calibri"/>
                <w:sz w:val="20"/>
                <w:szCs w:val="20"/>
              </w:rPr>
              <w:t>0,09 zł/m</w:t>
            </w:r>
            <w:r w:rsidRPr="001E4D45">
              <w:rPr>
                <w:rFonts w:cs="Calibri"/>
                <w:sz w:val="20"/>
                <w:szCs w:val="20"/>
                <w:vertAlign w:val="superscript"/>
              </w:rPr>
              <w:t>3</w:t>
            </w:r>
          </w:p>
        </w:tc>
      </w:tr>
      <w:tr w:rsidR="00BE0188" w:rsidRPr="001E4D45" w14:paraId="32788211" w14:textId="77777777" w:rsidTr="00840CCD">
        <w:trPr>
          <w:trHeight w:val="488"/>
        </w:trPr>
        <w:tc>
          <w:tcPr>
            <w:tcW w:w="3631" w:type="dxa"/>
            <w:shd w:val="clear" w:color="auto" w:fill="auto"/>
            <w:vAlign w:val="center"/>
          </w:tcPr>
          <w:p w14:paraId="229D6DF3" w14:textId="77777777" w:rsidR="00BE0188" w:rsidRPr="001E4D45" w:rsidRDefault="00BE0188" w:rsidP="00840CCD">
            <w:pPr>
              <w:suppressAutoHyphens/>
              <w:rPr>
                <w:bCs/>
                <w:sz w:val="20"/>
                <w:szCs w:val="20"/>
              </w:rPr>
            </w:pPr>
            <w:r w:rsidRPr="001E4D45">
              <w:rPr>
                <w:rFonts w:cs="Calibri"/>
                <w:sz w:val="20"/>
                <w:szCs w:val="20"/>
              </w:rPr>
              <w:t>Wprowadzanie ścieków*</w:t>
            </w:r>
          </w:p>
        </w:tc>
        <w:tc>
          <w:tcPr>
            <w:tcW w:w="1049" w:type="dxa"/>
            <w:vAlign w:val="center"/>
          </w:tcPr>
          <w:p w14:paraId="0C8FC5BE" w14:textId="77777777" w:rsidR="00BE0188" w:rsidRPr="001E4D45" w:rsidRDefault="00BE0188" w:rsidP="00840CCD">
            <w:pPr>
              <w:suppressAutoHyphens/>
              <w:jc w:val="center"/>
              <w:rPr>
                <w:rFonts w:cs="Calibri"/>
                <w:sz w:val="20"/>
                <w:szCs w:val="20"/>
              </w:rPr>
            </w:pPr>
            <w:r w:rsidRPr="001E4D45">
              <w:rPr>
                <w:rFonts w:cs="Calibri"/>
                <w:sz w:val="20"/>
                <w:szCs w:val="20"/>
              </w:rPr>
              <w:t>m</w:t>
            </w:r>
            <w:r w:rsidRPr="001E4D45">
              <w:rPr>
                <w:rFonts w:cs="Calibri"/>
                <w:sz w:val="20"/>
                <w:szCs w:val="20"/>
                <w:vertAlign w:val="superscript"/>
              </w:rPr>
              <w:t>3</w:t>
            </w:r>
          </w:p>
        </w:tc>
        <w:tc>
          <w:tcPr>
            <w:tcW w:w="1383" w:type="dxa"/>
            <w:vAlign w:val="center"/>
          </w:tcPr>
          <w:p w14:paraId="02A1C1ED" w14:textId="77777777" w:rsidR="00BE0188" w:rsidRPr="001E4D45" w:rsidRDefault="00BE0188" w:rsidP="00840CCD">
            <w:pPr>
              <w:suppressAutoHyphens/>
              <w:jc w:val="center"/>
              <w:rPr>
                <w:rFonts w:cs="Calibri"/>
                <w:sz w:val="20"/>
                <w:szCs w:val="20"/>
              </w:rPr>
            </w:pPr>
            <w:r w:rsidRPr="001E4D45">
              <w:rPr>
                <w:rFonts w:cs="Calibri"/>
                <w:color w:val="000000"/>
                <w:sz w:val="20"/>
                <w:szCs w:val="20"/>
              </w:rPr>
              <w:t>7 689 100 000</w:t>
            </w:r>
          </w:p>
        </w:tc>
        <w:tc>
          <w:tcPr>
            <w:tcW w:w="1450" w:type="dxa"/>
            <w:vAlign w:val="center"/>
          </w:tcPr>
          <w:p w14:paraId="1299418B" w14:textId="77777777" w:rsidR="00BE0188" w:rsidRPr="001E4D45" w:rsidRDefault="00BE0188" w:rsidP="00840CCD">
            <w:pPr>
              <w:suppressAutoHyphens/>
              <w:jc w:val="center"/>
              <w:rPr>
                <w:sz w:val="20"/>
                <w:szCs w:val="20"/>
              </w:rPr>
            </w:pPr>
            <w:r w:rsidRPr="001E4D45">
              <w:rPr>
                <w:rFonts w:cs="Calibri"/>
                <w:sz w:val="20"/>
                <w:szCs w:val="20"/>
              </w:rPr>
              <w:t>207 197 031</w:t>
            </w:r>
          </w:p>
        </w:tc>
        <w:tc>
          <w:tcPr>
            <w:tcW w:w="1558" w:type="dxa"/>
            <w:shd w:val="clear" w:color="auto" w:fill="auto"/>
            <w:vAlign w:val="center"/>
          </w:tcPr>
          <w:p w14:paraId="1C743DEE" w14:textId="77777777" w:rsidR="00BE0188" w:rsidRPr="001E4D45" w:rsidRDefault="00BE0188" w:rsidP="00840CCD">
            <w:pPr>
              <w:suppressAutoHyphens/>
              <w:jc w:val="center"/>
              <w:rPr>
                <w:sz w:val="20"/>
                <w:szCs w:val="20"/>
              </w:rPr>
            </w:pPr>
            <w:r w:rsidRPr="001E4D45">
              <w:rPr>
                <w:rFonts w:cs="Calibri"/>
                <w:sz w:val="20"/>
                <w:szCs w:val="20"/>
              </w:rPr>
              <w:t>0,03 zł/m</w:t>
            </w:r>
            <w:r w:rsidRPr="001E4D45">
              <w:rPr>
                <w:rFonts w:cs="Calibri"/>
                <w:sz w:val="20"/>
                <w:szCs w:val="20"/>
                <w:vertAlign w:val="superscript"/>
              </w:rPr>
              <w:t>3</w:t>
            </w:r>
          </w:p>
        </w:tc>
      </w:tr>
      <w:tr w:rsidR="00BE0188" w:rsidRPr="001E4D45" w14:paraId="21A66BB8" w14:textId="77777777" w:rsidTr="00840CCD">
        <w:trPr>
          <w:trHeight w:val="488"/>
        </w:trPr>
        <w:tc>
          <w:tcPr>
            <w:tcW w:w="3631" w:type="dxa"/>
            <w:shd w:val="clear" w:color="auto" w:fill="auto"/>
            <w:vAlign w:val="center"/>
          </w:tcPr>
          <w:p w14:paraId="54229F44" w14:textId="77777777" w:rsidR="00BE0188" w:rsidRPr="001E4D45" w:rsidRDefault="00BE0188" w:rsidP="00840CCD">
            <w:pPr>
              <w:suppressAutoHyphens/>
              <w:rPr>
                <w:bCs/>
                <w:sz w:val="20"/>
                <w:szCs w:val="20"/>
              </w:rPr>
            </w:pPr>
            <w:r w:rsidRPr="001E4D45">
              <w:rPr>
                <w:rFonts w:cs="Calibri"/>
                <w:sz w:val="20"/>
                <w:szCs w:val="20"/>
              </w:rPr>
              <w:t>Odprowadzanie do wód wód opadowych lub roztopowych</w:t>
            </w:r>
          </w:p>
        </w:tc>
        <w:tc>
          <w:tcPr>
            <w:tcW w:w="1049" w:type="dxa"/>
            <w:vAlign w:val="center"/>
          </w:tcPr>
          <w:p w14:paraId="4F44CC6B" w14:textId="77777777" w:rsidR="00BE0188" w:rsidRPr="001E4D45" w:rsidRDefault="00BE0188" w:rsidP="00840CCD">
            <w:pPr>
              <w:suppressAutoHyphens/>
              <w:jc w:val="center"/>
              <w:rPr>
                <w:rFonts w:cs="Calibri"/>
                <w:sz w:val="20"/>
                <w:szCs w:val="20"/>
              </w:rPr>
            </w:pPr>
            <w:r w:rsidRPr="001E4D45">
              <w:rPr>
                <w:rFonts w:cs="Calibri"/>
                <w:sz w:val="20"/>
                <w:szCs w:val="20"/>
              </w:rPr>
              <w:t>m</w:t>
            </w:r>
            <w:r w:rsidRPr="001E4D45">
              <w:rPr>
                <w:rFonts w:cs="Calibri"/>
                <w:sz w:val="20"/>
                <w:szCs w:val="20"/>
                <w:vertAlign w:val="superscript"/>
              </w:rPr>
              <w:t>3</w:t>
            </w:r>
          </w:p>
        </w:tc>
        <w:tc>
          <w:tcPr>
            <w:tcW w:w="1383" w:type="dxa"/>
            <w:vAlign w:val="center"/>
          </w:tcPr>
          <w:p w14:paraId="1D63011C" w14:textId="77777777" w:rsidR="00BE0188" w:rsidRPr="001E4D45" w:rsidRDefault="00BE0188" w:rsidP="00840CCD">
            <w:pPr>
              <w:suppressAutoHyphens/>
              <w:jc w:val="center"/>
              <w:rPr>
                <w:rFonts w:cs="Calibri"/>
                <w:sz w:val="20"/>
                <w:szCs w:val="20"/>
              </w:rPr>
            </w:pPr>
            <w:r w:rsidRPr="001E4D45">
              <w:rPr>
                <w:rFonts w:cs="Calibri"/>
                <w:sz w:val="20"/>
                <w:szCs w:val="20"/>
              </w:rPr>
              <w:t>190 698 712</w:t>
            </w:r>
          </w:p>
        </w:tc>
        <w:tc>
          <w:tcPr>
            <w:tcW w:w="1450" w:type="dxa"/>
            <w:vAlign w:val="center"/>
          </w:tcPr>
          <w:p w14:paraId="7A2E59A6" w14:textId="77777777" w:rsidR="00BE0188" w:rsidRPr="001E4D45" w:rsidRDefault="00BE0188" w:rsidP="00840CCD">
            <w:pPr>
              <w:suppressAutoHyphens/>
              <w:jc w:val="center"/>
              <w:rPr>
                <w:sz w:val="20"/>
                <w:szCs w:val="20"/>
              </w:rPr>
            </w:pPr>
            <w:r w:rsidRPr="001E4D45">
              <w:rPr>
                <w:rFonts w:cs="Calibri"/>
                <w:sz w:val="20"/>
                <w:szCs w:val="20"/>
              </w:rPr>
              <w:t>109 374 430</w:t>
            </w:r>
          </w:p>
        </w:tc>
        <w:tc>
          <w:tcPr>
            <w:tcW w:w="1558" w:type="dxa"/>
            <w:shd w:val="clear" w:color="auto" w:fill="auto"/>
            <w:vAlign w:val="center"/>
          </w:tcPr>
          <w:p w14:paraId="5F322446" w14:textId="77777777" w:rsidR="00BE0188" w:rsidRPr="001E4D45" w:rsidRDefault="00BE0188" w:rsidP="00840CCD">
            <w:pPr>
              <w:suppressAutoHyphens/>
              <w:jc w:val="center"/>
              <w:rPr>
                <w:sz w:val="20"/>
                <w:szCs w:val="20"/>
              </w:rPr>
            </w:pPr>
            <w:r w:rsidRPr="001E4D45">
              <w:rPr>
                <w:rFonts w:cs="Calibri"/>
                <w:sz w:val="20"/>
                <w:szCs w:val="20"/>
              </w:rPr>
              <w:t>0,57 zł/m</w:t>
            </w:r>
            <w:r w:rsidRPr="001E4D45">
              <w:rPr>
                <w:rFonts w:cs="Calibri"/>
                <w:sz w:val="20"/>
                <w:szCs w:val="20"/>
                <w:vertAlign w:val="superscript"/>
              </w:rPr>
              <w:t>3</w:t>
            </w:r>
          </w:p>
        </w:tc>
      </w:tr>
      <w:tr w:rsidR="00BE0188" w:rsidRPr="001E4D45" w14:paraId="459112E9" w14:textId="77777777" w:rsidTr="00840CCD">
        <w:trPr>
          <w:trHeight w:val="488"/>
        </w:trPr>
        <w:tc>
          <w:tcPr>
            <w:tcW w:w="3631" w:type="dxa"/>
            <w:shd w:val="clear" w:color="auto" w:fill="auto"/>
            <w:vAlign w:val="center"/>
          </w:tcPr>
          <w:p w14:paraId="087F46F7" w14:textId="77777777" w:rsidR="00BE0188" w:rsidRPr="001E4D45" w:rsidRDefault="00BE0188" w:rsidP="00840CCD">
            <w:pPr>
              <w:suppressAutoHyphens/>
              <w:rPr>
                <w:bCs/>
                <w:sz w:val="20"/>
                <w:szCs w:val="20"/>
              </w:rPr>
            </w:pPr>
            <w:r w:rsidRPr="001E4D45">
              <w:rPr>
                <w:rFonts w:cs="Calibri"/>
                <w:sz w:val="20"/>
                <w:szCs w:val="20"/>
              </w:rPr>
              <w:t>Pobór wód na potrzeby chowu i hodowli ryb</w:t>
            </w:r>
          </w:p>
        </w:tc>
        <w:tc>
          <w:tcPr>
            <w:tcW w:w="1049" w:type="dxa"/>
            <w:vAlign w:val="center"/>
          </w:tcPr>
          <w:p w14:paraId="15D23266" w14:textId="77777777" w:rsidR="00BE0188" w:rsidRPr="001E4D45" w:rsidRDefault="00BE0188" w:rsidP="00840CCD">
            <w:pPr>
              <w:suppressAutoHyphens/>
              <w:jc w:val="center"/>
              <w:rPr>
                <w:rFonts w:cs="Calibri"/>
                <w:sz w:val="20"/>
                <w:szCs w:val="20"/>
              </w:rPr>
            </w:pPr>
            <w:r w:rsidRPr="001E4D45">
              <w:rPr>
                <w:rFonts w:cs="Calibri"/>
                <w:sz w:val="20"/>
                <w:szCs w:val="20"/>
              </w:rPr>
              <w:t>ha</w:t>
            </w:r>
          </w:p>
        </w:tc>
        <w:tc>
          <w:tcPr>
            <w:tcW w:w="1383" w:type="dxa"/>
            <w:vAlign w:val="center"/>
          </w:tcPr>
          <w:p w14:paraId="3BE41D2A" w14:textId="77777777" w:rsidR="00BE0188" w:rsidRPr="001E4D45" w:rsidRDefault="00BE0188" w:rsidP="00840CCD">
            <w:pPr>
              <w:suppressAutoHyphens/>
              <w:jc w:val="center"/>
              <w:rPr>
                <w:rFonts w:cs="Calibri"/>
                <w:sz w:val="20"/>
                <w:szCs w:val="20"/>
              </w:rPr>
            </w:pPr>
            <w:r w:rsidRPr="001E4D45">
              <w:rPr>
                <w:rFonts w:cs="Calibri"/>
                <w:sz w:val="20"/>
                <w:szCs w:val="20"/>
              </w:rPr>
              <w:t>158 806</w:t>
            </w:r>
          </w:p>
        </w:tc>
        <w:tc>
          <w:tcPr>
            <w:tcW w:w="1450" w:type="dxa"/>
            <w:vAlign w:val="center"/>
          </w:tcPr>
          <w:p w14:paraId="393FB13F" w14:textId="77777777" w:rsidR="00BE0188" w:rsidRPr="001E4D45" w:rsidRDefault="00BE0188" w:rsidP="00840CCD">
            <w:pPr>
              <w:suppressAutoHyphens/>
              <w:jc w:val="center"/>
              <w:rPr>
                <w:sz w:val="20"/>
                <w:szCs w:val="20"/>
              </w:rPr>
            </w:pPr>
            <w:r w:rsidRPr="001E4D45">
              <w:rPr>
                <w:rFonts w:cs="Calibri"/>
                <w:sz w:val="20"/>
                <w:szCs w:val="20"/>
              </w:rPr>
              <w:t>548 500</w:t>
            </w:r>
          </w:p>
        </w:tc>
        <w:tc>
          <w:tcPr>
            <w:tcW w:w="1558" w:type="dxa"/>
            <w:shd w:val="clear" w:color="auto" w:fill="auto"/>
            <w:vAlign w:val="center"/>
          </w:tcPr>
          <w:p w14:paraId="5B7F8152" w14:textId="77777777" w:rsidR="00BE0188" w:rsidRPr="001E4D45" w:rsidRDefault="00BE0188" w:rsidP="00840CCD">
            <w:pPr>
              <w:suppressAutoHyphens/>
              <w:jc w:val="center"/>
              <w:rPr>
                <w:sz w:val="20"/>
                <w:szCs w:val="20"/>
              </w:rPr>
            </w:pPr>
            <w:r w:rsidRPr="001E4D45">
              <w:rPr>
                <w:rFonts w:cs="Calibri"/>
                <w:sz w:val="20"/>
                <w:szCs w:val="20"/>
              </w:rPr>
              <w:t>3,45 zł/ha</w:t>
            </w:r>
          </w:p>
        </w:tc>
      </w:tr>
      <w:tr w:rsidR="00BE0188" w:rsidRPr="001E4D45" w14:paraId="36EB0DA8" w14:textId="77777777" w:rsidTr="00840CCD">
        <w:trPr>
          <w:trHeight w:val="489"/>
        </w:trPr>
        <w:tc>
          <w:tcPr>
            <w:tcW w:w="3631" w:type="dxa"/>
            <w:shd w:val="clear" w:color="auto" w:fill="auto"/>
            <w:vAlign w:val="center"/>
          </w:tcPr>
          <w:p w14:paraId="698F529A" w14:textId="77777777" w:rsidR="00BE0188" w:rsidRPr="001E4D45" w:rsidRDefault="00BE0188" w:rsidP="00840CCD">
            <w:pPr>
              <w:suppressAutoHyphens/>
              <w:rPr>
                <w:bCs/>
                <w:sz w:val="20"/>
                <w:szCs w:val="20"/>
              </w:rPr>
            </w:pPr>
            <w:r w:rsidRPr="001E4D45">
              <w:rPr>
                <w:rFonts w:cs="Calibri"/>
                <w:sz w:val="20"/>
                <w:szCs w:val="20"/>
              </w:rPr>
              <w:t>Wydobywanie z wód kamieni, żwiru i piasku oraz wycinanie roślin**</w:t>
            </w:r>
          </w:p>
        </w:tc>
        <w:tc>
          <w:tcPr>
            <w:tcW w:w="1049" w:type="dxa"/>
            <w:vAlign w:val="center"/>
          </w:tcPr>
          <w:p w14:paraId="3A60D59B" w14:textId="77777777" w:rsidR="00BE0188" w:rsidRPr="001E4D45" w:rsidRDefault="00BE0188" w:rsidP="00840CCD">
            <w:pPr>
              <w:suppressAutoHyphens/>
              <w:jc w:val="center"/>
              <w:rPr>
                <w:rFonts w:cs="Calibri"/>
                <w:sz w:val="20"/>
                <w:szCs w:val="20"/>
              </w:rPr>
            </w:pPr>
            <w:r w:rsidRPr="001E4D45">
              <w:rPr>
                <w:rFonts w:cs="Calibri"/>
                <w:sz w:val="20"/>
                <w:szCs w:val="20"/>
              </w:rPr>
              <w:t>t</w:t>
            </w:r>
          </w:p>
        </w:tc>
        <w:tc>
          <w:tcPr>
            <w:tcW w:w="1383" w:type="dxa"/>
            <w:vAlign w:val="center"/>
          </w:tcPr>
          <w:p w14:paraId="2FEF7839" w14:textId="77777777" w:rsidR="00BE0188" w:rsidRPr="001E4D45" w:rsidRDefault="00BE0188" w:rsidP="00840CCD">
            <w:pPr>
              <w:suppressAutoHyphens/>
              <w:jc w:val="center"/>
              <w:rPr>
                <w:rFonts w:cs="Calibri"/>
                <w:sz w:val="20"/>
                <w:szCs w:val="20"/>
              </w:rPr>
            </w:pPr>
            <w:r w:rsidRPr="001E4D45">
              <w:rPr>
                <w:rFonts w:cs="Calibri"/>
                <w:sz w:val="20"/>
                <w:szCs w:val="20"/>
              </w:rPr>
              <w:t>5 731 091</w:t>
            </w:r>
          </w:p>
        </w:tc>
        <w:tc>
          <w:tcPr>
            <w:tcW w:w="1450" w:type="dxa"/>
            <w:vAlign w:val="center"/>
          </w:tcPr>
          <w:p w14:paraId="10E3DF2D" w14:textId="77777777" w:rsidR="00BE0188" w:rsidRPr="001E4D45" w:rsidRDefault="00BE0188" w:rsidP="00840CCD">
            <w:pPr>
              <w:suppressAutoHyphens/>
              <w:jc w:val="center"/>
              <w:rPr>
                <w:sz w:val="20"/>
                <w:szCs w:val="20"/>
              </w:rPr>
            </w:pPr>
            <w:r w:rsidRPr="001E4D45">
              <w:rPr>
                <w:rFonts w:cs="Calibri"/>
                <w:sz w:val="20"/>
                <w:szCs w:val="20"/>
              </w:rPr>
              <w:t>1 323 679</w:t>
            </w:r>
          </w:p>
        </w:tc>
        <w:tc>
          <w:tcPr>
            <w:tcW w:w="1558" w:type="dxa"/>
            <w:shd w:val="clear" w:color="auto" w:fill="auto"/>
            <w:vAlign w:val="center"/>
          </w:tcPr>
          <w:p w14:paraId="10F58B3B" w14:textId="77777777" w:rsidR="00BE0188" w:rsidRPr="001E4D45" w:rsidRDefault="00BE0188" w:rsidP="00840CCD">
            <w:pPr>
              <w:suppressAutoHyphens/>
              <w:jc w:val="center"/>
              <w:rPr>
                <w:sz w:val="20"/>
                <w:szCs w:val="20"/>
              </w:rPr>
            </w:pPr>
            <w:r w:rsidRPr="001E4D45">
              <w:rPr>
                <w:rFonts w:cs="Calibri"/>
                <w:sz w:val="20"/>
                <w:szCs w:val="20"/>
              </w:rPr>
              <w:t>0,23 zł/t</w:t>
            </w:r>
          </w:p>
        </w:tc>
      </w:tr>
    </w:tbl>
    <w:p w14:paraId="7277BAD9" w14:textId="77777777" w:rsidR="00BE0188" w:rsidRPr="00FA42AE" w:rsidRDefault="00BE0188" w:rsidP="00FA42AE">
      <w:pPr>
        <w:suppressAutoHyphens/>
        <w:spacing w:before="0" w:after="0"/>
        <w:ind w:left="142"/>
        <w:rPr>
          <w:rFonts w:cs="Calibri"/>
          <w:i/>
          <w:iCs/>
          <w:sz w:val="16"/>
          <w:szCs w:val="16"/>
          <w:lang w:eastAsia="zh-CN"/>
        </w:rPr>
      </w:pPr>
      <w:r w:rsidRPr="00FA42AE">
        <w:rPr>
          <w:rFonts w:cs="Calibri"/>
          <w:i/>
          <w:iCs/>
          <w:sz w:val="16"/>
          <w:szCs w:val="16"/>
          <w:lang w:eastAsia="zh-CN"/>
        </w:rPr>
        <w:t>* Dane o ilości wprowadzonych ścieków za 2019 r. podane na podstawie opracowania GUS Ochrona środowiska 2020.</w:t>
      </w:r>
    </w:p>
    <w:p w14:paraId="76480858" w14:textId="77777777" w:rsidR="00BE0188" w:rsidRPr="00FA42AE" w:rsidRDefault="00BE0188" w:rsidP="00FA42AE">
      <w:pPr>
        <w:suppressAutoHyphens/>
        <w:spacing w:before="0" w:after="0"/>
        <w:ind w:left="142"/>
        <w:rPr>
          <w:rFonts w:cs="Calibri"/>
          <w:i/>
          <w:iCs/>
          <w:sz w:val="16"/>
          <w:szCs w:val="16"/>
          <w:lang w:eastAsia="zh-CN"/>
        </w:rPr>
      </w:pPr>
      <w:r w:rsidRPr="00FA42AE">
        <w:rPr>
          <w:rFonts w:cs="Calibri"/>
          <w:i/>
          <w:iCs/>
          <w:sz w:val="16"/>
          <w:szCs w:val="16"/>
          <w:lang w:eastAsia="zh-CN"/>
        </w:rPr>
        <w:t>** Przyjęto założenie, że średnia masa nasypowa trzciny wynosi 135 kg/m</w:t>
      </w:r>
      <w:r w:rsidRPr="00FA42AE">
        <w:rPr>
          <w:rFonts w:cs="Calibri"/>
          <w:i/>
          <w:iCs/>
          <w:sz w:val="16"/>
          <w:szCs w:val="16"/>
          <w:vertAlign w:val="superscript"/>
          <w:lang w:eastAsia="zh-CN"/>
        </w:rPr>
        <w:t>3</w:t>
      </w:r>
      <w:r w:rsidRPr="00FA42AE">
        <w:rPr>
          <w:rFonts w:cs="Calibri"/>
          <w:i/>
          <w:iCs/>
          <w:sz w:val="16"/>
          <w:szCs w:val="16"/>
          <w:lang w:eastAsia="zh-CN"/>
        </w:rPr>
        <w:t>.</w:t>
      </w:r>
    </w:p>
    <w:p w14:paraId="44751F5D" w14:textId="056EB267" w:rsidR="00BE0188" w:rsidRPr="001E4D45" w:rsidRDefault="00BE0188" w:rsidP="00FA42AE">
      <w:pPr>
        <w:pStyle w:val="rdo0"/>
      </w:pPr>
      <w:r w:rsidRPr="001E4D45">
        <w:rPr>
          <w:lang w:eastAsia="zh-CN"/>
        </w:rPr>
        <w:t xml:space="preserve">Źródło: </w:t>
      </w:r>
      <w:r w:rsidRPr="00FA42AE">
        <w:t>opracowanie</w:t>
      </w:r>
      <w:r w:rsidRPr="001E4D45">
        <w:rPr>
          <w:lang w:eastAsia="zh-CN"/>
        </w:rPr>
        <w:t xml:space="preserve"> </w:t>
      </w:r>
      <w:r w:rsidR="00B773E9">
        <w:rPr>
          <w:lang w:eastAsia="zh-CN"/>
        </w:rPr>
        <w:t>własne</w:t>
      </w:r>
    </w:p>
    <w:p w14:paraId="5C411551" w14:textId="77777777" w:rsidR="00BE0188" w:rsidRPr="0034171F" w:rsidRDefault="00BE0188" w:rsidP="00B50FFD">
      <w:pPr>
        <w:pStyle w:val="Nagwek3"/>
      </w:pPr>
      <w:bookmarkStart w:id="323" w:name="_Toc63632748"/>
      <w:bookmarkStart w:id="324" w:name="_Toc68726882"/>
      <w:r w:rsidRPr="0034171F">
        <w:t>Koszty środowiskowe</w:t>
      </w:r>
      <w:bookmarkEnd w:id="323"/>
      <w:bookmarkEnd w:id="324"/>
    </w:p>
    <w:p w14:paraId="47DB98CB" w14:textId="0C1EE81F" w:rsidR="00BE0188" w:rsidRPr="001E4D45" w:rsidRDefault="00BE0188" w:rsidP="00BE0188">
      <w:pPr>
        <w:suppressAutoHyphens/>
        <w:ind w:right="113"/>
      </w:pPr>
      <w:r w:rsidRPr="001E4D45">
        <w:rPr>
          <w:rFonts w:cs="Lucida Grande"/>
        </w:rPr>
        <w:t>Koszty środowiskowe</w:t>
      </w:r>
      <w:r w:rsidRPr="001E4D45">
        <w:rPr>
          <w:rStyle w:val="Odwoanieprzypisudolnego"/>
          <w:rFonts w:cs="Lucida Grande"/>
        </w:rPr>
        <w:footnoteReference w:id="29"/>
      </w:r>
      <w:r w:rsidRPr="001E4D45">
        <w:rPr>
          <w:rFonts w:cs="Lucida Grande"/>
        </w:rPr>
        <w:t xml:space="preserve"> zostały oszacowane </w:t>
      </w:r>
      <w:r>
        <w:rPr>
          <w:rFonts w:cs="Lucida Grande"/>
        </w:rPr>
        <w:t>za</w:t>
      </w:r>
      <w:r w:rsidRPr="001E4D45">
        <w:rPr>
          <w:rFonts w:cs="Lucida Grande"/>
        </w:rPr>
        <w:t xml:space="preserve"> pomoc</w:t>
      </w:r>
      <w:r>
        <w:rPr>
          <w:rFonts w:cs="Lucida Grande"/>
        </w:rPr>
        <w:t>ą</w:t>
      </w:r>
      <w:r w:rsidRPr="001E4D45">
        <w:rPr>
          <w:rFonts w:cs="Lucida Grande"/>
        </w:rPr>
        <w:t xml:space="preserve"> metody wyceny warunkowej, a</w:t>
      </w:r>
      <w:r>
        <w:rPr>
          <w:rFonts w:cs="Lucida Grande"/>
        </w:rPr>
        <w:t xml:space="preserve"> </w:t>
      </w:r>
      <w:r w:rsidRPr="001E4D45">
        <w:rPr>
          <w:rFonts w:cs="Lucida Grande"/>
        </w:rPr>
        <w:t>dokładnie poprzez pomiar wskaźnika WTP (skłonności do ponoszenia wydatków). Zadeklarowana gotowość do płacenia na rzecz poprawy jakości wód jest utożsamiana z wartością utraconych korzyści wynikających z nieprawidłowego stanu zasobów wodnych. Podstawowe badania zostały zrealizowane na Uniwersytecie Warszawskim w 2004 r.</w:t>
      </w:r>
      <w:r w:rsidRPr="001E4D45">
        <w:rPr>
          <w:rFonts w:cs="Lucida Grande"/>
          <w:vertAlign w:val="superscript"/>
        </w:rPr>
        <w:footnoteReference w:id="30"/>
      </w:r>
      <w:r w:rsidRPr="001E4D45">
        <w:rPr>
          <w:rFonts w:cs="Lucida Grande"/>
        </w:rPr>
        <w:t>, a w 2007 r. opracowano metodę aktualizacji wyników w</w:t>
      </w:r>
      <w:r w:rsidR="00430805">
        <w:rPr>
          <w:rFonts w:cs="Lucida Grande"/>
        </w:rPr>
        <w:t> </w:t>
      </w:r>
      <w:r w:rsidRPr="001E4D45">
        <w:rPr>
          <w:rFonts w:cs="Lucida Grande"/>
        </w:rPr>
        <w:t>oparciu o zmianę podstawowych parametrów socjoekonomicznych oraz postępu prac w</w:t>
      </w:r>
      <w:r>
        <w:rPr>
          <w:rFonts w:cs="Lucida Grande"/>
        </w:rPr>
        <w:t xml:space="preserve"> </w:t>
      </w:r>
      <w:r w:rsidRPr="001E4D45">
        <w:rPr>
          <w:rFonts w:cs="Lucida Grande"/>
        </w:rPr>
        <w:t>zakresie poprawy jakości wód.</w:t>
      </w:r>
    </w:p>
    <w:p w14:paraId="4E8191D1" w14:textId="51E35BBC" w:rsidR="00BE0188" w:rsidRPr="001E4D45" w:rsidRDefault="00BE0188" w:rsidP="00BE0188">
      <w:pPr>
        <w:suppressAutoHyphens/>
        <w:ind w:right="113"/>
        <w:rPr>
          <w:rFonts w:cs="Lucida Grande"/>
        </w:rPr>
      </w:pPr>
      <w:r w:rsidRPr="001E4D45">
        <w:rPr>
          <w:rFonts w:cs="Lucida Grande"/>
        </w:rPr>
        <w:t>Finalnie przyjęto wartość WTP w wysokości 1</w:t>
      </w:r>
      <w:bookmarkStart w:id="325" w:name="_Hlk63631344"/>
      <w:r w:rsidRPr="001E4D45">
        <w:rPr>
          <w:rFonts w:cs="Lucida Grande"/>
        </w:rPr>
        <w:t>34,3 zł/os</w:t>
      </w:r>
      <w:r>
        <w:rPr>
          <w:rFonts w:cs="Lucida Grande"/>
        </w:rPr>
        <w:t>.</w:t>
      </w:r>
      <w:r w:rsidRPr="001E4D45">
        <w:rPr>
          <w:rFonts w:cs="Lucida Grande"/>
        </w:rPr>
        <w:t>/r</w:t>
      </w:r>
      <w:r>
        <w:rPr>
          <w:rFonts w:cs="Lucida Grande"/>
        </w:rPr>
        <w:t>.</w:t>
      </w:r>
      <w:r w:rsidRPr="001E4D45">
        <w:rPr>
          <w:rFonts w:cs="Lucida Grande"/>
        </w:rPr>
        <w:t xml:space="preserve"> w 2017 r. </w:t>
      </w:r>
      <w:r w:rsidR="006C4947">
        <w:rPr>
          <w:rFonts w:cs="Lucida Grande"/>
        </w:rPr>
        <w:t>-</w:t>
      </w:r>
      <w:r w:rsidRPr="001E4D45">
        <w:rPr>
          <w:rFonts w:cs="Lucida Grande"/>
        </w:rPr>
        <w:t xml:space="preserve"> jako średni</w:t>
      </w:r>
      <w:r>
        <w:rPr>
          <w:rFonts w:cs="Lucida Grande"/>
        </w:rPr>
        <w:t>ą</w:t>
      </w:r>
      <w:r w:rsidRPr="001E4D45">
        <w:rPr>
          <w:rFonts w:cs="Lucida Grande"/>
        </w:rPr>
        <w:t xml:space="preserve"> dla całej Polski. Na potrzeby </w:t>
      </w:r>
      <w:r>
        <w:rPr>
          <w:rFonts w:cs="Lucida Grande"/>
        </w:rPr>
        <w:t xml:space="preserve">IIaPGW </w:t>
      </w:r>
      <w:r w:rsidRPr="001E4D45">
        <w:rPr>
          <w:rFonts w:cs="Lucida Grande"/>
        </w:rPr>
        <w:t xml:space="preserve">wartość ta została dodatkowo skorygowana o wskaźnik wzrostu dochodu rozporządzalnego w 2018 r. (według danych GUS wyniósł </w:t>
      </w:r>
      <w:r>
        <w:rPr>
          <w:rFonts w:cs="Lucida Grande"/>
        </w:rPr>
        <w:t xml:space="preserve">on </w:t>
      </w:r>
      <w:r w:rsidRPr="001E4D45">
        <w:rPr>
          <w:rFonts w:cs="Lucida Grande"/>
        </w:rPr>
        <w:t xml:space="preserve">5,94%) celem uwzględnienia tych danych w szacowaniu stopy zwrotu kosztów usług wodnych w 2018 r. Dlatego też wartość wskaźnika WTP dla 2018 r. wyniosła </w:t>
      </w:r>
      <w:r>
        <w:rPr>
          <w:rFonts w:cs="Lucida Grande"/>
        </w:rPr>
        <w:t xml:space="preserve">średnio </w:t>
      </w:r>
      <w:r w:rsidRPr="001E4D45">
        <w:rPr>
          <w:rFonts w:cs="Lucida Grande"/>
        </w:rPr>
        <w:t>149,2 zł/os</w:t>
      </w:r>
      <w:r>
        <w:rPr>
          <w:rFonts w:cs="Lucida Grande"/>
        </w:rPr>
        <w:t>.</w:t>
      </w:r>
      <w:r w:rsidRPr="001E4D45">
        <w:rPr>
          <w:rFonts w:cs="Lucida Grande"/>
        </w:rPr>
        <w:t>/r</w:t>
      </w:r>
      <w:r>
        <w:rPr>
          <w:rFonts w:cs="Lucida Grande"/>
        </w:rPr>
        <w:t>.</w:t>
      </w:r>
      <w:r w:rsidRPr="001E4D45">
        <w:rPr>
          <w:rFonts w:cs="Lucida Grande"/>
        </w:rPr>
        <w:t xml:space="preserve"> dla obszaru całej Polski</w:t>
      </w:r>
      <w:r w:rsidRPr="001E4D45">
        <w:rPr>
          <w:rStyle w:val="Odwoanieprzypisudolnego"/>
          <w:rFonts w:cs="Lucida Grande"/>
        </w:rPr>
        <w:footnoteReference w:id="31"/>
      </w:r>
      <w:r w:rsidRPr="001E4D45">
        <w:rPr>
          <w:rFonts w:cs="Lucida Grande"/>
        </w:rPr>
        <w:t>.</w:t>
      </w:r>
    </w:p>
    <w:bookmarkEnd w:id="325"/>
    <w:p w14:paraId="5BC3D23F" w14:textId="77777777" w:rsidR="00BE0188" w:rsidRPr="001E4D45" w:rsidRDefault="00BE0188" w:rsidP="00BE0188">
      <w:pPr>
        <w:suppressAutoHyphens/>
        <w:ind w:right="113"/>
        <w:rPr>
          <w:rFonts w:cs="Lucida Grande"/>
        </w:rPr>
      </w:pPr>
      <w:r w:rsidRPr="001E4D45">
        <w:rPr>
          <w:rFonts w:cs="Lucida Grande"/>
        </w:rPr>
        <w:t>Łączne koszty środowiskowe dla całego kraju w 2018</w:t>
      </w:r>
      <w:r>
        <w:rPr>
          <w:rFonts w:cs="Lucida Grande"/>
        </w:rPr>
        <w:t xml:space="preserve"> </w:t>
      </w:r>
      <w:r w:rsidRPr="001E4D45">
        <w:rPr>
          <w:rFonts w:cs="Lucida Grande"/>
        </w:rPr>
        <w:t xml:space="preserve">r. </w:t>
      </w:r>
      <w:r w:rsidRPr="003B4A43">
        <w:rPr>
          <w:rFonts w:cs="Lucida Grande"/>
        </w:rPr>
        <w:t>wyniosły 5726,6 mln zł, przy czym dla obszaru dorzecza Pregoły koszty środowiskowe w 2018 r. wyniosły 77 mln zł.</w:t>
      </w:r>
    </w:p>
    <w:p w14:paraId="02659421" w14:textId="5751AEED" w:rsidR="00BE0188" w:rsidRPr="001E4D45" w:rsidRDefault="00BE0188" w:rsidP="003C76C5">
      <w:r w:rsidRPr="001E4D45">
        <w:t>Powyższe koszty środowiskowe zostały podzielone na sektor komunalny, przemysłowy oraz rolnictwo według zrzutu ładunków oszacowanego dla sektora komunalnego oraz przemysłu na podstawie danych GUS, a w przypadku rolnictwa w</w:t>
      </w:r>
      <w:r>
        <w:t>edłu</w:t>
      </w:r>
      <w:r w:rsidRPr="001E4D45">
        <w:t>g presji mierzonej w DJP przy założeniu określonego współczynnika spływu ładunku</w:t>
      </w:r>
      <w:r w:rsidR="00156C67">
        <w:t xml:space="preserve"> (tabela 11-4)</w:t>
      </w:r>
      <w:r>
        <w:t>.</w:t>
      </w:r>
    </w:p>
    <w:p w14:paraId="5CF655CA" w14:textId="0DD129BD" w:rsidR="00BE0188" w:rsidRPr="001E4D45" w:rsidRDefault="00BE0188" w:rsidP="006802BB">
      <w:pPr>
        <w:pStyle w:val="Tabela"/>
      </w:pPr>
      <w:bookmarkStart w:id="326" w:name="_Toc68727016"/>
      <w:r w:rsidRPr="001E4D45">
        <w:t xml:space="preserve">Tabela </w:t>
      </w:r>
      <w:fldSimple w:instr=" STYLEREF 1 \s ">
        <w:r w:rsidR="007B4050">
          <w:rPr>
            <w:noProof/>
          </w:rPr>
          <w:t>11</w:t>
        </w:r>
      </w:fldSimple>
      <w:r w:rsidR="007B4050">
        <w:noBreakHyphen/>
      </w:r>
      <w:fldSimple w:instr=" SEQ Tabela \* ARABIC \s 1 ">
        <w:r w:rsidR="007B4050">
          <w:rPr>
            <w:noProof/>
          </w:rPr>
          <w:t>4</w:t>
        </w:r>
      </w:fldSimple>
      <w:r w:rsidR="004A1B76">
        <w:tab/>
      </w:r>
      <w:r w:rsidRPr="001E4D45">
        <w:t>Podział kosztów środowiskowych pomiędzy sektory w 2018 r.</w:t>
      </w:r>
      <w:bookmarkEnd w:id="32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1540"/>
        <w:gridCol w:w="2658"/>
        <w:gridCol w:w="2797"/>
      </w:tblGrid>
      <w:tr w:rsidR="00BE0188" w:rsidRPr="001E4D45" w14:paraId="031C797F" w14:textId="77777777" w:rsidTr="00FA42AE">
        <w:trPr>
          <w:trHeight w:val="482"/>
        </w:trPr>
        <w:tc>
          <w:tcPr>
            <w:tcW w:w="1959" w:type="dxa"/>
            <w:shd w:val="clear" w:color="auto" w:fill="BFBFBF" w:themeFill="background1" w:themeFillShade="BF"/>
            <w:vAlign w:val="center"/>
          </w:tcPr>
          <w:p w14:paraId="7146089C" w14:textId="77777777" w:rsidR="00BE0188" w:rsidRPr="001E4D45" w:rsidRDefault="00BE0188" w:rsidP="00FA42AE">
            <w:pPr>
              <w:suppressAutoHyphens/>
              <w:jc w:val="center"/>
              <w:rPr>
                <w:b/>
                <w:bCs/>
                <w:sz w:val="20"/>
                <w:szCs w:val="20"/>
              </w:rPr>
            </w:pPr>
            <w:r w:rsidRPr="001E4D45">
              <w:rPr>
                <w:rFonts w:cs="Calibri"/>
                <w:b/>
                <w:bCs/>
                <w:sz w:val="20"/>
                <w:szCs w:val="20"/>
              </w:rPr>
              <w:t>Sektor</w:t>
            </w:r>
          </w:p>
        </w:tc>
        <w:tc>
          <w:tcPr>
            <w:tcW w:w="1540" w:type="dxa"/>
            <w:shd w:val="clear" w:color="auto" w:fill="BFBFBF" w:themeFill="background1" w:themeFillShade="BF"/>
            <w:vAlign w:val="center"/>
          </w:tcPr>
          <w:p w14:paraId="26C54DE5" w14:textId="1307AFC9" w:rsidR="00BE0188" w:rsidRPr="001E4D45" w:rsidRDefault="00BE0188" w:rsidP="00FA42AE">
            <w:pPr>
              <w:suppressAutoHyphens/>
              <w:jc w:val="center"/>
              <w:rPr>
                <w:rFonts w:cs="Calibri"/>
                <w:b/>
                <w:bCs/>
                <w:sz w:val="20"/>
                <w:szCs w:val="20"/>
              </w:rPr>
            </w:pPr>
            <w:r w:rsidRPr="001E4D45">
              <w:rPr>
                <w:rFonts w:cs="Calibri"/>
                <w:b/>
                <w:bCs/>
                <w:sz w:val="20"/>
                <w:szCs w:val="20"/>
              </w:rPr>
              <w:t>Klucz podziału</w:t>
            </w:r>
            <w:r w:rsidR="00FA42AE">
              <w:rPr>
                <w:rFonts w:cs="Calibri"/>
                <w:b/>
                <w:bCs/>
                <w:sz w:val="20"/>
                <w:szCs w:val="20"/>
              </w:rPr>
              <w:t xml:space="preserve"> (%)</w:t>
            </w:r>
          </w:p>
        </w:tc>
        <w:tc>
          <w:tcPr>
            <w:tcW w:w="2658" w:type="dxa"/>
            <w:shd w:val="clear" w:color="auto" w:fill="BFBFBF" w:themeFill="background1" w:themeFillShade="BF"/>
            <w:vAlign w:val="center"/>
          </w:tcPr>
          <w:p w14:paraId="7A4A2287" w14:textId="6A36C534" w:rsidR="00BE0188" w:rsidRPr="001E4D45" w:rsidRDefault="00BE0188" w:rsidP="00FA42AE">
            <w:pPr>
              <w:suppressAutoHyphens/>
              <w:jc w:val="center"/>
              <w:rPr>
                <w:rFonts w:cs="Calibri"/>
                <w:b/>
                <w:bCs/>
                <w:sz w:val="20"/>
                <w:szCs w:val="20"/>
              </w:rPr>
            </w:pPr>
            <w:r w:rsidRPr="001E4D45">
              <w:rPr>
                <w:rFonts w:cs="Calibri"/>
                <w:b/>
                <w:bCs/>
                <w:sz w:val="20"/>
                <w:szCs w:val="20"/>
              </w:rPr>
              <w:t xml:space="preserve">Wartość kosztów środowiskowych w Polsce </w:t>
            </w:r>
            <w:r w:rsidR="00FA42AE">
              <w:rPr>
                <w:rFonts w:cs="Calibri"/>
                <w:b/>
                <w:bCs/>
                <w:sz w:val="20"/>
                <w:szCs w:val="20"/>
              </w:rPr>
              <w:t>(</w:t>
            </w:r>
            <w:r w:rsidRPr="001E4D45">
              <w:rPr>
                <w:rFonts w:cs="Calibri"/>
                <w:b/>
                <w:bCs/>
                <w:sz w:val="20"/>
                <w:szCs w:val="20"/>
              </w:rPr>
              <w:t>mln zł</w:t>
            </w:r>
            <w:r w:rsidR="00FA42AE">
              <w:rPr>
                <w:rFonts w:cs="Calibri"/>
                <w:b/>
                <w:bCs/>
                <w:sz w:val="20"/>
                <w:szCs w:val="20"/>
              </w:rPr>
              <w:t>)</w:t>
            </w:r>
          </w:p>
        </w:tc>
        <w:tc>
          <w:tcPr>
            <w:tcW w:w="2797" w:type="dxa"/>
            <w:shd w:val="clear" w:color="auto" w:fill="BFBFBF" w:themeFill="background1" w:themeFillShade="BF"/>
          </w:tcPr>
          <w:p w14:paraId="091B9B2B" w14:textId="0E897A36" w:rsidR="00BE0188" w:rsidRPr="005854D9" w:rsidRDefault="00BE0188" w:rsidP="00FA42AE">
            <w:pPr>
              <w:suppressAutoHyphens/>
              <w:jc w:val="center"/>
              <w:rPr>
                <w:rFonts w:cs="Calibri"/>
                <w:b/>
                <w:bCs/>
                <w:sz w:val="20"/>
                <w:szCs w:val="20"/>
              </w:rPr>
            </w:pPr>
            <w:r w:rsidRPr="005854D9">
              <w:rPr>
                <w:rFonts w:cs="Calibri"/>
                <w:b/>
                <w:bCs/>
                <w:sz w:val="20"/>
                <w:szCs w:val="20"/>
              </w:rPr>
              <w:t xml:space="preserve">Wartość kosztów </w:t>
            </w:r>
            <w:r w:rsidRPr="00DD1DD3">
              <w:rPr>
                <w:rFonts w:cs="Calibri"/>
                <w:b/>
                <w:bCs/>
                <w:sz w:val="20"/>
                <w:szCs w:val="20"/>
              </w:rPr>
              <w:t>środowiskowych obszar dorzecza Pregoły</w:t>
            </w:r>
            <w:r w:rsidRPr="005854D9">
              <w:rPr>
                <w:rFonts w:cs="Calibri"/>
                <w:b/>
                <w:bCs/>
                <w:sz w:val="20"/>
                <w:szCs w:val="20"/>
              </w:rPr>
              <w:t xml:space="preserve"> </w:t>
            </w:r>
            <w:r w:rsidR="00FA42AE">
              <w:rPr>
                <w:rFonts w:cs="Calibri"/>
                <w:b/>
                <w:bCs/>
                <w:sz w:val="20"/>
                <w:szCs w:val="20"/>
              </w:rPr>
              <w:t>(</w:t>
            </w:r>
            <w:r w:rsidRPr="005854D9">
              <w:rPr>
                <w:rFonts w:cs="Calibri"/>
                <w:b/>
                <w:bCs/>
                <w:sz w:val="20"/>
                <w:szCs w:val="20"/>
              </w:rPr>
              <w:t>mln zł</w:t>
            </w:r>
            <w:r w:rsidR="00FA42AE">
              <w:rPr>
                <w:rFonts w:cs="Calibri"/>
                <w:b/>
                <w:bCs/>
                <w:sz w:val="20"/>
                <w:szCs w:val="20"/>
              </w:rPr>
              <w:t>)</w:t>
            </w:r>
          </w:p>
        </w:tc>
      </w:tr>
      <w:tr w:rsidR="00BE0188" w:rsidRPr="001E4D45" w14:paraId="012799DA" w14:textId="77777777" w:rsidTr="00B773E9">
        <w:trPr>
          <w:trHeight w:val="482"/>
        </w:trPr>
        <w:tc>
          <w:tcPr>
            <w:tcW w:w="1959" w:type="dxa"/>
            <w:shd w:val="clear" w:color="auto" w:fill="auto"/>
            <w:vAlign w:val="center"/>
          </w:tcPr>
          <w:p w14:paraId="766DAB70" w14:textId="77777777" w:rsidR="00BE0188" w:rsidRPr="001E4D45" w:rsidRDefault="00BE0188" w:rsidP="00840CCD">
            <w:pPr>
              <w:suppressAutoHyphens/>
              <w:rPr>
                <w:bCs/>
                <w:sz w:val="20"/>
                <w:szCs w:val="20"/>
              </w:rPr>
            </w:pPr>
            <w:r w:rsidRPr="001E4D45">
              <w:rPr>
                <w:rFonts w:cs="Calibri"/>
                <w:sz w:val="20"/>
                <w:szCs w:val="20"/>
              </w:rPr>
              <w:t>Komunalny</w:t>
            </w:r>
          </w:p>
        </w:tc>
        <w:tc>
          <w:tcPr>
            <w:tcW w:w="1540" w:type="dxa"/>
            <w:vAlign w:val="center"/>
          </w:tcPr>
          <w:p w14:paraId="6856F1A1" w14:textId="4B221899" w:rsidR="00BE0188" w:rsidRPr="001E4D45" w:rsidRDefault="00BE0188" w:rsidP="00840CCD">
            <w:pPr>
              <w:suppressAutoHyphens/>
              <w:jc w:val="center"/>
              <w:rPr>
                <w:rFonts w:cs="Calibri"/>
                <w:sz w:val="20"/>
                <w:szCs w:val="20"/>
              </w:rPr>
            </w:pPr>
            <w:r w:rsidRPr="001E4D45">
              <w:rPr>
                <w:rFonts w:cs="Calibri"/>
                <w:sz w:val="20"/>
                <w:szCs w:val="20"/>
              </w:rPr>
              <w:t>33</w:t>
            </w:r>
          </w:p>
        </w:tc>
        <w:tc>
          <w:tcPr>
            <w:tcW w:w="2658" w:type="dxa"/>
            <w:vAlign w:val="center"/>
          </w:tcPr>
          <w:p w14:paraId="6A80ADB0" w14:textId="77777777" w:rsidR="00BE0188" w:rsidRPr="001E4D45" w:rsidRDefault="00BE0188" w:rsidP="00840CCD">
            <w:pPr>
              <w:suppressAutoHyphens/>
              <w:jc w:val="center"/>
              <w:rPr>
                <w:rFonts w:cs="Calibri"/>
                <w:sz w:val="20"/>
                <w:szCs w:val="20"/>
              </w:rPr>
            </w:pPr>
            <w:r w:rsidRPr="001E4D45">
              <w:rPr>
                <w:rFonts w:cs="Calibri"/>
                <w:color w:val="000000"/>
                <w:sz w:val="20"/>
                <w:szCs w:val="20"/>
              </w:rPr>
              <w:t>1889,78</w:t>
            </w:r>
          </w:p>
        </w:tc>
        <w:tc>
          <w:tcPr>
            <w:tcW w:w="2797" w:type="dxa"/>
            <w:vAlign w:val="bottom"/>
          </w:tcPr>
          <w:p w14:paraId="659430F8" w14:textId="77777777" w:rsidR="00BE0188" w:rsidRPr="00DD1DD3" w:rsidRDefault="00BE0188" w:rsidP="00840CCD">
            <w:pPr>
              <w:suppressAutoHyphens/>
              <w:jc w:val="center"/>
              <w:rPr>
                <w:rFonts w:cs="Calibri"/>
                <w:color w:val="000000"/>
                <w:sz w:val="20"/>
                <w:szCs w:val="20"/>
              </w:rPr>
            </w:pPr>
            <w:r w:rsidRPr="00DD1DD3">
              <w:rPr>
                <w:rFonts w:cs="Calibri"/>
                <w:color w:val="000000"/>
                <w:sz w:val="20"/>
                <w:szCs w:val="20"/>
              </w:rPr>
              <w:t>25,41</w:t>
            </w:r>
          </w:p>
        </w:tc>
      </w:tr>
      <w:tr w:rsidR="00BE0188" w:rsidRPr="001E4D45" w14:paraId="65B03524" w14:textId="77777777" w:rsidTr="00B773E9">
        <w:trPr>
          <w:trHeight w:val="482"/>
        </w:trPr>
        <w:tc>
          <w:tcPr>
            <w:tcW w:w="1959" w:type="dxa"/>
            <w:shd w:val="clear" w:color="auto" w:fill="auto"/>
            <w:vAlign w:val="center"/>
          </w:tcPr>
          <w:p w14:paraId="6745E80E" w14:textId="77777777" w:rsidR="00BE0188" w:rsidRPr="001E4D45" w:rsidRDefault="00BE0188" w:rsidP="00840CCD">
            <w:pPr>
              <w:tabs>
                <w:tab w:val="right" w:pos="2852"/>
              </w:tabs>
              <w:suppressAutoHyphens/>
              <w:rPr>
                <w:bCs/>
                <w:sz w:val="20"/>
                <w:szCs w:val="20"/>
              </w:rPr>
            </w:pPr>
            <w:r w:rsidRPr="001E4D45">
              <w:rPr>
                <w:rFonts w:cs="Calibri"/>
                <w:sz w:val="20"/>
                <w:szCs w:val="20"/>
              </w:rPr>
              <w:t>Przemysł</w:t>
            </w:r>
          </w:p>
        </w:tc>
        <w:tc>
          <w:tcPr>
            <w:tcW w:w="1540" w:type="dxa"/>
            <w:vAlign w:val="center"/>
          </w:tcPr>
          <w:p w14:paraId="7FE45333" w14:textId="76167B26" w:rsidR="00BE0188" w:rsidRPr="001E4D45" w:rsidRDefault="00BE0188" w:rsidP="00840CCD">
            <w:pPr>
              <w:suppressAutoHyphens/>
              <w:jc w:val="center"/>
              <w:rPr>
                <w:rFonts w:cs="Calibri"/>
                <w:sz w:val="20"/>
                <w:szCs w:val="20"/>
              </w:rPr>
            </w:pPr>
            <w:r w:rsidRPr="001E4D45">
              <w:rPr>
                <w:rFonts w:cs="Calibri"/>
                <w:sz w:val="20"/>
                <w:szCs w:val="20"/>
              </w:rPr>
              <w:t>8</w:t>
            </w:r>
          </w:p>
        </w:tc>
        <w:tc>
          <w:tcPr>
            <w:tcW w:w="2658" w:type="dxa"/>
            <w:vAlign w:val="center"/>
          </w:tcPr>
          <w:p w14:paraId="7558C954" w14:textId="77777777" w:rsidR="00BE0188" w:rsidRPr="001E4D45" w:rsidRDefault="00BE0188" w:rsidP="00840CCD">
            <w:pPr>
              <w:suppressAutoHyphens/>
              <w:jc w:val="center"/>
              <w:rPr>
                <w:rFonts w:cs="Calibri"/>
                <w:sz w:val="20"/>
                <w:szCs w:val="20"/>
              </w:rPr>
            </w:pPr>
            <w:r w:rsidRPr="001E4D45">
              <w:rPr>
                <w:rFonts w:cs="Calibri"/>
                <w:color w:val="000000"/>
                <w:sz w:val="20"/>
                <w:szCs w:val="20"/>
              </w:rPr>
              <w:t>458,13</w:t>
            </w:r>
          </w:p>
        </w:tc>
        <w:tc>
          <w:tcPr>
            <w:tcW w:w="2797" w:type="dxa"/>
            <w:vAlign w:val="bottom"/>
          </w:tcPr>
          <w:p w14:paraId="6A309AD1" w14:textId="77777777" w:rsidR="00BE0188" w:rsidRPr="00DD1DD3" w:rsidRDefault="00BE0188" w:rsidP="00840CCD">
            <w:pPr>
              <w:suppressAutoHyphens/>
              <w:jc w:val="center"/>
              <w:rPr>
                <w:rFonts w:cs="Calibri"/>
                <w:color w:val="000000"/>
                <w:sz w:val="20"/>
                <w:szCs w:val="20"/>
              </w:rPr>
            </w:pPr>
            <w:r w:rsidRPr="00DD1DD3">
              <w:rPr>
                <w:rFonts w:cs="Calibri"/>
                <w:color w:val="000000"/>
                <w:sz w:val="20"/>
                <w:szCs w:val="20"/>
              </w:rPr>
              <w:t>6,16</w:t>
            </w:r>
          </w:p>
        </w:tc>
      </w:tr>
      <w:tr w:rsidR="00BE0188" w:rsidRPr="001E4D45" w14:paraId="131CFE45" w14:textId="77777777" w:rsidTr="00B773E9">
        <w:trPr>
          <w:trHeight w:val="482"/>
        </w:trPr>
        <w:tc>
          <w:tcPr>
            <w:tcW w:w="1959" w:type="dxa"/>
            <w:shd w:val="clear" w:color="auto" w:fill="auto"/>
            <w:vAlign w:val="center"/>
          </w:tcPr>
          <w:p w14:paraId="33F39187" w14:textId="77777777" w:rsidR="00BE0188" w:rsidRPr="001E4D45" w:rsidRDefault="00BE0188" w:rsidP="00840CCD">
            <w:pPr>
              <w:suppressAutoHyphens/>
              <w:rPr>
                <w:rFonts w:cs="Calibri"/>
                <w:sz w:val="20"/>
                <w:szCs w:val="20"/>
              </w:rPr>
            </w:pPr>
            <w:r w:rsidRPr="001E4D45">
              <w:rPr>
                <w:rFonts w:cs="Calibri"/>
                <w:sz w:val="20"/>
                <w:szCs w:val="20"/>
              </w:rPr>
              <w:t>Rolnictwo</w:t>
            </w:r>
          </w:p>
        </w:tc>
        <w:tc>
          <w:tcPr>
            <w:tcW w:w="1540" w:type="dxa"/>
            <w:vAlign w:val="center"/>
          </w:tcPr>
          <w:p w14:paraId="2222ADA7" w14:textId="577F4B47" w:rsidR="00BE0188" w:rsidRPr="001E4D45" w:rsidRDefault="00BE0188" w:rsidP="00840CCD">
            <w:pPr>
              <w:suppressAutoHyphens/>
              <w:jc w:val="center"/>
              <w:rPr>
                <w:rFonts w:cs="Calibri"/>
                <w:sz w:val="20"/>
                <w:szCs w:val="20"/>
              </w:rPr>
            </w:pPr>
            <w:r w:rsidRPr="001E4D45">
              <w:rPr>
                <w:rFonts w:cs="Calibri"/>
                <w:sz w:val="20"/>
                <w:szCs w:val="20"/>
              </w:rPr>
              <w:t>59</w:t>
            </w:r>
          </w:p>
        </w:tc>
        <w:tc>
          <w:tcPr>
            <w:tcW w:w="2658" w:type="dxa"/>
            <w:vAlign w:val="center"/>
          </w:tcPr>
          <w:p w14:paraId="276CAFB1" w14:textId="77777777" w:rsidR="00BE0188" w:rsidRPr="001E4D45" w:rsidRDefault="00BE0188" w:rsidP="00840CCD">
            <w:pPr>
              <w:suppressAutoHyphens/>
              <w:jc w:val="center"/>
              <w:rPr>
                <w:rFonts w:cs="Calibri"/>
                <w:sz w:val="20"/>
                <w:szCs w:val="20"/>
              </w:rPr>
            </w:pPr>
            <w:r w:rsidRPr="001E4D45">
              <w:rPr>
                <w:rFonts w:cs="Calibri"/>
                <w:color w:val="000000"/>
                <w:sz w:val="20"/>
                <w:szCs w:val="20"/>
              </w:rPr>
              <w:t>3378,70</w:t>
            </w:r>
          </w:p>
        </w:tc>
        <w:tc>
          <w:tcPr>
            <w:tcW w:w="2797" w:type="dxa"/>
            <w:vAlign w:val="bottom"/>
          </w:tcPr>
          <w:p w14:paraId="0F9CF2D8" w14:textId="77777777" w:rsidR="00BE0188" w:rsidRPr="00DD1DD3" w:rsidRDefault="00BE0188" w:rsidP="00840CCD">
            <w:pPr>
              <w:suppressAutoHyphens/>
              <w:jc w:val="center"/>
              <w:rPr>
                <w:rFonts w:cs="Calibri"/>
                <w:color w:val="000000"/>
                <w:sz w:val="20"/>
                <w:szCs w:val="20"/>
              </w:rPr>
            </w:pPr>
            <w:r w:rsidRPr="00DD1DD3">
              <w:rPr>
                <w:rFonts w:cs="Calibri"/>
                <w:color w:val="000000"/>
                <w:sz w:val="20"/>
                <w:szCs w:val="20"/>
              </w:rPr>
              <w:t>45,43</w:t>
            </w:r>
          </w:p>
        </w:tc>
      </w:tr>
      <w:tr w:rsidR="00BE0188" w:rsidRPr="001E4D45" w14:paraId="4D150625" w14:textId="77777777" w:rsidTr="00FA42AE">
        <w:trPr>
          <w:trHeight w:val="482"/>
        </w:trPr>
        <w:tc>
          <w:tcPr>
            <w:tcW w:w="1959" w:type="dxa"/>
            <w:shd w:val="clear" w:color="auto" w:fill="BFBFBF" w:themeFill="background1" w:themeFillShade="BF"/>
            <w:vAlign w:val="center"/>
          </w:tcPr>
          <w:p w14:paraId="5A536093" w14:textId="77777777" w:rsidR="00BE0188" w:rsidRPr="001E4D45" w:rsidRDefault="00BE0188" w:rsidP="00FA42AE">
            <w:pPr>
              <w:suppressAutoHyphens/>
              <w:jc w:val="center"/>
              <w:rPr>
                <w:b/>
                <w:bCs/>
                <w:sz w:val="20"/>
                <w:szCs w:val="20"/>
              </w:rPr>
            </w:pPr>
            <w:r w:rsidRPr="001E4D45">
              <w:rPr>
                <w:rFonts w:cs="Calibri"/>
                <w:b/>
                <w:bCs/>
                <w:sz w:val="20"/>
                <w:szCs w:val="20"/>
              </w:rPr>
              <w:t>RAZEM</w:t>
            </w:r>
          </w:p>
        </w:tc>
        <w:tc>
          <w:tcPr>
            <w:tcW w:w="1540" w:type="dxa"/>
            <w:shd w:val="clear" w:color="auto" w:fill="BFBFBF" w:themeFill="background1" w:themeFillShade="BF"/>
            <w:vAlign w:val="center"/>
          </w:tcPr>
          <w:p w14:paraId="4BACDA7E" w14:textId="77777777" w:rsidR="00BE0188" w:rsidRPr="001E4D45" w:rsidRDefault="00BE0188" w:rsidP="00FA42AE">
            <w:pPr>
              <w:suppressAutoHyphens/>
              <w:jc w:val="center"/>
              <w:rPr>
                <w:rFonts w:cs="Calibri"/>
                <w:b/>
                <w:bCs/>
                <w:sz w:val="20"/>
                <w:szCs w:val="20"/>
              </w:rPr>
            </w:pPr>
            <w:r w:rsidRPr="001E4D45">
              <w:rPr>
                <w:rFonts w:cs="Calibri"/>
                <w:b/>
                <w:bCs/>
                <w:sz w:val="20"/>
                <w:szCs w:val="20"/>
              </w:rPr>
              <w:t>100%</w:t>
            </w:r>
          </w:p>
        </w:tc>
        <w:tc>
          <w:tcPr>
            <w:tcW w:w="2658" w:type="dxa"/>
            <w:shd w:val="clear" w:color="auto" w:fill="BFBFBF" w:themeFill="background1" w:themeFillShade="BF"/>
            <w:vAlign w:val="center"/>
          </w:tcPr>
          <w:p w14:paraId="4146ED9D" w14:textId="77777777" w:rsidR="00BE0188" w:rsidRPr="001E4D45" w:rsidRDefault="00BE0188" w:rsidP="00FA42AE">
            <w:pPr>
              <w:suppressAutoHyphens/>
              <w:jc w:val="center"/>
              <w:rPr>
                <w:rFonts w:cs="Calibri"/>
                <w:b/>
                <w:bCs/>
                <w:sz w:val="20"/>
                <w:szCs w:val="20"/>
              </w:rPr>
            </w:pPr>
            <w:r w:rsidRPr="001E4D45">
              <w:rPr>
                <w:rFonts w:cs="Calibri"/>
                <w:b/>
                <w:bCs/>
                <w:color w:val="000000"/>
                <w:sz w:val="20"/>
                <w:szCs w:val="20"/>
              </w:rPr>
              <w:t>5726,61</w:t>
            </w:r>
          </w:p>
        </w:tc>
        <w:tc>
          <w:tcPr>
            <w:tcW w:w="2797" w:type="dxa"/>
            <w:shd w:val="clear" w:color="auto" w:fill="BFBFBF" w:themeFill="background1" w:themeFillShade="BF"/>
            <w:vAlign w:val="bottom"/>
          </w:tcPr>
          <w:p w14:paraId="591671B5" w14:textId="77777777" w:rsidR="00BE0188" w:rsidRPr="00DD1DD3" w:rsidRDefault="00BE0188" w:rsidP="00FA42AE">
            <w:pPr>
              <w:suppressAutoHyphens/>
              <w:jc w:val="center"/>
              <w:rPr>
                <w:rFonts w:cs="Calibri"/>
                <w:b/>
                <w:color w:val="000000"/>
                <w:sz w:val="20"/>
                <w:szCs w:val="20"/>
              </w:rPr>
            </w:pPr>
            <w:r w:rsidRPr="00DD1DD3">
              <w:rPr>
                <w:rFonts w:cs="Calibri"/>
                <w:b/>
                <w:color w:val="000000"/>
                <w:sz w:val="20"/>
                <w:szCs w:val="20"/>
              </w:rPr>
              <w:t>77,00</w:t>
            </w:r>
          </w:p>
        </w:tc>
      </w:tr>
    </w:tbl>
    <w:p w14:paraId="6C76C27B" w14:textId="77777777" w:rsidR="00B773E9" w:rsidRPr="001E4D45" w:rsidRDefault="00B773E9" w:rsidP="00B773E9">
      <w:pPr>
        <w:pStyle w:val="rdo0"/>
      </w:pPr>
      <w:bookmarkStart w:id="327" w:name="_Toc63632749"/>
      <w:r w:rsidRPr="001E4D45">
        <w:rPr>
          <w:lang w:eastAsia="zh-CN"/>
        </w:rPr>
        <w:t xml:space="preserve">Źródło: opracowanie </w:t>
      </w:r>
      <w:r>
        <w:rPr>
          <w:lang w:eastAsia="zh-CN"/>
        </w:rPr>
        <w:t>własne</w:t>
      </w:r>
    </w:p>
    <w:p w14:paraId="2EF676E0" w14:textId="77777777" w:rsidR="00BE0188" w:rsidRPr="00E40FD7" w:rsidRDefault="00BE0188" w:rsidP="00B50FFD">
      <w:pPr>
        <w:pStyle w:val="Nagwek3"/>
      </w:pPr>
      <w:bookmarkStart w:id="328" w:name="_Toc68726883"/>
      <w:r w:rsidRPr="00E40FD7">
        <w:t>Zwrot kosztów usług wodnych w sektorze komunalnym</w:t>
      </w:r>
      <w:bookmarkEnd w:id="327"/>
      <w:bookmarkEnd w:id="328"/>
    </w:p>
    <w:p w14:paraId="403B3B5A" w14:textId="22BCD67B" w:rsidR="00BE0188" w:rsidRPr="001E4D45" w:rsidRDefault="00BE0188" w:rsidP="003C76C5">
      <w:r w:rsidRPr="001E4D45">
        <w:t xml:space="preserve">Zwrot kosztów usług wodnych w sektorze komunalnym został oszacowany na podstawie próby </w:t>
      </w:r>
      <w:r>
        <w:t xml:space="preserve">pochodzących z całego kraju </w:t>
      </w:r>
      <w:r w:rsidRPr="001E4D45">
        <w:t>1899 podmiotów odpowiedzialnych za świadczenie usług w sektorze wodno-kanalizacyjnym, które w 2018 r. złożyły do PGW</w:t>
      </w:r>
      <w:r w:rsidR="001B1731">
        <w:t xml:space="preserve"> </w:t>
      </w:r>
      <w:r w:rsidRPr="001E4D45">
        <w:t>WP wnioski w przedmiocie akceptacji taryf za usługi wodno-kanalizacyjne.</w:t>
      </w:r>
    </w:p>
    <w:p w14:paraId="3B60CC94" w14:textId="7549BF00" w:rsidR="00BE0188" w:rsidRPr="001E4D45" w:rsidRDefault="00BE0188" w:rsidP="003C76C5">
      <w:r w:rsidRPr="001E4D45">
        <w:t>Szczegółowe dane finansowe sektora komunalnego zostały przedstawione w poniższej tabeli</w:t>
      </w:r>
      <w:r w:rsidR="00156C67">
        <w:t xml:space="preserve"> 11-5</w:t>
      </w:r>
      <w:r>
        <w:t>.</w:t>
      </w:r>
    </w:p>
    <w:p w14:paraId="0B951E4A" w14:textId="3F869877" w:rsidR="00BE0188" w:rsidRPr="001E4D45" w:rsidRDefault="00BE0188" w:rsidP="006802BB">
      <w:pPr>
        <w:pStyle w:val="Tabela"/>
      </w:pPr>
      <w:bookmarkStart w:id="329" w:name="_Toc68727017"/>
      <w:r w:rsidRPr="001E4D45">
        <w:t xml:space="preserve">Tabela </w:t>
      </w:r>
      <w:fldSimple w:instr=" STYLEREF 1 \s ">
        <w:r w:rsidR="007B4050">
          <w:rPr>
            <w:noProof/>
          </w:rPr>
          <w:t>11</w:t>
        </w:r>
      </w:fldSimple>
      <w:r w:rsidR="007B4050">
        <w:noBreakHyphen/>
      </w:r>
      <w:fldSimple w:instr=" SEQ Tabela \* ARABIC \s 1 ">
        <w:r w:rsidR="007B4050">
          <w:rPr>
            <w:noProof/>
          </w:rPr>
          <w:t>5</w:t>
        </w:r>
      </w:fldSimple>
      <w:r w:rsidR="004A1B76">
        <w:tab/>
      </w:r>
      <w:r w:rsidRPr="001E4D45">
        <w:t>Dane finansowe sektora komunalnego w Polsce w 2018 r.</w:t>
      </w:r>
      <w:bookmarkEnd w:id="329"/>
    </w:p>
    <w:tbl>
      <w:tblPr>
        <w:tblW w:w="9147"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99"/>
        <w:gridCol w:w="2848"/>
      </w:tblGrid>
      <w:tr w:rsidR="00BE0188" w:rsidRPr="001E4D45" w14:paraId="467EC761" w14:textId="77777777" w:rsidTr="00EA23BD">
        <w:trPr>
          <w:trHeight w:val="488"/>
        </w:trPr>
        <w:tc>
          <w:tcPr>
            <w:tcW w:w="6299" w:type="dxa"/>
            <w:shd w:val="clear" w:color="auto" w:fill="D9D9D9"/>
            <w:vAlign w:val="center"/>
            <w:hideMark/>
          </w:tcPr>
          <w:p w14:paraId="72B7AC29" w14:textId="77777777"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Liczba przedsiębiorstw wodno-kanalizacyjnych</w:t>
            </w:r>
          </w:p>
        </w:tc>
        <w:tc>
          <w:tcPr>
            <w:tcW w:w="2848" w:type="dxa"/>
            <w:shd w:val="clear" w:color="auto" w:fill="auto"/>
            <w:noWrap/>
            <w:vAlign w:val="center"/>
            <w:hideMark/>
          </w:tcPr>
          <w:p w14:paraId="0B549257"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1899</w:t>
            </w:r>
          </w:p>
        </w:tc>
      </w:tr>
      <w:tr w:rsidR="00BE0188" w:rsidRPr="001E4D45" w14:paraId="61AFC7D2" w14:textId="77777777" w:rsidTr="00EA23BD">
        <w:trPr>
          <w:trHeight w:val="488"/>
        </w:trPr>
        <w:tc>
          <w:tcPr>
            <w:tcW w:w="6299" w:type="dxa"/>
            <w:shd w:val="clear" w:color="auto" w:fill="D9D9D9"/>
            <w:vAlign w:val="center"/>
            <w:hideMark/>
          </w:tcPr>
          <w:p w14:paraId="08B3C1CA" w14:textId="2A0D21E1"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Suma przychodów </w:t>
            </w:r>
            <w:r w:rsidR="007B4113">
              <w:rPr>
                <w:rFonts w:cs="Calibri"/>
                <w:b/>
                <w:bCs/>
                <w:color w:val="000000"/>
                <w:sz w:val="20"/>
                <w:szCs w:val="20"/>
              </w:rPr>
              <w:t>(</w:t>
            </w:r>
            <w:r w:rsidRPr="001E4D45">
              <w:rPr>
                <w:rFonts w:cs="Calibri"/>
                <w:b/>
                <w:bCs/>
                <w:color w:val="000000"/>
                <w:sz w:val="20"/>
                <w:szCs w:val="20"/>
              </w:rPr>
              <w:t>mln zł</w:t>
            </w:r>
            <w:r w:rsidR="007B4113">
              <w:rPr>
                <w:rFonts w:cs="Calibri"/>
                <w:b/>
                <w:bCs/>
                <w:color w:val="000000"/>
                <w:sz w:val="20"/>
                <w:szCs w:val="20"/>
              </w:rPr>
              <w:t>)</w:t>
            </w:r>
          </w:p>
        </w:tc>
        <w:tc>
          <w:tcPr>
            <w:tcW w:w="2848" w:type="dxa"/>
            <w:shd w:val="clear" w:color="auto" w:fill="auto"/>
            <w:noWrap/>
            <w:vAlign w:val="center"/>
            <w:hideMark/>
          </w:tcPr>
          <w:p w14:paraId="731E04EC"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24</w:t>
            </w:r>
            <w:r>
              <w:rPr>
                <w:rFonts w:cs="Calibri"/>
                <w:color w:val="000000"/>
                <w:sz w:val="20"/>
                <w:szCs w:val="20"/>
              </w:rPr>
              <w:t xml:space="preserve"> </w:t>
            </w:r>
            <w:r w:rsidRPr="001E4D45">
              <w:rPr>
                <w:rFonts w:cs="Calibri"/>
                <w:color w:val="000000"/>
                <w:sz w:val="20"/>
                <w:szCs w:val="20"/>
              </w:rPr>
              <w:t>483,30</w:t>
            </w:r>
          </w:p>
        </w:tc>
      </w:tr>
      <w:tr w:rsidR="00BE0188" w:rsidRPr="001E4D45" w14:paraId="263189EB" w14:textId="77777777" w:rsidTr="00EA23BD">
        <w:trPr>
          <w:trHeight w:val="488"/>
        </w:trPr>
        <w:tc>
          <w:tcPr>
            <w:tcW w:w="6299" w:type="dxa"/>
            <w:shd w:val="clear" w:color="auto" w:fill="D9D9D9"/>
            <w:vAlign w:val="center"/>
          </w:tcPr>
          <w:p w14:paraId="2F91A752" w14:textId="355E1293"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Suma kosztów </w:t>
            </w:r>
            <w:r w:rsidR="007B4113">
              <w:rPr>
                <w:rFonts w:cs="Calibri"/>
                <w:b/>
                <w:bCs/>
                <w:color w:val="000000"/>
                <w:sz w:val="20"/>
                <w:szCs w:val="20"/>
              </w:rPr>
              <w:t>(</w:t>
            </w:r>
            <w:r w:rsidRPr="001E4D45">
              <w:rPr>
                <w:rFonts w:cs="Calibri"/>
                <w:b/>
                <w:bCs/>
                <w:color w:val="000000"/>
                <w:sz w:val="20"/>
                <w:szCs w:val="20"/>
              </w:rPr>
              <w:t>mln zł</w:t>
            </w:r>
            <w:r w:rsidR="007B4113">
              <w:rPr>
                <w:rFonts w:cs="Calibri"/>
                <w:b/>
                <w:bCs/>
                <w:color w:val="000000"/>
                <w:sz w:val="20"/>
                <w:szCs w:val="20"/>
              </w:rPr>
              <w:t>)</w:t>
            </w:r>
          </w:p>
        </w:tc>
        <w:tc>
          <w:tcPr>
            <w:tcW w:w="2848" w:type="dxa"/>
            <w:shd w:val="clear" w:color="auto" w:fill="auto"/>
            <w:noWrap/>
            <w:vAlign w:val="center"/>
          </w:tcPr>
          <w:p w14:paraId="01CCBB13"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23 228,87</w:t>
            </w:r>
          </w:p>
        </w:tc>
      </w:tr>
      <w:tr w:rsidR="00BE0188" w:rsidRPr="001E4D45" w14:paraId="7DC2AC20" w14:textId="77777777" w:rsidTr="00EA23BD">
        <w:trPr>
          <w:trHeight w:val="488"/>
        </w:trPr>
        <w:tc>
          <w:tcPr>
            <w:tcW w:w="6299" w:type="dxa"/>
            <w:shd w:val="clear" w:color="auto" w:fill="D9D9D9"/>
            <w:vAlign w:val="center"/>
            <w:hideMark/>
          </w:tcPr>
          <w:p w14:paraId="5584B0D2" w14:textId="7C11665A"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Suma zysku </w:t>
            </w:r>
            <w:r w:rsidR="007B4113">
              <w:rPr>
                <w:rFonts w:cs="Calibri"/>
                <w:b/>
                <w:bCs/>
                <w:color w:val="000000"/>
                <w:sz w:val="20"/>
                <w:szCs w:val="20"/>
              </w:rPr>
              <w:t>(</w:t>
            </w:r>
            <w:r w:rsidRPr="001E4D45">
              <w:rPr>
                <w:rFonts w:cs="Calibri"/>
                <w:b/>
                <w:bCs/>
                <w:color w:val="000000"/>
                <w:sz w:val="20"/>
                <w:szCs w:val="20"/>
              </w:rPr>
              <w:t>mln zł</w:t>
            </w:r>
            <w:r w:rsidR="007B4113">
              <w:rPr>
                <w:rFonts w:cs="Calibri"/>
                <w:b/>
                <w:bCs/>
                <w:color w:val="000000"/>
                <w:sz w:val="20"/>
                <w:szCs w:val="20"/>
              </w:rPr>
              <w:t>)</w:t>
            </w:r>
          </w:p>
        </w:tc>
        <w:tc>
          <w:tcPr>
            <w:tcW w:w="2848" w:type="dxa"/>
            <w:shd w:val="clear" w:color="auto" w:fill="auto"/>
            <w:noWrap/>
            <w:vAlign w:val="center"/>
            <w:hideMark/>
          </w:tcPr>
          <w:p w14:paraId="5E805ED3"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1254,44</w:t>
            </w:r>
          </w:p>
        </w:tc>
      </w:tr>
      <w:tr w:rsidR="00BE0188" w:rsidRPr="001E4D45" w14:paraId="38E7C8F7" w14:textId="77777777" w:rsidTr="00EA23BD">
        <w:trPr>
          <w:trHeight w:val="488"/>
        </w:trPr>
        <w:tc>
          <w:tcPr>
            <w:tcW w:w="6299" w:type="dxa"/>
            <w:shd w:val="clear" w:color="auto" w:fill="D9D9D9"/>
            <w:vAlign w:val="center"/>
            <w:hideMark/>
          </w:tcPr>
          <w:p w14:paraId="305241E9" w14:textId="628266AC"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Średnia stopa zysku </w:t>
            </w:r>
            <w:r w:rsidR="007B4113">
              <w:rPr>
                <w:rFonts w:cs="Calibri"/>
                <w:b/>
                <w:bCs/>
                <w:color w:val="000000"/>
                <w:sz w:val="20"/>
                <w:szCs w:val="20"/>
              </w:rPr>
              <w:t>(%)</w:t>
            </w:r>
          </w:p>
        </w:tc>
        <w:tc>
          <w:tcPr>
            <w:tcW w:w="2848" w:type="dxa"/>
            <w:shd w:val="clear" w:color="auto" w:fill="auto"/>
            <w:noWrap/>
            <w:vAlign w:val="center"/>
            <w:hideMark/>
          </w:tcPr>
          <w:p w14:paraId="5EB74BE7" w14:textId="3FA9C2C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5,12</w:t>
            </w:r>
          </w:p>
        </w:tc>
      </w:tr>
      <w:tr w:rsidR="00BE0188" w:rsidRPr="001E4D45" w14:paraId="54D17EA9" w14:textId="77777777" w:rsidTr="00EA23BD">
        <w:trPr>
          <w:trHeight w:val="488"/>
        </w:trPr>
        <w:tc>
          <w:tcPr>
            <w:tcW w:w="6299" w:type="dxa"/>
            <w:shd w:val="clear" w:color="auto" w:fill="D9D9D9"/>
            <w:vAlign w:val="center"/>
            <w:hideMark/>
          </w:tcPr>
          <w:p w14:paraId="2F1582B9" w14:textId="77777777"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Liczba przedsiębiorstw ze stratą</w:t>
            </w:r>
          </w:p>
        </w:tc>
        <w:tc>
          <w:tcPr>
            <w:tcW w:w="2848" w:type="dxa"/>
            <w:shd w:val="clear" w:color="auto" w:fill="auto"/>
            <w:noWrap/>
            <w:vAlign w:val="center"/>
            <w:hideMark/>
          </w:tcPr>
          <w:p w14:paraId="6744C8A0"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700</w:t>
            </w:r>
          </w:p>
        </w:tc>
      </w:tr>
      <w:tr w:rsidR="00BE0188" w:rsidRPr="001E4D45" w14:paraId="5E6DE6B9" w14:textId="77777777" w:rsidTr="00EA23BD">
        <w:trPr>
          <w:trHeight w:val="488"/>
        </w:trPr>
        <w:tc>
          <w:tcPr>
            <w:tcW w:w="6299" w:type="dxa"/>
            <w:shd w:val="clear" w:color="auto" w:fill="D9D9D9"/>
            <w:vAlign w:val="center"/>
            <w:hideMark/>
          </w:tcPr>
          <w:p w14:paraId="03F4FFC0" w14:textId="4073BC53"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Udział przedsiębiorstw ze stratą </w:t>
            </w:r>
            <w:r w:rsidR="007B4113">
              <w:rPr>
                <w:rFonts w:cs="Calibri"/>
                <w:b/>
                <w:bCs/>
                <w:color w:val="000000"/>
                <w:sz w:val="20"/>
                <w:szCs w:val="20"/>
              </w:rPr>
              <w:t>(%)</w:t>
            </w:r>
          </w:p>
        </w:tc>
        <w:tc>
          <w:tcPr>
            <w:tcW w:w="2848" w:type="dxa"/>
            <w:shd w:val="clear" w:color="auto" w:fill="auto"/>
            <w:noWrap/>
            <w:vAlign w:val="center"/>
            <w:hideMark/>
          </w:tcPr>
          <w:p w14:paraId="690420DE" w14:textId="3F0BCA58"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36,86</w:t>
            </w:r>
          </w:p>
        </w:tc>
      </w:tr>
      <w:tr w:rsidR="00BE0188" w:rsidRPr="001E4D45" w14:paraId="333ED8EE" w14:textId="77777777" w:rsidTr="00EA23BD">
        <w:trPr>
          <w:trHeight w:val="488"/>
        </w:trPr>
        <w:tc>
          <w:tcPr>
            <w:tcW w:w="6299" w:type="dxa"/>
            <w:shd w:val="clear" w:color="auto" w:fill="D9D9D9"/>
            <w:vAlign w:val="center"/>
            <w:hideMark/>
          </w:tcPr>
          <w:p w14:paraId="39392DA2" w14:textId="77777777"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Liczba przedsiębiorstw generujących zysk</w:t>
            </w:r>
          </w:p>
        </w:tc>
        <w:tc>
          <w:tcPr>
            <w:tcW w:w="2848" w:type="dxa"/>
            <w:shd w:val="clear" w:color="auto" w:fill="auto"/>
            <w:noWrap/>
            <w:vAlign w:val="center"/>
            <w:hideMark/>
          </w:tcPr>
          <w:p w14:paraId="6198854E"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1199</w:t>
            </w:r>
          </w:p>
        </w:tc>
      </w:tr>
      <w:tr w:rsidR="00BE0188" w:rsidRPr="001E4D45" w14:paraId="50C84565" w14:textId="77777777" w:rsidTr="00EA23BD">
        <w:trPr>
          <w:trHeight w:val="488"/>
        </w:trPr>
        <w:tc>
          <w:tcPr>
            <w:tcW w:w="6299" w:type="dxa"/>
            <w:shd w:val="clear" w:color="auto" w:fill="D9D9D9"/>
            <w:vAlign w:val="center"/>
            <w:hideMark/>
          </w:tcPr>
          <w:p w14:paraId="0D14E2E7" w14:textId="1F55F103"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Udział przedsiębiorstw generujących zysk </w:t>
            </w:r>
            <w:r w:rsidR="007B4113">
              <w:rPr>
                <w:rFonts w:cs="Calibri"/>
                <w:b/>
                <w:bCs/>
                <w:color w:val="000000"/>
                <w:sz w:val="20"/>
                <w:szCs w:val="20"/>
              </w:rPr>
              <w:t>(%)</w:t>
            </w:r>
          </w:p>
        </w:tc>
        <w:tc>
          <w:tcPr>
            <w:tcW w:w="2848" w:type="dxa"/>
            <w:shd w:val="clear" w:color="auto" w:fill="auto"/>
            <w:noWrap/>
            <w:vAlign w:val="center"/>
            <w:hideMark/>
          </w:tcPr>
          <w:p w14:paraId="7551737C" w14:textId="425E6C08"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63,14</w:t>
            </w:r>
          </w:p>
        </w:tc>
      </w:tr>
    </w:tbl>
    <w:p w14:paraId="6427449B" w14:textId="77777777" w:rsidR="00B773E9" w:rsidRPr="001E4D45" w:rsidRDefault="00B773E9" w:rsidP="00B773E9">
      <w:pPr>
        <w:pStyle w:val="rdo0"/>
      </w:pPr>
      <w:r w:rsidRPr="001E4D45">
        <w:rPr>
          <w:lang w:eastAsia="zh-CN"/>
        </w:rPr>
        <w:t xml:space="preserve">Źródło: opracowanie </w:t>
      </w:r>
      <w:r>
        <w:rPr>
          <w:lang w:eastAsia="zh-CN"/>
        </w:rPr>
        <w:t>własne</w:t>
      </w:r>
    </w:p>
    <w:p w14:paraId="6121D236" w14:textId="7C63E540" w:rsidR="00BE0188" w:rsidRPr="001E4D45" w:rsidRDefault="00BE0188" w:rsidP="003C76C5">
      <w:r w:rsidRPr="001E4D45">
        <w:t>Łączna stopa zysku osiągniętego w 2018 r. wyniosła 5,12%, co oznacza, że przychody generowane z</w:t>
      </w:r>
      <w:r w:rsidR="00C4673D">
        <w:t> </w:t>
      </w:r>
      <w:r w:rsidRPr="001E4D45">
        <w:t>taryf za usługi wodno-kanalizacyjne pokryły z nadwyżką koszty finansowe świadczenia usług wodno-kanalizacyjnych, przy czym należy</w:t>
      </w:r>
      <w:r w:rsidRPr="000C39CB">
        <w:t xml:space="preserve"> </w:t>
      </w:r>
      <w:r w:rsidRPr="001E4D45">
        <w:t xml:space="preserve">wskazać, że ok. 37% podmiotów wykazało stratę, a 63% </w:t>
      </w:r>
      <w:r>
        <w:t>odnotowało zysk</w:t>
      </w:r>
      <w:r w:rsidRPr="001E4D45">
        <w:t>. Łączne przychody sektora komunalnego oszacowane na wspomnianej próbie wyniosły 24,5 mld zł, a koszty finansowe 23,2 mld zł.</w:t>
      </w:r>
    </w:p>
    <w:p w14:paraId="698A4EC9" w14:textId="21D1312E" w:rsidR="00BE0188" w:rsidRPr="001E4D45" w:rsidRDefault="00BE0188" w:rsidP="00BE0188">
      <w:pPr>
        <w:suppressAutoHyphens/>
      </w:pPr>
      <w:r w:rsidRPr="001E4D45">
        <w:t xml:space="preserve">Ekonomiczna stopa zwrotu usług wodnych w sektorze komunalnym </w:t>
      </w:r>
      <w:r w:rsidR="002237EA">
        <w:t xml:space="preserve">(tabela 11-6) </w:t>
      </w:r>
      <w:r w:rsidRPr="001E4D45">
        <w:t>została wyliczona po uwzględnieniu kosztów środowiskowych</w:t>
      </w:r>
      <w:r w:rsidRPr="001E4D45">
        <w:rPr>
          <w:rStyle w:val="Odwoanieprzypisudolnego"/>
        </w:rPr>
        <w:footnoteReference w:id="32"/>
      </w:r>
      <w:r w:rsidRPr="001E4D45">
        <w:t>, które dla sektora komunalnego wynoszą 1889,78 mln zł.</w:t>
      </w:r>
    </w:p>
    <w:p w14:paraId="79FD67CE" w14:textId="00F91581" w:rsidR="00BE0188" w:rsidRPr="001E4D45" w:rsidRDefault="00BE0188" w:rsidP="006802BB">
      <w:pPr>
        <w:pStyle w:val="Tabela"/>
      </w:pPr>
      <w:bookmarkStart w:id="330" w:name="_Toc68727018"/>
      <w:r w:rsidRPr="001E4D45">
        <w:t xml:space="preserve">Tabela </w:t>
      </w:r>
      <w:fldSimple w:instr=" STYLEREF 1 \s ">
        <w:r w:rsidR="007B4050">
          <w:rPr>
            <w:noProof/>
          </w:rPr>
          <w:t>11</w:t>
        </w:r>
      </w:fldSimple>
      <w:r w:rsidR="007B4050">
        <w:noBreakHyphen/>
      </w:r>
      <w:fldSimple w:instr=" SEQ Tabela \* ARABIC \s 1 ">
        <w:r w:rsidR="007B4050">
          <w:rPr>
            <w:noProof/>
          </w:rPr>
          <w:t>6</w:t>
        </w:r>
      </w:fldSimple>
      <w:r w:rsidR="004A1B76">
        <w:tab/>
        <w:t>S</w:t>
      </w:r>
      <w:r w:rsidRPr="001E4D45">
        <w:t>topa zwrotu kosztów usług wodnych w sektorze komunalnym w 2018 r.</w:t>
      </w:r>
      <w:bookmarkEnd w:id="330"/>
    </w:p>
    <w:tbl>
      <w:tblPr>
        <w:tblW w:w="9193"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99"/>
        <w:gridCol w:w="2894"/>
      </w:tblGrid>
      <w:tr w:rsidR="00BE0188" w:rsidRPr="001E4D45" w14:paraId="3756D94A" w14:textId="77777777" w:rsidTr="00FA42AE">
        <w:trPr>
          <w:trHeight w:val="488"/>
        </w:trPr>
        <w:tc>
          <w:tcPr>
            <w:tcW w:w="6299" w:type="dxa"/>
            <w:shd w:val="clear" w:color="auto" w:fill="D9D9D9"/>
            <w:noWrap/>
            <w:vAlign w:val="center"/>
            <w:hideMark/>
          </w:tcPr>
          <w:p w14:paraId="09845488" w14:textId="3DE108EC"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Finansowa stopa zwrotu usług wodnych w sektorze komunalnym</w:t>
            </w:r>
            <w:r w:rsidR="007B4113">
              <w:rPr>
                <w:rFonts w:cs="Calibri"/>
                <w:b/>
                <w:bCs/>
                <w:color w:val="000000"/>
                <w:sz w:val="20"/>
                <w:szCs w:val="20"/>
              </w:rPr>
              <w:t xml:space="preserve"> (%)</w:t>
            </w:r>
          </w:p>
        </w:tc>
        <w:tc>
          <w:tcPr>
            <w:tcW w:w="2894" w:type="dxa"/>
            <w:shd w:val="clear" w:color="auto" w:fill="auto"/>
            <w:noWrap/>
            <w:vAlign w:val="center"/>
            <w:hideMark/>
          </w:tcPr>
          <w:p w14:paraId="34ABA146" w14:textId="7D202DF5"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105,12</w:t>
            </w:r>
          </w:p>
        </w:tc>
      </w:tr>
      <w:tr w:rsidR="00BE0188" w:rsidRPr="001E4D45" w14:paraId="4E8D4688" w14:textId="77777777" w:rsidTr="00FA42AE">
        <w:trPr>
          <w:trHeight w:val="488"/>
        </w:trPr>
        <w:tc>
          <w:tcPr>
            <w:tcW w:w="6299" w:type="dxa"/>
            <w:shd w:val="clear" w:color="auto" w:fill="D9D9D9"/>
            <w:noWrap/>
            <w:vAlign w:val="center"/>
            <w:hideMark/>
          </w:tcPr>
          <w:p w14:paraId="19DAC413" w14:textId="0D50957E"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 xml:space="preserve">Koszty środowiskowe w sektorze komunalnym </w:t>
            </w:r>
            <w:r w:rsidR="007B4113">
              <w:rPr>
                <w:rFonts w:cs="Calibri"/>
                <w:b/>
                <w:bCs/>
                <w:color w:val="000000"/>
                <w:sz w:val="20"/>
                <w:szCs w:val="20"/>
              </w:rPr>
              <w:t>(</w:t>
            </w:r>
            <w:r w:rsidRPr="001E4D45">
              <w:rPr>
                <w:rFonts w:cs="Calibri"/>
                <w:b/>
                <w:bCs/>
                <w:color w:val="000000"/>
                <w:sz w:val="20"/>
                <w:szCs w:val="20"/>
              </w:rPr>
              <w:t>mln zł</w:t>
            </w:r>
            <w:r w:rsidR="007B4113">
              <w:rPr>
                <w:rFonts w:cs="Calibri"/>
                <w:b/>
                <w:bCs/>
                <w:color w:val="000000"/>
                <w:sz w:val="20"/>
                <w:szCs w:val="20"/>
              </w:rPr>
              <w:t>)</w:t>
            </w:r>
          </w:p>
        </w:tc>
        <w:tc>
          <w:tcPr>
            <w:tcW w:w="2894" w:type="dxa"/>
            <w:shd w:val="clear" w:color="auto" w:fill="auto"/>
            <w:noWrap/>
            <w:vAlign w:val="center"/>
            <w:hideMark/>
          </w:tcPr>
          <w:p w14:paraId="78A0DEB9" w14:textId="77777777"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1889,78</w:t>
            </w:r>
          </w:p>
        </w:tc>
      </w:tr>
      <w:tr w:rsidR="00BE0188" w:rsidRPr="001E4D45" w14:paraId="0853873A" w14:textId="77777777" w:rsidTr="00FA42AE">
        <w:trPr>
          <w:trHeight w:val="488"/>
        </w:trPr>
        <w:tc>
          <w:tcPr>
            <w:tcW w:w="6299" w:type="dxa"/>
            <w:shd w:val="clear" w:color="auto" w:fill="D9D9D9"/>
            <w:noWrap/>
            <w:vAlign w:val="center"/>
            <w:hideMark/>
          </w:tcPr>
          <w:p w14:paraId="1CD7BBD4" w14:textId="4A15301A" w:rsidR="00BE0188" w:rsidRPr="001E4D45" w:rsidRDefault="00BE0188" w:rsidP="00840CCD">
            <w:pPr>
              <w:suppressAutoHyphens/>
              <w:rPr>
                <w:rFonts w:cs="Calibri"/>
                <w:b/>
                <w:bCs/>
                <w:color w:val="000000"/>
                <w:sz w:val="20"/>
                <w:szCs w:val="20"/>
              </w:rPr>
            </w:pPr>
            <w:r w:rsidRPr="001E4D45">
              <w:rPr>
                <w:rFonts w:cs="Calibri"/>
                <w:b/>
                <w:bCs/>
                <w:color w:val="000000"/>
                <w:sz w:val="20"/>
                <w:szCs w:val="20"/>
              </w:rPr>
              <w:t>Ekonomiczna stopa zwrotu usług wodnych w sektorze komunalnym</w:t>
            </w:r>
            <w:r w:rsidR="007B4113">
              <w:rPr>
                <w:rFonts w:cs="Calibri"/>
                <w:b/>
                <w:bCs/>
                <w:color w:val="000000"/>
                <w:sz w:val="20"/>
                <w:szCs w:val="20"/>
              </w:rPr>
              <w:t xml:space="preserve"> (%)</w:t>
            </w:r>
          </w:p>
        </w:tc>
        <w:tc>
          <w:tcPr>
            <w:tcW w:w="2894" w:type="dxa"/>
            <w:shd w:val="clear" w:color="auto" w:fill="auto"/>
            <w:noWrap/>
            <w:vAlign w:val="center"/>
            <w:hideMark/>
          </w:tcPr>
          <w:p w14:paraId="1B4D877D" w14:textId="29E34265" w:rsidR="00BE0188" w:rsidRPr="001E4D45" w:rsidRDefault="00BE0188" w:rsidP="00840CCD">
            <w:pPr>
              <w:suppressAutoHyphens/>
              <w:jc w:val="center"/>
              <w:rPr>
                <w:rFonts w:cs="Calibri"/>
                <w:color w:val="000000"/>
                <w:sz w:val="20"/>
                <w:szCs w:val="20"/>
              </w:rPr>
            </w:pPr>
            <w:r w:rsidRPr="001E4D45">
              <w:rPr>
                <w:rFonts w:cs="Calibri"/>
                <w:color w:val="000000"/>
                <w:sz w:val="20"/>
                <w:szCs w:val="20"/>
              </w:rPr>
              <w:t>97,40</w:t>
            </w:r>
          </w:p>
        </w:tc>
      </w:tr>
    </w:tbl>
    <w:p w14:paraId="517FE37F" w14:textId="77777777" w:rsidR="00B773E9" w:rsidRPr="001E4D45" w:rsidRDefault="00B773E9" w:rsidP="00B773E9">
      <w:pPr>
        <w:pStyle w:val="rdo0"/>
      </w:pPr>
      <w:r w:rsidRPr="001E4D45">
        <w:rPr>
          <w:lang w:eastAsia="zh-CN"/>
        </w:rPr>
        <w:t xml:space="preserve">Źródło: opracowanie </w:t>
      </w:r>
      <w:r>
        <w:rPr>
          <w:lang w:eastAsia="zh-CN"/>
        </w:rPr>
        <w:t>własne</w:t>
      </w:r>
    </w:p>
    <w:p w14:paraId="0CAE77A5" w14:textId="142B45A5" w:rsidR="00BE0188" w:rsidRPr="00430805" w:rsidRDefault="00BE0188" w:rsidP="00BE0188">
      <w:pPr>
        <w:suppressAutoHyphens/>
      </w:pPr>
      <w:r w:rsidRPr="00430805">
        <w:t>Ekonomiczna stopa zwrotu usług wodnych w sektorze komunalnym była na poziomie 97,40%, co</w:t>
      </w:r>
      <w:r w:rsidR="00C4673D">
        <w:t> </w:t>
      </w:r>
      <w:r w:rsidRPr="00430805">
        <w:t>oznacza, że przychody z opłat za usługi wodno-kanalizacyjne uiszczane przez odbiorców końcowych pokryły koszty finansowe, zinternalizowane koszty zasobowe oraz koszty środowiskowe w 97,4%.</w:t>
      </w:r>
    </w:p>
    <w:p w14:paraId="1C30B921" w14:textId="77777777" w:rsidR="00BE0188" w:rsidRPr="00E40FD7" w:rsidRDefault="00BE0188" w:rsidP="00B50FFD">
      <w:pPr>
        <w:pStyle w:val="Nagwek3"/>
      </w:pPr>
      <w:bookmarkStart w:id="331" w:name="_Toc63632750"/>
      <w:bookmarkStart w:id="332" w:name="_Toc68726884"/>
      <w:r w:rsidRPr="00E40FD7">
        <w:t>Zwrot kosztów usług wodnych w przemyśle</w:t>
      </w:r>
      <w:bookmarkEnd w:id="331"/>
      <w:bookmarkEnd w:id="332"/>
    </w:p>
    <w:p w14:paraId="143AE5B5" w14:textId="49ECCAE8" w:rsidR="00BE0188" w:rsidRPr="001E4D45" w:rsidRDefault="00BE0188" w:rsidP="003C76C5">
      <w:r w:rsidRPr="001E4D45">
        <w:t>Przedsiębiorstwa sektora przemysłowego ponoszą pełne koszty działalności w zakresie poboru wód i</w:t>
      </w:r>
      <w:r w:rsidR="00430805">
        <w:t> </w:t>
      </w:r>
      <w:r w:rsidRPr="001E4D45">
        <w:t>zrzutu ścieków. Finansowa stopa zwrotu dla sektora przemysłowego wynosi zatem 100%, co wskazuje na pełne wdrożenie zasady</w:t>
      </w:r>
      <w:r>
        <w:t>, zgodnie z którą</w:t>
      </w:r>
      <w:r w:rsidRPr="001E4D45">
        <w:t xml:space="preserve"> płac</w:t>
      </w:r>
      <w:r>
        <w:t>ą</w:t>
      </w:r>
      <w:r w:rsidRPr="001E4D45">
        <w:t xml:space="preserve"> użytkownik oraz zanieczyszczający. </w:t>
      </w:r>
    </w:p>
    <w:p w14:paraId="328B0581" w14:textId="1C2C9EC4" w:rsidR="00BE0188" w:rsidRPr="001E4D45" w:rsidRDefault="00BE0188" w:rsidP="003C76C5">
      <w:r w:rsidRPr="001E4D45">
        <w:t xml:space="preserve">Dla poziomu ekonomicznego stopa zwrotu jest inna </w:t>
      </w:r>
      <w:r w:rsidR="006C4947">
        <w:t>-</w:t>
      </w:r>
      <w:r w:rsidRPr="001E4D45">
        <w:t xml:space="preserve"> niższa. Aby oszacować ekonomiczną stopę zwrotu kosztów ponoszonych na bieżącą ochronę wód, należy oszacować zewnętrzne koszty środowiskowe. Łączne koszty (środowiskowe, zasobowe oraz ochrony netto</w:t>
      </w:r>
      <w:r w:rsidRPr="001E4D45">
        <w:rPr>
          <w:rFonts w:cs="Calibri"/>
          <w:vertAlign w:val="superscript"/>
        </w:rPr>
        <w:footnoteReference w:id="33"/>
      </w:r>
      <w:r w:rsidRPr="001E4D45">
        <w:t>) w sektorze przemysłu</w:t>
      </w:r>
      <w:r>
        <w:t>,</w:t>
      </w:r>
      <w:r w:rsidRPr="001E4D45">
        <w:t xml:space="preserve"> związane z gospodarką wodną</w:t>
      </w:r>
      <w:r>
        <w:t>,</w:t>
      </w:r>
      <w:r w:rsidRPr="001E4D45">
        <w:t xml:space="preserve"> oszacowano na poziomie 3331,1 mln zł/r</w:t>
      </w:r>
      <w:r>
        <w:t>.</w:t>
      </w:r>
      <w:r w:rsidRPr="001E4D45">
        <w:t xml:space="preserve"> (dane za 2019 r.). W</w:t>
      </w:r>
      <w:r>
        <w:t xml:space="preserve"> </w:t>
      </w:r>
      <w:r w:rsidRPr="001E4D45">
        <w:t>ramach analiz uwzględniono dwa podstawowe źródła kosztów związanych z gospodarką wodną w sektorze przemysłu. Największe są koszty ochrony netto, które GUS oszacował na poziomie 2873 mln zł/r</w:t>
      </w:r>
      <w:r>
        <w:t>.</w:t>
      </w:r>
      <w:r w:rsidRPr="001E4D45">
        <w:rPr>
          <w:vertAlign w:val="superscript"/>
        </w:rPr>
        <w:footnoteReference w:id="34"/>
      </w:r>
      <w:r w:rsidRPr="001E4D45">
        <w:t>. Drugą pozycją są koszty środowiskowe i zasobowe. Wysokość tych kosztów oszacowano na poziomie 458,1 mln zł/r</w:t>
      </w:r>
      <w:r>
        <w:t>.</w:t>
      </w:r>
      <w:r w:rsidRPr="001E4D45">
        <w:t xml:space="preserve">, przy czym faktycznie jest to oszacowanie kosztów środowiskowych, gdyż kosztom </w:t>
      </w:r>
      <w:r w:rsidR="00447BDA">
        <w:t xml:space="preserve">niezinternalizowanym </w:t>
      </w:r>
      <w:r w:rsidRPr="001E4D45">
        <w:t xml:space="preserve">zasobowym przypisano umowną wartość </w:t>
      </w:r>
      <w:r w:rsidR="00447BDA" w:rsidRPr="001E4D45">
        <w:t>0</w:t>
      </w:r>
      <w:r w:rsidR="00447BDA" w:rsidRPr="001B1F33">
        <w:rPr>
          <w:rStyle w:val="Odwoanieprzypisudolnego"/>
          <w:rFonts w:cs="Lucida Grande"/>
        </w:rPr>
        <w:footnoteReference w:id="35"/>
      </w:r>
      <w:r w:rsidR="00447BDA" w:rsidRPr="001E4D45">
        <w:t>.</w:t>
      </w:r>
    </w:p>
    <w:p w14:paraId="1A5EFAE9" w14:textId="77777777" w:rsidR="00BE0188" w:rsidRPr="00053ACE" w:rsidRDefault="00BE0188" w:rsidP="003C76C5">
      <w:r w:rsidRPr="00053ACE">
        <w:t>Ekonomiczną stopę zwrotu w 2017 r. dla sektora przemysłu oszacowano na poziomie 82,6%.</w:t>
      </w:r>
    </w:p>
    <w:p w14:paraId="48CC7657" w14:textId="77777777" w:rsidR="00BE0188" w:rsidRPr="00A75277" w:rsidRDefault="00BE0188" w:rsidP="00B50FFD">
      <w:pPr>
        <w:pStyle w:val="Nagwek3"/>
      </w:pPr>
      <w:bookmarkStart w:id="334" w:name="_Toc63632751"/>
      <w:bookmarkStart w:id="335" w:name="_Toc68726885"/>
      <w:r w:rsidRPr="00A75277">
        <w:t>Zwrot kosztów usług wodnych w rolnictwie</w:t>
      </w:r>
      <w:bookmarkEnd w:id="334"/>
      <w:bookmarkEnd w:id="335"/>
    </w:p>
    <w:p w14:paraId="66E4BC33" w14:textId="617E83AC" w:rsidR="00BE0188" w:rsidRPr="001E4D45" w:rsidRDefault="00BE0188" w:rsidP="003C76C5">
      <w:r w:rsidRPr="001E4D45">
        <w:t>W prowadzonych badaniach zidentyfikowano dwa podstawowe źródła kosztów związanych z</w:t>
      </w:r>
      <w:r w:rsidR="00430805">
        <w:t> </w:t>
      </w:r>
      <w:r w:rsidRPr="001E4D45">
        <w:t>gospodarką wodną w sektorze rolnictwa. Dominujące są koszty środowiskowe, które dla obszaru całego kraju oszacowano na poziomie 3027,3 mln zł/r. Drugim co do wielkości źródłem kosztów są</w:t>
      </w:r>
      <w:r w:rsidR="00C4673D">
        <w:t> </w:t>
      </w:r>
      <w:r w:rsidRPr="001E4D45">
        <w:t xml:space="preserve">koszty związane z działalnością melioracyjną. Wysokość tych kosztów oszacowano na poziomie 485 mln zł (za 2017 r.). Pozostałe koszty to opłaty wniesione z tytułu poboru wód oraz zrzutu ładunków zanieczyszczeń. </w:t>
      </w:r>
      <w:r w:rsidR="002237EA">
        <w:t>Wysokość wszystkich kosztów związanych z gospodarką wodną w rolnictwie prezentuje tabela 11-7.</w:t>
      </w:r>
    </w:p>
    <w:p w14:paraId="7014CD23" w14:textId="594C5340" w:rsidR="00BE0188" w:rsidRPr="001E4D45" w:rsidRDefault="00BE0188" w:rsidP="006802BB">
      <w:pPr>
        <w:pStyle w:val="Tabela"/>
      </w:pPr>
      <w:bookmarkStart w:id="336" w:name="_Toc68727019"/>
      <w:r w:rsidRPr="001E4D45">
        <w:t xml:space="preserve">Tabela </w:t>
      </w:r>
      <w:fldSimple w:instr=" STYLEREF 1 \s ">
        <w:r w:rsidR="007B4050">
          <w:rPr>
            <w:noProof/>
          </w:rPr>
          <w:t>11</w:t>
        </w:r>
      </w:fldSimple>
      <w:r w:rsidR="007B4050">
        <w:noBreakHyphen/>
      </w:r>
      <w:fldSimple w:instr=" SEQ Tabela \* ARABIC \s 1 ">
        <w:r w:rsidR="007B4050">
          <w:rPr>
            <w:noProof/>
          </w:rPr>
          <w:t>7</w:t>
        </w:r>
      </w:fldSimple>
      <w:r w:rsidR="004A1B76">
        <w:tab/>
      </w:r>
      <w:r w:rsidRPr="001E4D45">
        <w:t>Wielkość kosztów związanych z gospodarką wodną w rolnictwie w Polsce, dane w mln zł za</w:t>
      </w:r>
      <w:r w:rsidR="004A1B76">
        <w:t> 2</w:t>
      </w:r>
      <w:r w:rsidRPr="001E4D45">
        <w:t>017</w:t>
      </w:r>
      <w:r w:rsidR="004A1B76">
        <w:t> </w:t>
      </w:r>
      <w:r w:rsidRPr="001E4D45">
        <w:t>r.</w:t>
      </w:r>
      <w:bookmarkEnd w:id="33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8"/>
        <w:gridCol w:w="2649"/>
      </w:tblGrid>
      <w:tr w:rsidR="00BE0188" w:rsidRPr="001E4D45" w14:paraId="723316CE" w14:textId="77777777" w:rsidTr="00FA42AE">
        <w:trPr>
          <w:trHeight w:val="488"/>
        </w:trPr>
        <w:tc>
          <w:tcPr>
            <w:tcW w:w="6418" w:type="dxa"/>
            <w:shd w:val="clear" w:color="auto" w:fill="D9D9D9"/>
            <w:vAlign w:val="center"/>
          </w:tcPr>
          <w:p w14:paraId="690EA508" w14:textId="77777777" w:rsidR="00BE0188" w:rsidRPr="001E4D45" w:rsidRDefault="00BE0188" w:rsidP="003863A0">
            <w:pPr>
              <w:pStyle w:val="Teksttabelilewybold"/>
            </w:pPr>
            <w:r w:rsidRPr="001E4D45">
              <w:t>Rodzaj kosztów</w:t>
            </w:r>
          </w:p>
        </w:tc>
        <w:tc>
          <w:tcPr>
            <w:tcW w:w="2649" w:type="dxa"/>
            <w:vAlign w:val="center"/>
          </w:tcPr>
          <w:p w14:paraId="71DE24B5" w14:textId="03B16839" w:rsidR="00BE0188" w:rsidRPr="001E4D45" w:rsidRDefault="00BE0188" w:rsidP="00840CCD">
            <w:pPr>
              <w:pStyle w:val="Lista2"/>
              <w:suppressAutoHyphens/>
              <w:spacing w:before="120" w:after="120"/>
              <w:ind w:left="0" w:firstLine="0"/>
              <w:jc w:val="center"/>
              <w:rPr>
                <w:rFonts w:ascii="Calibri" w:hAnsi="Calibri"/>
                <w:b/>
                <w:sz w:val="20"/>
                <w:szCs w:val="20"/>
              </w:rPr>
            </w:pPr>
            <w:r w:rsidRPr="001E4D45">
              <w:rPr>
                <w:rFonts w:ascii="Calibri" w:hAnsi="Calibri"/>
                <w:b/>
                <w:sz w:val="20"/>
                <w:szCs w:val="20"/>
              </w:rPr>
              <w:t xml:space="preserve">Wartość </w:t>
            </w:r>
            <w:r w:rsidR="00FA42AE">
              <w:rPr>
                <w:rFonts w:ascii="Calibri" w:hAnsi="Calibri"/>
                <w:b/>
                <w:sz w:val="20"/>
                <w:szCs w:val="20"/>
              </w:rPr>
              <w:t>(</w:t>
            </w:r>
            <w:r w:rsidRPr="001E4D45">
              <w:rPr>
                <w:rFonts w:ascii="Calibri" w:hAnsi="Calibri"/>
                <w:b/>
                <w:sz w:val="20"/>
                <w:szCs w:val="20"/>
              </w:rPr>
              <w:t>mln zł</w:t>
            </w:r>
            <w:r w:rsidR="00FA42AE">
              <w:rPr>
                <w:rFonts w:ascii="Calibri" w:hAnsi="Calibri"/>
                <w:b/>
                <w:sz w:val="20"/>
                <w:szCs w:val="20"/>
              </w:rPr>
              <w:t>)</w:t>
            </w:r>
          </w:p>
        </w:tc>
      </w:tr>
      <w:tr w:rsidR="00BE0188" w:rsidRPr="001E4D45" w14:paraId="3A4D7C29" w14:textId="77777777" w:rsidTr="00FA42AE">
        <w:trPr>
          <w:trHeight w:val="488"/>
        </w:trPr>
        <w:tc>
          <w:tcPr>
            <w:tcW w:w="6418" w:type="dxa"/>
            <w:shd w:val="clear" w:color="auto" w:fill="D9D9D9"/>
            <w:vAlign w:val="center"/>
          </w:tcPr>
          <w:p w14:paraId="2CFEE223" w14:textId="77777777" w:rsidR="00BE0188" w:rsidRPr="001E4D45" w:rsidRDefault="00BE0188" w:rsidP="003863A0">
            <w:pPr>
              <w:pStyle w:val="Teksttabelilewybold"/>
            </w:pPr>
            <w:r w:rsidRPr="001E4D45">
              <w:t>Koszty środowiskowe przypisane do rolnictwa</w:t>
            </w:r>
          </w:p>
        </w:tc>
        <w:tc>
          <w:tcPr>
            <w:tcW w:w="2649" w:type="dxa"/>
            <w:vAlign w:val="center"/>
          </w:tcPr>
          <w:p w14:paraId="49361196" w14:textId="77777777" w:rsidR="00BE0188" w:rsidRPr="001E4D45" w:rsidRDefault="00BE0188" w:rsidP="00840CCD">
            <w:pPr>
              <w:pStyle w:val="Lista2"/>
              <w:suppressAutoHyphens/>
              <w:spacing w:before="120" w:after="120"/>
              <w:ind w:left="0" w:firstLine="0"/>
              <w:jc w:val="center"/>
              <w:rPr>
                <w:rFonts w:ascii="Calibri" w:hAnsi="Calibri"/>
                <w:sz w:val="20"/>
                <w:szCs w:val="20"/>
                <w:highlight w:val="yellow"/>
              </w:rPr>
            </w:pPr>
            <w:r w:rsidRPr="001E4D45">
              <w:rPr>
                <w:rFonts w:ascii="Calibri" w:hAnsi="Calibri"/>
                <w:sz w:val="20"/>
                <w:szCs w:val="20"/>
              </w:rPr>
              <w:t>3027,3</w:t>
            </w:r>
          </w:p>
        </w:tc>
      </w:tr>
      <w:tr w:rsidR="00BE0188" w:rsidRPr="001E4D45" w14:paraId="38388C45" w14:textId="77777777" w:rsidTr="00FA42AE">
        <w:trPr>
          <w:trHeight w:val="488"/>
        </w:trPr>
        <w:tc>
          <w:tcPr>
            <w:tcW w:w="6418" w:type="dxa"/>
            <w:shd w:val="clear" w:color="auto" w:fill="D9D9D9"/>
            <w:vAlign w:val="center"/>
          </w:tcPr>
          <w:p w14:paraId="49A11479" w14:textId="77777777" w:rsidR="00BE0188" w:rsidRPr="001E4D45" w:rsidRDefault="00BE0188" w:rsidP="003863A0">
            <w:pPr>
              <w:pStyle w:val="Teksttabelilewybold"/>
            </w:pPr>
            <w:r w:rsidRPr="001E4D45">
              <w:t>Wydatki na działalność melioracyjną ogółem</w:t>
            </w:r>
          </w:p>
        </w:tc>
        <w:tc>
          <w:tcPr>
            <w:tcW w:w="2649" w:type="dxa"/>
            <w:vAlign w:val="center"/>
          </w:tcPr>
          <w:p w14:paraId="439B4F28" w14:textId="77777777" w:rsidR="00BE0188" w:rsidRPr="001E4D45" w:rsidRDefault="00BE0188" w:rsidP="00840CCD">
            <w:pPr>
              <w:pStyle w:val="Lista2"/>
              <w:suppressAutoHyphens/>
              <w:spacing w:before="120" w:after="120"/>
              <w:ind w:left="0" w:firstLine="0"/>
              <w:jc w:val="center"/>
              <w:rPr>
                <w:rFonts w:ascii="Calibri" w:hAnsi="Calibri"/>
                <w:sz w:val="20"/>
                <w:szCs w:val="20"/>
                <w:highlight w:val="darkYellow"/>
              </w:rPr>
            </w:pPr>
            <w:r w:rsidRPr="001E4D45">
              <w:rPr>
                <w:rFonts w:ascii="Calibri" w:hAnsi="Calibri"/>
                <w:sz w:val="20"/>
                <w:szCs w:val="20"/>
              </w:rPr>
              <w:t>484,8</w:t>
            </w:r>
          </w:p>
        </w:tc>
      </w:tr>
      <w:tr w:rsidR="00BE0188" w:rsidRPr="001E4D45" w14:paraId="197E488F" w14:textId="77777777" w:rsidTr="00FA42AE">
        <w:trPr>
          <w:trHeight w:val="488"/>
        </w:trPr>
        <w:tc>
          <w:tcPr>
            <w:tcW w:w="6418" w:type="dxa"/>
            <w:shd w:val="clear" w:color="auto" w:fill="D9D9D9"/>
            <w:vAlign w:val="center"/>
          </w:tcPr>
          <w:p w14:paraId="6C6A0BA1" w14:textId="77777777" w:rsidR="00BE0188" w:rsidRPr="001E4D45" w:rsidRDefault="00BE0188" w:rsidP="003863A0">
            <w:pPr>
              <w:pStyle w:val="Teksttabelilewybold"/>
            </w:pPr>
            <w:r w:rsidRPr="001E4D45">
              <w:t xml:space="preserve">W tym: </w:t>
            </w:r>
          </w:p>
          <w:p w14:paraId="3B4D1427" w14:textId="77777777" w:rsidR="00BE0188" w:rsidRPr="001E4D45" w:rsidRDefault="00BE0188" w:rsidP="003863A0">
            <w:pPr>
              <w:pStyle w:val="Teksttabelilewybold"/>
            </w:pPr>
            <w:r w:rsidRPr="001E4D45">
              <w:t xml:space="preserve">Partycypacja w kosztach utrzymania melioracji szczegółowych </w:t>
            </w:r>
          </w:p>
        </w:tc>
        <w:tc>
          <w:tcPr>
            <w:tcW w:w="2649" w:type="dxa"/>
            <w:vAlign w:val="center"/>
          </w:tcPr>
          <w:p w14:paraId="170AEEF7" w14:textId="77777777" w:rsidR="00BE0188" w:rsidRPr="001E4D45" w:rsidRDefault="00BE0188" w:rsidP="00840CCD">
            <w:pPr>
              <w:pStyle w:val="Lista2"/>
              <w:suppressAutoHyphens/>
              <w:spacing w:before="120" w:after="120"/>
              <w:ind w:left="0" w:firstLine="0"/>
              <w:jc w:val="center"/>
              <w:rPr>
                <w:rFonts w:ascii="Calibri" w:hAnsi="Calibri"/>
                <w:sz w:val="20"/>
                <w:szCs w:val="20"/>
                <w:highlight w:val="darkYellow"/>
              </w:rPr>
            </w:pPr>
            <w:r w:rsidRPr="001E4D45">
              <w:rPr>
                <w:rFonts w:ascii="Calibri" w:hAnsi="Calibri"/>
                <w:sz w:val="20"/>
                <w:szCs w:val="20"/>
              </w:rPr>
              <w:t>94,7</w:t>
            </w:r>
          </w:p>
        </w:tc>
      </w:tr>
      <w:tr w:rsidR="00BE0188" w:rsidRPr="001E4D45" w14:paraId="5B72DFA5" w14:textId="77777777" w:rsidTr="00FA42AE">
        <w:trPr>
          <w:trHeight w:val="488"/>
        </w:trPr>
        <w:tc>
          <w:tcPr>
            <w:tcW w:w="6418" w:type="dxa"/>
            <w:shd w:val="clear" w:color="auto" w:fill="D9D9D9"/>
            <w:vAlign w:val="center"/>
          </w:tcPr>
          <w:p w14:paraId="1CB24CB9" w14:textId="77777777" w:rsidR="00BE0188" w:rsidRPr="001E4D45" w:rsidRDefault="00BE0188" w:rsidP="003863A0">
            <w:pPr>
              <w:pStyle w:val="Teksttabelilewybold"/>
            </w:pPr>
            <w:r w:rsidRPr="001E4D45">
              <w:t>Opłaty za pobór wód</w:t>
            </w:r>
          </w:p>
        </w:tc>
        <w:tc>
          <w:tcPr>
            <w:tcW w:w="2649" w:type="dxa"/>
            <w:vAlign w:val="center"/>
          </w:tcPr>
          <w:p w14:paraId="7F362693" w14:textId="77777777" w:rsidR="00BE0188" w:rsidRPr="001E4D45" w:rsidRDefault="00BE0188" w:rsidP="00840CCD">
            <w:pPr>
              <w:pStyle w:val="Lista2"/>
              <w:suppressAutoHyphens/>
              <w:spacing w:before="120" w:after="120"/>
              <w:ind w:left="0" w:firstLine="0"/>
              <w:jc w:val="center"/>
              <w:rPr>
                <w:rFonts w:ascii="Calibri" w:hAnsi="Calibri"/>
                <w:sz w:val="20"/>
                <w:szCs w:val="20"/>
              </w:rPr>
            </w:pPr>
            <w:r w:rsidRPr="001E4D45">
              <w:rPr>
                <w:rFonts w:ascii="Calibri" w:hAnsi="Calibri"/>
                <w:sz w:val="20"/>
                <w:szCs w:val="20"/>
              </w:rPr>
              <w:t>brak danych</w:t>
            </w:r>
          </w:p>
        </w:tc>
      </w:tr>
      <w:tr w:rsidR="00BE0188" w:rsidRPr="001E4D45" w14:paraId="5145E4B0" w14:textId="77777777" w:rsidTr="00FA42AE">
        <w:trPr>
          <w:trHeight w:val="488"/>
        </w:trPr>
        <w:tc>
          <w:tcPr>
            <w:tcW w:w="6418" w:type="dxa"/>
            <w:shd w:val="clear" w:color="auto" w:fill="D9D9D9"/>
            <w:vAlign w:val="center"/>
          </w:tcPr>
          <w:p w14:paraId="60FA9BB9" w14:textId="77777777" w:rsidR="00BE0188" w:rsidRPr="001E4D45" w:rsidRDefault="00BE0188" w:rsidP="003863A0">
            <w:pPr>
              <w:pStyle w:val="Teksttabelilewybold"/>
            </w:pPr>
            <w:r w:rsidRPr="001E4D45">
              <w:t>Opłaty za zrzut ładunków zanieczyszczeń</w:t>
            </w:r>
          </w:p>
        </w:tc>
        <w:tc>
          <w:tcPr>
            <w:tcW w:w="2649" w:type="dxa"/>
            <w:vAlign w:val="center"/>
          </w:tcPr>
          <w:p w14:paraId="0934FFCC" w14:textId="77777777" w:rsidR="00BE0188" w:rsidRPr="001E4D45" w:rsidRDefault="00BE0188" w:rsidP="00840CCD">
            <w:pPr>
              <w:pStyle w:val="Lista2"/>
              <w:suppressAutoHyphens/>
              <w:spacing w:before="120" w:after="120"/>
              <w:ind w:left="0" w:firstLine="0"/>
              <w:jc w:val="center"/>
              <w:rPr>
                <w:rFonts w:ascii="Calibri" w:hAnsi="Calibri"/>
                <w:sz w:val="20"/>
                <w:szCs w:val="20"/>
              </w:rPr>
            </w:pPr>
            <w:r w:rsidRPr="001E4D45">
              <w:rPr>
                <w:rFonts w:ascii="Calibri" w:hAnsi="Calibri"/>
                <w:sz w:val="20"/>
                <w:szCs w:val="20"/>
              </w:rPr>
              <w:t>brak danych</w:t>
            </w:r>
          </w:p>
        </w:tc>
      </w:tr>
      <w:tr w:rsidR="00BE0188" w:rsidRPr="001E4D45" w14:paraId="1A61ABFD" w14:textId="77777777" w:rsidTr="00FA42AE">
        <w:trPr>
          <w:trHeight w:val="488"/>
        </w:trPr>
        <w:tc>
          <w:tcPr>
            <w:tcW w:w="6418" w:type="dxa"/>
            <w:shd w:val="clear" w:color="auto" w:fill="D9D9D9"/>
            <w:vAlign w:val="center"/>
          </w:tcPr>
          <w:p w14:paraId="01631AE5" w14:textId="77777777" w:rsidR="00BE0188" w:rsidRPr="001E4D45" w:rsidRDefault="00BE0188" w:rsidP="003863A0">
            <w:pPr>
              <w:pStyle w:val="Teksttabelilewybold"/>
            </w:pPr>
            <w:r w:rsidRPr="001E4D45">
              <w:t>Nienaliczone opłaty za pobór wód powierzchniowych</w:t>
            </w:r>
          </w:p>
        </w:tc>
        <w:tc>
          <w:tcPr>
            <w:tcW w:w="2649" w:type="dxa"/>
            <w:vAlign w:val="center"/>
          </w:tcPr>
          <w:p w14:paraId="520B6655" w14:textId="77777777" w:rsidR="00BE0188" w:rsidRPr="001E4D45" w:rsidRDefault="00BE0188" w:rsidP="00840CCD">
            <w:pPr>
              <w:pStyle w:val="Lista2"/>
              <w:suppressAutoHyphens/>
              <w:spacing w:before="120" w:after="120"/>
              <w:ind w:left="0" w:firstLine="0"/>
              <w:jc w:val="center"/>
              <w:rPr>
                <w:rFonts w:ascii="Calibri" w:hAnsi="Calibri"/>
                <w:sz w:val="20"/>
                <w:szCs w:val="20"/>
                <w:highlight w:val="yellow"/>
              </w:rPr>
            </w:pPr>
            <w:r w:rsidRPr="001E4D45">
              <w:rPr>
                <w:rFonts w:ascii="Calibri" w:hAnsi="Calibri"/>
                <w:sz w:val="20"/>
                <w:szCs w:val="20"/>
              </w:rPr>
              <w:t>24,4-40,7</w:t>
            </w:r>
          </w:p>
        </w:tc>
      </w:tr>
    </w:tbl>
    <w:p w14:paraId="300FD770" w14:textId="72922FE5" w:rsidR="00BE0188" w:rsidRPr="001E4D45" w:rsidRDefault="00BE0188" w:rsidP="00053ACE">
      <w:pPr>
        <w:pStyle w:val="rdo0"/>
        <w:rPr>
          <w:lang w:eastAsia="zh-CN"/>
        </w:rPr>
      </w:pPr>
      <w:r w:rsidRPr="001E4D45">
        <w:rPr>
          <w:lang w:eastAsia="zh-CN"/>
        </w:rPr>
        <w:t>Źródło:</w:t>
      </w:r>
      <w:r w:rsidR="00A16A1B">
        <w:rPr>
          <w:lang w:eastAsia="zh-CN"/>
        </w:rPr>
        <w:t xml:space="preserve"> opracowanie </w:t>
      </w:r>
      <w:r w:rsidR="00B773E9">
        <w:rPr>
          <w:lang w:eastAsia="zh-CN"/>
        </w:rPr>
        <w:t xml:space="preserve">własne </w:t>
      </w:r>
      <w:r w:rsidR="00A16A1B">
        <w:rPr>
          <w:lang w:eastAsia="zh-CN"/>
        </w:rPr>
        <w:t>na podstawie</w:t>
      </w:r>
      <w:r w:rsidRPr="001E4D45">
        <w:rPr>
          <w:lang w:eastAsia="zh-CN"/>
        </w:rPr>
        <w:t xml:space="preserve"> Analiz</w:t>
      </w:r>
      <w:r w:rsidR="00A16A1B">
        <w:rPr>
          <w:lang w:eastAsia="zh-CN"/>
        </w:rPr>
        <w:t>y</w:t>
      </w:r>
      <w:r w:rsidRPr="001E4D45">
        <w:rPr>
          <w:lang w:eastAsia="zh-CN"/>
        </w:rPr>
        <w:t xml:space="preserve"> zwrotu kosztów za usługi wodne wraz z prognozą rozwoju oraz analiza zwrotu kosztów środowiskowych i zasobowych w regionach wodnych i na obszarach dorzeczy (konkluzje), Gliwice 2019</w:t>
      </w:r>
      <w:r>
        <w:rPr>
          <w:lang w:eastAsia="zh-CN"/>
        </w:rPr>
        <w:t>.</w:t>
      </w:r>
    </w:p>
    <w:p w14:paraId="6AC8A4F3" w14:textId="77777777" w:rsidR="00BE0188" w:rsidRPr="00430805" w:rsidRDefault="00BE0188" w:rsidP="003C76C5">
      <w:r w:rsidRPr="00430805">
        <w:t>Finansowa stopa zwrotu dla sektora rolniczego za 2017 r. wyniosła 19,5%, natomiast ekonomiczna stopa zwrotu uwzględniająca koszty środowiskowe i nienaliczone opłaty za pobór wód wyniosła 2,7%.</w:t>
      </w:r>
    </w:p>
    <w:p w14:paraId="2E6CE023" w14:textId="2971B9CB" w:rsidR="00BE0188" w:rsidRDefault="00BE0188" w:rsidP="00B50FFD">
      <w:pPr>
        <w:pStyle w:val="Nagwek2"/>
      </w:pPr>
      <w:bookmarkStart w:id="337" w:name="_Toc63632752"/>
      <w:bookmarkStart w:id="338" w:name="_Toc68726886"/>
      <w:r w:rsidRPr="001E4D45">
        <w:t>Analiza efektywności kosztowej zestawu działań</w:t>
      </w:r>
      <w:bookmarkEnd w:id="337"/>
      <w:bookmarkEnd w:id="338"/>
    </w:p>
    <w:p w14:paraId="7FCA5209" w14:textId="4163990B" w:rsidR="001B1F33" w:rsidRDefault="001B1F33" w:rsidP="00B50FFD">
      <w:pPr>
        <w:pStyle w:val="Nagwek3"/>
      </w:pPr>
      <w:r w:rsidRPr="001B1F33">
        <w:t xml:space="preserve"> </w:t>
      </w:r>
      <w:bookmarkStart w:id="339" w:name="_Toc68726887"/>
      <w:r w:rsidRPr="001B1F33">
        <w:t>Metodyka</w:t>
      </w:r>
      <w:bookmarkEnd w:id="339"/>
    </w:p>
    <w:p w14:paraId="1BF6E526" w14:textId="77777777" w:rsidR="001B1F33" w:rsidRDefault="001B1F33" w:rsidP="003C76C5">
      <w:r>
        <w:t>Punktem wyjścia do przeprowadzenia analizy efektywności kosztowej poszczególnych działań jest ocena jakościowa oparta o:</w:t>
      </w:r>
    </w:p>
    <w:p w14:paraId="69C19168" w14:textId="77777777" w:rsidR="001B1F33" w:rsidRDefault="001B1F33" w:rsidP="001B1F33">
      <w:pPr>
        <w:pStyle w:val="Akapitzlist"/>
      </w:pPr>
      <w:r>
        <w:t>skuteczność działań w odniesieniu do realizacji celów RDW (Ks1), celów środowiskowych obszarów i gatunków chronionych (Ks2) oraz prognozowanych zmian klimatu i wpływu na łagodzenie skutków zmian klimatu (Ks3),</w:t>
      </w:r>
    </w:p>
    <w:p w14:paraId="41F4423C" w14:textId="77777777" w:rsidR="001B1F33" w:rsidRDefault="001B1F33" w:rsidP="001B1F33">
      <w:pPr>
        <w:pStyle w:val="Akapitzlist"/>
      </w:pPr>
      <w:r>
        <w:t>realność wdrożenia poszczególnych działań w perspektywie do 2027 roku (Kr),</w:t>
      </w:r>
    </w:p>
    <w:p w14:paraId="529DD083" w14:textId="77777777" w:rsidR="001B1F33" w:rsidRDefault="001B1F33" w:rsidP="001B1F33">
      <w:pPr>
        <w:pStyle w:val="Akapitzlist"/>
      </w:pPr>
      <w:r>
        <w:t>liczba rodzajów presji, na redukcję których wpływa dane działanie,</w:t>
      </w:r>
    </w:p>
    <w:p w14:paraId="0B550DD5" w14:textId="77777777" w:rsidR="001B1F33" w:rsidRDefault="001B1F33" w:rsidP="001B1F33">
      <w:pPr>
        <w:pStyle w:val="Akapitzlist"/>
      </w:pPr>
      <w:r>
        <w:t>czas osiągnięcia efektu przez dane działanie.</w:t>
      </w:r>
    </w:p>
    <w:p w14:paraId="5900487E" w14:textId="4D8E391F" w:rsidR="001B1F33" w:rsidRDefault="001B1F33" w:rsidP="003C76C5">
      <w:r>
        <w:t xml:space="preserve">Wynik oceny jakościowej reprezentowany jest poprzez wskaźnik efektywności (Ke) oceniony </w:t>
      </w:r>
      <w:r w:rsidR="00C4673D">
        <w:br/>
      </w:r>
      <w:r>
        <w:t>w 5-stopniowej skali od efektywności bardzo niskiej (1) do efektywności bardzo wysokiej (5).</w:t>
      </w:r>
    </w:p>
    <w:p w14:paraId="7AE9F8BD" w14:textId="77777777" w:rsidR="001B1F33" w:rsidRDefault="001B1F33" w:rsidP="003C76C5">
      <w:r>
        <w:t>Następnie tak wykonana analiza jakościowa zestawiona została z kosztami danego działania, również ocenianymi w 5-stopniowej skali według uszeregowania danego działania w określonej grupie centylowej w zestawie działań dla danego typu JCW.</w:t>
      </w:r>
    </w:p>
    <w:p w14:paraId="24F314D6" w14:textId="75DD316A" w:rsidR="001B1F33" w:rsidRDefault="001B1F33" w:rsidP="001B1F33">
      <w:pPr>
        <w:rPr>
          <w:rFonts w:cs="Lucida Grande"/>
        </w:rPr>
      </w:pPr>
      <w:r>
        <w:rPr>
          <w:rFonts w:cs="Lucida Grande"/>
        </w:rPr>
        <w:t>Analiza efektywności kosztowej poszczególnych działań w zestawie przeprowadzona została zgodnie z</w:t>
      </w:r>
      <w:r w:rsidR="00C4673D">
        <w:rPr>
          <w:rFonts w:cs="Lucida Grande"/>
        </w:rPr>
        <w:t> </w:t>
      </w:r>
      <w:r>
        <w:rPr>
          <w:rFonts w:cs="Lucida Grande"/>
        </w:rPr>
        <w:t>poniższym schematem:</w:t>
      </w:r>
    </w:p>
    <w:p w14:paraId="0FC38A34" w14:textId="77777777" w:rsidR="001B1F33" w:rsidRDefault="27603049" w:rsidP="00DB49CB">
      <w:pPr>
        <w:keepNext/>
        <w:jc w:val="center"/>
      </w:pPr>
      <w:r>
        <w:rPr>
          <w:noProof/>
        </w:rPr>
        <w:drawing>
          <wp:inline distT="0" distB="0" distL="0" distR="0" wp14:anchorId="1B342550" wp14:editId="3EC09E6E">
            <wp:extent cx="4594224" cy="5647056"/>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67">
                      <a:extLst>
                        <a:ext uri="{28A0092B-C50C-407E-A947-70E740481C1C}">
                          <a14:useLocalDpi xmlns:a14="http://schemas.microsoft.com/office/drawing/2010/main" val="0"/>
                        </a:ext>
                      </a:extLst>
                    </a:blip>
                    <a:stretch>
                      <a:fillRect/>
                    </a:stretch>
                  </pic:blipFill>
                  <pic:spPr>
                    <a:xfrm>
                      <a:off x="0" y="0"/>
                      <a:ext cx="4594224" cy="5647056"/>
                    </a:xfrm>
                    <a:prstGeom prst="rect">
                      <a:avLst/>
                    </a:prstGeom>
                  </pic:spPr>
                </pic:pic>
              </a:graphicData>
            </a:graphic>
          </wp:inline>
        </w:drawing>
      </w:r>
    </w:p>
    <w:p w14:paraId="1B320D69" w14:textId="497B35D7" w:rsidR="001B1F33" w:rsidRDefault="001B1F33" w:rsidP="006802BB">
      <w:pPr>
        <w:pStyle w:val="Legenda"/>
      </w:pPr>
      <w:bookmarkStart w:id="340" w:name="_Toc68727076"/>
      <w:r>
        <w:t xml:space="preserve">Rysunek </w:t>
      </w:r>
      <w:fldSimple w:instr=" STYLEREF 1 \s ">
        <w:r w:rsidR="00860BC1">
          <w:rPr>
            <w:noProof/>
          </w:rPr>
          <w:t>11</w:t>
        </w:r>
      </w:fldSimple>
      <w:r w:rsidR="00860BC1">
        <w:noBreakHyphen/>
      </w:r>
      <w:fldSimple w:instr=" SEQ Rysunek \* ARABIC \s 1 ">
        <w:r w:rsidR="00860BC1">
          <w:rPr>
            <w:noProof/>
          </w:rPr>
          <w:t>1</w:t>
        </w:r>
      </w:fldSimple>
      <w:r w:rsidR="00DB49CB">
        <w:tab/>
      </w:r>
      <w:r>
        <w:t xml:space="preserve">Schemat analizy </w:t>
      </w:r>
      <w:r w:rsidRPr="00DB49CB">
        <w:t>efektywności</w:t>
      </w:r>
      <w:r>
        <w:t xml:space="preserve"> kosztowej</w:t>
      </w:r>
      <w:bookmarkEnd w:id="340"/>
    </w:p>
    <w:p w14:paraId="1F3587DC" w14:textId="2972B1AD" w:rsidR="001B1F33" w:rsidRDefault="001B1F33" w:rsidP="001B1F33">
      <w:pPr>
        <w:pStyle w:val="rdo0"/>
      </w:pPr>
      <w:r>
        <w:t>Źródło: opracowanie własne</w:t>
      </w:r>
    </w:p>
    <w:p w14:paraId="60C0B420" w14:textId="3438D726" w:rsidR="00DB49CB" w:rsidRDefault="00DB49CB" w:rsidP="003C76C5">
      <w:r>
        <w:t>Efektywność kosztowa każdego z działań została określona w oparciu o koszty oraz wskaźnik efektywności zgodnie z poniższą macierzą (tabela 11-8):</w:t>
      </w:r>
    </w:p>
    <w:p w14:paraId="6F1A7094" w14:textId="77777777" w:rsidR="00DB49CB" w:rsidRDefault="00DB49CB">
      <w:pPr>
        <w:spacing w:before="0" w:after="0"/>
        <w:jc w:val="left"/>
        <w:rPr>
          <w:rFonts w:eastAsia="Times New Roman" w:cs="Lucida Grande"/>
          <w:lang w:eastAsia="pl-PL"/>
        </w:rPr>
      </w:pPr>
      <w:r>
        <w:rPr>
          <w:rFonts w:cs="Lucida Grande"/>
        </w:rPr>
        <w:br w:type="page"/>
      </w:r>
    </w:p>
    <w:p w14:paraId="462D5A16" w14:textId="276D3686" w:rsidR="00DB49CB" w:rsidRDefault="00DB49CB" w:rsidP="00F817BD">
      <w:pPr>
        <w:pStyle w:val="Legenda"/>
      </w:pPr>
      <w:bookmarkStart w:id="341" w:name="_Toc68727020"/>
      <w:r>
        <w:t xml:space="preserve">Tabela </w:t>
      </w:r>
      <w:fldSimple w:instr=" STYLEREF 1 \s ">
        <w:r w:rsidR="007B4050">
          <w:rPr>
            <w:noProof/>
          </w:rPr>
          <w:t>11</w:t>
        </w:r>
      </w:fldSimple>
      <w:r w:rsidR="007B4050">
        <w:noBreakHyphen/>
      </w:r>
      <w:fldSimple w:instr=" SEQ Tabela \* ARABIC \s 1 ">
        <w:r w:rsidR="007B4050">
          <w:rPr>
            <w:noProof/>
          </w:rPr>
          <w:t>8</w:t>
        </w:r>
      </w:fldSimple>
      <w:r w:rsidR="00F817BD">
        <w:tab/>
      </w:r>
      <w:r>
        <w:t>Macierz efektywności kosztowej</w:t>
      </w:r>
      <w:bookmarkEnd w:id="341"/>
    </w:p>
    <w:tbl>
      <w:tblPr>
        <w:tblW w:w="9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738"/>
        <w:gridCol w:w="1392"/>
        <w:gridCol w:w="1393"/>
        <w:gridCol w:w="1393"/>
        <w:gridCol w:w="1393"/>
        <w:gridCol w:w="1396"/>
      </w:tblGrid>
      <w:tr w:rsidR="00DB49CB" w14:paraId="07CCEAA5" w14:textId="77777777" w:rsidTr="00C4673D">
        <w:trPr>
          <w:trHeight w:val="391"/>
        </w:trPr>
        <w:tc>
          <w:tcPr>
            <w:tcW w:w="2130" w:type="dxa"/>
            <w:gridSpan w:val="2"/>
            <w:vMerge w:val="restart"/>
            <w:shd w:val="clear" w:color="auto" w:fill="BFBFBF" w:themeFill="background1" w:themeFillShade="BF"/>
            <w:vAlign w:val="center"/>
            <w:hideMark/>
          </w:tcPr>
          <w:p w14:paraId="7F7629D4" w14:textId="77777777" w:rsidR="00DB49CB" w:rsidRDefault="00DB49CB">
            <w:pPr>
              <w:jc w:val="center"/>
              <w:rPr>
                <w:rFonts w:cs="Calibri"/>
                <w:b/>
                <w:bCs/>
                <w:sz w:val="20"/>
                <w:szCs w:val="20"/>
                <w:lang w:eastAsia="zh-CN"/>
              </w:rPr>
            </w:pPr>
            <w:r>
              <w:rPr>
                <w:rFonts w:cs="Calibri"/>
                <w:b/>
                <w:bCs/>
                <w:sz w:val="20"/>
                <w:szCs w:val="20"/>
                <w:lang w:eastAsia="zh-CN"/>
              </w:rPr>
              <w:t>Efektywność kosztowa</w:t>
            </w:r>
          </w:p>
        </w:tc>
        <w:tc>
          <w:tcPr>
            <w:tcW w:w="6967" w:type="dxa"/>
            <w:gridSpan w:val="5"/>
            <w:shd w:val="clear" w:color="auto" w:fill="BFBFBF" w:themeFill="background1" w:themeFillShade="BF"/>
            <w:vAlign w:val="center"/>
            <w:hideMark/>
          </w:tcPr>
          <w:p w14:paraId="732FB202" w14:textId="77777777" w:rsidR="00DB49CB" w:rsidRDefault="00DB49CB">
            <w:pPr>
              <w:jc w:val="center"/>
              <w:rPr>
                <w:rFonts w:cs="Calibri"/>
                <w:b/>
                <w:bCs/>
                <w:sz w:val="20"/>
                <w:szCs w:val="20"/>
                <w:lang w:eastAsia="zh-CN"/>
              </w:rPr>
            </w:pPr>
            <w:r>
              <w:rPr>
                <w:rFonts w:cs="Calibri"/>
                <w:b/>
                <w:bCs/>
                <w:sz w:val="20"/>
                <w:szCs w:val="20"/>
                <w:lang w:eastAsia="zh-CN"/>
              </w:rPr>
              <w:t>Wskaźnik efektywności</w:t>
            </w:r>
          </w:p>
        </w:tc>
      </w:tr>
      <w:tr w:rsidR="00DB49CB" w14:paraId="37FDD9B2" w14:textId="77777777" w:rsidTr="00C4673D">
        <w:trPr>
          <w:trHeight w:val="391"/>
        </w:trPr>
        <w:tc>
          <w:tcPr>
            <w:tcW w:w="0" w:type="auto"/>
            <w:gridSpan w:val="2"/>
            <w:vMerge/>
            <w:shd w:val="clear" w:color="auto" w:fill="BFBFBF" w:themeFill="background1" w:themeFillShade="BF"/>
            <w:vAlign w:val="center"/>
            <w:hideMark/>
          </w:tcPr>
          <w:p w14:paraId="5B526F6A" w14:textId="77777777" w:rsidR="00DB49CB" w:rsidRDefault="00DB49CB">
            <w:pPr>
              <w:rPr>
                <w:rFonts w:eastAsia="Times New Roman" w:cs="Calibri"/>
                <w:b/>
                <w:bCs/>
                <w:sz w:val="20"/>
                <w:szCs w:val="20"/>
                <w:lang w:eastAsia="zh-CN"/>
              </w:rPr>
            </w:pPr>
          </w:p>
        </w:tc>
        <w:tc>
          <w:tcPr>
            <w:tcW w:w="1392" w:type="dxa"/>
            <w:shd w:val="clear" w:color="auto" w:fill="BFBFBF" w:themeFill="background1" w:themeFillShade="BF"/>
            <w:vAlign w:val="center"/>
            <w:hideMark/>
          </w:tcPr>
          <w:p w14:paraId="04892D8C" w14:textId="77777777" w:rsidR="00DB49CB" w:rsidRDefault="00DB49CB">
            <w:pPr>
              <w:jc w:val="center"/>
              <w:rPr>
                <w:rFonts w:cs="Calibri"/>
                <w:b/>
                <w:bCs/>
                <w:sz w:val="20"/>
                <w:szCs w:val="20"/>
                <w:lang w:eastAsia="zh-CN"/>
              </w:rPr>
            </w:pPr>
            <w:r>
              <w:rPr>
                <w:rFonts w:cs="Calibri"/>
                <w:b/>
                <w:bCs/>
                <w:sz w:val="20"/>
                <w:szCs w:val="20"/>
                <w:lang w:eastAsia="zh-CN"/>
              </w:rPr>
              <w:t>5</w:t>
            </w:r>
          </w:p>
        </w:tc>
        <w:tc>
          <w:tcPr>
            <w:tcW w:w="1393" w:type="dxa"/>
            <w:shd w:val="clear" w:color="auto" w:fill="BFBFBF" w:themeFill="background1" w:themeFillShade="BF"/>
            <w:vAlign w:val="center"/>
            <w:hideMark/>
          </w:tcPr>
          <w:p w14:paraId="1DA506E3" w14:textId="77777777" w:rsidR="00DB49CB" w:rsidRDefault="00DB49CB">
            <w:pPr>
              <w:jc w:val="center"/>
              <w:rPr>
                <w:rFonts w:cs="Calibri"/>
                <w:b/>
                <w:bCs/>
                <w:sz w:val="20"/>
                <w:szCs w:val="20"/>
                <w:lang w:eastAsia="zh-CN"/>
              </w:rPr>
            </w:pPr>
            <w:r>
              <w:rPr>
                <w:rFonts w:cs="Calibri"/>
                <w:b/>
                <w:bCs/>
                <w:sz w:val="20"/>
                <w:szCs w:val="20"/>
                <w:lang w:eastAsia="zh-CN"/>
              </w:rPr>
              <w:t>4</w:t>
            </w:r>
          </w:p>
        </w:tc>
        <w:tc>
          <w:tcPr>
            <w:tcW w:w="1393" w:type="dxa"/>
            <w:shd w:val="clear" w:color="auto" w:fill="BFBFBF" w:themeFill="background1" w:themeFillShade="BF"/>
            <w:vAlign w:val="center"/>
            <w:hideMark/>
          </w:tcPr>
          <w:p w14:paraId="5F0600B0" w14:textId="77777777" w:rsidR="00DB49CB" w:rsidRDefault="00DB49CB">
            <w:pPr>
              <w:jc w:val="center"/>
              <w:rPr>
                <w:rFonts w:cs="Calibri"/>
                <w:b/>
                <w:bCs/>
                <w:sz w:val="20"/>
                <w:szCs w:val="20"/>
                <w:lang w:eastAsia="zh-CN"/>
              </w:rPr>
            </w:pPr>
            <w:r>
              <w:rPr>
                <w:rFonts w:cs="Calibri"/>
                <w:b/>
                <w:bCs/>
                <w:sz w:val="20"/>
                <w:szCs w:val="20"/>
                <w:lang w:eastAsia="zh-CN"/>
              </w:rPr>
              <w:t>3</w:t>
            </w:r>
          </w:p>
        </w:tc>
        <w:tc>
          <w:tcPr>
            <w:tcW w:w="1393" w:type="dxa"/>
            <w:shd w:val="clear" w:color="auto" w:fill="BFBFBF" w:themeFill="background1" w:themeFillShade="BF"/>
            <w:vAlign w:val="center"/>
            <w:hideMark/>
          </w:tcPr>
          <w:p w14:paraId="0455520F" w14:textId="77777777" w:rsidR="00DB49CB" w:rsidRDefault="00DB49CB">
            <w:pPr>
              <w:jc w:val="center"/>
              <w:rPr>
                <w:rFonts w:cs="Calibri"/>
                <w:b/>
                <w:bCs/>
                <w:sz w:val="20"/>
                <w:szCs w:val="20"/>
                <w:lang w:eastAsia="zh-CN"/>
              </w:rPr>
            </w:pPr>
            <w:r>
              <w:rPr>
                <w:rFonts w:cs="Calibri"/>
                <w:b/>
                <w:bCs/>
                <w:sz w:val="20"/>
                <w:szCs w:val="20"/>
                <w:lang w:eastAsia="zh-CN"/>
              </w:rPr>
              <w:t>2</w:t>
            </w:r>
          </w:p>
        </w:tc>
        <w:tc>
          <w:tcPr>
            <w:tcW w:w="1396" w:type="dxa"/>
            <w:shd w:val="clear" w:color="auto" w:fill="BFBFBF" w:themeFill="background1" w:themeFillShade="BF"/>
            <w:vAlign w:val="center"/>
            <w:hideMark/>
          </w:tcPr>
          <w:p w14:paraId="5839AF10" w14:textId="77777777" w:rsidR="00DB49CB" w:rsidRDefault="00DB49CB">
            <w:pPr>
              <w:jc w:val="center"/>
              <w:rPr>
                <w:rFonts w:cs="Calibri"/>
                <w:b/>
                <w:bCs/>
                <w:sz w:val="20"/>
                <w:szCs w:val="20"/>
                <w:lang w:eastAsia="zh-CN"/>
              </w:rPr>
            </w:pPr>
            <w:r>
              <w:rPr>
                <w:rFonts w:cs="Calibri"/>
                <w:b/>
                <w:bCs/>
                <w:sz w:val="20"/>
                <w:szCs w:val="20"/>
                <w:lang w:eastAsia="zh-CN"/>
              </w:rPr>
              <w:t>1</w:t>
            </w:r>
          </w:p>
        </w:tc>
      </w:tr>
      <w:tr w:rsidR="00DB49CB" w14:paraId="35948873" w14:textId="77777777" w:rsidTr="00F817BD">
        <w:trPr>
          <w:trHeight w:val="391"/>
        </w:trPr>
        <w:tc>
          <w:tcPr>
            <w:tcW w:w="1392" w:type="dxa"/>
            <w:vMerge w:val="restart"/>
            <w:vAlign w:val="center"/>
            <w:hideMark/>
          </w:tcPr>
          <w:p w14:paraId="2095562F" w14:textId="77777777" w:rsidR="00DB49CB" w:rsidRDefault="00DB49CB">
            <w:pPr>
              <w:jc w:val="center"/>
              <w:rPr>
                <w:rFonts w:cs="Calibri"/>
                <w:b/>
                <w:bCs/>
                <w:sz w:val="20"/>
                <w:szCs w:val="20"/>
                <w:lang w:eastAsia="zh-CN"/>
              </w:rPr>
            </w:pPr>
            <w:r>
              <w:rPr>
                <w:rFonts w:cs="Calibri"/>
                <w:b/>
                <w:bCs/>
                <w:sz w:val="20"/>
                <w:szCs w:val="20"/>
                <w:lang w:eastAsia="zh-CN"/>
              </w:rPr>
              <w:t>Wskaźnik kosztowy</w:t>
            </w:r>
          </w:p>
        </w:tc>
        <w:tc>
          <w:tcPr>
            <w:tcW w:w="738" w:type="dxa"/>
            <w:vAlign w:val="center"/>
            <w:hideMark/>
          </w:tcPr>
          <w:p w14:paraId="1C181EB8" w14:textId="77777777" w:rsidR="00DB49CB" w:rsidRDefault="00DB49CB">
            <w:pPr>
              <w:jc w:val="center"/>
              <w:rPr>
                <w:rFonts w:cs="Calibri"/>
                <w:b/>
                <w:bCs/>
                <w:sz w:val="20"/>
                <w:szCs w:val="20"/>
                <w:lang w:eastAsia="zh-CN"/>
              </w:rPr>
            </w:pPr>
            <w:r>
              <w:rPr>
                <w:rFonts w:cs="Calibri"/>
                <w:b/>
                <w:bCs/>
                <w:sz w:val="20"/>
                <w:szCs w:val="20"/>
                <w:lang w:eastAsia="zh-CN"/>
              </w:rPr>
              <w:t>1</w:t>
            </w:r>
          </w:p>
        </w:tc>
        <w:tc>
          <w:tcPr>
            <w:tcW w:w="1392" w:type="dxa"/>
            <w:shd w:val="clear" w:color="auto" w:fill="BFBFBF"/>
            <w:vAlign w:val="center"/>
            <w:hideMark/>
          </w:tcPr>
          <w:p w14:paraId="645F43EC"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BFBFBF"/>
            <w:vAlign w:val="center"/>
            <w:hideMark/>
          </w:tcPr>
          <w:p w14:paraId="35BD8EB9"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D9D9D9"/>
            <w:vAlign w:val="center"/>
            <w:hideMark/>
          </w:tcPr>
          <w:p w14:paraId="44192ED1" w14:textId="77777777" w:rsidR="00DB49CB" w:rsidRDefault="00DB49CB">
            <w:pPr>
              <w:jc w:val="center"/>
              <w:rPr>
                <w:rFonts w:cs="Calibri"/>
                <w:sz w:val="20"/>
                <w:szCs w:val="20"/>
                <w:lang w:eastAsia="zh-CN"/>
              </w:rPr>
            </w:pPr>
            <w:r>
              <w:rPr>
                <w:rFonts w:cs="Calibri"/>
                <w:sz w:val="20"/>
                <w:szCs w:val="20"/>
                <w:lang w:eastAsia="zh-CN"/>
              </w:rPr>
              <w:t>2</w:t>
            </w:r>
          </w:p>
        </w:tc>
        <w:tc>
          <w:tcPr>
            <w:tcW w:w="1393" w:type="dxa"/>
            <w:shd w:val="clear" w:color="auto" w:fill="F2F2F2"/>
            <w:vAlign w:val="center"/>
            <w:hideMark/>
          </w:tcPr>
          <w:p w14:paraId="1525D913" w14:textId="77777777" w:rsidR="00DB49CB" w:rsidRDefault="00DB49CB">
            <w:pPr>
              <w:jc w:val="center"/>
              <w:rPr>
                <w:rFonts w:cs="Calibri"/>
                <w:sz w:val="20"/>
                <w:szCs w:val="20"/>
                <w:lang w:eastAsia="zh-CN"/>
              </w:rPr>
            </w:pPr>
            <w:r>
              <w:rPr>
                <w:rFonts w:cs="Calibri"/>
                <w:sz w:val="20"/>
                <w:szCs w:val="20"/>
                <w:lang w:eastAsia="zh-CN"/>
              </w:rPr>
              <w:t>1</w:t>
            </w:r>
          </w:p>
        </w:tc>
        <w:tc>
          <w:tcPr>
            <w:tcW w:w="1396" w:type="dxa"/>
            <w:shd w:val="clear" w:color="auto" w:fill="F2F2F2"/>
            <w:vAlign w:val="center"/>
            <w:hideMark/>
          </w:tcPr>
          <w:p w14:paraId="68057CE0" w14:textId="77777777" w:rsidR="00DB49CB" w:rsidRDefault="00DB49CB">
            <w:pPr>
              <w:jc w:val="center"/>
              <w:rPr>
                <w:rFonts w:cs="Calibri"/>
                <w:sz w:val="20"/>
                <w:szCs w:val="20"/>
                <w:lang w:eastAsia="zh-CN"/>
              </w:rPr>
            </w:pPr>
            <w:r>
              <w:rPr>
                <w:rFonts w:cs="Calibri"/>
                <w:sz w:val="20"/>
                <w:szCs w:val="20"/>
                <w:lang w:eastAsia="zh-CN"/>
              </w:rPr>
              <w:t>1</w:t>
            </w:r>
          </w:p>
        </w:tc>
      </w:tr>
      <w:tr w:rsidR="00DB49CB" w14:paraId="63959B83" w14:textId="77777777" w:rsidTr="00F817BD">
        <w:trPr>
          <w:trHeight w:val="391"/>
        </w:trPr>
        <w:tc>
          <w:tcPr>
            <w:tcW w:w="0" w:type="auto"/>
            <w:vMerge/>
            <w:vAlign w:val="center"/>
            <w:hideMark/>
          </w:tcPr>
          <w:p w14:paraId="1E436CE9" w14:textId="77777777" w:rsidR="00DB49CB" w:rsidRDefault="00DB49CB">
            <w:pPr>
              <w:rPr>
                <w:rFonts w:eastAsia="Times New Roman" w:cs="Calibri"/>
                <w:b/>
                <w:bCs/>
                <w:sz w:val="20"/>
                <w:szCs w:val="20"/>
                <w:lang w:eastAsia="zh-CN"/>
              </w:rPr>
            </w:pPr>
          </w:p>
        </w:tc>
        <w:tc>
          <w:tcPr>
            <w:tcW w:w="738" w:type="dxa"/>
            <w:vAlign w:val="center"/>
            <w:hideMark/>
          </w:tcPr>
          <w:p w14:paraId="1BB5E4EA" w14:textId="77777777" w:rsidR="00DB49CB" w:rsidRDefault="00DB49CB">
            <w:pPr>
              <w:jc w:val="center"/>
              <w:rPr>
                <w:rFonts w:cs="Calibri"/>
                <w:b/>
                <w:bCs/>
                <w:sz w:val="20"/>
                <w:szCs w:val="20"/>
                <w:lang w:eastAsia="zh-CN"/>
              </w:rPr>
            </w:pPr>
            <w:r>
              <w:rPr>
                <w:rFonts w:cs="Calibri"/>
                <w:b/>
                <w:bCs/>
                <w:sz w:val="20"/>
                <w:szCs w:val="20"/>
                <w:lang w:eastAsia="zh-CN"/>
              </w:rPr>
              <w:t>2</w:t>
            </w:r>
          </w:p>
        </w:tc>
        <w:tc>
          <w:tcPr>
            <w:tcW w:w="1392" w:type="dxa"/>
            <w:shd w:val="clear" w:color="auto" w:fill="BFBFBF"/>
            <w:vAlign w:val="center"/>
            <w:hideMark/>
          </w:tcPr>
          <w:p w14:paraId="2C1B9650"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BFBFBF"/>
            <w:vAlign w:val="center"/>
            <w:hideMark/>
          </w:tcPr>
          <w:p w14:paraId="39624278"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BFBFBF"/>
            <w:vAlign w:val="center"/>
            <w:hideMark/>
          </w:tcPr>
          <w:p w14:paraId="099CD368"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D9D9D9"/>
            <w:vAlign w:val="center"/>
            <w:hideMark/>
          </w:tcPr>
          <w:p w14:paraId="60670024" w14:textId="77777777" w:rsidR="00DB49CB" w:rsidRDefault="00DB49CB">
            <w:pPr>
              <w:jc w:val="center"/>
              <w:rPr>
                <w:rFonts w:cs="Calibri"/>
                <w:sz w:val="20"/>
                <w:szCs w:val="20"/>
                <w:lang w:eastAsia="zh-CN"/>
              </w:rPr>
            </w:pPr>
            <w:r>
              <w:rPr>
                <w:rFonts w:cs="Calibri"/>
                <w:sz w:val="20"/>
                <w:szCs w:val="20"/>
                <w:lang w:eastAsia="zh-CN"/>
              </w:rPr>
              <w:t>2</w:t>
            </w:r>
          </w:p>
        </w:tc>
        <w:tc>
          <w:tcPr>
            <w:tcW w:w="1396" w:type="dxa"/>
            <w:shd w:val="clear" w:color="auto" w:fill="F2F2F2"/>
            <w:vAlign w:val="center"/>
            <w:hideMark/>
          </w:tcPr>
          <w:p w14:paraId="6A7D4A3B" w14:textId="77777777" w:rsidR="00DB49CB" w:rsidRDefault="00DB49CB">
            <w:pPr>
              <w:jc w:val="center"/>
              <w:rPr>
                <w:rFonts w:cs="Calibri"/>
                <w:sz w:val="20"/>
                <w:szCs w:val="20"/>
                <w:lang w:eastAsia="zh-CN"/>
              </w:rPr>
            </w:pPr>
            <w:r>
              <w:rPr>
                <w:rFonts w:cs="Calibri"/>
                <w:sz w:val="20"/>
                <w:szCs w:val="20"/>
                <w:lang w:eastAsia="zh-CN"/>
              </w:rPr>
              <w:t>1</w:t>
            </w:r>
          </w:p>
        </w:tc>
      </w:tr>
      <w:tr w:rsidR="00DB49CB" w14:paraId="3106741E" w14:textId="77777777" w:rsidTr="00F817BD">
        <w:trPr>
          <w:trHeight w:val="391"/>
        </w:trPr>
        <w:tc>
          <w:tcPr>
            <w:tcW w:w="0" w:type="auto"/>
            <w:vMerge/>
            <w:vAlign w:val="center"/>
            <w:hideMark/>
          </w:tcPr>
          <w:p w14:paraId="7D7BE7DF" w14:textId="77777777" w:rsidR="00DB49CB" w:rsidRDefault="00DB49CB">
            <w:pPr>
              <w:rPr>
                <w:rFonts w:eastAsia="Times New Roman" w:cs="Calibri"/>
                <w:b/>
                <w:bCs/>
                <w:sz w:val="20"/>
                <w:szCs w:val="20"/>
                <w:lang w:eastAsia="zh-CN"/>
              </w:rPr>
            </w:pPr>
          </w:p>
        </w:tc>
        <w:tc>
          <w:tcPr>
            <w:tcW w:w="738" w:type="dxa"/>
            <w:vAlign w:val="center"/>
            <w:hideMark/>
          </w:tcPr>
          <w:p w14:paraId="157B5CD0" w14:textId="77777777" w:rsidR="00DB49CB" w:rsidRDefault="00DB49CB">
            <w:pPr>
              <w:jc w:val="center"/>
              <w:rPr>
                <w:rFonts w:cs="Calibri"/>
                <w:b/>
                <w:bCs/>
                <w:sz w:val="20"/>
                <w:szCs w:val="20"/>
                <w:lang w:eastAsia="zh-CN"/>
              </w:rPr>
            </w:pPr>
            <w:r>
              <w:rPr>
                <w:rFonts w:cs="Calibri"/>
                <w:b/>
                <w:bCs/>
                <w:sz w:val="20"/>
                <w:szCs w:val="20"/>
                <w:lang w:eastAsia="zh-CN"/>
              </w:rPr>
              <w:t>3</w:t>
            </w:r>
          </w:p>
        </w:tc>
        <w:tc>
          <w:tcPr>
            <w:tcW w:w="1392" w:type="dxa"/>
            <w:shd w:val="clear" w:color="auto" w:fill="A6A6A6"/>
            <w:vAlign w:val="center"/>
            <w:hideMark/>
          </w:tcPr>
          <w:p w14:paraId="38A44259" w14:textId="77777777" w:rsidR="00DB49CB" w:rsidRDefault="00DB49CB">
            <w:pPr>
              <w:jc w:val="center"/>
              <w:rPr>
                <w:rFonts w:cs="Calibri"/>
                <w:sz w:val="20"/>
                <w:szCs w:val="20"/>
                <w:lang w:eastAsia="zh-CN"/>
              </w:rPr>
            </w:pPr>
            <w:r>
              <w:rPr>
                <w:rFonts w:cs="Calibri"/>
                <w:sz w:val="20"/>
                <w:szCs w:val="20"/>
                <w:lang w:eastAsia="zh-CN"/>
              </w:rPr>
              <w:t>4</w:t>
            </w:r>
          </w:p>
        </w:tc>
        <w:tc>
          <w:tcPr>
            <w:tcW w:w="1393" w:type="dxa"/>
            <w:shd w:val="clear" w:color="auto" w:fill="A6A6A6"/>
            <w:vAlign w:val="center"/>
            <w:hideMark/>
          </w:tcPr>
          <w:p w14:paraId="10921F4F" w14:textId="77777777" w:rsidR="00DB49CB" w:rsidRDefault="00DB49CB">
            <w:pPr>
              <w:jc w:val="center"/>
              <w:rPr>
                <w:rFonts w:cs="Calibri"/>
                <w:sz w:val="20"/>
                <w:szCs w:val="20"/>
                <w:lang w:eastAsia="zh-CN"/>
              </w:rPr>
            </w:pPr>
            <w:r>
              <w:rPr>
                <w:rFonts w:cs="Calibri"/>
                <w:sz w:val="20"/>
                <w:szCs w:val="20"/>
                <w:lang w:eastAsia="zh-CN"/>
              </w:rPr>
              <w:t>4</w:t>
            </w:r>
          </w:p>
        </w:tc>
        <w:tc>
          <w:tcPr>
            <w:tcW w:w="1393" w:type="dxa"/>
            <w:shd w:val="clear" w:color="auto" w:fill="BFBFBF"/>
            <w:vAlign w:val="center"/>
            <w:hideMark/>
          </w:tcPr>
          <w:p w14:paraId="50C7DE68"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D9D9D9"/>
            <w:vAlign w:val="center"/>
            <w:hideMark/>
          </w:tcPr>
          <w:p w14:paraId="1EAC2B47" w14:textId="77777777" w:rsidR="00DB49CB" w:rsidRDefault="00DB49CB">
            <w:pPr>
              <w:jc w:val="center"/>
              <w:rPr>
                <w:rFonts w:cs="Calibri"/>
                <w:sz w:val="20"/>
                <w:szCs w:val="20"/>
                <w:lang w:eastAsia="zh-CN"/>
              </w:rPr>
            </w:pPr>
            <w:r>
              <w:rPr>
                <w:rFonts w:cs="Calibri"/>
                <w:sz w:val="20"/>
                <w:szCs w:val="20"/>
                <w:lang w:eastAsia="zh-CN"/>
              </w:rPr>
              <w:t>2</w:t>
            </w:r>
          </w:p>
        </w:tc>
        <w:tc>
          <w:tcPr>
            <w:tcW w:w="1396" w:type="dxa"/>
            <w:shd w:val="clear" w:color="auto" w:fill="D9D9D9"/>
            <w:vAlign w:val="center"/>
            <w:hideMark/>
          </w:tcPr>
          <w:p w14:paraId="4E05010F" w14:textId="77777777" w:rsidR="00DB49CB" w:rsidRDefault="00DB49CB">
            <w:pPr>
              <w:jc w:val="center"/>
              <w:rPr>
                <w:rFonts w:cs="Calibri"/>
                <w:sz w:val="20"/>
                <w:szCs w:val="20"/>
                <w:lang w:eastAsia="zh-CN"/>
              </w:rPr>
            </w:pPr>
            <w:r>
              <w:rPr>
                <w:rFonts w:cs="Calibri"/>
                <w:sz w:val="20"/>
                <w:szCs w:val="20"/>
                <w:lang w:eastAsia="zh-CN"/>
              </w:rPr>
              <w:t>2</w:t>
            </w:r>
          </w:p>
        </w:tc>
      </w:tr>
      <w:tr w:rsidR="00DB49CB" w14:paraId="10BBF0FA" w14:textId="77777777" w:rsidTr="00F817BD">
        <w:trPr>
          <w:trHeight w:val="391"/>
        </w:trPr>
        <w:tc>
          <w:tcPr>
            <w:tcW w:w="0" w:type="auto"/>
            <w:vMerge/>
            <w:vAlign w:val="center"/>
            <w:hideMark/>
          </w:tcPr>
          <w:p w14:paraId="5FA16A4E" w14:textId="77777777" w:rsidR="00DB49CB" w:rsidRDefault="00DB49CB">
            <w:pPr>
              <w:rPr>
                <w:rFonts w:eastAsia="Times New Roman" w:cs="Calibri"/>
                <w:b/>
                <w:bCs/>
                <w:sz w:val="20"/>
                <w:szCs w:val="20"/>
                <w:lang w:eastAsia="zh-CN"/>
              </w:rPr>
            </w:pPr>
          </w:p>
        </w:tc>
        <w:tc>
          <w:tcPr>
            <w:tcW w:w="738" w:type="dxa"/>
            <w:vAlign w:val="center"/>
            <w:hideMark/>
          </w:tcPr>
          <w:p w14:paraId="4E781025" w14:textId="77777777" w:rsidR="00DB49CB" w:rsidRDefault="00DB49CB">
            <w:pPr>
              <w:jc w:val="center"/>
              <w:rPr>
                <w:rFonts w:cs="Calibri"/>
                <w:b/>
                <w:bCs/>
                <w:sz w:val="20"/>
                <w:szCs w:val="20"/>
                <w:lang w:eastAsia="zh-CN"/>
              </w:rPr>
            </w:pPr>
            <w:r>
              <w:rPr>
                <w:rFonts w:cs="Calibri"/>
                <w:b/>
                <w:bCs/>
                <w:sz w:val="20"/>
                <w:szCs w:val="20"/>
                <w:lang w:eastAsia="zh-CN"/>
              </w:rPr>
              <w:t>4</w:t>
            </w:r>
          </w:p>
        </w:tc>
        <w:tc>
          <w:tcPr>
            <w:tcW w:w="1392" w:type="dxa"/>
            <w:shd w:val="clear" w:color="auto" w:fill="808080"/>
            <w:vAlign w:val="center"/>
            <w:hideMark/>
          </w:tcPr>
          <w:p w14:paraId="6F10452A" w14:textId="77777777" w:rsidR="00DB49CB" w:rsidRDefault="00DB49CB">
            <w:pPr>
              <w:jc w:val="center"/>
              <w:rPr>
                <w:rFonts w:cs="Calibri"/>
                <w:sz w:val="20"/>
                <w:szCs w:val="20"/>
                <w:lang w:eastAsia="zh-CN"/>
              </w:rPr>
            </w:pPr>
            <w:r>
              <w:rPr>
                <w:rFonts w:cs="Calibri"/>
                <w:sz w:val="20"/>
                <w:szCs w:val="20"/>
                <w:lang w:eastAsia="zh-CN"/>
              </w:rPr>
              <w:t>5</w:t>
            </w:r>
          </w:p>
        </w:tc>
        <w:tc>
          <w:tcPr>
            <w:tcW w:w="1393" w:type="dxa"/>
            <w:shd w:val="clear" w:color="auto" w:fill="A6A6A6"/>
            <w:vAlign w:val="center"/>
            <w:hideMark/>
          </w:tcPr>
          <w:p w14:paraId="5E3A4169" w14:textId="77777777" w:rsidR="00DB49CB" w:rsidRDefault="00DB49CB">
            <w:pPr>
              <w:jc w:val="center"/>
              <w:rPr>
                <w:rFonts w:cs="Calibri"/>
                <w:sz w:val="20"/>
                <w:szCs w:val="20"/>
                <w:lang w:eastAsia="zh-CN"/>
              </w:rPr>
            </w:pPr>
            <w:r>
              <w:rPr>
                <w:rFonts w:cs="Calibri"/>
                <w:sz w:val="20"/>
                <w:szCs w:val="20"/>
                <w:lang w:eastAsia="zh-CN"/>
              </w:rPr>
              <w:t>4</w:t>
            </w:r>
          </w:p>
        </w:tc>
        <w:tc>
          <w:tcPr>
            <w:tcW w:w="1393" w:type="dxa"/>
            <w:shd w:val="clear" w:color="auto" w:fill="BFBFBF"/>
            <w:vAlign w:val="center"/>
            <w:hideMark/>
          </w:tcPr>
          <w:p w14:paraId="7BEC3B5F" w14:textId="77777777" w:rsidR="00DB49CB" w:rsidRDefault="00DB49CB">
            <w:pPr>
              <w:jc w:val="center"/>
              <w:rPr>
                <w:rFonts w:cs="Calibri"/>
                <w:sz w:val="20"/>
                <w:szCs w:val="20"/>
                <w:lang w:eastAsia="zh-CN"/>
              </w:rPr>
            </w:pPr>
            <w:r>
              <w:rPr>
                <w:rFonts w:cs="Calibri"/>
                <w:sz w:val="20"/>
                <w:szCs w:val="20"/>
                <w:lang w:eastAsia="zh-CN"/>
              </w:rPr>
              <w:t>3</w:t>
            </w:r>
          </w:p>
        </w:tc>
        <w:tc>
          <w:tcPr>
            <w:tcW w:w="1393" w:type="dxa"/>
            <w:shd w:val="clear" w:color="auto" w:fill="BFBFBF"/>
            <w:vAlign w:val="center"/>
            <w:hideMark/>
          </w:tcPr>
          <w:p w14:paraId="30AEB0BC" w14:textId="77777777" w:rsidR="00DB49CB" w:rsidRDefault="00DB49CB">
            <w:pPr>
              <w:jc w:val="center"/>
              <w:rPr>
                <w:rFonts w:cs="Calibri"/>
                <w:sz w:val="20"/>
                <w:szCs w:val="20"/>
                <w:lang w:eastAsia="zh-CN"/>
              </w:rPr>
            </w:pPr>
            <w:r>
              <w:rPr>
                <w:rFonts w:cs="Calibri"/>
                <w:sz w:val="20"/>
                <w:szCs w:val="20"/>
                <w:lang w:eastAsia="zh-CN"/>
              </w:rPr>
              <w:t>3</w:t>
            </w:r>
          </w:p>
        </w:tc>
        <w:tc>
          <w:tcPr>
            <w:tcW w:w="1396" w:type="dxa"/>
            <w:shd w:val="clear" w:color="auto" w:fill="BFBFBF"/>
            <w:vAlign w:val="center"/>
            <w:hideMark/>
          </w:tcPr>
          <w:p w14:paraId="38BEF4A3" w14:textId="77777777" w:rsidR="00DB49CB" w:rsidRDefault="00DB49CB">
            <w:pPr>
              <w:jc w:val="center"/>
              <w:rPr>
                <w:rFonts w:cs="Calibri"/>
                <w:sz w:val="20"/>
                <w:szCs w:val="20"/>
                <w:lang w:eastAsia="zh-CN"/>
              </w:rPr>
            </w:pPr>
            <w:r>
              <w:rPr>
                <w:rFonts w:cs="Calibri"/>
                <w:sz w:val="20"/>
                <w:szCs w:val="20"/>
                <w:lang w:eastAsia="zh-CN"/>
              </w:rPr>
              <w:t>3</w:t>
            </w:r>
          </w:p>
        </w:tc>
      </w:tr>
      <w:tr w:rsidR="00DB49CB" w14:paraId="71165241" w14:textId="77777777" w:rsidTr="00F817BD">
        <w:trPr>
          <w:trHeight w:val="391"/>
        </w:trPr>
        <w:tc>
          <w:tcPr>
            <w:tcW w:w="0" w:type="auto"/>
            <w:vMerge/>
            <w:vAlign w:val="center"/>
            <w:hideMark/>
          </w:tcPr>
          <w:p w14:paraId="15185F8B" w14:textId="77777777" w:rsidR="00DB49CB" w:rsidRDefault="00DB49CB">
            <w:pPr>
              <w:rPr>
                <w:rFonts w:eastAsia="Times New Roman" w:cs="Calibri"/>
                <w:b/>
                <w:bCs/>
                <w:sz w:val="20"/>
                <w:szCs w:val="20"/>
                <w:lang w:eastAsia="zh-CN"/>
              </w:rPr>
            </w:pPr>
          </w:p>
        </w:tc>
        <w:tc>
          <w:tcPr>
            <w:tcW w:w="738" w:type="dxa"/>
            <w:vAlign w:val="center"/>
            <w:hideMark/>
          </w:tcPr>
          <w:p w14:paraId="63161E3A" w14:textId="77777777" w:rsidR="00DB49CB" w:rsidRDefault="00DB49CB">
            <w:pPr>
              <w:jc w:val="center"/>
              <w:rPr>
                <w:rFonts w:cs="Calibri"/>
                <w:b/>
                <w:bCs/>
                <w:sz w:val="20"/>
                <w:szCs w:val="20"/>
                <w:lang w:eastAsia="zh-CN"/>
              </w:rPr>
            </w:pPr>
            <w:r>
              <w:rPr>
                <w:rFonts w:cs="Calibri"/>
                <w:b/>
                <w:bCs/>
                <w:sz w:val="20"/>
                <w:szCs w:val="20"/>
                <w:lang w:eastAsia="zh-CN"/>
              </w:rPr>
              <w:t>5</w:t>
            </w:r>
          </w:p>
        </w:tc>
        <w:tc>
          <w:tcPr>
            <w:tcW w:w="1392" w:type="dxa"/>
            <w:shd w:val="clear" w:color="auto" w:fill="808080"/>
            <w:vAlign w:val="center"/>
            <w:hideMark/>
          </w:tcPr>
          <w:p w14:paraId="629282E4" w14:textId="77777777" w:rsidR="00DB49CB" w:rsidRDefault="00DB49CB">
            <w:pPr>
              <w:jc w:val="center"/>
              <w:rPr>
                <w:rFonts w:cs="Calibri"/>
                <w:sz w:val="20"/>
                <w:szCs w:val="20"/>
                <w:lang w:eastAsia="zh-CN"/>
              </w:rPr>
            </w:pPr>
            <w:r>
              <w:rPr>
                <w:rFonts w:cs="Calibri"/>
                <w:sz w:val="20"/>
                <w:szCs w:val="20"/>
                <w:lang w:eastAsia="zh-CN"/>
              </w:rPr>
              <w:t>5</w:t>
            </w:r>
          </w:p>
        </w:tc>
        <w:tc>
          <w:tcPr>
            <w:tcW w:w="1393" w:type="dxa"/>
            <w:shd w:val="clear" w:color="auto" w:fill="808080"/>
            <w:vAlign w:val="center"/>
            <w:hideMark/>
          </w:tcPr>
          <w:p w14:paraId="29B44D48" w14:textId="77777777" w:rsidR="00DB49CB" w:rsidRDefault="00DB49CB">
            <w:pPr>
              <w:jc w:val="center"/>
              <w:rPr>
                <w:rFonts w:cs="Calibri"/>
                <w:sz w:val="20"/>
                <w:szCs w:val="20"/>
                <w:lang w:eastAsia="zh-CN"/>
              </w:rPr>
            </w:pPr>
            <w:r>
              <w:rPr>
                <w:rFonts w:cs="Calibri"/>
                <w:sz w:val="20"/>
                <w:szCs w:val="20"/>
                <w:lang w:eastAsia="zh-CN"/>
              </w:rPr>
              <w:t>5</w:t>
            </w:r>
          </w:p>
        </w:tc>
        <w:tc>
          <w:tcPr>
            <w:tcW w:w="1393" w:type="dxa"/>
            <w:shd w:val="clear" w:color="auto" w:fill="A6A6A6"/>
            <w:vAlign w:val="center"/>
            <w:hideMark/>
          </w:tcPr>
          <w:p w14:paraId="05057E94" w14:textId="77777777" w:rsidR="00DB49CB" w:rsidRDefault="00DB49CB">
            <w:pPr>
              <w:jc w:val="center"/>
              <w:rPr>
                <w:rFonts w:cs="Calibri"/>
                <w:sz w:val="20"/>
                <w:szCs w:val="20"/>
                <w:lang w:eastAsia="zh-CN"/>
              </w:rPr>
            </w:pPr>
            <w:r>
              <w:rPr>
                <w:rFonts w:cs="Calibri"/>
                <w:sz w:val="20"/>
                <w:szCs w:val="20"/>
                <w:lang w:eastAsia="zh-CN"/>
              </w:rPr>
              <w:t>4</w:t>
            </w:r>
          </w:p>
        </w:tc>
        <w:tc>
          <w:tcPr>
            <w:tcW w:w="1393" w:type="dxa"/>
            <w:shd w:val="clear" w:color="auto" w:fill="BFBFBF"/>
            <w:vAlign w:val="center"/>
            <w:hideMark/>
          </w:tcPr>
          <w:p w14:paraId="3ED5A8D1" w14:textId="77777777" w:rsidR="00DB49CB" w:rsidRDefault="00DB49CB">
            <w:pPr>
              <w:jc w:val="center"/>
              <w:rPr>
                <w:rFonts w:cs="Calibri"/>
                <w:sz w:val="20"/>
                <w:szCs w:val="20"/>
                <w:lang w:eastAsia="zh-CN"/>
              </w:rPr>
            </w:pPr>
            <w:r>
              <w:rPr>
                <w:rFonts w:cs="Calibri"/>
                <w:sz w:val="20"/>
                <w:szCs w:val="20"/>
                <w:lang w:eastAsia="zh-CN"/>
              </w:rPr>
              <w:t>3</w:t>
            </w:r>
          </w:p>
        </w:tc>
        <w:tc>
          <w:tcPr>
            <w:tcW w:w="1396" w:type="dxa"/>
            <w:shd w:val="clear" w:color="auto" w:fill="BFBFBF"/>
            <w:vAlign w:val="center"/>
            <w:hideMark/>
          </w:tcPr>
          <w:p w14:paraId="25BA247B" w14:textId="77777777" w:rsidR="00DB49CB" w:rsidRDefault="00DB49CB">
            <w:pPr>
              <w:jc w:val="center"/>
              <w:rPr>
                <w:rFonts w:cs="Calibri"/>
                <w:sz w:val="20"/>
                <w:szCs w:val="20"/>
                <w:lang w:eastAsia="zh-CN"/>
              </w:rPr>
            </w:pPr>
            <w:r>
              <w:rPr>
                <w:rFonts w:cs="Calibri"/>
                <w:sz w:val="20"/>
                <w:szCs w:val="20"/>
                <w:lang w:eastAsia="zh-CN"/>
              </w:rPr>
              <w:t>3</w:t>
            </w:r>
          </w:p>
        </w:tc>
      </w:tr>
    </w:tbl>
    <w:p w14:paraId="18E58B7B" w14:textId="77777777" w:rsidR="00F817BD" w:rsidRPr="001E4D45" w:rsidRDefault="00F817BD" w:rsidP="00F817BD">
      <w:pPr>
        <w:pStyle w:val="rdo0"/>
      </w:pPr>
      <w:r w:rsidRPr="001E4D45">
        <w:rPr>
          <w:lang w:eastAsia="zh-CN"/>
        </w:rPr>
        <w:t xml:space="preserve">Źródło: opracowanie </w:t>
      </w:r>
      <w:r>
        <w:rPr>
          <w:lang w:eastAsia="zh-CN"/>
        </w:rPr>
        <w:t>własne</w:t>
      </w:r>
    </w:p>
    <w:p w14:paraId="43F4EE44" w14:textId="04C44417" w:rsidR="001B1F33" w:rsidRDefault="001B1F33" w:rsidP="00B50FFD">
      <w:pPr>
        <w:pStyle w:val="Nagwek3"/>
      </w:pPr>
      <w:bookmarkStart w:id="342" w:name="_Toc68726888"/>
      <w:r>
        <w:t>Wyniki analizy efektywności jakościowej i kosztowej</w:t>
      </w:r>
      <w:bookmarkEnd w:id="342"/>
    </w:p>
    <w:p w14:paraId="21DF5AE2" w14:textId="6996D858" w:rsidR="00BE0188" w:rsidRPr="005039D4" w:rsidRDefault="00BE0188" w:rsidP="003C76C5">
      <w:r w:rsidRPr="005039D4">
        <w:t xml:space="preserve">W ramach zestawu działań </w:t>
      </w:r>
      <w:r w:rsidRPr="00B2393B">
        <w:t xml:space="preserve">dla dorzecza Pregoły zidentyfikowano łącznie </w:t>
      </w:r>
      <w:r w:rsidR="00DB49CB">
        <w:t>549</w:t>
      </w:r>
      <w:r w:rsidR="00DB49CB" w:rsidRPr="00B2393B">
        <w:t xml:space="preserve"> </w:t>
      </w:r>
      <w:r w:rsidRPr="00B2393B">
        <w:t>działań,</w:t>
      </w:r>
      <w:r w:rsidRPr="005039D4">
        <w:t xml:space="preserve"> które zostały ocenione pod kątem efektywności kosztowej w skali od 1 do 5 (zgodnie z tabelą</w:t>
      </w:r>
      <w:r w:rsidR="002237EA">
        <w:t xml:space="preserve"> </w:t>
      </w:r>
      <w:r w:rsidRPr="005039D4">
        <w:t>poniżej - Wyniki analizy efektywności kosztowej). Statystyki liczby działań w odniesieniu do poszczególnych poziomów efektywności kosztowej przedstawiają poniższe tabele</w:t>
      </w:r>
      <w:r w:rsidR="002237EA">
        <w:t xml:space="preserve"> 11-</w:t>
      </w:r>
      <w:r w:rsidR="00DB49CB">
        <w:t xml:space="preserve">9 </w:t>
      </w:r>
      <w:r w:rsidR="002237EA">
        <w:t>i 11-</w:t>
      </w:r>
      <w:r w:rsidR="00DB49CB">
        <w:t>10</w:t>
      </w:r>
      <w:r w:rsidRPr="005039D4">
        <w:t>.</w:t>
      </w:r>
    </w:p>
    <w:p w14:paraId="10AE6479" w14:textId="2CC61A7C" w:rsidR="00BE0188" w:rsidRPr="001E4D45" w:rsidRDefault="00BE0188" w:rsidP="006802BB">
      <w:pPr>
        <w:pStyle w:val="Tabela"/>
      </w:pPr>
      <w:bookmarkStart w:id="343" w:name="_Toc57291742"/>
      <w:bookmarkStart w:id="344" w:name="_Hlk53157285"/>
      <w:bookmarkStart w:id="345" w:name="_Toc68727021"/>
      <w:r w:rsidRPr="001E4D45">
        <w:t xml:space="preserve">Tabela </w:t>
      </w:r>
      <w:fldSimple w:instr=" STYLEREF 1 \s ">
        <w:r w:rsidR="007B4050">
          <w:rPr>
            <w:noProof/>
          </w:rPr>
          <w:t>11</w:t>
        </w:r>
      </w:fldSimple>
      <w:r w:rsidR="007B4050">
        <w:noBreakHyphen/>
      </w:r>
      <w:fldSimple w:instr=" SEQ Tabela \* ARABIC \s 1 ">
        <w:r w:rsidR="007B4050">
          <w:rPr>
            <w:noProof/>
          </w:rPr>
          <w:t>9</w:t>
        </w:r>
      </w:fldSimple>
      <w:r w:rsidR="004A1B76">
        <w:tab/>
      </w:r>
      <w:bookmarkEnd w:id="343"/>
      <w:r w:rsidRPr="001E4D45">
        <w:t xml:space="preserve">Wyniki analizy efektywności jakościowej </w:t>
      </w:r>
      <w:r w:rsidR="006C4947">
        <w:t>-</w:t>
      </w:r>
      <w:r w:rsidRPr="001E4D45">
        <w:t xml:space="preserve"> wskaźnik efektywności</w:t>
      </w:r>
      <w:bookmarkEnd w:id="3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4"/>
        <w:gridCol w:w="2232"/>
        <w:gridCol w:w="2045"/>
      </w:tblGrid>
      <w:tr w:rsidR="00BE0188" w:rsidRPr="0073117C" w14:paraId="7245FC72" w14:textId="77777777" w:rsidTr="00F817BD">
        <w:trPr>
          <w:trHeight w:val="389"/>
          <w:tblHeader/>
        </w:trPr>
        <w:tc>
          <w:tcPr>
            <w:tcW w:w="2401" w:type="dxa"/>
            <w:shd w:val="clear" w:color="auto" w:fill="BFBFBF" w:themeFill="background1" w:themeFillShade="BF"/>
            <w:vAlign w:val="center"/>
          </w:tcPr>
          <w:bookmarkEnd w:id="344"/>
          <w:p w14:paraId="0D513DAB" w14:textId="77777777" w:rsidR="00BE0188" w:rsidRPr="0073117C" w:rsidRDefault="00BE0188" w:rsidP="00840CCD">
            <w:pPr>
              <w:suppressAutoHyphens/>
              <w:jc w:val="center"/>
              <w:rPr>
                <w:rFonts w:cs="Calibri"/>
                <w:b/>
                <w:bCs/>
                <w:sz w:val="20"/>
                <w:szCs w:val="20"/>
                <w:lang w:eastAsia="zh-CN"/>
              </w:rPr>
            </w:pPr>
            <w:r w:rsidRPr="0073117C">
              <w:rPr>
                <w:rFonts w:cs="Calibri"/>
                <w:b/>
                <w:bCs/>
                <w:sz w:val="20"/>
                <w:szCs w:val="20"/>
                <w:lang w:eastAsia="zh-CN"/>
              </w:rPr>
              <w:t>Stopień efektywności jakościowej</w:t>
            </w:r>
          </w:p>
        </w:tc>
        <w:tc>
          <w:tcPr>
            <w:tcW w:w="2384" w:type="dxa"/>
            <w:shd w:val="clear" w:color="auto" w:fill="BFBFBF" w:themeFill="background1" w:themeFillShade="BF"/>
            <w:vAlign w:val="center"/>
          </w:tcPr>
          <w:p w14:paraId="00B77615" w14:textId="77777777" w:rsidR="00BE0188" w:rsidRPr="0073117C" w:rsidRDefault="00BE0188" w:rsidP="00840CCD">
            <w:pPr>
              <w:suppressAutoHyphens/>
              <w:jc w:val="center"/>
              <w:rPr>
                <w:rFonts w:cs="Calibri"/>
                <w:sz w:val="20"/>
                <w:szCs w:val="20"/>
                <w:lang w:eastAsia="zh-CN"/>
              </w:rPr>
            </w:pPr>
            <w:r w:rsidRPr="0073117C">
              <w:rPr>
                <w:rFonts w:cs="Calibri"/>
                <w:b/>
                <w:bCs/>
                <w:sz w:val="20"/>
                <w:szCs w:val="20"/>
                <w:lang w:eastAsia="zh-CN"/>
              </w:rPr>
              <w:t>Ocena jakościowa</w:t>
            </w:r>
          </w:p>
        </w:tc>
        <w:tc>
          <w:tcPr>
            <w:tcW w:w="2232" w:type="dxa"/>
            <w:shd w:val="clear" w:color="auto" w:fill="BFBFBF" w:themeFill="background1" w:themeFillShade="BF"/>
            <w:vAlign w:val="center"/>
          </w:tcPr>
          <w:p w14:paraId="1939B682" w14:textId="77777777" w:rsidR="00BE0188" w:rsidRPr="0073117C" w:rsidRDefault="00BE0188" w:rsidP="00840CCD">
            <w:pPr>
              <w:suppressAutoHyphens/>
              <w:jc w:val="center"/>
              <w:rPr>
                <w:rFonts w:cs="Calibri"/>
                <w:sz w:val="20"/>
                <w:szCs w:val="20"/>
                <w:lang w:eastAsia="zh-CN"/>
              </w:rPr>
            </w:pPr>
            <w:r w:rsidRPr="0073117C">
              <w:rPr>
                <w:rFonts w:cs="Calibri"/>
                <w:b/>
                <w:bCs/>
                <w:sz w:val="20"/>
                <w:szCs w:val="20"/>
                <w:lang w:eastAsia="zh-CN"/>
              </w:rPr>
              <w:t>Liczba działań</w:t>
            </w:r>
          </w:p>
        </w:tc>
        <w:tc>
          <w:tcPr>
            <w:tcW w:w="2045" w:type="dxa"/>
            <w:shd w:val="clear" w:color="auto" w:fill="BFBFBF" w:themeFill="background1" w:themeFillShade="BF"/>
            <w:vAlign w:val="center"/>
          </w:tcPr>
          <w:p w14:paraId="561B5984" w14:textId="40902C05" w:rsidR="00BE0188" w:rsidRPr="0073117C" w:rsidRDefault="00BE0188" w:rsidP="00840CCD">
            <w:pPr>
              <w:suppressAutoHyphens/>
              <w:jc w:val="center"/>
              <w:rPr>
                <w:rFonts w:cs="Calibri"/>
                <w:b/>
                <w:bCs/>
                <w:sz w:val="20"/>
                <w:szCs w:val="20"/>
                <w:lang w:eastAsia="zh-CN"/>
              </w:rPr>
            </w:pPr>
            <w:r w:rsidRPr="0073117C">
              <w:rPr>
                <w:rFonts w:cs="Calibri"/>
                <w:b/>
                <w:bCs/>
                <w:sz w:val="20"/>
                <w:szCs w:val="20"/>
                <w:lang w:eastAsia="zh-CN"/>
              </w:rPr>
              <w:t xml:space="preserve">Udział </w:t>
            </w:r>
            <w:r w:rsidR="000A784A">
              <w:rPr>
                <w:rFonts w:cs="Calibri"/>
                <w:b/>
                <w:bCs/>
                <w:sz w:val="20"/>
                <w:szCs w:val="20"/>
                <w:lang w:eastAsia="zh-CN"/>
              </w:rPr>
              <w:t>(%)</w:t>
            </w:r>
          </w:p>
        </w:tc>
      </w:tr>
      <w:tr w:rsidR="00DB49CB" w:rsidRPr="0073117C" w14:paraId="3344225B" w14:textId="77777777" w:rsidTr="00231528">
        <w:trPr>
          <w:trHeight w:val="389"/>
        </w:trPr>
        <w:tc>
          <w:tcPr>
            <w:tcW w:w="2401" w:type="dxa"/>
            <w:shd w:val="clear" w:color="auto" w:fill="auto"/>
            <w:vAlign w:val="center"/>
            <w:hideMark/>
          </w:tcPr>
          <w:p w14:paraId="01F2A1B2"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1</w:t>
            </w:r>
          </w:p>
        </w:tc>
        <w:tc>
          <w:tcPr>
            <w:tcW w:w="2384" w:type="dxa"/>
            <w:shd w:val="clear" w:color="auto" w:fill="auto"/>
            <w:vAlign w:val="center"/>
            <w:hideMark/>
          </w:tcPr>
          <w:p w14:paraId="5431DBF1"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 xml:space="preserve">Bardzo niska efektywność </w:t>
            </w:r>
          </w:p>
        </w:tc>
        <w:tc>
          <w:tcPr>
            <w:tcW w:w="2232" w:type="dxa"/>
            <w:shd w:val="clear" w:color="auto" w:fill="FFFFFF"/>
            <w:vAlign w:val="center"/>
          </w:tcPr>
          <w:p w14:paraId="17CF81D3" w14:textId="204A67A2" w:rsidR="00DB49CB" w:rsidRPr="0073117C" w:rsidRDefault="00DB49CB" w:rsidP="00DB49CB">
            <w:pPr>
              <w:suppressAutoHyphens/>
              <w:jc w:val="center"/>
              <w:rPr>
                <w:rFonts w:cs="Calibri"/>
                <w:sz w:val="20"/>
                <w:szCs w:val="20"/>
                <w:lang w:eastAsia="zh-CN"/>
              </w:rPr>
            </w:pPr>
            <w:r>
              <w:rPr>
                <w:sz w:val="20"/>
                <w:szCs w:val="20"/>
              </w:rPr>
              <w:t>0</w:t>
            </w:r>
          </w:p>
        </w:tc>
        <w:tc>
          <w:tcPr>
            <w:tcW w:w="2045" w:type="dxa"/>
            <w:shd w:val="clear" w:color="auto" w:fill="FFFFFF"/>
            <w:vAlign w:val="center"/>
          </w:tcPr>
          <w:p w14:paraId="0EB43AE5" w14:textId="61766E9E" w:rsidR="00DB49CB" w:rsidRPr="0073117C" w:rsidRDefault="00DB49CB" w:rsidP="00DB49CB">
            <w:pPr>
              <w:suppressAutoHyphens/>
              <w:jc w:val="center"/>
              <w:rPr>
                <w:rFonts w:cs="Calibri"/>
                <w:sz w:val="20"/>
                <w:szCs w:val="20"/>
                <w:lang w:eastAsia="zh-CN"/>
              </w:rPr>
            </w:pPr>
            <w:r>
              <w:rPr>
                <w:rFonts w:cs="Calibri"/>
                <w:color w:val="000000"/>
                <w:sz w:val="20"/>
                <w:szCs w:val="20"/>
              </w:rPr>
              <w:t>0,00</w:t>
            </w:r>
          </w:p>
        </w:tc>
      </w:tr>
      <w:tr w:rsidR="00DB49CB" w:rsidRPr="0073117C" w14:paraId="45954AB8" w14:textId="77777777" w:rsidTr="00231528">
        <w:trPr>
          <w:trHeight w:val="389"/>
        </w:trPr>
        <w:tc>
          <w:tcPr>
            <w:tcW w:w="2401" w:type="dxa"/>
            <w:shd w:val="clear" w:color="auto" w:fill="auto"/>
            <w:vAlign w:val="center"/>
            <w:hideMark/>
          </w:tcPr>
          <w:p w14:paraId="57E6DB9E"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2</w:t>
            </w:r>
          </w:p>
        </w:tc>
        <w:tc>
          <w:tcPr>
            <w:tcW w:w="2384" w:type="dxa"/>
            <w:shd w:val="clear" w:color="auto" w:fill="auto"/>
            <w:vAlign w:val="center"/>
            <w:hideMark/>
          </w:tcPr>
          <w:p w14:paraId="4E841F14"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Niska efektywność</w:t>
            </w:r>
          </w:p>
        </w:tc>
        <w:tc>
          <w:tcPr>
            <w:tcW w:w="2232" w:type="dxa"/>
            <w:shd w:val="clear" w:color="auto" w:fill="FFFFFF"/>
            <w:vAlign w:val="center"/>
          </w:tcPr>
          <w:p w14:paraId="3DA92492" w14:textId="5AF69F07" w:rsidR="00DB49CB" w:rsidRPr="0073117C" w:rsidRDefault="00735867" w:rsidP="00DB49CB">
            <w:pPr>
              <w:suppressAutoHyphens/>
              <w:jc w:val="center"/>
              <w:rPr>
                <w:rFonts w:cs="Calibri"/>
                <w:sz w:val="20"/>
                <w:szCs w:val="20"/>
                <w:lang w:eastAsia="zh-CN"/>
              </w:rPr>
            </w:pPr>
            <w:r>
              <w:rPr>
                <w:sz w:val="20"/>
                <w:szCs w:val="20"/>
              </w:rPr>
              <w:t>44</w:t>
            </w:r>
          </w:p>
        </w:tc>
        <w:tc>
          <w:tcPr>
            <w:tcW w:w="2045" w:type="dxa"/>
            <w:shd w:val="clear" w:color="auto" w:fill="FFFFFF"/>
            <w:vAlign w:val="center"/>
          </w:tcPr>
          <w:p w14:paraId="1CECDADE" w14:textId="423FC16F" w:rsidR="00DB49CB" w:rsidRPr="0073117C" w:rsidRDefault="00DB49CB" w:rsidP="00DB49CB">
            <w:pPr>
              <w:suppressAutoHyphens/>
              <w:jc w:val="center"/>
              <w:rPr>
                <w:rFonts w:cs="Calibri"/>
                <w:sz w:val="20"/>
                <w:szCs w:val="20"/>
                <w:lang w:eastAsia="zh-CN"/>
              </w:rPr>
            </w:pPr>
            <w:r>
              <w:rPr>
                <w:rFonts w:cs="Calibri"/>
                <w:color w:val="000000"/>
                <w:sz w:val="20"/>
                <w:szCs w:val="20"/>
              </w:rPr>
              <w:t>8,</w:t>
            </w:r>
            <w:r w:rsidR="00735867">
              <w:rPr>
                <w:rFonts w:cs="Calibri"/>
                <w:color w:val="000000"/>
                <w:sz w:val="20"/>
                <w:szCs w:val="20"/>
              </w:rPr>
              <w:t>07</w:t>
            </w:r>
          </w:p>
        </w:tc>
      </w:tr>
      <w:tr w:rsidR="00DB49CB" w:rsidRPr="0073117C" w14:paraId="1AE724EF" w14:textId="77777777" w:rsidTr="00231528">
        <w:trPr>
          <w:trHeight w:val="409"/>
        </w:trPr>
        <w:tc>
          <w:tcPr>
            <w:tcW w:w="2401" w:type="dxa"/>
            <w:shd w:val="clear" w:color="auto" w:fill="auto"/>
            <w:vAlign w:val="center"/>
            <w:hideMark/>
          </w:tcPr>
          <w:p w14:paraId="0B60470B"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3</w:t>
            </w:r>
          </w:p>
        </w:tc>
        <w:tc>
          <w:tcPr>
            <w:tcW w:w="2384" w:type="dxa"/>
            <w:shd w:val="clear" w:color="auto" w:fill="auto"/>
            <w:vAlign w:val="center"/>
            <w:hideMark/>
          </w:tcPr>
          <w:p w14:paraId="07922E71"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Średnia efektywność</w:t>
            </w:r>
          </w:p>
        </w:tc>
        <w:tc>
          <w:tcPr>
            <w:tcW w:w="2232" w:type="dxa"/>
            <w:shd w:val="clear" w:color="auto" w:fill="FFFFFF"/>
            <w:vAlign w:val="center"/>
          </w:tcPr>
          <w:p w14:paraId="0E0C566F" w14:textId="49D9AF62" w:rsidR="00DB49CB" w:rsidRPr="0073117C" w:rsidRDefault="00DB49CB" w:rsidP="00DB49CB">
            <w:pPr>
              <w:suppressAutoHyphens/>
              <w:jc w:val="center"/>
              <w:rPr>
                <w:rFonts w:cs="Calibri"/>
                <w:sz w:val="20"/>
                <w:szCs w:val="20"/>
                <w:lang w:eastAsia="zh-CN"/>
              </w:rPr>
            </w:pPr>
            <w:r>
              <w:rPr>
                <w:sz w:val="20"/>
                <w:szCs w:val="20"/>
              </w:rPr>
              <w:t>390</w:t>
            </w:r>
          </w:p>
        </w:tc>
        <w:tc>
          <w:tcPr>
            <w:tcW w:w="2045" w:type="dxa"/>
            <w:shd w:val="clear" w:color="auto" w:fill="FFFFFF"/>
            <w:vAlign w:val="center"/>
          </w:tcPr>
          <w:p w14:paraId="0A5C8857" w14:textId="22EC9CC3" w:rsidR="00DB49CB" w:rsidRPr="0073117C" w:rsidRDefault="00DB49CB" w:rsidP="00DB49CB">
            <w:pPr>
              <w:suppressAutoHyphens/>
              <w:jc w:val="center"/>
              <w:rPr>
                <w:rFonts w:cs="Calibri"/>
                <w:sz w:val="20"/>
                <w:szCs w:val="20"/>
                <w:lang w:eastAsia="zh-CN"/>
              </w:rPr>
            </w:pPr>
            <w:r>
              <w:rPr>
                <w:rFonts w:cs="Calibri"/>
                <w:color w:val="000000"/>
                <w:sz w:val="20"/>
                <w:szCs w:val="20"/>
              </w:rPr>
              <w:t>71,</w:t>
            </w:r>
            <w:r w:rsidR="00735867">
              <w:rPr>
                <w:rFonts w:cs="Calibri"/>
                <w:color w:val="000000"/>
                <w:sz w:val="20"/>
                <w:szCs w:val="20"/>
              </w:rPr>
              <w:t>56</w:t>
            </w:r>
          </w:p>
        </w:tc>
      </w:tr>
      <w:tr w:rsidR="00DB49CB" w:rsidRPr="0073117C" w14:paraId="7D0E2FB4" w14:textId="77777777" w:rsidTr="00231528">
        <w:trPr>
          <w:trHeight w:val="389"/>
        </w:trPr>
        <w:tc>
          <w:tcPr>
            <w:tcW w:w="2401" w:type="dxa"/>
            <w:shd w:val="clear" w:color="auto" w:fill="auto"/>
            <w:vAlign w:val="center"/>
            <w:hideMark/>
          </w:tcPr>
          <w:p w14:paraId="3080A890"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4</w:t>
            </w:r>
          </w:p>
        </w:tc>
        <w:tc>
          <w:tcPr>
            <w:tcW w:w="2384" w:type="dxa"/>
            <w:shd w:val="clear" w:color="auto" w:fill="auto"/>
            <w:vAlign w:val="center"/>
            <w:hideMark/>
          </w:tcPr>
          <w:p w14:paraId="52CF5794"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Wysoka efektywność</w:t>
            </w:r>
          </w:p>
        </w:tc>
        <w:tc>
          <w:tcPr>
            <w:tcW w:w="2232" w:type="dxa"/>
            <w:shd w:val="clear" w:color="auto" w:fill="FFFFFF"/>
            <w:vAlign w:val="center"/>
          </w:tcPr>
          <w:p w14:paraId="775FBC9A" w14:textId="4F01DC2B" w:rsidR="00DB49CB" w:rsidRPr="0073117C" w:rsidRDefault="00DB49CB" w:rsidP="00DB49CB">
            <w:pPr>
              <w:suppressAutoHyphens/>
              <w:jc w:val="center"/>
              <w:rPr>
                <w:rFonts w:cs="Calibri"/>
                <w:sz w:val="20"/>
                <w:szCs w:val="20"/>
                <w:lang w:eastAsia="zh-CN"/>
              </w:rPr>
            </w:pPr>
            <w:r>
              <w:rPr>
                <w:sz w:val="20"/>
                <w:szCs w:val="20"/>
              </w:rPr>
              <w:t>71</w:t>
            </w:r>
          </w:p>
        </w:tc>
        <w:tc>
          <w:tcPr>
            <w:tcW w:w="2045" w:type="dxa"/>
            <w:shd w:val="clear" w:color="auto" w:fill="FFFFFF"/>
            <w:vAlign w:val="center"/>
          </w:tcPr>
          <w:p w14:paraId="2ED3591B" w14:textId="6A46ABB8" w:rsidR="00DB49CB" w:rsidRPr="0073117C" w:rsidRDefault="00DB49CB" w:rsidP="00DB49CB">
            <w:pPr>
              <w:suppressAutoHyphens/>
              <w:jc w:val="center"/>
              <w:rPr>
                <w:rFonts w:cs="Calibri"/>
                <w:sz w:val="20"/>
                <w:szCs w:val="20"/>
                <w:lang w:eastAsia="zh-CN"/>
              </w:rPr>
            </w:pPr>
            <w:r>
              <w:rPr>
                <w:rFonts w:cs="Calibri"/>
                <w:color w:val="000000"/>
                <w:sz w:val="20"/>
                <w:szCs w:val="20"/>
              </w:rPr>
              <w:t>13,</w:t>
            </w:r>
            <w:r w:rsidR="00735867">
              <w:rPr>
                <w:rFonts w:cs="Calibri"/>
                <w:color w:val="000000"/>
                <w:sz w:val="20"/>
                <w:szCs w:val="20"/>
              </w:rPr>
              <w:t>03</w:t>
            </w:r>
          </w:p>
        </w:tc>
      </w:tr>
      <w:tr w:rsidR="00DB49CB" w:rsidRPr="0073117C" w14:paraId="4F1C0058" w14:textId="77777777" w:rsidTr="00231528">
        <w:trPr>
          <w:trHeight w:val="389"/>
        </w:trPr>
        <w:tc>
          <w:tcPr>
            <w:tcW w:w="2401" w:type="dxa"/>
            <w:shd w:val="clear" w:color="auto" w:fill="auto"/>
            <w:vAlign w:val="center"/>
            <w:hideMark/>
          </w:tcPr>
          <w:p w14:paraId="244916DC"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5</w:t>
            </w:r>
          </w:p>
        </w:tc>
        <w:tc>
          <w:tcPr>
            <w:tcW w:w="2384" w:type="dxa"/>
            <w:shd w:val="clear" w:color="auto" w:fill="auto"/>
            <w:vAlign w:val="center"/>
            <w:hideMark/>
          </w:tcPr>
          <w:p w14:paraId="22FEC32D" w14:textId="77777777" w:rsidR="00DB49CB" w:rsidRPr="0073117C" w:rsidRDefault="00DB49CB" w:rsidP="00DB49CB">
            <w:pPr>
              <w:suppressAutoHyphens/>
              <w:jc w:val="center"/>
              <w:rPr>
                <w:rFonts w:cs="Calibri"/>
                <w:sz w:val="20"/>
                <w:szCs w:val="20"/>
                <w:lang w:eastAsia="zh-CN"/>
              </w:rPr>
            </w:pPr>
            <w:r w:rsidRPr="0073117C">
              <w:rPr>
                <w:rFonts w:cs="Calibri"/>
                <w:sz w:val="20"/>
                <w:szCs w:val="20"/>
                <w:lang w:eastAsia="zh-CN"/>
              </w:rPr>
              <w:t>Bardzo wysoka efektywność</w:t>
            </w:r>
          </w:p>
        </w:tc>
        <w:tc>
          <w:tcPr>
            <w:tcW w:w="2232" w:type="dxa"/>
            <w:shd w:val="clear" w:color="auto" w:fill="FFFFFF"/>
            <w:vAlign w:val="center"/>
          </w:tcPr>
          <w:p w14:paraId="2292533E" w14:textId="5B832BC3" w:rsidR="00DB49CB" w:rsidRPr="0073117C" w:rsidRDefault="00DB49CB" w:rsidP="00DB49CB">
            <w:pPr>
              <w:suppressAutoHyphens/>
              <w:jc w:val="center"/>
              <w:rPr>
                <w:rFonts w:cs="Calibri"/>
                <w:sz w:val="20"/>
                <w:szCs w:val="20"/>
                <w:lang w:eastAsia="zh-CN"/>
              </w:rPr>
            </w:pPr>
            <w:r>
              <w:rPr>
                <w:sz w:val="20"/>
                <w:szCs w:val="20"/>
              </w:rPr>
              <w:t>40</w:t>
            </w:r>
          </w:p>
        </w:tc>
        <w:tc>
          <w:tcPr>
            <w:tcW w:w="2045" w:type="dxa"/>
            <w:shd w:val="clear" w:color="auto" w:fill="FFFFFF"/>
            <w:vAlign w:val="center"/>
          </w:tcPr>
          <w:p w14:paraId="62902659" w14:textId="3436AB9A" w:rsidR="00DB49CB" w:rsidRPr="0073117C" w:rsidRDefault="00DB49CB" w:rsidP="00DB49CB">
            <w:pPr>
              <w:suppressAutoHyphens/>
              <w:jc w:val="center"/>
              <w:rPr>
                <w:rFonts w:cs="Calibri"/>
                <w:sz w:val="20"/>
                <w:szCs w:val="20"/>
                <w:lang w:eastAsia="zh-CN"/>
              </w:rPr>
            </w:pPr>
            <w:r>
              <w:rPr>
                <w:rFonts w:cs="Calibri"/>
                <w:color w:val="000000"/>
                <w:sz w:val="20"/>
                <w:szCs w:val="20"/>
              </w:rPr>
              <w:t>7,</w:t>
            </w:r>
            <w:r w:rsidR="00735867">
              <w:rPr>
                <w:rFonts w:cs="Calibri"/>
                <w:color w:val="000000"/>
                <w:sz w:val="20"/>
                <w:szCs w:val="20"/>
              </w:rPr>
              <w:t>34</w:t>
            </w:r>
          </w:p>
        </w:tc>
      </w:tr>
    </w:tbl>
    <w:p w14:paraId="42F2E263" w14:textId="77777777" w:rsidR="00231528" w:rsidRPr="001E4D45" w:rsidRDefault="00231528" w:rsidP="00231528">
      <w:pPr>
        <w:pStyle w:val="rdo0"/>
      </w:pPr>
      <w:r w:rsidRPr="001E4D45">
        <w:rPr>
          <w:lang w:eastAsia="zh-CN"/>
        </w:rPr>
        <w:t xml:space="preserve">Źródło: opracowanie </w:t>
      </w:r>
      <w:r>
        <w:rPr>
          <w:lang w:eastAsia="zh-CN"/>
        </w:rPr>
        <w:t>własne</w:t>
      </w:r>
    </w:p>
    <w:p w14:paraId="116CDF24" w14:textId="56BC4A81" w:rsidR="00BE0188" w:rsidRPr="0073117C" w:rsidRDefault="00BE0188" w:rsidP="006802BB">
      <w:pPr>
        <w:pStyle w:val="Tabela"/>
      </w:pPr>
      <w:bookmarkStart w:id="346" w:name="_Toc68727022"/>
      <w:r w:rsidRPr="0073117C">
        <w:t xml:space="preserve">Tabela </w:t>
      </w:r>
      <w:fldSimple w:instr=" STYLEREF 1 \s ">
        <w:r w:rsidR="007B4050">
          <w:rPr>
            <w:noProof/>
          </w:rPr>
          <w:t>11</w:t>
        </w:r>
      </w:fldSimple>
      <w:r w:rsidR="007B4050">
        <w:noBreakHyphen/>
      </w:r>
      <w:fldSimple w:instr=" SEQ Tabela \* ARABIC \s 1 ">
        <w:r w:rsidR="007B4050">
          <w:rPr>
            <w:noProof/>
          </w:rPr>
          <w:t>10</w:t>
        </w:r>
      </w:fldSimple>
      <w:r w:rsidR="004A1B76">
        <w:tab/>
      </w:r>
      <w:r w:rsidRPr="0073117C">
        <w:t>Wyniki analizy efektywności kosztowej</w:t>
      </w:r>
      <w:bookmarkEnd w:id="3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BE0188" w:rsidRPr="001E4D45" w14:paraId="423A9B1E" w14:textId="77777777" w:rsidTr="00F817BD">
        <w:trPr>
          <w:trHeight w:val="389"/>
          <w:tblHeader/>
        </w:trPr>
        <w:tc>
          <w:tcPr>
            <w:tcW w:w="2401" w:type="dxa"/>
            <w:shd w:val="clear" w:color="auto" w:fill="BFBFBF" w:themeFill="background1" w:themeFillShade="BF"/>
            <w:vAlign w:val="center"/>
          </w:tcPr>
          <w:p w14:paraId="18B92B4B" w14:textId="77777777" w:rsidR="00BE0188" w:rsidRPr="0073117C" w:rsidRDefault="00BE0188" w:rsidP="00840CCD">
            <w:pPr>
              <w:suppressAutoHyphens/>
              <w:jc w:val="center"/>
              <w:rPr>
                <w:rFonts w:cs="Calibri"/>
                <w:b/>
                <w:bCs/>
                <w:sz w:val="20"/>
                <w:szCs w:val="20"/>
                <w:lang w:eastAsia="zh-CN"/>
              </w:rPr>
            </w:pPr>
            <w:r w:rsidRPr="0073117C">
              <w:rPr>
                <w:rFonts w:cs="Calibri"/>
                <w:b/>
                <w:bCs/>
                <w:sz w:val="20"/>
                <w:szCs w:val="20"/>
                <w:lang w:eastAsia="zh-CN"/>
              </w:rPr>
              <w:t>Stopień efektywności kosztowej</w:t>
            </w:r>
          </w:p>
        </w:tc>
        <w:tc>
          <w:tcPr>
            <w:tcW w:w="2386" w:type="dxa"/>
            <w:shd w:val="clear" w:color="auto" w:fill="BFBFBF" w:themeFill="background1" w:themeFillShade="BF"/>
            <w:vAlign w:val="center"/>
          </w:tcPr>
          <w:p w14:paraId="12BE8D1A" w14:textId="77777777" w:rsidR="00BE0188" w:rsidRPr="0073117C" w:rsidRDefault="00BE0188" w:rsidP="00840CCD">
            <w:pPr>
              <w:suppressAutoHyphens/>
              <w:jc w:val="center"/>
              <w:rPr>
                <w:rFonts w:cs="Calibri"/>
                <w:sz w:val="20"/>
                <w:szCs w:val="20"/>
                <w:lang w:eastAsia="zh-CN"/>
              </w:rPr>
            </w:pPr>
            <w:r w:rsidRPr="0073117C">
              <w:rPr>
                <w:rFonts w:cs="Calibri"/>
                <w:b/>
                <w:bCs/>
                <w:sz w:val="20"/>
                <w:szCs w:val="20"/>
                <w:lang w:eastAsia="zh-CN"/>
              </w:rPr>
              <w:t>Ocena jakościowa</w:t>
            </w:r>
          </w:p>
        </w:tc>
        <w:tc>
          <w:tcPr>
            <w:tcW w:w="2231" w:type="dxa"/>
            <w:shd w:val="clear" w:color="auto" w:fill="BFBFBF" w:themeFill="background1" w:themeFillShade="BF"/>
            <w:vAlign w:val="center"/>
          </w:tcPr>
          <w:p w14:paraId="3337E268" w14:textId="77777777" w:rsidR="00BE0188" w:rsidRPr="0073117C" w:rsidRDefault="00BE0188" w:rsidP="00840CCD">
            <w:pPr>
              <w:suppressAutoHyphens/>
              <w:jc w:val="center"/>
              <w:rPr>
                <w:rFonts w:cs="Calibri"/>
                <w:sz w:val="20"/>
                <w:szCs w:val="20"/>
                <w:lang w:eastAsia="zh-CN"/>
              </w:rPr>
            </w:pPr>
            <w:r w:rsidRPr="0073117C">
              <w:rPr>
                <w:rFonts w:cs="Calibri"/>
                <w:b/>
                <w:bCs/>
                <w:sz w:val="20"/>
                <w:szCs w:val="20"/>
                <w:lang w:eastAsia="zh-CN"/>
              </w:rPr>
              <w:t>Liczba działań</w:t>
            </w:r>
          </w:p>
        </w:tc>
        <w:tc>
          <w:tcPr>
            <w:tcW w:w="2044" w:type="dxa"/>
            <w:shd w:val="clear" w:color="auto" w:fill="BFBFBF" w:themeFill="background1" w:themeFillShade="BF"/>
            <w:vAlign w:val="center"/>
          </w:tcPr>
          <w:p w14:paraId="01F57FF5" w14:textId="17C1F101" w:rsidR="00BE0188" w:rsidRPr="0073117C" w:rsidRDefault="00BE0188" w:rsidP="00840CCD">
            <w:pPr>
              <w:suppressAutoHyphens/>
              <w:jc w:val="center"/>
              <w:rPr>
                <w:rFonts w:cs="Calibri"/>
                <w:b/>
                <w:bCs/>
                <w:sz w:val="20"/>
                <w:szCs w:val="20"/>
                <w:lang w:eastAsia="zh-CN"/>
              </w:rPr>
            </w:pPr>
            <w:r w:rsidRPr="0073117C">
              <w:rPr>
                <w:rFonts w:cs="Calibri"/>
                <w:b/>
                <w:bCs/>
                <w:sz w:val="20"/>
                <w:szCs w:val="20"/>
                <w:lang w:eastAsia="zh-CN"/>
              </w:rPr>
              <w:t xml:space="preserve">Udział </w:t>
            </w:r>
            <w:r w:rsidR="000A784A">
              <w:rPr>
                <w:rFonts w:cs="Calibri"/>
                <w:b/>
                <w:bCs/>
                <w:sz w:val="20"/>
                <w:szCs w:val="20"/>
                <w:lang w:eastAsia="zh-CN"/>
              </w:rPr>
              <w:t>(%)</w:t>
            </w:r>
          </w:p>
        </w:tc>
      </w:tr>
      <w:tr w:rsidR="00DB49CB" w:rsidRPr="001E4D45" w14:paraId="7F4BE2F7" w14:textId="77777777" w:rsidTr="00231528">
        <w:trPr>
          <w:trHeight w:val="389"/>
        </w:trPr>
        <w:tc>
          <w:tcPr>
            <w:tcW w:w="2401" w:type="dxa"/>
            <w:shd w:val="clear" w:color="auto" w:fill="auto"/>
            <w:vAlign w:val="center"/>
            <w:hideMark/>
          </w:tcPr>
          <w:p w14:paraId="5D5DA1D2"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1</w:t>
            </w:r>
          </w:p>
        </w:tc>
        <w:tc>
          <w:tcPr>
            <w:tcW w:w="2386" w:type="dxa"/>
            <w:shd w:val="clear" w:color="auto" w:fill="auto"/>
            <w:vAlign w:val="center"/>
            <w:hideMark/>
          </w:tcPr>
          <w:p w14:paraId="6C15D08D"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 xml:space="preserve">Bardzo niska efektywność </w:t>
            </w:r>
          </w:p>
        </w:tc>
        <w:tc>
          <w:tcPr>
            <w:tcW w:w="2231" w:type="dxa"/>
            <w:shd w:val="clear" w:color="auto" w:fill="FFFFFF"/>
            <w:vAlign w:val="center"/>
          </w:tcPr>
          <w:p w14:paraId="1BEE9435" w14:textId="642E12DD" w:rsidR="00DB49CB" w:rsidRPr="001E4D45" w:rsidRDefault="00DB49CB" w:rsidP="00DB49CB">
            <w:pPr>
              <w:suppressAutoHyphens/>
              <w:jc w:val="center"/>
              <w:rPr>
                <w:rFonts w:cs="Calibri"/>
                <w:sz w:val="20"/>
                <w:szCs w:val="20"/>
                <w:highlight w:val="yellow"/>
                <w:lang w:eastAsia="zh-CN"/>
              </w:rPr>
            </w:pPr>
            <w:r>
              <w:rPr>
                <w:sz w:val="20"/>
                <w:szCs w:val="20"/>
              </w:rPr>
              <w:t>0</w:t>
            </w:r>
          </w:p>
        </w:tc>
        <w:tc>
          <w:tcPr>
            <w:tcW w:w="2044" w:type="dxa"/>
            <w:shd w:val="clear" w:color="auto" w:fill="FFFFFF"/>
            <w:vAlign w:val="center"/>
          </w:tcPr>
          <w:p w14:paraId="2AB866C8" w14:textId="56969169" w:rsidR="00DB49CB" w:rsidRPr="001E4D45" w:rsidRDefault="00DB49CB" w:rsidP="00DB49CB">
            <w:pPr>
              <w:suppressAutoHyphens/>
              <w:jc w:val="center"/>
              <w:rPr>
                <w:rFonts w:cs="Calibri"/>
                <w:sz w:val="20"/>
                <w:szCs w:val="20"/>
                <w:highlight w:val="yellow"/>
                <w:lang w:eastAsia="zh-CN"/>
              </w:rPr>
            </w:pPr>
            <w:r>
              <w:rPr>
                <w:color w:val="000000"/>
                <w:sz w:val="20"/>
                <w:szCs w:val="20"/>
              </w:rPr>
              <w:t>0,00</w:t>
            </w:r>
          </w:p>
        </w:tc>
      </w:tr>
      <w:tr w:rsidR="00DB49CB" w:rsidRPr="001E4D45" w14:paraId="1D4ABE70" w14:textId="77777777" w:rsidTr="00231528">
        <w:trPr>
          <w:trHeight w:val="389"/>
        </w:trPr>
        <w:tc>
          <w:tcPr>
            <w:tcW w:w="2401" w:type="dxa"/>
            <w:shd w:val="clear" w:color="auto" w:fill="auto"/>
            <w:vAlign w:val="center"/>
            <w:hideMark/>
          </w:tcPr>
          <w:p w14:paraId="1D4F158B"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2</w:t>
            </w:r>
          </w:p>
        </w:tc>
        <w:tc>
          <w:tcPr>
            <w:tcW w:w="2386" w:type="dxa"/>
            <w:shd w:val="clear" w:color="auto" w:fill="auto"/>
            <w:vAlign w:val="center"/>
            <w:hideMark/>
          </w:tcPr>
          <w:p w14:paraId="7DFA3A0D"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Niska efektywność</w:t>
            </w:r>
          </w:p>
        </w:tc>
        <w:tc>
          <w:tcPr>
            <w:tcW w:w="2231" w:type="dxa"/>
            <w:shd w:val="clear" w:color="auto" w:fill="FFFFFF"/>
            <w:vAlign w:val="center"/>
          </w:tcPr>
          <w:p w14:paraId="03920CA6" w14:textId="69553CEA" w:rsidR="00DB49CB" w:rsidRPr="001E4D45" w:rsidRDefault="00DB49CB" w:rsidP="00DB49CB">
            <w:pPr>
              <w:suppressAutoHyphens/>
              <w:jc w:val="center"/>
              <w:rPr>
                <w:rFonts w:cs="Calibri"/>
                <w:sz w:val="20"/>
                <w:szCs w:val="20"/>
                <w:highlight w:val="yellow"/>
                <w:lang w:eastAsia="zh-CN"/>
              </w:rPr>
            </w:pPr>
            <w:r>
              <w:rPr>
                <w:sz w:val="20"/>
                <w:szCs w:val="20"/>
              </w:rPr>
              <w:t>3</w:t>
            </w:r>
          </w:p>
        </w:tc>
        <w:tc>
          <w:tcPr>
            <w:tcW w:w="2044" w:type="dxa"/>
            <w:shd w:val="clear" w:color="auto" w:fill="FFFFFF"/>
            <w:vAlign w:val="center"/>
          </w:tcPr>
          <w:p w14:paraId="14FBDC9A" w14:textId="060EB9B3" w:rsidR="00DB49CB" w:rsidRPr="001E4D45" w:rsidRDefault="00DB49CB" w:rsidP="00DB49CB">
            <w:pPr>
              <w:suppressAutoHyphens/>
              <w:jc w:val="center"/>
              <w:rPr>
                <w:rFonts w:cs="Calibri"/>
                <w:sz w:val="20"/>
                <w:szCs w:val="20"/>
                <w:highlight w:val="yellow"/>
                <w:lang w:eastAsia="zh-CN"/>
              </w:rPr>
            </w:pPr>
            <w:r>
              <w:rPr>
                <w:color w:val="000000"/>
                <w:sz w:val="20"/>
                <w:szCs w:val="20"/>
              </w:rPr>
              <w:t>100,00</w:t>
            </w:r>
          </w:p>
        </w:tc>
      </w:tr>
      <w:tr w:rsidR="00DB49CB" w:rsidRPr="001E4D45" w14:paraId="4967CB3C" w14:textId="77777777" w:rsidTr="00231528">
        <w:trPr>
          <w:trHeight w:val="409"/>
        </w:trPr>
        <w:tc>
          <w:tcPr>
            <w:tcW w:w="2401" w:type="dxa"/>
            <w:shd w:val="clear" w:color="auto" w:fill="auto"/>
            <w:vAlign w:val="center"/>
            <w:hideMark/>
          </w:tcPr>
          <w:p w14:paraId="577894E5"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3</w:t>
            </w:r>
          </w:p>
        </w:tc>
        <w:tc>
          <w:tcPr>
            <w:tcW w:w="2386" w:type="dxa"/>
            <w:shd w:val="clear" w:color="auto" w:fill="auto"/>
            <w:vAlign w:val="center"/>
            <w:hideMark/>
          </w:tcPr>
          <w:p w14:paraId="47F4F699"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Średnia efektywność</w:t>
            </w:r>
          </w:p>
        </w:tc>
        <w:tc>
          <w:tcPr>
            <w:tcW w:w="2231" w:type="dxa"/>
            <w:shd w:val="clear" w:color="auto" w:fill="FFFFFF"/>
            <w:vAlign w:val="center"/>
          </w:tcPr>
          <w:p w14:paraId="1BA52A85" w14:textId="7DF6AF96" w:rsidR="00DB49CB" w:rsidRPr="001E4D45" w:rsidRDefault="00DB49CB" w:rsidP="00DB49CB">
            <w:pPr>
              <w:suppressAutoHyphens/>
              <w:jc w:val="center"/>
              <w:rPr>
                <w:rFonts w:cs="Calibri"/>
                <w:sz w:val="20"/>
                <w:szCs w:val="20"/>
                <w:highlight w:val="yellow"/>
                <w:lang w:eastAsia="zh-CN"/>
              </w:rPr>
            </w:pPr>
            <w:r>
              <w:rPr>
                <w:sz w:val="20"/>
                <w:szCs w:val="20"/>
              </w:rPr>
              <w:t>0</w:t>
            </w:r>
          </w:p>
        </w:tc>
        <w:tc>
          <w:tcPr>
            <w:tcW w:w="2044" w:type="dxa"/>
            <w:shd w:val="clear" w:color="auto" w:fill="FFFFFF"/>
            <w:vAlign w:val="center"/>
          </w:tcPr>
          <w:p w14:paraId="2A5CE91D" w14:textId="7BBB0A18" w:rsidR="00DB49CB" w:rsidRPr="001E4D45" w:rsidRDefault="00DB49CB" w:rsidP="00DB49CB">
            <w:pPr>
              <w:suppressAutoHyphens/>
              <w:jc w:val="center"/>
              <w:rPr>
                <w:rFonts w:cs="Calibri"/>
                <w:sz w:val="20"/>
                <w:szCs w:val="20"/>
                <w:highlight w:val="yellow"/>
                <w:lang w:eastAsia="zh-CN"/>
              </w:rPr>
            </w:pPr>
            <w:r>
              <w:rPr>
                <w:color w:val="000000"/>
                <w:sz w:val="20"/>
                <w:szCs w:val="20"/>
              </w:rPr>
              <w:t>0,00</w:t>
            </w:r>
          </w:p>
        </w:tc>
      </w:tr>
      <w:tr w:rsidR="00DB49CB" w:rsidRPr="001E4D45" w14:paraId="0732820A" w14:textId="77777777" w:rsidTr="00231528">
        <w:trPr>
          <w:trHeight w:val="389"/>
        </w:trPr>
        <w:tc>
          <w:tcPr>
            <w:tcW w:w="2401" w:type="dxa"/>
            <w:shd w:val="clear" w:color="auto" w:fill="auto"/>
            <w:vAlign w:val="center"/>
            <w:hideMark/>
          </w:tcPr>
          <w:p w14:paraId="2DECA480"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4</w:t>
            </w:r>
          </w:p>
        </w:tc>
        <w:tc>
          <w:tcPr>
            <w:tcW w:w="2386" w:type="dxa"/>
            <w:shd w:val="clear" w:color="auto" w:fill="auto"/>
            <w:vAlign w:val="center"/>
            <w:hideMark/>
          </w:tcPr>
          <w:p w14:paraId="6A6F84F6"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Wysoka efektywność</w:t>
            </w:r>
          </w:p>
        </w:tc>
        <w:tc>
          <w:tcPr>
            <w:tcW w:w="2231" w:type="dxa"/>
            <w:shd w:val="clear" w:color="auto" w:fill="FFFFFF"/>
            <w:vAlign w:val="center"/>
          </w:tcPr>
          <w:p w14:paraId="534CAFA0" w14:textId="517F3D9E" w:rsidR="00DB49CB" w:rsidRPr="001E4D45" w:rsidRDefault="00DB49CB" w:rsidP="00DB49CB">
            <w:pPr>
              <w:suppressAutoHyphens/>
              <w:jc w:val="center"/>
              <w:rPr>
                <w:rFonts w:cs="Calibri"/>
                <w:sz w:val="20"/>
                <w:szCs w:val="20"/>
                <w:highlight w:val="yellow"/>
                <w:lang w:eastAsia="zh-CN"/>
              </w:rPr>
            </w:pPr>
            <w:r>
              <w:rPr>
                <w:sz w:val="20"/>
                <w:szCs w:val="20"/>
              </w:rPr>
              <w:t>0</w:t>
            </w:r>
          </w:p>
        </w:tc>
        <w:tc>
          <w:tcPr>
            <w:tcW w:w="2044" w:type="dxa"/>
            <w:shd w:val="clear" w:color="auto" w:fill="FFFFFF"/>
            <w:vAlign w:val="center"/>
          </w:tcPr>
          <w:p w14:paraId="3FFA7A4C" w14:textId="196BBCD4" w:rsidR="00DB49CB" w:rsidRPr="001E4D45" w:rsidRDefault="00DB49CB" w:rsidP="00DB49CB">
            <w:pPr>
              <w:suppressAutoHyphens/>
              <w:jc w:val="center"/>
              <w:rPr>
                <w:rFonts w:cs="Calibri"/>
                <w:sz w:val="20"/>
                <w:szCs w:val="20"/>
                <w:highlight w:val="yellow"/>
                <w:lang w:eastAsia="zh-CN"/>
              </w:rPr>
            </w:pPr>
            <w:r>
              <w:rPr>
                <w:color w:val="000000"/>
                <w:sz w:val="20"/>
                <w:szCs w:val="20"/>
              </w:rPr>
              <w:t>0,00</w:t>
            </w:r>
          </w:p>
        </w:tc>
      </w:tr>
      <w:tr w:rsidR="00DB49CB" w:rsidRPr="001E4D45" w14:paraId="3C2F4E16" w14:textId="77777777" w:rsidTr="00231528">
        <w:trPr>
          <w:trHeight w:val="389"/>
        </w:trPr>
        <w:tc>
          <w:tcPr>
            <w:tcW w:w="2401" w:type="dxa"/>
            <w:shd w:val="clear" w:color="auto" w:fill="auto"/>
            <w:vAlign w:val="center"/>
            <w:hideMark/>
          </w:tcPr>
          <w:p w14:paraId="37B37799"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5</w:t>
            </w:r>
          </w:p>
        </w:tc>
        <w:tc>
          <w:tcPr>
            <w:tcW w:w="2386" w:type="dxa"/>
            <w:shd w:val="clear" w:color="auto" w:fill="auto"/>
            <w:vAlign w:val="center"/>
            <w:hideMark/>
          </w:tcPr>
          <w:p w14:paraId="7B000ABC" w14:textId="77777777" w:rsidR="00DB49CB" w:rsidRPr="001E4D45" w:rsidRDefault="00DB49CB" w:rsidP="00DB49CB">
            <w:pPr>
              <w:suppressAutoHyphens/>
              <w:jc w:val="center"/>
              <w:rPr>
                <w:rFonts w:cs="Calibri"/>
                <w:sz w:val="20"/>
                <w:szCs w:val="20"/>
                <w:lang w:eastAsia="zh-CN"/>
              </w:rPr>
            </w:pPr>
            <w:r w:rsidRPr="001E4D45">
              <w:rPr>
                <w:rFonts w:cs="Calibri"/>
                <w:sz w:val="20"/>
                <w:szCs w:val="20"/>
                <w:lang w:eastAsia="zh-CN"/>
              </w:rPr>
              <w:t>Bardzo wysoka efektywność</w:t>
            </w:r>
          </w:p>
        </w:tc>
        <w:tc>
          <w:tcPr>
            <w:tcW w:w="2231" w:type="dxa"/>
            <w:shd w:val="clear" w:color="auto" w:fill="FFFFFF"/>
            <w:vAlign w:val="center"/>
          </w:tcPr>
          <w:p w14:paraId="4BA8CC8D" w14:textId="5537D01B" w:rsidR="00DB49CB" w:rsidRPr="001E4D45" w:rsidRDefault="00DB49CB" w:rsidP="00DB49CB">
            <w:pPr>
              <w:suppressAutoHyphens/>
              <w:jc w:val="center"/>
              <w:rPr>
                <w:rFonts w:cs="Calibri"/>
                <w:sz w:val="20"/>
                <w:szCs w:val="20"/>
                <w:highlight w:val="yellow"/>
                <w:lang w:eastAsia="zh-CN"/>
              </w:rPr>
            </w:pPr>
            <w:r>
              <w:rPr>
                <w:sz w:val="20"/>
                <w:szCs w:val="20"/>
              </w:rPr>
              <w:t>0</w:t>
            </w:r>
          </w:p>
        </w:tc>
        <w:tc>
          <w:tcPr>
            <w:tcW w:w="2044" w:type="dxa"/>
            <w:shd w:val="clear" w:color="auto" w:fill="FFFFFF"/>
            <w:vAlign w:val="center"/>
          </w:tcPr>
          <w:p w14:paraId="25BC199C" w14:textId="59377366" w:rsidR="00DB49CB" w:rsidRPr="001E4D45" w:rsidRDefault="00DB49CB" w:rsidP="00DB49CB">
            <w:pPr>
              <w:suppressAutoHyphens/>
              <w:jc w:val="center"/>
              <w:rPr>
                <w:rFonts w:cs="Calibri"/>
                <w:sz w:val="20"/>
                <w:szCs w:val="20"/>
                <w:highlight w:val="yellow"/>
                <w:lang w:eastAsia="zh-CN"/>
              </w:rPr>
            </w:pPr>
            <w:r>
              <w:rPr>
                <w:color w:val="000000"/>
                <w:sz w:val="20"/>
                <w:szCs w:val="20"/>
              </w:rPr>
              <w:t>0,00</w:t>
            </w:r>
          </w:p>
        </w:tc>
      </w:tr>
    </w:tbl>
    <w:p w14:paraId="5FBEA013" w14:textId="79E35F86" w:rsidR="00231528" w:rsidRDefault="00231528" w:rsidP="00231528">
      <w:pPr>
        <w:pStyle w:val="rdo0"/>
        <w:rPr>
          <w:lang w:eastAsia="zh-CN"/>
        </w:rPr>
      </w:pPr>
      <w:bookmarkStart w:id="347" w:name="_Toc63632755"/>
      <w:r w:rsidRPr="001E4D45">
        <w:rPr>
          <w:lang w:eastAsia="zh-CN"/>
        </w:rPr>
        <w:t xml:space="preserve">Źródło: opracowanie </w:t>
      </w:r>
      <w:r>
        <w:rPr>
          <w:lang w:eastAsia="zh-CN"/>
        </w:rPr>
        <w:t>własne</w:t>
      </w:r>
    </w:p>
    <w:p w14:paraId="6127EDB5" w14:textId="17E9501D" w:rsidR="00DB49CB" w:rsidRDefault="00DB49CB" w:rsidP="003C76C5">
      <w:bookmarkStart w:id="348" w:name="_Hlk67243147"/>
      <w:r>
        <w:t>Podsumowanie analizy efektywności jakościowej wskazuje, że w przypadku wód powierzchniowych średnią i wysoką efektywnością jakościową wykazuje się odpowiednio ok. 7</w:t>
      </w:r>
      <w:r w:rsidR="00735867">
        <w:t>2</w:t>
      </w:r>
      <w:r>
        <w:t>% i 13% działań, które obejmują następujące grupy działań:</w:t>
      </w:r>
    </w:p>
    <w:p w14:paraId="53D73369" w14:textId="77777777" w:rsidR="00DB49CB" w:rsidRDefault="00DB49CB" w:rsidP="00F817BD">
      <w:pPr>
        <w:pStyle w:val="Akapitzlist"/>
      </w:pPr>
      <w:r>
        <w:t>w zakresie zapewnienia drożności i ciągłości biologicznej,</w:t>
      </w:r>
    </w:p>
    <w:p w14:paraId="01DC2A40" w14:textId="77777777" w:rsidR="00DB49CB" w:rsidRDefault="00DB49CB" w:rsidP="00F817BD">
      <w:pPr>
        <w:pStyle w:val="Akapitzlist"/>
      </w:pPr>
      <w:r>
        <w:t>kontrolne i monitoringowe (w tym w zakresie kontroli pozwoleń wodno-prawnych),</w:t>
      </w:r>
    </w:p>
    <w:p w14:paraId="764D8A53" w14:textId="77777777" w:rsidR="00DB49CB" w:rsidRDefault="00DB49CB" w:rsidP="00F817BD">
      <w:pPr>
        <w:pStyle w:val="Akapitzlist"/>
      </w:pPr>
      <w:r>
        <w:t xml:space="preserve">naprawcze dla obszarów chronionych, w tym wynikające planów ochrony i planów zadań ochronnych dla obszarów chronionych, </w:t>
      </w:r>
    </w:p>
    <w:p w14:paraId="17C09163" w14:textId="77777777" w:rsidR="00DB49CB" w:rsidRDefault="00DB49CB" w:rsidP="00F817BD">
      <w:pPr>
        <w:pStyle w:val="Akapitzlist"/>
      </w:pPr>
      <w:r>
        <w:t>w zakresie gospodarki ściekowej,</w:t>
      </w:r>
    </w:p>
    <w:p w14:paraId="5196377D" w14:textId="77777777" w:rsidR="00DB49CB" w:rsidRDefault="00DB49CB" w:rsidP="00F817BD">
      <w:pPr>
        <w:pStyle w:val="Akapitzlist"/>
      </w:pPr>
      <w:r>
        <w:t>w zakresie rekultywacji jezior,</w:t>
      </w:r>
    </w:p>
    <w:p w14:paraId="0ADB9CEA" w14:textId="77777777" w:rsidR="00DB49CB" w:rsidRDefault="00DB49CB" w:rsidP="00F817BD">
      <w:pPr>
        <w:pStyle w:val="Akapitzlist"/>
      </w:pPr>
      <w:r>
        <w:t>obejmujące weryfikację programów ochrony środowiska,</w:t>
      </w:r>
    </w:p>
    <w:p w14:paraId="261F8311" w14:textId="77777777" w:rsidR="00DB49CB" w:rsidRDefault="00DB49CB" w:rsidP="00F817BD">
      <w:pPr>
        <w:pStyle w:val="Akapitzlist"/>
      </w:pPr>
      <w:r>
        <w:t xml:space="preserve">w zakresie monitoringu suszy </w:t>
      </w:r>
    </w:p>
    <w:p w14:paraId="21F3F6A6" w14:textId="77777777" w:rsidR="00DB49CB" w:rsidRDefault="00DB49CB" w:rsidP="00F817BD">
      <w:pPr>
        <w:pStyle w:val="Akapitzlist"/>
      </w:pPr>
      <w:r>
        <w:t>edukacyjne i doradcze dla rolników.</w:t>
      </w:r>
    </w:p>
    <w:p w14:paraId="2749FF1F" w14:textId="77777777" w:rsidR="00DB49CB" w:rsidRDefault="00DB49CB" w:rsidP="003C76C5">
      <w:r>
        <w:t>W przypadku wód podziemnych 100% działań charakteryzuje się niską efektywnością. Są to działania administracyjne oraz organizacyjno-prawne.</w:t>
      </w:r>
    </w:p>
    <w:p w14:paraId="5CCD004F" w14:textId="77777777" w:rsidR="00DB49CB" w:rsidRDefault="00DB49CB" w:rsidP="003C76C5">
      <w:r>
        <w:t>W poniższych tabelach zaprezentowano wyniki analizy efektywności kosztowej:</w:t>
      </w:r>
    </w:p>
    <w:p w14:paraId="3F91AB72" w14:textId="6B4BDCEF" w:rsidR="00DB49CB" w:rsidRDefault="00E00754" w:rsidP="006802BB">
      <w:pPr>
        <w:pStyle w:val="Tabela"/>
      </w:pPr>
      <w:bookmarkStart w:id="349" w:name="_Toc68727023"/>
      <w:bookmarkEnd w:id="348"/>
      <w:r w:rsidRPr="0073117C">
        <w:t xml:space="preserve">Tabela </w:t>
      </w:r>
      <w:fldSimple w:instr=" STYLEREF 1 \s ">
        <w:r w:rsidR="007B4050">
          <w:rPr>
            <w:noProof/>
          </w:rPr>
          <w:t>11</w:t>
        </w:r>
      </w:fldSimple>
      <w:r w:rsidR="007B4050">
        <w:noBreakHyphen/>
      </w:r>
      <w:fldSimple w:instr=" SEQ Tabela \* ARABIC \s 1 ">
        <w:r w:rsidR="007B4050">
          <w:rPr>
            <w:noProof/>
          </w:rPr>
          <w:t>11</w:t>
        </w:r>
      </w:fldSimple>
      <w:r>
        <w:tab/>
      </w:r>
      <w:r w:rsidR="00DB49CB">
        <w:t xml:space="preserve">Wyniki analizy efektywności kosztowej  </w:t>
      </w:r>
      <w:r w:rsidR="006C4947">
        <w:t>-</w:t>
      </w:r>
      <w:r w:rsidR="00DB49CB">
        <w:t xml:space="preserve"> wody powierzchniowe</w:t>
      </w:r>
      <w:bookmarkEnd w:id="3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2394"/>
        <w:gridCol w:w="2224"/>
        <w:gridCol w:w="2048"/>
      </w:tblGrid>
      <w:tr w:rsidR="00DB49CB" w14:paraId="0183F734" w14:textId="77777777" w:rsidTr="00735867">
        <w:trPr>
          <w:trHeight w:val="389"/>
          <w:tblHeader/>
        </w:trPr>
        <w:tc>
          <w:tcPr>
            <w:tcW w:w="244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6AF899" w14:textId="77777777" w:rsidR="00DB49CB" w:rsidRDefault="00DB49CB" w:rsidP="003863A0">
            <w:pPr>
              <w:pStyle w:val="Teksttabelinaglowek"/>
              <w:rPr>
                <w:lang w:eastAsia="zh-CN"/>
              </w:rPr>
            </w:pPr>
            <w:r>
              <w:rPr>
                <w:lang w:eastAsia="zh-CN"/>
              </w:rPr>
              <w:t>Stopień efektywności kosztowej</w:t>
            </w:r>
          </w:p>
        </w:tc>
        <w:tc>
          <w:tcPr>
            <w:tcW w:w="24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CFEAA8" w14:textId="77777777" w:rsidR="00DB49CB" w:rsidRDefault="00DB49CB" w:rsidP="003863A0">
            <w:pPr>
              <w:pStyle w:val="Teksttabelinaglowek"/>
              <w:rPr>
                <w:lang w:eastAsia="zh-CN"/>
              </w:rPr>
            </w:pPr>
            <w:r>
              <w:rPr>
                <w:lang w:eastAsia="zh-CN"/>
              </w:rPr>
              <w:t>Ocena jakościowa</w:t>
            </w:r>
          </w:p>
        </w:tc>
        <w:tc>
          <w:tcPr>
            <w:tcW w:w="2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6A3081" w14:textId="77777777" w:rsidR="00DB49CB" w:rsidRDefault="00DB49CB" w:rsidP="003863A0">
            <w:pPr>
              <w:pStyle w:val="Teksttabelinaglowek"/>
              <w:rPr>
                <w:lang w:eastAsia="zh-CN"/>
              </w:rPr>
            </w:pPr>
            <w:r>
              <w:rPr>
                <w:lang w:eastAsia="zh-CN"/>
              </w:rPr>
              <w:t>Liczba działań</w:t>
            </w:r>
          </w:p>
        </w:tc>
        <w:tc>
          <w:tcPr>
            <w:tcW w:w="21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3C046" w14:textId="1960D355" w:rsidR="00DB49CB" w:rsidRDefault="00DB49CB" w:rsidP="003863A0">
            <w:pPr>
              <w:pStyle w:val="Teksttabelinaglowek"/>
              <w:rPr>
                <w:lang w:eastAsia="zh-CN"/>
              </w:rPr>
            </w:pPr>
            <w:r>
              <w:rPr>
                <w:lang w:eastAsia="zh-CN"/>
              </w:rPr>
              <w:t xml:space="preserve">Udział </w:t>
            </w:r>
            <w:r w:rsidR="00E00754">
              <w:rPr>
                <w:lang w:eastAsia="zh-CN"/>
              </w:rPr>
              <w:t>(%)</w:t>
            </w:r>
          </w:p>
        </w:tc>
      </w:tr>
      <w:tr w:rsidR="00DB49CB" w14:paraId="78BF9932"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3EAF3B17" w14:textId="77777777" w:rsidR="00DB49CB" w:rsidRDefault="00DB49CB" w:rsidP="003863A0">
            <w:pPr>
              <w:pStyle w:val="Teksttabelisrodek"/>
            </w:pPr>
            <w:r>
              <w:t>1</w:t>
            </w:r>
          </w:p>
        </w:tc>
        <w:tc>
          <w:tcPr>
            <w:tcW w:w="2435" w:type="dxa"/>
            <w:tcBorders>
              <w:top w:val="single" w:sz="4" w:space="0" w:color="auto"/>
              <w:left w:val="single" w:sz="4" w:space="0" w:color="auto"/>
              <w:bottom w:val="single" w:sz="4" w:space="0" w:color="auto"/>
              <w:right w:val="single" w:sz="4" w:space="0" w:color="auto"/>
            </w:tcBorders>
            <w:vAlign w:val="center"/>
            <w:hideMark/>
          </w:tcPr>
          <w:p w14:paraId="637AB9D8" w14:textId="77777777" w:rsidR="00DB49CB" w:rsidRDefault="00DB49CB" w:rsidP="003863A0">
            <w:pPr>
              <w:pStyle w:val="Teksttabelisrodek"/>
            </w:pPr>
            <w:r>
              <w:t xml:space="preserve">Bardzo niska efektywność </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388CA0" w14:textId="77777777" w:rsidR="00DB49CB" w:rsidRDefault="00DB49CB" w:rsidP="003863A0">
            <w:pPr>
              <w:pStyle w:val="Teksttabelisrodek"/>
              <w:rPr>
                <w:highlight w:val="yellow"/>
              </w:rPr>
            </w:pPr>
            <w:r>
              <w:rPr>
                <w:color w:val="00000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77CB4F" w14:textId="32982EE2" w:rsidR="00DB49CB" w:rsidRDefault="00DB49CB" w:rsidP="003863A0">
            <w:pPr>
              <w:pStyle w:val="Teksttabelisrodek"/>
              <w:rPr>
                <w:highlight w:val="yellow"/>
              </w:rPr>
            </w:pPr>
            <w:r>
              <w:rPr>
                <w:color w:val="000000"/>
              </w:rPr>
              <w:t>0,00</w:t>
            </w:r>
          </w:p>
        </w:tc>
      </w:tr>
      <w:tr w:rsidR="00DB49CB" w14:paraId="5E520750"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69650AF9" w14:textId="77777777" w:rsidR="00DB49CB" w:rsidRDefault="00DB49CB" w:rsidP="003863A0">
            <w:pPr>
              <w:pStyle w:val="Teksttabelisrodek"/>
            </w:pPr>
            <w:r>
              <w:t>2</w:t>
            </w:r>
          </w:p>
        </w:tc>
        <w:tc>
          <w:tcPr>
            <w:tcW w:w="2435" w:type="dxa"/>
            <w:tcBorders>
              <w:top w:val="single" w:sz="4" w:space="0" w:color="auto"/>
              <w:left w:val="single" w:sz="4" w:space="0" w:color="auto"/>
              <w:bottom w:val="single" w:sz="4" w:space="0" w:color="auto"/>
              <w:right w:val="single" w:sz="4" w:space="0" w:color="auto"/>
            </w:tcBorders>
            <w:vAlign w:val="center"/>
            <w:hideMark/>
          </w:tcPr>
          <w:p w14:paraId="6462DD61" w14:textId="77777777" w:rsidR="00DB49CB" w:rsidRDefault="00DB49CB" w:rsidP="003863A0">
            <w:pPr>
              <w:pStyle w:val="Teksttabelisrodek"/>
            </w:pPr>
            <w:r>
              <w:t>Niska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D3B3CC" w14:textId="77777777" w:rsidR="00DB49CB" w:rsidRDefault="00DB49CB" w:rsidP="003863A0">
            <w:pPr>
              <w:pStyle w:val="Teksttabelisrodek"/>
              <w:rPr>
                <w:highlight w:val="yellow"/>
              </w:rPr>
            </w:pPr>
            <w:r>
              <w:rPr>
                <w:color w:val="000000"/>
              </w:rPr>
              <w:t>32</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A55F9E" w14:textId="30621328" w:rsidR="00DB49CB" w:rsidRDefault="00DB49CB" w:rsidP="003863A0">
            <w:pPr>
              <w:pStyle w:val="Teksttabelisrodek"/>
              <w:rPr>
                <w:highlight w:val="yellow"/>
              </w:rPr>
            </w:pPr>
            <w:r>
              <w:rPr>
                <w:color w:val="000000"/>
              </w:rPr>
              <w:t>5,</w:t>
            </w:r>
            <w:r w:rsidR="00735867">
              <w:rPr>
                <w:color w:val="000000"/>
              </w:rPr>
              <w:t>87</w:t>
            </w:r>
          </w:p>
        </w:tc>
      </w:tr>
      <w:tr w:rsidR="00DB49CB" w14:paraId="59B8E9FF" w14:textId="77777777" w:rsidTr="00DB49CB">
        <w:trPr>
          <w:trHeight w:val="409"/>
        </w:trPr>
        <w:tc>
          <w:tcPr>
            <w:tcW w:w="2449" w:type="dxa"/>
            <w:tcBorders>
              <w:top w:val="single" w:sz="4" w:space="0" w:color="auto"/>
              <w:left w:val="single" w:sz="4" w:space="0" w:color="auto"/>
              <w:bottom w:val="single" w:sz="4" w:space="0" w:color="auto"/>
              <w:right w:val="single" w:sz="4" w:space="0" w:color="auto"/>
            </w:tcBorders>
            <w:vAlign w:val="center"/>
            <w:hideMark/>
          </w:tcPr>
          <w:p w14:paraId="0BEF7CE1" w14:textId="77777777" w:rsidR="00DB49CB" w:rsidRDefault="00DB49CB" w:rsidP="003863A0">
            <w:pPr>
              <w:pStyle w:val="Teksttabelisrodek"/>
            </w:pPr>
            <w:r>
              <w:t>3</w:t>
            </w:r>
          </w:p>
        </w:tc>
        <w:tc>
          <w:tcPr>
            <w:tcW w:w="2435" w:type="dxa"/>
            <w:tcBorders>
              <w:top w:val="single" w:sz="4" w:space="0" w:color="auto"/>
              <w:left w:val="single" w:sz="4" w:space="0" w:color="auto"/>
              <w:bottom w:val="single" w:sz="4" w:space="0" w:color="auto"/>
              <w:right w:val="single" w:sz="4" w:space="0" w:color="auto"/>
            </w:tcBorders>
            <w:vAlign w:val="center"/>
            <w:hideMark/>
          </w:tcPr>
          <w:p w14:paraId="7D967E07" w14:textId="77777777" w:rsidR="00DB49CB" w:rsidRDefault="00DB49CB" w:rsidP="003863A0">
            <w:pPr>
              <w:pStyle w:val="Teksttabelisrodek"/>
            </w:pPr>
            <w:r>
              <w:t>Średnia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6DDEE3" w14:textId="77777777" w:rsidR="00DB49CB" w:rsidRDefault="00DB49CB" w:rsidP="003863A0">
            <w:pPr>
              <w:pStyle w:val="Teksttabelisrodek"/>
              <w:rPr>
                <w:highlight w:val="yellow"/>
              </w:rPr>
            </w:pPr>
            <w:r>
              <w:rPr>
                <w:color w:val="000000"/>
              </w:rPr>
              <w:t>168</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0C662F" w14:textId="3D85A1B3" w:rsidR="00DB49CB" w:rsidRDefault="00DB49CB" w:rsidP="003863A0">
            <w:pPr>
              <w:pStyle w:val="Teksttabelisrodek"/>
              <w:rPr>
                <w:highlight w:val="yellow"/>
              </w:rPr>
            </w:pPr>
            <w:r>
              <w:rPr>
                <w:color w:val="000000"/>
              </w:rPr>
              <w:t>30,</w:t>
            </w:r>
            <w:r w:rsidR="00735867">
              <w:rPr>
                <w:color w:val="000000"/>
              </w:rPr>
              <w:t>83</w:t>
            </w:r>
          </w:p>
        </w:tc>
      </w:tr>
      <w:tr w:rsidR="00DB49CB" w14:paraId="1D7B95C6"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25F5BC12" w14:textId="77777777" w:rsidR="00DB49CB" w:rsidRDefault="00DB49CB" w:rsidP="003863A0">
            <w:pPr>
              <w:pStyle w:val="Teksttabelisrodek"/>
            </w:pPr>
            <w:r>
              <w:t>4</w:t>
            </w:r>
          </w:p>
        </w:tc>
        <w:tc>
          <w:tcPr>
            <w:tcW w:w="2435" w:type="dxa"/>
            <w:tcBorders>
              <w:top w:val="single" w:sz="4" w:space="0" w:color="auto"/>
              <w:left w:val="single" w:sz="4" w:space="0" w:color="auto"/>
              <w:bottom w:val="single" w:sz="4" w:space="0" w:color="auto"/>
              <w:right w:val="single" w:sz="4" w:space="0" w:color="auto"/>
            </w:tcBorders>
            <w:vAlign w:val="center"/>
            <w:hideMark/>
          </w:tcPr>
          <w:p w14:paraId="5F3CCF9C" w14:textId="77777777" w:rsidR="00DB49CB" w:rsidRDefault="00DB49CB" w:rsidP="003863A0">
            <w:pPr>
              <w:pStyle w:val="Teksttabelisrodek"/>
            </w:pPr>
            <w:r>
              <w:t>Wysoka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F5820B" w14:textId="77777777" w:rsidR="00DB49CB" w:rsidRDefault="00DB49CB" w:rsidP="003863A0">
            <w:pPr>
              <w:pStyle w:val="Teksttabelisrodek"/>
              <w:rPr>
                <w:highlight w:val="yellow"/>
              </w:rPr>
            </w:pPr>
            <w:r>
              <w:rPr>
                <w:color w:val="000000"/>
              </w:rPr>
              <w:t>66</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8AA8D3" w14:textId="4A992465" w:rsidR="00DB49CB" w:rsidRDefault="00DB49CB" w:rsidP="003863A0">
            <w:pPr>
              <w:pStyle w:val="Teksttabelisrodek"/>
              <w:rPr>
                <w:highlight w:val="yellow"/>
              </w:rPr>
            </w:pPr>
            <w:r>
              <w:rPr>
                <w:color w:val="000000"/>
              </w:rPr>
              <w:t>12,</w:t>
            </w:r>
            <w:r w:rsidR="00735867">
              <w:rPr>
                <w:color w:val="000000"/>
              </w:rPr>
              <w:t>11</w:t>
            </w:r>
          </w:p>
        </w:tc>
      </w:tr>
      <w:tr w:rsidR="00DB49CB" w14:paraId="06C58274"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292D8ECB" w14:textId="77777777" w:rsidR="00DB49CB" w:rsidRDefault="00DB49CB" w:rsidP="003863A0">
            <w:pPr>
              <w:pStyle w:val="Teksttabelisrodek"/>
            </w:pPr>
            <w:r>
              <w:t>5</w:t>
            </w:r>
          </w:p>
        </w:tc>
        <w:tc>
          <w:tcPr>
            <w:tcW w:w="2435" w:type="dxa"/>
            <w:tcBorders>
              <w:top w:val="single" w:sz="4" w:space="0" w:color="auto"/>
              <w:left w:val="single" w:sz="4" w:space="0" w:color="auto"/>
              <w:bottom w:val="single" w:sz="4" w:space="0" w:color="auto"/>
              <w:right w:val="single" w:sz="4" w:space="0" w:color="auto"/>
            </w:tcBorders>
            <w:vAlign w:val="center"/>
            <w:hideMark/>
          </w:tcPr>
          <w:p w14:paraId="53CBCE9F" w14:textId="77777777" w:rsidR="00DB49CB" w:rsidRDefault="00DB49CB" w:rsidP="003863A0">
            <w:pPr>
              <w:pStyle w:val="Teksttabelisrodek"/>
            </w:pPr>
            <w:r>
              <w:t>Bardzo wysoka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C29189" w14:textId="77777777" w:rsidR="00DB49CB" w:rsidRDefault="00DB49CB" w:rsidP="003863A0">
            <w:pPr>
              <w:pStyle w:val="Teksttabelisrodek"/>
              <w:rPr>
                <w:highlight w:val="yellow"/>
              </w:rPr>
            </w:pPr>
            <w:r>
              <w:rPr>
                <w:color w:val="000000"/>
              </w:rPr>
              <w:t>1</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562490" w14:textId="620D26DB" w:rsidR="00DB49CB" w:rsidRDefault="00DB49CB" w:rsidP="003863A0">
            <w:pPr>
              <w:pStyle w:val="Teksttabelisrodek"/>
              <w:rPr>
                <w:highlight w:val="yellow"/>
              </w:rPr>
            </w:pPr>
            <w:r>
              <w:rPr>
                <w:color w:val="000000"/>
              </w:rPr>
              <w:t>0,18</w:t>
            </w:r>
          </w:p>
        </w:tc>
      </w:tr>
      <w:tr w:rsidR="00DB49CB" w14:paraId="2CE522D0"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622A6352" w14:textId="77777777" w:rsidR="00DB49CB" w:rsidRDefault="00DB49CB" w:rsidP="003863A0">
            <w:pPr>
              <w:pStyle w:val="Teksttabelisrodek"/>
            </w:pPr>
            <w:r>
              <w:t>0</w:t>
            </w:r>
          </w:p>
        </w:tc>
        <w:tc>
          <w:tcPr>
            <w:tcW w:w="2435" w:type="dxa"/>
            <w:tcBorders>
              <w:top w:val="single" w:sz="4" w:space="0" w:color="auto"/>
              <w:left w:val="single" w:sz="4" w:space="0" w:color="auto"/>
              <w:bottom w:val="single" w:sz="4" w:space="0" w:color="auto"/>
              <w:right w:val="single" w:sz="4" w:space="0" w:color="auto"/>
            </w:tcBorders>
            <w:vAlign w:val="center"/>
            <w:hideMark/>
          </w:tcPr>
          <w:p w14:paraId="0F313010" w14:textId="77777777" w:rsidR="00DB49CB" w:rsidRDefault="00DB49CB" w:rsidP="003863A0">
            <w:pPr>
              <w:pStyle w:val="Teksttabelisrodek"/>
            </w:pPr>
            <w:r>
              <w:t>Brak danych do analizy efektywności kosztowej</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0D7F2C" w14:textId="701624C2" w:rsidR="00DB49CB" w:rsidRDefault="00735867" w:rsidP="003863A0">
            <w:pPr>
              <w:pStyle w:val="Teksttabelisrodek"/>
              <w:rPr>
                <w:color w:val="000000"/>
                <w:lang w:eastAsia="pl-PL"/>
              </w:rPr>
            </w:pPr>
            <w:r>
              <w:rPr>
                <w:color w:val="000000"/>
              </w:rPr>
              <w:t>278</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D49F04" w14:textId="1C8D202A" w:rsidR="00DB49CB" w:rsidRDefault="00DB49CB" w:rsidP="003863A0">
            <w:pPr>
              <w:pStyle w:val="Teksttabelisrodek"/>
              <w:rPr>
                <w:color w:val="000000"/>
              </w:rPr>
            </w:pPr>
            <w:r>
              <w:rPr>
                <w:color w:val="000000"/>
              </w:rPr>
              <w:t>51,</w:t>
            </w:r>
            <w:r w:rsidR="00735867">
              <w:rPr>
                <w:color w:val="000000"/>
              </w:rPr>
              <w:t>01</w:t>
            </w:r>
          </w:p>
        </w:tc>
      </w:tr>
    </w:tbl>
    <w:p w14:paraId="6D754E8A" w14:textId="1E5B1102" w:rsidR="00DB49CB" w:rsidRDefault="00DB49CB" w:rsidP="00DB49CB">
      <w:pPr>
        <w:suppressAutoHyphens/>
        <w:jc w:val="right"/>
        <w:rPr>
          <w:rFonts w:eastAsia="Times New Roman" w:cs="Calibri"/>
          <w:i/>
          <w:iCs/>
          <w:color w:val="003399"/>
          <w:sz w:val="20"/>
          <w:szCs w:val="20"/>
          <w:lang w:eastAsia="zh-CN"/>
        </w:rPr>
      </w:pPr>
      <w:r>
        <w:rPr>
          <w:rFonts w:cs="Calibri"/>
          <w:i/>
          <w:iCs/>
          <w:color w:val="003399"/>
          <w:sz w:val="20"/>
          <w:szCs w:val="20"/>
          <w:lang w:eastAsia="zh-CN"/>
        </w:rPr>
        <w:t xml:space="preserve">Źródło: </w:t>
      </w:r>
      <w:r w:rsidR="00E00754">
        <w:rPr>
          <w:rFonts w:cs="Calibri"/>
          <w:i/>
          <w:iCs/>
          <w:color w:val="003399"/>
          <w:sz w:val="20"/>
          <w:szCs w:val="20"/>
          <w:lang w:eastAsia="zh-CN"/>
        </w:rPr>
        <w:t>opracowanie własne</w:t>
      </w:r>
    </w:p>
    <w:p w14:paraId="48530130" w14:textId="1A47FB48" w:rsidR="00DB49CB" w:rsidRDefault="00E00754" w:rsidP="006802BB">
      <w:pPr>
        <w:pStyle w:val="Tabela"/>
        <w:rPr>
          <w:lang w:eastAsia="pl-PL"/>
        </w:rPr>
      </w:pPr>
      <w:bookmarkStart w:id="350" w:name="_Toc68727024"/>
      <w:r w:rsidRPr="0073117C">
        <w:t xml:space="preserve">Tabela </w:t>
      </w:r>
      <w:fldSimple w:instr=" STYLEREF 1 \s ">
        <w:r w:rsidR="007B4050">
          <w:rPr>
            <w:noProof/>
          </w:rPr>
          <w:t>11</w:t>
        </w:r>
      </w:fldSimple>
      <w:r w:rsidR="007B4050">
        <w:noBreakHyphen/>
      </w:r>
      <w:fldSimple w:instr=" SEQ Tabela \* ARABIC \s 1 ">
        <w:r w:rsidR="007B4050">
          <w:rPr>
            <w:noProof/>
          </w:rPr>
          <w:t>12</w:t>
        </w:r>
      </w:fldSimple>
      <w:r>
        <w:tab/>
      </w:r>
      <w:r w:rsidR="00DB49CB">
        <w:t xml:space="preserve">Wyniki analizy efektywności kosztowej </w:t>
      </w:r>
      <w:r w:rsidR="006C4947">
        <w:t>-</w:t>
      </w:r>
      <w:r w:rsidR="00DB49CB">
        <w:t xml:space="preserve"> wody podziemne</w:t>
      </w:r>
      <w:bookmarkEnd w:id="3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385"/>
        <w:gridCol w:w="2231"/>
        <w:gridCol w:w="2046"/>
      </w:tblGrid>
      <w:tr w:rsidR="00DB49CB" w14:paraId="37B3FDEC" w14:textId="77777777" w:rsidTr="00735867">
        <w:trPr>
          <w:trHeight w:val="389"/>
          <w:tblHeader/>
        </w:trPr>
        <w:tc>
          <w:tcPr>
            <w:tcW w:w="244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616E6C" w14:textId="77777777" w:rsidR="00DB49CB" w:rsidRDefault="00DB49CB">
            <w:pPr>
              <w:suppressAutoHyphens/>
              <w:jc w:val="center"/>
              <w:rPr>
                <w:rFonts w:cs="Calibri"/>
                <w:b/>
                <w:bCs/>
                <w:sz w:val="20"/>
                <w:szCs w:val="20"/>
                <w:lang w:eastAsia="zh-CN"/>
              </w:rPr>
            </w:pPr>
            <w:r>
              <w:rPr>
                <w:rFonts w:cs="Calibri"/>
                <w:b/>
                <w:bCs/>
                <w:sz w:val="20"/>
                <w:szCs w:val="20"/>
                <w:lang w:eastAsia="zh-CN"/>
              </w:rPr>
              <w:t>Stopień efektywności kosztowej</w:t>
            </w:r>
          </w:p>
        </w:tc>
        <w:tc>
          <w:tcPr>
            <w:tcW w:w="24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5F2DC" w14:textId="77777777" w:rsidR="00DB49CB" w:rsidRDefault="00DB49CB">
            <w:pPr>
              <w:suppressAutoHyphens/>
              <w:jc w:val="center"/>
              <w:rPr>
                <w:rFonts w:cs="Calibri"/>
                <w:sz w:val="20"/>
                <w:szCs w:val="20"/>
                <w:lang w:eastAsia="zh-CN"/>
              </w:rPr>
            </w:pPr>
            <w:r>
              <w:rPr>
                <w:rFonts w:cs="Calibri"/>
                <w:b/>
                <w:bCs/>
                <w:sz w:val="20"/>
                <w:szCs w:val="20"/>
                <w:lang w:eastAsia="zh-CN"/>
              </w:rPr>
              <w:t>Ocena jakościowa</w:t>
            </w:r>
          </w:p>
        </w:tc>
        <w:tc>
          <w:tcPr>
            <w:tcW w:w="2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D2C2A8" w14:textId="77777777" w:rsidR="00DB49CB" w:rsidRDefault="00DB49CB">
            <w:pPr>
              <w:suppressAutoHyphens/>
              <w:jc w:val="center"/>
              <w:rPr>
                <w:rFonts w:cs="Calibri"/>
                <w:sz w:val="20"/>
                <w:szCs w:val="20"/>
                <w:lang w:eastAsia="zh-CN"/>
              </w:rPr>
            </w:pPr>
            <w:r>
              <w:rPr>
                <w:rFonts w:cs="Calibri"/>
                <w:b/>
                <w:bCs/>
                <w:sz w:val="20"/>
                <w:szCs w:val="20"/>
                <w:lang w:eastAsia="zh-CN"/>
              </w:rPr>
              <w:t>Liczba działań</w:t>
            </w:r>
          </w:p>
        </w:tc>
        <w:tc>
          <w:tcPr>
            <w:tcW w:w="21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826D9D" w14:textId="6F393994" w:rsidR="00DB49CB" w:rsidRDefault="00DB49CB">
            <w:pPr>
              <w:suppressAutoHyphens/>
              <w:jc w:val="center"/>
              <w:rPr>
                <w:rFonts w:cs="Calibri"/>
                <w:b/>
                <w:bCs/>
                <w:sz w:val="20"/>
                <w:szCs w:val="20"/>
                <w:lang w:eastAsia="zh-CN"/>
              </w:rPr>
            </w:pPr>
            <w:r>
              <w:rPr>
                <w:rFonts w:cs="Calibri"/>
                <w:b/>
                <w:bCs/>
                <w:sz w:val="20"/>
                <w:szCs w:val="20"/>
                <w:lang w:eastAsia="zh-CN"/>
              </w:rPr>
              <w:t xml:space="preserve">Udział </w:t>
            </w:r>
            <w:r w:rsidR="00E00754">
              <w:rPr>
                <w:rFonts w:cs="Calibri"/>
                <w:b/>
                <w:bCs/>
                <w:sz w:val="20"/>
                <w:szCs w:val="20"/>
                <w:lang w:eastAsia="zh-CN"/>
              </w:rPr>
              <w:t>(%)</w:t>
            </w:r>
          </w:p>
        </w:tc>
      </w:tr>
      <w:tr w:rsidR="00DB49CB" w14:paraId="164CFD55"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0F211111" w14:textId="77777777" w:rsidR="00DB49CB" w:rsidRDefault="00DB49CB">
            <w:pPr>
              <w:suppressAutoHyphens/>
              <w:jc w:val="center"/>
              <w:rPr>
                <w:rFonts w:cs="Calibri"/>
                <w:sz w:val="20"/>
                <w:szCs w:val="20"/>
                <w:lang w:eastAsia="zh-CN"/>
              </w:rPr>
            </w:pPr>
            <w:r>
              <w:rPr>
                <w:rFonts w:cs="Calibri"/>
                <w:sz w:val="20"/>
                <w:szCs w:val="20"/>
                <w:lang w:eastAsia="zh-CN"/>
              </w:rPr>
              <w:t>1</w:t>
            </w:r>
          </w:p>
        </w:tc>
        <w:tc>
          <w:tcPr>
            <w:tcW w:w="2435" w:type="dxa"/>
            <w:tcBorders>
              <w:top w:val="single" w:sz="4" w:space="0" w:color="auto"/>
              <w:left w:val="single" w:sz="4" w:space="0" w:color="auto"/>
              <w:bottom w:val="single" w:sz="4" w:space="0" w:color="auto"/>
              <w:right w:val="single" w:sz="4" w:space="0" w:color="auto"/>
            </w:tcBorders>
            <w:vAlign w:val="center"/>
            <w:hideMark/>
          </w:tcPr>
          <w:p w14:paraId="029873D9" w14:textId="77777777" w:rsidR="00DB49CB" w:rsidRDefault="00DB49CB">
            <w:pPr>
              <w:suppressAutoHyphens/>
              <w:jc w:val="center"/>
              <w:rPr>
                <w:rFonts w:cs="Calibri"/>
                <w:sz w:val="20"/>
                <w:szCs w:val="20"/>
                <w:lang w:eastAsia="zh-CN"/>
              </w:rPr>
            </w:pPr>
            <w:r>
              <w:rPr>
                <w:rFonts w:cs="Calibri"/>
                <w:sz w:val="20"/>
                <w:szCs w:val="20"/>
                <w:lang w:eastAsia="zh-CN"/>
              </w:rPr>
              <w:t xml:space="preserve">Bardzo niska efektywność </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A107ED" w14:textId="77777777" w:rsidR="00DB49CB" w:rsidRDefault="00DB49CB">
            <w:pPr>
              <w:suppressAutoHyphens/>
              <w:jc w:val="center"/>
              <w:rPr>
                <w:rFonts w:cs="Calibri"/>
                <w:sz w:val="20"/>
                <w:szCs w:val="20"/>
                <w:highlight w:val="yellow"/>
                <w:lang w:eastAsia="zh-CN"/>
              </w:rPr>
            </w:pPr>
            <w:r>
              <w:rPr>
                <w:color w:val="000000"/>
                <w:sz w:val="20"/>
                <w:szCs w:val="2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B9DC81" w14:textId="0162C4ED" w:rsidR="00DB49CB" w:rsidRDefault="00DB49CB">
            <w:pPr>
              <w:suppressAutoHyphens/>
              <w:jc w:val="center"/>
              <w:rPr>
                <w:rFonts w:cs="Calibri"/>
                <w:sz w:val="20"/>
                <w:szCs w:val="20"/>
                <w:highlight w:val="yellow"/>
                <w:lang w:eastAsia="zh-CN"/>
              </w:rPr>
            </w:pPr>
            <w:r>
              <w:rPr>
                <w:color w:val="000000"/>
                <w:sz w:val="20"/>
                <w:szCs w:val="20"/>
              </w:rPr>
              <w:t>0,00</w:t>
            </w:r>
          </w:p>
        </w:tc>
      </w:tr>
      <w:tr w:rsidR="00DB49CB" w14:paraId="201B6A53"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229F6FC3" w14:textId="77777777" w:rsidR="00DB49CB" w:rsidRDefault="00DB49CB">
            <w:pPr>
              <w:suppressAutoHyphens/>
              <w:jc w:val="center"/>
              <w:rPr>
                <w:rFonts w:cs="Calibri"/>
                <w:sz w:val="20"/>
                <w:szCs w:val="20"/>
                <w:lang w:eastAsia="zh-CN"/>
              </w:rPr>
            </w:pPr>
            <w:r>
              <w:rPr>
                <w:rFonts w:cs="Calibri"/>
                <w:sz w:val="20"/>
                <w:szCs w:val="20"/>
                <w:lang w:eastAsia="zh-CN"/>
              </w:rPr>
              <w:t>2</w:t>
            </w:r>
          </w:p>
        </w:tc>
        <w:tc>
          <w:tcPr>
            <w:tcW w:w="2435" w:type="dxa"/>
            <w:tcBorders>
              <w:top w:val="single" w:sz="4" w:space="0" w:color="auto"/>
              <w:left w:val="single" w:sz="4" w:space="0" w:color="auto"/>
              <w:bottom w:val="single" w:sz="4" w:space="0" w:color="auto"/>
              <w:right w:val="single" w:sz="4" w:space="0" w:color="auto"/>
            </w:tcBorders>
            <w:vAlign w:val="center"/>
            <w:hideMark/>
          </w:tcPr>
          <w:p w14:paraId="598F4310" w14:textId="77777777" w:rsidR="00DB49CB" w:rsidRDefault="00DB49CB">
            <w:pPr>
              <w:suppressAutoHyphens/>
              <w:jc w:val="center"/>
              <w:rPr>
                <w:rFonts w:cs="Calibri"/>
                <w:sz w:val="20"/>
                <w:szCs w:val="20"/>
                <w:lang w:eastAsia="zh-CN"/>
              </w:rPr>
            </w:pPr>
            <w:r>
              <w:rPr>
                <w:rFonts w:cs="Calibri"/>
                <w:sz w:val="20"/>
                <w:szCs w:val="20"/>
                <w:lang w:eastAsia="zh-CN"/>
              </w:rPr>
              <w:t>Niska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0C91A1" w14:textId="77777777" w:rsidR="00DB49CB" w:rsidRDefault="00DB49CB">
            <w:pPr>
              <w:suppressAutoHyphens/>
              <w:jc w:val="center"/>
              <w:rPr>
                <w:rFonts w:cs="Calibri"/>
                <w:sz w:val="20"/>
                <w:szCs w:val="20"/>
                <w:highlight w:val="yellow"/>
                <w:lang w:eastAsia="zh-CN"/>
              </w:rPr>
            </w:pPr>
            <w:r>
              <w:rPr>
                <w:color w:val="000000"/>
                <w:sz w:val="20"/>
                <w:szCs w:val="2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3BBF01" w14:textId="4529752A" w:rsidR="00DB49CB" w:rsidRDefault="00DB49CB">
            <w:pPr>
              <w:suppressAutoHyphens/>
              <w:jc w:val="center"/>
              <w:rPr>
                <w:rFonts w:cs="Calibri"/>
                <w:sz w:val="20"/>
                <w:szCs w:val="20"/>
                <w:highlight w:val="yellow"/>
                <w:lang w:eastAsia="zh-CN"/>
              </w:rPr>
            </w:pPr>
            <w:r>
              <w:rPr>
                <w:color w:val="000000"/>
                <w:sz w:val="20"/>
                <w:szCs w:val="20"/>
              </w:rPr>
              <w:t>0,00</w:t>
            </w:r>
          </w:p>
        </w:tc>
      </w:tr>
      <w:tr w:rsidR="00DB49CB" w14:paraId="32DBD042" w14:textId="77777777" w:rsidTr="00DB49CB">
        <w:trPr>
          <w:trHeight w:val="409"/>
        </w:trPr>
        <w:tc>
          <w:tcPr>
            <w:tcW w:w="2449" w:type="dxa"/>
            <w:tcBorders>
              <w:top w:val="single" w:sz="4" w:space="0" w:color="auto"/>
              <w:left w:val="single" w:sz="4" w:space="0" w:color="auto"/>
              <w:bottom w:val="single" w:sz="4" w:space="0" w:color="auto"/>
              <w:right w:val="single" w:sz="4" w:space="0" w:color="auto"/>
            </w:tcBorders>
            <w:vAlign w:val="center"/>
            <w:hideMark/>
          </w:tcPr>
          <w:p w14:paraId="56CAA747" w14:textId="77777777" w:rsidR="00DB49CB" w:rsidRDefault="00DB49CB">
            <w:pPr>
              <w:suppressAutoHyphens/>
              <w:jc w:val="center"/>
              <w:rPr>
                <w:rFonts w:cs="Calibri"/>
                <w:sz w:val="20"/>
                <w:szCs w:val="20"/>
                <w:lang w:eastAsia="zh-CN"/>
              </w:rPr>
            </w:pPr>
            <w:r>
              <w:rPr>
                <w:rFonts w:cs="Calibri"/>
                <w:sz w:val="20"/>
                <w:szCs w:val="20"/>
                <w:lang w:eastAsia="zh-CN"/>
              </w:rPr>
              <w:t>3</w:t>
            </w:r>
          </w:p>
        </w:tc>
        <w:tc>
          <w:tcPr>
            <w:tcW w:w="2435" w:type="dxa"/>
            <w:tcBorders>
              <w:top w:val="single" w:sz="4" w:space="0" w:color="auto"/>
              <w:left w:val="single" w:sz="4" w:space="0" w:color="auto"/>
              <w:bottom w:val="single" w:sz="4" w:space="0" w:color="auto"/>
              <w:right w:val="single" w:sz="4" w:space="0" w:color="auto"/>
            </w:tcBorders>
            <w:vAlign w:val="center"/>
            <w:hideMark/>
          </w:tcPr>
          <w:p w14:paraId="37802051" w14:textId="77777777" w:rsidR="00DB49CB" w:rsidRDefault="00DB49CB">
            <w:pPr>
              <w:suppressAutoHyphens/>
              <w:jc w:val="center"/>
              <w:rPr>
                <w:rFonts w:cs="Calibri"/>
                <w:sz w:val="20"/>
                <w:szCs w:val="20"/>
                <w:lang w:eastAsia="zh-CN"/>
              </w:rPr>
            </w:pPr>
            <w:r>
              <w:rPr>
                <w:rFonts w:cs="Calibri"/>
                <w:sz w:val="20"/>
                <w:szCs w:val="20"/>
                <w:lang w:eastAsia="zh-CN"/>
              </w:rPr>
              <w:t>Średnia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648EE1" w14:textId="77777777" w:rsidR="00DB49CB" w:rsidRDefault="00DB49CB">
            <w:pPr>
              <w:suppressAutoHyphens/>
              <w:jc w:val="center"/>
              <w:rPr>
                <w:rFonts w:cs="Calibri"/>
                <w:sz w:val="20"/>
                <w:szCs w:val="20"/>
                <w:highlight w:val="yellow"/>
                <w:lang w:eastAsia="zh-CN"/>
              </w:rPr>
            </w:pPr>
            <w:r>
              <w:rPr>
                <w:color w:val="000000"/>
                <w:sz w:val="20"/>
                <w:szCs w:val="20"/>
              </w:rPr>
              <w:t>3</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CA2435" w14:textId="6280A785" w:rsidR="00DB49CB" w:rsidRDefault="00DB49CB">
            <w:pPr>
              <w:suppressAutoHyphens/>
              <w:jc w:val="center"/>
              <w:rPr>
                <w:rFonts w:cs="Calibri"/>
                <w:sz w:val="20"/>
                <w:szCs w:val="20"/>
                <w:highlight w:val="yellow"/>
                <w:lang w:eastAsia="zh-CN"/>
              </w:rPr>
            </w:pPr>
            <w:r>
              <w:rPr>
                <w:color w:val="000000"/>
                <w:sz w:val="20"/>
                <w:szCs w:val="20"/>
              </w:rPr>
              <w:t>100,00</w:t>
            </w:r>
          </w:p>
        </w:tc>
      </w:tr>
      <w:tr w:rsidR="00DB49CB" w14:paraId="25F75EC0"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35D14700" w14:textId="77777777" w:rsidR="00DB49CB" w:rsidRDefault="00DB49CB">
            <w:pPr>
              <w:suppressAutoHyphens/>
              <w:jc w:val="center"/>
              <w:rPr>
                <w:rFonts w:cs="Calibri"/>
                <w:sz w:val="20"/>
                <w:szCs w:val="20"/>
                <w:lang w:eastAsia="zh-CN"/>
              </w:rPr>
            </w:pPr>
            <w:r>
              <w:rPr>
                <w:rFonts w:cs="Calibri"/>
                <w:sz w:val="20"/>
                <w:szCs w:val="20"/>
                <w:lang w:eastAsia="zh-CN"/>
              </w:rPr>
              <w:t>4</w:t>
            </w:r>
          </w:p>
        </w:tc>
        <w:tc>
          <w:tcPr>
            <w:tcW w:w="2435" w:type="dxa"/>
            <w:tcBorders>
              <w:top w:val="single" w:sz="4" w:space="0" w:color="auto"/>
              <w:left w:val="single" w:sz="4" w:space="0" w:color="auto"/>
              <w:bottom w:val="single" w:sz="4" w:space="0" w:color="auto"/>
              <w:right w:val="single" w:sz="4" w:space="0" w:color="auto"/>
            </w:tcBorders>
            <w:vAlign w:val="center"/>
            <w:hideMark/>
          </w:tcPr>
          <w:p w14:paraId="389D885E" w14:textId="77777777" w:rsidR="00DB49CB" w:rsidRDefault="00DB49CB">
            <w:pPr>
              <w:suppressAutoHyphens/>
              <w:jc w:val="center"/>
              <w:rPr>
                <w:rFonts w:cs="Calibri"/>
                <w:sz w:val="20"/>
                <w:szCs w:val="20"/>
                <w:lang w:eastAsia="zh-CN"/>
              </w:rPr>
            </w:pPr>
            <w:r>
              <w:rPr>
                <w:rFonts w:cs="Calibri"/>
                <w:sz w:val="20"/>
                <w:szCs w:val="20"/>
                <w:lang w:eastAsia="zh-CN"/>
              </w:rPr>
              <w:t>Wysoka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854EED" w14:textId="77777777" w:rsidR="00DB49CB" w:rsidRDefault="00DB49CB">
            <w:pPr>
              <w:suppressAutoHyphens/>
              <w:jc w:val="center"/>
              <w:rPr>
                <w:rFonts w:cs="Calibri"/>
                <w:sz w:val="20"/>
                <w:szCs w:val="20"/>
                <w:highlight w:val="yellow"/>
                <w:lang w:eastAsia="zh-CN"/>
              </w:rPr>
            </w:pPr>
            <w:r>
              <w:rPr>
                <w:color w:val="000000"/>
                <w:sz w:val="20"/>
                <w:szCs w:val="2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31863B" w14:textId="7CA787C2" w:rsidR="00DB49CB" w:rsidRDefault="00DB49CB">
            <w:pPr>
              <w:suppressAutoHyphens/>
              <w:jc w:val="center"/>
              <w:rPr>
                <w:rFonts w:cs="Calibri"/>
                <w:sz w:val="20"/>
                <w:szCs w:val="20"/>
                <w:highlight w:val="yellow"/>
                <w:lang w:eastAsia="zh-CN"/>
              </w:rPr>
            </w:pPr>
            <w:r>
              <w:rPr>
                <w:color w:val="000000"/>
                <w:sz w:val="20"/>
                <w:szCs w:val="20"/>
              </w:rPr>
              <w:t>0,00</w:t>
            </w:r>
          </w:p>
        </w:tc>
      </w:tr>
      <w:tr w:rsidR="00DB49CB" w14:paraId="3A1EBC77"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1DFAB302" w14:textId="77777777" w:rsidR="00DB49CB" w:rsidRDefault="00DB49CB">
            <w:pPr>
              <w:suppressAutoHyphens/>
              <w:jc w:val="center"/>
              <w:rPr>
                <w:rFonts w:cs="Calibri"/>
                <w:sz w:val="20"/>
                <w:szCs w:val="20"/>
                <w:lang w:eastAsia="zh-CN"/>
              </w:rPr>
            </w:pPr>
            <w:r>
              <w:rPr>
                <w:rFonts w:cs="Calibri"/>
                <w:sz w:val="20"/>
                <w:szCs w:val="20"/>
                <w:lang w:eastAsia="zh-CN"/>
              </w:rPr>
              <w:t>5</w:t>
            </w:r>
          </w:p>
        </w:tc>
        <w:tc>
          <w:tcPr>
            <w:tcW w:w="2435" w:type="dxa"/>
            <w:tcBorders>
              <w:top w:val="single" w:sz="4" w:space="0" w:color="auto"/>
              <w:left w:val="single" w:sz="4" w:space="0" w:color="auto"/>
              <w:bottom w:val="single" w:sz="4" w:space="0" w:color="auto"/>
              <w:right w:val="single" w:sz="4" w:space="0" w:color="auto"/>
            </w:tcBorders>
            <w:vAlign w:val="center"/>
            <w:hideMark/>
          </w:tcPr>
          <w:p w14:paraId="35B2239A" w14:textId="77777777" w:rsidR="00DB49CB" w:rsidRDefault="00DB49CB">
            <w:pPr>
              <w:suppressAutoHyphens/>
              <w:jc w:val="center"/>
              <w:rPr>
                <w:rFonts w:cs="Calibri"/>
                <w:sz w:val="20"/>
                <w:szCs w:val="20"/>
                <w:lang w:eastAsia="zh-CN"/>
              </w:rPr>
            </w:pPr>
            <w:r>
              <w:rPr>
                <w:rFonts w:cs="Calibri"/>
                <w:sz w:val="20"/>
                <w:szCs w:val="20"/>
                <w:lang w:eastAsia="zh-CN"/>
              </w:rPr>
              <w:t>Bardzo wysoka efektywność</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0C968D" w14:textId="77777777" w:rsidR="00DB49CB" w:rsidRDefault="00DB49CB">
            <w:pPr>
              <w:suppressAutoHyphens/>
              <w:jc w:val="center"/>
              <w:rPr>
                <w:rFonts w:cs="Calibri"/>
                <w:sz w:val="20"/>
                <w:szCs w:val="20"/>
                <w:highlight w:val="yellow"/>
                <w:lang w:eastAsia="zh-CN"/>
              </w:rPr>
            </w:pPr>
            <w:r>
              <w:rPr>
                <w:color w:val="000000"/>
                <w:sz w:val="20"/>
                <w:szCs w:val="2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F85D44" w14:textId="421013A4" w:rsidR="00DB49CB" w:rsidRDefault="00DB49CB">
            <w:pPr>
              <w:suppressAutoHyphens/>
              <w:jc w:val="center"/>
              <w:rPr>
                <w:rFonts w:cs="Calibri"/>
                <w:sz w:val="20"/>
                <w:szCs w:val="20"/>
                <w:highlight w:val="yellow"/>
                <w:lang w:eastAsia="zh-CN"/>
              </w:rPr>
            </w:pPr>
            <w:r>
              <w:rPr>
                <w:color w:val="000000"/>
                <w:sz w:val="20"/>
                <w:szCs w:val="20"/>
              </w:rPr>
              <w:t>0,00</w:t>
            </w:r>
          </w:p>
        </w:tc>
      </w:tr>
      <w:tr w:rsidR="00DB49CB" w14:paraId="47B16194" w14:textId="77777777" w:rsidTr="00DB49CB">
        <w:trPr>
          <w:trHeight w:val="389"/>
        </w:trPr>
        <w:tc>
          <w:tcPr>
            <w:tcW w:w="2449" w:type="dxa"/>
            <w:tcBorders>
              <w:top w:val="single" w:sz="4" w:space="0" w:color="auto"/>
              <w:left w:val="single" w:sz="4" w:space="0" w:color="auto"/>
              <w:bottom w:val="single" w:sz="4" w:space="0" w:color="auto"/>
              <w:right w:val="single" w:sz="4" w:space="0" w:color="auto"/>
            </w:tcBorders>
            <w:vAlign w:val="center"/>
            <w:hideMark/>
          </w:tcPr>
          <w:p w14:paraId="4830F500" w14:textId="77777777" w:rsidR="00DB49CB" w:rsidRDefault="00DB49CB">
            <w:pPr>
              <w:suppressAutoHyphens/>
              <w:jc w:val="center"/>
              <w:rPr>
                <w:rFonts w:cs="Calibri"/>
                <w:sz w:val="20"/>
                <w:szCs w:val="20"/>
                <w:lang w:eastAsia="zh-CN"/>
              </w:rPr>
            </w:pPr>
            <w:r>
              <w:rPr>
                <w:rFonts w:cs="Calibri"/>
                <w:sz w:val="20"/>
                <w:szCs w:val="20"/>
                <w:lang w:eastAsia="zh-CN"/>
              </w:rPr>
              <w:t>0</w:t>
            </w:r>
          </w:p>
        </w:tc>
        <w:tc>
          <w:tcPr>
            <w:tcW w:w="2435" w:type="dxa"/>
            <w:tcBorders>
              <w:top w:val="single" w:sz="4" w:space="0" w:color="auto"/>
              <w:left w:val="single" w:sz="4" w:space="0" w:color="auto"/>
              <w:bottom w:val="single" w:sz="4" w:space="0" w:color="auto"/>
              <w:right w:val="single" w:sz="4" w:space="0" w:color="auto"/>
            </w:tcBorders>
            <w:vAlign w:val="center"/>
            <w:hideMark/>
          </w:tcPr>
          <w:p w14:paraId="1933DDB0" w14:textId="77777777" w:rsidR="00DB49CB" w:rsidRDefault="00DB49CB">
            <w:pPr>
              <w:suppressAutoHyphens/>
              <w:jc w:val="center"/>
              <w:rPr>
                <w:rFonts w:cs="Calibri"/>
                <w:sz w:val="20"/>
                <w:szCs w:val="20"/>
                <w:lang w:eastAsia="zh-CN"/>
              </w:rPr>
            </w:pPr>
            <w:r>
              <w:rPr>
                <w:rFonts w:cs="Calibri"/>
                <w:sz w:val="20"/>
                <w:szCs w:val="20"/>
                <w:lang w:eastAsia="zh-CN"/>
              </w:rPr>
              <w:t>Brak danych do analizy efektywności kosztowej</w:t>
            </w:r>
          </w:p>
        </w:tc>
        <w:tc>
          <w:tcPr>
            <w:tcW w:w="22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CC76DC" w14:textId="77777777" w:rsidR="00DB49CB" w:rsidRDefault="00DB49CB">
            <w:pPr>
              <w:suppressAutoHyphens/>
              <w:jc w:val="center"/>
              <w:rPr>
                <w:rFonts w:cs="Calibri"/>
                <w:color w:val="000000"/>
                <w:sz w:val="20"/>
                <w:szCs w:val="20"/>
                <w:lang w:eastAsia="pl-PL"/>
              </w:rPr>
            </w:pPr>
            <w:r>
              <w:rPr>
                <w:color w:val="000000"/>
                <w:sz w:val="20"/>
                <w:szCs w:val="20"/>
              </w:rPr>
              <w:t>0</w:t>
            </w:r>
          </w:p>
        </w:tc>
        <w:tc>
          <w:tcPr>
            <w:tcW w:w="210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F8D287" w14:textId="7DCE3F49" w:rsidR="00DB49CB" w:rsidRDefault="00DB49CB">
            <w:pPr>
              <w:suppressAutoHyphens/>
              <w:jc w:val="center"/>
              <w:rPr>
                <w:rFonts w:cs="Calibri"/>
                <w:color w:val="000000"/>
                <w:sz w:val="20"/>
                <w:szCs w:val="20"/>
              </w:rPr>
            </w:pPr>
            <w:r>
              <w:rPr>
                <w:color w:val="000000"/>
                <w:sz w:val="20"/>
                <w:szCs w:val="20"/>
              </w:rPr>
              <w:t>0,00</w:t>
            </w:r>
          </w:p>
        </w:tc>
      </w:tr>
    </w:tbl>
    <w:p w14:paraId="7AF9511D" w14:textId="1D82F215" w:rsidR="00DB49CB" w:rsidRDefault="00DB49CB" w:rsidP="00DB49CB">
      <w:pPr>
        <w:suppressAutoHyphens/>
        <w:jc w:val="right"/>
        <w:rPr>
          <w:rFonts w:eastAsia="Times New Roman" w:cs="Calibri"/>
          <w:i/>
          <w:iCs/>
          <w:color w:val="003399"/>
          <w:sz w:val="20"/>
          <w:szCs w:val="20"/>
          <w:lang w:eastAsia="zh-CN"/>
        </w:rPr>
      </w:pPr>
      <w:r>
        <w:rPr>
          <w:rFonts w:cs="Calibri"/>
          <w:i/>
          <w:iCs/>
          <w:color w:val="003399"/>
          <w:sz w:val="20"/>
          <w:szCs w:val="20"/>
          <w:lang w:eastAsia="zh-CN"/>
        </w:rPr>
        <w:t xml:space="preserve">Źródło: </w:t>
      </w:r>
      <w:r w:rsidR="00E00754">
        <w:rPr>
          <w:rFonts w:cs="Calibri"/>
          <w:i/>
          <w:iCs/>
          <w:color w:val="003399"/>
          <w:sz w:val="20"/>
          <w:szCs w:val="20"/>
          <w:lang w:eastAsia="zh-CN"/>
        </w:rPr>
        <w:t>opracowanie własne</w:t>
      </w:r>
    </w:p>
    <w:p w14:paraId="22D48501" w14:textId="5C563BE7" w:rsidR="00DB49CB" w:rsidRPr="001E4D45" w:rsidRDefault="00DB49CB" w:rsidP="003F4A95">
      <w:r>
        <w:t>Analiza efektywności kosztowej w przypadku 51% działań dla wód powierzchniowych wykazała brak danych kosztowych do przeprowadzenia analizy efektywności kosztowej. W pozostałym zakresie 3</w:t>
      </w:r>
      <w:r w:rsidR="00735867">
        <w:t>1</w:t>
      </w:r>
      <w:r>
        <w:t>% działań wykazuje się średnią efektywnością kosztową, a 6% wskazuje na niską efektywność. W</w:t>
      </w:r>
      <w:r w:rsidR="00C4673D">
        <w:t> </w:t>
      </w:r>
      <w:r>
        <w:t>przypadku wód podziemnych 100% działań wykazuje się przeciętną efektywnością kosztową.</w:t>
      </w:r>
    </w:p>
    <w:p w14:paraId="1AF2F95B" w14:textId="77777777" w:rsidR="00BE0188" w:rsidRPr="002D5EED" w:rsidRDefault="00BE0188" w:rsidP="00B50FFD">
      <w:pPr>
        <w:pStyle w:val="Nagwek2"/>
      </w:pPr>
      <w:bookmarkStart w:id="351" w:name="_Toc68726889"/>
      <w:r w:rsidRPr="002D5EED">
        <w:t>Analiza ekonomiczna</w:t>
      </w:r>
      <w:bookmarkEnd w:id="347"/>
      <w:r w:rsidRPr="002D5EED">
        <w:t xml:space="preserve"> zestawu działań</w:t>
      </w:r>
      <w:bookmarkEnd w:id="351"/>
    </w:p>
    <w:p w14:paraId="7654C576" w14:textId="77777777" w:rsidR="00BE0188" w:rsidRPr="001E4D45" w:rsidRDefault="00BE0188" w:rsidP="00B50FFD">
      <w:pPr>
        <w:pStyle w:val="Nagwek3"/>
      </w:pPr>
      <w:bookmarkStart w:id="352" w:name="_Toc63632756"/>
      <w:bookmarkStart w:id="353" w:name="_Toc68726890"/>
      <w:r w:rsidRPr="001E4D45">
        <w:t>Ogólne podejście do analiz</w:t>
      </w:r>
      <w:bookmarkEnd w:id="352"/>
      <w:bookmarkEnd w:id="353"/>
    </w:p>
    <w:p w14:paraId="2D2842EB" w14:textId="40908921" w:rsidR="00BE0188" w:rsidRPr="001E4D45" w:rsidRDefault="00BE0188" w:rsidP="003C76C5">
      <w:r w:rsidRPr="001E4D45">
        <w:t xml:space="preserve">Analiza ekonomiczna pokazuje i ocenia wpływ </w:t>
      </w:r>
      <w:r>
        <w:t xml:space="preserve">zestawu działań </w:t>
      </w:r>
      <w:r w:rsidRPr="001E4D45">
        <w:t>na wzrost ekonomicznego dobrobytu środowiska</w:t>
      </w:r>
      <w:r>
        <w:t xml:space="preserve">. Wpływ ten określany jest poprzez wycenę </w:t>
      </w:r>
      <w:r w:rsidRPr="001E4D45">
        <w:t>efektów społecznych i ekonomicznych. W</w:t>
      </w:r>
      <w:r w:rsidR="00430805">
        <w:t> </w:t>
      </w:r>
      <w:r w:rsidRPr="001E4D45">
        <w:t>odróżnieniu od analizy finansowej</w:t>
      </w:r>
      <w:r>
        <w:t>,</w:t>
      </w:r>
      <w:r w:rsidRPr="001E4D45">
        <w:t xml:space="preserve"> rozpatrującej projekt z punktu widzenia właściciela, analiza ekonomiczna jest rozpatrywana z punktu widzenia interesów społeczności lokalnej i wpływu na otoczenie społeczno-gospodarcze. Ocena ekonomiczna może zostać przeprowadzona w oparciu o</w:t>
      </w:r>
      <w:r w:rsidR="00430805">
        <w:t> </w:t>
      </w:r>
      <w:r w:rsidRPr="001E4D45">
        <w:t xml:space="preserve">analizę kosztów i korzyści związanych z realizacją projektu. Nie mniej ważnym od wymiaru ekonomicznego jest wymiar społeczny, w tym przewidywane korzyści społeczne, jakie zostaną uzyskane w wyniku realizacji przyjętego zestawu działań. Analiza ekonomiczna </w:t>
      </w:r>
      <w:r>
        <w:t xml:space="preserve">powstała na podstawie </w:t>
      </w:r>
      <w:r w:rsidRPr="001E4D45">
        <w:t>przyjętych założe</w:t>
      </w:r>
      <w:r>
        <w:t>ń</w:t>
      </w:r>
      <w:r w:rsidRPr="001E4D45">
        <w:t xml:space="preserve"> szacunkowych dotyczących kosztów realizacji i utrzymania poszczególnych działań. W analizie ekonomicznej należy rozpatrywać wszystkie działania w dwojaki sposób:</w:t>
      </w:r>
    </w:p>
    <w:p w14:paraId="7C9BFF5E" w14:textId="7D16DD1D" w:rsidR="00BE0188" w:rsidRPr="001E4D45" w:rsidRDefault="00BE0188" w:rsidP="00AA3506">
      <w:pPr>
        <w:numPr>
          <w:ilvl w:val="0"/>
          <w:numId w:val="66"/>
        </w:numPr>
        <w:suppressAutoHyphens/>
        <w:ind w:left="567" w:hanging="567"/>
      </w:pPr>
      <w:r w:rsidRPr="001E4D45">
        <w:t xml:space="preserve">po pierwsze </w:t>
      </w:r>
      <w:r w:rsidR="006C4947">
        <w:t>-</w:t>
      </w:r>
      <w:r w:rsidRPr="001E4D45">
        <w:t xml:space="preserve"> w ujęciu nieco szerszym niż w analizie finansowej, uwzględniając korzyści oraz koszty związane z wdrożeniem zestawu działań, które pojawią się zarówno dla podmiotu odpowiedzialnego za wdrożenie danego działania, jak i u innych podmiotów, które nie są bezpośrednio zaangażowane w jego realizację (tzw. zewnętrzne otoczenie projektu)</w:t>
      </w:r>
      <w:r>
        <w:t>;</w:t>
      </w:r>
    </w:p>
    <w:p w14:paraId="07A0BCBA" w14:textId="7C04DF9D" w:rsidR="00BE0188" w:rsidRPr="001E4D45" w:rsidRDefault="00BE0188" w:rsidP="00AA3506">
      <w:pPr>
        <w:numPr>
          <w:ilvl w:val="0"/>
          <w:numId w:val="66"/>
        </w:numPr>
        <w:suppressAutoHyphens/>
        <w:ind w:left="567" w:hanging="567"/>
      </w:pPr>
      <w:r w:rsidRPr="001E4D45">
        <w:t xml:space="preserve">po drugie </w:t>
      </w:r>
      <w:r w:rsidR="006C4947">
        <w:t>-</w:t>
      </w:r>
      <w:r w:rsidRPr="001E4D45">
        <w:t xml:space="preserve"> można także rozważać efektywność wykorzystania posiadanych środków finansowych, m.in. rozpatrując aspekty związane z określeniem maksymalnych korzyści uzyskiwanych dzięki zaangażowaniu konkretnej wielkości środków pieniężnych bądź też </w:t>
      </w:r>
      <w:r>
        <w:t>z</w:t>
      </w:r>
      <w:r w:rsidR="00430805">
        <w:t> </w:t>
      </w:r>
      <w:r w:rsidRPr="001E4D45">
        <w:t>określaniem ich minimalnego zaangażowania celem uzyskania oczekiwanych korzyści.</w:t>
      </w:r>
    </w:p>
    <w:p w14:paraId="3C74DD8C" w14:textId="358B37DA" w:rsidR="00BE0188" w:rsidRPr="001E4D45" w:rsidRDefault="00BE0188" w:rsidP="003C76C5">
      <w:r w:rsidRPr="001E4D45">
        <w:t>Jak wskazują dotychczasowe analizy</w:t>
      </w:r>
      <w:r>
        <w:t>,</w:t>
      </w:r>
      <w:r w:rsidRPr="001E4D45">
        <w:t xml:space="preserve"> wdrożenie zestawu działań nie może być rozpatrywane jako przedsięwzięcie o charakterze komercyjnym, nastawione na korzyści finansowe z zaangażowanego kapitału. W rachunku powinny zostać uwzględnione możliwe do wiarygodnego oszacowania i</w:t>
      </w:r>
      <w:r w:rsidR="00430805">
        <w:t> </w:t>
      </w:r>
      <w:r w:rsidRPr="001E4D45">
        <w:t>wyrażenia w wartościach pieniężnych korzyści społeczne realizowane dzięki zestawowi.</w:t>
      </w:r>
    </w:p>
    <w:p w14:paraId="6A64239E" w14:textId="394EC0C6" w:rsidR="00BE0188" w:rsidRPr="001E4D45" w:rsidRDefault="00BE0188" w:rsidP="003C76C5">
      <w:r w:rsidRPr="001E4D45">
        <w:t xml:space="preserve">W celu oszacowania korzyści dla wód podziemnych i powierzchniowych został wykorzystany przede wszystkim wskaźnik bazujący na skłonności do ponoszenia wydatków celem osiągnięcia dobrego stanu wód </w:t>
      </w:r>
      <w:r w:rsidR="006C4947">
        <w:t>-</w:t>
      </w:r>
      <w:r w:rsidRPr="001E4D45">
        <w:t xml:space="preserve"> zastosowano wskaźnik WTP, który dla obszaru kraju został określony w wysokości 134,3 zł/os</w:t>
      </w:r>
      <w:r>
        <w:t>.</w:t>
      </w:r>
      <w:r w:rsidRPr="001E4D45">
        <w:t>/r</w:t>
      </w:r>
      <w:r>
        <w:t>.</w:t>
      </w:r>
      <w:r w:rsidRPr="001E4D45">
        <w:t xml:space="preserve"> (wartość oszacowana na 2017 r.). Następnie wartość ta została zaprognozowana w oparciu o</w:t>
      </w:r>
      <w:r w:rsidR="00430805">
        <w:t> </w:t>
      </w:r>
      <w:r w:rsidRPr="001E4D45">
        <w:t>przewidywany wzrost dochodu rozporządzalnego w kolejnych latach</w:t>
      </w:r>
      <w:r w:rsidRPr="001E4D45">
        <w:rPr>
          <w:rStyle w:val="Odwoanieprzypisudolnego"/>
          <w:rFonts w:cs="Lucida Grande"/>
        </w:rPr>
        <w:footnoteReference w:id="36"/>
      </w:r>
      <w:r w:rsidRPr="001E4D45">
        <w:t xml:space="preserve">. Roczne korzyści zostały obliczone jako iloczyn liczby ludności w </w:t>
      </w:r>
      <w:r w:rsidR="00215474">
        <w:t xml:space="preserve">obszarze </w:t>
      </w:r>
      <w:r w:rsidRPr="001E4D45">
        <w:t>dorzecz</w:t>
      </w:r>
      <w:r w:rsidR="00215474">
        <w:t>a</w:t>
      </w:r>
      <w:r w:rsidRPr="001E4D45">
        <w:t xml:space="preserve"> oraz wartości wskaźnika WTP w danym roku. </w:t>
      </w:r>
    </w:p>
    <w:p w14:paraId="1EB7437C" w14:textId="77777777" w:rsidR="00BE0188" w:rsidRPr="001E4D45" w:rsidRDefault="00BE0188" w:rsidP="003C76C5">
      <w:r w:rsidRPr="001E4D45">
        <w:t xml:space="preserve">Jako uzupełnienie analizy korzyści dla wód podziemnych przeprowadzono oszacowanie tzw. kosztów unikniętych w wyniku podjęcia proponowanych działań. Takie podejście jest uzasadnione z uwagi na fakt, że w odniesieniu do wód podziemnych większość działań ma charakter prewencyjny, a nie interwencyjny (naprawczy). Ochrona ilościowa i jakościowa wód podziemnych </w:t>
      </w:r>
      <w:r>
        <w:t xml:space="preserve">jest </w:t>
      </w:r>
      <w:r w:rsidRPr="001E4D45">
        <w:t>realizowana przede wszystkim poprzez wdrażanie działań ochronnych oraz monitorowanie stanu wód. Analiza została przeprowadzona oddzielnie dla presji chemicznej i ilościowej.</w:t>
      </w:r>
    </w:p>
    <w:p w14:paraId="77A4B2C7" w14:textId="2C99009C" w:rsidR="00BE0188" w:rsidRPr="00B06DD3" w:rsidRDefault="00BE0188" w:rsidP="003C76C5">
      <w:r w:rsidRPr="001E4D45">
        <w:t>Na potrzeby oszacowania unikniętych kosztów związanych z redukcją skutków spodziewanej presji na stan chemiczny jcwpd zostały uwzględnione prawdopodobne koszty remediacji, oszacowane oddzielnie dla presji związanej z przemysłem/urbanizacją i rolnictwem/gospodarką komunalną. Średni koszt remediacji (za km</w:t>
      </w:r>
      <w:r w:rsidRPr="001E4D45">
        <w:rPr>
          <w:vertAlign w:val="superscript"/>
        </w:rPr>
        <w:t>2</w:t>
      </w:r>
      <w:r w:rsidRPr="001E4D45">
        <w:t xml:space="preserve">) mnożony był przez obliczoną powierzchnię obszaru wymagającego remediacji </w:t>
      </w:r>
      <w:r w:rsidRPr="00B06DD3">
        <w:t>oraz wskaźnik istotności presji w danej jcwpd (Wip)</w:t>
      </w:r>
      <w:r w:rsidR="002237EA" w:rsidRPr="00B06DD3">
        <w:t xml:space="preserve"> </w:t>
      </w:r>
      <w:r w:rsidR="006C4947">
        <w:t>-</w:t>
      </w:r>
      <w:r w:rsidR="002237EA" w:rsidRPr="00B06DD3">
        <w:t xml:space="preserve"> tabela 11-</w:t>
      </w:r>
      <w:r w:rsidR="00E00754" w:rsidRPr="00B06DD3">
        <w:t>1</w:t>
      </w:r>
      <w:r w:rsidR="00E00754">
        <w:t>3</w:t>
      </w:r>
      <w:r w:rsidRPr="00B06DD3">
        <w:t>.</w:t>
      </w:r>
    </w:p>
    <w:p w14:paraId="046B681E" w14:textId="7365D37C" w:rsidR="00BE0188" w:rsidRPr="001E4D45" w:rsidRDefault="00BE0188" w:rsidP="006802BB">
      <w:pPr>
        <w:pStyle w:val="Tabela"/>
      </w:pPr>
      <w:bookmarkStart w:id="354" w:name="_Ref53035379"/>
      <w:bookmarkStart w:id="355" w:name="_Toc57291745"/>
      <w:bookmarkStart w:id="356" w:name="_Toc68727025"/>
      <w:r w:rsidRPr="001E4D45">
        <w:t xml:space="preserve">Tabela </w:t>
      </w:r>
      <w:fldSimple w:instr=" STYLEREF 1 \s ">
        <w:r w:rsidR="007B4050">
          <w:rPr>
            <w:noProof/>
          </w:rPr>
          <w:t>11</w:t>
        </w:r>
      </w:fldSimple>
      <w:r w:rsidR="007B4050">
        <w:noBreakHyphen/>
      </w:r>
      <w:fldSimple w:instr=" SEQ Tabela \* ARABIC \s 1 ">
        <w:r w:rsidR="007B4050">
          <w:rPr>
            <w:noProof/>
          </w:rPr>
          <w:t>13</w:t>
        </w:r>
      </w:fldSimple>
      <w:bookmarkEnd w:id="354"/>
      <w:r w:rsidR="004A1B76">
        <w:tab/>
      </w:r>
      <w:r w:rsidRPr="001E4D45">
        <w:t>Wskaźnik istotności presji na stan chemiczny jcwpd (Wip)</w:t>
      </w:r>
      <w:bookmarkEnd w:id="355"/>
      <w:bookmarkEnd w:id="356"/>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2838"/>
        <w:gridCol w:w="3136"/>
      </w:tblGrid>
      <w:tr w:rsidR="00BE0188" w:rsidRPr="001E4D45" w14:paraId="331999E5" w14:textId="77777777" w:rsidTr="00840CCD">
        <w:trPr>
          <w:trHeight w:val="877"/>
        </w:trPr>
        <w:tc>
          <w:tcPr>
            <w:tcW w:w="3131" w:type="dxa"/>
            <w:shd w:val="clear" w:color="auto" w:fill="D9D9D9"/>
            <w:vAlign w:val="center"/>
            <w:hideMark/>
          </w:tcPr>
          <w:p w14:paraId="27860910" w14:textId="77777777" w:rsidR="00BE0188" w:rsidRPr="001E4D45" w:rsidRDefault="00BE0188" w:rsidP="00840CCD">
            <w:pPr>
              <w:suppressAutoHyphens/>
              <w:jc w:val="center"/>
              <w:rPr>
                <w:rFonts w:cs="Calibri"/>
                <w:b/>
                <w:sz w:val="20"/>
                <w:szCs w:val="20"/>
              </w:rPr>
            </w:pPr>
            <w:r w:rsidRPr="001E4D45">
              <w:rPr>
                <w:rFonts w:cs="Calibri"/>
                <w:b/>
                <w:sz w:val="20"/>
                <w:szCs w:val="20"/>
              </w:rPr>
              <w:t>&lt;20% powierzchni jcwpd</w:t>
            </w:r>
          </w:p>
          <w:p w14:paraId="5C166D33" w14:textId="77777777" w:rsidR="00BE0188" w:rsidRPr="001E4D45" w:rsidRDefault="00BE0188" w:rsidP="00840CCD">
            <w:pPr>
              <w:suppressAutoHyphens/>
              <w:jc w:val="center"/>
              <w:rPr>
                <w:rFonts w:cs="Calibri"/>
                <w:b/>
                <w:sz w:val="20"/>
                <w:szCs w:val="20"/>
              </w:rPr>
            </w:pPr>
            <w:r w:rsidRPr="001E4D45">
              <w:rPr>
                <w:rFonts w:cs="Calibri"/>
                <w:b/>
                <w:sz w:val="20"/>
                <w:szCs w:val="20"/>
              </w:rPr>
              <w:t>(znikoma presja na stan chemiczny, zanieczyszczenie wód podziemnych w skali lokalnej)</w:t>
            </w:r>
          </w:p>
        </w:tc>
        <w:tc>
          <w:tcPr>
            <w:tcW w:w="2838" w:type="dxa"/>
            <w:shd w:val="clear" w:color="auto" w:fill="D9D9D9"/>
            <w:vAlign w:val="center"/>
            <w:hideMark/>
          </w:tcPr>
          <w:p w14:paraId="636814D1" w14:textId="77777777" w:rsidR="00BE0188" w:rsidRPr="001E4D45" w:rsidRDefault="00BE0188" w:rsidP="00840CCD">
            <w:pPr>
              <w:suppressAutoHyphens/>
              <w:jc w:val="center"/>
              <w:rPr>
                <w:rFonts w:cs="Calibri"/>
                <w:b/>
                <w:sz w:val="20"/>
                <w:szCs w:val="20"/>
              </w:rPr>
            </w:pPr>
            <w:r w:rsidRPr="001E4D45">
              <w:rPr>
                <w:rFonts w:cs="Calibri"/>
                <w:b/>
                <w:sz w:val="20"/>
                <w:szCs w:val="20"/>
              </w:rPr>
              <w:t>20-80% powierzchni jcwpd</w:t>
            </w:r>
          </w:p>
          <w:p w14:paraId="2AF38738" w14:textId="77777777" w:rsidR="00BE0188" w:rsidRPr="001E4D45" w:rsidRDefault="00BE0188" w:rsidP="00840CCD">
            <w:pPr>
              <w:suppressAutoHyphens/>
              <w:jc w:val="center"/>
              <w:rPr>
                <w:rFonts w:cs="Calibri"/>
                <w:b/>
                <w:sz w:val="20"/>
                <w:szCs w:val="20"/>
              </w:rPr>
            </w:pPr>
            <w:r w:rsidRPr="001E4D45">
              <w:rPr>
                <w:rFonts w:cs="Calibri"/>
                <w:b/>
                <w:sz w:val="20"/>
                <w:szCs w:val="20"/>
              </w:rPr>
              <w:t>(istotna presja na stan chemiczny)</w:t>
            </w:r>
          </w:p>
        </w:tc>
        <w:tc>
          <w:tcPr>
            <w:tcW w:w="3136" w:type="dxa"/>
            <w:shd w:val="clear" w:color="auto" w:fill="D9D9D9"/>
            <w:vAlign w:val="center"/>
            <w:hideMark/>
          </w:tcPr>
          <w:p w14:paraId="5B973B65" w14:textId="77777777" w:rsidR="00BE0188" w:rsidRPr="001E4D45" w:rsidRDefault="00BE0188" w:rsidP="00840CCD">
            <w:pPr>
              <w:suppressAutoHyphens/>
              <w:jc w:val="center"/>
              <w:rPr>
                <w:rFonts w:cs="Calibri"/>
                <w:b/>
                <w:sz w:val="20"/>
                <w:szCs w:val="20"/>
              </w:rPr>
            </w:pPr>
            <w:r w:rsidRPr="001E4D45">
              <w:rPr>
                <w:rFonts w:cs="Calibri"/>
                <w:b/>
                <w:sz w:val="20"/>
                <w:szCs w:val="20"/>
              </w:rPr>
              <w:t>&gt;80% powierzchni jcwpd</w:t>
            </w:r>
          </w:p>
          <w:p w14:paraId="53CE798B" w14:textId="77777777" w:rsidR="00BE0188" w:rsidRPr="001E4D45" w:rsidRDefault="00BE0188" w:rsidP="00840CCD">
            <w:pPr>
              <w:suppressAutoHyphens/>
              <w:jc w:val="center"/>
              <w:rPr>
                <w:rFonts w:cs="Calibri"/>
                <w:b/>
                <w:sz w:val="20"/>
                <w:szCs w:val="20"/>
              </w:rPr>
            </w:pPr>
            <w:r w:rsidRPr="001E4D45">
              <w:rPr>
                <w:rFonts w:cs="Calibri"/>
                <w:b/>
                <w:sz w:val="20"/>
                <w:szCs w:val="20"/>
              </w:rPr>
              <w:t>(silna presja na stan chemiczny, regionalne zanieczyszczenie wód podziemnych)</w:t>
            </w:r>
          </w:p>
        </w:tc>
      </w:tr>
      <w:tr w:rsidR="00BE0188" w:rsidRPr="001E4D45" w14:paraId="0B93214A" w14:textId="77777777" w:rsidTr="00840CCD">
        <w:trPr>
          <w:trHeight w:val="310"/>
        </w:trPr>
        <w:tc>
          <w:tcPr>
            <w:tcW w:w="3131" w:type="dxa"/>
            <w:shd w:val="clear" w:color="auto" w:fill="auto"/>
            <w:vAlign w:val="center"/>
            <w:hideMark/>
          </w:tcPr>
          <w:p w14:paraId="7831BC35" w14:textId="77777777" w:rsidR="00BE0188" w:rsidRPr="001E4D45" w:rsidRDefault="00BE0188" w:rsidP="00840CCD">
            <w:pPr>
              <w:suppressAutoHyphens/>
              <w:jc w:val="center"/>
              <w:rPr>
                <w:rFonts w:cs="Calibri"/>
                <w:sz w:val="20"/>
                <w:szCs w:val="20"/>
              </w:rPr>
            </w:pPr>
            <w:r w:rsidRPr="001E4D45">
              <w:rPr>
                <w:rFonts w:cs="Calibri"/>
                <w:sz w:val="20"/>
                <w:szCs w:val="20"/>
              </w:rPr>
              <w:t>1</w:t>
            </w:r>
          </w:p>
        </w:tc>
        <w:tc>
          <w:tcPr>
            <w:tcW w:w="2838" w:type="dxa"/>
            <w:shd w:val="clear" w:color="auto" w:fill="auto"/>
            <w:vAlign w:val="center"/>
            <w:hideMark/>
          </w:tcPr>
          <w:p w14:paraId="270E2B2D" w14:textId="77777777" w:rsidR="00BE0188" w:rsidRPr="001E4D45" w:rsidRDefault="00BE0188" w:rsidP="00840CCD">
            <w:pPr>
              <w:suppressAutoHyphens/>
              <w:jc w:val="center"/>
              <w:rPr>
                <w:rFonts w:cs="Calibri"/>
                <w:sz w:val="20"/>
                <w:szCs w:val="20"/>
              </w:rPr>
            </w:pPr>
            <w:r w:rsidRPr="001E4D45">
              <w:rPr>
                <w:rFonts w:cs="Calibri"/>
                <w:sz w:val="20"/>
                <w:szCs w:val="20"/>
              </w:rPr>
              <w:t>2</w:t>
            </w:r>
          </w:p>
        </w:tc>
        <w:tc>
          <w:tcPr>
            <w:tcW w:w="3136" w:type="dxa"/>
            <w:shd w:val="clear" w:color="auto" w:fill="auto"/>
            <w:vAlign w:val="center"/>
            <w:hideMark/>
          </w:tcPr>
          <w:p w14:paraId="659B22CE" w14:textId="77777777" w:rsidR="00BE0188" w:rsidRPr="001E4D45" w:rsidRDefault="00BE0188" w:rsidP="00840CCD">
            <w:pPr>
              <w:suppressAutoHyphens/>
              <w:jc w:val="center"/>
              <w:rPr>
                <w:rFonts w:cs="Calibri"/>
                <w:sz w:val="20"/>
                <w:szCs w:val="20"/>
              </w:rPr>
            </w:pPr>
            <w:r w:rsidRPr="001E4D45">
              <w:rPr>
                <w:rFonts w:cs="Calibri"/>
                <w:sz w:val="20"/>
                <w:szCs w:val="20"/>
              </w:rPr>
              <w:t>3</w:t>
            </w:r>
          </w:p>
        </w:tc>
      </w:tr>
    </w:tbl>
    <w:p w14:paraId="066F8188" w14:textId="77777777" w:rsidR="00231528" w:rsidRPr="001E4D45" w:rsidRDefault="00231528" w:rsidP="00231528">
      <w:pPr>
        <w:pStyle w:val="rdo0"/>
      </w:pPr>
      <w:r w:rsidRPr="001E4D45">
        <w:rPr>
          <w:lang w:eastAsia="zh-CN"/>
        </w:rPr>
        <w:t xml:space="preserve">Źródło: opracowanie </w:t>
      </w:r>
      <w:r>
        <w:rPr>
          <w:lang w:eastAsia="zh-CN"/>
        </w:rPr>
        <w:t>własne</w:t>
      </w:r>
    </w:p>
    <w:p w14:paraId="50CD9862" w14:textId="2E80A303" w:rsidR="00BE0188" w:rsidRPr="001E4D45" w:rsidRDefault="00BE0188" w:rsidP="003C76C5">
      <w:r w:rsidRPr="001E4D45">
        <w:t>W odniesieniu do presji na stan ilościowy jcwpd zastosowano wskaźnik prawdopodobieństwa występowania deficytu wody na cele zaopatrzenia ludności w wodę (Wpd)</w:t>
      </w:r>
      <w:r w:rsidR="002237EA">
        <w:t xml:space="preserve"> zgodnie z tabelą 11-1</w:t>
      </w:r>
      <w:r w:rsidR="00E00754">
        <w:t>4</w:t>
      </w:r>
      <w:r w:rsidRPr="001E4D45">
        <w:t>. Wskaźnik ten został przemnożony przez średni koszt budowy nowego ujęcia oraz szacowaną liczbę nowych ujęć potrzebnych w danej jcwpd w celu redukcji presji ilościowej (zaspokojenie potrzeb wodnych).</w:t>
      </w:r>
    </w:p>
    <w:p w14:paraId="7A5BD884" w14:textId="37357C8D" w:rsidR="00BE0188" w:rsidRPr="001E4D45" w:rsidRDefault="00BE0188" w:rsidP="003C76C5">
      <w:r w:rsidRPr="001E4D45">
        <w:t>Suma uzyskanych kosztów związanych z neutralizacją prawdopodobnych skutków presji zaistniałych w</w:t>
      </w:r>
      <w:r w:rsidR="00C4673D">
        <w:t> </w:t>
      </w:r>
      <w:r w:rsidRPr="001E4D45">
        <w:t>przypadku braku wdrożenia działań stanowi tzw. uniknięte koszty</w:t>
      </w:r>
      <w:r>
        <w:t>,</w:t>
      </w:r>
      <w:r w:rsidRPr="001E4D45">
        <w:t xml:space="preserve"> jeżeli działania zostaną wdrożone.</w:t>
      </w:r>
      <w:bookmarkStart w:id="357" w:name="_Ref53035409"/>
    </w:p>
    <w:p w14:paraId="308E35E4" w14:textId="5B7E7F1F" w:rsidR="00BE0188" w:rsidRPr="001E4D45" w:rsidRDefault="00BE0188" w:rsidP="006802BB">
      <w:pPr>
        <w:pStyle w:val="Tabela"/>
      </w:pPr>
      <w:bookmarkStart w:id="358" w:name="_Toc57291746"/>
      <w:bookmarkStart w:id="359" w:name="_Toc68727026"/>
      <w:r w:rsidRPr="001E4D45">
        <w:t xml:space="preserve">Tabela </w:t>
      </w:r>
      <w:fldSimple w:instr=" STYLEREF 1 \s ">
        <w:r w:rsidR="007B4050">
          <w:rPr>
            <w:noProof/>
          </w:rPr>
          <w:t>11</w:t>
        </w:r>
      </w:fldSimple>
      <w:r w:rsidR="007B4050">
        <w:noBreakHyphen/>
      </w:r>
      <w:fldSimple w:instr=" SEQ Tabela \* ARABIC \s 1 ">
        <w:r w:rsidR="007B4050">
          <w:rPr>
            <w:noProof/>
          </w:rPr>
          <w:t>14</w:t>
        </w:r>
      </w:fldSimple>
      <w:bookmarkEnd w:id="357"/>
      <w:r w:rsidR="004A1B76">
        <w:tab/>
      </w:r>
      <w:r w:rsidRPr="001E4D45">
        <w:t>Wskaźnik prawdopodobieństwa występowania deficytu wody na cele zaopatrzenia ludności w</w:t>
      </w:r>
      <w:r w:rsidR="00C4673D">
        <w:t> </w:t>
      </w:r>
      <w:r w:rsidRPr="001E4D45">
        <w:t>wodę (Wpd)</w:t>
      </w:r>
      <w:bookmarkEnd w:id="358"/>
      <w:bookmarkEnd w:id="359"/>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058"/>
        <w:gridCol w:w="3059"/>
      </w:tblGrid>
      <w:tr w:rsidR="00BE0188" w:rsidRPr="001E4D45" w14:paraId="65517CCD" w14:textId="77777777" w:rsidTr="00840CCD">
        <w:trPr>
          <w:trHeight w:val="1635"/>
        </w:trPr>
        <w:tc>
          <w:tcPr>
            <w:tcW w:w="3058" w:type="dxa"/>
            <w:shd w:val="clear" w:color="auto" w:fill="D9D9D9"/>
            <w:vAlign w:val="center"/>
            <w:hideMark/>
          </w:tcPr>
          <w:p w14:paraId="5AB64212" w14:textId="77777777" w:rsidR="00BE0188" w:rsidRPr="001E4D45" w:rsidRDefault="00BE0188" w:rsidP="00840CCD">
            <w:pPr>
              <w:suppressAutoHyphens/>
              <w:jc w:val="center"/>
              <w:rPr>
                <w:rFonts w:cs="Calibri"/>
                <w:b/>
                <w:sz w:val="20"/>
                <w:szCs w:val="20"/>
              </w:rPr>
            </w:pPr>
            <w:r w:rsidRPr="001E4D45">
              <w:rPr>
                <w:rFonts w:cs="Calibri"/>
                <w:b/>
                <w:sz w:val="20"/>
                <w:szCs w:val="20"/>
              </w:rPr>
              <w:t>&lt;50% wykorzystania zasobów wód podziemnych w jcwpd</w:t>
            </w:r>
          </w:p>
          <w:p w14:paraId="1D118901" w14:textId="77777777" w:rsidR="00BE0188" w:rsidRPr="001E4D45" w:rsidRDefault="00BE0188" w:rsidP="00840CCD">
            <w:pPr>
              <w:suppressAutoHyphens/>
              <w:jc w:val="center"/>
              <w:rPr>
                <w:rFonts w:cs="Calibri"/>
                <w:b/>
                <w:sz w:val="20"/>
                <w:szCs w:val="20"/>
              </w:rPr>
            </w:pPr>
            <w:r w:rsidRPr="001E4D45">
              <w:rPr>
                <w:rFonts w:cs="Calibri"/>
                <w:b/>
                <w:sz w:val="20"/>
                <w:szCs w:val="20"/>
              </w:rPr>
              <w:t>(brak presji ilościowej, niskie prawdopodobieństwo deficytu wody, możliwe lokalne niedobory)</w:t>
            </w:r>
          </w:p>
        </w:tc>
        <w:tc>
          <w:tcPr>
            <w:tcW w:w="3058" w:type="dxa"/>
            <w:shd w:val="clear" w:color="auto" w:fill="D9D9D9"/>
            <w:vAlign w:val="center"/>
            <w:hideMark/>
          </w:tcPr>
          <w:p w14:paraId="44C1A462" w14:textId="77777777" w:rsidR="00BE0188" w:rsidRPr="001E4D45" w:rsidRDefault="00BE0188" w:rsidP="00840CCD">
            <w:pPr>
              <w:suppressAutoHyphens/>
              <w:jc w:val="center"/>
              <w:rPr>
                <w:rFonts w:cs="Calibri"/>
                <w:b/>
                <w:sz w:val="20"/>
                <w:szCs w:val="20"/>
              </w:rPr>
            </w:pPr>
            <w:r w:rsidRPr="001E4D45">
              <w:rPr>
                <w:rFonts w:cs="Calibri"/>
                <w:b/>
                <w:sz w:val="20"/>
                <w:szCs w:val="20"/>
              </w:rPr>
              <w:t>50-90% wykorzystania zasobów wód podziemnych w jcwpd (umiarkowana presja ilościowa, średnie prawdopodobieństwo deficytu wody)</w:t>
            </w:r>
          </w:p>
        </w:tc>
        <w:tc>
          <w:tcPr>
            <w:tcW w:w="3059" w:type="dxa"/>
            <w:shd w:val="clear" w:color="auto" w:fill="D9D9D9"/>
            <w:vAlign w:val="center"/>
            <w:hideMark/>
          </w:tcPr>
          <w:p w14:paraId="53CC2635" w14:textId="77777777" w:rsidR="00BE0188" w:rsidRPr="001E4D45" w:rsidRDefault="00BE0188" w:rsidP="00840CCD">
            <w:pPr>
              <w:suppressAutoHyphens/>
              <w:jc w:val="center"/>
              <w:rPr>
                <w:rFonts w:cs="Calibri"/>
                <w:b/>
                <w:sz w:val="20"/>
                <w:szCs w:val="20"/>
              </w:rPr>
            </w:pPr>
            <w:r w:rsidRPr="001E4D45">
              <w:rPr>
                <w:rFonts w:cs="Calibri"/>
                <w:b/>
                <w:sz w:val="20"/>
                <w:szCs w:val="20"/>
              </w:rPr>
              <w:t>&gt;90% wykorzystania zasobów wód podziemnych w jcwpd</w:t>
            </w:r>
          </w:p>
          <w:p w14:paraId="59E29A97" w14:textId="77777777" w:rsidR="00BE0188" w:rsidRPr="001E4D45" w:rsidRDefault="00BE0188" w:rsidP="00840CCD">
            <w:pPr>
              <w:suppressAutoHyphens/>
              <w:jc w:val="center"/>
              <w:rPr>
                <w:rFonts w:cs="Calibri"/>
                <w:b/>
                <w:sz w:val="20"/>
                <w:szCs w:val="20"/>
              </w:rPr>
            </w:pPr>
            <w:r w:rsidRPr="001E4D45">
              <w:rPr>
                <w:rFonts w:cs="Calibri"/>
                <w:b/>
                <w:sz w:val="20"/>
                <w:szCs w:val="20"/>
              </w:rPr>
              <w:t>(silna presja ilościowa, wysokie prawdopodobieństwo deficytu wody)</w:t>
            </w:r>
          </w:p>
        </w:tc>
      </w:tr>
      <w:tr w:rsidR="00BE0188" w:rsidRPr="001E4D45" w14:paraId="4ADEA15B" w14:textId="77777777" w:rsidTr="00840CCD">
        <w:trPr>
          <w:trHeight w:val="332"/>
        </w:trPr>
        <w:tc>
          <w:tcPr>
            <w:tcW w:w="3058" w:type="dxa"/>
            <w:shd w:val="clear" w:color="auto" w:fill="auto"/>
            <w:vAlign w:val="center"/>
            <w:hideMark/>
          </w:tcPr>
          <w:p w14:paraId="022DBE89" w14:textId="77777777" w:rsidR="00BE0188" w:rsidRPr="001E4D45" w:rsidRDefault="00BE0188" w:rsidP="00840CCD">
            <w:pPr>
              <w:suppressAutoHyphens/>
              <w:jc w:val="center"/>
              <w:rPr>
                <w:rFonts w:cs="Calibri"/>
                <w:sz w:val="20"/>
                <w:szCs w:val="20"/>
              </w:rPr>
            </w:pPr>
            <w:r w:rsidRPr="001E4D45">
              <w:rPr>
                <w:rFonts w:cs="Calibri"/>
                <w:sz w:val="20"/>
                <w:szCs w:val="20"/>
              </w:rPr>
              <w:t>1</w:t>
            </w:r>
          </w:p>
        </w:tc>
        <w:tc>
          <w:tcPr>
            <w:tcW w:w="3058" w:type="dxa"/>
            <w:shd w:val="clear" w:color="auto" w:fill="auto"/>
            <w:vAlign w:val="center"/>
            <w:hideMark/>
          </w:tcPr>
          <w:p w14:paraId="2FF33D20" w14:textId="77777777" w:rsidR="00BE0188" w:rsidRPr="001E4D45" w:rsidRDefault="00BE0188" w:rsidP="00840CCD">
            <w:pPr>
              <w:suppressAutoHyphens/>
              <w:jc w:val="center"/>
              <w:rPr>
                <w:rFonts w:cs="Calibri"/>
                <w:sz w:val="20"/>
                <w:szCs w:val="20"/>
              </w:rPr>
            </w:pPr>
            <w:r w:rsidRPr="001E4D45">
              <w:rPr>
                <w:rFonts w:cs="Calibri"/>
                <w:sz w:val="20"/>
                <w:szCs w:val="20"/>
              </w:rPr>
              <w:t>2</w:t>
            </w:r>
          </w:p>
        </w:tc>
        <w:tc>
          <w:tcPr>
            <w:tcW w:w="3059" w:type="dxa"/>
            <w:shd w:val="clear" w:color="auto" w:fill="auto"/>
            <w:vAlign w:val="center"/>
            <w:hideMark/>
          </w:tcPr>
          <w:p w14:paraId="217CC6AD" w14:textId="77777777" w:rsidR="00BE0188" w:rsidRPr="001E4D45" w:rsidRDefault="00BE0188" w:rsidP="00840CCD">
            <w:pPr>
              <w:suppressAutoHyphens/>
              <w:jc w:val="center"/>
              <w:rPr>
                <w:rFonts w:cs="Calibri"/>
                <w:sz w:val="20"/>
                <w:szCs w:val="20"/>
              </w:rPr>
            </w:pPr>
            <w:r w:rsidRPr="001E4D45">
              <w:rPr>
                <w:rFonts w:cs="Calibri"/>
                <w:sz w:val="20"/>
                <w:szCs w:val="20"/>
              </w:rPr>
              <w:t>3</w:t>
            </w:r>
          </w:p>
        </w:tc>
      </w:tr>
    </w:tbl>
    <w:p w14:paraId="005B611A" w14:textId="77777777" w:rsidR="00231528" w:rsidRPr="001E4D45" w:rsidRDefault="00231528" w:rsidP="00231528">
      <w:pPr>
        <w:pStyle w:val="rdo0"/>
      </w:pPr>
      <w:bookmarkStart w:id="360" w:name="_Hlk66921326"/>
      <w:r w:rsidRPr="001E4D45">
        <w:rPr>
          <w:lang w:eastAsia="zh-CN"/>
        </w:rPr>
        <w:t xml:space="preserve">Źródło: opracowanie </w:t>
      </w:r>
      <w:r>
        <w:rPr>
          <w:lang w:eastAsia="zh-CN"/>
        </w:rPr>
        <w:t>własne</w:t>
      </w:r>
    </w:p>
    <w:bookmarkEnd w:id="360"/>
    <w:p w14:paraId="266FA346" w14:textId="77777777" w:rsidR="00BE0188" w:rsidRPr="001E4D45" w:rsidRDefault="00BE0188" w:rsidP="003C76C5">
      <w:r w:rsidRPr="001E4D45">
        <w:t>Analiza ekonomiczna została przeprowadzona przy przyjęciu następujących założeń:</w:t>
      </w:r>
    </w:p>
    <w:p w14:paraId="23D76EBA" w14:textId="77777777" w:rsidR="00BE0188" w:rsidRPr="001E4D45" w:rsidRDefault="00BE0188" w:rsidP="00FA42AE">
      <w:pPr>
        <w:pStyle w:val="Akapitzlist"/>
      </w:pPr>
      <w:r w:rsidRPr="001E4D45">
        <w:t>okres analizy wynosi 15 lat</w:t>
      </w:r>
      <w:r>
        <w:t>,</w:t>
      </w:r>
      <w:r w:rsidRPr="001E4D45">
        <w:t xml:space="preserve"> licząc od 2028 r.,</w:t>
      </w:r>
    </w:p>
    <w:p w14:paraId="1ABF9530" w14:textId="77777777" w:rsidR="00BE0188" w:rsidRPr="001E4D45" w:rsidRDefault="00BE0188" w:rsidP="00FA42AE">
      <w:pPr>
        <w:pStyle w:val="Akapitzlist"/>
      </w:pPr>
      <w:r w:rsidRPr="001E4D45">
        <w:t>wszelkie obliczenia zostały wykonywane w cenach netto (bez uwzględnienia podatku VAT) oraz w cenach stałych (bez uwzględnienia inflacji),</w:t>
      </w:r>
    </w:p>
    <w:p w14:paraId="42CB0E15" w14:textId="77777777" w:rsidR="00BE0188" w:rsidRPr="001E4D45" w:rsidRDefault="00BE0188" w:rsidP="00FA42AE">
      <w:pPr>
        <w:pStyle w:val="Akapitzlist"/>
      </w:pPr>
      <w:r w:rsidRPr="001E4D45">
        <w:t>przyjęto stopę dyskonta wynoszącą 5%,</w:t>
      </w:r>
    </w:p>
    <w:p w14:paraId="02E80596" w14:textId="4F03FC69" w:rsidR="00BE0188" w:rsidRPr="001E4D45" w:rsidRDefault="00BE0188" w:rsidP="00FA42AE">
      <w:pPr>
        <w:pStyle w:val="Akapitzlist"/>
      </w:pPr>
      <w:r>
        <w:t xml:space="preserve">zastosowano </w:t>
      </w:r>
      <w:r w:rsidRPr="001E4D45">
        <w:t>metod</w:t>
      </w:r>
      <w:r>
        <w:t>ę</w:t>
      </w:r>
      <w:r w:rsidRPr="001E4D45">
        <w:t xml:space="preserve"> kasow</w:t>
      </w:r>
      <w:r>
        <w:t>ą</w:t>
      </w:r>
      <w:r w:rsidRPr="001E4D45">
        <w:t xml:space="preserve"> analizy </w:t>
      </w:r>
      <w:r w:rsidR="006C4947">
        <w:t>-</w:t>
      </w:r>
      <w:r w:rsidRPr="001E4D45">
        <w:t xml:space="preserve"> pozycje, które nie mają charakteru przepływu (np.</w:t>
      </w:r>
      <w:r w:rsidR="00C4673D">
        <w:t> </w:t>
      </w:r>
      <w:r w:rsidRPr="001E4D45">
        <w:t>amortyzacja)</w:t>
      </w:r>
      <w:r>
        <w:t>,</w:t>
      </w:r>
      <w:r w:rsidRPr="001E4D45">
        <w:t xml:space="preserve"> nie były brane pod uwagę przy obliczaniu wskaźników efektywności ekonomicznej.</w:t>
      </w:r>
    </w:p>
    <w:p w14:paraId="001F4F47" w14:textId="331EA3DD" w:rsidR="00BE0188" w:rsidRPr="004A7374" w:rsidRDefault="00BE0188" w:rsidP="00B50FFD">
      <w:pPr>
        <w:pStyle w:val="Nagwek3"/>
      </w:pPr>
      <w:bookmarkStart w:id="361" w:name="_Toc63632757"/>
      <w:bookmarkStart w:id="362" w:name="_Toc68726891"/>
      <w:r w:rsidRPr="004A7374">
        <w:t xml:space="preserve">Wyniki analiz ekonomicznych </w:t>
      </w:r>
      <w:r w:rsidR="006C4947">
        <w:t>-</w:t>
      </w:r>
      <w:r w:rsidRPr="004A7374">
        <w:t xml:space="preserve"> ocena ilościowa</w:t>
      </w:r>
      <w:bookmarkEnd w:id="361"/>
      <w:bookmarkEnd w:id="362"/>
    </w:p>
    <w:p w14:paraId="4C3112F6" w14:textId="08525698" w:rsidR="00BE0188" w:rsidRDefault="00BE0188" w:rsidP="003C76C5">
      <w:r w:rsidRPr="00995BA5">
        <w:t xml:space="preserve">Analizując zestaw działań dla dorzecza, uzyskano dodatnią </w:t>
      </w:r>
      <w:r w:rsidRPr="00145067">
        <w:t xml:space="preserve">wartość </w:t>
      </w:r>
      <w:r w:rsidR="00E00754">
        <w:t>ekonomicznej stopy zwrotu z</w:t>
      </w:r>
      <w:r w:rsidR="00C4673D">
        <w:t> </w:t>
      </w:r>
      <w:r w:rsidR="00E00754">
        <w:t>inwestycji (</w:t>
      </w:r>
      <w:r w:rsidRPr="00145067">
        <w:t>ENPV</w:t>
      </w:r>
      <w:r w:rsidR="002237EA">
        <w:t xml:space="preserve">) </w:t>
      </w:r>
      <w:r w:rsidRPr="00995BA5">
        <w:t xml:space="preserve">wynoszącą </w:t>
      </w:r>
      <w:r w:rsidR="00E00754">
        <w:t>279</w:t>
      </w:r>
      <w:r w:rsidRPr="00995BA5">
        <w:t xml:space="preserve"> mln zł, świadczącą o tym, że inwestycja generuje korzyści społeczno-ekonomiczne prowadzące do wzrostu dobrobytu społeczeństwa. Z ekonomicznego punktu widzenia realizacja zestawu działań pomimo konieczności poniesienia dużych nakładów inwestycyjnych przyczyni się do wystąpienia znacznych korzyści społeczno-ekonomicznych, przewyższających ponoszone koszty, a wynikających przede wszystkim z poprawy jakości wód powierzchniowych i podziemnych.</w:t>
      </w:r>
      <w:r w:rsidRPr="001E4D45">
        <w:t xml:space="preserve"> </w:t>
      </w:r>
      <w:r w:rsidR="00E00754">
        <w:t>Podsumowanie wyników analizy ekonomicznej zaprezentowano w</w:t>
      </w:r>
      <w:r w:rsidR="00C4673D">
        <w:t> </w:t>
      </w:r>
      <w:r w:rsidR="00E00754">
        <w:t>poniższej tabeli</w:t>
      </w:r>
      <w:r w:rsidR="00C4673D">
        <w:t>.</w:t>
      </w:r>
    </w:p>
    <w:p w14:paraId="11B13BBE" w14:textId="2C588C08" w:rsidR="00BE0188" w:rsidRPr="001E4D45" w:rsidRDefault="00BE0188" w:rsidP="006802BB">
      <w:pPr>
        <w:pStyle w:val="Tabela"/>
      </w:pPr>
      <w:bookmarkStart w:id="363" w:name="_Toc68727027"/>
      <w:r w:rsidRPr="001E4D45">
        <w:t xml:space="preserve">Tabela </w:t>
      </w:r>
      <w:fldSimple w:instr=" STYLEREF 1 \s ">
        <w:r w:rsidR="007B4050">
          <w:rPr>
            <w:noProof/>
          </w:rPr>
          <w:t>11</w:t>
        </w:r>
      </w:fldSimple>
      <w:r w:rsidR="007B4050">
        <w:noBreakHyphen/>
      </w:r>
      <w:fldSimple w:instr=" SEQ Tabela \* ARABIC \s 1 ">
        <w:r w:rsidR="007B4050">
          <w:rPr>
            <w:noProof/>
          </w:rPr>
          <w:t>15</w:t>
        </w:r>
      </w:fldSimple>
      <w:r w:rsidR="004A1B76">
        <w:tab/>
      </w:r>
      <w:r w:rsidRPr="001E4D45">
        <w:t xml:space="preserve">Analiza ekonomiczna </w:t>
      </w:r>
      <w:r w:rsidR="006C4947">
        <w:t>-</w:t>
      </w:r>
      <w:r w:rsidRPr="001E4D45">
        <w:t xml:space="preserve"> wskaźniki</w:t>
      </w:r>
      <w:bookmarkEnd w:id="363"/>
    </w:p>
    <w:tbl>
      <w:tblPr>
        <w:tblW w:w="901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45"/>
        <w:gridCol w:w="1372"/>
        <w:gridCol w:w="2398"/>
      </w:tblGrid>
      <w:tr w:rsidR="00BE0188" w:rsidRPr="001E4D45" w14:paraId="31C59AF7" w14:textId="77777777" w:rsidTr="00840CCD">
        <w:trPr>
          <w:trHeight w:val="289"/>
        </w:trPr>
        <w:tc>
          <w:tcPr>
            <w:tcW w:w="5245" w:type="dxa"/>
            <w:shd w:val="clear" w:color="auto" w:fill="E6E6E6"/>
            <w:noWrap/>
            <w:vAlign w:val="bottom"/>
          </w:tcPr>
          <w:p w14:paraId="574D97C0" w14:textId="77777777" w:rsidR="00BE0188" w:rsidRPr="001E4D45" w:rsidRDefault="00BE0188" w:rsidP="00430805">
            <w:pPr>
              <w:suppressAutoHyphens/>
              <w:jc w:val="center"/>
              <w:rPr>
                <w:rFonts w:cs="Calibri"/>
                <w:b/>
                <w:bCs/>
                <w:sz w:val="20"/>
                <w:szCs w:val="20"/>
              </w:rPr>
            </w:pPr>
            <w:r w:rsidRPr="001E4D45">
              <w:rPr>
                <w:rFonts w:cs="Calibri"/>
                <w:b/>
                <w:bCs/>
                <w:sz w:val="20"/>
                <w:szCs w:val="20"/>
              </w:rPr>
              <w:t>Stopa dyskonta</w:t>
            </w:r>
          </w:p>
        </w:tc>
        <w:tc>
          <w:tcPr>
            <w:tcW w:w="1372" w:type="dxa"/>
            <w:noWrap/>
            <w:vAlign w:val="bottom"/>
          </w:tcPr>
          <w:p w14:paraId="56C395A3" w14:textId="5182ACF0" w:rsidR="00BE0188" w:rsidRPr="001E4D45" w:rsidRDefault="00FA42AE" w:rsidP="00840CCD">
            <w:pPr>
              <w:suppressAutoHyphens/>
              <w:jc w:val="center"/>
              <w:rPr>
                <w:rFonts w:cs="Calibri"/>
                <w:sz w:val="20"/>
                <w:szCs w:val="20"/>
              </w:rPr>
            </w:pPr>
            <w:r>
              <w:rPr>
                <w:rFonts w:cs="Calibri"/>
                <w:sz w:val="20"/>
                <w:szCs w:val="20"/>
              </w:rPr>
              <w:t>(</w:t>
            </w:r>
            <w:r w:rsidR="00BE0188" w:rsidRPr="001E4D45">
              <w:rPr>
                <w:rFonts w:cs="Calibri"/>
                <w:sz w:val="20"/>
                <w:szCs w:val="20"/>
              </w:rPr>
              <w:t>%</w:t>
            </w:r>
            <w:r>
              <w:rPr>
                <w:rFonts w:cs="Calibri"/>
                <w:sz w:val="20"/>
                <w:szCs w:val="20"/>
              </w:rPr>
              <w:t>)</w:t>
            </w:r>
          </w:p>
        </w:tc>
        <w:tc>
          <w:tcPr>
            <w:tcW w:w="2398" w:type="dxa"/>
            <w:noWrap/>
            <w:vAlign w:val="center"/>
          </w:tcPr>
          <w:p w14:paraId="285075D8" w14:textId="572498E5" w:rsidR="00BE0188" w:rsidRPr="001E4D45" w:rsidRDefault="00BE0188" w:rsidP="00430805">
            <w:pPr>
              <w:suppressAutoHyphens/>
              <w:jc w:val="center"/>
              <w:rPr>
                <w:rFonts w:cs="Calibri"/>
                <w:bCs/>
                <w:sz w:val="20"/>
                <w:szCs w:val="20"/>
              </w:rPr>
            </w:pPr>
            <w:r w:rsidRPr="001E4D45">
              <w:rPr>
                <w:rFonts w:cs="Calibri"/>
                <w:bCs/>
                <w:sz w:val="20"/>
                <w:szCs w:val="20"/>
              </w:rPr>
              <w:t>5,0</w:t>
            </w:r>
          </w:p>
        </w:tc>
      </w:tr>
      <w:tr w:rsidR="00BE0188" w:rsidRPr="001E4D45" w14:paraId="0D3AA8C1" w14:textId="77777777" w:rsidTr="00840CCD">
        <w:trPr>
          <w:trHeight w:val="289"/>
        </w:trPr>
        <w:tc>
          <w:tcPr>
            <w:tcW w:w="5245" w:type="dxa"/>
            <w:shd w:val="clear" w:color="auto" w:fill="E6E6E6"/>
            <w:noWrap/>
            <w:vAlign w:val="bottom"/>
          </w:tcPr>
          <w:p w14:paraId="04D6B1C1" w14:textId="77777777" w:rsidR="00BE0188" w:rsidRPr="001E4D45" w:rsidRDefault="00BE0188" w:rsidP="00430805">
            <w:pPr>
              <w:suppressAutoHyphens/>
              <w:jc w:val="center"/>
              <w:rPr>
                <w:rFonts w:cs="Calibri"/>
                <w:b/>
                <w:bCs/>
                <w:sz w:val="20"/>
                <w:szCs w:val="20"/>
              </w:rPr>
            </w:pPr>
            <w:r w:rsidRPr="001E4D45">
              <w:rPr>
                <w:rFonts w:cs="Calibri"/>
                <w:b/>
                <w:bCs/>
                <w:sz w:val="20"/>
                <w:szCs w:val="20"/>
              </w:rPr>
              <w:t>ENPV</w:t>
            </w:r>
          </w:p>
        </w:tc>
        <w:tc>
          <w:tcPr>
            <w:tcW w:w="1372" w:type="dxa"/>
            <w:noWrap/>
            <w:vAlign w:val="bottom"/>
          </w:tcPr>
          <w:p w14:paraId="3B6DD92F" w14:textId="13D18C94" w:rsidR="00BE0188" w:rsidRPr="001E4D45" w:rsidRDefault="00FA42AE" w:rsidP="00840CCD">
            <w:pPr>
              <w:suppressAutoHyphens/>
              <w:jc w:val="center"/>
              <w:rPr>
                <w:rFonts w:cs="Calibri"/>
                <w:sz w:val="20"/>
                <w:szCs w:val="20"/>
              </w:rPr>
            </w:pPr>
            <w:r>
              <w:rPr>
                <w:rFonts w:cs="Calibri"/>
                <w:sz w:val="20"/>
                <w:szCs w:val="20"/>
              </w:rPr>
              <w:t>(</w:t>
            </w:r>
            <w:r w:rsidR="00BE0188">
              <w:rPr>
                <w:rFonts w:cs="Calibri"/>
                <w:sz w:val="20"/>
                <w:szCs w:val="20"/>
              </w:rPr>
              <w:t xml:space="preserve">tys. </w:t>
            </w:r>
            <w:r>
              <w:rPr>
                <w:rFonts w:cs="Calibri"/>
                <w:sz w:val="20"/>
                <w:szCs w:val="20"/>
              </w:rPr>
              <w:t>zł)</w:t>
            </w:r>
          </w:p>
        </w:tc>
        <w:tc>
          <w:tcPr>
            <w:tcW w:w="2398" w:type="dxa"/>
            <w:noWrap/>
            <w:vAlign w:val="center"/>
          </w:tcPr>
          <w:p w14:paraId="0031B007" w14:textId="69611940" w:rsidR="00BE0188" w:rsidRPr="001E4D45" w:rsidRDefault="00F16C9D" w:rsidP="00430805">
            <w:pPr>
              <w:suppressAutoHyphens/>
              <w:jc w:val="center"/>
              <w:rPr>
                <w:rFonts w:cs="Calibri"/>
                <w:bCs/>
                <w:sz w:val="20"/>
                <w:szCs w:val="20"/>
                <w:highlight w:val="yellow"/>
              </w:rPr>
            </w:pPr>
            <w:r>
              <w:rPr>
                <w:rFonts w:cs="Calibri"/>
                <w:color w:val="000000"/>
                <w:sz w:val="20"/>
                <w:szCs w:val="20"/>
              </w:rPr>
              <w:t>278 963</w:t>
            </w:r>
          </w:p>
        </w:tc>
      </w:tr>
      <w:tr w:rsidR="00BE0188" w:rsidRPr="001E4D45" w14:paraId="294564BE" w14:textId="77777777" w:rsidTr="00840CCD">
        <w:trPr>
          <w:trHeight w:val="289"/>
        </w:trPr>
        <w:tc>
          <w:tcPr>
            <w:tcW w:w="5245" w:type="dxa"/>
            <w:shd w:val="clear" w:color="auto" w:fill="E6E6E6"/>
            <w:noWrap/>
            <w:vAlign w:val="bottom"/>
          </w:tcPr>
          <w:p w14:paraId="1E68AE09" w14:textId="77777777" w:rsidR="00BE0188" w:rsidRPr="001E4D45" w:rsidRDefault="00BE0188" w:rsidP="00430805">
            <w:pPr>
              <w:suppressAutoHyphens/>
              <w:jc w:val="center"/>
              <w:rPr>
                <w:rFonts w:cs="Calibri"/>
                <w:b/>
                <w:bCs/>
                <w:sz w:val="20"/>
                <w:szCs w:val="20"/>
              </w:rPr>
            </w:pPr>
            <w:r w:rsidRPr="001E4D45">
              <w:rPr>
                <w:rFonts w:cs="Calibri"/>
                <w:b/>
                <w:bCs/>
                <w:sz w:val="20"/>
                <w:szCs w:val="20"/>
              </w:rPr>
              <w:t>B/C</w:t>
            </w:r>
          </w:p>
        </w:tc>
        <w:tc>
          <w:tcPr>
            <w:tcW w:w="1372" w:type="dxa"/>
            <w:noWrap/>
            <w:vAlign w:val="bottom"/>
          </w:tcPr>
          <w:p w14:paraId="30E960C9" w14:textId="19FB86E1" w:rsidR="00BE0188" w:rsidRPr="001E4D45" w:rsidRDefault="00F9136A" w:rsidP="00840CCD">
            <w:pPr>
              <w:suppressAutoHyphens/>
              <w:jc w:val="center"/>
              <w:rPr>
                <w:rFonts w:cs="Calibri"/>
                <w:sz w:val="20"/>
                <w:szCs w:val="20"/>
              </w:rPr>
            </w:pPr>
            <w:r>
              <w:rPr>
                <w:rFonts w:cs="Calibri"/>
                <w:sz w:val="20"/>
                <w:szCs w:val="20"/>
              </w:rPr>
              <w:t>(-)</w:t>
            </w:r>
          </w:p>
        </w:tc>
        <w:tc>
          <w:tcPr>
            <w:tcW w:w="2398" w:type="dxa"/>
            <w:noWrap/>
            <w:vAlign w:val="center"/>
          </w:tcPr>
          <w:p w14:paraId="0432BB3A" w14:textId="4D129A3F" w:rsidR="00BE0188" w:rsidRPr="001E4D45" w:rsidRDefault="00F16C9D" w:rsidP="00430805">
            <w:pPr>
              <w:suppressAutoHyphens/>
              <w:jc w:val="center"/>
              <w:rPr>
                <w:rFonts w:cs="Calibri"/>
                <w:bCs/>
                <w:sz w:val="20"/>
                <w:szCs w:val="20"/>
                <w:highlight w:val="yellow"/>
              </w:rPr>
            </w:pPr>
            <w:r>
              <w:rPr>
                <w:rFonts w:cs="Calibri"/>
                <w:color w:val="000000"/>
                <w:sz w:val="20"/>
                <w:szCs w:val="20"/>
              </w:rPr>
              <w:t>2,27</w:t>
            </w:r>
          </w:p>
        </w:tc>
      </w:tr>
    </w:tbl>
    <w:p w14:paraId="4CA8D5EC" w14:textId="77777777" w:rsidR="00231528" w:rsidRPr="001E4D45" w:rsidRDefault="00231528" w:rsidP="00231528">
      <w:pPr>
        <w:pStyle w:val="rdo0"/>
      </w:pPr>
      <w:r w:rsidRPr="001E4D45">
        <w:rPr>
          <w:lang w:eastAsia="zh-CN"/>
        </w:rPr>
        <w:t xml:space="preserve">Źródło: opracowanie </w:t>
      </w:r>
      <w:r>
        <w:rPr>
          <w:lang w:eastAsia="zh-CN"/>
        </w:rPr>
        <w:t>własne</w:t>
      </w:r>
    </w:p>
    <w:p w14:paraId="19CF323E" w14:textId="64851485" w:rsidR="004A7374" w:rsidRDefault="00BE0188" w:rsidP="003C76C5">
      <w:r w:rsidRPr="00995BA5">
        <w:t>Wskaźnik B/C</w:t>
      </w:r>
      <w:r w:rsidR="002237EA">
        <w:t xml:space="preserve"> </w:t>
      </w:r>
      <w:r w:rsidR="00F16C9D">
        <w:t>obrazujący stosunek korzyści (B) do kosztów (C)</w:t>
      </w:r>
      <w:r w:rsidRPr="00995BA5">
        <w:t xml:space="preserve"> informuje nas, że na każdą złotówkę stanowiącą koszt projektu przypada </w:t>
      </w:r>
      <w:r w:rsidR="00F16C9D">
        <w:t>2,27</w:t>
      </w:r>
      <w:r w:rsidRPr="00995BA5">
        <w:t xml:space="preserve"> zł korzyści społecznych wynikających z realizacji zaplanowanych inwestycji.</w:t>
      </w:r>
      <w:bookmarkStart w:id="364" w:name="_Toc63632758"/>
    </w:p>
    <w:p w14:paraId="6F1B23E8" w14:textId="26BA7DEB" w:rsidR="00BE0188" w:rsidRPr="004A7374" w:rsidRDefault="00BE0188" w:rsidP="00B50FFD">
      <w:pPr>
        <w:pStyle w:val="Nagwek3"/>
      </w:pPr>
      <w:bookmarkStart w:id="365" w:name="_Toc68726892"/>
      <w:r w:rsidRPr="004A7374">
        <w:t xml:space="preserve">Wyniki analiz ekonomicznych </w:t>
      </w:r>
      <w:r w:rsidR="006C4947">
        <w:t>-</w:t>
      </w:r>
      <w:r w:rsidRPr="004A7374">
        <w:t xml:space="preserve"> ocena jakościowa</w:t>
      </w:r>
      <w:bookmarkEnd w:id="364"/>
      <w:bookmarkEnd w:id="365"/>
    </w:p>
    <w:p w14:paraId="7F3D5B1C" w14:textId="380AEDAC" w:rsidR="00BE0188" w:rsidRPr="001E4D45" w:rsidRDefault="00BE0188" w:rsidP="003C76C5">
      <w:r w:rsidRPr="001E4D45">
        <w:t xml:space="preserve">W ocenie jakościowej zbadano wpływ poszczególnych działań w zestawie na otoczenie społeczno-gospodarcze </w:t>
      </w:r>
      <w:r>
        <w:t>w trzech</w:t>
      </w:r>
      <w:r w:rsidRPr="001E4D45">
        <w:t xml:space="preserve"> obszarach: środowiskowy</w:t>
      </w:r>
      <w:r>
        <w:t>m</w:t>
      </w:r>
      <w:r w:rsidRPr="001E4D45">
        <w:t>, społeczny</w:t>
      </w:r>
      <w:r>
        <w:t>m</w:t>
      </w:r>
      <w:r w:rsidRPr="001E4D45">
        <w:t xml:space="preserve"> i gospodarczy</w:t>
      </w:r>
      <w:r>
        <w:t>m</w:t>
      </w:r>
      <w:r w:rsidRPr="001E4D45">
        <w:t>. Punktem wyjścia do</w:t>
      </w:r>
      <w:r w:rsidR="00C4673D">
        <w:t> </w:t>
      </w:r>
      <w:r w:rsidRPr="001E4D45">
        <w:t>oceny skutków społeczno-gospodarczych poszczególnych działań była ocena skuteczności poszczególnych działań. Dokonano oceny wpływu każdego działania na skutki społeczno-gospodarcze według poniższej skali:</w:t>
      </w:r>
    </w:p>
    <w:p w14:paraId="6FDD4DA9" w14:textId="757EB58A" w:rsidR="00BE0188" w:rsidRPr="001E4D45" w:rsidRDefault="00BE0188" w:rsidP="00FA42AE">
      <w:pPr>
        <w:pStyle w:val="Akapitzlist"/>
      </w:pPr>
      <w:r w:rsidRPr="001E4D45">
        <w:t xml:space="preserve">bardzo pozytywny </w:t>
      </w:r>
      <w:r w:rsidR="006C4947">
        <w:t>-</w:t>
      </w:r>
      <w:r w:rsidRPr="001E4D45">
        <w:t xml:space="preserve"> działanie oceniono wysoko lub bardzo wysoko pod względem skuteczności oraz wywołuje </w:t>
      </w:r>
      <w:r>
        <w:t xml:space="preserve">ono </w:t>
      </w:r>
      <w:r w:rsidRPr="001E4D45">
        <w:t>pozytywne skutki we wszystkich trzech obszarach oceny;</w:t>
      </w:r>
    </w:p>
    <w:p w14:paraId="17F93C6A" w14:textId="4C1935A5" w:rsidR="00BE0188" w:rsidRPr="001E4D45" w:rsidRDefault="00BE0188" w:rsidP="00FA42AE">
      <w:pPr>
        <w:pStyle w:val="Akapitzlist"/>
      </w:pPr>
      <w:r w:rsidRPr="001E4D45">
        <w:t xml:space="preserve">pozytywny </w:t>
      </w:r>
      <w:r w:rsidR="006C4947">
        <w:t>-</w:t>
      </w:r>
      <w:r w:rsidRPr="001E4D45">
        <w:t xml:space="preserve"> działanie oceniono wysoko lub bardzo wysoko pod względem skuteczności oraz wywołuje </w:t>
      </w:r>
      <w:r>
        <w:t xml:space="preserve">ono </w:t>
      </w:r>
      <w:r w:rsidRPr="001E4D45">
        <w:t>pozytywne skutki w dwóch z trzech obszarów oceny;</w:t>
      </w:r>
    </w:p>
    <w:p w14:paraId="4F8F7743" w14:textId="706F86C5" w:rsidR="00BE0188" w:rsidRPr="001E4D45" w:rsidRDefault="00BE0188" w:rsidP="00FA42AE">
      <w:pPr>
        <w:pStyle w:val="Akapitzlist"/>
      </w:pPr>
      <w:r w:rsidRPr="001E4D45">
        <w:t xml:space="preserve">umiarkowany </w:t>
      </w:r>
      <w:r w:rsidR="006C4947">
        <w:t>-</w:t>
      </w:r>
      <w:r w:rsidRPr="001E4D45">
        <w:t xml:space="preserve"> skuteczność działania oceniona jako średnia bez względu na liczbę obszarów, w</w:t>
      </w:r>
      <w:r w:rsidR="00430805">
        <w:t> </w:t>
      </w:r>
      <w:r w:rsidRPr="001E4D45">
        <w:t>których wywołuje pozytywne skutki</w:t>
      </w:r>
      <w:r>
        <w:t>,</w:t>
      </w:r>
      <w:r w:rsidRPr="001E4D45">
        <w:t xml:space="preserve"> lub działanie, które zostało oceni</w:t>
      </w:r>
      <w:r>
        <w:t>o</w:t>
      </w:r>
      <w:r w:rsidRPr="001E4D45">
        <w:t>ne jako bardzo pozytywne lub pozytywne</w:t>
      </w:r>
      <w:r>
        <w:t>,</w:t>
      </w:r>
      <w:r w:rsidRPr="001E4D45">
        <w:t xml:space="preserve"> może wywoływać jednocześnie znaczące koszty społeczne (np.</w:t>
      </w:r>
      <w:r w:rsidR="009C02DA">
        <w:t> </w:t>
      </w:r>
      <w:r w:rsidRPr="001E4D45">
        <w:t>zmniejszenie produkcji rolnej);</w:t>
      </w:r>
    </w:p>
    <w:p w14:paraId="4DDF2D7D" w14:textId="5CC84D21" w:rsidR="00BE0188" w:rsidRPr="001E4D45" w:rsidRDefault="00BE0188" w:rsidP="00FA42AE">
      <w:pPr>
        <w:pStyle w:val="Akapitzlist"/>
      </w:pPr>
      <w:r w:rsidRPr="001E4D45">
        <w:t xml:space="preserve">brak znaczącego wpływu </w:t>
      </w:r>
      <w:r w:rsidR="006C4947">
        <w:t>-</w:t>
      </w:r>
      <w:r w:rsidRPr="001E4D45">
        <w:t xml:space="preserve"> skuteczność działania oceniona jako niska lub bardzo niska</w:t>
      </w:r>
      <w:r>
        <w:t>,</w:t>
      </w:r>
      <w:r w:rsidRPr="001E4D45">
        <w:t xml:space="preserve"> bez względu na liczbę obszarów, w których wywołuje pozytywne skutki.</w:t>
      </w:r>
    </w:p>
    <w:p w14:paraId="05E100AF" w14:textId="60711898" w:rsidR="00F16C9D" w:rsidRDefault="00BE0188" w:rsidP="003C76C5">
      <w:r w:rsidRPr="001E4D45">
        <w:t>Zestawienie liczby działań w podziale na poszczególne poziomy oddziaływania przedstawia tabela</w:t>
      </w:r>
      <w:r>
        <w:t xml:space="preserve"> </w:t>
      </w:r>
      <w:r w:rsidR="002237EA">
        <w:t>11-</w:t>
      </w:r>
      <w:r w:rsidR="00430805">
        <w:t> </w:t>
      </w:r>
      <w:r w:rsidR="00F16C9D">
        <w:t xml:space="preserve">16 </w:t>
      </w:r>
      <w:r>
        <w:t>poniżej.</w:t>
      </w:r>
    </w:p>
    <w:p w14:paraId="23E3FF1C" w14:textId="42363267" w:rsidR="00BE0188" w:rsidRDefault="00BE0188" w:rsidP="006802BB">
      <w:pPr>
        <w:pStyle w:val="Tabela"/>
      </w:pPr>
      <w:bookmarkStart w:id="366" w:name="_Toc68727028"/>
      <w:r w:rsidRPr="001E4D45">
        <w:t xml:space="preserve">Tabela </w:t>
      </w:r>
      <w:fldSimple w:instr=" STYLEREF 1 \s ">
        <w:r w:rsidR="007B4050">
          <w:rPr>
            <w:noProof/>
          </w:rPr>
          <w:t>11</w:t>
        </w:r>
      </w:fldSimple>
      <w:r w:rsidR="007B4050">
        <w:noBreakHyphen/>
      </w:r>
      <w:fldSimple w:instr=" SEQ Tabela \* ARABIC \s 1 ">
        <w:r w:rsidR="007B4050">
          <w:rPr>
            <w:noProof/>
          </w:rPr>
          <w:t>16</w:t>
        </w:r>
      </w:fldSimple>
      <w:r w:rsidR="004A1B76">
        <w:tab/>
      </w:r>
      <w:r w:rsidRPr="001E4D45">
        <w:t xml:space="preserve">Wyniki analiz ekonomicznych </w:t>
      </w:r>
      <w:r w:rsidR="006C4947">
        <w:t>-</w:t>
      </w:r>
      <w:r w:rsidRPr="001E4D45">
        <w:t xml:space="preserve"> ocena jakościowa</w:t>
      </w:r>
      <w:bookmarkEnd w:id="3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261"/>
        <w:gridCol w:w="1260"/>
        <w:gridCol w:w="5021"/>
      </w:tblGrid>
      <w:tr w:rsidR="00F16C9D" w14:paraId="7ECE5B70" w14:textId="77777777" w:rsidTr="000338C0">
        <w:trPr>
          <w:trHeight w:val="488"/>
          <w:tblHeader/>
        </w:trPr>
        <w:tc>
          <w:tcPr>
            <w:tcW w:w="15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040B89" w14:textId="77777777" w:rsidR="00F16C9D" w:rsidRDefault="00F16C9D">
            <w:pPr>
              <w:suppressAutoHyphens/>
              <w:jc w:val="center"/>
              <w:rPr>
                <w:rFonts w:cs="Calibri"/>
                <w:sz w:val="20"/>
                <w:szCs w:val="20"/>
                <w:lang w:eastAsia="zh-CN"/>
              </w:rPr>
            </w:pPr>
            <w:r>
              <w:rPr>
                <w:rFonts w:cs="Calibri"/>
                <w:b/>
                <w:bCs/>
                <w:sz w:val="20"/>
                <w:szCs w:val="20"/>
                <w:lang w:eastAsia="zh-CN"/>
              </w:rPr>
              <w:t>Ocena wpływu na skutki społeczno-gospodarcze</w:t>
            </w:r>
          </w:p>
        </w:tc>
        <w:tc>
          <w:tcPr>
            <w:tcW w:w="12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B8181" w14:textId="77777777" w:rsidR="00F16C9D" w:rsidRDefault="00F16C9D">
            <w:pPr>
              <w:suppressAutoHyphens/>
              <w:jc w:val="center"/>
              <w:rPr>
                <w:rFonts w:cs="Calibri"/>
                <w:sz w:val="20"/>
                <w:szCs w:val="20"/>
                <w:lang w:eastAsia="zh-CN"/>
              </w:rPr>
            </w:pPr>
            <w:r>
              <w:rPr>
                <w:rFonts w:cs="Calibri"/>
                <w:b/>
                <w:bCs/>
                <w:sz w:val="20"/>
                <w:szCs w:val="20"/>
                <w:lang w:eastAsia="zh-CN"/>
              </w:rPr>
              <w:t>Liczba działań</w:t>
            </w:r>
          </w:p>
        </w:tc>
        <w:tc>
          <w:tcPr>
            <w:tcW w:w="1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E3F9B8" w14:textId="5DA046CD" w:rsidR="00F16C9D" w:rsidRDefault="00F16C9D">
            <w:pPr>
              <w:suppressAutoHyphens/>
              <w:jc w:val="center"/>
              <w:rPr>
                <w:rFonts w:cs="Calibri"/>
                <w:b/>
                <w:bCs/>
                <w:sz w:val="20"/>
                <w:szCs w:val="20"/>
                <w:lang w:eastAsia="zh-CN"/>
              </w:rPr>
            </w:pPr>
            <w:r>
              <w:rPr>
                <w:rFonts w:cs="Calibri"/>
                <w:b/>
                <w:bCs/>
                <w:sz w:val="20"/>
                <w:szCs w:val="20"/>
                <w:lang w:eastAsia="zh-CN"/>
              </w:rPr>
              <w:t>Udział (%)</w:t>
            </w:r>
          </w:p>
        </w:tc>
        <w:tc>
          <w:tcPr>
            <w:tcW w:w="50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FE91A" w14:textId="77777777" w:rsidR="00F16C9D" w:rsidRDefault="00F16C9D">
            <w:pPr>
              <w:suppressAutoHyphens/>
              <w:jc w:val="center"/>
              <w:rPr>
                <w:rFonts w:cs="Calibri"/>
                <w:b/>
                <w:bCs/>
                <w:sz w:val="20"/>
                <w:szCs w:val="20"/>
                <w:lang w:eastAsia="zh-CN"/>
              </w:rPr>
            </w:pPr>
            <w:r>
              <w:rPr>
                <w:rFonts w:cs="Calibri"/>
                <w:b/>
                <w:bCs/>
                <w:sz w:val="20"/>
                <w:szCs w:val="20"/>
                <w:lang w:eastAsia="zh-CN"/>
              </w:rPr>
              <w:t>Grupy działań</w:t>
            </w:r>
          </w:p>
        </w:tc>
      </w:tr>
      <w:tr w:rsidR="00F16C9D" w14:paraId="278F91A1" w14:textId="77777777" w:rsidTr="00735867">
        <w:trPr>
          <w:trHeight w:val="488"/>
        </w:trPr>
        <w:tc>
          <w:tcPr>
            <w:tcW w:w="1520" w:type="dxa"/>
            <w:tcBorders>
              <w:top w:val="single" w:sz="4" w:space="0" w:color="auto"/>
              <w:left w:val="single" w:sz="4" w:space="0" w:color="auto"/>
              <w:bottom w:val="single" w:sz="4" w:space="0" w:color="auto"/>
              <w:right w:val="single" w:sz="4" w:space="0" w:color="auto"/>
            </w:tcBorders>
            <w:vAlign w:val="center"/>
            <w:hideMark/>
          </w:tcPr>
          <w:p w14:paraId="4D96E574" w14:textId="77777777" w:rsidR="00F16C9D" w:rsidRDefault="00F16C9D">
            <w:pPr>
              <w:suppressAutoHyphens/>
              <w:jc w:val="center"/>
              <w:rPr>
                <w:rFonts w:cs="Calibri"/>
                <w:sz w:val="20"/>
                <w:szCs w:val="20"/>
                <w:lang w:eastAsia="zh-CN"/>
              </w:rPr>
            </w:pPr>
            <w:r>
              <w:rPr>
                <w:rFonts w:cs="Calibri"/>
                <w:sz w:val="20"/>
                <w:szCs w:val="20"/>
                <w:lang w:eastAsia="zh-CN"/>
              </w:rPr>
              <w:t>Wpływ bardzo pozytywny</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ED6018" w14:textId="77777777" w:rsidR="00F16C9D" w:rsidRDefault="00F16C9D">
            <w:pPr>
              <w:suppressAutoHyphens/>
              <w:jc w:val="center"/>
              <w:rPr>
                <w:rFonts w:cs="Calibri"/>
                <w:sz w:val="20"/>
                <w:szCs w:val="20"/>
                <w:highlight w:val="yellow"/>
                <w:lang w:eastAsia="zh-CN"/>
              </w:rPr>
            </w:pPr>
            <w:r>
              <w:rPr>
                <w:color w:val="000000"/>
                <w:sz w:val="20"/>
                <w:szCs w:val="20"/>
              </w:rPr>
              <w:t>56</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8C411A" w14:textId="257088ED" w:rsidR="00F16C9D" w:rsidRDefault="00F16C9D">
            <w:pPr>
              <w:suppressAutoHyphens/>
              <w:jc w:val="center"/>
              <w:rPr>
                <w:rFonts w:cs="Calibri"/>
                <w:sz w:val="20"/>
                <w:szCs w:val="20"/>
                <w:highlight w:val="yellow"/>
                <w:lang w:eastAsia="zh-CN"/>
              </w:rPr>
            </w:pPr>
            <w:r>
              <w:rPr>
                <w:color w:val="000000"/>
                <w:sz w:val="20"/>
                <w:szCs w:val="20"/>
              </w:rPr>
              <w:t>10,</w:t>
            </w:r>
            <w:r w:rsidR="00E26F3F">
              <w:rPr>
                <w:color w:val="000000"/>
                <w:sz w:val="20"/>
                <w:szCs w:val="20"/>
              </w:rPr>
              <w:t>22</w:t>
            </w:r>
          </w:p>
        </w:tc>
        <w:tc>
          <w:tcPr>
            <w:tcW w:w="50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AA47C1" w14:textId="77777777" w:rsidR="00F16C9D" w:rsidRDefault="00F16C9D" w:rsidP="003863A0">
            <w:pPr>
              <w:pStyle w:val="Teksttabelilewy"/>
              <w:rPr>
                <w:rFonts w:cs="Calibri"/>
                <w:color w:val="000000"/>
                <w:lang w:eastAsia="pl-PL"/>
              </w:rPr>
            </w:pPr>
            <w:r>
              <w:t>Działania z zakresu gospodarki ściekowej oraz przebudowy budowli piętrzących, dla których skuteczność wdrożenia jest wysoka lub bardzo wysoka.</w:t>
            </w:r>
          </w:p>
        </w:tc>
      </w:tr>
      <w:tr w:rsidR="00F16C9D" w14:paraId="7128B10D" w14:textId="77777777" w:rsidTr="00735867">
        <w:trPr>
          <w:trHeight w:val="488"/>
        </w:trPr>
        <w:tc>
          <w:tcPr>
            <w:tcW w:w="1520" w:type="dxa"/>
            <w:tcBorders>
              <w:top w:val="single" w:sz="4" w:space="0" w:color="auto"/>
              <w:left w:val="single" w:sz="4" w:space="0" w:color="auto"/>
              <w:bottom w:val="single" w:sz="4" w:space="0" w:color="auto"/>
              <w:right w:val="single" w:sz="4" w:space="0" w:color="auto"/>
            </w:tcBorders>
            <w:vAlign w:val="center"/>
            <w:hideMark/>
          </w:tcPr>
          <w:p w14:paraId="49D29126" w14:textId="77777777" w:rsidR="00F16C9D" w:rsidRDefault="00F16C9D">
            <w:pPr>
              <w:suppressAutoHyphens/>
              <w:jc w:val="center"/>
              <w:rPr>
                <w:rFonts w:cs="Calibri"/>
                <w:sz w:val="20"/>
                <w:szCs w:val="20"/>
                <w:lang w:eastAsia="zh-CN"/>
              </w:rPr>
            </w:pPr>
            <w:r>
              <w:rPr>
                <w:rFonts w:cs="Calibri"/>
                <w:sz w:val="20"/>
                <w:szCs w:val="20"/>
                <w:lang w:eastAsia="zh-CN"/>
              </w:rPr>
              <w:t>Wpływ pozytywny</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173978" w14:textId="60114A21" w:rsidR="00F16C9D" w:rsidRDefault="00735867">
            <w:pPr>
              <w:suppressAutoHyphens/>
              <w:jc w:val="center"/>
              <w:rPr>
                <w:rFonts w:cs="Calibri"/>
                <w:sz w:val="20"/>
                <w:szCs w:val="20"/>
                <w:highlight w:val="yellow"/>
                <w:lang w:eastAsia="zh-CN"/>
              </w:rPr>
            </w:pPr>
            <w:r>
              <w:rPr>
                <w:color w:val="000000"/>
                <w:sz w:val="20"/>
                <w:szCs w:val="20"/>
              </w:rPr>
              <w:t>176</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048231" w14:textId="6941BD18" w:rsidR="00F16C9D" w:rsidRDefault="00F16C9D">
            <w:pPr>
              <w:suppressAutoHyphens/>
              <w:jc w:val="center"/>
              <w:rPr>
                <w:rFonts w:cs="Calibri"/>
                <w:sz w:val="20"/>
                <w:szCs w:val="20"/>
                <w:highlight w:val="yellow"/>
                <w:lang w:eastAsia="zh-CN"/>
              </w:rPr>
            </w:pPr>
            <w:r>
              <w:rPr>
                <w:color w:val="000000"/>
                <w:sz w:val="20"/>
                <w:szCs w:val="20"/>
              </w:rPr>
              <w:t>32,</w:t>
            </w:r>
            <w:r w:rsidR="00E26F3F">
              <w:rPr>
                <w:color w:val="000000"/>
                <w:sz w:val="20"/>
                <w:szCs w:val="20"/>
              </w:rPr>
              <w:t>12</w:t>
            </w:r>
          </w:p>
        </w:tc>
        <w:tc>
          <w:tcPr>
            <w:tcW w:w="50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036438" w14:textId="3BDAB845" w:rsidR="00F16C9D" w:rsidRDefault="00F16C9D" w:rsidP="003863A0">
            <w:pPr>
              <w:pStyle w:val="Teksttabelilewy"/>
              <w:rPr>
                <w:rFonts w:cs="Calibri"/>
                <w:color w:val="000000"/>
                <w:lang w:eastAsia="pl-PL"/>
              </w:rPr>
            </w:pPr>
            <w:r>
              <w:t>Działania dotyczące obszarów chronionych, z zakresu hydromorfologii,</w:t>
            </w:r>
            <w:r w:rsidR="00C4673D">
              <w:t xml:space="preserve"> </w:t>
            </w:r>
            <w:r>
              <w:t>rekultywacji jezior oraz inne działania organizacyjno-prawne, dla których skuteczność wdrożenia jest wysoka lub bardzo wysoka.</w:t>
            </w:r>
          </w:p>
        </w:tc>
      </w:tr>
      <w:tr w:rsidR="00F16C9D" w14:paraId="41641C60" w14:textId="77777777" w:rsidTr="00735867">
        <w:trPr>
          <w:trHeight w:val="488"/>
        </w:trPr>
        <w:tc>
          <w:tcPr>
            <w:tcW w:w="1520" w:type="dxa"/>
            <w:tcBorders>
              <w:top w:val="single" w:sz="4" w:space="0" w:color="auto"/>
              <w:left w:val="single" w:sz="4" w:space="0" w:color="auto"/>
              <w:bottom w:val="single" w:sz="4" w:space="0" w:color="auto"/>
              <w:right w:val="single" w:sz="4" w:space="0" w:color="auto"/>
            </w:tcBorders>
            <w:vAlign w:val="center"/>
            <w:hideMark/>
          </w:tcPr>
          <w:p w14:paraId="411D3177" w14:textId="77777777" w:rsidR="00F16C9D" w:rsidRDefault="00F16C9D">
            <w:pPr>
              <w:suppressAutoHyphens/>
              <w:jc w:val="center"/>
              <w:rPr>
                <w:rFonts w:cs="Calibri"/>
                <w:sz w:val="20"/>
                <w:szCs w:val="20"/>
                <w:lang w:eastAsia="zh-CN"/>
              </w:rPr>
            </w:pPr>
            <w:r>
              <w:rPr>
                <w:rFonts w:cs="Calibri"/>
                <w:sz w:val="20"/>
                <w:szCs w:val="20"/>
                <w:lang w:eastAsia="zh-CN"/>
              </w:rPr>
              <w:t>Wpływ umiarkowany</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FF71E2" w14:textId="7DD1DA79" w:rsidR="00F16C9D" w:rsidRDefault="00735867">
            <w:pPr>
              <w:suppressAutoHyphens/>
              <w:jc w:val="center"/>
              <w:rPr>
                <w:rFonts w:cs="Calibri"/>
                <w:sz w:val="20"/>
                <w:szCs w:val="20"/>
                <w:highlight w:val="yellow"/>
                <w:lang w:eastAsia="zh-CN"/>
              </w:rPr>
            </w:pPr>
            <w:r>
              <w:rPr>
                <w:color w:val="000000"/>
                <w:sz w:val="20"/>
                <w:szCs w:val="20"/>
              </w:rPr>
              <w:t>62</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C0A1CD" w14:textId="1A00291F" w:rsidR="00F16C9D" w:rsidRDefault="00E26F3F">
            <w:pPr>
              <w:suppressAutoHyphens/>
              <w:jc w:val="center"/>
              <w:rPr>
                <w:rFonts w:cs="Calibri"/>
                <w:sz w:val="20"/>
                <w:szCs w:val="20"/>
                <w:highlight w:val="yellow"/>
                <w:lang w:eastAsia="zh-CN"/>
              </w:rPr>
            </w:pPr>
            <w:r>
              <w:rPr>
                <w:color w:val="000000"/>
                <w:sz w:val="20"/>
                <w:szCs w:val="20"/>
              </w:rPr>
              <w:t>11,31</w:t>
            </w:r>
          </w:p>
        </w:tc>
        <w:tc>
          <w:tcPr>
            <w:tcW w:w="50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0BFFE1" w14:textId="77777777" w:rsidR="00F16C9D" w:rsidRDefault="00F16C9D" w:rsidP="003863A0">
            <w:pPr>
              <w:pStyle w:val="Teksttabelilewy"/>
              <w:rPr>
                <w:rFonts w:cs="Calibri"/>
                <w:color w:val="000000"/>
                <w:lang w:eastAsia="pl-PL"/>
              </w:rPr>
            </w:pPr>
            <w:r>
              <w:t>Działania edukacyjne, doradcze, z zakresu poprawy warunków wodnych i siedliskowych jezior, dotyczące obszarów chronionych i  gospodarki ściekowej, dla których skuteczność wdrożenia jest średnia lub mogą wykazywać potencjalne negatywne skutki społeczno-gospodarcze niezależnie od skuteczności wdrożenia.</w:t>
            </w:r>
          </w:p>
        </w:tc>
      </w:tr>
      <w:tr w:rsidR="00F16C9D" w14:paraId="754EE73D" w14:textId="77777777" w:rsidTr="00735867">
        <w:trPr>
          <w:trHeight w:val="488"/>
        </w:trPr>
        <w:tc>
          <w:tcPr>
            <w:tcW w:w="1520" w:type="dxa"/>
            <w:tcBorders>
              <w:top w:val="single" w:sz="4" w:space="0" w:color="auto"/>
              <w:left w:val="single" w:sz="4" w:space="0" w:color="auto"/>
              <w:bottom w:val="single" w:sz="4" w:space="0" w:color="auto"/>
              <w:right w:val="single" w:sz="4" w:space="0" w:color="auto"/>
            </w:tcBorders>
            <w:vAlign w:val="center"/>
            <w:hideMark/>
          </w:tcPr>
          <w:p w14:paraId="38A16D36" w14:textId="77777777" w:rsidR="00F16C9D" w:rsidRDefault="00F16C9D">
            <w:pPr>
              <w:suppressAutoHyphens/>
              <w:jc w:val="center"/>
              <w:rPr>
                <w:rFonts w:cs="Calibri"/>
                <w:sz w:val="20"/>
                <w:szCs w:val="20"/>
                <w:lang w:eastAsia="zh-CN"/>
              </w:rPr>
            </w:pPr>
            <w:r>
              <w:rPr>
                <w:rFonts w:cs="Calibri"/>
                <w:sz w:val="20"/>
                <w:szCs w:val="20"/>
                <w:lang w:eastAsia="zh-CN"/>
              </w:rPr>
              <w:t>Brak znaczącego wpływu</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E77E65" w14:textId="7446A211" w:rsidR="00F16C9D" w:rsidRDefault="00735867">
            <w:pPr>
              <w:suppressAutoHyphens/>
              <w:jc w:val="center"/>
              <w:rPr>
                <w:rFonts w:cs="Calibri"/>
                <w:sz w:val="20"/>
                <w:szCs w:val="20"/>
                <w:highlight w:val="yellow"/>
                <w:lang w:eastAsia="zh-CN"/>
              </w:rPr>
            </w:pPr>
            <w:r>
              <w:rPr>
                <w:color w:val="000000"/>
                <w:sz w:val="20"/>
                <w:szCs w:val="20"/>
              </w:rPr>
              <w:t>254</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E8B100" w14:textId="13365737" w:rsidR="00F16C9D" w:rsidRDefault="00E26F3F">
            <w:pPr>
              <w:suppressAutoHyphens/>
              <w:jc w:val="center"/>
              <w:rPr>
                <w:rFonts w:cs="Calibri"/>
                <w:sz w:val="20"/>
                <w:szCs w:val="20"/>
                <w:highlight w:val="yellow"/>
                <w:lang w:eastAsia="zh-CN"/>
              </w:rPr>
            </w:pPr>
            <w:r>
              <w:rPr>
                <w:color w:val="000000"/>
                <w:sz w:val="20"/>
                <w:szCs w:val="20"/>
              </w:rPr>
              <w:t>46,35</w:t>
            </w:r>
          </w:p>
        </w:tc>
        <w:tc>
          <w:tcPr>
            <w:tcW w:w="50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DB0B57" w14:textId="51D6E34C" w:rsidR="00F16C9D" w:rsidRDefault="00F16C9D" w:rsidP="003863A0">
            <w:pPr>
              <w:pStyle w:val="Teksttabelilewy"/>
              <w:rPr>
                <w:rFonts w:cs="Calibri"/>
                <w:color w:val="000000"/>
                <w:lang w:eastAsia="pl-PL"/>
              </w:rPr>
            </w:pPr>
            <w:r>
              <w:t>Działania edukacyjne, doradcze, kontrolne i</w:t>
            </w:r>
            <w:r w:rsidR="00C4673D">
              <w:t> </w:t>
            </w:r>
            <w:r>
              <w:t xml:space="preserve">monitoringowe, dotyczące obszarów chronionych, oceny wpływu budowli poprzecznych, gospodarki ściekowej, weryfikacji i aktualizacji programu ochrony środowiska, ochrony ekosystemów wodnych i od wód zależnych, ograniczania zanieczyszczania pestycydami oraz działania administracyjne, dla których skuteczność wdrożenia jest niska lub bardzo niska. </w:t>
            </w:r>
          </w:p>
        </w:tc>
      </w:tr>
    </w:tbl>
    <w:p w14:paraId="1083EEC7" w14:textId="61A45DD6" w:rsidR="00997EE5" w:rsidRDefault="00BE0188" w:rsidP="0034412A">
      <w:pPr>
        <w:pStyle w:val="rdo0"/>
        <w:spacing w:before="0" w:after="0"/>
        <w:rPr>
          <w:lang w:eastAsia="zh-CN"/>
        </w:rPr>
      </w:pPr>
      <w:r w:rsidRPr="001E4D45">
        <w:rPr>
          <w:lang w:eastAsia="zh-CN"/>
        </w:rPr>
        <w:t xml:space="preserve">Źródło: </w:t>
      </w:r>
      <w:r w:rsidR="00430805">
        <w:rPr>
          <w:lang w:eastAsia="zh-CN"/>
        </w:rPr>
        <w:t xml:space="preserve">opracowanie </w:t>
      </w:r>
      <w:r w:rsidR="00231528">
        <w:rPr>
          <w:lang w:eastAsia="zh-CN"/>
        </w:rPr>
        <w:t>własne</w:t>
      </w:r>
      <w:r w:rsidR="00997EE5">
        <w:rPr>
          <w:lang w:eastAsia="zh-CN"/>
        </w:rPr>
        <w:br w:type="page"/>
      </w:r>
    </w:p>
    <w:p w14:paraId="30BCEFF9" w14:textId="77777777" w:rsidR="00860BC1" w:rsidRDefault="00860BC1" w:rsidP="00B50FFD">
      <w:pPr>
        <w:pStyle w:val="Nagwek1"/>
      </w:pPr>
      <w:bookmarkStart w:id="367" w:name="_Toc66347820"/>
      <w:bookmarkStart w:id="368" w:name="_Toc66699274"/>
      <w:bookmarkStart w:id="369" w:name="_Toc68726893"/>
      <w:bookmarkEnd w:id="314"/>
      <w:r>
        <w:t>Zestaw działań</w:t>
      </w:r>
      <w:bookmarkEnd w:id="367"/>
      <w:bookmarkEnd w:id="368"/>
      <w:bookmarkEnd w:id="369"/>
    </w:p>
    <w:p w14:paraId="5B4EFC65" w14:textId="77777777" w:rsidR="00860BC1" w:rsidRPr="002D6624" w:rsidRDefault="00860BC1" w:rsidP="00860BC1">
      <w:r w:rsidRPr="002D6624">
        <w:t>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analiza ekonomiczna korzystania z wód). Program działań (zgodnie z ustawą pr.w. - zestaw działań) powinien być ukierunkowany na osiągnięcie celów środowiskowych dla wód powierzchniowych, podziemnych i</w:t>
      </w:r>
      <w:r>
        <w:t xml:space="preserve"> </w:t>
      </w:r>
      <w:r w:rsidRPr="002D6624">
        <w:t xml:space="preserve">obszarów chronionych. </w:t>
      </w:r>
    </w:p>
    <w:p w14:paraId="00359FD6" w14:textId="77777777" w:rsidR="00860BC1" w:rsidRPr="002D6624" w:rsidRDefault="00860BC1" w:rsidP="00860BC1">
      <w:r w:rsidRPr="002D6624">
        <w:t xml:space="preserve">Niniejszy rozdział przedstawia informacje dotyczące zestawu działań wypracowanego w ramach IIaPGW dla </w:t>
      </w:r>
      <w:r w:rsidRPr="00860BC1">
        <w:t>jcw obszaru dorzecza Pregoły wraz</w:t>
      </w:r>
      <w:r w:rsidRPr="002D6624">
        <w:t xml:space="preserve"> z uwzględnieniem obszarów chronionych.</w:t>
      </w:r>
      <w:r>
        <w:t xml:space="preserve"> </w:t>
      </w:r>
      <w:r w:rsidRPr="002D6624">
        <w:t>Według ustawy pr.w. plan gospodarowania wodami powinien zawierać zestaw działań z uwzględnieniem sposobów osiągania ustanawianych celów środowiskowych wraz z jego podsumowaniem. Szczegółowy zakres informacji koniecznych do sporządz</w:t>
      </w:r>
      <w:r>
        <w:t>a</w:t>
      </w:r>
      <w:r w:rsidRPr="002D6624">
        <w:t>nia planów gospodarowania wodami na obszarach dorzeczy obejmuje zestaw działań, o których mowa w art. 324 ust.</w:t>
      </w:r>
      <w:r>
        <w:t xml:space="preserve"> </w:t>
      </w:r>
      <w:r w:rsidRPr="002D6624">
        <w:t>1 ustawy pr.w., z uwzględnieniem sposobów osiągania ustanawianych celów środowiskowych oraz informacje o działaniach, o</w:t>
      </w:r>
      <w:r>
        <w:t xml:space="preserve"> </w:t>
      </w:r>
      <w:r w:rsidRPr="002D6624">
        <w:t xml:space="preserve">których mowa </w:t>
      </w:r>
      <w:r>
        <w:br/>
      </w:r>
      <w:r w:rsidRPr="002D6624">
        <w:t>w</w:t>
      </w:r>
      <w:r>
        <w:t xml:space="preserve"> </w:t>
      </w:r>
      <w:r w:rsidRPr="002D6624">
        <w:t>art. 159 ust. 1 i 3 ustawy pr.w. (§2 ust. 1 pkt 12 r.p.g.w.).</w:t>
      </w:r>
      <w:r>
        <w:t xml:space="preserve"> </w:t>
      </w:r>
      <w:r w:rsidRPr="002D6624">
        <w:t>Zestaw działań po raz pierwszy stanowi element planu gospodarowania wodami, do tej pory plan podsumowywał działania zawarte w</w:t>
      </w:r>
      <w:r>
        <w:t> </w:t>
      </w:r>
      <w:r w:rsidRPr="002D6624">
        <w:t>odrębnym dokumencie</w:t>
      </w:r>
      <w:r>
        <w:t>,</w:t>
      </w:r>
      <w:r w:rsidRPr="002D6624">
        <w:t xml:space="preserve"> tj. programie wodno-środowiskowym kraju. </w:t>
      </w:r>
    </w:p>
    <w:p w14:paraId="244192DC" w14:textId="77777777" w:rsidR="00860BC1" w:rsidRPr="002D6624" w:rsidRDefault="00860BC1" w:rsidP="00860BC1">
      <w:r w:rsidRPr="002D6624">
        <w:t>Każdy zestaw działań zawiera „podstawowe” działania określone w art. 11 ust. 3 RDW, oraz, jeśli to</w:t>
      </w:r>
      <w:r>
        <w:t> </w:t>
      </w:r>
      <w:r w:rsidRPr="002D6624">
        <w:t xml:space="preserve">stosowne, działania „uzupełniające”, które mogą zostać przyjęte w celu osiągnięcia przez jcw celów środowiskowych, wskazane w art. 11 ust. 4 RDW. </w:t>
      </w:r>
    </w:p>
    <w:p w14:paraId="02ABCBA8" w14:textId="77777777" w:rsidR="00860BC1" w:rsidRPr="002D6624" w:rsidRDefault="00860BC1" w:rsidP="00860BC1">
      <w:r w:rsidRPr="002D6624">
        <w:t>Pomimo, że działania podstawowe określane są mianem wymogów minimalnych to ich zakres jest bardzo szeroki. Po pierwsze obejmują one wszystkie działania wymagane dla wdrożenia prawodawstwa UE dotyczącego ochrony wód wychodzącego poza zakres RDW, po drugie obejmują one działania niezbędne do realizacji celów wskazanych w</w:t>
      </w:r>
      <w:r>
        <w:t xml:space="preserve"> </w:t>
      </w:r>
      <w:r w:rsidRPr="002D6624">
        <w:t>samej RDW (art. 4</w:t>
      </w:r>
      <w:r>
        <w:t>,</w:t>
      </w:r>
      <w:r w:rsidRPr="002D6624">
        <w:t xml:space="preserve"> art. 7</w:t>
      </w:r>
      <w:r>
        <w:t>,</w:t>
      </w:r>
      <w:r w:rsidRPr="002D6624">
        <w:t xml:space="preserve"> </w:t>
      </w:r>
      <w:r>
        <w:t>art.,</w:t>
      </w:r>
      <w:r w:rsidRPr="002D6624">
        <w:t xml:space="preserve"> 9</w:t>
      </w:r>
      <w:r>
        <w:t>,</w:t>
      </w:r>
      <w:r w:rsidRPr="002D6624">
        <w:t xml:space="preserve"> art.10), w tym precyzyjnie określone w art. 11 ust. 3 obowiązki i zakazy, które należy wdrożyć do</w:t>
      </w:r>
      <w:r>
        <w:t> </w:t>
      </w:r>
      <w:r w:rsidRPr="002D6624">
        <w:t xml:space="preserve">prawodawstwa krajowego. </w:t>
      </w:r>
    </w:p>
    <w:p w14:paraId="13B0A3B5" w14:textId="77777777" w:rsidR="00860BC1" w:rsidRPr="002D6624" w:rsidRDefault="00860BC1" w:rsidP="00860BC1">
      <w:r w:rsidRPr="002D6624">
        <w:t>Katalog działań uzupełniających ma natomiast charakter otwarty - przykłady działań uzupełniających wskazano w</w:t>
      </w:r>
      <w:r>
        <w:t xml:space="preserve"> </w:t>
      </w:r>
      <w:r w:rsidRPr="002D6624">
        <w:t>części B Załącznika VI RDW. Ich zadaniem jest wsparcie działań podstawowych w</w:t>
      </w:r>
      <w:r>
        <w:t xml:space="preserve"> </w:t>
      </w:r>
      <w:r w:rsidRPr="002D6624">
        <w:t xml:space="preserve">realizacji celów zasadniczych z art. 4 RDW. </w:t>
      </w:r>
    </w:p>
    <w:p w14:paraId="7A8508A8" w14:textId="77777777" w:rsidR="00860BC1" w:rsidRPr="002D6624" w:rsidRDefault="00860BC1" w:rsidP="00860BC1">
      <w:r w:rsidRPr="002D6624">
        <w:t xml:space="preserve">Zgodnie z art. 11 oraz załącznikiem VI RDW działania podstawowe to środki wymagane na mocy następujących dyrektyw i rozporządzeń Parlamentu Europejskiego: </w:t>
      </w:r>
    </w:p>
    <w:p w14:paraId="5CAA04D3" w14:textId="77777777" w:rsidR="00860BC1" w:rsidRPr="002D6624" w:rsidRDefault="00860BC1" w:rsidP="00AA3506">
      <w:pPr>
        <w:pStyle w:val="Akapitzlist"/>
        <w:numPr>
          <w:ilvl w:val="0"/>
          <w:numId w:val="127"/>
        </w:numPr>
      </w:pPr>
      <w:r w:rsidRPr="002D6624">
        <w:t>Dyrektywa Parlamentu Europejskiego i Rady 2011/92/UE z dnia 13 grudnia 2011 r. w sprawie oceny skutków wywieranych przez niektóre przedsięwzięcia publiczne i prywatne na</w:t>
      </w:r>
      <w:r>
        <w:t> </w:t>
      </w:r>
      <w:r w:rsidRPr="002D6624">
        <w:t xml:space="preserve">środowisko (Dz.Urz. UE L. 26/1 z dnia 28 stycznia 2019 r.); </w:t>
      </w:r>
    </w:p>
    <w:p w14:paraId="0187ECCC" w14:textId="77777777" w:rsidR="00860BC1" w:rsidRPr="002D6624" w:rsidRDefault="00860BC1" w:rsidP="00AA3506">
      <w:pPr>
        <w:pStyle w:val="Akapitzlist"/>
        <w:numPr>
          <w:ilvl w:val="0"/>
          <w:numId w:val="127"/>
        </w:numPr>
      </w:pPr>
      <w:r w:rsidRPr="002D6624">
        <w:t xml:space="preserve">Rozporządzenie Parlamentu Europejskiego i Rady (WE) nr 1107/2009 z dnia 21 października 2009 r. dotyczące wprowadzania do obrotu środków ochrony roślin i uchylające dyrektywy Rady 79/117/EWG i 91/414/EWG (Dz.Urz. UE L. 309/1 z dnia 24.11.2009 r.); </w:t>
      </w:r>
    </w:p>
    <w:p w14:paraId="5693EEED" w14:textId="77777777" w:rsidR="00860BC1" w:rsidRPr="002D6624" w:rsidRDefault="00860BC1" w:rsidP="00AA3506">
      <w:pPr>
        <w:pStyle w:val="Akapitzlist"/>
        <w:numPr>
          <w:ilvl w:val="0"/>
          <w:numId w:val="127"/>
        </w:numPr>
      </w:pPr>
      <w:r w:rsidRPr="002D6624">
        <w:t xml:space="preserve">Dyrektywa Rady z dnia 12 czerwca 1986 r. w sprawie ochrony środowiska, w szczególności gleby, w przypadku wykorzystywania osadów ściekowych w rolnictwie 86/278/EWG (Dz.Urz. UE L. 181 z dnia 4 lipca 1986 r.); </w:t>
      </w:r>
    </w:p>
    <w:p w14:paraId="0441E95F" w14:textId="77777777" w:rsidR="00860BC1" w:rsidRPr="002D6624" w:rsidRDefault="00860BC1" w:rsidP="00AA3506">
      <w:pPr>
        <w:pStyle w:val="Akapitzlist"/>
        <w:numPr>
          <w:ilvl w:val="0"/>
          <w:numId w:val="127"/>
        </w:numPr>
      </w:pPr>
      <w:r w:rsidRPr="002D6624">
        <w:t>Dyrektywa Rady 96/82/WE z dnia 9 grudnia 1996 r. w sprawie kontroli niebezpieczeństwa poważnych awarii związanych z substancjami niebezpiecznymi (Dz.Urz. UE L. z dnia 14 stycznia 1997 r.) oraz Dyrektywa Parlamentu Europejskiego i Rady 2012/18/UE z dnia 4 lipca 2012 r. w</w:t>
      </w:r>
      <w:r>
        <w:t> </w:t>
      </w:r>
      <w:r w:rsidRPr="002D6624">
        <w:t xml:space="preserve">sprawie kontroli zagrożeń poważnymi awariami związanymi z substancjami niebezpiecznymi, zmieniająca, a następnie uchylająca dyrektywę Rady 96/82/WE (Dz.Urz. UE L. 197/1 z dnia 24 lipca 2012 r.); </w:t>
      </w:r>
    </w:p>
    <w:p w14:paraId="6FA29655" w14:textId="77777777" w:rsidR="00860BC1" w:rsidRPr="002D6624" w:rsidRDefault="00860BC1" w:rsidP="00AA3506">
      <w:pPr>
        <w:pStyle w:val="Akapitzlist"/>
        <w:numPr>
          <w:ilvl w:val="0"/>
          <w:numId w:val="127"/>
        </w:numPr>
      </w:pPr>
      <w:r w:rsidRPr="002D6624">
        <w:t xml:space="preserve">Dyrektywa Parlamentu Europejskiego i Rady 2010/75/UE z dnia 24 listopada 2010 r. w sprawie emisji przemysłowych (zintegrowane zapobieganie zanieczyszczeniom i ich kontrola) </w:t>
      </w:r>
      <w:r>
        <w:br/>
      </w:r>
      <w:r w:rsidRPr="002D6624">
        <w:t xml:space="preserve">(Dz.Urz. UE L. 334/17 z dnia 17.12.2010 r.); </w:t>
      </w:r>
    </w:p>
    <w:p w14:paraId="4B6E3D41" w14:textId="77777777" w:rsidR="00860BC1" w:rsidRPr="002D6624" w:rsidRDefault="00860BC1" w:rsidP="00AA3506">
      <w:pPr>
        <w:pStyle w:val="Akapitzlist"/>
        <w:numPr>
          <w:ilvl w:val="0"/>
          <w:numId w:val="127"/>
        </w:numPr>
      </w:pPr>
      <w:r w:rsidRPr="002D6624">
        <w:t xml:space="preserve">Dyrektywa Rady z dnia 21 maja 1991 r. dotycząca oczyszczania ścieków komunalnych 91/271/EWG (Dz.Urz. UE L. 135 z dnia 30 maja 1995 r.); </w:t>
      </w:r>
    </w:p>
    <w:p w14:paraId="5F30C28C" w14:textId="77777777" w:rsidR="00860BC1" w:rsidRPr="002D6624" w:rsidRDefault="00860BC1" w:rsidP="00AA3506">
      <w:pPr>
        <w:pStyle w:val="Akapitzlist"/>
        <w:numPr>
          <w:ilvl w:val="0"/>
          <w:numId w:val="127"/>
        </w:numPr>
      </w:pPr>
      <w:r>
        <w:t xml:space="preserve">Dyrektywa Rady 98/83/WE z dnia 3 listopada 1998 r. w sprawie jakości wody przeznaczonej do spożycia przez ludzi (Dz.Urz. UE L. 330 z dnia 5 grudnia 1998 r.); </w:t>
      </w:r>
    </w:p>
    <w:p w14:paraId="6CA47030" w14:textId="77777777" w:rsidR="00860BC1" w:rsidRPr="002D6624" w:rsidRDefault="00860BC1" w:rsidP="00AA3506">
      <w:pPr>
        <w:pStyle w:val="Akapitzlist"/>
        <w:numPr>
          <w:ilvl w:val="0"/>
          <w:numId w:val="127"/>
        </w:numPr>
      </w:pPr>
      <w:r w:rsidRPr="002D6624">
        <w:t xml:space="preserve">Dyrektywa 2006/7/WE Parlamentu Europejskiego i Rady z dnia 15 lutego 2006 r. dotycząca zarządzania jakością wody w kąpieliskach i uchylająca dyrektywę 76/160/EWG (Dz.Urz. UE L. 64/37 z dnia 4 marca 2006 r.); </w:t>
      </w:r>
    </w:p>
    <w:p w14:paraId="7B70E0E3" w14:textId="77777777" w:rsidR="00860BC1" w:rsidRPr="002D6624" w:rsidRDefault="00860BC1" w:rsidP="00AA3506">
      <w:pPr>
        <w:pStyle w:val="Akapitzlist"/>
        <w:numPr>
          <w:ilvl w:val="0"/>
          <w:numId w:val="127"/>
        </w:numPr>
      </w:pPr>
      <w:r w:rsidRPr="002D6624">
        <w:t xml:space="preserve">Dyrektywa Rady 92/43/EWG z dnia 21 maja 1992 r. w sprawie ochrony siedlisk przyrodniczych oraz dzikiej fauny i flory (Dz.Urz. UE L. 206 z dnia 22 lipca 1992 r.); </w:t>
      </w:r>
    </w:p>
    <w:p w14:paraId="3470639F" w14:textId="77777777" w:rsidR="00860BC1" w:rsidRPr="002D6624" w:rsidRDefault="00860BC1" w:rsidP="00AA3506">
      <w:pPr>
        <w:pStyle w:val="Akapitzlist"/>
        <w:numPr>
          <w:ilvl w:val="0"/>
          <w:numId w:val="127"/>
        </w:numPr>
      </w:pPr>
      <w:r w:rsidRPr="002D6624">
        <w:t>Dyrektywa Parlamentu Europejskiego i Rady 2009/147/WE z dnia 30 listopada 2009</w:t>
      </w:r>
      <w:r>
        <w:t> </w:t>
      </w:r>
      <w:r w:rsidRPr="002D6624">
        <w:t xml:space="preserve">r. w sprawie ochrony dzikiego ptactwa (Dz.Urz. UE L. 20/7 z dnia 26 stycznia 2010 r.); </w:t>
      </w:r>
    </w:p>
    <w:p w14:paraId="56AA87AD" w14:textId="77777777" w:rsidR="00860BC1" w:rsidRPr="002D6624" w:rsidRDefault="00860BC1" w:rsidP="00AA3506">
      <w:pPr>
        <w:pStyle w:val="Akapitzlist"/>
        <w:numPr>
          <w:ilvl w:val="0"/>
          <w:numId w:val="127"/>
        </w:numPr>
      </w:pPr>
      <w:r w:rsidRPr="002D6624">
        <w:t xml:space="preserve">Dyrektywa Rady z dnia 12 grudnia 1991 r. dotycząca ochrony wód przed zanieczyszczeniami powodowanymi przez azotany pochodzenia rolniczego 91/676/EWG (Dz.Urz. UE L. 1991.375.1 z dnia 31 grudnia 1991 r.); </w:t>
      </w:r>
    </w:p>
    <w:p w14:paraId="6723EB89" w14:textId="77777777" w:rsidR="00860BC1" w:rsidRPr="002D6624" w:rsidRDefault="00860BC1" w:rsidP="00AA3506">
      <w:pPr>
        <w:pStyle w:val="Akapitzlist"/>
        <w:numPr>
          <w:ilvl w:val="0"/>
          <w:numId w:val="127"/>
        </w:numPr>
      </w:pPr>
      <w:r w:rsidRPr="002D6624">
        <w:t>Dyrektywa 2006/118/WE Parlamentu Europejskiego i Rady z dnia 12 grudnia 2006 r. w</w:t>
      </w:r>
      <w:r>
        <w:t xml:space="preserve"> </w:t>
      </w:r>
      <w:r w:rsidRPr="002D6624">
        <w:t>sprawie ochrony wód podziemnych przed zanieczyszczeniem i pogorszeniem ich stanu (Dz.Urz. UE L. 372/19 z dnia 27 grudnia 2006 r.) oraz Dyrektywa Komisji 2014/80/UE z dnia 20 czerwca 2014 r. zmieniająca załącznik II do dyrektywy 2006/118/WE Parlamentu Europejskiego i Rady w</w:t>
      </w:r>
      <w:r>
        <w:t> </w:t>
      </w:r>
      <w:r w:rsidRPr="002D6624">
        <w:t>sprawie ochrony wód podziemnych przed zanieczyszczeniem i</w:t>
      </w:r>
      <w:r>
        <w:t xml:space="preserve"> </w:t>
      </w:r>
      <w:r w:rsidRPr="002D6624">
        <w:t xml:space="preserve">pogorszeniem ich stanu (Dz.Urz. UE L. 328/82 z dnia 21.12.2018 r.); </w:t>
      </w:r>
    </w:p>
    <w:p w14:paraId="680FD1FD" w14:textId="77777777" w:rsidR="00860BC1" w:rsidRPr="002D6624" w:rsidRDefault="00860BC1" w:rsidP="00AA3506">
      <w:pPr>
        <w:pStyle w:val="Akapitzlist"/>
        <w:numPr>
          <w:ilvl w:val="0"/>
          <w:numId w:val="127"/>
        </w:numPr>
      </w:pPr>
      <w:r w:rsidRPr="002D6624">
        <w:t xml:space="preserve">Dyrektywa Komisji 2009/90/WE z dnia 31 lipca 2009 r. ustanawiająca, na mocy dyrektywy 2000/60/WE Parlamentu Europejskiego i Rady, specyfikacje techniczne w zakresie analizy </w:t>
      </w:r>
      <w:r w:rsidRPr="002D6624">
        <w:br/>
        <w:t>i monitorowania stanu chemicznego wód (Dz.Urz. UE L. 201/36 z dnia 1 sierpnia 2009 r.).</w:t>
      </w:r>
    </w:p>
    <w:p w14:paraId="41F7D457" w14:textId="77777777" w:rsidR="00860BC1" w:rsidRDefault="00860BC1" w:rsidP="00860BC1">
      <w:r w:rsidRPr="00D87160">
        <w:t>Działania podstawowe dla obszarów chronionych obejmują zgodnie z art. 11 ust. 3 RDW środki wymagane dla wdrożenia prawodawstwa wspólnotowego dotyczącego ochrony wód, w tym działań wymaganych w ramach prawodawstwa określonego w art. 10 i części A załącznika VI.</w:t>
      </w:r>
      <w:r w:rsidRPr="002D6624">
        <w:t xml:space="preserve"> </w:t>
      </w:r>
    </w:p>
    <w:p w14:paraId="5B99E9FE" w14:textId="77777777" w:rsidR="00860BC1" w:rsidRPr="002D6624" w:rsidRDefault="00860BC1" w:rsidP="00860BC1">
      <w:r w:rsidRPr="002D6624">
        <w:t>Ustawa pr.w., implementując przepisy RDW, określa w art. 324 cel i</w:t>
      </w:r>
      <w:r>
        <w:t xml:space="preserve"> </w:t>
      </w:r>
      <w:r w:rsidRPr="002D6624">
        <w:t xml:space="preserve">zakres zestawu działań ustalanego w ramach przygotowania planu gospodarowania wodami. </w:t>
      </w:r>
    </w:p>
    <w:p w14:paraId="3AB28DB1" w14:textId="77777777" w:rsidR="00860BC1" w:rsidRPr="002D6624" w:rsidRDefault="00860BC1" w:rsidP="00860BC1">
      <w:r w:rsidRPr="002D6624">
        <w:t xml:space="preserve">Wg ustawy pr.w. działania podstawowe ustala się dla wszystkich części wód, zaś uzupełniające dla jcw zagrożonych nieosiągnięciem ustalonych dla nich celów środowiskowych w zależności od ustalenia przyczyn zagrożenia. </w:t>
      </w:r>
    </w:p>
    <w:p w14:paraId="6EF27FA9" w14:textId="77777777" w:rsidR="00860BC1" w:rsidRPr="002D6624" w:rsidRDefault="00860BC1" w:rsidP="00860BC1">
      <w:r w:rsidRPr="002D6624">
        <w:t>Działania uzupełniające, wg art. 324 ust. 4 ustawy pr.w. ukierunkowane są w szczególności na</w:t>
      </w:r>
      <w:r>
        <w:t> </w:t>
      </w:r>
      <w:r w:rsidRPr="002D6624">
        <w:t>osiągnięcie celów środowiskowych i mogą wskazywać:</w:t>
      </w:r>
    </w:p>
    <w:p w14:paraId="681877B8" w14:textId="77777777" w:rsidR="00860BC1" w:rsidRPr="002D6624" w:rsidRDefault="00860BC1" w:rsidP="00AA3506">
      <w:pPr>
        <w:pStyle w:val="Akapitzlist"/>
        <w:numPr>
          <w:ilvl w:val="0"/>
          <w:numId w:val="128"/>
        </w:numPr>
      </w:pPr>
      <w:r w:rsidRPr="002D6624">
        <w:t>Środki prawne, administracyjne i ekonomiczne niezbędne do zapewnienia optymalnego wdrożenia przyjętych działań;</w:t>
      </w:r>
    </w:p>
    <w:p w14:paraId="0DB5BB78" w14:textId="77777777" w:rsidR="00860BC1" w:rsidRPr="002D6624" w:rsidRDefault="00860BC1" w:rsidP="00AA3506">
      <w:pPr>
        <w:pStyle w:val="Akapitzlist"/>
        <w:numPr>
          <w:ilvl w:val="0"/>
          <w:numId w:val="128"/>
        </w:numPr>
      </w:pPr>
      <w:r w:rsidRPr="002D6624">
        <w:t>Wynegocjowane porozumienia dotyczące korzystania ze środowiska;</w:t>
      </w:r>
    </w:p>
    <w:p w14:paraId="0FE5941B" w14:textId="77777777" w:rsidR="00860BC1" w:rsidRPr="002D6624" w:rsidRDefault="00860BC1" w:rsidP="00AA3506">
      <w:pPr>
        <w:pStyle w:val="Akapitzlist"/>
        <w:numPr>
          <w:ilvl w:val="0"/>
          <w:numId w:val="128"/>
        </w:numPr>
      </w:pPr>
      <w:r w:rsidRPr="002D6624">
        <w:t>Działania na rzecz ograniczenia emisji;</w:t>
      </w:r>
    </w:p>
    <w:p w14:paraId="756F9B69" w14:textId="77777777" w:rsidR="00860BC1" w:rsidRPr="002D6624" w:rsidRDefault="00860BC1" w:rsidP="00AA3506">
      <w:pPr>
        <w:pStyle w:val="Akapitzlist"/>
        <w:numPr>
          <w:ilvl w:val="0"/>
          <w:numId w:val="128"/>
        </w:numPr>
      </w:pPr>
      <w:r w:rsidRPr="002D6624">
        <w:t>Zasady dobrej praktyki;</w:t>
      </w:r>
    </w:p>
    <w:p w14:paraId="55A9EF8C" w14:textId="77777777" w:rsidR="00860BC1" w:rsidRPr="002D6624" w:rsidRDefault="00860BC1" w:rsidP="00AA3506">
      <w:pPr>
        <w:pStyle w:val="Akapitzlist"/>
        <w:numPr>
          <w:ilvl w:val="0"/>
          <w:numId w:val="128"/>
        </w:numPr>
      </w:pPr>
      <w:r w:rsidRPr="002D6624">
        <w:t>Przywracanie i tworzenie terenów podmokłych;</w:t>
      </w:r>
    </w:p>
    <w:p w14:paraId="7357B6FB" w14:textId="77777777" w:rsidR="00860BC1" w:rsidRPr="002D6624" w:rsidRDefault="00860BC1" w:rsidP="00AA3506">
      <w:pPr>
        <w:pStyle w:val="Akapitzlist"/>
        <w:numPr>
          <w:ilvl w:val="0"/>
          <w:numId w:val="128"/>
        </w:numPr>
      </w:pPr>
      <w:r w:rsidRPr="002D6624">
        <w:t xml:space="preserve">Działania służące efektywnemu korzystaniu z wody i ponownemu jej wykorzystaniu, przede wszystkim promowanie technologii polegających na efektywnym wykorzystaniu wody </w:t>
      </w:r>
      <w:r w:rsidRPr="002D6624">
        <w:br/>
        <w:t>w przemyśle i oszczędzających wodę technik nawadniania;</w:t>
      </w:r>
    </w:p>
    <w:p w14:paraId="0713B552" w14:textId="77777777" w:rsidR="00860BC1" w:rsidRPr="002D6624" w:rsidRDefault="00860BC1" w:rsidP="00AA3506">
      <w:pPr>
        <w:pStyle w:val="Akapitzlist"/>
        <w:numPr>
          <w:ilvl w:val="0"/>
          <w:numId w:val="128"/>
        </w:numPr>
      </w:pPr>
      <w:r w:rsidRPr="002D6624">
        <w:t>Przedsięwzięcia techniczne, badawcze, rozwojowe, demonstracyjne i edukacyjne.</w:t>
      </w:r>
    </w:p>
    <w:p w14:paraId="1A1FC144" w14:textId="77777777" w:rsidR="00860BC1" w:rsidRPr="002D6624" w:rsidRDefault="00860BC1" w:rsidP="00860BC1">
      <w:r w:rsidRPr="002D6624">
        <w:t>Ponadto działania uzupełniające mogą być również wdrażane w celu zapewnienia dodatkowej ochrony lub poprawy stanu wód lub dla realizacji umów międzynarodowych mających na celu ochronę wód, w tym ochronę i zapobieganie zanieczyszczaniu środowiska morskiego (art. 324 ust. 5 ustawy pr.w.).</w:t>
      </w:r>
    </w:p>
    <w:p w14:paraId="4F460334" w14:textId="77777777" w:rsidR="00860BC1" w:rsidRPr="002D6624" w:rsidRDefault="00860BC1" w:rsidP="00860BC1">
      <w:r w:rsidRPr="002D6624">
        <w:t>Według art. 325 ust. 1 ustawy pr.w. działania uzupełniające, o których mowa wart. 324 ust. 4 wprowadza się do planu gospodarowania wodami lub jego aktualizacji, jeżeli wyniki monitoringu wód lub innych danych wskazują, że zagrożone jest osiągnięcie celów środowiskowych, a jeżeli jest to</w:t>
      </w:r>
      <w:r>
        <w:t> </w:t>
      </w:r>
      <w:r w:rsidRPr="002D6624">
        <w:t>uzasadnione, ustala się bardziej restrykcyjne środowiskowe normy jakości.</w:t>
      </w:r>
    </w:p>
    <w:p w14:paraId="4BF5AFE4" w14:textId="77777777" w:rsidR="00860BC1" w:rsidRDefault="00860BC1" w:rsidP="00860BC1">
      <w:r w:rsidRPr="002D6624">
        <w:t>Zgodnie z art. 325 ust. 2 działań uzupełniających, o których mowa w art. 324 ust. 4, można nie wprowadzić do planu gospodarowania wodami lub jego aktualizacji, jeżeli zagrożenie osiągnięcia celów środowiskowych spowodowane jest okolicznościami pochodzenia naturalnego lub sił wyższych, które są wyjątkowymi i nie mogły być przewidziane, w szczególności ekstremalnymi zjawiskami powodziowymi lub długotrwałymi suszami.</w:t>
      </w:r>
    </w:p>
    <w:p w14:paraId="2B699B0A" w14:textId="77777777" w:rsidR="00860BC1" w:rsidRDefault="00860BC1" w:rsidP="00860BC1">
      <w:r w:rsidRPr="002D6624">
        <w:t xml:space="preserve">Z uwagi na charakter działań podstawowych, </w:t>
      </w:r>
      <w:r>
        <w:t>na potrzeby IIaPGW, zos</w:t>
      </w:r>
      <w:r w:rsidRPr="002D6624">
        <w:t xml:space="preserve">tały one podzielone na działania na poziomie krajowym (ogólnokrajowy zakres realizacji) oraz na działania skierowane do konkretnych jcw. </w:t>
      </w:r>
      <w:r>
        <w:t>W ten sposób utworzone zostały dwa odrębne rodzaje katalogów działań:</w:t>
      </w:r>
    </w:p>
    <w:p w14:paraId="0D6DA6FA" w14:textId="77777777" w:rsidR="00860BC1" w:rsidRDefault="00860BC1" w:rsidP="00860BC1">
      <w:r>
        <w:t>katalog działań krajowych (</w:t>
      </w:r>
      <w:r w:rsidRPr="002D6624">
        <w:t>ogólnokrajowy zakres realizacji</w:t>
      </w:r>
      <w:r>
        <w:t xml:space="preserve"> działań dotyczących wszystkich jcw);</w:t>
      </w:r>
    </w:p>
    <w:p w14:paraId="42AB7E37" w14:textId="77777777" w:rsidR="00860BC1" w:rsidRPr="002D6624" w:rsidRDefault="00860BC1" w:rsidP="00860BC1">
      <w:r>
        <w:t>katalogi działań dla poszczególnych kategorii wód (zakres realizacji działań ograniczony do konkretnych jcw).</w:t>
      </w:r>
    </w:p>
    <w:p w14:paraId="4815E310" w14:textId="77777777" w:rsidR="00860BC1" w:rsidRDefault="00860BC1" w:rsidP="00860BC1">
      <w:r w:rsidRPr="004C767C">
        <w:t xml:space="preserve">Katalogi działań dla poszczególnych kategorii wód zawierają zarówno działania podstawowe skierowane do poszczególnych jcw oraz działania uzupełniające, stanowiąc podstawę dla zaprojektowanych zestawów działań. </w:t>
      </w:r>
      <w:r w:rsidRPr="00860BC1">
        <w:t>W przypadku obszaru dorzecza Pregoły katalogi działań dotyczą: jcwp RW, jcwp LW oraz jcwpd.</w:t>
      </w:r>
      <w:r>
        <w:t xml:space="preserve"> </w:t>
      </w:r>
    </w:p>
    <w:p w14:paraId="0AB4C9E9" w14:textId="77777777" w:rsidR="00860BC1" w:rsidRPr="002D6624" w:rsidRDefault="00860BC1" w:rsidP="00860BC1">
      <w:r>
        <w:t>Powiązania pomiędzy katalogiem działań krajowych, katalogami dla poszczególnych kategorii wód i docelowo zestawami działań prezentuje poniższy schemat.</w:t>
      </w:r>
    </w:p>
    <w:p w14:paraId="5E1B7C18" w14:textId="2561EC8B" w:rsidR="00860BC1" w:rsidRDefault="000A6D90" w:rsidP="00860BC1">
      <w:pPr>
        <w:keepNext/>
        <w:jc w:val="center"/>
      </w:pPr>
      <w:r>
        <w:rPr>
          <w:noProof/>
        </w:rPr>
        <w:drawing>
          <wp:inline distT="0" distB="0" distL="0" distR="0" wp14:anchorId="40C1D340" wp14:editId="0082F925">
            <wp:extent cx="5561555" cy="6074228"/>
            <wp:effectExtent l="0" t="0" r="1270" b="317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8692" r="8730"/>
                    <a:stretch/>
                  </pic:blipFill>
                  <pic:spPr bwMode="auto">
                    <a:xfrm>
                      <a:off x="0" y="0"/>
                      <a:ext cx="5581528" cy="6096043"/>
                    </a:xfrm>
                    <a:prstGeom prst="rect">
                      <a:avLst/>
                    </a:prstGeom>
                    <a:ln>
                      <a:noFill/>
                    </a:ln>
                    <a:extLst>
                      <a:ext uri="{53640926-AAD7-44D8-BBD7-CCE9431645EC}">
                        <a14:shadowObscured xmlns:a14="http://schemas.microsoft.com/office/drawing/2010/main"/>
                      </a:ext>
                    </a:extLst>
                  </pic:spPr>
                </pic:pic>
              </a:graphicData>
            </a:graphic>
          </wp:inline>
        </w:drawing>
      </w:r>
    </w:p>
    <w:p w14:paraId="54B2B51A" w14:textId="469BA5AE" w:rsidR="00860BC1" w:rsidRPr="002D6624" w:rsidRDefault="00860BC1" w:rsidP="006802BB">
      <w:pPr>
        <w:pStyle w:val="Legenda"/>
      </w:pPr>
      <w:bookmarkStart w:id="370" w:name="_Toc68727077"/>
      <w:r>
        <w:t xml:space="preserve">Rysunek </w:t>
      </w:r>
      <w:fldSimple w:instr=" STYLEREF 1 \s ">
        <w:r>
          <w:rPr>
            <w:noProof/>
          </w:rPr>
          <w:t>12</w:t>
        </w:r>
      </w:fldSimple>
      <w:r>
        <w:noBreakHyphen/>
      </w:r>
      <w:fldSimple w:instr=" SEQ Rysunek \* ARABIC \s 1 ">
        <w:r>
          <w:rPr>
            <w:noProof/>
          </w:rPr>
          <w:t>1</w:t>
        </w:r>
      </w:fldSimple>
      <w:r w:rsidR="000E05F6">
        <w:tab/>
      </w:r>
      <w:r w:rsidRPr="00875BE9">
        <w:t>Powiązania wzajemne katalogów i zestawów</w:t>
      </w:r>
      <w:bookmarkEnd w:id="370"/>
    </w:p>
    <w:p w14:paraId="69A8C8F8" w14:textId="77777777" w:rsidR="00860BC1" w:rsidRPr="002D6624" w:rsidRDefault="00860BC1" w:rsidP="00860BC1">
      <w:pPr>
        <w:pStyle w:val="rdo0"/>
      </w:pPr>
      <w:r w:rsidRPr="002D6624">
        <w:t xml:space="preserve">Źródło: </w:t>
      </w:r>
      <w:r w:rsidRPr="00860BC1">
        <w:t>opracowanie</w:t>
      </w:r>
      <w:r w:rsidRPr="002D6624">
        <w:t xml:space="preserve"> </w:t>
      </w:r>
      <w:r>
        <w:t>własne</w:t>
      </w:r>
    </w:p>
    <w:p w14:paraId="0B32D3E0" w14:textId="77777777" w:rsidR="00860BC1" w:rsidRDefault="00860BC1" w:rsidP="00860BC1">
      <w:r w:rsidRPr="002D6624">
        <w:t>Zestawy działań zostały opracowane w ramach kompleksowej analizy dostępnych materiałów oraz uzupełnione o dane pozyskane w procesie ankietyzacji</w:t>
      </w:r>
      <w:r>
        <w:t xml:space="preserve"> (wykaz materiałów wykorzystanych do przygotowania IIaPGW przedstawia rozdział 24)</w:t>
      </w:r>
      <w:r w:rsidRPr="002D6624">
        <w:t xml:space="preserve">. </w:t>
      </w:r>
    </w:p>
    <w:p w14:paraId="37F6DC91" w14:textId="77777777" w:rsidR="00860BC1" w:rsidRPr="002D6624" w:rsidRDefault="00860BC1" w:rsidP="00860BC1">
      <w:r w:rsidRPr="002D6624">
        <w:t>Podstawą zestawu działań jcw były działania ukierunkowane na ochronę, poprawę stanu wód</w:t>
      </w:r>
      <w:r>
        <w:t xml:space="preserve"> i </w:t>
      </w:r>
      <w:r w:rsidRPr="002D6624">
        <w:t xml:space="preserve">sprzyjające osiąganiu celów środowiskowych jcw/jcwpd oraz obszarów chronionych. </w:t>
      </w:r>
      <w:r>
        <w:t>D</w:t>
      </w:r>
      <w:r w:rsidRPr="002D6624">
        <w:t xml:space="preserve">ziałania uzupełniające </w:t>
      </w:r>
      <w:r>
        <w:t xml:space="preserve">wskazane zostały </w:t>
      </w:r>
      <w:r w:rsidRPr="002D6624">
        <w:t>na podstawie oceny ryzyka nieosiągnięcia celów środowiskowych ustalonych dla jcwp i jcwpd (podsumowanie identyfikacji znaczących oddziaływań antropogenicznych i oceny ich wpływu na stan wód powierzchniowych i podziemnych</w:t>
      </w:r>
      <w:r w:rsidRPr="00AE398E">
        <w:t xml:space="preserve"> </w:t>
      </w:r>
      <w:r>
        <w:t xml:space="preserve">przedstawia </w:t>
      </w:r>
      <w:r w:rsidRPr="002D6624">
        <w:t>rozdział 7 IIaPGW</w:t>
      </w:r>
      <w:r>
        <w:t>).</w:t>
      </w:r>
    </w:p>
    <w:p w14:paraId="14787641" w14:textId="77777777" w:rsidR="00860BC1" w:rsidRPr="002D6624" w:rsidRDefault="00860BC1" w:rsidP="00860BC1">
      <w:r w:rsidRPr="002D6624">
        <w:t xml:space="preserve">Podczas identyfikacji działań wykorzystano: </w:t>
      </w:r>
    </w:p>
    <w:p w14:paraId="6C5D4B57" w14:textId="77777777" w:rsidR="00860BC1" w:rsidRPr="002D6624" w:rsidRDefault="00860BC1" w:rsidP="00AA3506">
      <w:pPr>
        <w:pStyle w:val="Akapitzlist"/>
        <w:numPr>
          <w:ilvl w:val="0"/>
          <w:numId w:val="130"/>
        </w:numPr>
        <w:rPr>
          <w:rFonts w:eastAsiaTheme="minorEastAsia" w:cstheme="minorBidi"/>
        </w:rPr>
      </w:pPr>
      <w:r w:rsidRPr="002D6624">
        <w:t>Plany przeciwdziałania skutkom suszy</w:t>
      </w:r>
      <w:r>
        <w:t>;</w:t>
      </w:r>
    </w:p>
    <w:p w14:paraId="52203D7E" w14:textId="77777777" w:rsidR="00860BC1" w:rsidRPr="002D6624" w:rsidRDefault="00860BC1" w:rsidP="00AA3506">
      <w:pPr>
        <w:pStyle w:val="Akapitzlist"/>
        <w:numPr>
          <w:ilvl w:val="0"/>
          <w:numId w:val="130"/>
        </w:numPr>
        <w:rPr>
          <w:rFonts w:eastAsiaTheme="minorEastAsia" w:cstheme="minorBidi"/>
        </w:rPr>
      </w:pPr>
      <w:r w:rsidRPr="002D6624">
        <w:t>Krajowy program renaturyzacji wód powierzchniowych</w:t>
      </w:r>
      <w:r>
        <w:t>;</w:t>
      </w:r>
    </w:p>
    <w:p w14:paraId="39E3F266" w14:textId="77777777" w:rsidR="00860BC1" w:rsidRPr="002D6624" w:rsidRDefault="00860BC1" w:rsidP="00AA3506">
      <w:pPr>
        <w:pStyle w:val="Akapitzlist"/>
        <w:numPr>
          <w:ilvl w:val="0"/>
          <w:numId w:val="130"/>
        </w:numPr>
        <w:rPr>
          <w:rFonts w:eastAsiaTheme="minorEastAsia" w:cstheme="minorBidi"/>
        </w:rPr>
      </w:pPr>
      <w:r w:rsidRPr="002D6624">
        <w:t>Plany zarządzania ryzykiem powodziowym i ich aktualizacje</w:t>
      </w:r>
      <w:r>
        <w:t>;</w:t>
      </w:r>
    </w:p>
    <w:p w14:paraId="78D714E8" w14:textId="77777777" w:rsidR="00860BC1" w:rsidRPr="002D6624" w:rsidRDefault="00860BC1" w:rsidP="00AA3506">
      <w:pPr>
        <w:pStyle w:val="Akapitzlist"/>
        <w:numPr>
          <w:ilvl w:val="0"/>
          <w:numId w:val="130"/>
        </w:numPr>
        <w:rPr>
          <w:rFonts w:eastAsiaTheme="minorEastAsia" w:cstheme="minorBidi"/>
        </w:rPr>
      </w:pPr>
      <w:r w:rsidRPr="002D6624">
        <w:t>Krajowy programu oczyszczania ścieków komunalnych - na podstawie materiałów przedłożonych do konsultacji społecznych w ramach strategicznej oceny oddziaływania na</w:t>
      </w:r>
      <w:r>
        <w:t> </w:t>
      </w:r>
      <w:r w:rsidRPr="002D6624">
        <w:t>środowisko szóstej aktualizacji Krajowego programu oczyszczania ścieków komunalnych (VI</w:t>
      </w:r>
      <w:r>
        <w:t> </w:t>
      </w:r>
      <w:r w:rsidRPr="002D6624">
        <w:t>aKPOŚK)</w:t>
      </w:r>
      <w:r>
        <w:t>;</w:t>
      </w:r>
    </w:p>
    <w:p w14:paraId="6E4A1106" w14:textId="77777777" w:rsidR="00860BC1" w:rsidRPr="002D6624" w:rsidRDefault="00860BC1" w:rsidP="00AA3506">
      <w:pPr>
        <w:pStyle w:val="Akapitzlist"/>
        <w:numPr>
          <w:ilvl w:val="0"/>
          <w:numId w:val="130"/>
        </w:numPr>
        <w:rPr>
          <w:rFonts w:eastAsiaTheme="minorEastAsia" w:cstheme="minorBidi"/>
        </w:rPr>
      </w:pPr>
      <w:r w:rsidRPr="002D6624">
        <w:t>Program działań mających na celu zmniejszenie zanieczyszczenia wód azotanami pochodzącymi ze źródeł rolniczych oraz zapobieganie dalszemu zanieczyszczeniu</w:t>
      </w:r>
      <w:r>
        <w:t>;</w:t>
      </w:r>
    </w:p>
    <w:p w14:paraId="2A7C000D" w14:textId="77777777" w:rsidR="00860BC1" w:rsidRPr="002D6624" w:rsidRDefault="00860BC1" w:rsidP="00AA3506">
      <w:pPr>
        <w:pStyle w:val="Akapitzlist"/>
        <w:numPr>
          <w:ilvl w:val="0"/>
          <w:numId w:val="130"/>
        </w:numPr>
        <w:rPr>
          <w:rFonts w:eastAsiaTheme="minorEastAsia" w:cstheme="minorBidi"/>
        </w:rPr>
      </w:pPr>
      <w:r w:rsidRPr="002D6624">
        <w:t>Plan</w:t>
      </w:r>
      <w:r>
        <w:t>y</w:t>
      </w:r>
      <w:r w:rsidRPr="002D6624">
        <w:t xml:space="preserve"> utrzymania wód, opracowan</w:t>
      </w:r>
      <w:r>
        <w:t>e</w:t>
      </w:r>
      <w:r w:rsidRPr="002D6624">
        <w:t xml:space="preserve"> przez dyrektorów RZGW</w:t>
      </w:r>
      <w:r>
        <w:t>;</w:t>
      </w:r>
    </w:p>
    <w:p w14:paraId="721AC9B6" w14:textId="77777777" w:rsidR="00860BC1" w:rsidRPr="002D6624" w:rsidRDefault="00860BC1" w:rsidP="00AA3506">
      <w:pPr>
        <w:pStyle w:val="Akapitzlist"/>
        <w:numPr>
          <w:ilvl w:val="0"/>
          <w:numId w:val="130"/>
        </w:numPr>
        <w:rPr>
          <w:rFonts w:eastAsiaTheme="minorEastAsia" w:cstheme="minorBidi"/>
        </w:rPr>
      </w:pPr>
      <w:r w:rsidRPr="002D6624">
        <w:t>Dokumenty źródłowe opracowane na potrzeby realizacji IIaPGW, w tym wskazane w art. 317 ustawy pr.w.</w:t>
      </w:r>
      <w:r>
        <w:t>;</w:t>
      </w:r>
    </w:p>
    <w:p w14:paraId="08B946E7" w14:textId="77777777" w:rsidR="00860BC1" w:rsidRPr="002D6624" w:rsidRDefault="00860BC1" w:rsidP="00AA3506">
      <w:pPr>
        <w:pStyle w:val="Akapitzlist"/>
        <w:numPr>
          <w:ilvl w:val="0"/>
          <w:numId w:val="130"/>
        </w:numPr>
        <w:rPr>
          <w:rFonts w:eastAsiaTheme="minorEastAsia" w:cstheme="minorBidi"/>
        </w:rPr>
      </w:pPr>
      <w:r w:rsidRPr="002D6624">
        <w:t>Protokoły z posiedzeń Komisji ds. Wód Granicznych, działających w ramach współpracy międzynarodowej na wodach granicznych</w:t>
      </w:r>
      <w:r>
        <w:t>;</w:t>
      </w:r>
    </w:p>
    <w:p w14:paraId="46E1C217" w14:textId="72BC12E4" w:rsidR="00860BC1" w:rsidRPr="002D6624" w:rsidRDefault="00860BC1" w:rsidP="00AA3506">
      <w:pPr>
        <w:pStyle w:val="Akapitzlist"/>
        <w:numPr>
          <w:ilvl w:val="0"/>
          <w:numId w:val="130"/>
        </w:numPr>
        <w:rPr>
          <w:rFonts w:eastAsiaTheme="minorEastAsia" w:cstheme="minorBidi"/>
        </w:rPr>
      </w:pPr>
      <w:r w:rsidRPr="002D6624">
        <w:t>Instrumenty wspierające aktualizacj</w:t>
      </w:r>
      <w:r>
        <w:t>ę</w:t>
      </w:r>
      <w:r w:rsidRPr="002D6624">
        <w:t xml:space="preserve"> Planów Zarządzania Ryzykiem Powodziowym (aPZRP</w:t>
      </w:r>
      <w:r>
        <w:t>;</w:t>
      </w:r>
      <w:r w:rsidRPr="002D6624">
        <w:t xml:space="preserve"> </w:t>
      </w:r>
      <w:r>
        <w:t>z</w:t>
      </w:r>
      <w:r w:rsidRPr="002D6624">
        <w:t>adanie - zapewnienie ochrony i zwiększania naturalnej retencji oraz przywracania naturalnych warunków przepływu)</w:t>
      </w:r>
      <w:r w:rsidR="003705A5">
        <w:t xml:space="preserve"> </w:t>
      </w:r>
      <w:r w:rsidR="006C4947">
        <w:t>-</w:t>
      </w:r>
      <w:r w:rsidR="003705A5">
        <w:t xml:space="preserve"> zadanie nr 2</w:t>
      </w:r>
      <w:r>
        <w:t>;</w:t>
      </w:r>
    </w:p>
    <w:p w14:paraId="5DDFD2B5" w14:textId="77777777" w:rsidR="00860BC1" w:rsidRPr="002D6624" w:rsidRDefault="00860BC1" w:rsidP="00AA3506">
      <w:pPr>
        <w:pStyle w:val="Akapitzlist"/>
        <w:numPr>
          <w:ilvl w:val="0"/>
          <w:numId w:val="130"/>
        </w:numPr>
        <w:rPr>
          <w:rFonts w:eastAsiaTheme="minorEastAsia" w:cstheme="minorBidi"/>
        </w:rPr>
      </w:pPr>
      <w:r w:rsidRPr="002D6624">
        <w:t>Projekt ustawy o inwestycjach w zakresie przeciwdziałania skutkom suszy z dnia 12 sierpnia 2020 r. - wyciąg działań</w:t>
      </w:r>
      <w:r>
        <w:t>;</w:t>
      </w:r>
    </w:p>
    <w:p w14:paraId="6EA3483C" w14:textId="77777777" w:rsidR="00860BC1" w:rsidRPr="002D6624" w:rsidRDefault="00860BC1" w:rsidP="00AA3506">
      <w:pPr>
        <w:pStyle w:val="Akapitzlist"/>
        <w:numPr>
          <w:ilvl w:val="0"/>
          <w:numId w:val="130"/>
        </w:numPr>
        <w:rPr>
          <w:rFonts w:eastAsiaTheme="minorEastAsia" w:cstheme="minorBidi"/>
        </w:rPr>
      </w:pPr>
      <w:r w:rsidRPr="002D6624">
        <w:t>Ustanowione plany ochrony i plany zadań ochronnych dla obszarów przeznaczonych do</w:t>
      </w:r>
      <w:r>
        <w:t> </w:t>
      </w:r>
      <w:r w:rsidRPr="002D6624">
        <w:t>ochrony siedlisk lub gatunków, gdzie utrzymanie lub poprawa stanu wód jest ważnym czynnikiem w ich ochronie</w:t>
      </w:r>
      <w:r>
        <w:t>;</w:t>
      </w:r>
    </w:p>
    <w:p w14:paraId="091727E0" w14:textId="77777777" w:rsidR="00860BC1" w:rsidRPr="002D6624" w:rsidRDefault="00860BC1" w:rsidP="00AA3506">
      <w:pPr>
        <w:pStyle w:val="Akapitzlist"/>
        <w:numPr>
          <w:ilvl w:val="0"/>
          <w:numId w:val="130"/>
        </w:numPr>
        <w:rPr>
          <w:rFonts w:eastAsiaTheme="minorEastAsia" w:cstheme="minorBidi"/>
        </w:rPr>
      </w:pPr>
      <w:r w:rsidRPr="002D6624">
        <w:t>Sprawozdania z realizacji Dyrektywy azotanowej</w:t>
      </w:r>
      <w:r>
        <w:t>;</w:t>
      </w:r>
    </w:p>
    <w:p w14:paraId="58617C70" w14:textId="77777777" w:rsidR="00860BC1" w:rsidRPr="002D6624" w:rsidRDefault="00860BC1" w:rsidP="00AA3506">
      <w:pPr>
        <w:pStyle w:val="Akapitzlist"/>
        <w:numPr>
          <w:ilvl w:val="0"/>
          <w:numId w:val="130"/>
        </w:numPr>
        <w:rPr>
          <w:rFonts w:eastAsiaTheme="minorEastAsia" w:cstheme="minorBidi"/>
        </w:rPr>
      </w:pPr>
      <w:r w:rsidRPr="002D6624">
        <w:t xml:space="preserve">Program przeciwdziałania niedoborowi wody. </w:t>
      </w:r>
    </w:p>
    <w:p w14:paraId="2EEFBA24" w14:textId="77777777" w:rsidR="00860BC1" w:rsidRPr="002D6624" w:rsidRDefault="00860BC1" w:rsidP="00860BC1">
      <w:pPr>
        <w:pStyle w:val="Numerowanie"/>
        <w:numPr>
          <w:ilvl w:val="0"/>
          <w:numId w:val="0"/>
        </w:numPr>
        <w:rPr>
          <w:rFonts w:eastAsiaTheme="minorEastAsia" w:cstheme="minorBidi"/>
          <w:color w:val="000000" w:themeColor="text1"/>
        </w:rPr>
      </w:pPr>
      <w:r w:rsidRPr="002D6624">
        <w:t xml:space="preserve">Inne materiały stanowiące źródła danych i informacji: </w:t>
      </w:r>
    </w:p>
    <w:p w14:paraId="3DC4CEAB" w14:textId="24993A98" w:rsidR="00860BC1" w:rsidRPr="000338C0" w:rsidRDefault="00860BC1" w:rsidP="00AA3506">
      <w:pPr>
        <w:pStyle w:val="Punkty"/>
        <w:numPr>
          <w:ilvl w:val="0"/>
          <w:numId w:val="130"/>
        </w:numPr>
        <w:spacing w:line="276" w:lineRule="auto"/>
        <w:rPr>
          <w:rFonts w:eastAsiaTheme="minorEastAsia"/>
          <w:color w:val="000000" w:themeColor="text1"/>
        </w:rPr>
      </w:pPr>
      <w:r w:rsidRPr="002D6624">
        <w:t xml:space="preserve">Warunki korzystania z wód regionów wodnych i zlewni - jako materiał pomocniczy dla identyfikacji uwarunkowań danego </w:t>
      </w:r>
      <w:r w:rsidRPr="000338C0">
        <w:t xml:space="preserve">regionu, w tym </w:t>
      </w:r>
      <w:r w:rsidRPr="000338C0">
        <w:rPr>
          <w:rFonts w:cs="Calibri"/>
          <w:color w:val="000000" w:themeColor="text1"/>
        </w:rPr>
        <w:t>sformułowane w warunkach korzystania z wód regionu wodnego ograniczenia w korzystaniu z wód jezior lub zbiorników oraz w</w:t>
      </w:r>
      <w:r w:rsidR="00C4673D">
        <w:rPr>
          <w:rFonts w:cs="Calibri"/>
          <w:color w:val="000000" w:themeColor="text1"/>
        </w:rPr>
        <w:t> </w:t>
      </w:r>
      <w:r w:rsidRPr="000338C0">
        <w:rPr>
          <w:rFonts w:cs="Calibri"/>
          <w:color w:val="000000" w:themeColor="text1"/>
        </w:rPr>
        <w:t>użytkowaniu ich zlewni - opracowania regionalne;</w:t>
      </w:r>
    </w:p>
    <w:p w14:paraId="42395CEC" w14:textId="77777777" w:rsidR="00860BC1" w:rsidRPr="002D6624" w:rsidRDefault="00860BC1" w:rsidP="00AA3506">
      <w:pPr>
        <w:pStyle w:val="Akapitzlist"/>
        <w:numPr>
          <w:ilvl w:val="0"/>
          <w:numId w:val="130"/>
        </w:numPr>
        <w:rPr>
          <w:rFonts w:eastAsiaTheme="minorEastAsia" w:cstheme="minorBidi"/>
        </w:rPr>
      </w:pPr>
      <w:r w:rsidRPr="002D6624">
        <w:t>Katalog dobrych praktyk w zakresie robót hydrotechnicznych i prac utrzymaniowych wraz z ustaleniem zasad ich wdrażania;</w:t>
      </w:r>
    </w:p>
    <w:p w14:paraId="2DAEABAB" w14:textId="77777777" w:rsidR="00860BC1" w:rsidRPr="002D6624" w:rsidRDefault="00860BC1" w:rsidP="00AA3506">
      <w:pPr>
        <w:pStyle w:val="Akapitzlist"/>
        <w:numPr>
          <w:ilvl w:val="0"/>
          <w:numId w:val="130"/>
        </w:numPr>
        <w:rPr>
          <w:rFonts w:eastAsiaTheme="minorEastAsia" w:cstheme="minorBidi"/>
        </w:rPr>
      </w:pPr>
      <w:r w:rsidRPr="002D6624">
        <w:t>Zbiór zaleceń dobrej praktyki rolniczej mający na celu ochronę wód przez zanieczyszczeniem azotanami pochodzącymi ze źródeł rolniczych - wyciąg działań;</w:t>
      </w:r>
    </w:p>
    <w:p w14:paraId="20FC821C" w14:textId="77777777" w:rsidR="00860BC1" w:rsidRPr="002D6624" w:rsidRDefault="00860BC1" w:rsidP="00AA3506">
      <w:pPr>
        <w:pStyle w:val="Akapitzlist"/>
        <w:numPr>
          <w:ilvl w:val="0"/>
          <w:numId w:val="130"/>
        </w:numPr>
        <w:rPr>
          <w:rFonts w:eastAsiaTheme="minorEastAsia" w:cstheme="minorBidi"/>
        </w:rPr>
      </w:pPr>
      <w:r w:rsidRPr="002D6624">
        <w:t>Uwagi Komisji Europejskiej do planów gospodarowania wodami opracowanych w</w:t>
      </w:r>
      <w:r>
        <w:t xml:space="preserve"> </w:t>
      </w:r>
      <w:r w:rsidRPr="002D6624">
        <w:t>poprzednich cyklach planistycznych (PGW, aPGW);</w:t>
      </w:r>
    </w:p>
    <w:p w14:paraId="12182E7D" w14:textId="77777777" w:rsidR="00860BC1" w:rsidRPr="002D6624" w:rsidRDefault="00860BC1" w:rsidP="00AA3506">
      <w:pPr>
        <w:pStyle w:val="Akapitzlist"/>
        <w:numPr>
          <w:ilvl w:val="0"/>
          <w:numId w:val="130"/>
        </w:numPr>
        <w:rPr>
          <w:rFonts w:eastAsiaTheme="minorEastAsia" w:cstheme="minorBidi"/>
        </w:rPr>
      </w:pPr>
      <w:r w:rsidRPr="002D6624">
        <w:t>Aktualizacja metodyki oceny stanu jcwpd wraz z opracowaniem metodyki analizy odwracania trendów zanieczyszczeń;</w:t>
      </w:r>
    </w:p>
    <w:p w14:paraId="44BC1B5F" w14:textId="77777777" w:rsidR="00860BC1" w:rsidRPr="002D6624" w:rsidRDefault="00860BC1" w:rsidP="00AA3506">
      <w:pPr>
        <w:pStyle w:val="Akapitzlist"/>
        <w:numPr>
          <w:ilvl w:val="0"/>
          <w:numId w:val="130"/>
        </w:numPr>
        <w:rPr>
          <w:rFonts w:eastAsiaTheme="minorEastAsia" w:cstheme="minorBidi"/>
        </w:rPr>
      </w:pPr>
      <w:r w:rsidRPr="002D6624">
        <w:t>Program Państwowego Monitoringu Środowiska;</w:t>
      </w:r>
    </w:p>
    <w:p w14:paraId="7F72DA8F" w14:textId="77777777" w:rsidR="00860BC1" w:rsidRPr="002D6624" w:rsidRDefault="00860BC1" w:rsidP="00AA3506">
      <w:pPr>
        <w:pStyle w:val="Akapitzlist"/>
        <w:numPr>
          <w:ilvl w:val="0"/>
          <w:numId w:val="130"/>
        </w:numPr>
        <w:rPr>
          <w:rFonts w:eastAsiaTheme="minorEastAsia" w:cstheme="minorBidi"/>
        </w:rPr>
      </w:pPr>
      <w:r w:rsidRPr="002D6624">
        <w:t>Analiza znaczących oddziaływań antropogenicznych wraz z oceną ich wpływu na stan wód oraz ryzykiem nieosiągnięcia celów środowiskowych;</w:t>
      </w:r>
    </w:p>
    <w:p w14:paraId="743791FD" w14:textId="77777777" w:rsidR="00860BC1" w:rsidRPr="002D6624" w:rsidRDefault="00860BC1" w:rsidP="00AA3506">
      <w:pPr>
        <w:pStyle w:val="Akapitzlist"/>
        <w:numPr>
          <w:ilvl w:val="0"/>
          <w:numId w:val="130"/>
        </w:numPr>
        <w:rPr>
          <w:rFonts w:eastAsiaTheme="minorEastAsia" w:cstheme="minorBidi"/>
        </w:rPr>
      </w:pPr>
      <w:r w:rsidRPr="002D6624">
        <w:t xml:space="preserve">Ocena postępu we wdrażaniu programów działań dla jcwp i jcwpd wynikających z aPWŚK (dalej </w:t>
      </w:r>
      <w:r w:rsidRPr="004B6A32">
        <w:rPr>
          <w:i/>
          <w:iCs/>
        </w:rPr>
        <w:t>Ocena postępu we wdrażaniu (…)</w:t>
      </w:r>
      <w:r w:rsidRPr="002D6624">
        <w:t>);</w:t>
      </w:r>
    </w:p>
    <w:p w14:paraId="12E8826F" w14:textId="5E66CD67" w:rsidR="00860BC1" w:rsidRPr="002D6624" w:rsidRDefault="00860BC1" w:rsidP="00AA3506">
      <w:pPr>
        <w:pStyle w:val="Akapitzlist"/>
        <w:numPr>
          <w:ilvl w:val="0"/>
          <w:numId w:val="130"/>
        </w:numPr>
        <w:rPr>
          <w:rFonts w:eastAsiaTheme="minorEastAsia" w:cstheme="minorBidi"/>
        </w:rPr>
      </w:pPr>
      <w:r w:rsidRPr="002D6624">
        <w:t>Materiały robocze: Ocena stanu realizacji KPOŚK (w miarę opracowywania/udostępniania) i</w:t>
      </w:r>
      <w:r w:rsidR="00C4673D">
        <w:t> </w:t>
      </w:r>
      <w:r w:rsidRPr="002D6624">
        <w:t>inne dane związane z jakością wód śródlądowych;</w:t>
      </w:r>
    </w:p>
    <w:p w14:paraId="7CE0A8F9" w14:textId="1FAD5F5B" w:rsidR="00860BC1" w:rsidRPr="000338C0" w:rsidRDefault="00860BC1" w:rsidP="00AA3506">
      <w:pPr>
        <w:pStyle w:val="Akapitzlist"/>
        <w:numPr>
          <w:ilvl w:val="0"/>
          <w:numId w:val="130"/>
        </w:numPr>
        <w:rPr>
          <w:rFonts w:eastAsiaTheme="minorEastAsia" w:cstheme="minorBidi"/>
        </w:rPr>
      </w:pPr>
      <w:r w:rsidRPr="000338C0">
        <w:t>Materiały uzupełniające dot. realizowanych i planowanych działań rekultywacyjnych na</w:t>
      </w:r>
      <w:r w:rsidR="00C4673D">
        <w:t> </w:t>
      </w:r>
      <w:r w:rsidRPr="000338C0">
        <w:t>jeziorach (pozwolenia wodnoprawne) - dokumentacja przekazana przez KZGW.</w:t>
      </w:r>
    </w:p>
    <w:p w14:paraId="51BF51B1" w14:textId="77777777" w:rsidR="00860BC1" w:rsidRPr="006310B5" w:rsidRDefault="00860BC1" w:rsidP="00AA3506">
      <w:pPr>
        <w:pStyle w:val="Akapitzlist"/>
        <w:numPr>
          <w:ilvl w:val="0"/>
          <w:numId w:val="130"/>
        </w:numPr>
      </w:pPr>
      <w:r w:rsidRPr="002D6624">
        <w:t>Baza opłat za korzystanie ze środowiska, opłaty za korzystanie z wód;</w:t>
      </w:r>
    </w:p>
    <w:p w14:paraId="33ADC93F" w14:textId="77777777" w:rsidR="00860BC1" w:rsidRPr="006310B5" w:rsidRDefault="00860BC1" w:rsidP="00AA3506">
      <w:pPr>
        <w:pStyle w:val="Akapitzlist"/>
        <w:numPr>
          <w:ilvl w:val="0"/>
          <w:numId w:val="130"/>
        </w:numPr>
      </w:pPr>
      <w:r w:rsidRPr="002D6624">
        <w:t>Sprawozdania z wykonania KPOŚK;</w:t>
      </w:r>
    </w:p>
    <w:p w14:paraId="2D0E367A" w14:textId="77777777" w:rsidR="00860BC1" w:rsidRDefault="00860BC1" w:rsidP="00AA3506">
      <w:pPr>
        <w:pStyle w:val="Akapitzlist"/>
        <w:numPr>
          <w:ilvl w:val="0"/>
          <w:numId w:val="130"/>
        </w:numPr>
      </w:pPr>
      <w:r w:rsidRPr="002D6624">
        <w:t>Rejestr E-PRTR.</w:t>
      </w:r>
    </w:p>
    <w:p w14:paraId="154CAFD4" w14:textId="77777777" w:rsidR="00860BC1" w:rsidRPr="00A7629A" w:rsidRDefault="00860BC1" w:rsidP="00860BC1">
      <w:r w:rsidRPr="00A7629A">
        <w:t>Działania oceniane były pod kątem realności, skuteczności oraz efektywności kosztowej, na podstawie których określone zostały wszystkie możliwe opcje/warianty działań.</w:t>
      </w:r>
    </w:p>
    <w:p w14:paraId="3A0212C3" w14:textId="77777777" w:rsidR="00860BC1" w:rsidRPr="006310B5" w:rsidRDefault="00860BC1" w:rsidP="00860BC1">
      <w:r>
        <w:t xml:space="preserve">Poniższe podrozdziały prezentują informacje podsumowujące w zakresie katalogu działań krajowych, </w:t>
      </w:r>
      <w:r w:rsidRPr="00081F23">
        <w:t>katalogów dla poszczególnych kategorii wód oraz zestawów działań dla jcw na obszarze dorzecza Pregoły.</w:t>
      </w:r>
    </w:p>
    <w:p w14:paraId="7C9685E6" w14:textId="6CD04EDC" w:rsidR="00860BC1" w:rsidRPr="002D6624" w:rsidRDefault="00860BC1" w:rsidP="00B50FFD">
      <w:pPr>
        <w:pStyle w:val="Nagwek2"/>
      </w:pPr>
      <w:bookmarkStart w:id="371" w:name="_Toc68726894"/>
      <w:r w:rsidRPr="002D6624">
        <w:t>Katalog działań krajowych</w:t>
      </w:r>
      <w:bookmarkEnd w:id="371"/>
    </w:p>
    <w:p w14:paraId="3777D40E" w14:textId="77777777" w:rsidR="00D12C89" w:rsidRPr="00B433E8" w:rsidRDefault="00D12C89" w:rsidP="00D12C89">
      <w:pPr>
        <w:spacing w:line="276" w:lineRule="auto"/>
        <w:rPr>
          <w:rFonts w:asciiTheme="minorHAnsi" w:hAnsiTheme="minorHAnsi" w:cstheme="minorHAnsi"/>
        </w:rPr>
      </w:pPr>
      <w:r w:rsidRPr="00B433E8">
        <w:rPr>
          <w:rFonts w:asciiTheme="minorHAnsi" w:hAnsiTheme="minorHAnsi" w:cstheme="minorHAnsi"/>
        </w:rPr>
        <w:t>Katalog działań krajowych stanowi zbiór możliwych do zrealizowania działań na poziomie krajowym, ukierunkowanych na osiągnięcie celów środowiskowych poprzez eliminację presji wpływającej na stan wód. W katalogu znalazły się zarówno działania techniczne, jak i szereg działań wspomagających (nietechnicznych), bez których osiągnięcie celów środowiskowych byłoby niemożliwe. Są to zarówno działania nowe, jaki i prolongowane z poprzedniego cyklu planistycznego (2016-2021).</w:t>
      </w:r>
    </w:p>
    <w:p w14:paraId="0B0EE625" w14:textId="77777777" w:rsidR="00D12C89" w:rsidRPr="00B433E8" w:rsidRDefault="00D12C89" w:rsidP="000967DF">
      <w:pPr>
        <w:spacing w:before="0" w:after="0" w:line="276" w:lineRule="auto"/>
        <w:rPr>
          <w:rFonts w:asciiTheme="minorHAnsi" w:hAnsiTheme="minorHAnsi" w:cstheme="minorHAnsi"/>
        </w:rPr>
      </w:pPr>
      <w:r w:rsidRPr="00B433E8">
        <w:rPr>
          <w:rFonts w:asciiTheme="minorHAnsi" w:hAnsiTheme="minorHAnsi" w:cstheme="minorHAnsi"/>
        </w:rPr>
        <w:t>Katalog działań krajowych zawiera łącznie 169 działań zgrupowanych w następujące kategorie:</w:t>
      </w:r>
    </w:p>
    <w:p w14:paraId="507541DF" w14:textId="77777777" w:rsidR="00860BC1" w:rsidRDefault="00860BC1"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rPr>
      </w:pPr>
      <w:r w:rsidRPr="00D356A3">
        <w:rPr>
          <w:rFonts w:asciiTheme="minorHAnsi" w:hAnsiTheme="minorHAnsi" w:cstheme="minorHAnsi"/>
          <w:b w:val="0"/>
        </w:rPr>
        <w:t>przemysł,</w:t>
      </w:r>
    </w:p>
    <w:p w14:paraId="3D6CF675" w14:textId="77777777" w:rsidR="00860BC1" w:rsidRDefault="00860BC1"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 xml:space="preserve">gospodarka komunalna, </w:t>
      </w:r>
    </w:p>
    <w:p w14:paraId="1837B64E" w14:textId="77777777" w:rsidR="00860BC1" w:rsidRDefault="00860BC1"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 xml:space="preserve">rolnictwo, </w:t>
      </w:r>
    </w:p>
    <w:p w14:paraId="2C5992F9"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hydromorfologicznych,</w:t>
      </w:r>
    </w:p>
    <w:p w14:paraId="03681C9F"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ochrona siedlisk i gatunków,</w:t>
      </w:r>
    </w:p>
    <w:p w14:paraId="4C1EC226"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hydrologicznych,</w:t>
      </w:r>
    </w:p>
    <w:p w14:paraId="530B0318"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monitoring i ewaluacja,</w:t>
      </w:r>
    </w:p>
    <w:p w14:paraId="6882A102"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działania organizacyjno-prawne, informacyjne i edukacyjne,</w:t>
      </w:r>
    </w:p>
    <w:p w14:paraId="7667BC24" w14:textId="77777777" w:rsidR="002D3942" w:rsidRDefault="002D3942"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 xml:space="preserve">kształtowanie stosunków wodnych oraz ochrona ekosystemów od wód zależnych </w:t>
      </w:r>
      <w:r w:rsidRPr="00B67497">
        <w:rPr>
          <w:rFonts w:asciiTheme="minorHAnsi" w:hAnsiTheme="minorHAnsi" w:cstheme="minorHAnsi"/>
          <w:b w:val="0"/>
          <w:bCs/>
        </w:rPr>
        <w:br/>
        <w:t>(w tym morfologia i zachowanie ciągłości biologicznej cieków),</w:t>
      </w:r>
    </w:p>
    <w:p w14:paraId="04A998EF" w14:textId="77777777" w:rsidR="00860BC1" w:rsidRDefault="00860BC1"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działania kontrolne i nadzorcze,</w:t>
      </w:r>
    </w:p>
    <w:p w14:paraId="795CB301" w14:textId="77777777" w:rsidR="00860BC1" w:rsidRPr="00B67497" w:rsidRDefault="00860BC1" w:rsidP="00AA3506">
      <w:pPr>
        <w:pStyle w:val="Listanumerowana"/>
        <w:numPr>
          <w:ilvl w:val="0"/>
          <w:numId w:val="136"/>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projekty badawczo-rozwojowe.</w:t>
      </w:r>
    </w:p>
    <w:p w14:paraId="22A89293" w14:textId="77777777" w:rsidR="00860BC1" w:rsidRDefault="00860BC1" w:rsidP="00860BC1">
      <w:pPr>
        <w:suppressAutoHyphens/>
        <w:spacing w:line="276" w:lineRule="auto"/>
        <w:rPr>
          <w:rFonts w:cs="Calibri"/>
          <w:bCs/>
          <w:iCs/>
        </w:rPr>
      </w:pPr>
      <w:r>
        <w:rPr>
          <w:rFonts w:cs="Calibri"/>
          <w:bCs/>
          <w:iCs/>
        </w:rPr>
        <w:t>Udział działań poszczególnych kategorii w katalogu działań krajowych przedstawia poniższy wykres.</w:t>
      </w:r>
    </w:p>
    <w:p w14:paraId="2C4080B3" w14:textId="3801EC39" w:rsidR="00860BC1" w:rsidRDefault="009B68AA" w:rsidP="00860BC1">
      <w:r>
        <w:rPr>
          <w:noProof/>
        </w:rPr>
        <w:drawing>
          <wp:inline distT="0" distB="0" distL="0" distR="0" wp14:anchorId="69606E92" wp14:editId="1906425E">
            <wp:extent cx="5760720" cy="4533900"/>
            <wp:effectExtent l="0" t="0" r="11430" b="0"/>
            <wp:docPr id="227" name="Wykres 1866059336">
              <a:extLst xmlns:a="http://schemas.openxmlformats.org/drawingml/2006/main">
                <a:ext uri="{FF2B5EF4-FFF2-40B4-BE49-F238E27FC236}">
                  <a16:creationId xmlns:a16="http://schemas.microsoft.com/office/drawing/2014/main" id="{1DAD454D-A5F1-4CE6-9729-F713DBC1B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196247A" w14:textId="58642CE0" w:rsidR="00860BC1" w:rsidRDefault="00860BC1" w:rsidP="006802BB">
      <w:pPr>
        <w:pStyle w:val="Legenda"/>
      </w:pPr>
      <w:bookmarkStart w:id="372" w:name="_Toc68727116"/>
      <w:r>
        <w:t xml:space="preserve">Wykres </w:t>
      </w:r>
      <w:fldSimple w:instr=" STYLEREF 1 \s ">
        <w:r w:rsidR="00EF3FD3">
          <w:rPr>
            <w:noProof/>
          </w:rPr>
          <w:t>12</w:t>
        </w:r>
      </w:fldSimple>
      <w:r w:rsidR="00EF3FD3">
        <w:noBreakHyphen/>
      </w:r>
      <w:fldSimple w:instr=" SEQ Wykres \* ARABIC \s 1 ">
        <w:r w:rsidR="00EF3FD3">
          <w:rPr>
            <w:noProof/>
          </w:rPr>
          <w:t>1</w:t>
        </w:r>
      </w:fldSimple>
      <w:r>
        <w:tab/>
      </w:r>
      <w:r w:rsidRPr="009F7ED6">
        <w:t xml:space="preserve">Udział </w:t>
      </w:r>
      <w:r>
        <w:t>działań poszczególnych kategorii w katalogu działań krajowych IIaPGW</w:t>
      </w:r>
      <w:bookmarkEnd w:id="372"/>
    </w:p>
    <w:p w14:paraId="380220CE" w14:textId="77777777" w:rsidR="00860BC1" w:rsidRPr="009F7ED6" w:rsidRDefault="00860BC1" w:rsidP="00860BC1">
      <w:pPr>
        <w:pStyle w:val="rdo0"/>
      </w:pPr>
      <w:r>
        <w:t>Ź</w:t>
      </w:r>
      <w:r w:rsidRPr="009F7ED6">
        <w:t>ródło: opracowanie własne</w:t>
      </w:r>
    </w:p>
    <w:p w14:paraId="23AE0C8B" w14:textId="77777777" w:rsidR="008E29EF" w:rsidRPr="00B433E8" w:rsidRDefault="008E29EF" w:rsidP="008E29EF">
      <w:pPr>
        <w:spacing w:line="276" w:lineRule="auto"/>
        <w:rPr>
          <w:rFonts w:asciiTheme="minorHAnsi" w:hAnsiTheme="minorHAnsi" w:cstheme="minorHAnsi"/>
        </w:rPr>
      </w:pPr>
      <w:r w:rsidRPr="00B433E8">
        <w:rPr>
          <w:rFonts w:asciiTheme="minorHAnsi" w:hAnsiTheme="minorHAnsi" w:cstheme="minorHAnsi"/>
        </w:rPr>
        <w:t xml:space="preserve">W wyniku przeprowadzonej analizy uwarunkowań formalno-prawnych zweryfikowane zostały działania katalogu krajowego aPGW (2016-2021) i tym samym wyselekcjonowane zostały działania wskazane do prolongaty (kontynuacji) w obecnym cyklu planistycznym (2022-2027). Katalog uzupełniony został jednocześnie o działania nowe wynikające z obowiązujących przepisów prawa, </w:t>
      </w:r>
      <w:r w:rsidRPr="00B433E8">
        <w:rPr>
          <w:rFonts w:asciiTheme="minorHAnsi" w:hAnsiTheme="minorHAnsi" w:cstheme="minorHAnsi"/>
        </w:rPr>
        <w:br/>
        <w:t>a nie wskazane w aPGW. Do katalogu wprowadzono działania wynikające z art.324 pr.w. Są to głównie działania organizacyjno-prawne, informacyjne i edukacyjne</w:t>
      </w:r>
      <w:r>
        <w:rPr>
          <w:rFonts w:asciiTheme="minorHAnsi" w:hAnsiTheme="minorHAnsi" w:cstheme="minorHAnsi"/>
        </w:rPr>
        <w:t xml:space="preserve"> oraz</w:t>
      </w:r>
      <w:r w:rsidRPr="00B433E8">
        <w:rPr>
          <w:rFonts w:asciiTheme="minorHAnsi" w:hAnsiTheme="minorHAnsi" w:cstheme="minorHAnsi"/>
        </w:rPr>
        <w:t xml:space="preserve"> dotyczące go</w:t>
      </w:r>
      <w:r>
        <w:rPr>
          <w:rFonts w:asciiTheme="minorHAnsi" w:hAnsiTheme="minorHAnsi" w:cstheme="minorHAnsi"/>
        </w:rPr>
        <w:t>s</w:t>
      </w:r>
      <w:r w:rsidRPr="00B433E8">
        <w:rPr>
          <w:rFonts w:asciiTheme="minorHAnsi" w:hAnsiTheme="minorHAnsi" w:cstheme="minorHAnsi"/>
        </w:rPr>
        <w:t xml:space="preserve">podarki komunalnej. Koszty działań prolongowanych lub wynikających z innych programów wskazane zostały </w:t>
      </w:r>
      <w:r>
        <w:rPr>
          <w:rFonts w:asciiTheme="minorHAnsi" w:hAnsiTheme="minorHAnsi" w:cstheme="minorHAnsi"/>
        </w:rPr>
        <w:t>z</w:t>
      </w:r>
      <w:r w:rsidRPr="00B433E8">
        <w:rPr>
          <w:rFonts w:asciiTheme="minorHAnsi" w:hAnsiTheme="minorHAnsi" w:cstheme="minorHAnsi"/>
        </w:rPr>
        <w:t xml:space="preserve"> tych programów. </w:t>
      </w:r>
    </w:p>
    <w:p w14:paraId="6723FC79" w14:textId="12112311" w:rsidR="008E29EF" w:rsidRPr="00DB2311" w:rsidRDefault="008E29EF" w:rsidP="008E29EF">
      <w:pPr>
        <w:suppressAutoHyphens/>
        <w:spacing w:line="276" w:lineRule="auto"/>
        <w:rPr>
          <w:rFonts w:cs="Calibri"/>
        </w:rPr>
      </w:pPr>
      <w:r w:rsidRPr="00B433E8">
        <w:rPr>
          <w:rFonts w:asciiTheme="minorHAnsi" w:hAnsiTheme="minorHAnsi" w:cstheme="minorHAnsi"/>
        </w:rPr>
        <w:t xml:space="preserve">Wszystkie działania zostały zorganizowane w wyżej wymienionych kategoriach, odnoszących </w:t>
      </w:r>
      <w:r w:rsidRPr="00B433E8">
        <w:rPr>
          <w:rFonts w:asciiTheme="minorHAnsi" w:hAnsiTheme="minorHAnsi" w:cstheme="minorHAnsi"/>
        </w:rPr>
        <w:br/>
        <w:t>się do sektorów gospodarki mających wpływ na stan jcw, a także powiązanych z rodzajem presji. W ramach 11 kategorii wyznaczono 169 działań - 112 (66,27%) stanowiących działania podstawowe i 57 (33,73%) uzupełniające. W katalogu krajowym 97 działań to działania z prolongacji (57,40%), a 72 to działania nowe (4</w:t>
      </w:r>
      <w:r w:rsidR="00D9443E">
        <w:rPr>
          <w:rFonts w:asciiTheme="minorHAnsi" w:hAnsiTheme="minorHAnsi" w:cstheme="minorHAnsi"/>
        </w:rPr>
        <w:t>3</w:t>
      </w:r>
      <w:r w:rsidRPr="005E2E8C">
        <w:rPr>
          <w:rFonts w:asciiTheme="minorHAnsi" w:hAnsiTheme="minorHAnsi" w:cstheme="minorHAnsi"/>
        </w:rPr>
        <w:t xml:space="preserve">,60%) - wykres </w:t>
      </w:r>
      <w:r w:rsidR="005E2E8C" w:rsidRPr="005E2E8C">
        <w:rPr>
          <w:rFonts w:asciiTheme="minorHAnsi" w:hAnsiTheme="minorHAnsi" w:cstheme="minorHAnsi"/>
        </w:rPr>
        <w:t>12</w:t>
      </w:r>
      <w:r w:rsidRPr="005E2E8C">
        <w:rPr>
          <w:rFonts w:asciiTheme="minorHAnsi" w:hAnsiTheme="minorHAnsi" w:cstheme="minorHAnsi"/>
        </w:rPr>
        <w:t>-2</w:t>
      </w:r>
      <w:r w:rsidR="00AB49CE">
        <w:rPr>
          <w:rFonts w:asciiTheme="minorHAnsi" w:hAnsiTheme="minorHAnsi" w:cstheme="minorHAnsi"/>
        </w:rPr>
        <w:t xml:space="preserve"> (dane</w:t>
      </w:r>
      <w:r w:rsidR="00FF524A">
        <w:rPr>
          <w:rFonts w:asciiTheme="minorHAnsi" w:hAnsiTheme="minorHAnsi" w:cstheme="minorHAnsi"/>
        </w:rPr>
        <w:t xml:space="preserve"> prezentowane w zaokrągleniu).</w:t>
      </w:r>
    </w:p>
    <w:p w14:paraId="62C07539" w14:textId="6C03B2B5" w:rsidR="00860BC1" w:rsidRDefault="008217DB" w:rsidP="00860BC1">
      <w:pPr>
        <w:suppressAutoHyphens/>
        <w:spacing w:line="276" w:lineRule="auto"/>
        <w:jc w:val="center"/>
        <w:rPr>
          <w:rFonts w:cs="Calibri"/>
        </w:rPr>
      </w:pPr>
      <w:r>
        <w:rPr>
          <w:noProof/>
        </w:rPr>
        <w:drawing>
          <wp:inline distT="0" distB="0" distL="0" distR="0" wp14:anchorId="64EBBB91" wp14:editId="37886680">
            <wp:extent cx="4229100" cy="2540000"/>
            <wp:effectExtent l="0" t="0" r="0" b="12700"/>
            <wp:docPr id="1866059344" name="Wykres 1866059344">
              <a:extLst xmlns:a="http://schemas.openxmlformats.org/drawingml/2006/main">
                <a:ext uri="{FF2B5EF4-FFF2-40B4-BE49-F238E27FC236}">
                  <a16:creationId xmlns:a16="http://schemas.microsoft.com/office/drawing/2014/main" id="{63273F3F-6FD4-4248-A71A-A6F24D368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C5E089E" w14:textId="1B31C3FD" w:rsidR="00860BC1" w:rsidRPr="002D6700" w:rsidRDefault="00860BC1" w:rsidP="006802BB">
      <w:pPr>
        <w:pStyle w:val="Wykres"/>
      </w:pPr>
      <w:bookmarkStart w:id="373" w:name="_Toc68727117"/>
      <w:r w:rsidRPr="002D6700">
        <w:t xml:space="preserve">Wykres </w:t>
      </w:r>
      <w:fldSimple w:instr=" STYLEREF 1 \s ">
        <w:r w:rsidR="00EF3FD3">
          <w:rPr>
            <w:noProof/>
          </w:rPr>
          <w:t>12</w:t>
        </w:r>
      </w:fldSimple>
      <w:r w:rsidR="00EF3FD3">
        <w:noBreakHyphen/>
      </w:r>
      <w:fldSimple w:instr=" SEQ Wykres \* ARABIC \s 1 ">
        <w:r w:rsidR="00EF3FD3">
          <w:rPr>
            <w:noProof/>
          </w:rPr>
          <w:t>2</w:t>
        </w:r>
      </w:fldSimple>
      <w:r w:rsidRPr="002D6700">
        <w:tab/>
        <w:t>Udział działań z prolongacji oraz nowych w katalogu działań krajowych IIaPGW</w:t>
      </w:r>
      <w:bookmarkEnd w:id="373"/>
    </w:p>
    <w:p w14:paraId="0E7D4103" w14:textId="77777777" w:rsidR="00860BC1" w:rsidRPr="00776B26" w:rsidRDefault="00860BC1" w:rsidP="00860BC1">
      <w:pPr>
        <w:pStyle w:val="rdo0"/>
      </w:pPr>
      <w:r>
        <w:t>Ź</w:t>
      </w:r>
      <w:r w:rsidRPr="00776B26">
        <w:t>ródło: opracowanie własne</w:t>
      </w:r>
    </w:p>
    <w:p w14:paraId="18612019" w14:textId="77777777" w:rsidR="008567F0" w:rsidRPr="00DB2311" w:rsidRDefault="008567F0" w:rsidP="008567F0">
      <w:r w:rsidRPr="00B433E8">
        <w:rPr>
          <w:rFonts w:asciiTheme="minorHAnsi" w:hAnsiTheme="minorHAnsi" w:cstheme="minorHAnsi"/>
        </w:rPr>
        <w:t>Każde działanie katalogu krajowego zostało scharakteryzowane poprzez informacje dotyczące: opisu działania, podstawy prawnej działania, wskazania jednostek odpowiedzialnych za jego realizację, określenia typu działania (działanie podstawowe, działanie uzupełniające) wraz z określeniem harmonogramu realizacji danego działania. W tym miejscu należy zwrócić uwagę, że 92,90% działań krajowych stanowią działania ciągłe</w:t>
      </w:r>
      <w:r>
        <w:rPr>
          <w:rFonts w:asciiTheme="minorHAnsi" w:hAnsiTheme="minorHAnsi" w:cstheme="minorHAnsi"/>
        </w:rPr>
        <w:t xml:space="preserve"> (wykres 12-3)</w:t>
      </w:r>
      <w:r w:rsidRPr="00DB2311">
        <w:t>.</w:t>
      </w:r>
    </w:p>
    <w:p w14:paraId="393EB63B" w14:textId="67BDF1CE" w:rsidR="00860BC1" w:rsidRDefault="00BF1D12" w:rsidP="00860BC1">
      <w:pPr>
        <w:suppressAutoHyphens/>
        <w:jc w:val="center"/>
        <w:rPr>
          <w:rFonts w:cs="Calibri"/>
          <w:bCs/>
          <w:iCs/>
        </w:rPr>
      </w:pPr>
      <w:r>
        <w:rPr>
          <w:noProof/>
        </w:rPr>
        <w:drawing>
          <wp:inline distT="0" distB="0" distL="0" distR="0" wp14:anchorId="7CF25CF9" wp14:editId="49149D8B">
            <wp:extent cx="4527550" cy="2425700"/>
            <wp:effectExtent l="0" t="0" r="6350" b="12700"/>
            <wp:docPr id="1866059347" name="Wykres 1866059347">
              <a:extLst xmlns:a="http://schemas.openxmlformats.org/drawingml/2006/main">
                <a:ext uri="{FF2B5EF4-FFF2-40B4-BE49-F238E27FC236}">
                  <a16:creationId xmlns:a16="http://schemas.microsoft.com/office/drawing/2014/main" id="{B964F75A-0B16-4033-A7CB-2E2BD97216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5E1C2B0" w14:textId="3D662A7D" w:rsidR="00860BC1" w:rsidRDefault="00860BC1" w:rsidP="006802BB">
      <w:pPr>
        <w:pStyle w:val="Wykres"/>
      </w:pPr>
      <w:bookmarkStart w:id="374" w:name="_Toc68727118"/>
      <w:r>
        <w:t xml:space="preserve">Wykres </w:t>
      </w:r>
      <w:fldSimple w:instr=" STYLEREF 1 \s ">
        <w:r w:rsidR="00EF3FD3">
          <w:rPr>
            <w:noProof/>
          </w:rPr>
          <w:t>12</w:t>
        </w:r>
      </w:fldSimple>
      <w:r w:rsidR="00EF3FD3">
        <w:noBreakHyphen/>
      </w:r>
      <w:fldSimple w:instr=" SEQ Wykres \* ARABIC \s 1 ">
        <w:r w:rsidR="00EF3FD3">
          <w:rPr>
            <w:noProof/>
          </w:rPr>
          <w:t>3</w:t>
        </w:r>
      </w:fldSimple>
      <w:r>
        <w:tab/>
      </w:r>
      <w:r w:rsidRPr="009F7ED6">
        <w:t xml:space="preserve">Udział działań z </w:t>
      </w:r>
      <w:r w:rsidR="00735867">
        <w:t>określonym terminem realizacji</w:t>
      </w:r>
      <w:r w:rsidRPr="009F7ED6">
        <w:t xml:space="preserve"> </w:t>
      </w:r>
      <w:r w:rsidR="005A1D67">
        <w:t xml:space="preserve">oraz działań ciągłych </w:t>
      </w:r>
      <w:r w:rsidRPr="009F7ED6">
        <w:t>w katalogu działań krajowych IIaPGW</w:t>
      </w:r>
      <w:bookmarkEnd w:id="374"/>
    </w:p>
    <w:p w14:paraId="30F697D4" w14:textId="77777777" w:rsidR="00860BC1" w:rsidRPr="009F7ED6" w:rsidRDefault="00860BC1" w:rsidP="00860BC1">
      <w:pPr>
        <w:pStyle w:val="rdo0"/>
      </w:pPr>
      <w:r>
        <w:t>Ź</w:t>
      </w:r>
      <w:r w:rsidRPr="009F7ED6">
        <w:t>ródło: opracowanie własne</w:t>
      </w:r>
    </w:p>
    <w:p w14:paraId="7F2B7B33" w14:textId="49229813" w:rsidR="00860BC1" w:rsidRDefault="00860BC1" w:rsidP="00860BC1">
      <w:pPr>
        <w:suppressAutoHyphens/>
        <w:rPr>
          <w:rFonts w:cs="Calibri"/>
          <w:bCs/>
          <w:iCs/>
        </w:rPr>
      </w:pPr>
      <w:r>
        <w:rPr>
          <w:rFonts w:cs="Calibri"/>
          <w:bCs/>
          <w:iCs/>
        </w:rPr>
        <w:t xml:space="preserve">Katalog działań krajowych stanowi </w:t>
      </w:r>
      <w:r w:rsidRPr="00081F23">
        <w:rPr>
          <w:rFonts w:cs="Calibri"/>
          <w:bCs/>
          <w:iCs/>
        </w:rPr>
        <w:t xml:space="preserve">załącznik nr </w:t>
      </w:r>
      <w:r w:rsidR="009E1FEB">
        <w:rPr>
          <w:rFonts w:cs="Calibri"/>
          <w:bCs/>
          <w:iCs/>
        </w:rPr>
        <w:t>7</w:t>
      </w:r>
      <w:r w:rsidRPr="00081F23">
        <w:rPr>
          <w:rFonts w:cs="Calibri"/>
          <w:bCs/>
          <w:iCs/>
        </w:rPr>
        <w:t>.1 do IIaPGW.</w:t>
      </w:r>
    </w:p>
    <w:p w14:paraId="422255E7" w14:textId="1F9B0D43" w:rsidR="00860BC1" w:rsidRPr="002D6624" w:rsidRDefault="00860BC1" w:rsidP="00B50FFD">
      <w:pPr>
        <w:pStyle w:val="Nagwek2"/>
      </w:pPr>
      <w:bookmarkStart w:id="375" w:name="_Toc68726895"/>
      <w:r w:rsidRPr="002D6624">
        <w:t>Katalogi działań poszczególnych kategorii wód</w:t>
      </w:r>
      <w:bookmarkEnd w:id="375"/>
    </w:p>
    <w:p w14:paraId="75B3A528" w14:textId="54DAD35D" w:rsidR="00073CC1" w:rsidRPr="0031439A" w:rsidRDefault="00073CC1" w:rsidP="00073CC1">
      <w:pPr>
        <w:keepNext/>
        <w:spacing w:line="276" w:lineRule="auto"/>
        <w:rPr>
          <w:rFonts w:asciiTheme="minorHAnsi" w:hAnsiTheme="minorHAnsi"/>
        </w:rPr>
      </w:pPr>
      <w:r w:rsidRPr="00B433E8">
        <w:rPr>
          <w:rFonts w:asciiTheme="minorHAnsi" w:hAnsiTheme="minorHAnsi" w:cstheme="minorHAnsi"/>
        </w:rPr>
        <w:t xml:space="preserve">Dla poszczególnych kategorii </w:t>
      </w:r>
      <w:r w:rsidRPr="0031439A">
        <w:rPr>
          <w:rFonts w:asciiTheme="minorHAnsi" w:hAnsiTheme="minorHAnsi"/>
        </w:rPr>
        <w:t xml:space="preserve">wód </w:t>
      </w:r>
      <w:r w:rsidRPr="00B433E8">
        <w:rPr>
          <w:rFonts w:asciiTheme="minorHAnsi" w:hAnsiTheme="minorHAnsi" w:cstheme="minorHAnsi"/>
        </w:rPr>
        <w:t>został przygotowany odrębny katalog</w:t>
      </w:r>
      <w:r w:rsidRPr="0031439A">
        <w:rPr>
          <w:rFonts w:asciiTheme="minorHAnsi" w:hAnsiTheme="minorHAnsi"/>
        </w:rPr>
        <w:t xml:space="preserve"> działań</w:t>
      </w:r>
      <w:r w:rsidRPr="00B433E8">
        <w:rPr>
          <w:rFonts w:asciiTheme="minorHAnsi" w:hAnsiTheme="minorHAnsi" w:cstheme="minorHAnsi"/>
        </w:rPr>
        <w:t>, uwzględniający specyfikę</w:t>
      </w:r>
      <w:r w:rsidRPr="0031439A">
        <w:rPr>
          <w:rFonts w:asciiTheme="minorHAnsi" w:hAnsiTheme="minorHAnsi"/>
        </w:rPr>
        <w:t xml:space="preserve"> danej </w:t>
      </w:r>
      <w:r w:rsidRPr="00546DAC">
        <w:rPr>
          <w:rFonts w:asciiTheme="minorHAnsi" w:hAnsiTheme="minorHAnsi"/>
        </w:rPr>
        <w:t>kategorii (</w:t>
      </w:r>
      <w:bookmarkStart w:id="376" w:name="_Hlk67435972"/>
      <w:r w:rsidR="001838A6" w:rsidRPr="00BF3FC8">
        <w:rPr>
          <w:rFonts w:cs="Calibri"/>
        </w:rPr>
        <w:t xml:space="preserve">w przypadku obszaru dorzecza </w:t>
      </w:r>
      <w:r w:rsidR="001838A6">
        <w:rPr>
          <w:rFonts w:cs="Calibri"/>
        </w:rPr>
        <w:t>Pregoły</w:t>
      </w:r>
      <w:r w:rsidR="001838A6" w:rsidRPr="00BF3FC8">
        <w:rPr>
          <w:rFonts w:cs="Calibri"/>
        </w:rPr>
        <w:t xml:space="preserve"> są to katalogi działań dla</w:t>
      </w:r>
      <w:bookmarkEnd w:id="376"/>
      <w:r w:rsidR="001838A6" w:rsidRPr="00BF3FC8">
        <w:rPr>
          <w:rFonts w:cs="Calibri"/>
        </w:rPr>
        <w:t xml:space="preserve"> </w:t>
      </w:r>
      <w:r w:rsidRPr="00546DAC">
        <w:rPr>
          <w:rFonts w:asciiTheme="minorHAnsi" w:hAnsiTheme="minorHAnsi"/>
        </w:rPr>
        <w:t>jcwp RW, jcwp LW, jcwpd).</w:t>
      </w:r>
    </w:p>
    <w:p w14:paraId="07D3F1FC" w14:textId="77777777" w:rsidR="00073CC1" w:rsidRPr="00B433E8" w:rsidRDefault="00073CC1" w:rsidP="00073CC1">
      <w:pPr>
        <w:rPr>
          <w:rFonts w:asciiTheme="minorHAnsi" w:hAnsiTheme="minorHAnsi" w:cstheme="minorHAnsi"/>
        </w:rPr>
      </w:pPr>
      <w:r w:rsidRPr="00B433E8">
        <w:rPr>
          <w:rFonts w:asciiTheme="minorHAnsi" w:hAnsiTheme="minorHAnsi" w:cstheme="minorHAnsi"/>
        </w:rPr>
        <w:t xml:space="preserve">Katalogi dla wszystkich </w:t>
      </w:r>
      <w:r>
        <w:rPr>
          <w:rFonts w:asciiTheme="minorHAnsi" w:hAnsiTheme="minorHAnsi" w:cstheme="minorHAnsi"/>
        </w:rPr>
        <w:t>kategorii</w:t>
      </w:r>
      <w:r w:rsidRPr="00B433E8">
        <w:rPr>
          <w:rFonts w:asciiTheme="minorHAnsi" w:hAnsiTheme="minorHAnsi" w:cstheme="minorHAnsi"/>
        </w:rPr>
        <w:t xml:space="preserve"> wód zbudowane zostały na bazie działań zebranych w grupy</w:t>
      </w:r>
      <w:r>
        <w:rPr>
          <w:rFonts w:asciiTheme="minorHAnsi" w:hAnsiTheme="minorHAnsi" w:cstheme="minorHAnsi"/>
        </w:rPr>
        <w:t>,</w:t>
      </w:r>
      <w:r w:rsidRPr="00B433E8">
        <w:rPr>
          <w:rFonts w:asciiTheme="minorHAnsi" w:hAnsiTheme="minorHAnsi" w:cstheme="minorHAnsi"/>
        </w:rPr>
        <w:t xml:space="preserve"> zdolnych do eliminacji lub przynajmniej zminimalizowania presji istotnych wskazanych w opracowaniu </w:t>
      </w:r>
      <w:r w:rsidRPr="00B433E8">
        <w:rPr>
          <w:rFonts w:asciiTheme="minorHAnsi" w:hAnsiTheme="minorHAnsi" w:cstheme="minorHAnsi"/>
          <w:i/>
          <w:iCs/>
        </w:rPr>
        <w:t>Analiza presji znaczących (…)</w:t>
      </w:r>
      <w:r w:rsidRPr="00B433E8">
        <w:rPr>
          <w:rFonts w:asciiTheme="minorHAnsi" w:hAnsiTheme="minorHAnsi" w:cstheme="minorHAnsi"/>
        </w:rPr>
        <w:t>, bądź - w przypadku obszarów przeznaczonych do ochrony siedlisk lub gatunków, o których mowa w przepisach u.o.p., dla których utrzymanie lub poprawa stanu wód jest ważnym czynnikiem w ich ochronie - bezpośrednio nakierowanych na realizację celów środowiskowych. W katalog</w:t>
      </w:r>
      <w:r>
        <w:rPr>
          <w:rFonts w:asciiTheme="minorHAnsi" w:hAnsiTheme="minorHAnsi" w:cstheme="minorHAnsi"/>
        </w:rPr>
        <w:t>ach</w:t>
      </w:r>
      <w:r w:rsidRPr="00B433E8">
        <w:rPr>
          <w:rFonts w:asciiTheme="minorHAnsi" w:hAnsiTheme="minorHAnsi" w:cstheme="minorHAnsi"/>
        </w:rPr>
        <w:t xml:space="preserve"> zastosowano kodowanie działań odwołujące się bezpośrednio do głównej presji na jaką dane działanie wpływa (jedno działanie może wpływać na eliminację lub redukcję więcej niż jednej presji znaczącej). </w:t>
      </w:r>
    </w:p>
    <w:p w14:paraId="68F70D29" w14:textId="77777777" w:rsidR="00860BC1" w:rsidRPr="0031439A" w:rsidRDefault="00860BC1" w:rsidP="00073CC1">
      <w:pPr>
        <w:rPr>
          <w:rFonts w:asciiTheme="minorHAnsi" w:hAnsiTheme="minorHAnsi"/>
        </w:rPr>
      </w:pPr>
      <w:r w:rsidRPr="0031439A">
        <w:rPr>
          <w:rFonts w:asciiTheme="minorHAnsi" w:hAnsiTheme="minorHAnsi"/>
        </w:rPr>
        <w:t xml:space="preserve">Podczas opracowywania </w:t>
      </w:r>
      <w:r w:rsidRPr="00DB2311">
        <w:t>katalogów</w:t>
      </w:r>
      <w:r>
        <w:rPr>
          <w:rFonts w:asciiTheme="minorHAnsi" w:hAnsiTheme="minorHAnsi" w:cstheme="minorHAnsi"/>
        </w:rPr>
        <w:t xml:space="preserve"> </w:t>
      </w:r>
      <w:r w:rsidRPr="0031439A">
        <w:rPr>
          <w:rFonts w:asciiTheme="minorHAnsi" w:hAnsiTheme="minorHAnsi"/>
        </w:rPr>
        <w:t>działań uwzględniono zalecenia i uwagi KE do aPGW, w tym:</w:t>
      </w:r>
    </w:p>
    <w:p w14:paraId="68C0DC12" w14:textId="77777777" w:rsidR="00073CC1" w:rsidRPr="0031439A" w:rsidRDefault="00073CC1" w:rsidP="00AA3506">
      <w:pPr>
        <w:pStyle w:val="Listapunktowana1"/>
        <w:numPr>
          <w:ilvl w:val="0"/>
          <w:numId w:val="137"/>
        </w:numPr>
        <w:ind w:left="426" w:hanging="284"/>
        <w:contextualSpacing w:val="0"/>
        <w:rPr>
          <w:rFonts w:asciiTheme="minorHAnsi" w:hAnsiTheme="minorHAnsi"/>
        </w:rPr>
      </w:pPr>
      <w:bookmarkStart w:id="377" w:name="_Hlk67343180"/>
      <w:r w:rsidRPr="00B433E8">
        <w:rPr>
          <w:rFonts w:asciiTheme="minorHAnsi" w:hAnsiTheme="minorHAnsi" w:cstheme="minorHAnsi"/>
        </w:rPr>
        <w:t>Sprawozdanie</w:t>
      </w:r>
      <w:r w:rsidRPr="0031439A">
        <w:rPr>
          <w:rFonts w:asciiTheme="minorHAnsi" w:hAnsiTheme="minorHAnsi"/>
        </w:rPr>
        <w:t xml:space="preserve"> Komisji </w:t>
      </w:r>
      <w:r>
        <w:t xml:space="preserve">dla </w:t>
      </w:r>
      <w:r w:rsidRPr="0031439A">
        <w:rPr>
          <w:rFonts w:asciiTheme="minorHAnsi" w:hAnsiTheme="minorHAnsi"/>
        </w:rPr>
        <w:t>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49C79A3F" w14:textId="77777777" w:rsidR="00073CC1" w:rsidRPr="0031439A" w:rsidRDefault="00073CC1" w:rsidP="00AA3506">
      <w:pPr>
        <w:pStyle w:val="Listapunktowana1"/>
        <w:numPr>
          <w:ilvl w:val="0"/>
          <w:numId w:val="137"/>
        </w:numPr>
        <w:ind w:left="426" w:hanging="284"/>
        <w:contextualSpacing w:val="0"/>
        <w:rPr>
          <w:rFonts w:asciiTheme="minorHAnsi" w:hAnsiTheme="minorHAnsi"/>
        </w:rPr>
      </w:pPr>
      <w:r w:rsidRPr="00B433E8">
        <w:rPr>
          <w:rFonts w:asciiTheme="minorHAnsi" w:hAnsiTheme="minorHAnsi" w:cstheme="minorHAnsi"/>
        </w:rPr>
        <w:t>Załącznik</w:t>
      </w:r>
      <w:r w:rsidRPr="0031439A">
        <w:rPr>
          <w:rFonts w:asciiTheme="minorHAnsi" w:hAnsiTheme="minorHAnsi"/>
        </w:rPr>
        <w:t xml:space="preserve">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Pr="00B433E8">
        <w:rPr>
          <w:rFonts w:asciiTheme="minorHAnsi" w:hAnsiTheme="minorHAnsi" w:cstheme="minorHAnsi"/>
        </w:rPr>
        <w:t xml:space="preserve"> </w:t>
      </w:r>
      <w:r w:rsidRPr="0031439A">
        <w:rPr>
          <w:rFonts w:asciiTheme="minorHAnsi" w:hAnsiTheme="minorHAnsi"/>
        </w:rPr>
        <w:t>dorzeczu i pierwszych planów zarządzania ryzykiem powodziowym;</w:t>
      </w:r>
    </w:p>
    <w:p w14:paraId="09753875" w14:textId="77777777" w:rsidR="00073CC1" w:rsidRPr="0031439A" w:rsidRDefault="00073CC1" w:rsidP="00AA3506">
      <w:pPr>
        <w:pStyle w:val="Listapunktowana1"/>
        <w:numPr>
          <w:ilvl w:val="0"/>
          <w:numId w:val="137"/>
        </w:numPr>
        <w:ind w:left="426" w:hanging="284"/>
        <w:contextualSpacing w:val="0"/>
        <w:rPr>
          <w:rFonts w:asciiTheme="minorHAnsi" w:hAnsiTheme="minorHAnsi"/>
        </w:rPr>
      </w:pPr>
      <w:r w:rsidRPr="00B433E8">
        <w:rPr>
          <w:rFonts w:asciiTheme="minorHAnsi" w:hAnsiTheme="minorHAnsi" w:cstheme="minorHAnsi"/>
        </w:rPr>
        <w:t>Dokument</w:t>
      </w:r>
      <w:r w:rsidRPr="0031439A">
        <w:rPr>
          <w:rFonts w:asciiTheme="minorHAnsi" w:hAnsiTheme="minorHAnsi"/>
        </w:rPr>
        <w:t xml:space="preserve"> roboczy służb Komisji do sprawozdania Komisji dla Parlamentu Europejskiego i Rady w</w:t>
      </w:r>
      <w:r w:rsidRPr="00B433E8">
        <w:rPr>
          <w:rFonts w:asciiTheme="minorHAnsi" w:hAnsiTheme="minorHAnsi" w:cstheme="minorHAnsi"/>
        </w:rPr>
        <w:t> </w:t>
      </w:r>
      <w:r w:rsidRPr="0031439A">
        <w:rPr>
          <w:rFonts w:asciiTheme="minorHAnsi" w:hAnsiTheme="minorHAnsi"/>
        </w:rPr>
        <w:t>sprawie wykonania Ramowej Dyrektywy Wodnej (2000/60/WE) i Dyrektywy powodziowej (2007/60/WE); Drugie plany gospodarowania wodami w dorzeczu; Pierwsze plany zarządzania ryzykiem powodziowym; Bruksela, dnia 26 lutego 2019; SWD</w:t>
      </w:r>
      <w:r w:rsidRPr="00B433E8">
        <w:rPr>
          <w:rFonts w:asciiTheme="minorHAnsi" w:hAnsiTheme="minorHAnsi" w:cstheme="minorHAnsi"/>
        </w:rPr>
        <w:t xml:space="preserve"> </w:t>
      </w:r>
      <w:r w:rsidRPr="0031439A">
        <w:rPr>
          <w:rFonts w:asciiTheme="minorHAnsi" w:hAnsiTheme="minorHAnsi"/>
        </w:rPr>
        <w:t xml:space="preserve">(2019) 53 draft. </w:t>
      </w:r>
    </w:p>
    <w:bookmarkEnd w:id="377"/>
    <w:p w14:paraId="7103A49C" w14:textId="77777777" w:rsidR="00073CC1" w:rsidRPr="0031439A" w:rsidRDefault="00073CC1" w:rsidP="00073CC1">
      <w:pPr>
        <w:pStyle w:val="Listapunktowana1"/>
        <w:ind w:left="0" w:firstLine="0"/>
        <w:contextualSpacing w:val="0"/>
        <w:rPr>
          <w:rFonts w:asciiTheme="minorHAnsi" w:hAnsiTheme="minorHAnsi"/>
        </w:rPr>
      </w:pPr>
      <w:r w:rsidRPr="0031439A">
        <w:rPr>
          <w:rFonts w:asciiTheme="minorHAnsi" w:hAnsiTheme="minorHAnsi"/>
        </w:rPr>
        <w:t>Każde z działań w poszczególnych katalogach zostało ocenione pod kątem możliwości eliminacji lub</w:t>
      </w:r>
      <w:r w:rsidRPr="00B433E8">
        <w:rPr>
          <w:rFonts w:asciiTheme="minorHAnsi" w:hAnsiTheme="minorHAnsi" w:cstheme="minorHAnsi"/>
        </w:rPr>
        <w:t xml:space="preserve"> </w:t>
      </w:r>
      <w:r w:rsidRPr="0031439A">
        <w:rPr>
          <w:rFonts w:asciiTheme="minorHAnsi" w:hAnsiTheme="minorHAnsi"/>
        </w:rPr>
        <w:t>redukcji presji, a tym samym osiągnięcia celów środowiskowych. W katalogach dla</w:t>
      </w:r>
      <w:r w:rsidRPr="00B433E8">
        <w:rPr>
          <w:rFonts w:asciiTheme="minorHAnsi" w:hAnsiTheme="minorHAnsi" w:cstheme="minorHAnsi"/>
        </w:rPr>
        <w:t> </w:t>
      </w:r>
      <w:r w:rsidRPr="0031439A">
        <w:rPr>
          <w:rFonts w:asciiTheme="minorHAnsi" w:hAnsiTheme="minorHAnsi"/>
        </w:rPr>
        <w:t>poszczególnych kategorii wód znalazły się zarówno działania nowe, jak i prolongowane z</w:t>
      </w:r>
      <w:r w:rsidRPr="00B433E8">
        <w:rPr>
          <w:rFonts w:asciiTheme="minorHAnsi" w:hAnsiTheme="minorHAnsi" w:cstheme="minorHAnsi"/>
        </w:rPr>
        <w:t> </w:t>
      </w:r>
      <w:r w:rsidRPr="0031439A">
        <w:rPr>
          <w:rFonts w:asciiTheme="minorHAnsi" w:hAnsiTheme="minorHAnsi"/>
        </w:rPr>
        <w:t>poprzedniego cyklu planistycznego (2016-2021). Wśród działań prolongowanych znalazły się</w:t>
      </w:r>
      <w:r w:rsidRPr="00B433E8">
        <w:rPr>
          <w:rFonts w:asciiTheme="minorHAnsi" w:hAnsiTheme="minorHAnsi" w:cstheme="minorHAnsi"/>
        </w:rPr>
        <w:t> </w:t>
      </w:r>
      <w:r w:rsidRPr="0031439A">
        <w:rPr>
          <w:rFonts w:asciiTheme="minorHAnsi" w:hAnsiTheme="minorHAnsi"/>
        </w:rPr>
        <w:t>działania niezrealizowane w</w:t>
      </w:r>
      <w:r w:rsidRPr="00B433E8">
        <w:rPr>
          <w:rFonts w:asciiTheme="minorHAnsi" w:hAnsiTheme="minorHAnsi" w:cstheme="minorHAnsi"/>
        </w:rPr>
        <w:t xml:space="preserve"> </w:t>
      </w:r>
      <w:r w:rsidRPr="0031439A">
        <w:rPr>
          <w:rFonts w:asciiTheme="minorHAnsi" w:hAnsiTheme="minorHAnsi"/>
        </w:rPr>
        <w:t>poprzednim cyklu planistycznym (aPGW, 2016-2021), a także będące w trakcie realizacji i</w:t>
      </w:r>
      <w:r w:rsidRPr="00B433E8">
        <w:rPr>
          <w:rFonts w:asciiTheme="minorHAnsi" w:hAnsiTheme="minorHAnsi" w:cstheme="minorHAnsi"/>
        </w:rPr>
        <w:t xml:space="preserve"> </w:t>
      </w:r>
      <w:r w:rsidRPr="0031439A">
        <w:rPr>
          <w:rFonts w:asciiTheme="minorHAnsi" w:hAnsiTheme="minorHAnsi"/>
        </w:rPr>
        <w:t>wymagające kontynuacji w IIaPGW.</w:t>
      </w:r>
    </w:p>
    <w:p w14:paraId="33CEF925" w14:textId="77777777" w:rsidR="00073CC1" w:rsidRPr="0031439A" w:rsidRDefault="00073CC1" w:rsidP="00073CC1">
      <w:pPr>
        <w:pStyle w:val="Listapunktowana1"/>
        <w:spacing w:line="276" w:lineRule="auto"/>
        <w:ind w:left="0" w:firstLine="0"/>
        <w:contextualSpacing w:val="0"/>
        <w:rPr>
          <w:rFonts w:asciiTheme="minorHAnsi" w:hAnsiTheme="minorHAnsi"/>
        </w:rPr>
      </w:pPr>
      <w:r w:rsidRPr="0031439A">
        <w:rPr>
          <w:rFonts w:asciiTheme="minorHAnsi" w:hAnsiTheme="minorHAnsi"/>
        </w:rPr>
        <w:t>W katalogach zastosowano kodowanie działań odwołujące się bezpośrednio do głównej presji na</w:t>
      </w:r>
      <w:r w:rsidRPr="00B433E8">
        <w:rPr>
          <w:rFonts w:asciiTheme="minorHAnsi" w:hAnsiTheme="minorHAnsi" w:cstheme="minorHAnsi"/>
        </w:rPr>
        <w:t> </w:t>
      </w:r>
      <w:r w:rsidRPr="0031439A">
        <w:rPr>
          <w:rFonts w:asciiTheme="minorHAnsi" w:hAnsiTheme="minorHAnsi"/>
        </w:rPr>
        <w:t>jaką dane działanie wpływa (jedno działanie może wpływać na eliminację lub redukcję więcej niż jednej presji znaczącej). Taki sam sposób kodowania dotyczy wszystkich kategorii wód jcwp</w:t>
      </w:r>
      <w:r>
        <w:rPr>
          <w:rFonts w:asciiTheme="minorHAnsi" w:hAnsiTheme="minorHAnsi"/>
        </w:rPr>
        <w:t xml:space="preserve"> </w:t>
      </w:r>
      <w:r w:rsidRPr="00DB2311">
        <w:t>(tabela 12</w:t>
      </w:r>
      <w:r w:rsidRPr="0031439A">
        <w:rPr>
          <w:rFonts w:asciiTheme="minorHAnsi" w:hAnsiTheme="minorHAnsi"/>
        </w:rPr>
        <w:t xml:space="preserve">-1). </w:t>
      </w:r>
    </w:p>
    <w:p w14:paraId="51520C16" w14:textId="76961137" w:rsidR="00081F23" w:rsidRDefault="00081F23" w:rsidP="006802BB">
      <w:pPr>
        <w:pStyle w:val="Legenda"/>
      </w:pPr>
      <w:bookmarkStart w:id="378" w:name="_Toc68727029"/>
      <w:r>
        <w:t xml:space="preserve">Tabela </w:t>
      </w:r>
      <w:fldSimple w:instr=" STYLEREF 1 \s ">
        <w:r w:rsidR="007B4050">
          <w:rPr>
            <w:noProof/>
          </w:rPr>
          <w:t>12</w:t>
        </w:r>
      </w:fldSimple>
      <w:r w:rsidR="007B4050">
        <w:noBreakHyphen/>
      </w:r>
      <w:fldSimple w:instr=" SEQ Tabela \* ARABIC \s 1 ">
        <w:r w:rsidR="007B4050">
          <w:rPr>
            <w:noProof/>
          </w:rPr>
          <w:t>1</w:t>
        </w:r>
      </w:fldSimple>
      <w:r w:rsidR="00D26A6E">
        <w:tab/>
      </w:r>
      <w:r w:rsidRPr="00C7068B">
        <w:t>Kodowanie działań w katalogu jcw</w:t>
      </w:r>
      <w:bookmarkEnd w:id="378"/>
    </w:p>
    <w:tbl>
      <w:tblPr>
        <w:tblStyle w:val="Tabela-Siatka"/>
        <w:tblW w:w="5000" w:type="pct"/>
        <w:jc w:val="center"/>
        <w:tblLook w:val="06A0" w:firstRow="1" w:lastRow="0" w:firstColumn="1" w:lastColumn="0" w:noHBand="1" w:noVBand="1"/>
      </w:tblPr>
      <w:tblGrid>
        <w:gridCol w:w="3017"/>
        <w:gridCol w:w="3924"/>
        <w:gridCol w:w="2121"/>
      </w:tblGrid>
      <w:tr w:rsidR="00860BC1" w:rsidRPr="00776B26" w14:paraId="70738983" w14:textId="77777777" w:rsidTr="00417C2C">
        <w:trPr>
          <w:trHeight w:val="454"/>
          <w:tblHeader/>
          <w:jc w:val="center"/>
        </w:trPr>
        <w:tc>
          <w:tcPr>
            <w:tcW w:w="1665" w:type="pct"/>
            <w:shd w:val="clear" w:color="auto" w:fill="BFBFBF" w:themeFill="background1" w:themeFillShade="BF"/>
            <w:vAlign w:val="center"/>
          </w:tcPr>
          <w:p w14:paraId="72CA48A4" w14:textId="77777777" w:rsidR="00860BC1" w:rsidRPr="00F817BD" w:rsidRDefault="00860BC1" w:rsidP="00F817BD">
            <w:pPr>
              <w:spacing w:before="40" w:after="40"/>
              <w:jc w:val="center"/>
              <w:rPr>
                <w:rFonts w:cs="Calibri"/>
                <w:b/>
                <w:sz w:val="20"/>
                <w:szCs w:val="20"/>
              </w:rPr>
            </w:pPr>
            <w:r w:rsidRPr="00F817BD">
              <w:rPr>
                <w:rFonts w:cs="Calibri"/>
                <w:b/>
                <w:sz w:val="20"/>
                <w:szCs w:val="20"/>
              </w:rPr>
              <w:t>Kod IIaPGW</w:t>
            </w:r>
          </w:p>
        </w:tc>
        <w:tc>
          <w:tcPr>
            <w:tcW w:w="2165" w:type="pct"/>
            <w:shd w:val="clear" w:color="auto" w:fill="BFBFBF" w:themeFill="background1" w:themeFillShade="BF"/>
            <w:vAlign w:val="center"/>
          </w:tcPr>
          <w:p w14:paraId="5551A29B" w14:textId="77777777" w:rsidR="00860BC1" w:rsidRPr="00F817BD" w:rsidRDefault="00860BC1" w:rsidP="00F817BD">
            <w:pPr>
              <w:spacing w:before="40" w:after="40"/>
              <w:jc w:val="center"/>
              <w:rPr>
                <w:rFonts w:cs="Calibri"/>
                <w:b/>
                <w:sz w:val="20"/>
                <w:szCs w:val="20"/>
              </w:rPr>
            </w:pPr>
            <w:r w:rsidRPr="00F817BD">
              <w:rPr>
                <w:rFonts w:cs="Calibri"/>
                <w:b/>
                <w:sz w:val="20"/>
                <w:szCs w:val="20"/>
              </w:rPr>
              <w:t>Objaśnienie</w:t>
            </w:r>
          </w:p>
        </w:tc>
        <w:tc>
          <w:tcPr>
            <w:tcW w:w="1170" w:type="pct"/>
            <w:shd w:val="clear" w:color="auto" w:fill="BFBFBF" w:themeFill="background1" w:themeFillShade="BF"/>
            <w:vAlign w:val="center"/>
          </w:tcPr>
          <w:p w14:paraId="37D7E4DB" w14:textId="77777777" w:rsidR="00860BC1" w:rsidRPr="00F817BD" w:rsidRDefault="00860BC1" w:rsidP="00F817BD">
            <w:pPr>
              <w:spacing w:before="40" w:after="40"/>
              <w:jc w:val="center"/>
              <w:rPr>
                <w:rFonts w:cs="Calibri"/>
                <w:b/>
                <w:sz w:val="20"/>
                <w:szCs w:val="20"/>
              </w:rPr>
            </w:pPr>
            <w:r w:rsidRPr="00F817BD">
              <w:rPr>
                <w:rFonts w:cs="Calibri"/>
                <w:b/>
                <w:sz w:val="20"/>
                <w:szCs w:val="20"/>
              </w:rPr>
              <w:t>Przykład kodu IIaPGW dla jcwp RW</w:t>
            </w:r>
          </w:p>
        </w:tc>
      </w:tr>
      <w:tr w:rsidR="00860BC1" w14:paraId="03B957AE" w14:textId="77777777" w:rsidTr="00BD005D">
        <w:trPr>
          <w:trHeight w:val="454"/>
          <w:jc w:val="center"/>
        </w:trPr>
        <w:tc>
          <w:tcPr>
            <w:tcW w:w="1665" w:type="pct"/>
            <w:vAlign w:val="center"/>
          </w:tcPr>
          <w:p w14:paraId="1B6F4C45" w14:textId="60CE7518" w:rsidR="00860BC1" w:rsidRPr="00F817BD" w:rsidRDefault="00860BC1" w:rsidP="00860BC1">
            <w:pPr>
              <w:spacing w:before="40" w:after="40"/>
              <w:jc w:val="left"/>
              <w:rPr>
                <w:rFonts w:cs="Calibri"/>
                <w:sz w:val="20"/>
                <w:szCs w:val="20"/>
              </w:rPr>
            </w:pPr>
            <w:r w:rsidRPr="00417C2C">
              <w:rPr>
                <w:sz w:val="20"/>
                <w:szCs w:val="20"/>
              </w:rPr>
              <w:t xml:space="preserve">oznaczenie kategorii wód + </w:t>
            </w:r>
            <w:r w:rsidRPr="00417C2C">
              <w:rPr>
                <w:rFonts w:cstheme="minorHAnsi"/>
                <w:b/>
                <w:sz w:val="20"/>
                <w:szCs w:val="20"/>
              </w:rPr>
              <w:t>C</w:t>
            </w:r>
          </w:p>
        </w:tc>
        <w:tc>
          <w:tcPr>
            <w:tcW w:w="2165" w:type="pct"/>
          </w:tcPr>
          <w:p w14:paraId="17CDB947" w14:textId="77777777" w:rsidR="00860BC1" w:rsidRPr="00F817BD" w:rsidRDefault="00860BC1" w:rsidP="00860BC1">
            <w:pPr>
              <w:spacing w:before="40" w:after="40"/>
              <w:jc w:val="left"/>
              <w:rPr>
                <w:rFonts w:cs="Calibri"/>
                <w:sz w:val="20"/>
                <w:szCs w:val="20"/>
              </w:rPr>
            </w:pPr>
            <w:r w:rsidRPr="00F817BD">
              <w:rPr>
                <w:color w:val="000000"/>
                <w:sz w:val="20"/>
                <w:szCs w:val="20"/>
              </w:rPr>
              <w:t>presje skumulowane wód</w:t>
            </w:r>
          </w:p>
        </w:tc>
        <w:tc>
          <w:tcPr>
            <w:tcW w:w="1170" w:type="pct"/>
          </w:tcPr>
          <w:p w14:paraId="4A4993D6" w14:textId="77777777" w:rsidR="00860BC1" w:rsidRPr="00F817BD" w:rsidRDefault="00860BC1" w:rsidP="00860BC1">
            <w:pPr>
              <w:spacing w:before="40" w:after="40"/>
              <w:jc w:val="center"/>
              <w:rPr>
                <w:rFonts w:cs="Calibri"/>
                <w:sz w:val="20"/>
                <w:szCs w:val="20"/>
              </w:rPr>
            </w:pPr>
            <w:r w:rsidRPr="00F817BD">
              <w:rPr>
                <w:rFonts w:cs="Calibri"/>
                <w:sz w:val="20"/>
                <w:szCs w:val="20"/>
              </w:rPr>
              <w:t>RWC</w:t>
            </w:r>
          </w:p>
        </w:tc>
      </w:tr>
      <w:tr w:rsidR="00860BC1" w14:paraId="12B6C24F" w14:textId="77777777" w:rsidTr="00BD005D">
        <w:trPr>
          <w:trHeight w:val="454"/>
          <w:jc w:val="center"/>
        </w:trPr>
        <w:tc>
          <w:tcPr>
            <w:tcW w:w="1665" w:type="pct"/>
            <w:vAlign w:val="center"/>
          </w:tcPr>
          <w:p w14:paraId="78656701" w14:textId="1CF52A6E" w:rsidR="00860BC1" w:rsidRPr="00F817BD" w:rsidRDefault="00860BC1" w:rsidP="00860BC1">
            <w:pPr>
              <w:spacing w:before="40" w:after="40"/>
              <w:jc w:val="left"/>
              <w:rPr>
                <w:rFonts w:cs="Calibri"/>
                <w:sz w:val="20"/>
                <w:szCs w:val="20"/>
              </w:rPr>
            </w:pPr>
            <w:r w:rsidRPr="00417C2C">
              <w:rPr>
                <w:sz w:val="20"/>
                <w:szCs w:val="20"/>
              </w:rPr>
              <w:t>oznaczenie kategorii wód</w:t>
            </w:r>
            <w:r w:rsidRPr="00417C2C">
              <w:rPr>
                <w:rFonts w:cstheme="minorHAnsi"/>
                <w:sz w:val="20"/>
                <w:szCs w:val="20"/>
              </w:rPr>
              <w:t xml:space="preserve"> + </w:t>
            </w:r>
            <w:r w:rsidRPr="00417C2C">
              <w:rPr>
                <w:rFonts w:cstheme="minorHAnsi"/>
                <w:b/>
                <w:sz w:val="20"/>
                <w:szCs w:val="20"/>
              </w:rPr>
              <w:t>P</w:t>
            </w:r>
          </w:p>
        </w:tc>
        <w:tc>
          <w:tcPr>
            <w:tcW w:w="2165" w:type="pct"/>
          </w:tcPr>
          <w:p w14:paraId="652D856D" w14:textId="77777777" w:rsidR="00860BC1" w:rsidRPr="00F817BD" w:rsidRDefault="00860BC1" w:rsidP="00860BC1">
            <w:pPr>
              <w:spacing w:before="40" w:after="40"/>
              <w:jc w:val="left"/>
              <w:rPr>
                <w:rFonts w:cs="Calibri"/>
                <w:sz w:val="20"/>
                <w:szCs w:val="20"/>
              </w:rPr>
            </w:pPr>
            <w:r w:rsidRPr="00F817BD">
              <w:rPr>
                <w:color w:val="000000"/>
                <w:sz w:val="20"/>
                <w:szCs w:val="20"/>
              </w:rPr>
              <w:t>presje chemiczne i fizykochemiczne</w:t>
            </w:r>
          </w:p>
        </w:tc>
        <w:tc>
          <w:tcPr>
            <w:tcW w:w="1170" w:type="pct"/>
          </w:tcPr>
          <w:p w14:paraId="1E648E60" w14:textId="77777777" w:rsidR="00860BC1" w:rsidRPr="00F817BD" w:rsidRDefault="00860BC1" w:rsidP="00860BC1">
            <w:pPr>
              <w:spacing w:before="40" w:after="40"/>
              <w:jc w:val="center"/>
              <w:rPr>
                <w:rFonts w:cs="Calibri"/>
                <w:sz w:val="20"/>
                <w:szCs w:val="20"/>
              </w:rPr>
            </w:pPr>
            <w:r w:rsidRPr="00F817BD">
              <w:rPr>
                <w:rFonts w:cs="Calibri"/>
                <w:sz w:val="20"/>
                <w:szCs w:val="20"/>
              </w:rPr>
              <w:t>RWP</w:t>
            </w:r>
          </w:p>
        </w:tc>
      </w:tr>
      <w:tr w:rsidR="00860BC1" w14:paraId="2525B95E" w14:textId="77777777" w:rsidTr="00BD005D">
        <w:trPr>
          <w:trHeight w:val="454"/>
          <w:jc w:val="center"/>
        </w:trPr>
        <w:tc>
          <w:tcPr>
            <w:tcW w:w="1665" w:type="pct"/>
            <w:vAlign w:val="center"/>
          </w:tcPr>
          <w:p w14:paraId="0849047A" w14:textId="5F790198" w:rsidR="00860BC1" w:rsidRPr="00F817BD" w:rsidRDefault="00860BC1" w:rsidP="00860BC1">
            <w:pPr>
              <w:spacing w:before="40" w:after="40"/>
              <w:jc w:val="left"/>
              <w:rPr>
                <w:rFonts w:cs="Calibri"/>
                <w:sz w:val="20"/>
                <w:szCs w:val="20"/>
              </w:rPr>
            </w:pPr>
            <w:r w:rsidRPr="00417C2C">
              <w:rPr>
                <w:sz w:val="20"/>
                <w:szCs w:val="20"/>
              </w:rPr>
              <w:t>oznaczenie kategorii wód</w:t>
            </w:r>
            <w:r w:rsidRPr="00417C2C">
              <w:rPr>
                <w:rFonts w:cstheme="minorHAnsi"/>
                <w:sz w:val="20"/>
                <w:szCs w:val="20"/>
              </w:rPr>
              <w:t xml:space="preserve"> + </w:t>
            </w:r>
            <w:r w:rsidRPr="00417C2C">
              <w:rPr>
                <w:rFonts w:cstheme="minorHAnsi"/>
                <w:b/>
                <w:sz w:val="20"/>
                <w:szCs w:val="20"/>
              </w:rPr>
              <w:t>H</w:t>
            </w:r>
          </w:p>
        </w:tc>
        <w:tc>
          <w:tcPr>
            <w:tcW w:w="2165" w:type="pct"/>
          </w:tcPr>
          <w:p w14:paraId="743D8380" w14:textId="77777777" w:rsidR="00860BC1" w:rsidRPr="00F817BD" w:rsidRDefault="00860BC1" w:rsidP="00860BC1">
            <w:pPr>
              <w:spacing w:before="40" w:after="40"/>
              <w:jc w:val="left"/>
              <w:rPr>
                <w:rFonts w:cs="Calibri"/>
                <w:sz w:val="20"/>
                <w:szCs w:val="20"/>
              </w:rPr>
            </w:pPr>
            <w:r w:rsidRPr="00F817BD">
              <w:rPr>
                <w:color w:val="000000"/>
                <w:sz w:val="20"/>
                <w:szCs w:val="20"/>
              </w:rPr>
              <w:t>presje hydrologiczne</w:t>
            </w:r>
          </w:p>
        </w:tc>
        <w:tc>
          <w:tcPr>
            <w:tcW w:w="1170" w:type="pct"/>
          </w:tcPr>
          <w:p w14:paraId="76EAB4C4" w14:textId="77777777" w:rsidR="00860BC1" w:rsidRPr="00F817BD" w:rsidRDefault="00860BC1" w:rsidP="00860BC1">
            <w:pPr>
              <w:spacing w:before="40" w:after="40"/>
              <w:jc w:val="center"/>
              <w:rPr>
                <w:rFonts w:cs="Calibri"/>
                <w:sz w:val="20"/>
                <w:szCs w:val="20"/>
              </w:rPr>
            </w:pPr>
            <w:r w:rsidRPr="00F817BD">
              <w:rPr>
                <w:rFonts w:cs="Calibri"/>
                <w:sz w:val="20"/>
                <w:szCs w:val="20"/>
              </w:rPr>
              <w:t>RWH</w:t>
            </w:r>
          </w:p>
        </w:tc>
      </w:tr>
      <w:tr w:rsidR="00860BC1" w14:paraId="11E34371" w14:textId="77777777" w:rsidTr="00BD005D">
        <w:trPr>
          <w:trHeight w:val="454"/>
          <w:jc w:val="center"/>
        </w:trPr>
        <w:tc>
          <w:tcPr>
            <w:tcW w:w="1665" w:type="pct"/>
            <w:vAlign w:val="center"/>
          </w:tcPr>
          <w:p w14:paraId="33450FDC" w14:textId="4F376DFF" w:rsidR="00860BC1" w:rsidRPr="00F817BD" w:rsidRDefault="00860BC1" w:rsidP="00860BC1">
            <w:pPr>
              <w:spacing w:before="40" w:after="40"/>
              <w:jc w:val="left"/>
              <w:rPr>
                <w:rFonts w:cs="Calibri"/>
                <w:sz w:val="20"/>
                <w:szCs w:val="20"/>
              </w:rPr>
            </w:pPr>
            <w:r w:rsidRPr="00417C2C">
              <w:rPr>
                <w:sz w:val="20"/>
                <w:szCs w:val="20"/>
              </w:rPr>
              <w:t>oznaczenie kategorii wód</w:t>
            </w:r>
            <w:r w:rsidRPr="00417C2C">
              <w:rPr>
                <w:rFonts w:cstheme="minorHAnsi"/>
                <w:sz w:val="20"/>
                <w:szCs w:val="20"/>
              </w:rPr>
              <w:t xml:space="preserve"> + </w:t>
            </w:r>
            <w:r w:rsidRPr="00417C2C">
              <w:rPr>
                <w:rFonts w:cstheme="minorHAnsi"/>
                <w:b/>
                <w:sz w:val="20"/>
                <w:szCs w:val="20"/>
              </w:rPr>
              <w:t>HM</w:t>
            </w:r>
          </w:p>
        </w:tc>
        <w:tc>
          <w:tcPr>
            <w:tcW w:w="2165" w:type="pct"/>
          </w:tcPr>
          <w:p w14:paraId="7B7E340C" w14:textId="77777777" w:rsidR="00860BC1" w:rsidRPr="00F817BD" w:rsidRDefault="00860BC1" w:rsidP="00860BC1">
            <w:pPr>
              <w:spacing w:before="40" w:after="40"/>
              <w:jc w:val="left"/>
              <w:rPr>
                <w:rFonts w:cs="Calibri"/>
                <w:sz w:val="20"/>
                <w:szCs w:val="20"/>
              </w:rPr>
            </w:pPr>
            <w:r w:rsidRPr="00F817BD">
              <w:rPr>
                <w:color w:val="000000"/>
                <w:sz w:val="20"/>
                <w:szCs w:val="20"/>
              </w:rPr>
              <w:t>presje hydromofologiczne</w:t>
            </w:r>
          </w:p>
        </w:tc>
        <w:tc>
          <w:tcPr>
            <w:tcW w:w="1170" w:type="pct"/>
          </w:tcPr>
          <w:p w14:paraId="339FBB5A" w14:textId="77777777" w:rsidR="00860BC1" w:rsidRPr="00F817BD" w:rsidRDefault="00860BC1" w:rsidP="00860BC1">
            <w:pPr>
              <w:spacing w:before="40" w:after="40"/>
              <w:jc w:val="center"/>
              <w:rPr>
                <w:rFonts w:cs="Calibri"/>
                <w:sz w:val="20"/>
                <w:szCs w:val="20"/>
              </w:rPr>
            </w:pPr>
            <w:r w:rsidRPr="00F817BD">
              <w:rPr>
                <w:rFonts w:cs="Calibri"/>
                <w:sz w:val="20"/>
                <w:szCs w:val="20"/>
              </w:rPr>
              <w:t>RWHM</w:t>
            </w:r>
          </w:p>
        </w:tc>
      </w:tr>
    </w:tbl>
    <w:p w14:paraId="569EEE10" w14:textId="77777777" w:rsidR="00860BC1" w:rsidRPr="0020770B" w:rsidRDefault="00860BC1" w:rsidP="00860BC1">
      <w:pPr>
        <w:suppressAutoHyphens/>
        <w:spacing w:line="276" w:lineRule="auto"/>
        <w:jc w:val="right"/>
        <w:rPr>
          <w:rFonts w:cs="Calibri"/>
          <w:i/>
          <w:iCs/>
          <w:color w:val="003399"/>
          <w:sz w:val="20"/>
          <w:szCs w:val="20"/>
        </w:rPr>
      </w:pPr>
      <w:r w:rsidRPr="0020770B">
        <w:rPr>
          <w:rFonts w:cs="Calibri"/>
          <w:i/>
          <w:iCs/>
          <w:color w:val="003399"/>
          <w:sz w:val="20"/>
          <w:szCs w:val="20"/>
        </w:rPr>
        <w:t>Źródło: opracowanie własne</w:t>
      </w:r>
    </w:p>
    <w:p w14:paraId="714C602F" w14:textId="4C81F1ED" w:rsidR="00AE3DE4" w:rsidRPr="0031439A" w:rsidRDefault="00AE3DE4" w:rsidP="00AE3DE4">
      <w:pPr>
        <w:pStyle w:val="Listapunktowana1"/>
        <w:spacing w:line="276" w:lineRule="auto"/>
        <w:ind w:left="0" w:firstLine="0"/>
        <w:rPr>
          <w:rFonts w:asciiTheme="minorHAnsi" w:hAnsiTheme="minorHAnsi"/>
        </w:rPr>
      </w:pPr>
      <w:r w:rsidRPr="0031439A">
        <w:rPr>
          <w:rFonts w:asciiTheme="minorHAnsi" w:hAnsiTheme="minorHAnsi"/>
        </w:rPr>
        <w:t>W przypadku jcwpd przypisany kod wskazuje rodzaj presji, na redukcję której działanie jest ukierunkowane (presje ilościowe, presje chemiczne lub presje ilościowe i chemiczne</w:t>
      </w:r>
      <w:r w:rsidRPr="00B433E8">
        <w:rPr>
          <w:rFonts w:asciiTheme="minorHAnsi" w:hAnsiTheme="minorHAnsi" w:cstheme="minorHAnsi"/>
        </w:rPr>
        <w:t xml:space="preserve">) (tabela </w:t>
      </w:r>
      <w:r>
        <w:rPr>
          <w:rFonts w:asciiTheme="minorHAnsi" w:hAnsiTheme="minorHAnsi" w:cstheme="minorHAnsi"/>
        </w:rPr>
        <w:t>12</w:t>
      </w:r>
      <w:r w:rsidRPr="0031439A">
        <w:rPr>
          <w:rFonts w:asciiTheme="minorHAnsi" w:hAnsiTheme="minorHAnsi"/>
        </w:rPr>
        <w:t>-2).</w:t>
      </w:r>
    </w:p>
    <w:p w14:paraId="230A3D08" w14:textId="2CF2AC2C" w:rsidR="00081F23" w:rsidRDefault="00081F23" w:rsidP="006802BB">
      <w:pPr>
        <w:pStyle w:val="Legenda"/>
      </w:pPr>
      <w:bookmarkStart w:id="379" w:name="_Toc68727030"/>
      <w:r>
        <w:t xml:space="preserve">Tabela </w:t>
      </w:r>
      <w:fldSimple w:instr=" STYLEREF 1 \s ">
        <w:r w:rsidR="007B4050">
          <w:rPr>
            <w:noProof/>
          </w:rPr>
          <w:t>12</w:t>
        </w:r>
      </w:fldSimple>
      <w:r w:rsidR="007B4050">
        <w:noBreakHyphen/>
      </w:r>
      <w:fldSimple w:instr=" SEQ Tabela \* ARABIC \s 1 ">
        <w:r w:rsidR="007B4050">
          <w:rPr>
            <w:noProof/>
          </w:rPr>
          <w:t>2</w:t>
        </w:r>
      </w:fldSimple>
      <w:r w:rsidR="00D26A6E">
        <w:tab/>
      </w:r>
      <w:r w:rsidRPr="00DD678D">
        <w:t>Kodowanie działań w katalogu jcwpd</w:t>
      </w:r>
      <w:bookmarkEnd w:id="379"/>
    </w:p>
    <w:tbl>
      <w:tblPr>
        <w:tblW w:w="5000" w:type="pct"/>
        <w:jc w:val="center"/>
        <w:tblLook w:val="00A0" w:firstRow="1" w:lastRow="0" w:firstColumn="1" w:lastColumn="0" w:noHBand="0" w:noVBand="0"/>
      </w:tblPr>
      <w:tblGrid>
        <w:gridCol w:w="2830"/>
        <w:gridCol w:w="4588"/>
        <w:gridCol w:w="1644"/>
      </w:tblGrid>
      <w:tr w:rsidR="0056461E" w:rsidRPr="00B433E8" w14:paraId="1D4DFEA2" w14:textId="77777777" w:rsidTr="00BD005D">
        <w:trPr>
          <w:trHeight w:val="454"/>
          <w:tblHeader/>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4ADF8E7" w14:textId="77777777" w:rsidR="0056461E" w:rsidRPr="005D58CF" w:rsidRDefault="0056461E" w:rsidP="00BD005D">
            <w:pPr>
              <w:pStyle w:val="TABELANagwek"/>
              <w:spacing w:line="276" w:lineRule="auto"/>
            </w:pPr>
            <w:r w:rsidRPr="00290498">
              <w:t>Kod IIaPGW</w:t>
            </w:r>
          </w:p>
        </w:tc>
        <w:tc>
          <w:tcPr>
            <w:tcW w:w="459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1328F75" w14:textId="77777777" w:rsidR="0056461E" w:rsidRPr="0031439A" w:rsidRDefault="0056461E" w:rsidP="00BD005D">
            <w:pPr>
              <w:pStyle w:val="TABELANagwek"/>
              <w:spacing w:line="276" w:lineRule="auto"/>
            </w:pPr>
            <w:r w:rsidRPr="0031439A">
              <w:t>Objaśnienie</w:t>
            </w:r>
          </w:p>
        </w:tc>
        <w:tc>
          <w:tcPr>
            <w:tcW w:w="164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BB657AA" w14:textId="77777777" w:rsidR="0056461E" w:rsidRPr="00290498" w:rsidRDefault="0056461E" w:rsidP="00BD005D">
            <w:pPr>
              <w:pStyle w:val="TABELANagwek"/>
              <w:spacing w:line="276" w:lineRule="auto"/>
            </w:pPr>
            <w:r w:rsidRPr="0031439A">
              <w:t>Przykład kodu IIaPGW</w:t>
            </w:r>
            <w:r w:rsidRPr="00B433E8">
              <w:rPr>
                <w:rFonts w:cstheme="minorHAnsi"/>
              </w:rPr>
              <w:t xml:space="preserve"> dla jcwpd</w:t>
            </w:r>
          </w:p>
        </w:tc>
      </w:tr>
      <w:tr w:rsidR="0056461E" w:rsidRPr="00B433E8" w14:paraId="6D5401C6" w14:textId="77777777" w:rsidTr="00BD005D">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E59A7" w14:textId="77777777" w:rsidR="0056461E" w:rsidRPr="00B433E8" w:rsidRDefault="0056461E" w:rsidP="00BD005D">
            <w:pPr>
              <w:pStyle w:val="TABELAdolewej"/>
              <w:spacing w:line="276" w:lineRule="auto"/>
              <w:rPr>
                <w:rFonts w:cstheme="minorHAnsi"/>
              </w:rPr>
            </w:pPr>
            <w:r w:rsidRPr="0031439A">
              <w:t>oznaczenie kategorii wód</w:t>
            </w:r>
            <w:r w:rsidRPr="0031439A">
              <w:rPr>
                <w:b/>
              </w:rPr>
              <w:t xml:space="preserve"> </w:t>
            </w:r>
            <w:r w:rsidRPr="0031439A">
              <w:t>+</w:t>
            </w:r>
            <w:r w:rsidRPr="0031439A">
              <w:rPr>
                <w:b/>
              </w:rPr>
              <w:t xml:space="preserve"> </w:t>
            </w:r>
            <w:r w:rsidRPr="00B433E8">
              <w:rPr>
                <w:rFonts w:cstheme="minorHAnsi"/>
                <w:b/>
                <w:bCs/>
              </w:rPr>
              <w:t>I</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23C7A" w14:textId="77777777" w:rsidR="0056461E" w:rsidRPr="00B433E8" w:rsidRDefault="0056461E" w:rsidP="00BD005D">
            <w:pPr>
              <w:pStyle w:val="TABELAdolewej"/>
              <w:spacing w:line="276" w:lineRule="auto"/>
              <w:rPr>
                <w:rFonts w:cstheme="minorHAnsi"/>
              </w:rPr>
            </w:pPr>
            <w:r w:rsidRPr="00B433E8">
              <w:rPr>
                <w:rFonts w:cstheme="minorHAnsi"/>
              </w:rPr>
              <w:t>presje ilościowe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6E1DF" w14:textId="77777777" w:rsidR="0056461E" w:rsidRPr="00B433E8" w:rsidRDefault="0056461E" w:rsidP="00BD005D">
            <w:pPr>
              <w:pStyle w:val="TABELAwysrodkowane"/>
              <w:spacing w:line="276" w:lineRule="auto"/>
              <w:rPr>
                <w:rFonts w:cstheme="minorHAnsi"/>
              </w:rPr>
            </w:pPr>
            <w:r w:rsidRPr="00B433E8">
              <w:rPr>
                <w:rFonts w:cstheme="minorHAnsi"/>
              </w:rPr>
              <w:t>GWI</w:t>
            </w:r>
          </w:p>
        </w:tc>
      </w:tr>
      <w:tr w:rsidR="0056461E" w:rsidRPr="00B433E8" w14:paraId="2E8E1A33" w14:textId="77777777" w:rsidTr="00BD005D">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4F9FF" w14:textId="77777777" w:rsidR="0056461E" w:rsidRPr="00B433E8" w:rsidRDefault="0056461E" w:rsidP="00BD005D">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PA</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78938" w14:textId="77777777" w:rsidR="0056461E" w:rsidRPr="00B433E8" w:rsidRDefault="0056461E" w:rsidP="00BD005D">
            <w:pPr>
              <w:pStyle w:val="TABELAdolewej"/>
              <w:spacing w:line="276" w:lineRule="auto"/>
              <w:rPr>
                <w:rFonts w:cstheme="minorHAnsi"/>
              </w:rPr>
            </w:pPr>
            <w:r w:rsidRPr="00B433E8">
              <w:rPr>
                <w:rFonts w:cstheme="minorHAnsi"/>
              </w:rPr>
              <w:t>presje chemiczne A (rolnictwo i gospodarka komunalna)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82486" w14:textId="77777777" w:rsidR="0056461E" w:rsidRPr="00B433E8" w:rsidRDefault="0056461E" w:rsidP="00BD005D">
            <w:pPr>
              <w:pStyle w:val="TABELAwysrodkowane"/>
              <w:spacing w:line="276" w:lineRule="auto"/>
              <w:rPr>
                <w:rFonts w:cstheme="minorHAnsi"/>
              </w:rPr>
            </w:pPr>
            <w:r w:rsidRPr="00B433E8">
              <w:rPr>
                <w:rFonts w:cstheme="minorHAnsi"/>
              </w:rPr>
              <w:t>GWPA</w:t>
            </w:r>
          </w:p>
        </w:tc>
      </w:tr>
      <w:tr w:rsidR="0056461E" w:rsidRPr="00B433E8" w14:paraId="7EF1B8E1" w14:textId="77777777" w:rsidTr="00BD005D">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FD120" w14:textId="77777777" w:rsidR="0056461E" w:rsidRPr="00B433E8" w:rsidRDefault="0056461E" w:rsidP="00BD005D">
            <w:pPr>
              <w:pStyle w:val="TABELAdolewej"/>
              <w:spacing w:line="276" w:lineRule="auto"/>
              <w:rPr>
                <w:rFonts w:cstheme="minorHAnsi"/>
              </w:rPr>
            </w:pPr>
            <w:r w:rsidRPr="0031439A">
              <w:t xml:space="preserve">oznaczenie kategorii wód </w:t>
            </w:r>
            <w:r w:rsidRPr="00B433E8">
              <w:rPr>
                <w:rFonts w:cstheme="minorHAnsi"/>
              </w:rPr>
              <w:t xml:space="preserve">+ </w:t>
            </w:r>
            <w:r w:rsidRPr="00B433E8">
              <w:rPr>
                <w:rFonts w:cstheme="minorHAnsi"/>
                <w:b/>
                <w:bCs/>
              </w:rPr>
              <w:t>PB</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66DC0" w14:textId="77777777" w:rsidR="0056461E" w:rsidRPr="00B433E8" w:rsidRDefault="0056461E" w:rsidP="00BD005D">
            <w:pPr>
              <w:pStyle w:val="TABELAdolewej"/>
              <w:spacing w:line="276" w:lineRule="auto"/>
              <w:rPr>
                <w:rFonts w:cstheme="minorHAnsi"/>
              </w:rPr>
            </w:pPr>
            <w:r w:rsidRPr="00B433E8">
              <w:rPr>
                <w:rFonts w:cstheme="minorHAnsi"/>
              </w:rPr>
              <w:t>presje chemiczne B (przemysł i urbanizacja)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D3046" w14:textId="77777777" w:rsidR="0056461E" w:rsidRPr="00B433E8" w:rsidRDefault="0056461E" w:rsidP="00BD005D">
            <w:pPr>
              <w:pStyle w:val="TABELAwysrodkowane"/>
              <w:spacing w:line="276" w:lineRule="auto"/>
              <w:rPr>
                <w:rFonts w:cstheme="minorHAnsi"/>
              </w:rPr>
            </w:pPr>
            <w:r w:rsidRPr="00B433E8">
              <w:rPr>
                <w:rFonts w:cstheme="minorHAnsi"/>
              </w:rPr>
              <w:t>GWPB</w:t>
            </w:r>
          </w:p>
        </w:tc>
      </w:tr>
      <w:tr w:rsidR="0056461E" w:rsidRPr="00B433E8" w14:paraId="71F00DF6" w14:textId="77777777" w:rsidTr="00BD005D">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E8C92" w14:textId="77777777" w:rsidR="0056461E" w:rsidRPr="00B433E8" w:rsidRDefault="0056461E" w:rsidP="00BD005D">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IC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38831" w14:textId="77777777" w:rsidR="0056461E" w:rsidRPr="00B433E8" w:rsidRDefault="0056461E" w:rsidP="00BD005D">
            <w:pPr>
              <w:pStyle w:val="TABELAdolewej"/>
              <w:spacing w:line="276" w:lineRule="auto"/>
              <w:rPr>
                <w:rFonts w:cstheme="minorHAnsi"/>
              </w:rPr>
            </w:pPr>
            <w:r w:rsidRPr="00B433E8">
              <w:rPr>
                <w:rFonts w:cstheme="minorHAnsi"/>
              </w:rPr>
              <w:t>presje ilościowe i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CA0C2" w14:textId="77777777" w:rsidR="0056461E" w:rsidRPr="00B433E8" w:rsidRDefault="0056461E" w:rsidP="00BD005D">
            <w:pPr>
              <w:pStyle w:val="TABELAwysrodkowane"/>
              <w:spacing w:line="276" w:lineRule="auto"/>
              <w:rPr>
                <w:rFonts w:cstheme="minorHAnsi"/>
              </w:rPr>
            </w:pPr>
            <w:r w:rsidRPr="00B433E8">
              <w:rPr>
                <w:rFonts w:cstheme="minorHAnsi"/>
              </w:rPr>
              <w:t>GWIC</w:t>
            </w:r>
          </w:p>
        </w:tc>
      </w:tr>
      <w:tr w:rsidR="0056461E" w:rsidRPr="00B433E8" w14:paraId="16B575F3" w14:textId="77777777" w:rsidTr="00BD005D">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548E41" w14:textId="77777777" w:rsidR="0056461E" w:rsidRPr="00B433E8" w:rsidRDefault="0056461E" w:rsidP="00BD005D">
            <w:pPr>
              <w:pStyle w:val="TABELAdolewej"/>
              <w:spacing w:line="276" w:lineRule="auto"/>
              <w:rPr>
                <w:rFonts w:cstheme="minorHAnsi"/>
              </w:rPr>
            </w:pPr>
            <w:r w:rsidRPr="00B433E8">
              <w:rPr>
                <w:rFonts w:cstheme="minorHAnsi"/>
              </w:rPr>
              <w:t xml:space="preserve">oznaczenie kategorii wód + </w:t>
            </w:r>
            <w:r w:rsidRPr="00B433E8">
              <w:rPr>
                <w:rFonts w:cstheme="minorHAnsi"/>
                <w:b/>
                <w:bCs/>
              </w:rPr>
              <w:t>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21F11" w14:textId="77777777" w:rsidR="0056461E" w:rsidRPr="00B433E8" w:rsidRDefault="0056461E" w:rsidP="00BD005D">
            <w:pPr>
              <w:pStyle w:val="TABELAdolewej"/>
              <w:spacing w:line="276" w:lineRule="auto"/>
              <w:rPr>
                <w:rFonts w:cstheme="minorHAnsi"/>
              </w:rPr>
            </w:pPr>
            <w:r w:rsidRPr="00B433E8">
              <w:rPr>
                <w:rFonts w:cstheme="minorHAnsi"/>
              </w:rPr>
              <w:t>presje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EA5A4" w14:textId="77777777" w:rsidR="0056461E" w:rsidRPr="00B433E8" w:rsidRDefault="0056461E" w:rsidP="00BD005D">
            <w:pPr>
              <w:pStyle w:val="TABELAwysrodkowane"/>
              <w:spacing w:line="276" w:lineRule="auto"/>
              <w:rPr>
                <w:rFonts w:cstheme="minorHAnsi"/>
              </w:rPr>
            </w:pPr>
            <w:r w:rsidRPr="00B433E8">
              <w:rPr>
                <w:rFonts w:cstheme="minorHAnsi"/>
              </w:rPr>
              <w:t>GWC</w:t>
            </w:r>
          </w:p>
        </w:tc>
      </w:tr>
    </w:tbl>
    <w:p w14:paraId="5317624D" w14:textId="5AA35BFD" w:rsidR="00860BC1" w:rsidRPr="0020770B" w:rsidRDefault="00860BC1" w:rsidP="00860BC1">
      <w:pPr>
        <w:suppressAutoHyphens/>
        <w:spacing w:line="276" w:lineRule="auto"/>
        <w:jc w:val="right"/>
        <w:rPr>
          <w:rFonts w:cs="Calibri"/>
          <w:i/>
          <w:iCs/>
          <w:color w:val="003399"/>
          <w:sz w:val="20"/>
          <w:szCs w:val="20"/>
        </w:rPr>
      </w:pPr>
      <w:r w:rsidRPr="0020770B">
        <w:rPr>
          <w:rFonts w:cs="Calibri"/>
          <w:i/>
          <w:iCs/>
          <w:color w:val="003399"/>
          <w:sz w:val="20"/>
          <w:szCs w:val="20"/>
        </w:rPr>
        <w:t>Źródło: opracowanie własne</w:t>
      </w:r>
    </w:p>
    <w:p w14:paraId="167914DC" w14:textId="77777777" w:rsidR="002C2A50" w:rsidRPr="0031439A" w:rsidRDefault="002C2A50" w:rsidP="002C2A50">
      <w:pPr>
        <w:spacing w:line="276" w:lineRule="auto"/>
        <w:rPr>
          <w:rFonts w:asciiTheme="minorHAnsi" w:hAnsiTheme="minorHAnsi"/>
        </w:rPr>
      </w:pPr>
      <w:r w:rsidRPr="0031439A">
        <w:rPr>
          <w:rFonts w:asciiTheme="minorHAnsi" w:hAnsiTheme="minorHAnsi"/>
        </w:rPr>
        <w:t>Jednocześnie w katalogach zastosowano podział działań na tzw. główne rodzaje środków - GRŚ</w:t>
      </w:r>
      <w:r w:rsidRPr="00B433E8">
        <w:rPr>
          <w:rFonts w:asciiTheme="minorHAnsi" w:hAnsiTheme="minorHAnsi" w:cstheme="minorHAnsi"/>
        </w:rPr>
        <w:t>,</w:t>
      </w:r>
      <w:r w:rsidRPr="0031439A">
        <w:rPr>
          <w:rFonts w:asciiTheme="minorHAnsi" w:hAnsiTheme="minorHAnsi"/>
        </w:rPr>
        <w:t xml:space="preserve"> (z ang. </w:t>
      </w:r>
      <w:r w:rsidRPr="0031439A">
        <w:rPr>
          <w:rFonts w:asciiTheme="minorHAnsi" w:hAnsiTheme="minorHAnsi"/>
          <w:i/>
        </w:rPr>
        <w:t>Key Types of Measures</w:t>
      </w:r>
      <w:r w:rsidRPr="0031439A">
        <w:rPr>
          <w:rFonts w:asciiTheme="minorHAnsi" w:hAnsiTheme="minorHAnsi"/>
        </w:rPr>
        <w:t>; typ działania - KTM), zgodny z kodyfikacją wskazaną przez KE, przypisując poszczególnym działaniom odpowiedni kod działania wg KE.</w:t>
      </w:r>
    </w:p>
    <w:p w14:paraId="3E220580" w14:textId="77777777" w:rsidR="002C2A50" w:rsidRPr="0031439A" w:rsidRDefault="002C2A50" w:rsidP="002C2A50">
      <w:pPr>
        <w:spacing w:line="276" w:lineRule="auto"/>
        <w:rPr>
          <w:rFonts w:asciiTheme="minorHAnsi" w:hAnsiTheme="minorHAnsi"/>
        </w:rPr>
      </w:pPr>
      <w:r w:rsidRPr="00B433E8">
        <w:rPr>
          <w:rFonts w:asciiTheme="minorHAnsi" w:hAnsiTheme="minorHAnsi" w:cstheme="minorHAnsi"/>
        </w:rPr>
        <w:t>Poniżej przedstawiono</w:t>
      </w:r>
      <w:r w:rsidRPr="0031439A">
        <w:rPr>
          <w:rFonts w:asciiTheme="minorHAnsi" w:hAnsiTheme="minorHAnsi"/>
        </w:rPr>
        <w:t xml:space="preserve"> opisy katalogów działań dla poszczególnych kategorii wód.</w:t>
      </w:r>
    </w:p>
    <w:p w14:paraId="41973FE2" w14:textId="77777777" w:rsidR="00860BC1" w:rsidRPr="002D6624" w:rsidRDefault="00860BC1" w:rsidP="00B50FFD">
      <w:pPr>
        <w:pStyle w:val="Nagwek3"/>
      </w:pPr>
      <w:bookmarkStart w:id="380" w:name="_Toc68726896"/>
      <w:r w:rsidRPr="002D6624">
        <w:t>Katalog działań jcwp RW</w:t>
      </w:r>
      <w:bookmarkEnd w:id="380"/>
    </w:p>
    <w:p w14:paraId="134847B1" w14:textId="77777777" w:rsidR="00860BC1" w:rsidRPr="00C22FBA" w:rsidRDefault="00860BC1" w:rsidP="00DF0D5E">
      <w:pPr>
        <w:spacing w:line="276" w:lineRule="auto"/>
        <w:rPr>
          <w:rFonts w:asciiTheme="minorHAnsi" w:hAnsiTheme="minorHAnsi"/>
        </w:rPr>
      </w:pPr>
      <w:r w:rsidRPr="00C22FBA">
        <w:rPr>
          <w:rFonts w:asciiTheme="minorHAnsi" w:hAnsiTheme="minorHAnsi"/>
        </w:rPr>
        <w:t xml:space="preserve">Katalog dla jcwp rzecznych (RW) zbudowany został na bazie zebranych w grupy działań umożliwiających eliminację lub przynajmniej zminimalizowanie presji znaczących zidentyfikowanych w ramach pracy </w:t>
      </w:r>
      <w:r w:rsidRPr="00C22FBA">
        <w:rPr>
          <w:rFonts w:asciiTheme="minorHAnsi" w:hAnsiTheme="minorHAnsi"/>
          <w:i/>
        </w:rPr>
        <w:t>Analiza znaczących oddziaływań - jcwp (…)</w:t>
      </w:r>
      <w:r w:rsidRPr="00C22FBA">
        <w:rPr>
          <w:rFonts w:asciiTheme="minorHAnsi" w:hAnsiTheme="minorHAnsi"/>
        </w:rPr>
        <w:t xml:space="preserve">. </w:t>
      </w:r>
    </w:p>
    <w:p w14:paraId="56F30FB7" w14:textId="77777777" w:rsidR="00860BC1" w:rsidRPr="00C22FBA" w:rsidRDefault="00860BC1" w:rsidP="00DF0D5E">
      <w:pPr>
        <w:spacing w:line="276" w:lineRule="auto"/>
        <w:rPr>
          <w:rFonts w:asciiTheme="minorHAnsi" w:hAnsiTheme="minorHAnsi"/>
        </w:rPr>
      </w:pPr>
      <w:r w:rsidRPr="00C22FBA">
        <w:rPr>
          <w:rFonts w:asciiTheme="minorHAnsi" w:hAnsiTheme="minorHAnsi"/>
        </w:rPr>
        <w:t>Łącznie 31 działań w katalogu działań jcwp RW zgrupowano w następujących kategoriach:</w:t>
      </w:r>
    </w:p>
    <w:p w14:paraId="45AEC515"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adaptacja do zmian klimatu,</w:t>
      </w:r>
    </w:p>
    <w:p w14:paraId="5CCB9C28"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edukacja i informacja,</w:t>
      </w:r>
    </w:p>
    <w:p w14:paraId="0A328918"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gospodarka ściekowa,</w:t>
      </w:r>
    </w:p>
    <w:p w14:paraId="4FC21A09"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kształtowanie stosunków wodnych w zlewni jcwp,</w:t>
      </w:r>
    </w:p>
    <w:p w14:paraId="646DAD93"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ograniczenie zanieczyszczeń rozproszonych z rolnictwa,</w:t>
      </w:r>
    </w:p>
    <w:p w14:paraId="5EA8C63A"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poprawa warunków dla obszarów chronionych,</w:t>
      </w:r>
    </w:p>
    <w:p w14:paraId="0BC99982"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poprawa warunków hydromorfologicznych rzek i potoków,</w:t>
      </w:r>
    </w:p>
    <w:p w14:paraId="5012BC0F"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redukcja emisji i zrzutów substancji priorytetowych,</w:t>
      </w:r>
    </w:p>
    <w:p w14:paraId="79C56F40"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weryfikacja programu ochrony środowiska,</w:t>
      </w:r>
    </w:p>
    <w:p w14:paraId="2649E85B"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zapewnienie ciągłości biologicznej i morfologicznej rzek i potoków,</w:t>
      </w:r>
    </w:p>
    <w:p w14:paraId="7C63B981" w14:textId="77777777" w:rsidR="00860BC1" w:rsidRPr="00C22FBA" w:rsidRDefault="00860BC1" w:rsidP="00AA3506">
      <w:pPr>
        <w:pStyle w:val="Listapunktowana1"/>
        <w:numPr>
          <w:ilvl w:val="0"/>
          <w:numId w:val="137"/>
        </w:numPr>
        <w:spacing w:line="276" w:lineRule="auto"/>
        <w:ind w:left="426" w:hanging="284"/>
        <w:rPr>
          <w:rFonts w:asciiTheme="minorHAnsi" w:hAnsiTheme="minorHAnsi"/>
        </w:rPr>
      </w:pPr>
      <w:r w:rsidRPr="00C22FBA">
        <w:rPr>
          <w:rFonts w:asciiTheme="minorHAnsi" w:hAnsiTheme="minorHAnsi"/>
        </w:rPr>
        <w:t>zapewnienie ciągłości biologicznej rzek i potoków.</w:t>
      </w:r>
    </w:p>
    <w:p w14:paraId="18D090E3" w14:textId="77777777" w:rsidR="00DF0D5E" w:rsidRPr="00C22FBA" w:rsidRDefault="00DF0D5E" w:rsidP="00DF0D5E">
      <w:pPr>
        <w:spacing w:line="276" w:lineRule="auto"/>
        <w:rPr>
          <w:rFonts w:asciiTheme="minorHAnsi" w:hAnsiTheme="minorHAnsi"/>
        </w:rPr>
      </w:pPr>
      <w:r w:rsidRPr="00C22FBA">
        <w:rPr>
          <w:rFonts w:asciiTheme="minorHAnsi" w:hAnsiTheme="minorHAnsi"/>
        </w:rPr>
        <w:t xml:space="preserve">Najliczniejszą kategorię działań stanowi: zapewnienie ciągłości biologicznej rzek i potoków </w:t>
      </w:r>
      <w:r w:rsidRPr="00B433E8">
        <w:rPr>
          <w:rFonts w:asciiTheme="minorHAnsi" w:hAnsiTheme="minorHAnsi" w:cstheme="minorHAnsi"/>
        </w:rPr>
        <w:t>(22,58</w:t>
      </w:r>
      <w:r w:rsidRPr="00C22FBA">
        <w:rPr>
          <w:rFonts w:asciiTheme="minorHAnsi" w:hAnsiTheme="minorHAnsi"/>
        </w:rPr>
        <w:t>% wszystkich działań w katalogu), drugą pod względem liczby działań jest kategoria: adaptacja do</w:t>
      </w:r>
      <w:r w:rsidRPr="00B433E8">
        <w:rPr>
          <w:rFonts w:asciiTheme="minorHAnsi" w:hAnsiTheme="minorHAnsi" w:cstheme="minorHAnsi"/>
        </w:rPr>
        <w:t xml:space="preserve"> </w:t>
      </w:r>
      <w:r w:rsidRPr="00C22FBA">
        <w:rPr>
          <w:rFonts w:asciiTheme="minorHAnsi" w:hAnsiTheme="minorHAnsi"/>
        </w:rPr>
        <w:t>zmian klimatu (19</w:t>
      </w:r>
      <w:r w:rsidRPr="00B433E8">
        <w:rPr>
          <w:rFonts w:asciiTheme="minorHAnsi" w:hAnsiTheme="minorHAnsi" w:cstheme="minorHAnsi"/>
        </w:rPr>
        <w:t>,35</w:t>
      </w:r>
      <w:r w:rsidRPr="00C22FBA">
        <w:rPr>
          <w:rFonts w:asciiTheme="minorHAnsi" w:hAnsiTheme="minorHAnsi"/>
        </w:rPr>
        <w:t xml:space="preserve">% wszystkich działań w katalogu), natomiast </w:t>
      </w:r>
      <w:r w:rsidRPr="00B433E8">
        <w:rPr>
          <w:rFonts w:asciiTheme="minorHAnsi" w:hAnsiTheme="minorHAnsi" w:cstheme="minorHAnsi"/>
        </w:rPr>
        <w:t>najmniejszą liczbę działań posiadają kategorie</w:t>
      </w:r>
      <w:r w:rsidRPr="00C22FBA">
        <w:rPr>
          <w:rFonts w:asciiTheme="minorHAnsi" w:hAnsiTheme="minorHAnsi"/>
        </w:rPr>
        <w:t xml:space="preserve">: weryfikacja programu ochrony środowiska, </w:t>
      </w:r>
      <w:r w:rsidRPr="00B433E8">
        <w:rPr>
          <w:rFonts w:asciiTheme="minorHAnsi" w:hAnsiTheme="minorHAnsi" w:cstheme="minorHAnsi"/>
        </w:rPr>
        <w:t>redukcja emisji i zrzutów substancji priorytetowych</w:t>
      </w:r>
      <w:r w:rsidRPr="00C22FBA">
        <w:rPr>
          <w:rFonts w:asciiTheme="minorHAnsi" w:hAnsiTheme="minorHAnsi"/>
        </w:rPr>
        <w:t xml:space="preserve"> oraz edukacja i</w:t>
      </w:r>
      <w:r w:rsidRPr="00B433E8">
        <w:rPr>
          <w:rFonts w:asciiTheme="minorHAnsi" w:hAnsiTheme="minorHAnsi" w:cstheme="minorHAnsi"/>
        </w:rPr>
        <w:t xml:space="preserve"> </w:t>
      </w:r>
      <w:r w:rsidRPr="00C22FBA">
        <w:rPr>
          <w:rFonts w:asciiTheme="minorHAnsi" w:hAnsiTheme="minorHAnsi"/>
        </w:rPr>
        <w:t xml:space="preserve">informacja (wykres </w:t>
      </w:r>
      <w:r>
        <w:rPr>
          <w:rFonts w:asciiTheme="minorHAnsi" w:hAnsiTheme="minorHAnsi" w:cstheme="minorHAnsi"/>
        </w:rPr>
        <w:t>12</w:t>
      </w:r>
      <w:r w:rsidRPr="00C22FBA">
        <w:rPr>
          <w:rFonts w:asciiTheme="minorHAnsi" w:hAnsiTheme="minorHAnsi"/>
        </w:rPr>
        <w:t>-4).</w:t>
      </w:r>
      <w:r w:rsidRPr="00B433E8">
        <w:rPr>
          <w:rFonts w:asciiTheme="minorHAnsi" w:hAnsiTheme="minorHAnsi" w:cstheme="minorHAnsi"/>
        </w:rPr>
        <w:t xml:space="preserve"> </w:t>
      </w:r>
    </w:p>
    <w:p w14:paraId="4681AC9F" w14:textId="6F55BDE1" w:rsidR="00860BC1" w:rsidRDefault="0050412D" w:rsidP="00860BC1">
      <w:pPr>
        <w:suppressAutoHyphens/>
        <w:spacing w:line="276" w:lineRule="auto"/>
        <w:jc w:val="center"/>
        <w:rPr>
          <w:rFonts w:cs="Calibri"/>
        </w:rPr>
      </w:pPr>
      <w:r>
        <w:rPr>
          <w:noProof/>
        </w:rPr>
        <w:drawing>
          <wp:inline distT="0" distB="0" distL="0" distR="0" wp14:anchorId="4762521B" wp14:editId="21F4A8E8">
            <wp:extent cx="5759450" cy="3625215"/>
            <wp:effectExtent l="0" t="0" r="12700" b="13335"/>
            <wp:docPr id="253" name="Wykres 253">
              <a:extLst xmlns:a="http://schemas.openxmlformats.org/drawingml/2006/main">
                <a:ext uri="{FF2B5EF4-FFF2-40B4-BE49-F238E27FC236}">
                  <a16:creationId xmlns:a16="http://schemas.microsoft.com/office/drawing/2014/main" id="{CBA508A2-A95F-417D-B0B5-7B165E7D4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7C83BCE" w14:textId="79AD9746" w:rsidR="00860BC1" w:rsidRDefault="00860BC1" w:rsidP="006802BB">
      <w:pPr>
        <w:pStyle w:val="Wykres"/>
      </w:pPr>
      <w:bookmarkStart w:id="381" w:name="_Toc68727119"/>
      <w:r>
        <w:t xml:space="preserve">Wykres </w:t>
      </w:r>
      <w:fldSimple w:instr=" STYLEREF 1 \s ">
        <w:r w:rsidR="00EF3FD3">
          <w:rPr>
            <w:noProof/>
          </w:rPr>
          <w:t>12</w:t>
        </w:r>
      </w:fldSimple>
      <w:r w:rsidR="00EF3FD3">
        <w:noBreakHyphen/>
      </w:r>
      <w:fldSimple w:instr=" SEQ Wykres \* ARABIC \s 1 ">
        <w:r w:rsidR="00EF3FD3">
          <w:rPr>
            <w:noProof/>
          </w:rPr>
          <w:t>4</w:t>
        </w:r>
      </w:fldSimple>
      <w:r>
        <w:tab/>
      </w:r>
      <w:r w:rsidRPr="009F7ED6">
        <w:t xml:space="preserve">Udział </w:t>
      </w:r>
      <w:r>
        <w:t>działań w poszczególnych kategoriach katalogu działań jcwp RW</w:t>
      </w:r>
      <w:bookmarkEnd w:id="381"/>
      <w:r>
        <w:t xml:space="preserve"> </w:t>
      </w:r>
    </w:p>
    <w:p w14:paraId="57AB4B31" w14:textId="77777777" w:rsidR="00860BC1" w:rsidRPr="0013054F" w:rsidRDefault="00860BC1" w:rsidP="00860BC1">
      <w:pPr>
        <w:pStyle w:val="rdo0"/>
      </w:pPr>
      <w:r w:rsidRPr="0013054F">
        <w:t>Źródło: opracowanie własne</w:t>
      </w:r>
    </w:p>
    <w:p w14:paraId="61706C4B" w14:textId="087D1806" w:rsidR="00860BC1" w:rsidRPr="005573F9" w:rsidRDefault="00874DF5" w:rsidP="00860BC1">
      <w:pPr>
        <w:suppressAutoHyphens/>
        <w:spacing w:line="276" w:lineRule="auto"/>
        <w:rPr>
          <w:rFonts w:cs="Calibri"/>
        </w:rPr>
      </w:pPr>
      <w:r w:rsidRPr="00B433E8">
        <w:rPr>
          <w:rFonts w:asciiTheme="minorHAnsi" w:hAnsiTheme="minorHAnsi" w:cstheme="minorHAnsi"/>
        </w:rPr>
        <w:t>Dla</w:t>
      </w:r>
      <w:r w:rsidRPr="00C22FBA">
        <w:rPr>
          <w:rFonts w:asciiTheme="minorHAnsi" w:hAnsiTheme="minorHAnsi"/>
        </w:rPr>
        <w:t xml:space="preserve"> jcwp </w:t>
      </w:r>
      <w:r w:rsidRPr="00B433E8">
        <w:rPr>
          <w:rFonts w:asciiTheme="minorHAnsi" w:hAnsiTheme="minorHAnsi" w:cstheme="minorHAnsi"/>
        </w:rPr>
        <w:t>64,52% stanowią</w:t>
      </w:r>
      <w:r w:rsidRPr="00C22FBA">
        <w:rPr>
          <w:rFonts w:asciiTheme="minorHAnsi" w:hAnsiTheme="minorHAnsi"/>
        </w:rPr>
        <w:t xml:space="preserve"> działania podstawowe i </w:t>
      </w:r>
      <w:r w:rsidRPr="00B433E8">
        <w:rPr>
          <w:rFonts w:asciiTheme="minorHAnsi" w:hAnsiTheme="minorHAnsi" w:cstheme="minorHAnsi"/>
        </w:rPr>
        <w:t>35,48% uzupełniające</w:t>
      </w:r>
      <w:r w:rsidRPr="00C22FBA">
        <w:rPr>
          <w:rFonts w:asciiTheme="minorHAnsi" w:hAnsiTheme="minorHAnsi"/>
        </w:rPr>
        <w:t xml:space="preserve"> </w:t>
      </w:r>
      <w:r w:rsidR="00860BC1" w:rsidRPr="00081F23">
        <w:rPr>
          <w:rFonts w:cs="Calibri"/>
        </w:rPr>
        <w:t>(wykres 12-5).</w:t>
      </w:r>
    </w:p>
    <w:p w14:paraId="30F75CC1" w14:textId="2A6B85C4" w:rsidR="00860BC1" w:rsidRPr="00776B26" w:rsidRDefault="00903F4A" w:rsidP="00860BC1">
      <w:pPr>
        <w:jc w:val="center"/>
        <w:rPr>
          <w:highlight w:val="yellow"/>
          <w:lang w:val="en-US"/>
        </w:rPr>
      </w:pPr>
      <w:r w:rsidRPr="00DB2311">
        <w:rPr>
          <w:noProof/>
        </w:rPr>
        <w:drawing>
          <wp:inline distT="0" distB="0" distL="0" distR="0" wp14:anchorId="14973042" wp14:editId="07231AA3">
            <wp:extent cx="4320000" cy="2520000"/>
            <wp:effectExtent l="0" t="0" r="4445" b="13970"/>
            <wp:docPr id="1069510221" name="Wykres 1069510221">
              <a:extLst xmlns:a="http://schemas.openxmlformats.org/drawingml/2006/main">
                <a:ext uri="{FF2B5EF4-FFF2-40B4-BE49-F238E27FC236}">
                  <a16:creationId xmlns:a16="http://schemas.microsoft.com/office/drawing/2014/main" id="{8B8EDA3B-A459-4CD5-AAFB-3B967DA377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CAE13FC" w14:textId="7CC23A76" w:rsidR="00860BC1" w:rsidRPr="00D049A2" w:rsidRDefault="00860BC1" w:rsidP="006802BB">
      <w:pPr>
        <w:pStyle w:val="Wykres"/>
      </w:pPr>
      <w:bookmarkStart w:id="382" w:name="_Toc68727120"/>
      <w:r w:rsidRPr="005573F9">
        <w:t xml:space="preserve">Wykres </w:t>
      </w:r>
      <w:fldSimple w:instr=" STYLEREF 1 \s ">
        <w:r w:rsidR="00EF3FD3">
          <w:rPr>
            <w:noProof/>
          </w:rPr>
          <w:t>12</w:t>
        </w:r>
      </w:fldSimple>
      <w:r w:rsidR="00EF3FD3">
        <w:noBreakHyphen/>
      </w:r>
      <w:fldSimple w:instr=" SEQ Wykres \* ARABIC \s 1 ">
        <w:r w:rsidR="00EF3FD3">
          <w:rPr>
            <w:noProof/>
          </w:rPr>
          <w:t>5</w:t>
        </w:r>
      </w:fldSimple>
      <w:r w:rsidRPr="005573F9">
        <w:tab/>
      </w:r>
      <w:r w:rsidRPr="00776B26">
        <w:t>Udział działań podstawowych oraz uzupełniających w katalogu działań jcwp RW</w:t>
      </w:r>
      <w:bookmarkEnd w:id="382"/>
    </w:p>
    <w:p w14:paraId="5D41630B" w14:textId="77777777" w:rsidR="00860BC1" w:rsidRPr="005573F9" w:rsidRDefault="00860BC1" w:rsidP="00860BC1">
      <w:pPr>
        <w:pStyle w:val="rdo0"/>
      </w:pPr>
      <w:r w:rsidRPr="005573F9">
        <w:t>Źródło: opracowanie własne</w:t>
      </w:r>
    </w:p>
    <w:p w14:paraId="30817530" w14:textId="54D8C66D" w:rsidR="00860BC1" w:rsidRDefault="00860BC1" w:rsidP="00860BC1">
      <w:pPr>
        <w:spacing w:after="240"/>
        <w:rPr>
          <w:rFonts w:cs="Calibri"/>
          <w:color w:val="000000" w:themeColor="text1"/>
        </w:rPr>
      </w:pPr>
      <w:r w:rsidRPr="5BB9D4D7">
        <w:rPr>
          <w:rFonts w:cs="Calibri"/>
          <w:color w:val="000000" w:themeColor="text1"/>
        </w:rPr>
        <w:t xml:space="preserve">Każde działanie otrzymało kod IIaPGW wskazujący na rodzaj presji. Zestawienie liczby działań poszczególnych </w:t>
      </w:r>
      <w:r>
        <w:rPr>
          <w:rFonts w:cs="Calibri"/>
          <w:color w:val="000000" w:themeColor="text1"/>
        </w:rPr>
        <w:t xml:space="preserve">kodów </w:t>
      </w:r>
      <w:r w:rsidRPr="5BB9D4D7">
        <w:rPr>
          <w:rFonts w:cs="Calibri"/>
          <w:color w:val="000000" w:themeColor="text1"/>
        </w:rPr>
        <w:t xml:space="preserve">IIaPGW </w:t>
      </w:r>
      <w:r>
        <w:rPr>
          <w:rFonts w:cs="Calibri"/>
          <w:color w:val="000000" w:themeColor="text1"/>
        </w:rPr>
        <w:t xml:space="preserve">jcwp RW </w:t>
      </w:r>
      <w:r w:rsidRPr="00081F23">
        <w:rPr>
          <w:rFonts w:cs="Calibri"/>
          <w:color w:val="000000" w:themeColor="text1"/>
        </w:rPr>
        <w:t>przedstawia tabela 12-3</w:t>
      </w:r>
      <w:r w:rsidR="00ED05EE">
        <w:rPr>
          <w:rFonts w:cs="Calibri"/>
          <w:color w:val="000000" w:themeColor="text1"/>
        </w:rPr>
        <w:t xml:space="preserve"> i wykres 12-6</w:t>
      </w:r>
      <w:r w:rsidRPr="00081F23">
        <w:rPr>
          <w:rFonts w:cs="Calibri"/>
          <w:color w:val="000000" w:themeColor="text1"/>
        </w:rPr>
        <w:t>.</w:t>
      </w:r>
    </w:p>
    <w:p w14:paraId="02814E56" w14:textId="196B21A4" w:rsidR="00081F23" w:rsidRDefault="00081F23" w:rsidP="006802BB">
      <w:pPr>
        <w:pStyle w:val="Legenda"/>
      </w:pPr>
      <w:bookmarkStart w:id="383" w:name="_Toc68727031"/>
      <w:r>
        <w:t xml:space="preserve">Tabela </w:t>
      </w:r>
      <w:fldSimple w:instr=" STYLEREF 1 \s ">
        <w:r w:rsidR="007B4050">
          <w:rPr>
            <w:noProof/>
          </w:rPr>
          <w:t>12</w:t>
        </w:r>
      </w:fldSimple>
      <w:r w:rsidR="007B4050">
        <w:noBreakHyphen/>
      </w:r>
      <w:fldSimple w:instr=" SEQ Tabela \* ARABIC \s 1 ">
        <w:r w:rsidR="007B4050">
          <w:rPr>
            <w:noProof/>
          </w:rPr>
          <w:t>3</w:t>
        </w:r>
      </w:fldSimple>
      <w:r w:rsidR="00D26A6E">
        <w:tab/>
      </w:r>
      <w:r w:rsidRPr="00554392">
        <w:t>Liczba działań poszczególnych kodów IIaPGW jcwp RW</w:t>
      </w:r>
      <w:bookmarkEnd w:id="383"/>
    </w:p>
    <w:tbl>
      <w:tblPr>
        <w:tblW w:w="5000" w:type="pct"/>
        <w:jc w:val="center"/>
        <w:tblLook w:val="00A0" w:firstRow="1" w:lastRow="0" w:firstColumn="1" w:lastColumn="0" w:noHBand="0" w:noVBand="0"/>
      </w:tblPr>
      <w:tblGrid>
        <w:gridCol w:w="2547"/>
        <w:gridCol w:w="4841"/>
        <w:gridCol w:w="1674"/>
      </w:tblGrid>
      <w:tr w:rsidR="008C4AB7" w:rsidRPr="00B433E8" w14:paraId="1FEA6CDC" w14:textId="77777777" w:rsidTr="008C4AB7">
        <w:trPr>
          <w:trHeight w:val="454"/>
          <w:tblHeade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B1C3E1C" w14:textId="77777777" w:rsidR="008C4AB7" w:rsidRPr="00B433E8" w:rsidRDefault="008C4AB7" w:rsidP="00BD005D">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484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58799CE" w14:textId="77777777" w:rsidR="008C4AB7" w:rsidRPr="00B433E8" w:rsidRDefault="008C4AB7" w:rsidP="00BD005D">
            <w:pPr>
              <w:pStyle w:val="TABELANagwek"/>
              <w:spacing w:line="276" w:lineRule="auto"/>
              <w:rPr>
                <w:rFonts w:cstheme="minorHAnsi"/>
              </w:rPr>
            </w:pPr>
            <w:r w:rsidRPr="00290498">
              <w:t>Rodzaj presji</w:t>
            </w:r>
          </w:p>
        </w:tc>
        <w:tc>
          <w:tcPr>
            <w:tcW w:w="167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E244151" w14:textId="77777777" w:rsidR="008C4AB7" w:rsidRPr="00B433E8" w:rsidRDefault="008C4AB7" w:rsidP="00BD005D">
            <w:pPr>
              <w:pStyle w:val="TABELANagwek"/>
              <w:spacing w:line="276" w:lineRule="auto"/>
              <w:rPr>
                <w:rFonts w:cstheme="minorHAnsi"/>
              </w:rPr>
            </w:pPr>
            <w:r w:rsidRPr="00290498">
              <w:t>Liczba działań</w:t>
            </w:r>
          </w:p>
        </w:tc>
      </w:tr>
      <w:tr w:rsidR="008C4AB7" w:rsidRPr="00B433E8" w14:paraId="2CB2AA8D" w14:textId="77777777" w:rsidTr="008C4AB7">
        <w:trPr>
          <w:trHeight w:val="454"/>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F02BE" w14:textId="77777777" w:rsidR="008C4AB7" w:rsidRPr="00B433E8" w:rsidRDefault="008C4AB7" w:rsidP="00BD005D">
            <w:pPr>
              <w:pStyle w:val="TABELAdolewej"/>
              <w:spacing w:line="276" w:lineRule="auto"/>
              <w:rPr>
                <w:rFonts w:cstheme="minorHAnsi"/>
              </w:rPr>
            </w:pPr>
            <w:r w:rsidRPr="00B433E8">
              <w:rPr>
                <w:rFonts w:cstheme="minorHAnsi"/>
              </w:rPr>
              <w:t>RWC</w:t>
            </w:r>
          </w:p>
        </w:tc>
        <w:tc>
          <w:tcPr>
            <w:tcW w:w="48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93685" w14:textId="77777777" w:rsidR="008C4AB7" w:rsidRPr="00B433E8" w:rsidRDefault="008C4AB7" w:rsidP="00BD005D">
            <w:pPr>
              <w:pStyle w:val="TABELAdolewej"/>
              <w:spacing w:line="276" w:lineRule="auto"/>
              <w:rPr>
                <w:rFonts w:cstheme="minorHAnsi"/>
              </w:rPr>
            </w:pPr>
            <w:r w:rsidRPr="009F0B50">
              <w:t xml:space="preserve">presje </w:t>
            </w:r>
            <w:r w:rsidRPr="00B433E8">
              <w:rPr>
                <w:rFonts w:cstheme="minorHAnsi"/>
              </w:rPr>
              <w:t>skumulowane wód</w:t>
            </w:r>
          </w:p>
        </w:tc>
        <w:tc>
          <w:tcPr>
            <w:tcW w:w="16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D8420" w14:textId="77777777" w:rsidR="008C4AB7" w:rsidRPr="00B433E8" w:rsidRDefault="008C4AB7" w:rsidP="00BD005D">
            <w:pPr>
              <w:pStyle w:val="TABELAwysrodkowane"/>
              <w:spacing w:line="276" w:lineRule="auto"/>
              <w:rPr>
                <w:rFonts w:cstheme="minorHAnsi"/>
              </w:rPr>
            </w:pPr>
            <w:r w:rsidRPr="00B433E8">
              <w:rPr>
                <w:rFonts w:cstheme="minorHAnsi"/>
              </w:rPr>
              <w:t>8</w:t>
            </w:r>
          </w:p>
        </w:tc>
      </w:tr>
      <w:tr w:rsidR="008C4AB7" w:rsidRPr="00B433E8" w14:paraId="738249FA" w14:textId="77777777" w:rsidTr="008C4AB7">
        <w:trPr>
          <w:trHeight w:val="454"/>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59E6A" w14:textId="77777777" w:rsidR="008C4AB7" w:rsidRPr="009F0B50" w:rsidRDefault="008C4AB7" w:rsidP="00BD005D">
            <w:pPr>
              <w:pStyle w:val="TABELAdolewej"/>
              <w:spacing w:line="276" w:lineRule="auto"/>
            </w:pPr>
            <w:r w:rsidRPr="009F0B50">
              <w:t>RWP</w:t>
            </w:r>
          </w:p>
        </w:tc>
        <w:tc>
          <w:tcPr>
            <w:tcW w:w="48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B3561" w14:textId="77777777" w:rsidR="008C4AB7" w:rsidRPr="009F0B50" w:rsidRDefault="008C4AB7" w:rsidP="00BD005D">
            <w:pPr>
              <w:pStyle w:val="TABELAdolewej"/>
              <w:spacing w:line="276" w:lineRule="auto"/>
            </w:pPr>
            <w:r w:rsidRPr="009F0B50">
              <w:t>presje chemiczne i fizykochemiczne</w:t>
            </w:r>
          </w:p>
        </w:tc>
        <w:tc>
          <w:tcPr>
            <w:tcW w:w="16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BA128" w14:textId="77777777" w:rsidR="008C4AB7" w:rsidRPr="009F0B50" w:rsidRDefault="008C4AB7" w:rsidP="00BD005D">
            <w:pPr>
              <w:pStyle w:val="TABELAwysrodkowane"/>
              <w:spacing w:line="276" w:lineRule="auto"/>
            </w:pPr>
            <w:r w:rsidRPr="009F0B50">
              <w:t>8</w:t>
            </w:r>
          </w:p>
        </w:tc>
      </w:tr>
      <w:tr w:rsidR="008C4AB7" w:rsidRPr="00B433E8" w14:paraId="0E822DF4" w14:textId="77777777" w:rsidTr="008C4AB7">
        <w:trPr>
          <w:trHeight w:val="454"/>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D02D7" w14:textId="77777777" w:rsidR="008C4AB7" w:rsidRPr="00B433E8" w:rsidRDefault="008C4AB7" w:rsidP="00BD005D">
            <w:pPr>
              <w:pStyle w:val="TABELAdolewej"/>
              <w:spacing w:line="276" w:lineRule="auto"/>
              <w:rPr>
                <w:rFonts w:cstheme="minorHAnsi"/>
              </w:rPr>
            </w:pPr>
            <w:r w:rsidRPr="00B433E8">
              <w:rPr>
                <w:rFonts w:cstheme="minorHAnsi"/>
              </w:rPr>
              <w:t>RWH</w:t>
            </w:r>
          </w:p>
        </w:tc>
        <w:tc>
          <w:tcPr>
            <w:tcW w:w="48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2D83B" w14:textId="77777777" w:rsidR="008C4AB7" w:rsidRPr="00B433E8" w:rsidRDefault="008C4AB7" w:rsidP="00BD005D">
            <w:pPr>
              <w:pStyle w:val="TABELAdolewej"/>
              <w:spacing w:line="276" w:lineRule="auto"/>
              <w:rPr>
                <w:rFonts w:cstheme="minorHAnsi"/>
              </w:rPr>
            </w:pPr>
            <w:r w:rsidRPr="009F0B50">
              <w:t xml:space="preserve">presje </w:t>
            </w:r>
            <w:r w:rsidRPr="00B433E8">
              <w:rPr>
                <w:rFonts w:cstheme="minorHAnsi"/>
              </w:rPr>
              <w:t>hydrologiczne</w:t>
            </w:r>
          </w:p>
        </w:tc>
        <w:tc>
          <w:tcPr>
            <w:tcW w:w="16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E3F60" w14:textId="77777777" w:rsidR="008C4AB7" w:rsidRPr="00B433E8" w:rsidRDefault="008C4AB7" w:rsidP="00BD005D">
            <w:pPr>
              <w:pStyle w:val="TABELAwysrodkowane"/>
              <w:spacing w:line="276" w:lineRule="auto"/>
              <w:rPr>
                <w:rFonts w:cstheme="minorHAnsi"/>
              </w:rPr>
            </w:pPr>
            <w:r w:rsidRPr="00B433E8">
              <w:rPr>
                <w:rFonts w:cstheme="minorHAnsi"/>
              </w:rPr>
              <w:t>2</w:t>
            </w:r>
          </w:p>
        </w:tc>
      </w:tr>
      <w:tr w:rsidR="008C4AB7" w:rsidRPr="00B433E8" w14:paraId="3912AC36" w14:textId="77777777" w:rsidTr="008C4AB7">
        <w:trPr>
          <w:trHeight w:val="454"/>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9A895" w14:textId="77777777" w:rsidR="008C4AB7" w:rsidRPr="00B433E8" w:rsidRDefault="008C4AB7" w:rsidP="00BD005D">
            <w:pPr>
              <w:pStyle w:val="TABELAdolewej"/>
              <w:spacing w:line="276" w:lineRule="auto"/>
              <w:rPr>
                <w:rFonts w:cstheme="minorHAnsi"/>
              </w:rPr>
            </w:pPr>
            <w:r w:rsidRPr="00B433E8">
              <w:rPr>
                <w:rFonts w:cstheme="minorHAnsi"/>
              </w:rPr>
              <w:t>RWHM</w:t>
            </w:r>
          </w:p>
        </w:tc>
        <w:tc>
          <w:tcPr>
            <w:tcW w:w="48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525C8" w14:textId="77777777" w:rsidR="008C4AB7" w:rsidRPr="00B433E8" w:rsidRDefault="008C4AB7" w:rsidP="00BD005D">
            <w:pPr>
              <w:pStyle w:val="TABELAdolewej"/>
              <w:spacing w:line="276" w:lineRule="auto"/>
              <w:rPr>
                <w:rFonts w:cstheme="minorHAnsi"/>
              </w:rPr>
            </w:pPr>
            <w:r w:rsidRPr="00B433E8">
              <w:rPr>
                <w:rFonts w:cstheme="minorHAnsi"/>
              </w:rPr>
              <w:t>presje hydromorfologiczne</w:t>
            </w:r>
          </w:p>
        </w:tc>
        <w:tc>
          <w:tcPr>
            <w:tcW w:w="16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758B2" w14:textId="77777777" w:rsidR="008C4AB7" w:rsidRPr="00B433E8" w:rsidRDefault="008C4AB7" w:rsidP="00BD005D">
            <w:pPr>
              <w:pStyle w:val="TABELAwysrodkowane"/>
              <w:spacing w:line="276" w:lineRule="auto"/>
              <w:rPr>
                <w:rFonts w:cstheme="minorHAnsi"/>
              </w:rPr>
            </w:pPr>
            <w:r w:rsidRPr="00B433E8">
              <w:rPr>
                <w:rFonts w:cstheme="minorHAnsi"/>
              </w:rPr>
              <w:t>13</w:t>
            </w:r>
          </w:p>
        </w:tc>
      </w:tr>
      <w:tr w:rsidR="008C4AB7" w:rsidRPr="00B433E8" w14:paraId="00CF01B4" w14:textId="77777777" w:rsidTr="008C4AB7">
        <w:trPr>
          <w:trHeight w:val="454"/>
          <w:jc w:val="center"/>
        </w:trPr>
        <w:tc>
          <w:tcPr>
            <w:tcW w:w="7388"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C655DB9" w14:textId="77777777" w:rsidR="008C4AB7" w:rsidRPr="009F0B50" w:rsidRDefault="008C4AB7" w:rsidP="00BD005D">
            <w:pPr>
              <w:pStyle w:val="TABELANagwek"/>
              <w:spacing w:line="276" w:lineRule="auto"/>
            </w:pPr>
            <w:r w:rsidRPr="009F0B50">
              <w:t>Razem</w:t>
            </w:r>
          </w:p>
        </w:tc>
        <w:tc>
          <w:tcPr>
            <w:tcW w:w="167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7C94E55" w14:textId="77777777" w:rsidR="008C4AB7" w:rsidRPr="00290498" w:rsidRDefault="008C4AB7" w:rsidP="00BD005D">
            <w:pPr>
              <w:pStyle w:val="TABELANagwek"/>
              <w:spacing w:line="276" w:lineRule="auto"/>
            </w:pPr>
            <w:r w:rsidRPr="00290498">
              <w:t>31</w:t>
            </w:r>
          </w:p>
        </w:tc>
      </w:tr>
    </w:tbl>
    <w:p w14:paraId="42E80469" w14:textId="77777777" w:rsidR="00860BC1" w:rsidRDefault="00860BC1" w:rsidP="00860BC1">
      <w:pPr>
        <w:ind w:left="708"/>
        <w:jc w:val="right"/>
        <w:rPr>
          <w:rFonts w:cs="Calibri"/>
          <w:i/>
          <w:iCs/>
          <w:color w:val="003399"/>
          <w:sz w:val="18"/>
          <w:szCs w:val="18"/>
        </w:rPr>
      </w:pPr>
      <w:r w:rsidRPr="00776B26">
        <w:rPr>
          <w:rFonts w:cs="Calibri"/>
          <w:i/>
          <w:iCs/>
          <w:color w:val="003399"/>
          <w:sz w:val="18"/>
          <w:szCs w:val="18"/>
        </w:rPr>
        <w:t>Źródło: opracowanie własne</w:t>
      </w:r>
    </w:p>
    <w:p w14:paraId="5B570503" w14:textId="77777777" w:rsidR="00BF6E09" w:rsidRPr="00B433E8" w:rsidRDefault="00BF6E09" w:rsidP="00BF6E09">
      <w:pPr>
        <w:spacing w:line="276" w:lineRule="auto"/>
        <w:jc w:val="center"/>
        <w:rPr>
          <w:rFonts w:asciiTheme="minorHAnsi" w:hAnsiTheme="minorHAnsi" w:cstheme="minorHAnsi"/>
        </w:rPr>
      </w:pPr>
      <w:r>
        <w:rPr>
          <w:noProof/>
        </w:rPr>
        <w:drawing>
          <wp:inline distT="0" distB="0" distL="0" distR="0" wp14:anchorId="341CEA39" wp14:editId="545264F9">
            <wp:extent cx="4572000" cy="2743200"/>
            <wp:effectExtent l="0" t="0" r="0" b="0"/>
            <wp:docPr id="236" name="Wykres 2">
              <a:extLst xmlns:a="http://schemas.openxmlformats.org/drawingml/2006/main">
                <a:ext uri="{FF2B5EF4-FFF2-40B4-BE49-F238E27FC236}">
                  <a16:creationId xmlns:a16="http://schemas.microsoft.com/office/drawing/2014/main" id="{C89AE639-8016-4A98-9512-EB2FA2258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46836F5" w14:textId="21395857" w:rsidR="00BF6E09" w:rsidRPr="00B433E8" w:rsidRDefault="00BF6E09" w:rsidP="00BF6E09">
      <w:pPr>
        <w:pStyle w:val="Wykres"/>
      </w:pPr>
      <w:bookmarkStart w:id="384" w:name="_Toc68195515"/>
      <w:bookmarkStart w:id="385" w:name="_Toc68727121"/>
      <w:r w:rsidRPr="005573F9">
        <w:t xml:space="preserve">Wykres </w:t>
      </w:r>
      <w:r>
        <w:fldChar w:fldCharType="begin"/>
      </w:r>
      <w:r>
        <w:instrText>STYLEREF 1 \s</w:instrText>
      </w:r>
      <w:r>
        <w:fldChar w:fldCharType="separate"/>
      </w:r>
      <w:r>
        <w:rPr>
          <w:noProof/>
        </w:rPr>
        <w:t>12</w:t>
      </w:r>
      <w:r>
        <w:fldChar w:fldCharType="end"/>
      </w:r>
      <w:r>
        <w:noBreakHyphen/>
      </w:r>
      <w:r>
        <w:fldChar w:fldCharType="begin"/>
      </w:r>
      <w:r>
        <w:instrText>SEQ Wykres \* ARABIC \s 1</w:instrText>
      </w:r>
      <w:r>
        <w:fldChar w:fldCharType="separate"/>
      </w:r>
      <w:r>
        <w:rPr>
          <w:noProof/>
        </w:rPr>
        <w:t>6</w:t>
      </w:r>
      <w:r>
        <w:fldChar w:fldCharType="end"/>
      </w:r>
      <w:r w:rsidRPr="00B433E8">
        <w:tab/>
        <w:t>Udział działań ukierunkowanych na redukcję poszczególnych rodzajów presji</w:t>
      </w:r>
      <w:bookmarkEnd w:id="384"/>
      <w:bookmarkEnd w:id="385"/>
    </w:p>
    <w:p w14:paraId="1D1119F1" w14:textId="77777777" w:rsidR="00BF6E09" w:rsidRPr="00C22FBA" w:rsidRDefault="00BF6E09" w:rsidP="00BF6E09">
      <w:pPr>
        <w:pStyle w:val="rdo0"/>
      </w:pPr>
      <w:r w:rsidRPr="00C22FBA">
        <w:t>Źródło: opracowanie własne</w:t>
      </w:r>
    </w:p>
    <w:p w14:paraId="173E786B" w14:textId="77777777" w:rsidR="000C6CAD" w:rsidRPr="009F0B50" w:rsidRDefault="000C6CAD" w:rsidP="000C6CAD">
      <w:pPr>
        <w:spacing w:line="276" w:lineRule="auto"/>
        <w:rPr>
          <w:rFonts w:asciiTheme="minorHAnsi" w:hAnsiTheme="minorHAnsi"/>
        </w:rPr>
      </w:pPr>
      <w:r w:rsidRPr="00B433E8">
        <w:rPr>
          <w:rFonts w:asciiTheme="minorHAnsi" w:hAnsiTheme="minorHAnsi" w:cstheme="minorHAnsi"/>
        </w:rPr>
        <w:t xml:space="preserve">Wśród </w:t>
      </w:r>
      <w:r w:rsidRPr="009F0B50">
        <w:rPr>
          <w:rFonts w:asciiTheme="minorHAnsi" w:hAnsiTheme="minorHAnsi"/>
        </w:rPr>
        <w:t>działań</w:t>
      </w:r>
      <w:r w:rsidRPr="00B433E8">
        <w:rPr>
          <w:rFonts w:asciiTheme="minorHAnsi" w:hAnsiTheme="minorHAnsi" w:cstheme="minorHAnsi"/>
        </w:rPr>
        <w:t xml:space="preserve"> zaproponowanych dla jcwp rzecznych wskazano: </w:t>
      </w:r>
    </w:p>
    <w:p w14:paraId="03895AC4" w14:textId="77777777" w:rsidR="00396C20" w:rsidRPr="009F0B50" w:rsidRDefault="00396C20" w:rsidP="00396C20">
      <w:pPr>
        <w:spacing w:line="276" w:lineRule="auto"/>
        <w:rPr>
          <w:rFonts w:asciiTheme="minorHAnsi" w:hAnsiTheme="minorHAnsi"/>
        </w:rPr>
      </w:pPr>
      <w:r w:rsidRPr="009F0B50">
        <w:rPr>
          <w:rFonts w:asciiTheme="minorHAnsi" w:hAnsiTheme="minorHAnsi"/>
          <w:b/>
        </w:rPr>
        <w:t>RWHM_01:</w:t>
      </w:r>
      <w:r w:rsidRPr="009F0B50">
        <w:rPr>
          <w:rFonts w:asciiTheme="minorHAnsi" w:hAnsiTheme="minorHAnsi"/>
        </w:rPr>
        <w:t xml:space="preserve"> działania służące zapewnieniu ciągłości biologicznej oraz morfologicznej rzek i potoków. </w:t>
      </w:r>
      <w:r w:rsidRPr="00B433E8">
        <w:rPr>
          <w:rFonts w:asciiTheme="minorHAnsi" w:hAnsiTheme="minorHAnsi" w:cstheme="minorHAnsi"/>
        </w:rPr>
        <w:t>W obrębie niniejszej kategorii wskazano dwie grupy działań. Pierwsza z nich uwzględnia</w:t>
      </w:r>
      <w:r w:rsidRPr="009F0B50">
        <w:rPr>
          <w:rFonts w:asciiTheme="minorHAnsi" w:hAnsiTheme="minorHAnsi"/>
        </w:rPr>
        <w:t xml:space="preserve"> działania polegające na analizie możliwości likwidacji budowli poprzecznych</w:t>
      </w:r>
      <w:r w:rsidRPr="00B433E8">
        <w:rPr>
          <w:rFonts w:asciiTheme="minorHAnsi" w:hAnsiTheme="minorHAnsi" w:cstheme="minorHAnsi"/>
        </w:rPr>
        <w:t xml:space="preserve"> lub możliwości ich przebudowy</w:t>
      </w:r>
      <w:r w:rsidRPr="009F0B50">
        <w:rPr>
          <w:rFonts w:asciiTheme="minorHAnsi" w:hAnsiTheme="minorHAnsi"/>
        </w:rPr>
        <w:t xml:space="preserve"> na bystrza</w:t>
      </w:r>
      <w:r w:rsidRPr="00B433E8">
        <w:rPr>
          <w:rFonts w:asciiTheme="minorHAnsi" w:hAnsiTheme="minorHAnsi" w:cstheme="minorHAnsi"/>
        </w:rPr>
        <w:t>. Działanie</w:t>
      </w:r>
      <w:r w:rsidRPr="009F0B50">
        <w:rPr>
          <w:rFonts w:asciiTheme="minorHAnsi" w:hAnsiTheme="minorHAnsi"/>
        </w:rPr>
        <w:t xml:space="preserve"> przypisano do jcwp, dla których potrzeby udrożnienia wynikały z opracowania pn. </w:t>
      </w:r>
      <w:r w:rsidRPr="009F0B50">
        <w:rPr>
          <w:rFonts w:asciiTheme="minorHAnsi" w:hAnsiTheme="minorHAnsi"/>
          <w:i/>
        </w:rPr>
        <w:t>Ocena potrzeb i priorytetów udrożnienia ciągłości (…)</w:t>
      </w:r>
      <w:r w:rsidRPr="009F0B50">
        <w:rPr>
          <w:rFonts w:asciiTheme="minorHAnsi" w:hAnsiTheme="minorHAnsi"/>
        </w:rPr>
        <w:t xml:space="preserve"> lub</w:t>
      </w:r>
      <w:r w:rsidRPr="00B433E8">
        <w:rPr>
          <w:rFonts w:asciiTheme="minorHAnsi" w:hAnsiTheme="minorHAnsi" w:cstheme="minorHAnsi"/>
        </w:rPr>
        <w:t xml:space="preserve"> </w:t>
      </w:r>
      <w:r w:rsidRPr="009F0B50">
        <w:rPr>
          <w:rFonts w:asciiTheme="minorHAnsi" w:hAnsiTheme="minorHAnsi"/>
        </w:rPr>
        <w:t xml:space="preserve">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albo wartości indeksu D badań ichtiofauny przeprowadzonych w ramach PMŚ, o</w:t>
      </w:r>
      <w:r w:rsidRPr="00B433E8">
        <w:rPr>
          <w:rFonts w:asciiTheme="minorHAnsi" w:hAnsiTheme="minorHAnsi" w:cstheme="minorHAnsi"/>
        </w:rPr>
        <w:t xml:space="preserve"> </w:t>
      </w:r>
      <w:r w:rsidRPr="009F0B50">
        <w:rPr>
          <w:rFonts w:asciiTheme="minorHAnsi" w:hAnsiTheme="minorHAnsi"/>
        </w:rPr>
        <w:t>ile ichtiofauna była jedynym elementem oceny stanu/potencjału ekologicznego pozostającym poniżej dobrego.</w:t>
      </w:r>
      <w:r>
        <w:rPr>
          <w:rFonts w:asciiTheme="minorHAnsi" w:hAnsiTheme="minorHAnsi"/>
        </w:rPr>
        <w:t xml:space="preserve"> </w:t>
      </w:r>
      <w:r w:rsidRPr="00B433E8">
        <w:rPr>
          <w:rFonts w:asciiTheme="minorHAnsi" w:hAnsiTheme="minorHAnsi" w:cstheme="minorHAnsi"/>
        </w:rPr>
        <w:t>Drugą grupę</w:t>
      </w:r>
      <w:r w:rsidRPr="009F0B50">
        <w:rPr>
          <w:rFonts w:asciiTheme="minorHAnsi" w:hAnsiTheme="minorHAnsi"/>
        </w:rPr>
        <w:t xml:space="preserve"> stanowi działanie mające na celu realizację działań naprawczych dla obszarów chronionych</w:t>
      </w:r>
      <w:r w:rsidRPr="00B433E8">
        <w:rPr>
          <w:rFonts w:asciiTheme="minorHAnsi" w:hAnsiTheme="minorHAnsi" w:cstheme="minorHAnsi"/>
        </w:rPr>
        <w:t>. Było ono</w:t>
      </w:r>
      <w:r w:rsidRPr="009F0B50">
        <w:rPr>
          <w:rFonts w:asciiTheme="minorHAnsi" w:hAnsiTheme="minorHAnsi"/>
        </w:rPr>
        <w:t xml:space="preserve"> przypisane do jcwp w</w:t>
      </w:r>
      <w:r w:rsidRPr="00B433E8">
        <w:rPr>
          <w:rFonts w:asciiTheme="minorHAnsi" w:hAnsiTheme="minorHAnsi" w:cstheme="minorHAnsi"/>
        </w:rPr>
        <w:t> </w:t>
      </w:r>
      <w:r w:rsidRPr="009F0B50">
        <w:rPr>
          <w:rFonts w:asciiTheme="minorHAnsi" w:hAnsiTheme="minorHAnsi"/>
        </w:rPr>
        <w:t>obrębie obszarów chronionych, dla</w:t>
      </w:r>
      <w:r w:rsidRPr="00B433E8">
        <w:rPr>
          <w:rFonts w:asciiTheme="minorHAnsi" w:hAnsiTheme="minorHAnsi" w:cstheme="minorHAnsi"/>
        </w:rPr>
        <w:t xml:space="preserve"> </w:t>
      </w:r>
      <w:r w:rsidRPr="009F0B50">
        <w:rPr>
          <w:rFonts w:asciiTheme="minorHAnsi" w:hAnsiTheme="minorHAnsi"/>
        </w:rPr>
        <w:t xml:space="preserve">których utrzymanie lub poprawa stanu wód jest ważnym czynnikiem w ich ochronie </w:t>
      </w:r>
      <w:r w:rsidRPr="00B433E8">
        <w:rPr>
          <w:rFonts w:asciiTheme="minorHAnsi" w:hAnsiTheme="minorHAnsi" w:cstheme="minorHAnsi"/>
        </w:rPr>
        <w:t>i jednocześnie</w:t>
      </w:r>
      <w:r w:rsidRPr="009F0B50">
        <w:rPr>
          <w:rFonts w:asciiTheme="minorHAnsi" w:hAnsiTheme="minorHAnsi"/>
        </w:rPr>
        <w:t xml:space="preserve"> stwierdzono ryzyko presji w zakresie kryterium: utrzymanie naturalnego charakteru koryta. </w:t>
      </w:r>
    </w:p>
    <w:p w14:paraId="476BCEE8" w14:textId="77777777" w:rsidR="00396C20" w:rsidRPr="009F0B50" w:rsidRDefault="00396C20" w:rsidP="00396C20">
      <w:pPr>
        <w:spacing w:line="276" w:lineRule="auto"/>
        <w:rPr>
          <w:rFonts w:asciiTheme="minorHAnsi" w:hAnsiTheme="minorHAnsi"/>
        </w:rPr>
      </w:pPr>
      <w:r w:rsidRPr="009F0B50">
        <w:rPr>
          <w:rFonts w:asciiTheme="minorHAnsi" w:hAnsiTheme="minorHAnsi"/>
          <w:b/>
        </w:rPr>
        <w:t>RWHM_02:</w:t>
      </w:r>
      <w:r w:rsidRPr="009F0B50">
        <w:rPr>
          <w:rFonts w:asciiTheme="minorHAnsi" w:hAnsiTheme="minorHAnsi"/>
        </w:rPr>
        <w:t xml:space="preserve"> działania ukierunkowane na przywrócenie ciągłości biologicznej poprzez przebudowę budowli poprzecznych. W tym przypadku działania przypisywano na podstawie weryfikacji dostępnych informacji na temat budowli poprzecznych (baza HYMO, </w:t>
      </w:r>
      <w:r w:rsidRPr="00B433E8">
        <w:rPr>
          <w:rFonts w:asciiTheme="minorHAnsi" w:hAnsiTheme="minorHAnsi" w:cstheme="minorHAnsi"/>
        </w:rPr>
        <w:t>ortofotomapy</w:t>
      </w:r>
      <w:r w:rsidRPr="009F0B50">
        <w:rPr>
          <w:rFonts w:asciiTheme="minorHAnsi" w:hAnsiTheme="minorHAnsi"/>
        </w:rPr>
        <w:t>) oraz wyników ankietyzacji przeprowadzonej w celu uzupełnienia informacji na temat obiektów. Działania przypisano do jcwp, dla</w:t>
      </w:r>
      <w:r w:rsidRPr="00B433E8">
        <w:rPr>
          <w:rFonts w:asciiTheme="minorHAnsi" w:hAnsiTheme="minorHAnsi" w:cstheme="minorHAnsi"/>
        </w:rPr>
        <w:t xml:space="preserve"> </w:t>
      </w:r>
      <w:r w:rsidRPr="009F0B50">
        <w:rPr>
          <w:rFonts w:asciiTheme="minorHAnsi" w:hAnsiTheme="minorHAnsi"/>
        </w:rPr>
        <w:t xml:space="preserve">których potrzeby udrożnienia wynikały z opracowania pn. </w:t>
      </w:r>
      <w:r w:rsidRPr="009F0B50">
        <w:rPr>
          <w:rFonts w:asciiTheme="minorHAnsi" w:hAnsiTheme="minorHAnsi"/>
          <w:i/>
        </w:rPr>
        <w:t>Ocena potrzeb i priorytetów udrożnienia ciągłości (…)</w:t>
      </w:r>
      <w:r w:rsidRPr="009F0B50">
        <w:rPr>
          <w:rFonts w:asciiTheme="minorHAnsi" w:hAnsiTheme="minorHAnsi"/>
        </w:rPr>
        <w:t xml:space="preserve"> lub 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 xml:space="preserve">albo wartości indeksu D badań ichtiofauny przeprowadzonych w ramach PMŚ, o ile ichtiofauna była jedynym elementem oceny stanu/potencjału ekologicznego pozostającym poniżej dobrego. W obrębie grupy działań z kategorii RWHM_02 uwzględniono także działania kontrolno-administracyjne ukierunkowane na ocenę wpływu obiektów na ciągłość biologiczną i kontrolę użytkowania i funkcjonowania istniejących urządzeń do migracji ryb. </w:t>
      </w:r>
    </w:p>
    <w:p w14:paraId="0DED773C" w14:textId="77777777" w:rsidR="00396C20" w:rsidRPr="00B433E8" w:rsidRDefault="00396C20" w:rsidP="00396C20">
      <w:pPr>
        <w:spacing w:line="276" w:lineRule="auto"/>
        <w:rPr>
          <w:rFonts w:asciiTheme="minorHAnsi" w:hAnsiTheme="minorHAnsi" w:cstheme="minorHAnsi"/>
          <w:b/>
          <w:bCs/>
        </w:rPr>
      </w:pPr>
      <w:r w:rsidRPr="009F0B50">
        <w:rPr>
          <w:rFonts w:asciiTheme="minorHAnsi" w:hAnsiTheme="minorHAnsi"/>
          <w:b/>
        </w:rPr>
        <w:t>RWHM_03</w:t>
      </w:r>
      <w:r w:rsidRPr="00B433E8">
        <w:rPr>
          <w:rFonts w:asciiTheme="minorHAnsi" w:hAnsiTheme="minorHAnsi" w:cstheme="minorHAnsi"/>
          <w:b/>
          <w:bCs/>
        </w:rPr>
        <w:t>:</w:t>
      </w:r>
      <w:r w:rsidRPr="00B433E8">
        <w:rPr>
          <w:rFonts w:asciiTheme="minorHAnsi" w:hAnsiTheme="minorHAnsi" w:cstheme="minorHAnsi"/>
        </w:rPr>
        <w:t xml:space="preserve"> działania nakierowane na ochronę i odtwarzanie naturalnych procesów hydromorfologicznych w korycie w zakresie spełnienia celów środowiskowych obszarów chronionych w zakresie utrzymania naturalnego charakteru koryta.</w:t>
      </w:r>
    </w:p>
    <w:p w14:paraId="6A03E59A" w14:textId="77777777" w:rsidR="00396C20" w:rsidRPr="00B433E8" w:rsidRDefault="00396C20" w:rsidP="00396C20">
      <w:pPr>
        <w:spacing w:line="276" w:lineRule="auto"/>
        <w:rPr>
          <w:rFonts w:asciiTheme="minorHAnsi" w:hAnsiTheme="minorHAnsi" w:cstheme="minorHAnsi"/>
        </w:rPr>
      </w:pPr>
      <w:r w:rsidRPr="009F0B50">
        <w:rPr>
          <w:rFonts w:asciiTheme="minorHAnsi" w:hAnsiTheme="minorHAnsi"/>
          <w:b/>
        </w:rPr>
        <w:t xml:space="preserve">RWHM_04: </w:t>
      </w:r>
      <w:r w:rsidRPr="009F0B50">
        <w:rPr>
          <w:rFonts w:asciiTheme="minorHAnsi" w:hAnsiTheme="minorHAnsi"/>
        </w:rPr>
        <w:t xml:space="preserve">działania służące poprawie </w:t>
      </w:r>
      <w:r w:rsidRPr="00B433E8">
        <w:rPr>
          <w:rFonts w:asciiTheme="minorHAnsi" w:hAnsiTheme="minorHAnsi" w:cstheme="minorHAnsi"/>
        </w:rPr>
        <w:t>stanu elementów hydromorfologicznych w zakresie spełnienia celów środowiskowych, w tym działania renaturyzacyjne uwzględniające status oraz funkcje cieku, a także działania naprawcze dla obszarów chronionych.</w:t>
      </w:r>
    </w:p>
    <w:p w14:paraId="328C369D" w14:textId="77777777" w:rsidR="00396C20" w:rsidRPr="009F0B50" w:rsidRDefault="00396C20" w:rsidP="00396C20">
      <w:pPr>
        <w:spacing w:line="276" w:lineRule="auto"/>
        <w:rPr>
          <w:rFonts w:asciiTheme="minorHAnsi" w:hAnsiTheme="minorHAnsi"/>
        </w:rPr>
      </w:pPr>
      <w:r w:rsidRPr="00B433E8">
        <w:rPr>
          <w:rFonts w:asciiTheme="minorHAnsi" w:hAnsiTheme="minorHAnsi" w:cstheme="minorHAnsi"/>
          <w:b/>
          <w:bCs/>
        </w:rPr>
        <w:t>RWH_01:</w:t>
      </w:r>
      <w:r w:rsidRPr="00B433E8">
        <w:rPr>
          <w:rFonts w:asciiTheme="minorHAnsi" w:hAnsiTheme="minorHAnsi" w:cstheme="minorHAnsi"/>
        </w:rPr>
        <w:t xml:space="preserve"> działania nakierowane na kształtowanie stosunków wodnych w zlewni jcwp, w tym ochronę ekosystemów wodnych i od wód zależnych oraz odtwarzanie </w:t>
      </w:r>
      <w:r w:rsidRPr="009F0B50">
        <w:rPr>
          <w:rFonts w:asciiTheme="minorHAnsi" w:hAnsiTheme="minorHAnsi"/>
        </w:rPr>
        <w:t>warunków siedliskowych z</w:t>
      </w:r>
      <w:r w:rsidRPr="00B433E8">
        <w:rPr>
          <w:rFonts w:asciiTheme="minorHAnsi" w:hAnsiTheme="minorHAnsi" w:cstheme="minorHAnsi"/>
        </w:rPr>
        <w:t> uwzględnieniem celów środowiskowych wskazanych dla obszarów chronionych.</w:t>
      </w:r>
    </w:p>
    <w:p w14:paraId="4817ED91" w14:textId="77777777" w:rsidR="00396C20" w:rsidRPr="009F0B50" w:rsidRDefault="00396C20" w:rsidP="00396C20">
      <w:pPr>
        <w:spacing w:line="276" w:lineRule="auto"/>
        <w:rPr>
          <w:rFonts w:asciiTheme="minorHAnsi" w:hAnsiTheme="minorHAnsi"/>
        </w:rPr>
      </w:pPr>
      <w:r w:rsidRPr="009F0B50">
        <w:rPr>
          <w:rFonts w:asciiTheme="minorHAnsi" w:hAnsiTheme="minorHAnsi"/>
          <w:b/>
        </w:rPr>
        <w:t>RWH</w:t>
      </w:r>
      <w:r w:rsidRPr="00B433E8">
        <w:rPr>
          <w:rFonts w:asciiTheme="minorHAnsi" w:hAnsiTheme="minorHAnsi" w:cstheme="minorHAnsi"/>
          <w:b/>
          <w:bCs/>
        </w:rPr>
        <w:t>_03</w:t>
      </w:r>
      <w:r w:rsidRPr="009F0B50">
        <w:rPr>
          <w:rFonts w:asciiTheme="minorHAnsi" w:hAnsiTheme="minorHAnsi"/>
          <w:b/>
        </w:rPr>
        <w:t>:</w:t>
      </w:r>
      <w:r w:rsidRPr="009F0B50">
        <w:rPr>
          <w:rFonts w:asciiTheme="minorHAnsi" w:hAnsiTheme="minorHAnsi"/>
        </w:rPr>
        <w:t xml:space="preserve"> działania nakierowane na </w:t>
      </w:r>
      <w:r w:rsidRPr="00B433E8">
        <w:rPr>
          <w:rFonts w:asciiTheme="minorHAnsi" w:hAnsiTheme="minorHAnsi" w:cstheme="minorHAnsi"/>
        </w:rPr>
        <w:t>kształtowanie</w:t>
      </w:r>
      <w:r w:rsidRPr="009F0B50">
        <w:rPr>
          <w:rFonts w:asciiTheme="minorHAnsi" w:hAnsiTheme="minorHAnsi"/>
        </w:rPr>
        <w:t xml:space="preserve"> stosunków wodnych w zlewni jcwp</w:t>
      </w:r>
      <w:r w:rsidRPr="00B433E8">
        <w:rPr>
          <w:rFonts w:asciiTheme="minorHAnsi" w:hAnsiTheme="minorHAnsi" w:cstheme="minorHAnsi"/>
        </w:rPr>
        <w:t>, w tym stworzenie zintegrowanego systemu monitoringu</w:t>
      </w:r>
      <w:r w:rsidRPr="009F0B50">
        <w:rPr>
          <w:rFonts w:asciiTheme="minorHAnsi" w:hAnsiTheme="minorHAnsi"/>
        </w:rPr>
        <w:t xml:space="preserve"> wód</w:t>
      </w:r>
    </w:p>
    <w:p w14:paraId="5901A6EB" w14:textId="77777777" w:rsidR="00396C20" w:rsidRPr="009F0B50" w:rsidRDefault="00396C20" w:rsidP="00396C20">
      <w:pPr>
        <w:spacing w:line="276" w:lineRule="auto"/>
        <w:rPr>
          <w:rFonts w:asciiTheme="minorHAnsi" w:hAnsiTheme="minorHAnsi"/>
        </w:rPr>
      </w:pPr>
      <w:r w:rsidRPr="00B433E8">
        <w:rPr>
          <w:rFonts w:asciiTheme="minorHAnsi" w:hAnsiTheme="minorHAnsi" w:cstheme="minorHAnsi"/>
          <w:b/>
          <w:bCs/>
        </w:rPr>
        <w:t xml:space="preserve">RWC_01: </w:t>
      </w:r>
      <w:r w:rsidRPr="00B433E8">
        <w:rPr>
          <w:rFonts w:asciiTheme="minorHAnsi" w:hAnsiTheme="minorHAnsi" w:cstheme="minorHAnsi"/>
        </w:rPr>
        <w:t xml:space="preserve">działania </w:t>
      </w:r>
      <w:r w:rsidRPr="009F0B50">
        <w:rPr>
          <w:rFonts w:asciiTheme="minorHAnsi" w:hAnsiTheme="minorHAnsi"/>
        </w:rPr>
        <w:t>nakierowane na adaptację do zmian klimatu oraz poprawę warunków dla obszarów chronionych</w:t>
      </w:r>
      <w:r w:rsidRPr="00B433E8">
        <w:rPr>
          <w:rFonts w:asciiTheme="minorHAnsi" w:hAnsiTheme="minorHAnsi" w:cstheme="minorHAnsi"/>
        </w:rPr>
        <w:t xml:space="preserve"> </w:t>
      </w:r>
      <w:r w:rsidRPr="009F0B50">
        <w:rPr>
          <w:rFonts w:asciiTheme="minorHAnsi" w:hAnsiTheme="minorHAnsi"/>
        </w:rPr>
        <w:t>mające na celu opracowanie oraz realizację przedsięwzięć zmierzających do</w:t>
      </w:r>
      <w:r w:rsidRPr="00B433E8">
        <w:rPr>
          <w:rFonts w:asciiTheme="minorHAnsi" w:hAnsiTheme="minorHAnsi" w:cstheme="minorHAnsi"/>
        </w:rPr>
        <w:t xml:space="preserve"> </w:t>
      </w:r>
      <w:r w:rsidRPr="009F0B50">
        <w:rPr>
          <w:rFonts w:asciiTheme="minorHAnsi" w:hAnsiTheme="minorHAnsi"/>
        </w:rPr>
        <w:t>poprawy retencji na terenach leśnych, rolniczych.</w:t>
      </w:r>
    </w:p>
    <w:p w14:paraId="2F6D7E02" w14:textId="77777777" w:rsidR="00396C20" w:rsidRPr="009F0B50" w:rsidRDefault="00396C20" w:rsidP="00396C20">
      <w:pPr>
        <w:spacing w:line="276" w:lineRule="auto"/>
        <w:rPr>
          <w:rFonts w:asciiTheme="minorHAnsi" w:hAnsiTheme="minorHAnsi"/>
        </w:rPr>
      </w:pPr>
      <w:r w:rsidRPr="009F0B50">
        <w:rPr>
          <w:rFonts w:asciiTheme="minorHAnsi" w:hAnsiTheme="minorHAnsi"/>
          <w:b/>
        </w:rPr>
        <w:t>RWC_02:</w:t>
      </w:r>
      <w:r w:rsidRPr="009F0B50">
        <w:rPr>
          <w:rFonts w:asciiTheme="minorHAnsi" w:hAnsiTheme="minorHAnsi"/>
        </w:rPr>
        <w:t xml:space="preserve"> działania </w:t>
      </w:r>
      <w:r w:rsidRPr="00B433E8">
        <w:rPr>
          <w:rFonts w:asciiTheme="minorHAnsi" w:hAnsiTheme="minorHAnsi" w:cstheme="minorHAnsi"/>
        </w:rPr>
        <w:t>służące poprawie</w:t>
      </w:r>
      <w:r w:rsidRPr="009F0B50">
        <w:rPr>
          <w:rFonts w:asciiTheme="minorHAnsi" w:hAnsiTheme="minorHAnsi"/>
        </w:rPr>
        <w:t xml:space="preserve"> warunków dla obszarów chronionych. Wśród tych działań wyróżniono dwie grupy działań. Pierwszą z nich stanowią działania wynikające z planów ochrony/planów zadań ochronnych ustanowionych dla</w:t>
      </w:r>
      <w:r w:rsidRPr="00B433E8">
        <w:rPr>
          <w:rFonts w:asciiTheme="minorHAnsi" w:hAnsiTheme="minorHAnsi" w:cstheme="minorHAnsi"/>
        </w:rPr>
        <w:t xml:space="preserve"> </w:t>
      </w:r>
      <w:r w:rsidRPr="009F0B50">
        <w:rPr>
          <w:rFonts w:asciiTheme="minorHAnsi" w:hAnsiTheme="minorHAnsi"/>
        </w:rPr>
        <w:t xml:space="preserve">obszarów przeznaczonych do ochrony siedlisk lub gatunków, dla których utrzymanie lub poprawa stanu wód jest ważnym czynnikiem w ich ochronie. Drugą natomiast działania naprawcze ukierunkowane na redukcję dopływu zanieczyszczeń, przypisane do jcwp, znajdujące się w zasięgu obszarów chronionych, dla których w opracowaniu </w:t>
      </w:r>
      <w:r w:rsidRPr="009F0B50">
        <w:rPr>
          <w:rFonts w:asciiTheme="minorHAnsi" w:hAnsiTheme="minorHAnsi"/>
          <w:i/>
        </w:rPr>
        <w:t xml:space="preserve">Analiza presji znaczących (…) </w:t>
      </w:r>
      <w:r w:rsidRPr="009F0B50">
        <w:rPr>
          <w:rFonts w:asciiTheme="minorHAnsi" w:hAnsiTheme="minorHAnsi"/>
        </w:rPr>
        <w:t>zidentyfikowano ryzyko w</w:t>
      </w:r>
      <w:r w:rsidRPr="00B433E8">
        <w:rPr>
          <w:rFonts w:asciiTheme="minorHAnsi" w:hAnsiTheme="minorHAnsi" w:cstheme="minorHAnsi"/>
        </w:rPr>
        <w:t> </w:t>
      </w:r>
      <w:r w:rsidRPr="009F0B50">
        <w:rPr>
          <w:rFonts w:asciiTheme="minorHAnsi" w:hAnsiTheme="minorHAnsi"/>
        </w:rPr>
        <w:t>zakresie presji zrzutów lub/oraz presji na elementy fizykochemiczne.</w:t>
      </w:r>
    </w:p>
    <w:p w14:paraId="1687D724" w14:textId="77777777" w:rsidR="00860BC1" w:rsidRPr="009F0B50" w:rsidRDefault="00860BC1" w:rsidP="00396C20">
      <w:pPr>
        <w:spacing w:line="276" w:lineRule="auto"/>
        <w:rPr>
          <w:rFonts w:asciiTheme="minorHAnsi" w:hAnsiTheme="minorHAnsi"/>
        </w:rPr>
      </w:pPr>
      <w:r w:rsidRPr="009F0B50">
        <w:rPr>
          <w:rFonts w:asciiTheme="minorHAnsi" w:hAnsiTheme="minorHAnsi"/>
          <w:b/>
        </w:rPr>
        <w:t>RWP:</w:t>
      </w:r>
      <w:r w:rsidRPr="009F0B50">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5 grup działań:</w:t>
      </w:r>
    </w:p>
    <w:p w14:paraId="74552D55" w14:textId="77777777" w:rsidR="00396C20" w:rsidRPr="00B433E8" w:rsidRDefault="00396C20" w:rsidP="00396C20">
      <w:pPr>
        <w:spacing w:line="276" w:lineRule="auto"/>
        <w:rPr>
          <w:rFonts w:asciiTheme="minorHAnsi" w:hAnsiTheme="minorHAnsi" w:cstheme="minorHAnsi"/>
        </w:rPr>
      </w:pPr>
      <w:r w:rsidRPr="00B433E8">
        <w:rPr>
          <w:rFonts w:asciiTheme="minorHAnsi" w:hAnsiTheme="minorHAnsi" w:cstheme="minorHAnsi"/>
          <w:b/>
          <w:bCs/>
        </w:rPr>
        <w:t>RWP_01:</w:t>
      </w:r>
      <w:r w:rsidRPr="00B433E8">
        <w:rPr>
          <w:rFonts w:asciiTheme="minorHAnsi" w:hAnsiTheme="minorHAnsi" w:cstheme="minorHAnsi"/>
        </w:rPr>
        <w:t xml:space="preserve"> działania z zakresu gospodarki ściekowej związane z ograniczeniem presji komunalnej (w aglomeracjach i obszarach niezurbanizowanych);</w:t>
      </w:r>
    </w:p>
    <w:p w14:paraId="02B90AFF" w14:textId="77777777" w:rsidR="00396C20" w:rsidRPr="00B433E8" w:rsidRDefault="00396C20" w:rsidP="00396C20">
      <w:pPr>
        <w:spacing w:line="276" w:lineRule="auto"/>
        <w:rPr>
          <w:rFonts w:asciiTheme="minorHAnsi" w:hAnsiTheme="minorHAnsi" w:cstheme="minorHAnsi"/>
        </w:rPr>
      </w:pPr>
      <w:r w:rsidRPr="00B433E8">
        <w:rPr>
          <w:rFonts w:asciiTheme="minorHAnsi" w:hAnsiTheme="minorHAnsi" w:cstheme="minorHAnsi"/>
          <w:b/>
          <w:bCs/>
        </w:rPr>
        <w:t>RWP_02:</w:t>
      </w:r>
      <w:r w:rsidRPr="00B433E8">
        <w:rPr>
          <w:rFonts w:asciiTheme="minorHAnsi" w:hAnsiTheme="minorHAnsi" w:cstheme="minorHAnsi"/>
        </w:rPr>
        <w:t xml:space="preserve"> działania kontrolne działalności rolniczej - Działania kontrolne realizacji Programu azotanowego oraz związane ze stosowaniem środków ochrony roślin;</w:t>
      </w:r>
    </w:p>
    <w:p w14:paraId="0FE78885" w14:textId="77777777" w:rsidR="00396C20" w:rsidRPr="00B433E8" w:rsidRDefault="00396C20" w:rsidP="00396C20">
      <w:pPr>
        <w:spacing w:line="276" w:lineRule="auto"/>
        <w:rPr>
          <w:rFonts w:asciiTheme="minorHAnsi" w:hAnsiTheme="minorHAnsi" w:cstheme="minorHAnsi"/>
        </w:rPr>
      </w:pPr>
      <w:r w:rsidRPr="00B433E8">
        <w:rPr>
          <w:rFonts w:asciiTheme="minorHAnsi" w:hAnsiTheme="minorHAnsi" w:cstheme="minorHAnsi"/>
          <w:b/>
          <w:bCs/>
        </w:rPr>
        <w:t>RWP_04:</w:t>
      </w:r>
      <w:r w:rsidRPr="00B433E8">
        <w:rPr>
          <w:rFonts w:asciiTheme="minorHAnsi" w:hAnsiTheme="minorHAnsi" w:cstheme="minorHAnsi"/>
        </w:rPr>
        <w:t xml:space="preserve"> działania edukacyjne dla rolników dedykowane jcwp, w których zidentyfikowano źródła presji rolniczej przyczyniające się do złego stanu wód; </w:t>
      </w:r>
    </w:p>
    <w:p w14:paraId="406D0C6B" w14:textId="77777777" w:rsidR="00396C20" w:rsidRPr="00B433E8" w:rsidRDefault="00396C20" w:rsidP="00396C20">
      <w:pPr>
        <w:spacing w:line="276" w:lineRule="auto"/>
        <w:rPr>
          <w:rFonts w:asciiTheme="minorHAnsi" w:hAnsiTheme="minorHAnsi" w:cstheme="minorHAnsi"/>
        </w:rPr>
      </w:pPr>
      <w:r w:rsidRPr="00B433E8">
        <w:rPr>
          <w:rFonts w:asciiTheme="minorHAnsi" w:hAnsiTheme="minorHAnsi" w:cstheme="minorHAnsi"/>
          <w:b/>
          <w:bCs/>
        </w:rPr>
        <w:t>RWP_06:</w:t>
      </w:r>
      <w:r w:rsidRPr="00B433E8">
        <w:rPr>
          <w:rFonts w:asciiTheme="minorHAnsi" w:hAnsiTheme="minorHAnsi" w:cstheme="minorHAnsi"/>
        </w:rPr>
        <w:t xml:space="preserve"> działania nastawione na k</w:t>
      </w:r>
      <w:r w:rsidRPr="00B433E8">
        <w:rPr>
          <w:rFonts w:asciiTheme="minorHAnsi" w:hAnsiTheme="minorHAnsi" w:cstheme="minorHAnsi"/>
          <w:color w:val="444444"/>
          <w:shd w:val="clear" w:color="auto" w:fill="FFFFFF"/>
        </w:rPr>
        <w:t>ontrole gospodarowania wodami oraz przeglądy pozwoleń wodnoprawnych</w:t>
      </w:r>
      <w:r w:rsidRPr="00B433E8">
        <w:rPr>
          <w:rFonts w:asciiTheme="minorHAnsi" w:hAnsiTheme="minorHAnsi" w:cstheme="minorHAnsi"/>
        </w:rPr>
        <w:t xml:space="preserve">; </w:t>
      </w:r>
    </w:p>
    <w:p w14:paraId="328234E5" w14:textId="77777777" w:rsidR="00860BC1" w:rsidRPr="009F0B50" w:rsidRDefault="00860BC1" w:rsidP="00396C20">
      <w:pPr>
        <w:spacing w:line="276" w:lineRule="auto"/>
        <w:rPr>
          <w:rFonts w:asciiTheme="minorHAnsi" w:hAnsiTheme="minorHAnsi"/>
        </w:rPr>
      </w:pPr>
      <w:r w:rsidRPr="009F0B50">
        <w:rPr>
          <w:rFonts w:asciiTheme="minorHAnsi" w:hAnsiTheme="minorHAnsi"/>
          <w:b/>
        </w:rPr>
        <w:t>RWP_09:</w:t>
      </w:r>
      <w:r w:rsidRPr="009F0B50">
        <w:rPr>
          <w:rFonts w:asciiTheme="minorHAnsi" w:hAnsiTheme="minorHAnsi"/>
        </w:rPr>
        <w:t xml:space="preserve"> działania związane z weryfikacją i aktualizacją programów ochrony środowiska w gminach i powiatach.</w:t>
      </w:r>
    </w:p>
    <w:p w14:paraId="4AC0C393" w14:textId="4F30ED97" w:rsidR="00860BC1" w:rsidRPr="002D6624" w:rsidRDefault="00860BC1" w:rsidP="00860BC1">
      <w:r w:rsidRPr="002D6624">
        <w:t xml:space="preserve">Katalog działań jcwp RW </w:t>
      </w:r>
      <w:r w:rsidRPr="006802BB">
        <w:t xml:space="preserve">stanowi załącznik nr </w:t>
      </w:r>
      <w:r w:rsidR="009E1FEB">
        <w:t>7</w:t>
      </w:r>
      <w:r w:rsidRPr="006802BB">
        <w:t>.2 (Katalog</w:t>
      </w:r>
      <w:r w:rsidRPr="002D6624">
        <w:t xml:space="preserve"> działań </w:t>
      </w:r>
      <w:r>
        <w:t>dla poszczególnych kategorii wód</w:t>
      </w:r>
      <w:r w:rsidRPr="002D6624">
        <w:t>).</w:t>
      </w:r>
    </w:p>
    <w:p w14:paraId="601BBE62" w14:textId="77777777" w:rsidR="00860BC1" w:rsidRPr="002D6624" w:rsidRDefault="00860BC1" w:rsidP="00B50FFD">
      <w:pPr>
        <w:pStyle w:val="Nagwek3"/>
      </w:pPr>
      <w:bookmarkStart w:id="386" w:name="_Toc68726897"/>
      <w:r w:rsidRPr="002D6624">
        <w:t>Katalog działań jcwp LW</w:t>
      </w:r>
      <w:bookmarkEnd w:id="386"/>
    </w:p>
    <w:p w14:paraId="3082B742" w14:textId="77777777" w:rsidR="00860BC1" w:rsidRPr="00FC597C" w:rsidRDefault="00860BC1" w:rsidP="00A7052C">
      <w:pPr>
        <w:spacing w:line="276" w:lineRule="auto"/>
        <w:rPr>
          <w:rFonts w:asciiTheme="minorHAnsi" w:hAnsiTheme="minorHAnsi"/>
        </w:rPr>
      </w:pPr>
      <w:r w:rsidRPr="00FC597C">
        <w:rPr>
          <w:rFonts w:asciiTheme="minorHAnsi" w:hAnsiTheme="minorHAnsi"/>
        </w:rPr>
        <w:t xml:space="preserve">Katalog dla jcwp jeziornych (LW) zbudowany został na bazie zebranych w grupy działań umożliwiających eliminację lub przynajmniej zminimalizowanie presji znaczących zidentyfikowanych w ramach pracy </w:t>
      </w:r>
      <w:r w:rsidRPr="00FC597C">
        <w:rPr>
          <w:rFonts w:asciiTheme="minorHAnsi" w:hAnsiTheme="minorHAnsi"/>
          <w:i/>
        </w:rPr>
        <w:t>Analiza znaczących oddziaływań - jcwp (…)</w:t>
      </w:r>
      <w:r w:rsidRPr="00FC597C">
        <w:rPr>
          <w:rFonts w:asciiTheme="minorHAnsi" w:hAnsiTheme="minorHAnsi"/>
        </w:rPr>
        <w:t xml:space="preserve">. </w:t>
      </w:r>
    </w:p>
    <w:p w14:paraId="21BD2C61" w14:textId="77777777" w:rsidR="00860BC1" w:rsidRPr="00FC597C" w:rsidRDefault="00860BC1" w:rsidP="00A7052C">
      <w:pPr>
        <w:spacing w:line="276" w:lineRule="auto"/>
        <w:rPr>
          <w:rFonts w:asciiTheme="minorHAnsi" w:hAnsiTheme="minorHAnsi"/>
        </w:rPr>
      </w:pPr>
      <w:r w:rsidRPr="00FC597C">
        <w:rPr>
          <w:rFonts w:asciiTheme="minorHAnsi" w:hAnsiTheme="minorHAnsi"/>
        </w:rPr>
        <w:t>Łącznie 24 działania w katalogu działań jcwp LW zgrupowano w następujących kategoriach:</w:t>
      </w:r>
    </w:p>
    <w:p w14:paraId="715C5110"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kształtowanie stref buforowych,</w:t>
      </w:r>
    </w:p>
    <w:p w14:paraId="7D9ECC1E"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zintegrowany system monitoringu suszy,</w:t>
      </w:r>
    </w:p>
    <w:p w14:paraId="50099E19"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indywidualne programy poprawy stanu jcwp</w:t>
      </w:r>
      <w:r w:rsidR="00A7052C" w:rsidRPr="00B433E8">
        <w:rPr>
          <w:rFonts w:asciiTheme="minorHAnsi" w:hAnsiTheme="minorHAnsi" w:cstheme="minorHAnsi"/>
        </w:rPr>
        <w:t>,</w:t>
      </w:r>
    </w:p>
    <w:p w14:paraId="1C030106"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edukacja i informacja,</w:t>
      </w:r>
    </w:p>
    <w:p w14:paraId="3A4AF1C9"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gospodarka ściekowa,</w:t>
      </w:r>
    </w:p>
    <w:p w14:paraId="682A851B" w14:textId="77777777" w:rsidR="00A7052C" w:rsidRPr="00B433E8" w:rsidRDefault="00A7052C" w:rsidP="00AA3506">
      <w:pPr>
        <w:pStyle w:val="Listapunktowana1"/>
        <w:numPr>
          <w:ilvl w:val="0"/>
          <w:numId w:val="137"/>
        </w:numPr>
        <w:spacing w:line="276" w:lineRule="auto"/>
        <w:ind w:left="426" w:hanging="284"/>
        <w:rPr>
          <w:rFonts w:asciiTheme="minorHAnsi" w:hAnsiTheme="minorHAnsi" w:cstheme="minorHAnsi"/>
        </w:rPr>
      </w:pPr>
      <w:r w:rsidRPr="00B433E8">
        <w:rPr>
          <w:rFonts w:asciiTheme="minorHAnsi" w:hAnsiTheme="minorHAnsi" w:cstheme="minorHAnsi"/>
        </w:rPr>
        <w:t>redukcja emisji i zrzutów substancji priorytetowych,</w:t>
      </w:r>
    </w:p>
    <w:p w14:paraId="42415BE3"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ograniczenie zanieczyszczeń rozproszonych z rolnictwa,</w:t>
      </w:r>
    </w:p>
    <w:p w14:paraId="606EEFB3"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weryfikacja programu ochrony środowiska,</w:t>
      </w:r>
    </w:p>
    <w:p w14:paraId="1AEE96DF" w14:textId="77777777" w:rsidR="00860BC1" w:rsidRPr="00FC597C" w:rsidRDefault="00860BC1" w:rsidP="00AA3506">
      <w:pPr>
        <w:pStyle w:val="Listapunktowana1"/>
        <w:numPr>
          <w:ilvl w:val="0"/>
          <w:numId w:val="137"/>
        </w:numPr>
        <w:spacing w:line="276" w:lineRule="auto"/>
        <w:ind w:left="426" w:hanging="284"/>
        <w:rPr>
          <w:rFonts w:asciiTheme="minorHAnsi" w:hAnsiTheme="minorHAnsi"/>
        </w:rPr>
      </w:pPr>
      <w:r w:rsidRPr="00FC597C">
        <w:rPr>
          <w:rFonts w:asciiTheme="minorHAnsi" w:hAnsiTheme="minorHAnsi"/>
        </w:rPr>
        <w:t>monitoring</w:t>
      </w:r>
      <w:r w:rsidR="00A7052C" w:rsidRPr="00B433E8">
        <w:rPr>
          <w:rFonts w:asciiTheme="minorHAnsi" w:hAnsiTheme="minorHAnsi" w:cstheme="minorHAnsi"/>
        </w:rPr>
        <w:t>,</w:t>
      </w:r>
    </w:p>
    <w:p w14:paraId="4E1EB19E" w14:textId="77777777" w:rsidR="00A7052C" w:rsidRPr="00B433E8" w:rsidRDefault="00A7052C" w:rsidP="00AA3506">
      <w:pPr>
        <w:pStyle w:val="Listapunktowana1"/>
        <w:numPr>
          <w:ilvl w:val="0"/>
          <w:numId w:val="137"/>
        </w:numPr>
        <w:spacing w:line="276" w:lineRule="auto"/>
        <w:ind w:left="426" w:hanging="284"/>
        <w:rPr>
          <w:rFonts w:asciiTheme="minorHAnsi" w:hAnsiTheme="minorHAnsi" w:cstheme="minorHAnsi"/>
        </w:rPr>
      </w:pPr>
      <w:r w:rsidRPr="00B433E8">
        <w:rPr>
          <w:rFonts w:asciiTheme="minorHAnsi" w:hAnsiTheme="minorHAnsi" w:cstheme="minorHAnsi"/>
        </w:rPr>
        <w:t>poprawy warunków dla obszarów chronionych.</w:t>
      </w:r>
    </w:p>
    <w:p w14:paraId="44B9BA67" w14:textId="1E541071" w:rsidR="00860BC1" w:rsidRDefault="00860BC1" w:rsidP="00860BC1">
      <w:pPr>
        <w:suppressAutoHyphens/>
        <w:spacing w:line="276" w:lineRule="auto"/>
        <w:rPr>
          <w:rFonts w:cs="Calibri"/>
        </w:rPr>
      </w:pPr>
      <w:r w:rsidRPr="00FC597C">
        <w:rPr>
          <w:rFonts w:asciiTheme="minorHAnsi" w:hAnsiTheme="minorHAnsi"/>
        </w:rPr>
        <w:t>Najliczniejszą kategorią działań są indywidualne programy poprawy stanu jcwp (</w:t>
      </w:r>
      <w:r w:rsidR="00A7052C" w:rsidRPr="00B433E8">
        <w:rPr>
          <w:rFonts w:asciiTheme="minorHAnsi" w:hAnsiTheme="minorHAnsi" w:cstheme="minorHAnsi"/>
        </w:rPr>
        <w:t>25</w:t>
      </w:r>
      <w:r w:rsidRPr="00FC597C">
        <w:rPr>
          <w:rFonts w:asciiTheme="minorHAnsi" w:hAnsiTheme="minorHAnsi"/>
        </w:rPr>
        <w:t>% wszystkich działań w katalogu</w:t>
      </w:r>
      <w:r w:rsidR="00A7052C" w:rsidRPr="00B433E8">
        <w:rPr>
          <w:rFonts w:asciiTheme="minorHAnsi" w:hAnsiTheme="minorHAnsi" w:cstheme="minorHAnsi"/>
        </w:rPr>
        <w:t>). Drugą kategorią są działania związane z poprawą warunków dla obszarów chronionych, a</w:t>
      </w:r>
      <w:r w:rsidR="00C4673D">
        <w:rPr>
          <w:rFonts w:asciiTheme="minorHAnsi" w:hAnsiTheme="minorHAnsi"/>
        </w:rPr>
        <w:t> </w:t>
      </w:r>
      <w:r w:rsidRPr="00FC597C">
        <w:rPr>
          <w:rFonts w:asciiTheme="minorHAnsi" w:hAnsiTheme="minorHAnsi"/>
        </w:rPr>
        <w:t>kolejnymi pod względem liczby działań są kategorie: gospodarka ściekowa oraz kształtowanie stref buforowych (</w:t>
      </w:r>
      <w:r w:rsidR="00A7052C" w:rsidRPr="00B433E8">
        <w:rPr>
          <w:rFonts w:asciiTheme="minorHAnsi" w:hAnsiTheme="minorHAnsi" w:cstheme="minorHAnsi"/>
        </w:rPr>
        <w:t>po 12,5</w:t>
      </w:r>
      <w:r w:rsidRPr="00FC597C">
        <w:rPr>
          <w:rFonts w:asciiTheme="minorHAnsi" w:hAnsiTheme="minorHAnsi"/>
        </w:rPr>
        <w:t xml:space="preserve">%) (wykres </w:t>
      </w:r>
      <w:r>
        <w:rPr>
          <w:rFonts w:asciiTheme="minorHAnsi" w:hAnsiTheme="minorHAnsi" w:cstheme="minorHAnsi"/>
        </w:rPr>
        <w:t>12</w:t>
      </w:r>
      <w:r w:rsidRPr="00B433E8">
        <w:rPr>
          <w:rFonts w:asciiTheme="minorHAnsi" w:hAnsiTheme="minorHAnsi" w:cstheme="minorHAnsi"/>
        </w:rPr>
        <w:t>-</w:t>
      </w:r>
      <w:r w:rsidR="0001120E">
        <w:rPr>
          <w:rFonts w:asciiTheme="minorHAnsi" w:hAnsiTheme="minorHAnsi" w:cstheme="minorHAnsi"/>
        </w:rPr>
        <w:t>7</w:t>
      </w:r>
      <w:r w:rsidRPr="00B433E8">
        <w:rPr>
          <w:rFonts w:asciiTheme="minorHAnsi" w:hAnsiTheme="minorHAnsi" w:cstheme="minorHAnsi"/>
        </w:rPr>
        <w:t>)</w:t>
      </w:r>
      <w:r w:rsidRPr="006802BB">
        <w:rPr>
          <w:rFonts w:cs="Calibri"/>
        </w:rPr>
        <w:t>.</w:t>
      </w:r>
    </w:p>
    <w:p w14:paraId="2430DD48" w14:textId="3B215A7F" w:rsidR="00860BC1" w:rsidRDefault="00F208E1" w:rsidP="00F92E6C">
      <w:pPr>
        <w:suppressAutoHyphens/>
        <w:spacing w:before="0" w:after="0" w:line="276" w:lineRule="auto"/>
        <w:jc w:val="center"/>
        <w:rPr>
          <w:rFonts w:cs="Calibri"/>
        </w:rPr>
      </w:pPr>
      <w:r>
        <w:rPr>
          <w:noProof/>
        </w:rPr>
        <w:drawing>
          <wp:inline distT="0" distB="0" distL="0" distR="0" wp14:anchorId="389ADDA9" wp14:editId="0D52607E">
            <wp:extent cx="5760720" cy="3269412"/>
            <wp:effectExtent l="0" t="0" r="11430" b="7620"/>
            <wp:docPr id="238" name="Wykres 4">
              <a:extLst xmlns:a="http://schemas.openxmlformats.org/drawingml/2006/main">
                <a:ext uri="{FF2B5EF4-FFF2-40B4-BE49-F238E27FC236}">
                  <a16:creationId xmlns:a16="http://schemas.microsoft.com/office/drawing/2014/main" id="{452F544F-6CB3-47AB-8A1E-169AAD014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1A5E129" w14:textId="736F18C4" w:rsidR="00860BC1" w:rsidRDefault="00860BC1" w:rsidP="00F92E6C">
      <w:pPr>
        <w:pStyle w:val="Wykres"/>
        <w:spacing w:before="0"/>
      </w:pPr>
      <w:bookmarkStart w:id="387" w:name="_Toc68727122"/>
      <w:r>
        <w:t xml:space="preserve">Wykres </w:t>
      </w:r>
      <w:fldSimple w:instr=" STYLEREF 1 \s ">
        <w:r w:rsidR="00EF3FD3">
          <w:rPr>
            <w:noProof/>
          </w:rPr>
          <w:t>12</w:t>
        </w:r>
      </w:fldSimple>
      <w:r w:rsidR="00EF3FD3">
        <w:noBreakHyphen/>
      </w:r>
      <w:fldSimple w:instr=" SEQ Wykres \* ARABIC \s 1 ">
        <w:r w:rsidR="00DD7EA4">
          <w:rPr>
            <w:noProof/>
          </w:rPr>
          <w:t>7</w:t>
        </w:r>
      </w:fldSimple>
      <w:r>
        <w:tab/>
      </w:r>
      <w:r w:rsidRPr="009F7ED6">
        <w:t xml:space="preserve">Udział </w:t>
      </w:r>
      <w:r>
        <w:t>działań w poszczególnych kategoriach katalogu działań jcwp LW</w:t>
      </w:r>
      <w:bookmarkEnd w:id="387"/>
    </w:p>
    <w:p w14:paraId="53BB98BE" w14:textId="77777777" w:rsidR="00860BC1" w:rsidRPr="0013054F" w:rsidRDefault="00860BC1" w:rsidP="00F92E6C">
      <w:pPr>
        <w:pStyle w:val="rdo0"/>
        <w:spacing w:before="0" w:after="0"/>
      </w:pPr>
      <w:r w:rsidRPr="0013054F">
        <w:t>Źródło: opracowanie własne</w:t>
      </w:r>
    </w:p>
    <w:p w14:paraId="5EDF895D" w14:textId="4976DFB3" w:rsidR="00860BC1" w:rsidRPr="002D6624" w:rsidRDefault="00860BC1" w:rsidP="00860BC1">
      <w:r w:rsidRPr="002D6624">
        <w:t xml:space="preserve">W ramach </w:t>
      </w:r>
      <w:r w:rsidR="00212F6E">
        <w:t>10</w:t>
      </w:r>
      <w:r w:rsidRPr="002D6624">
        <w:t xml:space="preserve"> kategorii działań zaproponowanych dla jcwp </w:t>
      </w:r>
      <w:r>
        <w:t>LW</w:t>
      </w:r>
      <w:r w:rsidRPr="002D6624">
        <w:t xml:space="preserve"> wyznaczono </w:t>
      </w:r>
      <w:r w:rsidR="00212F6E">
        <w:t>9</w:t>
      </w:r>
      <w:r w:rsidRPr="002D6624">
        <w:t xml:space="preserve"> </w:t>
      </w:r>
      <w:r>
        <w:t>działań</w:t>
      </w:r>
      <w:r w:rsidRPr="002D6624">
        <w:t xml:space="preserve"> stanowiących działania podstawowe </w:t>
      </w:r>
      <w:r w:rsidR="00212F6E">
        <w:t>(37,5%)</w:t>
      </w:r>
      <w:r w:rsidRPr="002D6624">
        <w:t xml:space="preserve"> i 1</w:t>
      </w:r>
      <w:r w:rsidR="00212F6E">
        <w:t>5</w:t>
      </w:r>
      <w:r w:rsidRPr="002D6624">
        <w:t xml:space="preserve"> </w:t>
      </w:r>
      <w:r>
        <w:t xml:space="preserve">działań </w:t>
      </w:r>
      <w:r w:rsidRPr="002D6624">
        <w:t>uzupełniając</w:t>
      </w:r>
      <w:r>
        <w:t>ych</w:t>
      </w:r>
      <w:r w:rsidRPr="002D6624">
        <w:t xml:space="preserve"> (</w:t>
      </w:r>
      <w:r w:rsidR="00837FAE">
        <w:t xml:space="preserve">62,5%) </w:t>
      </w:r>
      <w:r w:rsidRPr="002D6624">
        <w:t>(</w:t>
      </w:r>
      <w:r w:rsidRPr="006802BB">
        <w:rPr>
          <w:rFonts w:cs="Calibri"/>
        </w:rPr>
        <w:t>wykres 12-</w:t>
      </w:r>
      <w:r w:rsidR="00212F6E">
        <w:rPr>
          <w:rFonts w:cs="Calibri"/>
        </w:rPr>
        <w:t>8</w:t>
      </w:r>
      <w:r w:rsidR="00FF524A">
        <w:rPr>
          <w:rFonts w:cs="Calibri"/>
        </w:rPr>
        <w:t xml:space="preserve">, </w:t>
      </w:r>
      <w:r w:rsidR="00FF524A">
        <w:rPr>
          <w:rFonts w:asciiTheme="minorHAnsi" w:hAnsiTheme="minorHAnsi" w:cstheme="minorHAnsi"/>
        </w:rPr>
        <w:t>dane prezentowane w zaokrągleniu).</w:t>
      </w:r>
    </w:p>
    <w:p w14:paraId="40A5A002" w14:textId="0E478DED" w:rsidR="00860BC1" w:rsidRPr="002D6624" w:rsidRDefault="00A875A3" w:rsidP="00860BC1">
      <w:pPr>
        <w:jc w:val="center"/>
      </w:pPr>
      <w:r>
        <w:rPr>
          <w:noProof/>
        </w:rPr>
        <w:drawing>
          <wp:inline distT="0" distB="0" distL="0" distR="0" wp14:anchorId="5FAD3C74" wp14:editId="13F521AF">
            <wp:extent cx="4819650" cy="2743200"/>
            <wp:effectExtent l="0" t="0" r="0" b="0"/>
            <wp:docPr id="240" name="Wykres 5">
              <a:extLst xmlns:a="http://schemas.openxmlformats.org/drawingml/2006/main">
                <a:ext uri="{FF2B5EF4-FFF2-40B4-BE49-F238E27FC236}">
                  <a16:creationId xmlns:a16="http://schemas.microsoft.com/office/drawing/2014/main" id="{7E702322-81B7-4005-92D3-8C0556944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CF843CB" w14:textId="2F3854A0" w:rsidR="00860BC1" w:rsidRPr="002D6624" w:rsidRDefault="00860BC1" w:rsidP="006802BB">
      <w:pPr>
        <w:pStyle w:val="Wykres"/>
      </w:pPr>
      <w:bookmarkStart w:id="388" w:name="_Toc68727123"/>
      <w:r w:rsidRPr="002D6624">
        <w:t xml:space="preserve">Wykres </w:t>
      </w:r>
      <w:fldSimple w:instr=" STYLEREF 1 \s ">
        <w:r w:rsidR="00EF3FD3">
          <w:rPr>
            <w:noProof/>
          </w:rPr>
          <w:t>12</w:t>
        </w:r>
      </w:fldSimple>
      <w:r w:rsidR="00EF3FD3">
        <w:noBreakHyphen/>
      </w:r>
      <w:fldSimple w:instr=" SEQ Wykres \* ARABIC \s 1 ">
        <w:r w:rsidR="00DD7EA4">
          <w:rPr>
            <w:noProof/>
          </w:rPr>
          <w:t>8</w:t>
        </w:r>
      </w:fldSimple>
      <w:r w:rsidRPr="002D6624">
        <w:tab/>
      </w:r>
      <w:r w:rsidRPr="005421A4">
        <w:t>Udział działań podstawowych oraz uzupełniających w katalogu działań jcwp LW</w:t>
      </w:r>
      <w:bookmarkEnd w:id="388"/>
    </w:p>
    <w:p w14:paraId="4B4D9F22" w14:textId="77777777" w:rsidR="00860BC1" w:rsidRPr="002D6624" w:rsidRDefault="00860BC1" w:rsidP="00860BC1">
      <w:pPr>
        <w:pStyle w:val="rdo0"/>
      </w:pPr>
      <w:r w:rsidRPr="002D6624">
        <w:t xml:space="preserve">Źródło: opracowanie </w:t>
      </w:r>
      <w:r>
        <w:t>własne</w:t>
      </w:r>
    </w:p>
    <w:p w14:paraId="7BDEB3C3" w14:textId="69ACE3F0" w:rsidR="00860BC1" w:rsidRDefault="00860BC1" w:rsidP="00860BC1">
      <w:pPr>
        <w:spacing w:after="240"/>
        <w:rPr>
          <w:rFonts w:cs="Calibri"/>
          <w:color w:val="000000" w:themeColor="text1"/>
        </w:rPr>
      </w:pPr>
      <w:r w:rsidRPr="5BB9D4D7">
        <w:rPr>
          <w:rFonts w:cs="Calibri"/>
          <w:color w:val="000000" w:themeColor="text1"/>
        </w:rPr>
        <w:t xml:space="preserve">Każde działanie otrzymało kod </w:t>
      </w:r>
      <w:r w:rsidRPr="006802BB">
        <w:rPr>
          <w:rFonts w:cs="Calibri"/>
          <w:color w:val="000000" w:themeColor="text1"/>
        </w:rPr>
        <w:t>IIaPGW wskazujący na rodzaj presji. Zestawienie liczby działań poszczególnych kodów IIaPGW jcwp LW przedstawia tabela 12-</w:t>
      </w:r>
      <w:r w:rsidR="006802BB" w:rsidRPr="006802BB">
        <w:rPr>
          <w:rFonts w:cs="Calibri"/>
          <w:color w:val="000000" w:themeColor="text1"/>
        </w:rPr>
        <w:t>4</w:t>
      </w:r>
      <w:r w:rsidR="00A875A3">
        <w:rPr>
          <w:rFonts w:cs="Calibri"/>
          <w:color w:val="000000" w:themeColor="text1"/>
        </w:rPr>
        <w:t xml:space="preserve"> i wykres 12-9</w:t>
      </w:r>
      <w:r w:rsidRPr="006802BB">
        <w:rPr>
          <w:rFonts w:cs="Calibri"/>
          <w:color w:val="000000" w:themeColor="text1"/>
        </w:rPr>
        <w:t>.</w:t>
      </w:r>
    </w:p>
    <w:p w14:paraId="4D55C47D" w14:textId="29A3A48C" w:rsidR="006802BB" w:rsidRDefault="006802BB" w:rsidP="006802BB">
      <w:pPr>
        <w:pStyle w:val="Legenda"/>
      </w:pPr>
      <w:bookmarkStart w:id="389" w:name="_Toc68727032"/>
      <w:r>
        <w:t xml:space="preserve">Tabela </w:t>
      </w:r>
      <w:fldSimple w:instr=" STYLEREF 1 \s ">
        <w:r w:rsidR="007B4050">
          <w:rPr>
            <w:noProof/>
          </w:rPr>
          <w:t>12</w:t>
        </w:r>
      </w:fldSimple>
      <w:r w:rsidR="007B4050">
        <w:noBreakHyphen/>
      </w:r>
      <w:fldSimple w:instr=" SEQ Tabela \* ARABIC \s 1 ">
        <w:r w:rsidR="007B4050">
          <w:rPr>
            <w:noProof/>
          </w:rPr>
          <w:t>4</w:t>
        </w:r>
      </w:fldSimple>
      <w:r w:rsidR="00035757">
        <w:tab/>
      </w:r>
      <w:r w:rsidRPr="002C41CE">
        <w:t>Liczba działań poszczególnych kodów IIaPGW jcwp LW</w:t>
      </w:r>
      <w:bookmarkEnd w:id="389"/>
    </w:p>
    <w:tbl>
      <w:tblPr>
        <w:tblW w:w="5000" w:type="pct"/>
        <w:jc w:val="center"/>
        <w:tblLook w:val="00A0" w:firstRow="1" w:lastRow="0" w:firstColumn="1" w:lastColumn="0" w:noHBand="0" w:noVBand="0"/>
      </w:tblPr>
      <w:tblGrid>
        <w:gridCol w:w="1704"/>
        <w:gridCol w:w="5684"/>
        <w:gridCol w:w="1674"/>
      </w:tblGrid>
      <w:tr w:rsidR="00C7534C" w:rsidRPr="00B433E8" w14:paraId="607F4422" w14:textId="77777777" w:rsidTr="00BD005D">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637DD15" w14:textId="77777777" w:rsidR="00C7534C" w:rsidRPr="00B433E8" w:rsidRDefault="00C7534C" w:rsidP="00BD005D">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82940E6" w14:textId="77777777" w:rsidR="00C7534C" w:rsidRPr="00B433E8" w:rsidRDefault="00C7534C" w:rsidP="00BD005D">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1ABA253" w14:textId="77777777" w:rsidR="00C7534C" w:rsidRPr="00B433E8" w:rsidRDefault="00C7534C" w:rsidP="00BD005D">
            <w:pPr>
              <w:pStyle w:val="TABELANagwek"/>
              <w:spacing w:line="276" w:lineRule="auto"/>
              <w:rPr>
                <w:rFonts w:cstheme="minorHAnsi"/>
              </w:rPr>
            </w:pPr>
            <w:r w:rsidRPr="00290498">
              <w:t>Liczba działań</w:t>
            </w:r>
          </w:p>
        </w:tc>
      </w:tr>
      <w:tr w:rsidR="00C7534C" w:rsidRPr="00B433E8" w14:paraId="79E4CC5C" w14:textId="77777777" w:rsidTr="00BD005D">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5C178" w14:textId="77777777" w:rsidR="00C7534C" w:rsidRPr="00B433E8" w:rsidRDefault="00C7534C" w:rsidP="00BD005D">
            <w:pPr>
              <w:pStyle w:val="TABELAdolewej"/>
              <w:spacing w:line="276" w:lineRule="auto"/>
              <w:rPr>
                <w:rFonts w:cstheme="minorHAnsi"/>
              </w:rPr>
            </w:pPr>
            <w:r w:rsidRPr="00B433E8">
              <w:rPr>
                <w:rFonts w:cstheme="minorHAnsi"/>
              </w:rPr>
              <w:t>LWC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BBC867" w14:textId="77777777" w:rsidR="00C7534C" w:rsidRPr="00B433E8" w:rsidRDefault="00C7534C" w:rsidP="00BD005D">
            <w:pPr>
              <w:pStyle w:val="TABELAdolewej"/>
              <w:spacing w:line="276" w:lineRule="auto"/>
              <w:rPr>
                <w:rFonts w:cstheme="minorHAnsi"/>
              </w:rPr>
            </w:pPr>
            <w:r w:rsidRPr="003F0E01">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3C68D" w14:textId="77777777" w:rsidR="00C7534C" w:rsidRPr="00B433E8" w:rsidRDefault="00C7534C" w:rsidP="00BD005D">
            <w:pPr>
              <w:pStyle w:val="TABELAwysrodkowane"/>
              <w:spacing w:line="276" w:lineRule="auto"/>
              <w:rPr>
                <w:rFonts w:cstheme="minorHAnsi"/>
              </w:rPr>
            </w:pPr>
            <w:r w:rsidRPr="00B433E8">
              <w:rPr>
                <w:rFonts w:cstheme="minorHAnsi"/>
              </w:rPr>
              <w:t>12</w:t>
            </w:r>
          </w:p>
        </w:tc>
      </w:tr>
      <w:tr w:rsidR="00C7534C" w:rsidRPr="00B433E8" w14:paraId="6BA03853" w14:textId="77777777" w:rsidTr="00BD005D">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0EE04" w14:textId="77777777" w:rsidR="00C7534C" w:rsidRPr="003F0E01" w:rsidRDefault="00C7534C" w:rsidP="00BD005D">
            <w:pPr>
              <w:pStyle w:val="TABELAdolewej"/>
              <w:spacing w:line="276" w:lineRule="auto"/>
            </w:pPr>
            <w:r w:rsidRPr="003F0E01">
              <w:t>LWP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7EE63" w14:textId="77777777" w:rsidR="00C7534C" w:rsidRPr="003F0E01" w:rsidRDefault="00C7534C" w:rsidP="00BD005D">
            <w:pPr>
              <w:pStyle w:val="TABELAdolewej"/>
              <w:spacing w:line="276" w:lineRule="auto"/>
            </w:pPr>
            <w:r w:rsidRPr="003F0E01">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12B1F" w14:textId="77777777" w:rsidR="00C7534C" w:rsidRPr="003F0E01" w:rsidRDefault="00C7534C" w:rsidP="00BD005D">
            <w:pPr>
              <w:pStyle w:val="TABELAwysrodkowane"/>
              <w:spacing w:line="276" w:lineRule="auto"/>
            </w:pPr>
            <w:r w:rsidRPr="003F0E01">
              <w:t>7</w:t>
            </w:r>
          </w:p>
        </w:tc>
      </w:tr>
      <w:tr w:rsidR="00C7534C" w:rsidRPr="00B433E8" w14:paraId="2BE5650A" w14:textId="77777777" w:rsidTr="00BD005D">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DAFED" w14:textId="77777777" w:rsidR="00C7534C" w:rsidRPr="003F0E01" w:rsidRDefault="00C7534C" w:rsidP="00BD005D">
            <w:pPr>
              <w:pStyle w:val="TABELAdolewej"/>
              <w:spacing w:line="276" w:lineRule="auto"/>
            </w:pPr>
            <w:r w:rsidRPr="00B433E8">
              <w:rPr>
                <w:rFonts w:cstheme="minorHAnsi"/>
              </w:rPr>
              <w:t>LWH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306F7" w14:textId="77777777" w:rsidR="00C7534C" w:rsidRPr="003F0E01" w:rsidRDefault="00C7534C" w:rsidP="00BD005D">
            <w:pPr>
              <w:pStyle w:val="TABELAdolewej"/>
              <w:spacing w:line="276" w:lineRule="auto"/>
            </w:pPr>
            <w:r w:rsidRPr="003F0E01">
              <w:t xml:space="preserve">presje </w:t>
            </w:r>
            <w:r w:rsidRPr="00B433E8">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F12E9" w14:textId="77777777" w:rsidR="00C7534C" w:rsidRPr="003F0E01" w:rsidRDefault="00C7534C" w:rsidP="00BD005D">
            <w:pPr>
              <w:pStyle w:val="TABELAwysrodkowane"/>
              <w:spacing w:line="276" w:lineRule="auto"/>
            </w:pPr>
            <w:r w:rsidRPr="00B433E8">
              <w:rPr>
                <w:rFonts w:cstheme="minorHAnsi"/>
              </w:rPr>
              <w:t>2</w:t>
            </w:r>
          </w:p>
        </w:tc>
      </w:tr>
      <w:tr w:rsidR="00C7534C" w:rsidRPr="00B433E8" w14:paraId="31BA8000" w14:textId="77777777" w:rsidTr="00BD005D">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1F5CB" w14:textId="77777777" w:rsidR="00C7534C" w:rsidRPr="00B433E8" w:rsidRDefault="00C7534C" w:rsidP="00BD005D">
            <w:pPr>
              <w:pStyle w:val="TABELAdolewej"/>
              <w:spacing w:line="276" w:lineRule="auto"/>
              <w:rPr>
                <w:rFonts w:cstheme="minorHAnsi"/>
              </w:rPr>
            </w:pPr>
            <w:r w:rsidRPr="00B433E8">
              <w:rPr>
                <w:rFonts w:cstheme="minorHAnsi"/>
              </w:rPr>
              <w:t>LWHM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F3953" w14:textId="77777777" w:rsidR="00C7534C" w:rsidRPr="00B433E8" w:rsidRDefault="00C7534C" w:rsidP="00BD005D">
            <w:pPr>
              <w:pStyle w:val="TABELAdolewej"/>
              <w:spacing w:line="276" w:lineRule="auto"/>
              <w:rPr>
                <w:rFonts w:cstheme="minorHAnsi"/>
              </w:rPr>
            </w:pPr>
            <w:r w:rsidRPr="00B433E8">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6F10E" w14:textId="77777777" w:rsidR="00C7534C" w:rsidRPr="00B433E8" w:rsidRDefault="00C7534C" w:rsidP="00BD005D">
            <w:pPr>
              <w:pStyle w:val="TABELAwysrodkowane"/>
              <w:spacing w:line="276" w:lineRule="auto"/>
              <w:rPr>
                <w:rFonts w:cstheme="minorHAnsi"/>
              </w:rPr>
            </w:pPr>
            <w:r w:rsidRPr="00B433E8">
              <w:rPr>
                <w:rFonts w:cstheme="minorHAnsi"/>
              </w:rPr>
              <w:t>3</w:t>
            </w:r>
          </w:p>
        </w:tc>
      </w:tr>
      <w:tr w:rsidR="00C7534C" w:rsidRPr="00B433E8" w14:paraId="1266336F" w14:textId="77777777" w:rsidTr="00BD005D">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ACD58A4" w14:textId="77777777" w:rsidR="00C7534C" w:rsidRPr="003F0E01" w:rsidRDefault="00C7534C" w:rsidP="00BD005D">
            <w:pPr>
              <w:pStyle w:val="TABELANagwek"/>
              <w:spacing w:line="276" w:lineRule="auto"/>
            </w:pPr>
            <w:r w:rsidRPr="003F0E01">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2CE60D9" w14:textId="77777777" w:rsidR="00C7534C" w:rsidRPr="00290498" w:rsidRDefault="00C7534C" w:rsidP="00BD005D">
            <w:pPr>
              <w:pStyle w:val="TABELANagwek"/>
              <w:spacing w:line="276" w:lineRule="auto"/>
            </w:pPr>
            <w:r w:rsidRPr="00290498">
              <w:t>24</w:t>
            </w:r>
          </w:p>
        </w:tc>
      </w:tr>
    </w:tbl>
    <w:p w14:paraId="6DBFE92B" w14:textId="77777777" w:rsidR="00860BC1" w:rsidRDefault="00860BC1" w:rsidP="00860BC1">
      <w:pPr>
        <w:ind w:left="708"/>
        <w:jc w:val="right"/>
        <w:rPr>
          <w:szCs w:val="18"/>
        </w:rPr>
      </w:pPr>
      <w:r w:rsidRPr="00776B26">
        <w:rPr>
          <w:rFonts w:cs="Calibri"/>
          <w:i/>
          <w:iCs/>
          <w:color w:val="003399"/>
          <w:sz w:val="18"/>
          <w:szCs w:val="18"/>
        </w:rPr>
        <w:t>Źródło: opracowanie własne</w:t>
      </w:r>
    </w:p>
    <w:p w14:paraId="6AD0C8FA" w14:textId="77777777" w:rsidR="007738D8" w:rsidRPr="00B433E8" w:rsidRDefault="007738D8" w:rsidP="007738D8">
      <w:pPr>
        <w:spacing w:line="276" w:lineRule="auto"/>
        <w:jc w:val="center"/>
        <w:rPr>
          <w:rFonts w:asciiTheme="minorHAnsi" w:hAnsiTheme="minorHAnsi" w:cstheme="minorHAnsi"/>
        </w:rPr>
      </w:pPr>
      <w:r>
        <w:rPr>
          <w:noProof/>
        </w:rPr>
        <w:drawing>
          <wp:inline distT="0" distB="0" distL="0" distR="0" wp14:anchorId="54C4D65E" wp14:editId="1E60A90B">
            <wp:extent cx="4572000" cy="2743200"/>
            <wp:effectExtent l="0" t="0" r="0" b="0"/>
            <wp:docPr id="242" name="Wykres 7">
              <a:extLst xmlns:a="http://schemas.openxmlformats.org/drawingml/2006/main">
                <a:ext uri="{FF2B5EF4-FFF2-40B4-BE49-F238E27FC236}">
                  <a16:creationId xmlns:a16="http://schemas.microsoft.com/office/drawing/2014/main" id="{2A72F3B5-F73B-4682-8C12-7C317B65F8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6BB12A8" w14:textId="2FE92ADB" w:rsidR="007738D8" w:rsidRPr="00B433E8" w:rsidRDefault="007738D8" w:rsidP="007738D8">
      <w:pPr>
        <w:pStyle w:val="Wykres"/>
      </w:pPr>
      <w:bookmarkStart w:id="390" w:name="_Toc68195521"/>
      <w:bookmarkStart w:id="391" w:name="_Toc68727124"/>
      <w:r w:rsidRPr="002D6624">
        <w:t xml:space="preserve">Wykres </w:t>
      </w:r>
      <w:r>
        <w:fldChar w:fldCharType="begin"/>
      </w:r>
      <w:r>
        <w:instrText>STYLEREF 1 \s</w:instrText>
      </w:r>
      <w:r>
        <w:fldChar w:fldCharType="separate"/>
      </w:r>
      <w:r>
        <w:rPr>
          <w:noProof/>
        </w:rPr>
        <w:t>12</w:t>
      </w:r>
      <w:r>
        <w:fldChar w:fldCharType="end"/>
      </w:r>
      <w:r>
        <w:noBreakHyphen/>
      </w:r>
      <w:r>
        <w:fldChar w:fldCharType="begin"/>
      </w:r>
      <w:r>
        <w:instrText>SEQ Wykres \* ARABIC \s 1</w:instrText>
      </w:r>
      <w:r>
        <w:fldChar w:fldCharType="separate"/>
      </w:r>
      <w:r>
        <w:rPr>
          <w:noProof/>
        </w:rPr>
        <w:t>9</w:t>
      </w:r>
      <w:r>
        <w:fldChar w:fldCharType="end"/>
      </w:r>
      <w:r w:rsidRPr="00B433E8">
        <w:tab/>
        <w:t>Udział działań ukierunkowanych na redukcję poszczególnych rodzajów presji</w:t>
      </w:r>
      <w:bookmarkEnd w:id="390"/>
      <w:bookmarkEnd w:id="391"/>
    </w:p>
    <w:p w14:paraId="31C7B057" w14:textId="77777777" w:rsidR="007738D8" w:rsidRPr="00B433E8" w:rsidRDefault="007738D8" w:rsidP="007738D8">
      <w:pPr>
        <w:pStyle w:val="rdo0"/>
      </w:pPr>
      <w:r w:rsidRPr="00B433E8">
        <w:t>Źródło: opracowanie własne</w:t>
      </w:r>
    </w:p>
    <w:p w14:paraId="26257373" w14:textId="77777777" w:rsidR="0038501C" w:rsidRPr="003F0E01" w:rsidRDefault="0038501C" w:rsidP="0038501C">
      <w:pPr>
        <w:spacing w:line="276" w:lineRule="auto"/>
        <w:rPr>
          <w:rFonts w:asciiTheme="minorHAnsi" w:hAnsiTheme="minorHAnsi"/>
        </w:rPr>
      </w:pPr>
      <w:r w:rsidRPr="00B433E8">
        <w:rPr>
          <w:rFonts w:asciiTheme="minorHAnsi" w:hAnsiTheme="minorHAnsi" w:cstheme="minorHAnsi"/>
        </w:rPr>
        <w:t>Do</w:t>
      </w:r>
      <w:r w:rsidRPr="003F0E01">
        <w:rPr>
          <w:rFonts w:asciiTheme="minorHAnsi" w:hAnsiTheme="minorHAnsi"/>
        </w:rPr>
        <w:t xml:space="preserve"> działań </w:t>
      </w:r>
      <w:r w:rsidRPr="00B433E8">
        <w:rPr>
          <w:rFonts w:asciiTheme="minorHAnsi" w:hAnsiTheme="minorHAnsi" w:cstheme="minorHAnsi"/>
        </w:rPr>
        <w:t>z</w:t>
      </w:r>
      <w:r w:rsidRPr="003F0E01">
        <w:rPr>
          <w:rFonts w:asciiTheme="minorHAnsi" w:hAnsiTheme="minorHAnsi"/>
        </w:rPr>
        <w:t xml:space="preserve"> kategorii </w:t>
      </w:r>
      <w:r w:rsidRPr="00B433E8">
        <w:rPr>
          <w:rFonts w:asciiTheme="minorHAnsi" w:hAnsiTheme="minorHAnsi" w:cstheme="minorHAnsi"/>
        </w:rPr>
        <w:t>oznaczonej kodem LWHM należą</w:t>
      </w:r>
      <w:r w:rsidRPr="003F0E01">
        <w:rPr>
          <w:rFonts w:asciiTheme="minorHAnsi" w:hAnsiTheme="minorHAnsi"/>
        </w:rPr>
        <w:t xml:space="preserve"> działania ukierunkowane na eliminację presji hydromorfologicznych. Wśród nich wskazano następujące grupy działań:</w:t>
      </w:r>
    </w:p>
    <w:p w14:paraId="05CAD281" w14:textId="77777777" w:rsidR="0038501C" w:rsidRPr="003F0E01" w:rsidRDefault="0038501C" w:rsidP="0038501C">
      <w:pPr>
        <w:spacing w:line="276" w:lineRule="auto"/>
        <w:rPr>
          <w:rFonts w:asciiTheme="minorHAnsi" w:hAnsiTheme="minorHAnsi"/>
        </w:rPr>
      </w:pPr>
      <w:r w:rsidRPr="003F0E01">
        <w:rPr>
          <w:rFonts w:asciiTheme="minorHAnsi" w:hAnsiTheme="minorHAnsi"/>
          <w:b/>
        </w:rPr>
        <w:t>LWHM_01:</w:t>
      </w:r>
      <w:r w:rsidRPr="003F0E01">
        <w:rPr>
          <w:rFonts w:asciiTheme="minorHAnsi" w:hAnsiTheme="minorHAnsi"/>
        </w:rPr>
        <w:t xml:space="preserve"> </w:t>
      </w:r>
      <w:r w:rsidRPr="00B433E8">
        <w:rPr>
          <w:rFonts w:asciiTheme="minorHAnsi" w:hAnsiTheme="minorHAnsi" w:cstheme="minorHAnsi"/>
        </w:rPr>
        <w:t>Grupa</w:t>
      </w:r>
      <w:r w:rsidRPr="003F0E01">
        <w:rPr>
          <w:rFonts w:asciiTheme="minorHAnsi" w:hAnsiTheme="minorHAnsi"/>
        </w:rPr>
        <w:t xml:space="preserve"> działań mająca na celu poprawę warunków siedliskowych w strefie brzegowej jezior, w tym także stworzenie swoistej strefy ekotonowej i buforowej. Działania te wskazane są do realizacji na brzegu zbiorników, w odległości do 15 m od linii brzegowej i mają na celu optymalizację funkcjonowania strefy buforowej, w tym zwiększenie różnorodności biologicznej oraz ograniczenie negatywnych oddziaływań związanych ze spływem powierzchniowym z terenów sąsiednich na jezioro odkładanej materii organicznej. Prawidłowo zorganizowana strefa pozwala na ograniczenie rozwoju gatunków inwazyjnych oraz zarastania jeziora. </w:t>
      </w:r>
    </w:p>
    <w:p w14:paraId="50FA5C87" w14:textId="77777777" w:rsidR="0038501C" w:rsidRPr="003F0E01" w:rsidRDefault="0038501C" w:rsidP="0038501C">
      <w:pPr>
        <w:spacing w:line="276" w:lineRule="auto"/>
        <w:rPr>
          <w:rFonts w:asciiTheme="minorHAnsi" w:hAnsiTheme="minorHAnsi"/>
        </w:rPr>
      </w:pPr>
      <w:r w:rsidRPr="003F0E01">
        <w:rPr>
          <w:rFonts w:asciiTheme="minorHAnsi" w:hAnsiTheme="minorHAnsi"/>
          <w:b/>
        </w:rPr>
        <w:t>LWHM_02:</w:t>
      </w:r>
      <w:r w:rsidRPr="003F0E01">
        <w:rPr>
          <w:rFonts w:asciiTheme="minorHAnsi" w:hAnsiTheme="minorHAnsi"/>
        </w:rPr>
        <w:t xml:space="preserve"> Poprawa warunków siedliskowych w strefie litoralnej to działania wskazane do realizacji w</w:t>
      </w:r>
      <w:r w:rsidRPr="00B433E8">
        <w:rPr>
          <w:rFonts w:asciiTheme="minorHAnsi" w:hAnsiTheme="minorHAnsi" w:cstheme="minorHAnsi"/>
        </w:rPr>
        <w:t> </w:t>
      </w:r>
      <w:r w:rsidRPr="003F0E01">
        <w:rPr>
          <w:rFonts w:asciiTheme="minorHAnsi" w:hAnsiTheme="minorHAnsi"/>
        </w:rPr>
        <w:t>strefie litoralnej jezior, mające na celu optymalizację funkcjonowania litoralu pod względem zróżnicowania warunków siedliskowych, w tym ichtiofauny, a także zdolności absorpcji związków biogennych. Działania z tej grupy dedykowane są również jeziorom zarastającym lub z dominacją monokultur trzcinowych</w:t>
      </w:r>
    </w:p>
    <w:p w14:paraId="2FBC93B1" w14:textId="77777777" w:rsidR="0038501C" w:rsidRPr="003F0E01" w:rsidRDefault="0038501C" w:rsidP="0038501C">
      <w:pPr>
        <w:spacing w:line="276" w:lineRule="auto"/>
        <w:rPr>
          <w:rFonts w:asciiTheme="minorHAnsi" w:hAnsiTheme="minorHAnsi"/>
        </w:rPr>
      </w:pPr>
      <w:r w:rsidRPr="00B433E8">
        <w:rPr>
          <w:rFonts w:asciiTheme="minorHAnsi" w:hAnsiTheme="minorHAnsi" w:cstheme="minorHAnsi"/>
        </w:rPr>
        <w:t>Kolejną kategorię działań stanowią</w:t>
      </w:r>
      <w:r w:rsidRPr="003F0E01">
        <w:rPr>
          <w:rFonts w:asciiTheme="minorHAnsi" w:hAnsiTheme="minorHAnsi"/>
        </w:rPr>
        <w:t xml:space="preserve"> działania ukierunkowane na ograniczenie presji hydrologicznych</w:t>
      </w:r>
      <w:r w:rsidRPr="00B433E8">
        <w:rPr>
          <w:rFonts w:asciiTheme="minorHAnsi" w:hAnsiTheme="minorHAnsi" w:cstheme="minorHAnsi"/>
        </w:rPr>
        <w:t xml:space="preserve"> tj. grupa </w:t>
      </w:r>
      <w:r w:rsidRPr="00B433E8">
        <w:rPr>
          <w:rFonts w:asciiTheme="minorHAnsi" w:hAnsiTheme="minorHAnsi" w:cstheme="minorHAnsi"/>
          <w:b/>
        </w:rPr>
        <w:t>LWH_2</w:t>
      </w:r>
      <w:r w:rsidRPr="003F0E01">
        <w:rPr>
          <w:rFonts w:asciiTheme="minorHAnsi" w:hAnsiTheme="minorHAnsi"/>
          <w:b/>
        </w:rPr>
        <w:t>.</w:t>
      </w:r>
    </w:p>
    <w:p w14:paraId="707AAF4F" w14:textId="77777777" w:rsidR="0038501C" w:rsidRPr="003F0E01" w:rsidRDefault="0038501C" w:rsidP="0038501C">
      <w:pPr>
        <w:spacing w:line="276" w:lineRule="auto"/>
        <w:rPr>
          <w:rFonts w:asciiTheme="minorHAnsi" w:hAnsiTheme="minorHAnsi"/>
        </w:rPr>
      </w:pPr>
      <w:r w:rsidRPr="00B433E8">
        <w:rPr>
          <w:rFonts w:asciiTheme="minorHAnsi" w:hAnsiTheme="minorHAnsi" w:cstheme="minorHAnsi"/>
        </w:rPr>
        <w:t xml:space="preserve">Działania z grup </w:t>
      </w:r>
      <w:r w:rsidRPr="003F0E01">
        <w:rPr>
          <w:rFonts w:asciiTheme="minorHAnsi" w:hAnsiTheme="minorHAnsi"/>
        </w:rPr>
        <w:t>LWP</w:t>
      </w:r>
      <w:r w:rsidRPr="00B433E8">
        <w:rPr>
          <w:rFonts w:asciiTheme="minorHAnsi" w:hAnsiTheme="minorHAnsi" w:cstheme="minorHAnsi"/>
        </w:rPr>
        <w:t xml:space="preserve"> to</w:t>
      </w:r>
      <w:r w:rsidRPr="003F0E01">
        <w:rPr>
          <w:rFonts w:asciiTheme="minorHAnsi" w:hAnsiTheme="minorHAnsi"/>
        </w:rPr>
        <w:t xml:space="preserve"> działania ukierunkowane na likwidację presji fizykochemicznych i</w:t>
      </w:r>
      <w:r w:rsidRPr="00B433E8">
        <w:rPr>
          <w:rFonts w:asciiTheme="minorHAnsi" w:hAnsiTheme="minorHAnsi" w:cstheme="minorHAnsi"/>
        </w:rPr>
        <w:t> </w:t>
      </w:r>
      <w:r w:rsidRPr="003F0E01">
        <w:rPr>
          <w:rFonts w:asciiTheme="minorHAnsi" w:hAnsiTheme="minorHAnsi"/>
        </w:rPr>
        <w:t>chemicznych. Wśród nich wskazano następujące grupy działań:</w:t>
      </w:r>
    </w:p>
    <w:p w14:paraId="2DA46AE1" w14:textId="77777777" w:rsidR="0038501C" w:rsidRPr="003F0E01" w:rsidRDefault="0038501C" w:rsidP="0038501C">
      <w:pPr>
        <w:spacing w:line="276" w:lineRule="auto"/>
        <w:rPr>
          <w:rFonts w:asciiTheme="minorHAnsi" w:hAnsiTheme="minorHAnsi"/>
        </w:rPr>
      </w:pPr>
      <w:r w:rsidRPr="003F0E01">
        <w:rPr>
          <w:rFonts w:asciiTheme="minorHAnsi" w:hAnsiTheme="minorHAnsi"/>
          <w:b/>
        </w:rPr>
        <w:t>LWP_01 i LWP_02:</w:t>
      </w:r>
      <w:r w:rsidRPr="003F0E01">
        <w:rPr>
          <w:rFonts w:asciiTheme="minorHAnsi" w:hAnsiTheme="minorHAnsi"/>
        </w:rPr>
        <w:t xml:space="preserve"> ukierunkowane na presje związane z</w:t>
      </w:r>
      <w:r w:rsidRPr="00B433E8">
        <w:rPr>
          <w:rFonts w:asciiTheme="minorHAnsi" w:hAnsiTheme="minorHAnsi" w:cstheme="minorHAnsi"/>
        </w:rPr>
        <w:t> </w:t>
      </w:r>
      <w:r w:rsidRPr="003F0E01">
        <w:rPr>
          <w:rFonts w:asciiTheme="minorHAnsi" w:hAnsiTheme="minorHAnsi"/>
        </w:rPr>
        <w:t xml:space="preserve">działalnością rolniczą. </w:t>
      </w:r>
      <w:r w:rsidRPr="00B433E8">
        <w:rPr>
          <w:rFonts w:asciiTheme="minorHAnsi" w:hAnsiTheme="minorHAnsi" w:cstheme="minorHAnsi"/>
        </w:rPr>
        <w:t>LWP_01 dotyczy promocji</w:t>
      </w:r>
      <w:r w:rsidRPr="003F0E01">
        <w:rPr>
          <w:rFonts w:asciiTheme="minorHAnsi" w:hAnsiTheme="minorHAnsi"/>
        </w:rPr>
        <w:t xml:space="preserve"> działań wynikające ze zbioru zaleceń dobrych praktyk rolniczych dotyczących ograniczenia zanieczyszczenia związkami azotu, w tym w szczególności działania ograniczające migrację biogenów wraz ze spływem powierzchniowym oraz działania wynikające z</w:t>
      </w:r>
      <w:r w:rsidRPr="00B433E8">
        <w:rPr>
          <w:rFonts w:asciiTheme="minorHAnsi" w:hAnsiTheme="minorHAnsi" w:cstheme="minorHAnsi"/>
        </w:rPr>
        <w:t xml:space="preserve"> </w:t>
      </w:r>
      <w:r w:rsidRPr="003F0E01">
        <w:rPr>
          <w:rFonts w:asciiTheme="minorHAnsi" w:hAnsiTheme="minorHAnsi"/>
        </w:rPr>
        <w:t xml:space="preserve">Kodeksu doradczego dobrej praktyki rolniczej dotyczącej ograniczenia emisji amoniaku </w:t>
      </w:r>
      <w:r w:rsidRPr="00B433E8">
        <w:rPr>
          <w:rFonts w:asciiTheme="minorHAnsi" w:hAnsiTheme="minorHAnsi" w:cstheme="minorHAnsi"/>
        </w:rPr>
        <w:t>m</w:t>
      </w:r>
      <w:r w:rsidRPr="003F0E01">
        <w:rPr>
          <w:rFonts w:asciiTheme="minorHAnsi" w:hAnsiTheme="minorHAnsi"/>
        </w:rPr>
        <w:t>.in. poprzez edukację</w:t>
      </w:r>
      <w:r w:rsidRPr="00B433E8">
        <w:rPr>
          <w:rFonts w:asciiTheme="minorHAnsi" w:hAnsiTheme="minorHAnsi" w:cstheme="minorHAnsi"/>
        </w:rPr>
        <w:t>.,LWP_02 dotyczy</w:t>
      </w:r>
      <w:r w:rsidRPr="003F0E01">
        <w:rPr>
          <w:rFonts w:asciiTheme="minorHAnsi" w:hAnsiTheme="minorHAnsi"/>
        </w:rPr>
        <w:t xml:space="preserve"> działań</w:t>
      </w:r>
      <w:r w:rsidRPr="00B433E8">
        <w:rPr>
          <w:rFonts w:asciiTheme="minorHAnsi" w:hAnsiTheme="minorHAnsi" w:cstheme="minorHAnsi"/>
        </w:rPr>
        <w:t xml:space="preserve"> kontrolnych przestrzegania warunków stosowania środków ochrony roślin </w:t>
      </w:r>
    </w:p>
    <w:p w14:paraId="17A4F2E9" w14:textId="77777777" w:rsidR="00860BC1" w:rsidRPr="003F0E01" w:rsidRDefault="00860BC1" w:rsidP="0038501C">
      <w:pPr>
        <w:spacing w:line="276" w:lineRule="auto"/>
        <w:rPr>
          <w:rFonts w:asciiTheme="minorHAnsi" w:hAnsiTheme="minorHAnsi"/>
        </w:rPr>
      </w:pPr>
      <w:r w:rsidRPr="003F0E01">
        <w:rPr>
          <w:rFonts w:asciiTheme="minorHAnsi" w:hAnsiTheme="minorHAnsi"/>
          <w:b/>
        </w:rPr>
        <w:t>LWP_06, LWP_07, LWP_10:</w:t>
      </w:r>
      <w:r w:rsidRPr="003F0E01">
        <w:rPr>
          <w:rFonts w:asciiTheme="minorHAnsi" w:hAnsiTheme="minorHAnsi"/>
        </w:rPr>
        <w:t xml:space="preserve"> grupy działań dedykowane poprawie stanu gospodarki wodnościekowej na terenie zlewni jeziornych.</w:t>
      </w:r>
    </w:p>
    <w:p w14:paraId="2E079ED3" w14:textId="77777777" w:rsidR="0038501C" w:rsidRPr="003F0E01" w:rsidRDefault="0038501C" w:rsidP="0038501C">
      <w:pPr>
        <w:spacing w:line="276" w:lineRule="auto"/>
        <w:rPr>
          <w:rFonts w:asciiTheme="minorHAnsi" w:hAnsiTheme="minorHAnsi"/>
        </w:rPr>
      </w:pPr>
      <w:r w:rsidRPr="003F0E01">
        <w:rPr>
          <w:rFonts w:asciiTheme="minorHAnsi" w:hAnsiTheme="minorHAnsi"/>
          <w:b/>
        </w:rPr>
        <w:t xml:space="preserve">LWP_08: </w:t>
      </w:r>
      <w:r w:rsidRPr="003F0E01">
        <w:rPr>
          <w:rFonts w:asciiTheme="minorHAnsi" w:hAnsiTheme="minorHAnsi"/>
        </w:rPr>
        <w:t>grupa działań obejmująca wskazanie do weryfikacji programu ochrony środowiska pod kątem poprawy efektywności ograniczania dopływu zanieczyszczeń do jcwp</w:t>
      </w:r>
    </w:p>
    <w:p w14:paraId="7564D7BF" w14:textId="77777777" w:rsidR="0038501C" w:rsidRPr="003F0E01" w:rsidRDefault="0038501C" w:rsidP="0038501C">
      <w:pPr>
        <w:spacing w:line="276" w:lineRule="auto"/>
        <w:rPr>
          <w:rFonts w:asciiTheme="minorHAnsi" w:hAnsiTheme="minorHAnsi"/>
        </w:rPr>
      </w:pPr>
      <w:r w:rsidRPr="003F0E01">
        <w:rPr>
          <w:rFonts w:asciiTheme="minorHAnsi" w:hAnsiTheme="minorHAnsi"/>
          <w:b/>
        </w:rPr>
        <w:t>LWP_09</w:t>
      </w:r>
      <w:r w:rsidRPr="003F0E01">
        <w:rPr>
          <w:rFonts w:asciiTheme="minorHAnsi" w:hAnsiTheme="minorHAnsi"/>
        </w:rPr>
        <w:t xml:space="preserve">: działania </w:t>
      </w:r>
      <w:r w:rsidRPr="00B433E8">
        <w:rPr>
          <w:rFonts w:asciiTheme="minorHAnsi" w:hAnsiTheme="minorHAnsi" w:cstheme="minorHAnsi"/>
        </w:rPr>
        <w:t xml:space="preserve">nastawione na </w:t>
      </w:r>
      <w:r w:rsidRPr="003F0E01">
        <w:rPr>
          <w:rFonts w:asciiTheme="minorHAnsi" w:hAnsiTheme="minorHAnsi"/>
        </w:rPr>
        <w:t>k</w:t>
      </w:r>
      <w:r w:rsidRPr="003F0E01">
        <w:rPr>
          <w:rFonts w:asciiTheme="minorHAnsi" w:hAnsiTheme="minorHAnsi"/>
          <w:color w:val="444444"/>
          <w:shd w:val="clear" w:color="auto" w:fill="FFFFFF"/>
        </w:rPr>
        <w:t xml:space="preserve">ontrole </w:t>
      </w:r>
      <w:r w:rsidRPr="00B433E8">
        <w:rPr>
          <w:rFonts w:asciiTheme="minorHAnsi" w:hAnsiTheme="minorHAnsi" w:cstheme="minorHAnsi"/>
          <w:color w:val="444444"/>
          <w:shd w:val="clear" w:color="auto" w:fill="FFFFFF"/>
        </w:rPr>
        <w:t>gospodarowania wodami</w:t>
      </w:r>
      <w:r w:rsidRPr="003F0E01">
        <w:rPr>
          <w:rFonts w:asciiTheme="minorHAnsi" w:hAnsiTheme="minorHAnsi"/>
          <w:color w:val="444444"/>
          <w:shd w:val="clear" w:color="auto" w:fill="FFFFFF"/>
        </w:rPr>
        <w:t xml:space="preserve"> oraz przeglądy pozwoleń </w:t>
      </w:r>
      <w:r w:rsidRPr="00B433E8">
        <w:rPr>
          <w:rFonts w:asciiTheme="minorHAnsi" w:hAnsiTheme="minorHAnsi" w:cstheme="minorHAnsi"/>
          <w:color w:val="444444"/>
          <w:shd w:val="clear" w:color="auto" w:fill="FFFFFF"/>
        </w:rPr>
        <w:t>wodnoprawnych</w:t>
      </w:r>
      <w:r w:rsidRPr="003F0E01">
        <w:rPr>
          <w:rFonts w:asciiTheme="minorHAnsi" w:hAnsiTheme="minorHAnsi"/>
        </w:rPr>
        <w:t>.</w:t>
      </w:r>
    </w:p>
    <w:p w14:paraId="38B5A516" w14:textId="77777777" w:rsidR="0038501C" w:rsidRPr="003F0E01" w:rsidRDefault="0038501C" w:rsidP="0038501C">
      <w:pPr>
        <w:spacing w:line="276" w:lineRule="auto"/>
        <w:rPr>
          <w:rFonts w:asciiTheme="minorHAnsi" w:hAnsiTheme="minorHAnsi"/>
        </w:rPr>
      </w:pPr>
      <w:r w:rsidRPr="00B433E8">
        <w:rPr>
          <w:rFonts w:asciiTheme="minorHAnsi" w:hAnsiTheme="minorHAnsi" w:cstheme="minorHAnsi"/>
        </w:rPr>
        <w:t xml:space="preserve">Działania z kategorii </w:t>
      </w:r>
      <w:r w:rsidRPr="003F0E01">
        <w:rPr>
          <w:rFonts w:asciiTheme="minorHAnsi" w:hAnsiTheme="minorHAnsi"/>
        </w:rPr>
        <w:t>LWC</w:t>
      </w:r>
      <w:r w:rsidRPr="00B433E8">
        <w:rPr>
          <w:rFonts w:asciiTheme="minorHAnsi" w:hAnsiTheme="minorHAnsi" w:cstheme="minorHAnsi"/>
        </w:rPr>
        <w:t xml:space="preserve"> to</w:t>
      </w:r>
      <w:r w:rsidRPr="003F0E01">
        <w:rPr>
          <w:rFonts w:asciiTheme="minorHAnsi" w:hAnsiTheme="minorHAnsi"/>
        </w:rPr>
        <w:t xml:space="preserve"> działania ukierunkowane na presje skumulowane. Wśród nich wskazano następujące grupy działań:</w:t>
      </w:r>
    </w:p>
    <w:p w14:paraId="2B8B09A5" w14:textId="77777777" w:rsidR="0038501C" w:rsidRPr="003F0E01" w:rsidRDefault="0038501C" w:rsidP="0038501C">
      <w:pPr>
        <w:spacing w:line="276" w:lineRule="auto"/>
        <w:rPr>
          <w:rFonts w:asciiTheme="minorHAnsi" w:hAnsiTheme="minorHAnsi"/>
          <w:b/>
        </w:rPr>
      </w:pPr>
      <w:r w:rsidRPr="003F0E01">
        <w:rPr>
          <w:rFonts w:asciiTheme="minorHAnsi" w:hAnsiTheme="minorHAnsi"/>
          <w:b/>
        </w:rPr>
        <w:t xml:space="preserve">LWC_01: </w:t>
      </w:r>
      <w:r w:rsidRPr="00B433E8">
        <w:rPr>
          <w:rFonts w:asciiTheme="minorHAnsi" w:hAnsiTheme="minorHAnsi" w:cstheme="minorHAnsi"/>
        </w:rPr>
        <w:t>działanie</w:t>
      </w:r>
      <w:r w:rsidRPr="003F0E01">
        <w:rPr>
          <w:rFonts w:asciiTheme="minorHAnsi" w:hAnsiTheme="minorHAnsi"/>
        </w:rPr>
        <w:t xml:space="preserve"> z tej grupy zasługują na szczególną uwagę,</w:t>
      </w:r>
      <w:r w:rsidRPr="003F0E01">
        <w:rPr>
          <w:rFonts w:asciiTheme="minorHAnsi" w:hAnsiTheme="minorHAnsi"/>
          <w:b/>
        </w:rPr>
        <w:t xml:space="preserve"> </w:t>
      </w:r>
      <w:r w:rsidRPr="003F0E01">
        <w:rPr>
          <w:rFonts w:asciiTheme="minorHAnsi" w:hAnsiTheme="minorHAnsi"/>
        </w:rPr>
        <w:t xml:space="preserve">gdyż obejmują działania z zakresu zarówno opracowywania, </w:t>
      </w:r>
      <w:r w:rsidRPr="00B433E8">
        <w:rPr>
          <w:rFonts w:asciiTheme="minorHAnsi" w:hAnsiTheme="minorHAnsi" w:cstheme="minorHAnsi"/>
        </w:rPr>
        <w:t>jak</w:t>
      </w:r>
      <w:r w:rsidRPr="003F0E01">
        <w:rPr>
          <w:rFonts w:asciiTheme="minorHAnsi" w:hAnsiTheme="minorHAnsi"/>
        </w:rPr>
        <w:t xml:space="preserve"> i wdrażana programów rekultywacji jezior. Są to działania, sensu stricte ukierunkowane na osiągnięcie dobrego stanu wód, a ich zakres uzależniony jest od indywidualnych warunków jeziora (jego stanu wyjściowego) i zlewni (presje). Z uwagi za zindywidualizowany charakter rekultywacji każdego jeziora, a także skomplikowanie procesów rekultywacji konieczny jest ich stały monitoring. Monitoring rekultywacji dedykowany działaniom rekultywacyjnym wskazano w grupie </w:t>
      </w:r>
      <w:r w:rsidRPr="003F0E01">
        <w:rPr>
          <w:rFonts w:asciiTheme="minorHAnsi" w:hAnsiTheme="minorHAnsi"/>
          <w:b/>
        </w:rPr>
        <w:t>LWC_12.</w:t>
      </w:r>
    </w:p>
    <w:p w14:paraId="0FFDD1D1" w14:textId="2B233252" w:rsidR="00860BC1" w:rsidRPr="003F0E01" w:rsidRDefault="00860BC1" w:rsidP="0038501C">
      <w:pPr>
        <w:spacing w:line="276" w:lineRule="auto"/>
        <w:rPr>
          <w:rFonts w:asciiTheme="minorHAnsi" w:hAnsiTheme="minorHAnsi"/>
          <w:u w:val="single"/>
        </w:rPr>
      </w:pPr>
      <w:bookmarkStart w:id="392" w:name="_Hlk67374966"/>
      <w:r w:rsidRPr="003F0E01">
        <w:rPr>
          <w:rFonts w:asciiTheme="minorHAnsi" w:hAnsiTheme="minorHAnsi"/>
          <w:b/>
        </w:rPr>
        <w:t>LWC_02:</w:t>
      </w:r>
      <w:r w:rsidRPr="003F0E01">
        <w:rPr>
          <w:rFonts w:asciiTheme="minorHAnsi" w:hAnsiTheme="minorHAnsi"/>
        </w:rPr>
        <w:t xml:space="preserve"> </w:t>
      </w:r>
      <w:r w:rsidR="0038501C" w:rsidRPr="00B433E8">
        <w:rPr>
          <w:rFonts w:asciiTheme="minorHAnsi" w:hAnsiTheme="minorHAnsi" w:cstheme="minorHAnsi"/>
        </w:rPr>
        <w:t>działania</w:t>
      </w:r>
      <w:r w:rsidRPr="003F0E01">
        <w:rPr>
          <w:rFonts w:asciiTheme="minorHAnsi" w:hAnsiTheme="minorHAnsi"/>
        </w:rPr>
        <w:t xml:space="preserve"> związane z opracowaniem i wdrożeniem programów renaturyzacji. Działanie to</w:t>
      </w:r>
      <w:r w:rsidR="00C4673D">
        <w:rPr>
          <w:rFonts w:asciiTheme="minorHAnsi" w:hAnsiTheme="minorHAnsi" w:cstheme="minorHAnsi"/>
        </w:rPr>
        <w:t> </w:t>
      </w:r>
      <w:r w:rsidRPr="003F0E01">
        <w:rPr>
          <w:rFonts w:asciiTheme="minorHAnsi" w:hAnsiTheme="minorHAnsi"/>
        </w:rPr>
        <w:t>ukierunkowane jest na osiągnięcie dobrego stanu elementów hydromorfologicznych, stworzenie odpowiednich warunków siedliskowych dla elementów biologicznych, pośrednio także odtworzenie naturalnych zdolności regeneracyjnych ekosystemu jeziornego</w:t>
      </w:r>
      <w:bookmarkEnd w:id="392"/>
      <w:r w:rsidRPr="003F0E01">
        <w:rPr>
          <w:rFonts w:asciiTheme="minorHAnsi" w:hAnsiTheme="minorHAnsi"/>
          <w:u w:val="single"/>
        </w:rPr>
        <w:t>.</w:t>
      </w:r>
    </w:p>
    <w:p w14:paraId="1766EE5C" w14:textId="77777777" w:rsidR="00860BC1" w:rsidRPr="003F0E01" w:rsidRDefault="00860BC1" w:rsidP="0038501C">
      <w:pPr>
        <w:spacing w:line="276" w:lineRule="auto"/>
        <w:rPr>
          <w:rFonts w:asciiTheme="minorHAnsi" w:hAnsiTheme="minorHAnsi"/>
        </w:rPr>
      </w:pPr>
      <w:r w:rsidRPr="003F0E01">
        <w:rPr>
          <w:rFonts w:asciiTheme="minorHAnsi" w:hAnsiTheme="minorHAnsi"/>
          <w:b/>
        </w:rPr>
        <w:t>LWC_08</w:t>
      </w:r>
      <w:r w:rsidRPr="003F0E01">
        <w:rPr>
          <w:rFonts w:asciiTheme="minorHAnsi" w:hAnsiTheme="minorHAnsi"/>
        </w:rPr>
        <w:t xml:space="preserve"> oraz </w:t>
      </w:r>
      <w:r w:rsidRPr="003F0E01">
        <w:rPr>
          <w:rFonts w:asciiTheme="minorHAnsi" w:hAnsiTheme="minorHAnsi"/>
          <w:b/>
        </w:rPr>
        <w:t>LWC_09:</w:t>
      </w:r>
      <w:r w:rsidRPr="003F0E01">
        <w:rPr>
          <w:rFonts w:asciiTheme="minorHAnsi" w:hAnsiTheme="minorHAnsi"/>
        </w:rPr>
        <w:t xml:space="preserve"> działania dedykowane obszarom chronionym, ukierunkowane na osiągniecie ustanowionych dla nich celów środowiskowych. Grupa LWC_08 to działania wynikające z planów ochrony/planów zadań ochronnych ustanowionych dla obszarów przeznaczonych do ochrony siedlisk lub gatunków, dla których utrzymanie lub poprawa stanu wód jest ważnym czynnikiem ich ochrony.</w:t>
      </w:r>
      <w:r w:rsidR="0038501C" w:rsidRPr="00B433E8">
        <w:rPr>
          <w:rFonts w:asciiTheme="minorHAnsi" w:hAnsiTheme="minorHAnsi" w:cstheme="minorHAnsi"/>
        </w:rPr>
        <w:t xml:space="preserve"> </w:t>
      </w:r>
      <w:r w:rsidR="0038501C" w:rsidRPr="003F0E01">
        <w:rPr>
          <w:rFonts w:asciiTheme="minorHAnsi" w:hAnsiTheme="minorHAnsi"/>
        </w:rPr>
        <w:t>Działania z grupy LWC_09 to działania naprawcze przypisane na podstawie stwierdzonego ryzyka presji w zakresie dopływu zanieczyszczeń, utrzymania naturalnego charakteru jeziora bądź utrzymania wysokiego poziomu wód gruntowych.</w:t>
      </w:r>
    </w:p>
    <w:p w14:paraId="451DE56A" w14:textId="77777777" w:rsidR="0038501C" w:rsidRDefault="0038501C" w:rsidP="0038501C">
      <w:pPr>
        <w:rPr>
          <w:rFonts w:asciiTheme="minorHAnsi" w:hAnsiTheme="minorHAnsi"/>
        </w:rPr>
      </w:pPr>
      <w:r w:rsidRPr="003F0E01">
        <w:rPr>
          <w:rFonts w:asciiTheme="minorHAnsi" w:hAnsiTheme="minorHAnsi"/>
          <w:b/>
        </w:rPr>
        <w:t xml:space="preserve">LWC_11: </w:t>
      </w:r>
      <w:r w:rsidRPr="0038501C">
        <w:rPr>
          <w:rFonts w:asciiTheme="minorHAnsi" w:hAnsiTheme="minorHAnsi"/>
        </w:rPr>
        <w:t>działania kontrolne</w:t>
      </w:r>
      <w:r w:rsidRPr="0038501C">
        <w:rPr>
          <w:rFonts w:asciiTheme="minorHAnsi" w:hAnsiTheme="minorHAnsi" w:cstheme="minorHAnsi"/>
        </w:rPr>
        <w:t xml:space="preserve"> dotyczące stosowania</w:t>
      </w:r>
      <w:r w:rsidRPr="0038501C">
        <w:rPr>
          <w:rFonts w:asciiTheme="minorHAnsi" w:hAnsiTheme="minorHAnsi"/>
        </w:rPr>
        <w:t xml:space="preserve"> programu </w:t>
      </w:r>
      <w:r w:rsidRPr="0038501C">
        <w:rPr>
          <w:rFonts w:asciiTheme="minorHAnsi" w:hAnsiTheme="minorHAnsi" w:cstheme="minorHAnsi"/>
        </w:rPr>
        <w:t>działań mających na celu zmniejszenie zanieczyszczenia wód azotanami pochodzącymi ze źródeł rolniczych</w:t>
      </w:r>
      <w:r w:rsidRPr="0038501C">
        <w:rPr>
          <w:rFonts w:asciiTheme="minorHAnsi" w:hAnsiTheme="minorHAnsi"/>
        </w:rPr>
        <w:t xml:space="preserve"> oraz </w:t>
      </w:r>
      <w:r w:rsidRPr="0038501C">
        <w:rPr>
          <w:rFonts w:asciiTheme="minorHAnsi" w:hAnsiTheme="minorHAnsi" w:cstheme="minorHAnsi"/>
        </w:rPr>
        <w:t>zapobieganie dalszemu zanieczyszczeniu przez podmioty prowadzące produkcję rolną i działalność.</w:t>
      </w:r>
      <w:r w:rsidRPr="0038501C">
        <w:rPr>
          <w:rFonts w:asciiTheme="minorHAnsi" w:hAnsiTheme="minorHAnsi"/>
        </w:rPr>
        <w:t xml:space="preserve"> </w:t>
      </w:r>
    </w:p>
    <w:p w14:paraId="385E698B" w14:textId="695A37DC" w:rsidR="00860BC1" w:rsidRPr="00536830" w:rsidRDefault="00860BC1" w:rsidP="00860BC1">
      <w:r w:rsidRPr="00536830">
        <w:t xml:space="preserve">Katalog działań jcwp LW stanowi załącznik </w:t>
      </w:r>
      <w:r w:rsidRPr="006802BB">
        <w:t xml:space="preserve">nr </w:t>
      </w:r>
      <w:r w:rsidR="009E1FEB">
        <w:t>7</w:t>
      </w:r>
      <w:r w:rsidRPr="006802BB">
        <w:t>.2 (Katalog działań dla poszczególnych kategorii wód).</w:t>
      </w:r>
    </w:p>
    <w:p w14:paraId="1903D1FD" w14:textId="77777777" w:rsidR="00860BC1" w:rsidRPr="002D6624" w:rsidRDefault="00860BC1" w:rsidP="00B50FFD">
      <w:pPr>
        <w:pStyle w:val="Nagwek3"/>
      </w:pPr>
      <w:bookmarkStart w:id="393" w:name="_Toc68726898"/>
      <w:r>
        <w:t>Katalog działań jcwpd (GW)</w:t>
      </w:r>
      <w:bookmarkEnd w:id="393"/>
    </w:p>
    <w:p w14:paraId="1BB040F6" w14:textId="77777777" w:rsidR="00B66B99" w:rsidRPr="00B433E8" w:rsidRDefault="00B66B99" w:rsidP="00B66B99">
      <w:pPr>
        <w:spacing w:line="276" w:lineRule="auto"/>
        <w:rPr>
          <w:rFonts w:asciiTheme="minorHAnsi" w:hAnsiTheme="minorHAnsi" w:cstheme="minorHAnsi"/>
        </w:rPr>
      </w:pPr>
      <w:r w:rsidRPr="000075D6">
        <w:rPr>
          <w:rFonts w:asciiTheme="minorHAnsi" w:hAnsiTheme="minorHAnsi"/>
        </w:rPr>
        <w:t xml:space="preserve">Katalog dla jcwpd </w:t>
      </w:r>
      <w:r w:rsidRPr="00B433E8">
        <w:rPr>
          <w:rFonts w:asciiTheme="minorHAnsi" w:hAnsiTheme="minorHAnsi" w:cstheme="minorHAnsi"/>
        </w:rPr>
        <w:t xml:space="preserve">(GW) </w:t>
      </w:r>
      <w:r w:rsidRPr="000075D6">
        <w:rPr>
          <w:rFonts w:asciiTheme="minorHAnsi" w:hAnsiTheme="minorHAnsi"/>
        </w:rPr>
        <w:t xml:space="preserve">zbudowany został na bazie zebranych w grupy działań </w:t>
      </w:r>
      <w:r w:rsidRPr="00B433E8">
        <w:rPr>
          <w:rFonts w:asciiTheme="minorHAnsi" w:hAnsiTheme="minorHAnsi" w:cstheme="minorHAnsi"/>
        </w:rPr>
        <w:t>umożliwiających</w:t>
      </w:r>
      <w:r w:rsidRPr="000075D6">
        <w:rPr>
          <w:rFonts w:asciiTheme="minorHAnsi" w:hAnsiTheme="minorHAnsi"/>
        </w:rPr>
        <w:t xml:space="preserve"> redukcję wpływu presji zidentyfikowanych w ramach </w:t>
      </w:r>
      <w:r w:rsidRPr="00B433E8">
        <w:rPr>
          <w:rFonts w:asciiTheme="minorHAnsi" w:hAnsiTheme="minorHAnsi" w:cstheme="minorHAnsi"/>
        </w:rPr>
        <w:t>opracowania</w:t>
      </w:r>
      <w:r w:rsidRPr="000075D6">
        <w:rPr>
          <w:rFonts w:asciiTheme="minorHAnsi" w:hAnsiTheme="minorHAnsi"/>
        </w:rPr>
        <w:t xml:space="preserve"> </w:t>
      </w:r>
      <w:r w:rsidRPr="000075D6">
        <w:rPr>
          <w:rFonts w:asciiTheme="minorHAnsi" w:hAnsiTheme="minorHAnsi"/>
          <w:i/>
        </w:rPr>
        <w:t xml:space="preserve">Dalsza charakterystyka jcwpd </w:t>
      </w:r>
      <w:r w:rsidRPr="00B433E8">
        <w:rPr>
          <w:rFonts w:asciiTheme="minorHAnsi" w:hAnsiTheme="minorHAnsi" w:cstheme="minorHAnsi"/>
          <w:i/>
        </w:rPr>
        <w:t>(…)</w:t>
      </w:r>
      <w:r w:rsidRPr="00B433E8">
        <w:rPr>
          <w:rFonts w:asciiTheme="minorHAnsi" w:hAnsiTheme="minorHAnsi" w:cstheme="minorHAnsi"/>
        </w:rPr>
        <w:t>.</w:t>
      </w:r>
    </w:p>
    <w:p w14:paraId="53B8CB86" w14:textId="5B334AE1" w:rsidR="00B66B99" w:rsidRPr="000075D6" w:rsidRDefault="00B66B99" w:rsidP="00B66B99">
      <w:pPr>
        <w:spacing w:line="276" w:lineRule="auto"/>
        <w:rPr>
          <w:rFonts w:asciiTheme="minorHAnsi" w:hAnsiTheme="minorHAnsi"/>
        </w:rPr>
      </w:pPr>
      <w:r w:rsidRPr="00B433E8">
        <w:rPr>
          <w:rFonts w:asciiTheme="minorHAnsi" w:hAnsiTheme="minorHAnsi" w:cstheme="minorHAnsi"/>
        </w:rPr>
        <w:t xml:space="preserve">Katalog działań dla jcwpd </w:t>
      </w:r>
      <w:r w:rsidRPr="000075D6">
        <w:rPr>
          <w:rFonts w:asciiTheme="minorHAnsi" w:hAnsiTheme="minorHAnsi"/>
        </w:rPr>
        <w:t xml:space="preserve">(GW) obejmuje </w:t>
      </w:r>
      <w:r w:rsidRPr="00B433E8">
        <w:rPr>
          <w:rFonts w:asciiTheme="minorHAnsi" w:hAnsiTheme="minorHAnsi" w:cstheme="minorHAnsi"/>
        </w:rPr>
        <w:t>40</w:t>
      </w:r>
      <w:r w:rsidRPr="000075D6">
        <w:rPr>
          <w:rFonts w:asciiTheme="minorHAnsi" w:hAnsiTheme="minorHAnsi"/>
        </w:rPr>
        <w:t xml:space="preserve"> działań, w tym </w:t>
      </w:r>
      <w:r w:rsidRPr="00B433E8">
        <w:rPr>
          <w:rFonts w:asciiTheme="minorHAnsi" w:hAnsiTheme="minorHAnsi" w:cstheme="minorHAnsi"/>
        </w:rPr>
        <w:t>37</w:t>
      </w:r>
      <w:r w:rsidRPr="000075D6">
        <w:rPr>
          <w:rFonts w:asciiTheme="minorHAnsi" w:hAnsiTheme="minorHAnsi"/>
        </w:rPr>
        <w:t xml:space="preserve"> nowych działań oraz 3 działania kontynuowane z aPGW, które zgrupowano w </w:t>
      </w:r>
      <w:r w:rsidRPr="00B433E8">
        <w:rPr>
          <w:rFonts w:asciiTheme="minorHAnsi" w:hAnsiTheme="minorHAnsi" w:cstheme="minorHAnsi"/>
        </w:rPr>
        <w:t xml:space="preserve">pięciu </w:t>
      </w:r>
      <w:r w:rsidRPr="000075D6">
        <w:rPr>
          <w:rFonts w:asciiTheme="minorHAnsi" w:hAnsiTheme="minorHAnsi"/>
        </w:rPr>
        <w:t>kategoriach</w:t>
      </w:r>
      <w:r w:rsidRPr="00B433E8">
        <w:rPr>
          <w:rFonts w:asciiTheme="minorHAnsi" w:hAnsiTheme="minorHAnsi" w:cstheme="minorHAnsi"/>
        </w:rPr>
        <w:t>,</w:t>
      </w:r>
      <w:r w:rsidRPr="000075D6">
        <w:rPr>
          <w:rFonts w:asciiTheme="minorHAnsi" w:hAnsiTheme="minorHAnsi"/>
        </w:rPr>
        <w:t xml:space="preserve"> odnoszących się do sektorów gospodarki mających wpływ na stan jcwpd, co jest powiązane także z rodzajem presji</w:t>
      </w:r>
      <w:r w:rsidRPr="00B433E8">
        <w:rPr>
          <w:rFonts w:asciiTheme="minorHAnsi" w:hAnsiTheme="minorHAnsi" w:cstheme="minorHAnsi"/>
        </w:rPr>
        <w:t xml:space="preserve"> (wykres </w:t>
      </w:r>
      <w:r>
        <w:rPr>
          <w:rFonts w:asciiTheme="minorHAnsi" w:hAnsiTheme="minorHAnsi" w:cstheme="minorHAnsi"/>
        </w:rPr>
        <w:t>12</w:t>
      </w:r>
      <w:r w:rsidRPr="00B433E8">
        <w:rPr>
          <w:rFonts w:asciiTheme="minorHAnsi" w:hAnsiTheme="minorHAnsi" w:cstheme="minorHAnsi"/>
        </w:rPr>
        <w:t>-1</w:t>
      </w:r>
      <w:r w:rsidR="00590F97">
        <w:rPr>
          <w:rFonts w:asciiTheme="minorHAnsi" w:hAnsiTheme="minorHAnsi" w:cstheme="minorHAnsi"/>
        </w:rPr>
        <w:t>0</w:t>
      </w:r>
      <w:r w:rsidRPr="00B433E8">
        <w:rPr>
          <w:rFonts w:asciiTheme="minorHAnsi" w:hAnsiTheme="minorHAnsi" w:cstheme="minorHAnsi"/>
        </w:rPr>
        <w:t xml:space="preserve">): </w:t>
      </w:r>
    </w:p>
    <w:p w14:paraId="7364A952" w14:textId="77777777" w:rsidR="00860BC1" w:rsidRPr="000075D6" w:rsidRDefault="00860BC1" w:rsidP="00AA3506">
      <w:pPr>
        <w:pStyle w:val="Listapunktowana1"/>
        <w:numPr>
          <w:ilvl w:val="0"/>
          <w:numId w:val="137"/>
        </w:numPr>
        <w:spacing w:line="276" w:lineRule="auto"/>
        <w:ind w:left="426" w:hanging="284"/>
        <w:rPr>
          <w:rFonts w:asciiTheme="minorHAnsi" w:hAnsiTheme="minorHAnsi"/>
        </w:rPr>
      </w:pPr>
      <w:r w:rsidRPr="000075D6">
        <w:rPr>
          <w:rFonts w:asciiTheme="minorHAnsi" w:hAnsiTheme="minorHAnsi"/>
        </w:rPr>
        <w:t>gospodarka komunalna,</w:t>
      </w:r>
    </w:p>
    <w:p w14:paraId="77C0A03A" w14:textId="77777777" w:rsidR="00860BC1" w:rsidRPr="000075D6" w:rsidRDefault="00860BC1" w:rsidP="00AA3506">
      <w:pPr>
        <w:pStyle w:val="Listapunktowana1"/>
        <w:numPr>
          <w:ilvl w:val="0"/>
          <w:numId w:val="137"/>
        </w:numPr>
        <w:spacing w:line="276" w:lineRule="auto"/>
        <w:ind w:left="426" w:hanging="284"/>
        <w:rPr>
          <w:rFonts w:asciiTheme="minorHAnsi" w:hAnsiTheme="minorHAnsi"/>
        </w:rPr>
      </w:pPr>
      <w:r w:rsidRPr="000075D6">
        <w:rPr>
          <w:rFonts w:asciiTheme="minorHAnsi" w:hAnsiTheme="minorHAnsi"/>
        </w:rPr>
        <w:t>leśnictwo,</w:t>
      </w:r>
    </w:p>
    <w:p w14:paraId="33CFD193" w14:textId="77777777" w:rsidR="00860BC1" w:rsidRPr="000075D6" w:rsidRDefault="00860BC1" w:rsidP="00AA3506">
      <w:pPr>
        <w:pStyle w:val="Listapunktowana1"/>
        <w:numPr>
          <w:ilvl w:val="0"/>
          <w:numId w:val="137"/>
        </w:numPr>
        <w:spacing w:line="276" w:lineRule="auto"/>
        <w:ind w:left="426" w:hanging="284"/>
        <w:rPr>
          <w:rFonts w:asciiTheme="minorHAnsi" w:hAnsiTheme="minorHAnsi"/>
        </w:rPr>
      </w:pPr>
      <w:r w:rsidRPr="000075D6">
        <w:rPr>
          <w:rFonts w:asciiTheme="minorHAnsi" w:hAnsiTheme="minorHAnsi"/>
        </w:rPr>
        <w:t>przemysł,</w:t>
      </w:r>
    </w:p>
    <w:p w14:paraId="46A7BBA9" w14:textId="77777777" w:rsidR="00860BC1" w:rsidRPr="000075D6" w:rsidRDefault="00860BC1" w:rsidP="00AA3506">
      <w:pPr>
        <w:pStyle w:val="Listapunktowana1"/>
        <w:numPr>
          <w:ilvl w:val="0"/>
          <w:numId w:val="137"/>
        </w:numPr>
        <w:spacing w:line="276" w:lineRule="auto"/>
        <w:ind w:left="426" w:hanging="284"/>
        <w:rPr>
          <w:rFonts w:asciiTheme="minorHAnsi" w:hAnsiTheme="minorHAnsi"/>
        </w:rPr>
      </w:pPr>
      <w:r w:rsidRPr="000075D6">
        <w:rPr>
          <w:rFonts w:asciiTheme="minorHAnsi" w:hAnsiTheme="minorHAnsi"/>
        </w:rPr>
        <w:t>rolnictwo,</w:t>
      </w:r>
    </w:p>
    <w:p w14:paraId="2BD71245" w14:textId="77777777" w:rsidR="00860BC1" w:rsidRPr="000075D6" w:rsidRDefault="00860BC1" w:rsidP="00AA3506">
      <w:pPr>
        <w:pStyle w:val="Listapunktowana1"/>
        <w:numPr>
          <w:ilvl w:val="0"/>
          <w:numId w:val="137"/>
        </w:numPr>
        <w:spacing w:line="276" w:lineRule="auto"/>
        <w:ind w:left="426" w:hanging="284"/>
        <w:rPr>
          <w:rFonts w:asciiTheme="minorHAnsi" w:hAnsiTheme="minorHAnsi"/>
        </w:rPr>
      </w:pPr>
      <w:r w:rsidRPr="000075D6">
        <w:rPr>
          <w:rFonts w:asciiTheme="minorHAnsi" w:hAnsiTheme="minorHAnsi"/>
        </w:rPr>
        <w:t>inne.</w:t>
      </w:r>
    </w:p>
    <w:p w14:paraId="74E4ACAB" w14:textId="55732916" w:rsidR="00B66B99" w:rsidRPr="000075D6" w:rsidRDefault="00B66B99" w:rsidP="00B66B99">
      <w:pPr>
        <w:spacing w:line="276" w:lineRule="auto"/>
        <w:rPr>
          <w:rFonts w:asciiTheme="minorHAnsi" w:hAnsiTheme="minorHAnsi"/>
        </w:rPr>
      </w:pPr>
      <w:r w:rsidRPr="00B433E8">
        <w:rPr>
          <w:rFonts w:asciiTheme="minorHAnsi" w:hAnsiTheme="minorHAnsi" w:cstheme="minorHAnsi"/>
        </w:rPr>
        <w:t>Największa liczba</w:t>
      </w:r>
      <w:r w:rsidRPr="000075D6">
        <w:rPr>
          <w:rFonts w:asciiTheme="minorHAnsi" w:hAnsiTheme="minorHAnsi"/>
        </w:rPr>
        <w:t xml:space="preserve"> działań </w:t>
      </w:r>
      <w:r w:rsidRPr="00B433E8">
        <w:rPr>
          <w:rFonts w:asciiTheme="minorHAnsi" w:hAnsiTheme="minorHAnsi" w:cstheme="minorHAnsi"/>
        </w:rPr>
        <w:t>została ustalona w kategorii</w:t>
      </w:r>
      <w:r w:rsidRPr="000075D6">
        <w:rPr>
          <w:rFonts w:asciiTheme="minorHAnsi" w:hAnsiTheme="minorHAnsi"/>
        </w:rPr>
        <w:t xml:space="preserve"> gospodarka komunalna (</w:t>
      </w:r>
      <w:r w:rsidRPr="00B433E8">
        <w:rPr>
          <w:rFonts w:asciiTheme="minorHAnsi" w:hAnsiTheme="minorHAnsi" w:cstheme="minorHAnsi"/>
        </w:rPr>
        <w:t xml:space="preserve">41,46 </w:t>
      </w:r>
      <w:r w:rsidRPr="000075D6">
        <w:rPr>
          <w:rFonts w:asciiTheme="minorHAnsi" w:hAnsiTheme="minorHAnsi"/>
        </w:rPr>
        <w:t xml:space="preserve">% wszystkich działań w katalogu), </w:t>
      </w:r>
      <w:r w:rsidRPr="00B433E8">
        <w:rPr>
          <w:rFonts w:asciiTheme="minorHAnsi" w:hAnsiTheme="minorHAnsi" w:cstheme="minorHAnsi"/>
        </w:rPr>
        <w:t>zaś najmniejsza w obszarze</w:t>
      </w:r>
      <w:r w:rsidRPr="000075D6">
        <w:rPr>
          <w:rFonts w:asciiTheme="minorHAnsi" w:hAnsiTheme="minorHAnsi"/>
        </w:rPr>
        <w:t xml:space="preserve"> leśnictwo</w:t>
      </w:r>
      <w:r w:rsidRPr="00B433E8">
        <w:rPr>
          <w:rFonts w:asciiTheme="minorHAnsi" w:hAnsiTheme="minorHAnsi" w:cstheme="minorHAnsi"/>
        </w:rPr>
        <w:t xml:space="preserve"> (2,44%)</w:t>
      </w:r>
      <w:r w:rsidR="00FF524A">
        <w:rPr>
          <w:rFonts w:asciiTheme="minorHAnsi" w:hAnsiTheme="minorHAnsi" w:cstheme="minorHAnsi"/>
        </w:rPr>
        <w:t xml:space="preserve"> </w:t>
      </w:r>
      <w:r w:rsidR="006C4947">
        <w:rPr>
          <w:rFonts w:asciiTheme="minorHAnsi" w:hAnsiTheme="minorHAnsi" w:cstheme="minorHAnsi"/>
        </w:rPr>
        <w:t>-</w:t>
      </w:r>
      <w:r w:rsidR="00FF524A">
        <w:rPr>
          <w:rFonts w:asciiTheme="minorHAnsi" w:hAnsiTheme="minorHAnsi" w:cstheme="minorHAnsi"/>
        </w:rPr>
        <w:t xml:space="preserve"> wykres</w:t>
      </w:r>
      <w:r w:rsidR="00121CD7">
        <w:rPr>
          <w:rFonts w:asciiTheme="minorHAnsi" w:hAnsiTheme="minorHAnsi" w:cstheme="minorHAnsi"/>
        </w:rPr>
        <w:t xml:space="preserve"> 12-10, (dane prezentowane w zaokrągleniu).</w:t>
      </w:r>
    </w:p>
    <w:p w14:paraId="6035351C" w14:textId="06DA851D" w:rsidR="00860BC1" w:rsidRDefault="00CF0E84" w:rsidP="00860BC1">
      <w:pPr>
        <w:jc w:val="center"/>
      </w:pPr>
      <w:r w:rsidRPr="00DB2311">
        <w:rPr>
          <w:noProof/>
        </w:rPr>
        <w:drawing>
          <wp:inline distT="0" distB="0" distL="0" distR="0" wp14:anchorId="08314FE7" wp14:editId="01CB9A49">
            <wp:extent cx="5759450" cy="2760453"/>
            <wp:effectExtent l="0" t="0" r="12700" b="1905"/>
            <wp:docPr id="1866059333" name="Wykres 1866059333">
              <a:extLst xmlns:a="http://schemas.openxmlformats.org/drawingml/2006/main">
                <a:ext uri="{FF2B5EF4-FFF2-40B4-BE49-F238E27FC236}">
                  <a16:creationId xmlns:a16="http://schemas.microsoft.com/office/drawing/2014/main" id="{BCA87878-A376-48F3-9A61-DFD9BDE1A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44358FF" w14:textId="0FFA364C" w:rsidR="00860BC1" w:rsidRDefault="00860BC1" w:rsidP="006802BB">
      <w:pPr>
        <w:pStyle w:val="Wykres"/>
      </w:pPr>
      <w:bookmarkStart w:id="394" w:name="_Toc68727125"/>
      <w:r>
        <w:t xml:space="preserve">Wykres </w:t>
      </w:r>
      <w:fldSimple w:instr=" STYLEREF 1 \s ">
        <w:r w:rsidR="00EF3FD3">
          <w:rPr>
            <w:noProof/>
          </w:rPr>
          <w:t>12</w:t>
        </w:r>
      </w:fldSimple>
      <w:r w:rsidR="00EF3FD3">
        <w:noBreakHyphen/>
      </w:r>
      <w:fldSimple w:instr=" SEQ Wykres \* ARABIC \s 1 ">
        <w:r w:rsidR="00DD7EA4">
          <w:rPr>
            <w:noProof/>
          </w:rPr>
          <w:t>10</w:t>
        </w:r>
      </w:fldSimple>
      <w:r>
        <w:tab/>
      </w:r>
      <w:r w:rsidRPr="009F7ED6">
        <w:t xml:space="preserve">Udział </w:t>
      </w:r>
      <w:r>
        <w:t>działań w poszczególnych kategoriach katalogu działań jcwpd (GW)</w:t>
      </w:r>
      <w:bookmarkEnd w:id="394"/>
    </w:p>
    <w:p w14:paraId="56BA2912" w14:textId="77777777" w:rsidR="00860BC1" w:rsidRPr="00DF022F" w:rsidRDefault="00860BC1" w:rsidP="00860BC1">
      <w:pPr>
        <w:suppressAutoHyphens/>
        <w:spacing w:line="276" w:lineRule="auto"/>
        <w:jc w:val="right"/>
        <w:rPr>
          <w:rFonts w:cs="Calibri"/>
          <w:i/>
          <w:iCs/>
          <w:color w:val="003399"/>
          <w:sz w:val="20"/>
          <w:szCs w:val="20"/>
        </w:rPr>
      </w:pPr>
      <w:r w:rsidRPr="00DF022F">
        <w:rPr>
          <w:rFonts w:cs="Calibri"/>
          <w:i/>
          <w:iCs/>
          <w:color w:val="003399"/>
          <w:sz w:val="20"/>
          <w:szCs w:val="20"/>
        </w:rPr>
        <w:t>Źródło: opracowanie własne</w:t>
      </w:r>
    </w:p>
    <w:p w14:paraId="1A1551E7" w14:textId="3A6438DE" w:rsidR="00217145" w:rsidRPr="000075D6" w:rsidRDefault="00217145" w:rsidP="00121D71">
      <w:pPr>
        <w:rPr>
          <w:rFonts w:asciiTheme="minorHAnsi" w:hAnsiTheme="minorHAnsi"/>
        </w:rPr>
      </w:pPr>
      <w:r w:rsidRPr="000075D6">
        <w:rPr>
          <w:rFonts w:asciiTheme="minorHAnsi" w:hAnsiTheme="minorHAnsi"/>
        </w:rPr>
        <w:t>W katalogu wydzielono 10 działań podstawowych</w:t>
      </w:r>
      <w:r w:rsidRPr="00B433E8">
        <w:rPr>
          <w:rFonts w:asciiTheme="minorHAnsi" w:hAnsiTheme="minorHAnsi" w:cstheme="minorHAnsi"/>
        </w:rPr>
        <w:t xml:space="preserve"> (25%),</w:t>
      </w:r>
      <w:r w:rsidRPr="000075D6">
        <w:rPr>
          <w:rFonts w:asciiTheme="minorHAnsi" w:hAnsiTheme="minorHAnsi"/>
        </w:rPr>
        <w:t xml:space="preserve"> przypisanych do wszystkich jcwpd na</w:t>
      </w:r>
      <w:r w:rsidRPr="00B433E8">
        <w:rPr>
          <w:rFonts w:asciiTheme="minorHAnsi" w:hAnsiTheme="minorHAnsi" w:cstheme="minorHAnsi"/>
        </w:rPr>
        <w:t xml:space="preserve"> </w:t>
      </w:r>
      <w:r w:rsidRPr="000075D6">
        <w:rPr>
          <w:rFonts w:asciiTheme="minorHAnsi" w:hAnsiTheme="minorHAnsi"/>
        </w:rPr>
        <w:t xml:space="preserve">obszarze kraju oraz </w:t>
      </w:r>
      <w:r w:rsidRPr="00B433E8">
        <w:rPr>
          <w:rFonts w:asciiTheme="minorHAnsi" w:hAnsiTheme="minorHAnsi" w:cstheme="minorHAnsi"/>
        </w:rPr>
        <w:t>30</w:t>
      </w:r>
      <w:r w:rsidRPr="000075D6">
        <w:rPr>
          <w:rFonts w:asciiTheme="minorHAnsi" w:hAnsiTheme="minorHAnsi"/>
        </w:rPr>
        <w:t xml:space="preserve"> działań uzupełniających</w:t>
      </w:r>
      <w:r w:rsidRPr="00B433E8">
        <w:rPr>
          <w:rFonts w:asciiTheme="minorHAnsi" w:hAnsiTheme="minorHAnsi" w:cstheme="minorHAnsi"/>
        </w:rPr>
        <w:t xml:space="preserve"> (75%),</w:t>
      </w:r>
      <w:r w:rsidRPr="000075D6">
        <w:rPr>
          <w:rFonts w:asciiTheme="minorHAnsi" w:hAnsiTheme="minorHAnsi"/>
        </w:rPr>
        <w:t xml:space="preserve"> przypisywanych do jcwpd, w których osiągnięcie ustalonego celu środowiskowego jest zagrożone w zależności od przyczyny stanu słabego bądź zagrożenia (wykres </w:t>
      </w:r>
      <w:r>
        <w:rPr>
          <w:rFonts w:asciiTheme="minorHAnsi" w:hAnsiTheme="minorHAnsi" w:cstheme="minorHAnsi"/>
        </w:rPr>
        <w:t>12</w:t>
      </w:r>
      <w:r w:rsidRPr="00B433E8">
        <w:rPr>
          <w:rFonts w:asciiTheme="minorHAnsi" w:hAnsiTheme="minorHAnsi" w:cstheme="minorHAnsi"/>
        </w:rPr>
        <w:t>-1</w:t>
      </w:r>
      <w:r>
        <w:rPr>
          <w:rFonts w:asciiTheme="minorHAnsi" w:hAnsiTheme="minorHAnsi" w:cstheme="minorHAnsi"/>
        </w:rPr>
        <w:t>1</w:t>
      </w:r>
      <w:r w:rsidRPr="000075D6">
        <w:rPr>
          <w:rFonts w:asciiTheme="minorHAnsi" w:hAnsiTheme="minorHAnsi"/>
        </w:rPr>
        <w:t xml:space="preserve">). W uzasadnionych przypadkach działania uzupełniające były także przypisywane </w:t>
      </w:r>
      <w:r w:rsidRPr="00B433E8">
        <w:rPr>
          <w:rFonts w:asciiTheme="minorHAnsi" w:hAnsiTheme="minorHAnsi" w:cstheme="minorHAnsi"/>
        </w:rPr>
        <w:t>do </w:t>
      </w:r>
      <w:r w:rsidRPr="000075D6">
        <w:rPr>
          <w:rFonts w:asciiTheme="minorHAnsi" w:hAnsiTheme="minorHAnsi"/>
        </w:rPr>
        <w:t xml:space="preserve">jcwpd, w których </w:t>
      </w:r>
      <w:r w:rsidRPr="00B433E8">
        <w:rPr>
          <w:rFonts w:asciiTheme="minorHAnsi" w:hAnsiTheme="minorHAnsi" w:cstheme="minorHAnsi"/>
        </w:rPr>
        <w:t>osiągniecie</w:t>
      </w:r>
      <w:r w:rsidRPr="000075D6">
        <w:rPr>
          <w:rFonts w:asciiTheme="minorHAnsi" w:hAnsiTheme="minorHAnsi"/>
        </w:rPr>
        <w:t xml:space="preserve"> celu środowiskowego nie jest zagrożone.</w:t>
      </w:r>
      <w:r w:rsidRPr="00B433E8">
        <w:rPr>
          <w:rFonts w:asciiTheme="minorHAnsi" w:hAnsiTheme="minorHAnsi" w:cstheme="minorHAnsi"/>
        </w:rPr>
        <w:t xml:space="preserve"> Spośród wszystkich działań w katalogu 6 zostało zakwalifikowanych jako działania ciągłe z uwagi na harmonogram ich realizacji. Pozostałym został wskazany rok, do którego powinno nastąpić wdrożenie działania.</w:t>
      </w:r>
    </w:p>
    <w:p w14:paraId="3EC669E3" w14:textId="51468D5E" w:rsidR="00860BC1" w:rsidRPr="002D6624" w:rsidRDefault="00860BC1" w:rsidP="00860BC1"/>
    <w:p w14:paraId="6C996D2B" w14:textId="28C24313" w:rsidR="006802BB" w:rsidRDefault="00BD46EE" w:rsidP="006802BB">
      <w:pPr>
        <w:keepNext/>
        <w:jc w:val="center"/>
      </w:pPr>
      <w:r>
        <w:rPr>
          <w:noProof/>
        </w:rPr>
        <w:drawing>
          <wp:inline distT="0" distB="0" distL="0" distR="0" wp14:anchorId="62AD1333" wp14:editId="24C6690A">
            <wp:extent cx="4584700" cy="2508250"/>
            <wp:effectExtent l="0" t="0" r="6350" b="6350"/>
            <wp:docPr id="11" name="Wykres 11">
              <a:extLst xmlns:a="http://schemas.openxmlformats.org/drawingml/2006/main">
                <a:ext uri="{FF2B5EF4-FFF2-40B4-BE49-F238E27FC236}">
                  <a16:creationId xmlns:a16="http://schemas.microsoft.com/office/drawing/2014/main" id="{7B1ECC8D-6185-490E-A73B-4510E645D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CD8F4D7" w14:textId="58489DDF" w:rsidR="00860BC1" w:rsidRDefault="006802BB" w:rsidP="006802BB">
      <w:pPr>
        <w:pStyle w:val="Legenda"/>
      </w:pPr>
      <w:bookmarkStart w:id="395" w:name="_Hlk67459011"/>
      <w:bookmarkStart w:id="396" w:name="_Toc68727126"/>
      <w:r>
        <w:t xml:space="preserve">Wykres </w:t>
      </w:r>
      <w:fldSimple w:instr=" STYLEREF 1 \s ">
        <w:r w:rsidR="00C4673D">
          <w:rPr>
            <w:noProof/>
          </w:rPr>
          <w:t>12</w:t>
        </w:r>
      </w:fldSimple>
      <w:r w:rsidR="00EF3FD3">
        <w:noBreakHyphen/>
      </w:r>
      <w:fldSimple w:instr=" SEQ Wykres \* ARABIC \s 1 ">
        <w:r w:rsidR="00C4673D">
          <w:rPr>
            <w:noProof/>
          </w:rPr>
          <w:t>11</w:t>
        </w:r>
      </w:fldSimple>
      <w:r w:rsidR="004270D5">
        <w:tab/>
      </w:r>
      <w:r w:rsidRPr="00B9327D">
        <w:t>Udział działań podstawowych oraz uzupełniających w katalogu działań jcwpd (GW)</w:t>
      </w:r>
      <w:bookmarkEnd w:id="396"/>
    </w:p>
    <w:bookmarkEnd w:id="395"/>
    <w:p w14:paraId="4DC4E638" w14:textId="77777777" w:rsidR="00860BC1" w:rsidRPr="002D6624" w:rsidRDefault="00860BC1" w:rsidP="00860BC1">
      <w:pPr>
        <w:pStyle w:val="rdo0"/>
      </w:pPr>
      <w:r w:rsidRPr="002D6624">
        <w:t xml:space="preserve">Źródło: opracowanie </w:t>
      </w:r>
      <w:r>
        <w:t>własne</w:t>
      </w:r>
    </w:p>
    <w:p w14:paraId="15C0C4FE" w14:textId="09F9BBA4" w:rsidR="00860BC1" w:rsidRPr="002D6624" w:rsidRDefault="00860BC1" w:rsidP="00860BC1">
      <w:r w:rsidRPr="000075D6">
        <w:rPr>
          <w:rFonts w:asciiTheme="minorHAnsi" w:hAnsiTheme="minorHAnsi"/>
        </w:rPr>
        <w:t xml:space="preserve">Działania </w:t>
      </w:r>
      <w:r w:rsidR="00800698" w:rsidRPr="00B433E8">
        <w:rPr>
          <w:rFonts w:asciiTheme="minorHAnsi" w:hAnsiTheme="minorHAnsi" w:cstheme="minorHAnsi"/>
        </w:rPr>
        <w:t xml:space="preserve">w katalogu dla jcwpd (GW) </w:t>
      </w:r>
      <w:r w:rsidRPr="000075D6">
        <w:rPr>
          <w:rFonts w:asciiTheme="minorHAnsi" w:hAnsiTheme="minorHAnsi"/>
        </w:rPr>
        <w:t>zostały przypisane do sześciu grup wydzielonych ze względu na</w:t>
      </w:r>
      <w:r w:rsidR="00800698" w:rsidRPr="00B433E8">
        <w:rPr>
          <w:rFonts w:asciiTheme="minorHAnsi" w:hAnsiTheme="minorHAnsi" w:cstheme="minorHAnsi"/>
        </w:rPr>
        <w:t> </w:t>
      </w:r>
      <w:r w:rsidRPr="000075D6">
        <w:rPr>
          <w:rFonts w:asciiTheme="minorHAnsi" w:hAnsiTheme="minorHAnsi"/>
        </w:rPr>
        <w:t xml:space="preserve">rodzaj działania (wykres </w:t>
      </w:r>
      <w:r>
        <w:rPr>
          <w:rFonts w:asciiTheme="minorHAnsi" w:hAnsiTheme="minorHAnsi" w:cstheme="minorHAnsi"/>
        </w:rPr>
        <w:t>12-</w:t>
      </w:r>
      <w:r w:rsidR="00800698" w:rsidRPr="00B433E8">
        <w:rPr>
          <w:rFonts w:asciiTheme="minorHAnsi" w:hAnsiTheme="minorHAnsi" w:cstheme="minorHAnsi"/>
        </w:rPr>
        <w:t>1</w:t>
      </w:r>
      <w:r w:rsidR="00800698">
        <w:rPr>
          <w:rFonts w:asciiTheme="minorHAnsi" w:hAnsiTheme="minorHAnsi" w:cstheme="minorHAnsi"/>
        </w:rPr>
        <w:t>2</w:t>
      </w:r>
      <w:r w:rsidRPr="000075D6">
        <w:rPr>
          <w:rFonts w:asciiTheme="minorHAnsi" w:hAnsiTheme="minorHAnsi"/>
        </w:rPr>
        <w:t>). Najwięcej działań jest związanych z grupą pozostałe</w:t>
      </w:r>
      <w:r w:rsidRPr="00B433E8">
        <w:rPr>
          <w:rFonts w:asciiTheme="minorHAnsi" w:hAnsiTheme="minorHAnsi" w:cstheme="minorHAnsi"/>
        </w:rPr>
        <w:t>,</w:t>
      </w:r>
      <w:r w:rsidRPr="000075D6">
        <w:rPr>
          <w:rFonts w:asciiTheme="minorHAnsi" w:hAnsiTheme="minorHAnsi"/>
        </w:rPr>
        <w:t xml:space="preserve"> zaś najmniej jest działań naukowo-badawczych</w:t>
      </w:r>
      <w:r w:rsidRPr="00B433E8">
        <w:rPr>
          <w:rFonts w:asciiTheme="minorHAnsi" w:hAnsiTheme="minorHAnsi" w:cstheme="minorHAnsi"/>
        </w:rPr>
        <w:t>.</w:t>
      </w:r>
    </w:p>
    <w:p w14:paraId="1F52052A" w14:textId="054AFB06" w:rsidR="00860BC1" w:rsidRDefault="009165BB" w:rsidP="00860BC1">
      <w:pPr>
        <w:jc w:val="center"/>
      </w:pPr>
      <w:r>
        <w:rPr>
          <w:noProof/>
        </w:rPr>
        <w:drawing>
          <wp:inline distT="0" distB="0" distL="0" distR="0" wp14:anchorId="7EB64D2C" wp14:editId="32BB7A1C">
            <wp:extent cx="4463415" cy="2857500"/>
            <wp:effectExtent l="0" t="0" r="13335" b="0"/>
            <wp:docPr id="252" name="Wykres 252">
              <a:extLst xmlns:a="http://schemas.openxmlformats.org/drawingml/2006/main">
                <a:ext uri="{FF2B5EF4-FFF2-40B4-BE49-F238E27FC236}">
                  <a16:creationId xmlns:a16="http://schemas.microsoft.com/office/drawing/2014/main" id="{0513F13D-552D-4DEA-B28D-87F21DCF6B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89CDB46" w14:textId="533D4C73" w:rsidR="00860BC1" w:rsidRPr="002D6624" w:rsidRDefault="00860BC1" w:rsidP="006802BB">
      <w:pPr>
        <w:pStyle w:val="Legenda"/>
      </w:pPr>
      <w:bookmarkStart w:id="397" w:name="_Toc68727127"/>
      <w:r w:rsidRPr="002D6624">
        <w:t xml:space="preserve">Wykres </w:t>
      </w:r>
      <w:fldSimple w:instr=" STYLEREF 1 \s ">
        <w:r w:rsidR="00AE1CF2">
          <w:rPr>
            <w:noProof/>
          </w:rPr>
          <w:t>12</w:t>
        </w:r>
      </w:fldSimple>
      <w:r w:rsidR="00EF3FD3">
        <w:noBreakHyphen/>
      </w:r>
      <w:fldSimple w:instr=" SEQ Wykres \* ARABIC \s 1 ">
        <w:r w:rsidR="00AE1CF2">
          <w:rPr>
            <w:noProof/>
          </w:rPr>
          <w:t>12</w:t>
        </w:r>
      </w:fldSimple>
      <w:r w:rsidRPr="002D6624">
        <w:tab/>
        <w:t>Liczba działań dla jcwpd w poszczególnych grupach</w:t>
      </w:r>
      <w:r>
        <w:t xml:space="preserve"> działań katalogu</w:t>
      </w:r>
      <w:bookmarkEnd w:id="397"/>
    </w:p>
    <w:p w14:paraId="2494DD0E" w14:textId="77777777" w:rsidR="00860BC1" w:rsidRDefault="00860BC1" w:rsidP="00860BC1">
      <w:pPr>
        <w:pStyle w:val="rdo0"/>
      </w:pPr>
      <w:r w:rsidRPr="00776B26">
        <w:t>Źródło: opracowanie własne</w:t>
      </w:r>
    </w:p>
    <w:p w14:paraId="7DF126A4" w14:textId="7F593D15" w:rsidR="00860BC1" w:rsidRDefault="00860BC1" w:rsidP="00860BC1">
      <w:pPr>
        <w:spacing w:after="240"/>
        <w:rPr>
          <w:rFonts w:cs="Calibri"/>
          <w:color w:val="000000" w:themeColor="text1"/>
        </w:rPr>
      </w:pPr>
      <w:r w:rsidRPr="5BB9D4D7">
        <w:rPr>
          <w:rFonts w:cs="Calibri"/>
          <w:color w:val="000000" w:themeColor="text1"/>
        </w:rPr>
        <w:t xml:space="preserve">Każde działanie otrzymało kod IIaPGW wskazujący na rodzaj presji, na redukcję której działanie jest ukierunkowane (presje ilościowe, presje chemiczne lub presje ilościowe i chemiczne). Zestawienie liczby działań w poszczególnych grupach IIaPGW </w:t>
      </w:r>
      <w:r w:rsidRPr="006802BB">
        <w:rPr>
          <w:rFonts w:cs="Calibri"/>
          <w:color w:val="000000" w:themeColor="text1"/>
        </w:rPr>
        <w:t>przedstawia tabela 12-</w:t>
      </w:r>
      <w:r w:rsidR="006802BB" w:rsidRPr="006802BB">
        <w:rPr>
          <w:rFonts w:cs="Calibri"/>
          <w:color w:val="000000" w:themeColor="text1"/>
        </w:rPr>
        <w:t>5</w:t>
      </w:r>
      <w:r w:rsidR="00202C08">
        <w:rPr>
          <w:rFonts w:cs="Calibri"/>
          <w:color w:val="000000" w:themeColor="text1"/>
        </w:rPr>
        <w:t xml:space="preserve"> i wykres 12-13</w:t>
      </w:r>
      <w:r w:rsidRPr="006802BB">
        <w:rPr>
          <w:rFonts w:cs="Calibri"/>
          <w:color w:val="000000" w:themeColor="text1"/>
        </w:rPr>
        <w:t>.</w:t>
      </w:r>
    </w:p>
    <w:p w14:paraId="27646980" w14:textId="748EF381" w:rsidR="00860BC1" w:rsidRDefault="00860BC1" w:rsidP="006802BB">
      <w:pPr>
        <w:pStyle w:val="Tabela"/>
      </w:pPr>
      <w:bookmarkStart w:id="398" w:name="_Toc68727033"/>
      <w:r>
        <w:t xml:space="preserve">Tabela </w:t>
      </w:r>
      <w:fldSimple w:instr=" STYLEREF 1 \s ">
        <w:r w:rsidR="007B4050">
          <w:rPr>
            <w:noProof/>
          </w:rPr>
          <w:t>12</w:t>
        </w:r>
      </w:fldSimple>
      <w:r w:rsidR="007B4050">
        <w:noBreakHyphen/>
      </w:r>
      <w:fldSimple w:instr=" SEQ Tabela \* ARABIC \s 1 ">
        <w:r w:rsidR="007B4050">
          <w:rPr>
            <w:noProof/>
          </w:rPr>
          <w:t>5</w:t>
        </w:r>
      </w:fldSimple>
      <w:r>
        <w:tab/>
      </w:r>
      <w:r w:rsidRPr="5BB9D4D7">
        <w:t>Liczba działań w poszczególnych grupach IIaPGW</w:t>
      </w:r>
      <w:bookmarkEnd w:id="398"/>
    </w:p>
    <w:tbl>
      <w:tblPr>
        <w:tblStyle w:val="Tabela-Siatka"/>
        <w:tblW w:w="5000" w:type="pct"/>
        <w:jc w:val="center"/>
        <w:tblLook w:val="06A0" w:firstRow="1" w:lastRow="0" w:firstColumn="1" w:lastColumn="0" w:noHBand="1" w:noVBand="1"/>
      </w:tblPr>
      <w:tblGrid>
        <w:gridCol w:w="1994"/>
        <w:gridCol w:w="5495"/>
        <w:gridCol w:w="1573"/>
      </w:tblGrid>
      <w:tr w:rsidR="00B520B7" w:rsidRPr="00B433E8" w14:paraId="4CB265E8" w14:textId="77777777" w:rsidTr="00B520B7">
        <w:trPr>
          <w:trHeight w:val="454"/>
          <w:tblHeader/>
          <w:jc w:val="center"/>
        </w:trPr>
        <w:tc>
          <w:tcPr>
            <w:tcW w:w="1996" w:type="dxa"/>
            <w:shd w:val="clear" w:color="auto" w:fill="BFBFBF" w:themeFill="background1" w:themeFillShade="BF"/>
            <w:vAlign w:val="center"/>
          </w:tcPr>
          <w:p w14:paraId="26F856B1" w14:textId="77777777" w:rsidR="00B520B7" w:rsidRPr="00B433E8" w:rsidRDefault="00B520B7" w:rsidP="00BD005D">
            <w:pPr>
              <w:pStyle w:val="TABELANagwek"/>
              <w:spacing w:line="276" w:lineRule="auto"/>
              <w:rPr>
                <w:rFonts w:cstheme="minorHAnsi"/>
              </w:rPr>
            </w:pPr>
            <w:r w:rsidRPr="00290498">
              <w:t xml:space="preserve">Kod </w:t>
            </w:r>
            <w:r w:rsidRPr="00B433E8">
              <w:rPr>
                <w:rFonts w:cstheme="minorHAnsi"/>
              </w:rPr>
              <w:t xml:space="preserve">grupy </w:t>
            </w:r>
            <w:r w:rsidRPr="00290498">
              <w:t>IIaPGW</w:t>
            </w:r>
          </w:p>
        </w:tc>
        <w:tc>
          <w:tcPr>
            <w:tcW w:w="5502" w:type="dxa"/>
            <w:shd w:val="clear" w:color="auto" w:fill="BFBFBF" w:themeFill="background1" w:themeFillShade="BF"/>
            <w:vAlign w:val="center"/>
          </w:tcPr>
          <w:p w14:paraId="20229D9E" w14:textId="77777777" w:rsidR="00B520B7" w:rsidRPr="00B433E8" w:rsidRDefault="00B520B7" w:rsidP="00BD005D">
            <w:pPr>
              <w:pStyle w:val="TABELANagwek"/>
              <w:spacing w:line="276" w:lineRule="auto"/>
              <w:rPr>
                <w:rFonts w:cstheme="minorHAnsi"/>
              </w:rPr>
            </w:pPr>
            <w:r w:rsidRPr="00290498">
              <w:t>Rodzaj presji</w:t>
            </w:r>
          </w:p>
        </w:tc>
        <w:tc>
          <w:tcPr>
            <w:tcW w:w="1574" w:type="dxa"/>
            <w:shd w:val="clear" w:color="auto" w:fill="BFBFBF" w:themeFill="background1" w:themeFillShade="BF"/>
            <w:vAlign w:val="center"/>
          </w:tcPr>
          <w:p w14:paraId="6B057DA7" w14:textId="77777777" w:rsidR="00B520B7" w:rsidRPr="00B433E8" w:rsidRDefault="00B520B7" w:rsidP="00BD005D">
            <w:pPr>
              <w:pStyle w:val="TABELANagwek"/>
              <w:spacing w:line="276" w:lineRule="auto"/>
              <w:rPr>
                <w:rFonts w:cstheme="minorHAnsi"/>
              </w:rPr>
            </w:pPr>
            <w:r w:rsidRPr="00290498">
              <w:t xml:space="preserve">Liczba </w:t>
            </w:r>
            <w:r w:rsidRPr="005D58CF">
              <w:t>działań</w:t>
            </w:r>
          </w:p>
        </w:tc>
      </w:tr>
      <w:tr w:rsidR="00B520B7" w:rsidRPr="00B433E8" w14:paraId="7172D8D3" w14:textId="77777777" w:rsidTr="00BD005D">
        <w:trPr>
          <w:trHeight w:val="454"/>
          <w:jc w:val="center"/>
        </w:trPr>
        <w:tc>
          <w:tcPr>
            <w:tcW w:w="1996" w:type="dxa"/>
            <w:shd w:val="clear" w:color="auto" w:fill="auto"/>
            <w:vAlign w:val="center"/>
          </w:tcPr>
          <w:p w14:paraId="72FC4108" w14:textId="77777777" w:rsidR="00B520B7" w:rsidRPr="00B433E8" w:rsidRDefault="00B520B7" w:rsidP="00BD005D">
            <w:pPr>
              <w:pStyle w:val="TABELAdolewej"/>
              <w:spacing w:line="276" w:lineRule="auto"/>
              <w:rPr>
                <w:rFonts w:cstheme="minorHAnsi"/>
              </w:rPr>
            </w:pPr>
            <w:r w:rsidRPr="00B433E8">
              <w:rPr>
                <w:rFonts w:cstheme="minorHAnsi"/>
              </w:rPr>
              <w:t>GWI</w:t>
            </w:r>
          </w:p>
        </w:tc>
        <w:tc>
          <w:tcPr>
            <w:tcW w:w="5502" w:type="dxa"/>
            <w:shd w:val="clear" w:color="auto" w:fill="auto"/>
            <w:vAlign w:val="center"/>
          </w:tcPr>
          <w:p w14:paraId="5257C23F" w14:textId="77777777" w:rsidR="00B520B7" w:rsidRPr="00B433E8" w:rsidRDefault="00B520B7" w:rsidP="00BD005D">
            <w:pPr>
              <w:pStyle w:val="TABELAdolewej"/>
              <w:spacing w:line="276" w:lineRule="auto"/>
              <w:rPr>
                <w:rFonts w:cstheme="minorHAnsi"/>
              </w:rPr>
            </w:pPr>
            <w:r w:rsidRPr="00B433E8">
              <w:rPr>
                <w:rFonts w:cstheme="minorHAnsi"/>
              </w:rPr>
              <w:t>Presje ilościowe</w:t>
            </w:r>
          </w:p>
        </w:tc>
        <w:tc>
          <w:tcPr>
            <w:tcW w:w="1574" w:type="dxa"/>
            <w:shd w:val="clear" w:color="auto" w:fill="auto"/>
            <w:vAlign w:val="center"/>
          </w:tcPr>
          <w:p w14:paraId="0BC3CBEC" w14:textId="77777777" w:rsidR="00B520B7" w:rsidRPr="00B433E8" w:rsidRDefault="00B520B7" w:rsidP="00BD005D">
            <w:pPr>
              <w:pStyle w:val="TABELAwysrodkowane"/>
              <w:spacing w:line="276" w:lineRule="auto"/>
              <w:rPr>
                <w:rFonts w:cstheme="minorHAnsi"/>
              </w:rPr>
            </w:pPr>
            <w:r w:rsidRPr="00B433E8">
              <w:rPr>
                <w:rFonts w:cstheme="minorHAnsi"/>
              </w:rPr>
              <w:t>22</w:t>
            </w:r>
          </w:p>
        </w:tc>
      </w:tr>
      <w:tr w:rsidR="00B520B7" w:rsidRPr="00B433E8" w14:paraId="0B1D2E1D" w14:textId="77777777" w:rsidTr="00BD005D">
        <w:trPr>
          <w:trHeight w:val="454"/>
          <w:jc w:val="center"/>
        </w:trPr>
        <w:tc>
          <w:tcPr>
            <w:tcW w:w="1996" w:type="dxa"/>
            <w:shd w:val="clear" w:color="auto" w:fill="auto"/>
            <w:vAlign w:val="center"/>
          </w:tcPr>
          <w:p w14:paraId="5DF50A6A" w14:textId="77777777" w:rsidR="00B520B7" w:rsidRPr="00B433E8" w:rsidRDefault="00B520B7" w:rsidP="00BD005D">
            <w:pPr>
              <w:pStyle w:val="TABELAdolewej"/>
              <w:spacing w:line="276" w:lineRule="auto"/>
              <w:rPr>
                <w:rFonts w:cstheme="minorHAnsi"/>
              </w:rPr>
            </w:pPr>
            <w:r w:rsidRPr="00B433E8">
              <w:rPr>
                <w:rFonts w:cstheme="minorHAnsi"/>
              </w:rPr>
              <w:t>GWC</w:t>
            </w:r>
          </w:p>
        </w:tc>
        <w:tc>
          <w:tcPr>
            <w:tcW w:w="5502" w:type="dxa"/>
            <w:shd w:val="clear" w:color="auto" w:fill="auto"/>
            <w:vAlign w:val="center"/>
          </w:tcPr>
          <w:p w14:paraId="1C9D76C7" w14:textId="77777777" w:rsidR="00B520B7" w:rsidRPr="00B433E8" w:rsidRDefault="00B520B7" w:rsidP="00BD005D">
            <w:pPr>
              <w:pStyle w:val="TABELAdolewej"/>
              <w:spacing w:line="276" w:lineRule="auto"/>
              <w:rPr>
                <w:rFonts w:cstheme="minorHAnsi"/>
              </w:rPr>
            </w:pPr>
            <w:r w:rsidRPr="00B433E8">
              <w:rPr>
                <w:rFonts w:cstheme="minorHAnsi"/>
              </w:rPr>
              <w:t>Presje chemiczne</w:t>
            </w:r>
          </w:p>
        </w:tc>
        <w:tc>
          <w:tcPr>
            <w:tcW w:w="1574" w:type="dxa"/>
            <w:shd w:val="clear" w:color="auto" w:fill="auto"/>
            <w:vAlign w:val="center"/>
          </w:tcPr>
          <w:p w14:paraId="5FE263D8" w14:textId="77777777" w:rsidR="00B520B7" w:rsidRPr="00B433E8" w:rsidRDefault="00B520B7" w:rsidP="00BD005D">
            <w:pPr>
              <w:pStyle w:val="TABELAwysrodkowane"/>
              <w:spacing w:line="276" w:lineRule="auto"/>
              <w:rPr>
                <w:rFonts w:cstheme="minorHAnsi"/>
              </w:rPr>
            </w:pPr>
            <w:r w:rsidRPr="00B433E8">
              <w:rPr>
                <w:rFonts w:cstheme="minorHAnsi"/>
              </w:rPr>
              <w:t>6</w:t>
            </w:r>
          </w:p>
        </w:tc>
      </w:tr>
      <w:tr w:rsidR="00B520B7" w:rsidRPr="00B433E8" w14:paraId="0086212A" w14:textId="77777777" w:rsidTr="00BD005D">
        <w:trPr>
          <w:trHeight w:val="454"/>
          <w:jc w:val="center"/>
        </w:trPr>
        <w:tc>
          <w:tcPr>
            <w:tcW w:w="1996" w:type="dxa"/>
            <w:shd w:val="clear" w:color="auto" w:fill="auto"/>
            <w:vAlign w:val="center"/>
          </w:tcPr>
          <w:p w14:paraId="797EBD70" w14:textId="77777777" w:rsidR="00B520B7" w:rsidRPr="00B433E8" w:rsidRDefault="00B520B7" w:rsidP="00BD005D">
            <w:pPr>
              <w:pStyle w:val="TABELAdolewej"/>
              <w:spacing w:line="276" w:lineRule="auto"/>
              <w:rPr>
                <w:rFonts w:cstheme="minorHAnsi"/>
              </w:rPr>
            </w:pPr>
            <w:r w:rsidRPr="00B433E8">
              <w:rPr>
                <w:rFonts w:cstheme="minorHAnsi"/>
              </w:rPr>
              <w:t>GWPA</w:t>
            </w:r>
          </w:p>
        </w:tc>
        <w:tc>
          <w:tcPr>
            <w:tcW w:w="5502" w:type="dxa"/>
            <w:shd w:val="clear" w:color="auto" w:fill="auto"/>
            <w:vAlign w:val="center"/>
          </w:tcPr>
          <w:p w14:paraId="0E3666A7" w14:textId="77777777" w:rsidR="00B520B7" w:rsidRPr="00B433E8" w:rsidRDefault="00B520B7" w:rsidP="00BD005D">
            <w:pPr>
              <w:pStyle w:val="TABELAdolewej"/>
              <w:spacing w:line="276" w:lineRule="auto"/>
              <w:rPr>
                <w:rFonts w:cstheme="minorHAnsi"/>
              </w:rPr>
            </w:pPr>
            <w:r w:rsidRPr="00B433E8">
              <w:rPr>
                <w:rFonts w:cstheme="minorHAnsi"/>
              </w:rPr>
              <w:t>Presje chemiczne A (rolnictwo i gospodarka komunalna)</w:t>
            </w:r>
          </w:p>
        </w:tc>
        <w:tc>
          <w:tcPr>
            <w:tcW w:w="1574" w:type="dxa"/>
            <w:shd w:val="clear" w:color="auto" w:fill="auto"/>
            <w:vAlign w:val="center"/>
          </w:tcPr>
          <w:p w14:paraId="580CDCF9" w14:textId="77777777" w:rsidR="00B520B7" w:rsidRPr="00B433E8" w:rsidRDefault="00B520B7" w:rsidP="00BD005D">
            <w:pPr>
              <w:pStyle w:val="TABELAwysrodkowane"/>
              <w:spacing w:line="276" w:lineRule="auto"/>
              <w:rPr>
                <w:rFonts w:cstheme="minorHAnsi"/>
              </w:rPr>
            </w:pPr>
            <w:r w:rsidRPr="00B433E8">
              <w:rPr>
                <w:rFonts w:cstheme="minorHAnsi"/>
              </w:rPr>
              <w:t>3</w:t>
            </w:r>
          </w:p>
        </w:tc>
      </w:tr>
      <w:tr w:rsidR="00B520B7" w:rsidRPr="00B433E8" w14:paraId="53184F6F" w14:textId="77777777" w:rsidTr="00BD005D">
        <w:trPr>
          <w:trHeight w:val="454"/>
          <w:jc w:val="center"/>
        </w:trPr>
        <w:tc>
          <w:tcPr>
            <w:tcW w:w="1996" w:type="dxa"/>
            <w:shd w:val="clear" w:color="auto" w:fill="auto"/>
            <w:vAlign w:val="center"/>
          </w:tcPr>
          <w:p w14:paraId="34B30088" w14:textId="77777777" w:rsidR="00B520B7" w:rsidRPr="00B433E8" w:rsidRDefault="00B520B7" w:rsidP="00BD005D">
            <w:pPr>
              <w:pStyle w:val="TABELAdolewej"/>
              <w:spacing w:line="276" w:lineRule="auto"/>
              <w:rPr>
                <w:rFonts w:cstheme="minorHAnsi"/>
              </w:rPr>
            </w:pPr>
            <w:r w:rsidRPr="00B433E8">
              <w:rPr>
                <w:rFonts w:cstheme="minorHAnsi"/>
              </w:rPr>
              <w:t>GWPB</w:t>
            </w:r>
          </w:p>
        </w:tc>
        <w:tc>
          <w:tcPr>
            <w:tcW w:w="5502" w:type="dxa"/>
            <w:shd w:val="clear" w:color="auto" w:fill="auto"/>
            <w:vAlign w:val="center"/>
          </w:tcPr>
          <w:p w14:paraId="522824B1" w14:textId="77777777" w:rsidR="00B520B7" w:rsidRPr="00B433E8" w:rsidRDefault="00B520B7" w:rsidP="00BD005D">
            <w:pPr>
              <w:pStyle w:val="TABELAdolewej"/>
              <w:spacing w:line="276" w:lineRule="auto"/>
              <w:rPr>
                <w:rFonts w:cstheme="minorHAnsi"/>
              </w:rPr>
            </w:pPr>
            <w:r w:rsidRPr="00B433E8">
              <w:rPr>
                <w:rFonts w:cstheme="minorHAnsi"/>
              </w:rPr>
              <w:t>Presje chemiczne B (przemysł i urbanizacja)</w:t>
            </w:r>
          </w:p>
        </w:tc>
        <w:tc>
          <w:tcPr>
            <w:tcW w:w="1574" w:type="dxa"/>
            <w:shd w:val="clear" w:color="auto" w:fill="auto"/>
            <w:vAlign w:val="center"/>
          </w:tcPr>
          <w:p w14:paraId="691483FC" w14:textId="77777777" w:rsidR="00B520B7" w:rsidRPr="00B433E8" w:rsidRDefault="00B520B7" w:rsidP="00BD005D">
            <w:pPr>
              <w:pStyle w:val="TABELAwysrodkowane"/>
              <w:spacing w:line="276" w:lineRule="auto"/>
              <w:rPr>
                <w:rFonts w:cstheme="minorHAnsi"/>
              </w:rPr>
            </w:pPr>
            <w:r w:rsidRPr="00B433E8">
              <w:rPr>
                <w:rFonts w:cstheme="minorHAnsi"/>
              </w:rPr>
              <w:t>4</w:t>
            </w:r>
          </w:p>
        </w:tc>
      </w:tr>
      <w:tr w:rsidR="00B520B7" w:rsidRPr="00B433E8" w14:paraId="12DA9CCF" w14:textId="77777777" w:rsidTr="00BD005D">
        <w:trPr>
          <w:trHeight w:val="454"/>
          <w:jc w:val="center"/>
        </w:trPr>
        <w:tc>
          <w:tcPr>
            <w:tcW w:w="1996" w:type="dxa"/>
            <w:shd w:val="clear" w:color="auto" w:fill="auto"/>
            <w:vAlign w:val="center"/>
          </w:tcPr>
          <w:p w14:paraId="66AC3CF3" w14:textId="77777777" w:rsidR="00B520B7" w:rsidRPr="00B433E8" w:rsidRDefault="00B520B7" w:rsidP="00BD005D">
            <w:pPr>
              <w:pStyle w:val="TABELAdolewej"/>
              <w:spacing w:line="276" w:lineRule="auto"/>
              <w:rPr>
                <w:rFonts w:cstheme="minorHAnsi"/>
              </w:rPr>
            </w:pPr>
            <w:r w:rsidRPr="00B433E8">
              <w:rPr>
                <w:rFonts w:cstheme="minorHAnsi"/>
              </w:rPr>
              <w:t>GWIC</w:t>
            </w:r>
          </w:p>
        </w:tc>
        <w:tc>
          <w:tcPr>
            <w:tcW w:w="5502" w:type="dxa"/>
            <w:shd w:val="clear" w:color="auto" w:fill="auto"/>
            <w:vAlign w:val="center"/>
          </w:tcPr>
          <w:p w14:paraId="78AB1821" w14:textId="77777777" w:rsidR="00B520B7" w:rsidRPr="00B433E8" w:rsidRDefault="00B520B7" w:rsidP="00BD005D">
            <w:pPr>
              <w:pStyle w:val="TABELAdolewej"/>
              <w:spacing w:line="276" w:lineRule="auto"/>
              <w:rPr>
                <w:rFonts w:cstheme="minorHAnsi"/>
              </w:rPr>
            </w:pPr>
            <w:r w:rsidRPr="00B433E8">
              <w:rPr>
                <w:rFonts w:cstheme="minorHAnsi"/>
              </w:rPr>
              <w:t>Presje ilościowe i chemiczne</w:t>
            </w:r>
          </w:p>
        </w:tc>
        <w:tc>
          <w:tcPr>
            <w:tcW w:w="1574" w:type="dxa"/>
            <w:shd w:val="clear" w:color="auto" w:fill="auto"/>
            <w:vAlign w:val="center"/>
          </w:tcPr>
          <w:p w14:paraId="56C9B2BB" w14:textId="77777777" w:rsidR="00B520B7" w:rsidRPr="00B433E8" w:rsidRDefault="00B520B7" w:rsidP="00BD005D">
            <w:pPr>
              <w:pStyle w:val="TABELAwysrodkowane"/>
              <w:spacing w:line="276" w:lineRule="auto"/>
              <w:rPr>
                <w:rFonts w:cstheme="minorHAnsi"/>
              </w:rPr>
            </w:pPr>
            <w:r w:rsidRPr="00B433E8">
              <w:rPr>
                <w:rFonts w:cstheme="minorHAnsi"/>
              </w:rPr>
              <w:t>5</w:t>
            </w:r>
          </w:p>
        </w:tc>
      </w:tr>
      <w:tr w:rsidR="00B520B7" w:rsidRPr="00B433E8" w14:paraId="0BFE2FF9" w14:textId="77777777" w:rsidTr="00BD005D">
        <w:trPr>
          <w:trHeight w:val="454"/>
          <w:jc w:val="center"/>
        </w:trPr>
        <w:tc>
          <w:tcPr>
            <w:tcW w:w="7499" w:type="dxa"/>
            <w:gridSpan w:val="2"/>
            <w:shd w:val="clear" w:color="auto" w:fill="BFBFBF" w:themeFill="background1" w:themeFillShade="BF"/>
            <w:vAlign w:val="center"/>
          </w:tcPr>
          <w:p w14:paraId="67BE61C0" w14:textId="77777777" w:rsidR="00B520B7" w:rsidRPr="005D58CF" w:rsidRDefault="00B520B7" w:rsidP="00BD005D">
            <w:pPr>
              <w:pStyle w:val="TABELANagwek"/>
              <w:spacing w:line="276" w:lineRule="auto"/>
            </w:pPr>
            <w:r w:rsidRPr="00290498">
              <w:t>Razem</w:t>
            </w:r>
          </w:p>
        </w:tc>
        <w:tc>
          <w:tcPr>
            <w:tcW w:w="1573" w:type="dxa"/>
            <w:shd w:val="clear" w:color="auto" w:fill="BFBFBF" w:themeFill="background1" w:themeFillShade="BF"/>
            <w:vAlign w:val="center"/>
          </w:tcPr>
          <w:p w14:paraId="0DB8F791" w14:textId="77777777" w:rsidR="00B520B7" w:rsidRPr="00290498" w:rsidRDefault="00B520B7" w:rsidP="00BD005D">
            <w:pPr>
              <w:pStyle w:val="TABELANagwek"/>
              <w:spacing w:line="276" w:lineRule="auto"/>
            </w:pPr>
            <w:r w:rsidRPr="00B433E8">
              <w:rPr>
                <w:rFonts w:cstheme="minorHAnsi"/>
              </w:rPr>
              <w:t>40</w:t>
            </w:r>
          </w:p>
        </w:tc>
      </w:tr>
    </w:tbl>
    <w:p w14:paraId="4AEBDC56" w14:textId="77777777" w:rsidR="00860BC1" w:rsidRDefault="00860BC1" w:rsidP="00860BC1">
      <w:pPr>
        <w:ind w:left="708"/>
        <w:jc w:val="right"/>
        <w:rPr>
          <w:rFonts w:cs="Calibri"/>
          <w:i/>
          <w:iCs/>
          <w:color w:val="003399"/>
          <w:sz w:val="18"/>
          <w:szCs w:val="18"/>
        </w:rPr>
      </w:pPr>
      <w:r w:rsidRPr="00776B26">
        <w:rPr>
          <w:rFonts w:cs="Calibri"/>
          <w:i/>
          <w:iCs/>
          <w:color w:val="003399"/>
          <w:sz w:val="18"/>
          <w:szCs w:val="18"/>
        </w:rPr>
        <w:t>Źródło: opracowanie własne</w:t>
      </w:r>
    </w:p>
    <w:p w14:paraId="3C0D0083" w14:textId="77777777" w:rsidR="00900D69" w:rsidRPr="00B433E8" w:rsidRDefault="00900D69" w:rsidP="00900D69">
      <w:pPr>
        <w:spacing w:line="276" w:lineRule="auto"/>
        <w:jc w:val="center"/>
        <w:rPr>
          <w:rFonts w:asciiTheme="minorHAnsi" w:hAnsiTheme="minorHAnsi" w:cstheme="minorHAnsi"/>
        </w:rPr>
      </w:pPr>
      <w:r>
        <w:rPr>
          <w:noProof/>
        </w:rPr>
        <w:drawing>
          <wp:inline distT="0" distB="0" distL="0" distR="0" wp14:anchorId="5E5FDF7C" wp14:editId="1F0D7110">
            <wp:extent cx="4572000" cy="2743200"/>
            <wp:effectExtent l="0" t="0" r="0" b="0"/>
            <wp:docPr id="249" name="Wykres 13">
              <a:extLst xmlns:a="http://schemas.openxmlformats.org/drawingml/2006/main">
                <a:ext uri="{FF2B5EF4-FFF2-40B4-BE49-F238E27FC236}">
                  <a16:creationId xmlns:a16="http://schemas.microsoft.com/office/drawing/2014/main" id="{3B2B5FA5-CD4E-4C4A-818E-E04A14CF9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9D96E3E" w14:textId="2BE60B32" w:rsidR="00900D69" w:rsidRPr="00B433E8" w:rsidRDefault="00900D69" w:rsidP="00900D69">
      <w:pPr>
        <w:pStyle w:val="Wykres"/>
      </w:pPr>
      <w:bookmarkStart w:id="399" w:name="_Toc68195528"/>
      <w:bookmarkStart w:id="400" w:name="_Toc68727128"/>
      <w:r w:rsidRPr="00B433E8">
        <w:t xml:space="preserve">Wykres </w:t>
      </w:r>
      <w:r>
        <w:t>12</w:t>
      </w:r>
      <w:r w:rsidRPr="00B433E8">
        <w:noBreakHyphen/>
      </w:r>
      <w:r>
        <w:fldChar w:fldCharType="begin"/>
      </w:r>
      <w:r>
        <w:instrText>SEQ Wykres \* ARABIC \s 1</w:instrText>
      </w:r>
      <w:r>
        <w:fldChar w:fldCharType="separate"/>
      </w:r>
      <w:r w:rsidR="00741A6D">
        <w:rPr>
          <w:noProof/>
        </w:rPr>
        <w:t>13</w:t>
      </w:r>
      <w:r>
        <w:fldChar w:fldCharType="end"/>
      </w:r>
      <w:r w:rsidRPr="00B433E8">
        <w:tab/>
        <w:t>Udział działań ukierunkowanych na redukcję poszczególnych rodzajów presji</w:t>
      </w:r>
      <w:bookmarkEnd w:id="399"/>
      <w:bookmarkEnd w:id="400"/>
    </w:p>
    <w:p w14:paraId="05671366" w14:textId="77777777" w:rsidR="00900D69" w:rsidRPr="00C22FBA" w:rsidRDefault="00900D69" w:rsidP="00900D69">
      <w:pPr>
        <w:pStyle w:val="rdo0"/>
      </w:pPr>
      <w:r w:rsidRPr="00C22FBA">
        <w:t>Źródło: opracowanie własne</w:t>
      </w:r>
    </w:p>
    <w:p w14:paraId="0F1788FC" w14:textId="1DE5366C" w:rsidR="00F817BD" w:rsidRPr="0025731E" w:rsidRDefault="00F817BD" w:rsidP="00F817BD">
      <w:pPr>
        <w:rPr>
          <w:szCs w:val="18"/>
        </w:rPr>
      </w:pPr>
      <w:r w:rsidRPr="0025731E">
        <w:rPr>
          <w:szCs w:val="18"/>
        </w:rPr>
        <w:t>Poszczególne grupy działań IIaPGW obejmują następujące działania:</w:t>
      </w:r>
    </w:p>
    <w:p w14:paraId="72C3CB67" w14:textId="77777777" w:rsidR="002C52A5" w:rsidRPr="001664C9" w:rsidRDefault="002C52A5" w:rsidP="002C52A5">
      <w:pPr>
        <w:rPr>
          <w:rFonts w:asciiTheme="minorHAnsi" w:hAnsiTheme="minorHAnsi"/>
        </w:rPr>
      </w:pPr>
      <w:r w:rsidRPr="001664C9">
        <w:rPr>
          <w:rFonts w:asciiTheme="minorHAnsi" w:hAnsiTheme="minorHAnsi"/>
          <w:b/>
        </w:rPr>
        <w:t>GWI:</w:t>
      </w:r>
      <w:r w:rsidRPr="001664C9">
        <w:rPr>
          <w:rFonts w:asciiTheme="minorHAnsi" w:hAnsiTheme="minorHAnsi"/>
        </w:rPr>
        <w:t xml:space="preserve"> działania ukierunkowane na redukcję presji ilościowej, związane z ograniczaniem zużycia wody, stosowaniem </w:t>
      </w:r>
      <w:r w:rsidRPr="00B433E8">
        <w:rPr>
          <w:rFonts w:asciiTheme="minorHAnsi" w:hAnsiTheme="minorHAnsi" w:cstheme="minorHAnsi"/>
        </w:rPr>
        <w:t>oszczędzających wodę</w:t>
      </w:r>
      <w:r w:rsidRPr="001664C9">
        <w:rPr>
          <w:rFonts w:asciiTheme="minorHAnsi" w:hAnsiTheme="minorHAnsi"/>
        </w:rPr>
        <w:t xml:space="preserve"> technik nawadniania gruntów ornych i sposobów retencji oraz zagospodarowania wód opadowych w rolnictwie, a także spowolnieniem lub zatrzymaniem odpływu wód ze zlewni oraz zwiększeniem możliwości retencyjnych zlewni, w tym zwiększeniem retencji na obszarach zurbanizowanych. </w:t>
      </w:r>
      <w:r w:rsidRPr="00B433E8">
        <w:rPr>
          <w:rFonts w:asciiTheme="minorHAnsi" w:hAnsiTheme="minorHAnsi" w:cstheme="minorHAnsi"/>
        </w:rPr>
        <w:t>Ponadto obejmują</w:t>
      </w:r>
      <w:r w:rsidRPr="001664C9">
        <w:rPr>
          <w:rFonts w:asciiTheme="minorHAnsi" w:hAnsiTheme="minorHAnsi"/>
        </w:rPr>
        <w:t xml:space="preserve"> dokonywanie dodatkowego przeglądu pozwoleń wodnoprawnych oraz weryfikację zasobów dyspozycyjnych wód podziemnych i eksploatacyjnych ujęć wód podziemnych, analizę możliwości odbudowy/przebudowy systemów melioracyjnych, a także opracowanie programu monitorowania stanu wód podziemnych w rejonie prowadzonej działalności górniczej i opracowanie programu zagospodarowania wód odwodnieniowych i wybudowanie rurociągu przemysłowego.</w:t>
      </w:r>
    </w:p>
    <w:p w14:paraId="5C5F331D" w14:textId="77777777" w:rsidR="002C52A5" w:rsidRPr="001664C9" w:rsidRDefault="002C52A5" w:rsidP="002C52A5">
      <w:pPr>
        <w:rPr>
          <w:rFonts w:asciiTheme="minorHAnsi" w:hAnsiTheme="minorHAnsi"/>
        </w:rPr>
      </w:pPr>
      <w:r w:rsidRPr="001664C9">
        <w:rPr>
          <w:rFonts w:asciiTheme="minorHAnsi" w:hAnsiTheme="minorHAnsi"/>
          <w:b/>
        </w:rPr>
        <w:t>GWC:</w:t>
      </w:r>
      <w:r w:rsidRPr="001664C9">
        <w:rPr>
          <w:rFonts w:asciiTheme="minorHAnsi" w:hAnsiTheme="minorHAnsi"/>
        </w:rPr>
        <w:t xml:space="preserve"> działania ukierunkowane na redukcję presji chemicznej, związane z </w:t>
      </w:r>
      <w:r w:rsidRPr="00B433E8">
        <w:rPr>
          <w:rFonts w:asciiTheme="minorHAnsi" w:hAnsiTheme="minorHAnsi" w:cstheme="minorHAnsi"/>
        </w:rPr>
        <w:t>opracowaniem</w:t>
      </w:r>
      <w:r w:rsidRPr="001664C9">
        <w:rPr>
          <w:rFonts w:asciiTheme="minorHAnsi" w:hAnsiTheme="minorHAnsi"/>
        </w:rPr>
        <w:t xml:space="preserve"> wniosków na potrzeby ustanawiania obszarów ochronnych zbiorników wód śródlądowych</w:t>
      </w:r>
      <w:r w:rsidRPr="00B433E8">
        <w:rPr>
          <w:rFonts w:asciiTheme="minorHAnsi" w:hAnsiTheme="minorHAnsi" w:cstheme="minorHAnsi"/>
        </w:rPr>
        <w:t xml:space="preserve"> (w tym GZWP)</w:t>
      </w:r>
      <w:r w:rsidRPr="001664C9">
        <w:rPr>
          <w:rFonts w:asciiTheme="minorHAnsi" w:hAnsiTheme="minorHAnsi"/>
        </w:rPr>
        <w:t xml:space="preserve"> oraz rozporządzeń ustanawiających te obszary wraz ze wsparciem merytorycznym związanych z ich ustanawianiem. </w:t>
      </w:r>
    </w:p>
    <w:p w14:paraId="4B38D3C0" w14:textId="77777777" w:rsidR="002C52A5" w:rsidRPr="001664C9" w:rsidRDefault="002C52A5" w:rsidP="002C52A5">
      <w:pPr>
        <w:rPr>
          <w:rFonts w:asciiTheme="minorHAnsi" w:hAnsiTheme="minorHAnsi"/>
        </w:rPr>
      </w:pPr>
      <w:r w:rsidRPr="001664C9">
        <w:rPr>
          <w:rFonts w:asciiTheme="minorHAnsi" w:hAnsiTheme="minorHAnsi"/>
          <w:b/>
        </w:rPr>
        <w:t>GWPA:</w:t>
      </w:r>
      <w:r w:rsidRPr="001664C9">
        <w:rPr>
          <w:rFonts w:asciiTheme="minorHAnsi" w:hAnsiTheme="minorHAnsi"/>
        </w:rPr>
        <w:t xml:space="preserve"> działania ukierunkowane są na </w:t>
      </w:r>
      <w:r w:rsidRPr="00B433E8">
        <w:rPr>
          <w:rFonts w:asciiTheme="minorHAnsi" w:hAnsiTheme="minorHAnsi" w:cstheme="minorHAnsi"/>
        </w:rPr>
        <w:t>rozpoznanie</w:t>
      </w:r>
      <w:r w:rsidRPr="001664C9">
        <w:rPr>
          <w:rFonts w:asciiTheme="minorHAnsi" w:hAnsiTheme="minorHAnsi"/>
        </w:rPr>
        <w:t xml:space="preserve"> występowania nowych zanieczyszczeń w wodach podziemnych w rejonach intensywnej presji urbanizacyjnej, rolniczej i przemysłowej, a także przeprowadzanie szkoleń dla prowadzących działalność rolniczą w zakresie stosowania działań ze </w:t>
      </w:r>
      <w:r w:rsidRPr="00B433E8">
        <w:rPr>
          <w:rFonts w:asciiTheme="minorHAnsi" w:hAnsiTheme="minorHAnsi" w:cstheme="minorHAnsi"/>
        </w:rPr>
        <w:t>„</w:t>
      </w:r>
      <w:r w:rsidRPr="001664C9">
        <w:rPr>
          <w:rFonts w:asciiTheme="minorHAnsi" w:hAnsiTheme="minorHAnsi"/>
        </w:rPr>
        <w:t>Zbioru zaleceń dobrej praktyki rolniczej</w:t>
      </w:r>
      <w:r w:rsidRPr="00B433E8">
        <w:rPr>
          <w:rFonts w:asciiTheme="minorHAnsi" w:hAnsiTheme="minorHAnsi" w:cstheme="minorHAnsi"/>
        </w:rPr>
        <w:t>”</w:t>
      </w:r>
      <w:r w:rsidRPr="001664C9">
        <w:rPr>
          <w:rFonts w:asciiTheme="minorHAnsi" w:hAnsiTheme="minorHAnsi"/>
        </w:rPr>
        <w:t xml:space="preserve"> oraz dobrowolne ich stosowanie.</w:t>
      </w:r>
    </w:p>
    <w:p w14:paraId="5E203C06" w14:textId="77777777" w:rsidR="00F817BD" w:rsidRPr="001664C9" w:rsidRDefault="00F817BD" w:rsidP="00F817BD">
      <w:pPr>
        <w:rPr>
          <w:rFonts w:asciiTheme="minorHAnsi" w:hAnsiTheme="minorHAnsi"/>
        </w:rPr>
      </w:pPr>
      <w:r w:rsidRPr="001664C9">
        <w:rPr>
          <w:rFonts w:asciiTheme="minorHAnsi" w:hAnsiTheme="minorHAnsi"/>
          <w:b/>
        </w:rPr>
        <w:t>GWPB:</w:t>
      </w:r>
      <w:r w:rsidRPr="001664C9">
        <w:rPr>
          <w:rFonts w:asciiTheme="minorHAnsi" w:hAnsiTheme="minorHAnsi"/>
        </w:rPr>
        <w:t xml:space="preserve"> działania ukierunkowane na redukcję presji chemicznej związanej z przemysłem i urbanizacją, obejmują prowadzenie monitoringu wód podziemnych w zakresie zanieczyszczeń związkami chlorowcopochodnymi oraz związkami wskazującymi na presję przemysłową, a także opracowanie ekspertyzy mającej na celu określenie zasięgu i źródła zanieczyszczeń na obszarach poprzemysłowych.</w:t>
      </w:r>
    </w:p>
    <w:p w14:paraId="15AB92C4" w14:textId="77777777" w:rsidR="00F817BD" w:rsidRPr="001664C9" w:rsidRDefault="00F817BD" w:rsidP="00F817BD">
      <w:pPr>
        <w:rPr>
          <w:rFonts w:asciiTheme="minorHAnsi" w:hAnsiTheme="minorHAnsi"/>
        </w:rPr>
      </w:pPr>
      <w:r w:rsidRPr="001664C9">
        <w:rPr>
          <w:rFonts w:asciiTheme="minorHAnsi" w:hAnsiTheme="minorHAnsi"/>
          <w:b/>
        </w:rPr>
        <w:t>GWIC:</w:t>
      </w:r>
      <w:r w:rsidRPr="001664C9">
        <w:rPr>
          <w:rFonts w:asciiTheme="minorHAnsi" w:hAnsiTheme="minorHAnsi"/>
        </w:rPr>
        <w:t xml:space="preserve"> działania ukierunkowane zarówno na redukcję presji ilościowej jak i chemicznej, związane z</w:t>
      </w:r>
      <w:r>
        <w:rPr>
          <w:rFonts w:asciiTheme="minorHAnsi" w:hAnsiTheme="minorHAnsi" w:cstheme="minorHAnsi"/>
        </w:rPr>
        <w:t> </w:t>
      </w:r>
      <w:r w:rsidRPr="001664C9">
        <w:rPr>
          <w:rFonts w:asciiTheme="minorHAnsi" w:hAnsiTheme="minorHAnsi"/>
        </w:rPr>
        <w:t>prowadzeniem monitoringu stanu chemicznego i ilościowego wód podziemnych, a także wykonaniem dokumentacji hydrogeologicznych określających warunki hydrogeologiczne w związku z</w:t>
      </w:r>
      <w:r>
        <w:rPr>
          <w:rFonts w:asciiTheme="minorHAnsi" w:hAnsiTheme="minorHAnsi" w:cstheme="minorHAnsi"/>
        </w:rPr>
        <w:t> </w:t>
      </w:r>
      <w:r w:rsidRPr="001664C9">
        <w:rPr>
          <w:rFonts w:asciiTheme="minorHAnsi" w:hAnsiTheme="minorHAnsi"/>
        </w:rPr>
        <w:t>zakończeniem odwadniania lub/i likwidacji zakładu górniczego.</w:t>
      </w:r>
    </w:p>
    <w:p w14:paraId="6074C0E2" w14:textId="19FC3D47" w:rsidR="00860BC1" w:rsidRPr="00791C17" w:rsidRDefault="00860BC1" w:rsidP="00860BC1">
      <w:r>
        <w:t xml:space="preserve">Katalog działań jcwpd (GW) stanowi </w:t>
      </w:r>
      <w:r w:rsidRPr="006802BB">
        <w:t xml:space="preserve">załącznik nr </w:t>
      </w:r>
      <w:r w:rsidR="009E1FEB">
        <w:t>7</w:t>
      </w:r>
      <w:r w:rsidRPr="006802BB">
        <w:t>.2 (Katalog działań dla poszczególnych kategorii wód).</w:t>
      </w:r>
    </w:p>
    <w:p w14:paraId="7A18802E" w14:textId="74DD5F62" w:rsidR="00860BC1" w:rsidRDefault="00860BC1" w:rsidP="00B50FFD">
      <w:pPr>
        <w:pStyle w:val="Nagwek2"/>
      </w:pPr>
      <w:bookmarkStart w:id="401" w:name="_Toc66347824"/>
      <w:bookmarkStart w:id="402" w:name="_Toc66699278"/>
      <w:bookmarkStart w:id="403" w:name="_Toc68726899"/>
      <w:r>
        <w:t xml:space="preserve">Opis zestawu działań podstawowych i uzupełniających </w:t>
      </w:r>
      <w:bookmarkEnd w:id="401"/>
      <w:bookmarkEnd w:id="402"/>
      <w:r>
        <w:t>jcw</w:t>
      </w:r>
      <w:bookmarkEnd w:id="403"/>
      <w:r>
        <w:t xml:space="preserve"> </w:t>
      </w:r>
    </w:p>
    <w:p w14:paraId="18FA5C00" w14:textId="6A7429D8" w:rsidR="00860BC1" w:rsidRDefault="00860BC1" w:rsidP="00860BC1">
      <w:r w:rsidRPr="0065758B">
        <w:t>Zestaw działań podstawowych i uzupełniających jcw tworzą działania przypisane z katalogów działań indywidualnie dla jcwp i jcwpd. Wybór działań nastąpił w oparciu o wyniki i ustalenia projekt</w:t>
      </w:r>
      <w:r>
        <w:t xml:space="preserve">u </w:t>
      </w:r>
      <w:r w:rsidRPr="006F3C88">
        <w:rPr>
          <w:i/>
          <w:iCs/>
        </w:rPr>
        <w:t>Analizy znaczących oddziaływań - jcwp (…)</w:t>
      </w:r>
      <w:r w:rsidRPr="0065758B">
        <w:t xml:space="preserve"> oraz </w:t>
      </w:r>
      <w:r>
        <w:t xml:space="preserve">projektu </w:t>
      </w:r>
      <w:r w:rsidRPr="006F3C88">
        <w:rPr>
          <w:i/>
          <w:iCs/>
        </w:rPr>
        <w:t>Dalsza charakterystyka jcwpd (...)</w:t>
      </w:r>
      <w:r>
        <w:rPr>
          <w:i/>
          <w:iCs/>
        </w:rPr>
        <w:t>,</w:t>
      </w:r>
      <w:r w:rsidRPr="0065758B">
        <w:t xml:space="preserve"> tj. </w:t>
      </w:r>
      <w:r>
        <w:t>w oparciu o </w:t>
      </w:r>
      <w:r w:rsidRPr="0065758B">
        <w:t>zidentyfikowane presje antropogeniczne i ocenę ryzyka zagrożenia nieosiągnięcia celów środowiskowych (</w:t>
      </w:r>
      <w:r>
        <w:t xml:space="preserve">informacje </w:t>
      </w:r>
      <w:r w:rsidRPr="00185569">
        <w:t xml:space="preserve">ujęte w rozdziale 7 IIaPGW oraz w załącznikach graficznych nr </w:t>
      </w:r>
      <w:r w:rsidR="006802BB" w:rsidRPr="00185569">
        <w:t>18</w:t>
      </w:r>
      <w:r w:rsidRPr="00185569">
        <w:t>.1</w:t>
      </w:r>
      <w:r w:rsidR="006802BB" w:rsidRPr="00185569">
        <w:t>, 18.2 i 19</w:t>
      </w:r>
      <w:r w:rsidRPr="00185569">
        <w:t>).</w:t>
      </w:r>
    </w:p>
    <w:p w14:paraId="57A82611" w14:textId="77777777" w:rsidR="00860BC1" w:rsidRDefault="00860BC1" w:rsidP="00860BC1">
      <w:r w:rsidRPr="0065758B">
        <w:t xml:space="preserve">Katalogi poszczególnych kategorii wód opisane </w:t>
      </w:r>
      <w:r w:rsidRPr="006802BB">
        <w:t>zostały w podrozdziałach 12.2.1-12.2.3.</w:t>
      </w:r>
    </w:p>
    <w:p w14:paraId="68C9519C" w14:textId="77777777" w:rsidR="00860BC1" w:rsidRDefault="00860BC1" w:rsidP="00860BC1">
      <w:pPr>
        <w:suppressAutoHyphens/>
        <w:spacing w:line="276" w:lineRule="auto"/>
        <w:rPr>
          <w:rFonts w:cs="Calibri"/>
        </w:rPr>
      </w:pPr>
      <w:r w:rsidRPr="00292EDA">
        <w:t xml:space="preserve">W przypadku obszaru dorzecza </w:t>
      </w:r>
      <w:r>
        <w:t xml:space="preserve">Niemna </w:t>
      </w:r>
      <w:r w:rsidRPr="00292EDA">
        <w:t>zestawy działań zbudowane zostały dla następujących kategorii wód: jcwp RW, jcwp LW</w:t>
      </w:r>
      <w:r>
        <w:t xml:space="preserve"> </w:t>
      </w:r>
      <w:r w:rsidRPr="00292EDA">
        <w:t>oraz jcwpd</w:t>
      </w:r>
      <w:r w:rsidRPr="00EC70CD">
        <w:t>.</w:t>
      </w:r>
    </w:p>
    <w:p w14:paraId="0E4CBC0B" w14:textId="77777777" w:rsidR="00860BC1" w:rsidRDefault="00860BC1" w:rsidP="00B50FFD">
      <w:pPr>
        <w:pStyle w:val="Nagwek3"/>
      </w:pPr>
      <w:bookmarkStart w:id="404" w:name="_Toc68726900"/>
      <w:r>
        <w:t>Zestaw działań podstawowych i uzupełniających jcwp RW</w:t>
      </w:r>
      <w:bookmarkEnd w:id="404"/>
    </w:p>
    <w:p w14:paraId="5A97B871" w14:textId="77777777" w:rsidR="00860BC1" w:rsidRPr="002671BF" w:rsidRDefault="00860BC1" w:rsidP="00860BC1">
      <w:pPr>
        <w:rPr>
          <w:bCs/>
        </w:rPr>
      </w:pPr>
      <w:r w:rsidRPr="002671BF">
        <w:rPr>
          <w:bCs/>
        </w:rPr>
        <w:t>Zestawy działań dla jcwp RW zostały ukierunkowane na likwidację presji znaczących powodujących ryzyko nieosiągnięcia celów środowiskowych, ze szczególnym uwzględnieniem:</w:t>
      </w:r>
    </w:p>
    <w:p w14:paraId="098B9EF2" w14:textId="77777777" w:rsidR="00860BC1" w:rsidRDefault="00860BC1" w:rsidP="00AA3506">
      <w:pPr>
        <w:pStyle w:val="Akapitzlist"/>
        <w:numPr>
          <w:ilvl w:val="0"/>
          <w:numId w:val="129"/>
        </w:numPr>
      </w:pPr>
      <w:r>
        <w:t>przywrócenia drożności dla migracji ryb oraz połączenia pomiędzy korytem, a terenami zalewowymi;</w:t>
      </w:r>
    </w:p>
    <w:p w14:paraId="4C5D5FDD" w14:textId="77777777" w:rsidR="00860BC1" w:rsidRDefault="00860BC1" w:rsidP="00AA3506">
      <w:pPr>
        <w:pStyle w:val="Akapitzlist"/>
        <w:numPr>
          <w:ilvl w:val="0"/>
          <w:numId w:val="129"/>
        </w:numPr>
      </w:pPr>
      <w:r>
        <w:t>poprawy warunków morfologicznych (siedliskowych) w korycie oraz warunków przepływu wód w kontekście poprawy stanu elementów biologicznych;</w:t>
      </w:r>
    </w:p>
    <w:p w14:paraId="353372BC" w14:textId="77777777" w:rsidR="00860BC1" w:rsidRDefault="00860BC1" w:rsidP="00AA3506">
      <w:pPr>
        <w:pStyle w:val="Akapitzlist"/>
        <w:numPr>
          <w:ilvl w:val="0"/>
          <w:numId w:val="129"/>
        </w:numPr>
      </w:pPr>
      <w:r>
        <w:t>poprawy jakości wód i ograniczenia dopływu zanieczyszczeń ze źródeł: rolniczych, komunalnych i przemysłowych;</w:t>
      </w:r>
    </w:p>
    <w:p w14:paraId="11C55AC9" w14:textId="77777777" w:rsidR="00860BC1" w:rsidRDefault="00860BC1" w:rsidP="00AA3506">
      <w:pPr>
        <w:pStyle w:val="Akapitzlist"/>
        <w:numPr>
          <w:ilvl w:val="0"/>
          <w:numId w:val="129"/>
        </w:numPr>
      </w:pPr>
      <w:r>
        <w:t>spełnienia wymagań obszarów przeznaczonych do ochrony siedlisk lub gatunków ustanowionych w u.o.p., dla których utrzymanie lub poprawa stanu wód jest ważnym czynnikiem w ich ochronie.</w:t>
      </w:r>
    </w:p>
    <w:p w14:paraId="5B38853E" w14:textId="77777777" w:rsidR="00860BC1" w:rsidRDefault="00860BC1" w:rsidP="00860BC1">
      <w:pPr>
        <w:suppressAutoHyphens/>
        <w:spacing w:line="276" w:lineRule="auto"/>
        <w:rPr>
          <w:rFonts w:cs="Calibri"/>
        </w:rPr>
      </w:pPr>
      <w:r w:rsidRPr="6ABEA273">
        <w:rPr>
          <w:rFonts w:cs="Calibri"/>
        </w:rPr>
        <w:t xml:space="preserve">Na potrzeby przypisywania działań dla jcwp </w:t>
      </w:r>
      <w:r>
        <w:rPr>
          <w:rFonts w:cs="Calibri"/>
        </w:rPr>
        <w:t>RW</w:t>
      </w:r>
      <w:r w:rsidRPr="6ABEA273">
        <w:rPr>
          <w:rFonts w:cs="Calibri"/>
        </w:rPr>
        <w:t xml:space="preserve"> z zakresu zachowania ciągłości biologicznej i morfologicznej uwzględniono opracowanie:</w:t>
      </w:r>
      <w:r>
        <w:rPr>
          <w:rFonts w:cs="Calibri"/>
        </w:rPr>
        <w:t xml:space="preserve"> </w:t>
      </w:r>
      <w:r w:rsidRPr="6ABEA273">
        <w:rPr>
          <w:rFonts w:cs="Calibri"/>
          <w:i/>
          <w:iCs/>
        </w:rPr>
        <w:t>Ocena potrzeb i priorytetów udrożnienia ciągłości (…)</w:t>
      </w:r>
      <w:r w:rsidRPr="6ABEA273">
        <w:rPr>
          <w:rFonts w:cs="Calibri"/>
        </w:rPr>
        <w:t xml:space="preserve"> lub</w:t>
      </w:r>
      <w:r>
        <w:rPr>
          <w:rFonts w:cs="Calibri"/>
        </w:rPr>
        <w:t> </w:t>
      </w:r>
      <w:r w:rsidRPr="6ABEA273">
        <w:rPr>
          <w:rFonts w:cs="Calibri"/>
        </w:rPr>
        <w:t xml:space="preserve">wymagania gatunków chronionych zidentyfikowanych w opracowaniu pn. </w:t>
      </w:r>
      <w:r w:rsidRPr="6ABEA273">
        <w:rPr>
          <w:rFonts w:cs="Calibri"/>
          <w:i/>
          <w:iCs/>
        </w:rPr>
        <w:t>Ustalenie celów środowiskowych (…)</w:t>
      </w:r>
      <w:r w:rsidRPr="6ABEA273">
        <w:rPr>
          <w:rFonts w:cs="Calibri"/>
        </w:rPr>
        <w:t>, albo wartości indeksu D badań ichtiofauny przeprowadzonych w ramach PMŚ, o</w:t>
      </w:r>
      <w:r>
        <w:rPr>
          <w:rFonts w:cs="Calibri"/>
        </w:rPr>
        <w:t> </w:t>
      </w:r>
      <w:r w:rsidRPr="6ABEA273">
        <w:rPr>
          <w:rFonts w:cs="Calibri"/>
        </w:rPr>
        <w:t>ile ichtiofauna jest jedynym elementem oceny stanu/potencjału ekologicznego pozostającym poniżej dobrego. Dodatkowo działania dla konkretnych budowli weryfikowano w oparciu o</w:t>
      </w:r>
      <w:r>
        <w:rPr>
          <w:rFonts w:cs="Calibri"/>
        </w:rPr>
        <w:t xml:space="preserve"> </w:t>
      </w:r>
      <w:r w:rsidRPr="6ABEA273">
        <w:rPr>
          <w:rFonts w:cs="Calibri"/>
        </w:rPr>
        <w:t xml:space="preserve">ortofotomapy i wyniki </w:t>
      </w:r>
      <w:r w:rsidRPr="000338C0">
        <w:rPr>
          <w:rFonts w:cs="Calibri"/>
        </w:rPr>
        <w:t>ankietyzacji. Liczba działań z zakresu zachowania ciągłości biologicznej i morfologicznej wyniosła 35</w:t>
      </w:r>
      <w:r w:rsidR="007B7A3D" w:rsidRPr="4A720CEC">
        <w:rPr>
          <w:rFonts w:cs="Calibri"/>
        </w:rPr>
        <w:t xml:space="preserve"> (RWHM_02 i RWHM_01).</w:t>
      </w:r>
      <w:r w:rsidRPr="6ABEA273">
        <w:rPr>
          <w:rFonts w:cs="Calibri"/>
        </w:rPr>
        <w:t xml:space="preserve"> </w:t>
      </w:r>
    </w:p>
    <w:p w14:paraId="225C8C84" w14:textId="77777777" w:rsidR="00860BC1" w:rsidRDefault="00860BC1" w:rsidP="00860BC1">
      <w:pPr>
        <w:suppressAutoHyphens/>
        <w:spacing w:line="276" w:lineRule="auto"/>
        <w:rPr>
          <w:rFonts w:cs="Calibri"/>
        </w:rPr>
      </w:pPr>
      <w:r>
        <w:rPr>
          <w:rFonts w:cs="Calibri"/>
        </w:rPr>
        <w:t xml:space="preserve">We wszystkich kategoriach wód działania ukierunkowane na likwidację presji fizykochemicznych i chemicznych mają ograniczyć zanieczyszczenia u źródła ich powstania, ze szczególnym uwzględnieniem: </w:t>
      </w:r>
    </w:p>
    <w:p w14:paraId="53877A7F" w14:textId="77777777" w:rsidR="00860BC1" w:rsidRDefault="00860BC1" w:rsidP="00AA3506">
      <w:pPr>
        <w:pStyle w:val="Akapitzlist"/>
        <w:numPr>
          <w:ilvl w:val="0"/>
          <w:numId w:val="129"/>
        </w:numPr>
      </w:pPr>
      <w:r>
        <w:t>ograniczenia zanieczyszczeń rozproszonych z obszarów rolniczych i z depozycji atmosferycznej;</w:t>
      </w:r>
    </w:p>
    <w:p w14:paraId="0F732C1D" w14:textId="77777777" w:rsidR="00860BC1" w:rsidRDefault="00860BC1" w:rsidP="00AA3506">
      <w:pPr>
        <w:pStyle w:val="Akapitzlist"/>
        <w:numPr>
          <w:ilvl w:val="0"/>
          <w:numId w:val="129"/>
        </w:numPr>
      </w:pPr>
      <w:r>
        <w:t>ograniczenia zanieczyszczeń rozproszonych z obszarów zurbanizowanych (miejskich), turystyki i transportu;</w:t>
      </w:r>
    </w:p>
    <w:p w14:paraId="506FFD12" w14:textId="77777777" w:rsidR="00860BC1" w:rsidRDefault="00860BC1" w:rsidP="00AA3506">
      <w:pPr>
        <w:pStyle w:val="Akapitzlist"/>
        <w:numPr>
          <w:ilvl w:val="0"/>
          <w:numId w:val="129"/>
        </w:numPr>
      </w:pPr>
      <w:r>
        <w:t>ograniczenia zanieczyszczeń ze źródeł punktowych - przemysłowych i komunalnych.</w:t>
      </w:r>
    </w:p>
    <w:p w14:paraId="734C7FA4" w14:textId="77777777" w:rsidR="00860BC1" w:rsidRDefault="00860BC1" w:rsidP="00860BC1">
      <w:pPr>
        <w:suppressAutoHyphens/>
        <w:spacing w:line="276" w:lineRule="auto"/>
        <w:rPr>
          <w:rFonts w:cs="Calibri"/>
        </w:rPr>
      </w:pPr>
      <w:r>
        <w:rPr>
          <w:rFonts w:cs="Calibri"/>
        </w:rPr>
        <w:t>W zakresie realizacji celów środowiskowych dla obszarów przeznaczonych do ochrony siedlisk lub gatunków, dla których utrzymanie lub poprawa stanu wód jest ważnym czynnikiem w ich ochronie zaplanowano realizację:</w:t>
      </w:r>
    </w:p>
    <w:p w14:paraId="58C9AA31" w14:textId="77777777" w:rsidR="00860BC1" w:rsidRDefault="00860BC1" w:rsidP="00AA3506">
      <w:pPr>
        <w:pStyle w:val="Akapitzlist"/>
        <w:numPr>
          <w:ilvl w:val="0"/>
          <w:numId w:val="129"/>
        </w:numPr>
      </w:pPr>
      <w:r>
        <w:t>działań wynikających z PO i PZO dla wodozależnych obszarów chronionych uwzględniających zróżnicowane zagrożenia stwierdzone w czasie ich opracowywania;</w:t>
      </w:r>
    </w:p>
    <w:p w14:paraId="4B92FE21" w14:textId="77777777" w:rsidR="00860BC1" w:rsidRDefault="00860BC1" w:rsidP="00AA3506">
      <w:pPr>
        <w:pStyle w:val="Akapitzlist"/>
        <w:numPr>
          <w:ilvl w:val="0"/>
          <w:numId w:val="129"/>
        </w:numPr>
      </w:pPr>
      <w:r>
        <w:t>działań naprawczych w zakresie dopływu zanieczyszczeń mogących mieć wpływ na stan wodozależnych obszarów chronionych;</w:t>
      </w:r>
    </w:p>
    <w:p w14:paraId="612C1A25" w14:textId="77777777" w:rsidR="00860BC1" w:rsidRDefault="00860BC1" w:rsidP="00AA3506">
      <w:pPr>
        <w:pStyle w:val="Akapitzlist"/>
        <w:numPr>
          <w:ilvl w:val="0"/>
          <w:numId w:val="129"/>
        </w:numPr>
      </w:pPr>
      <w:r>
        <w:t>działań naprawczych w zakresie utrzymania naturalnego charakteru koryta w obrębie obszarów wodozależnych.</w:t>
      </w:r>
    </w:p>
    <w:p w14:paraId="73F3D554" w14:textId="0CB09718" w:rsidR="00860BC1" w:rsidRPr="00185569" w:rsidRDefault="00860BC1" w:rsidP="00860BC1">
      <w:pPr>
        <w:suppressAutoHyphens/>
        <w:spacing w:after="240" w:line="276" w:lineRule="auto"/>
        <w:rPr>
          <w:rFonts w:cs="Calibri"/>
        </w:rPr>
      </w:pPr>
      <w:r>
        <w:t xml:space="preserve">W zestawie działań dla jcwp RW najliczniejszą grupą działań stanowią działania związane z poprawą warunków dla obszarów chronionych (RWC_02) </w:t>
      </w:r>
      <w:r w:rsidR="006C4947">
        <w:t>-</w:t>
      </w:r>
      <w:r>
        <w:t xml:space="preserve"> 100 działań w 32 jcwp (47,80 % jcwp ze zbudowanym zestawem działań). Drugą grupą pod względem liczby działań są działania związane z gospodarką ściekową (RWP_01) z łączną liczbą 51 przypisanych działań w 18 jcwp (26,90%). Trzecią grupą są działania kontrolne (RWP_02) z łączną liczbą 43 przypisanych działań w 39 jcwp (58,20</w:t>
      </w:r>
      <w:r w:rsidRPr="00185569">
        <w:t>%) (tabela 12-</w:t>
      </w:r>
      <w:r w:rsidR="00185569" w:rsidRPr="00185569">
        <w:t> 6</w:t>
      </w:r>
      <w:r w:rsidRPr="00185569">
        <w:t>).</w:t>
      </w:r>
    </w:p>
    <w:p w14:paraId="6C4BFA30" w14:textId="2250BCD6" w:rsidR="00185569" w:rsidRDefault="00185569" w:rsidP="009331B4">
      <w:pPr>
        <w:pStyle w:val="Tabela"/>
      </w:pPr>
      <w:bookmarkStart w:id="405" w:name="_Toc67651290"/>
      <w:bookmarkStart w:id="406" w:name="_Toc68727034"/>
      <w:r>
        <w:t xml:space="preserve">Tabela </w:t>
      </w:r>
      <w:r w:rsidR="007B7A3D">
        <w:fldChar w:fldCharType="begin"/>
      </w:r>
      <w:r w:rsidR="007B7A3D">
        <w:instrText>STYLEREF 1 \s</w:instrText>
      </w:r>
      <w:r w:rsidR="007B7A3D">
        <w:fldChar w:fldCharType="separate"/>
      </w:r>
      <w:r w:rsidR="00AE1CF2">
        <w:rPr>
          <w:noProof/>
        </w:rPr>
        <w:t>12</w:t>
      </w:r>
      <w:r w:rsidR="007B7A3D">
        <w:fldChar w:fldCharType="end"/>
      </w:r>
      <w:r w:rsidR="007B4050">
        <w:noBreakHyphen/>
      </w:r>
      <w:r w:rsidR="007B7A3D">
        <w:fldChar w:fldCharType="begin"/>
      </w:r>
      <w:r w:rsidR="007B7A3D">
        <w:instrText>SEQ Tabela \* ARABIC \s 1</w:instrText>
      </w:r>
      <w:r w:rsidR="007B7A3D">
        <w:fldChar w:fldCharType="separate"/>
      </w:r>
      <w:r w:rsidR="00AE1CF2">
        <w:rPr>
          <w:noProof/>
        </w:rPr>
        <w:t>6</w:t>
      </w:r>
      <w:r w:rsidR="007B7A3D">
        <w:fldChar w:fldCharType="end"/>
      </w:r>
      <w:r w:rsidR="00480AAE">
        <w:tab/>
      </w:r>
      <w:r w:rsidRPr="00E127A4">
        <w:t xml:space="preserve">Zestawienie działań zalecanych do wdrożenia w jcwp RW na obszarze dorzecza </w:t>
      </w:r>
      <w:bookmarkEnd w:id="405"/>
      <w:r w:rsidR="00AE1CF2">
        <w:t>Pregoły</w:t>
      </w:r>
      <w:bookmarkEnd w:id="40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240"/>
        <w:gridCol w:w="3399"/>
        <w:gridCol w:w="1298"/>
        <w:gridCol w:w="1459"/>
        <w:gridCol w:w="1619"/>
      </w:tblGrid>
      <w:tr w:rsidR="00860BC1" w:rsidRPr="009D450A" w14:paraId="2F6955AF" w14:textId="77777777" w:rsidTr="00F817BD">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C9FB40" w14:textId="77777777" w:rsidR="00860BC1" w:rsidRPr="00907AC7" w:rsidRDefault="00860BC1" w:rsidP="00860BC1">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Kod IIaPGW</w:t>
            </w:r>
          </w:p>
        </w:tc>
        <w:tc>
          <w:tcPr>
            <w:tcW w:w="33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B88AD0" w14:textId="77777777" w:rsidR="00860BC1" w:rsidRPr="00907AC7" w:rsidRDefault="00860BC1" w:rsidP="00860BC1">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Grupa działań</w:t>
            </w:r>
          </w:p>
        </w:tc>
        <w:tc>
          <w:tcPr>
            <w:tcW w:w="12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B208C2" w14:textId="77777777" w:rsidR="00860BC1" w:rsidRPr="00907AC7" w:rsidRDefault="00860BC1" w:rsidP="00860BC1">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Łączna liczba przypisanych działań</w:t>
            </w:r>
          </w:p>
        </w:tc>
        <w:tc>
          <w:tcPr>
            <w:tcW w:w="14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6C0FB" w14:textId="77777777" w:rsidR="00860BC1" w:rsidRPr="00907AC7" w:rsidRDefault="00860BC1" w:rsidP="00860BC1">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Liczba jcw z przypisanym działaniem</w:t>
            </w:r>
          </w:p>
        </w:tc>
        <w:tc>
          <w:tcPr>
            <w:tcW w:w="161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265A76" w14:textId="77777777" w:rsidR="00860BC1" w:rsidRPr="00907AC7" w:rsidRDefault="00860BC1" w:rsidP="00860BC1">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 xml:space="preserve">Udział w ogólnej liczbie jcw ze zbudowanym </w:t>
            </w:r>
            <w:r>
              <w:rPr>
                <w:rFonts w:asciiTheme="minorHAnsi" w:hAnsiTheme="minorHAnsi" w:cstheme="minorHAnsi"/>
                <w:b/>
                <w:bCs/>
                <w:sz w:val="20"/>
                <w:szCs w:val="20"/>
              </w:rPr>
              <w:t xml:space="preserve">zestawem </w:t>
            </w:r>
            <w:r w:rsidRPr="00907AC7">
              <w:rPr>
                <w:rFonts w:asciiTheme="minorHAnsi" w:hAnsiTheme="minorHAnsi" w:cstheme="minorHAnsi"/>
                <w:b/>
                <w:bCs/>
                <w:sz w:val="20"/>
                <w:szCs w:val="20"/>
              </w:rPr>
              <w:t>dział</w:t>
            </w:r>
            <w:r>
              <w:rPr>
                <w:rFonts w:asciiTheme="minorHAnsi" w:hAnsiTheme="minorHAnsi" w:cstheme="minorHAnsi"/>
                <w:b/>
                <w:bCs/>
                <w:sz w:val="20"/>
                <w:szCs w:val="20"/>
              </w:rPr>
              <w:t>ań</w:t>
            </w:r>
            <w:r>
              <w:rPr>
                <w:rFonts w:asciiTheme="minorHAnsi" w:hAnsiTheme="minorHAnsi" w:cstheme="minorHAnsi"/>
                <w:b/>
                <w:bCs/>
                <w:sz w:val="20"/>
                <w:szCs w:val="20"/>
              </w:rPr>
              <w:br/>
            </w:r>
            <w:r w:rsidRPr="00907AC7">
              <w:rPr>
                <w:rFonts w:asciiTheme="minorHAnsi" w:hAnsiTheme="minorHAnsi" w:cstheme="minorHAnsi"/>
                <w:b/>
                <w:bCs/>
                <w:sz w:val="20"/>
                <w:szCs w:val="20"/>
              </w:rPr>
              <w:t>(%)</w:t>
            </w:r>
          </w:p>
        </w:tc>
      </w:tr>
      <w:tr w:rsidR="00860BC1" w:rsidRPr="00E35307" w14:paraId="21505BBB"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8D4DE"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RWC_02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B2EA1"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Poprawa warunków dla obszarów chronionych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89234"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100 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DCC2E"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32 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EBAC8"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47,80 </w:t>
            </w:r>
          </w:p>
        </w:tc>
      </w:tr>
      <w:tr w:rsidR="00860BC1" w:rsidRPr="00E35307" w14:paraId="67D33693"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BDCF1"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7D261"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Ochrona ekosystemów wodnych i od wód zależnych/ odtwarzanie warunków siedliskowych z uwzględnieniem celów środowiskowych wskazanych dla obszarów przyrodniczych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EC25C"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30535"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BAE87"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3,00 </w:t>
            </w:r>
          </w:p>
        </w:tc>
      </w:tr>
      <w:tr w:rsidR="00860BC1" w:rsidRPr="00E35307" w14:paraId="30BF8E76"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194D2"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RWH_03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719F3"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Zintegrowany system monitoringu stanu wód (suszy)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B5B11"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16235"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16C96"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3,00 </w:t>
            </w:r>
          </w:p>
        </w:tc>
      </w:tr>
      <w:tr w:rsidR="00860BC1" w:rsidRPr="00E35307" w14:paraId="46EF6CAF"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901C9"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RWHM_01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64959"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Udrażnianie przegród poprzecznych i dostosowanie ich do wymagań budowli proekologicznych z uwzględnieniem spełnienia celów środowiskowych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8A032"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9 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64EDF"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9 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C7709"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13,40 </w:t>
            </w:r>
          </w:p>
        </w:tc>
      </w:tr>
      <w:tr w:rsidR="00860BC1" w:rsidRPr="00E35307" w14:paraId="04AD460D"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95C4C"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RWHM_02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6D0EF"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Przebudowa budowli piętrzących w zakresie zapewniającym ciągłość biologiczną i spełnienia celów środowiskowych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A4E4C"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26 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A7B8C"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13 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27DB4"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19,40 </w:t>
            </w:r>
          </w:p>
        </w:tc>
      </w:tr>
      <w:tr w:rsidR="00860BC1" w:rsidRPr="00E35307" w14:paraId="2B061DF2"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50451"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RWHM_03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3559D"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Ochrona i odtwarzanie naturalnych procesów hydromorfologicznych w korycie zakresie spełnienia celów środowiskowych obszarów przyrodniczych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85F19"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14 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50DAF"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6 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AD6FA"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9,00 </w:t>
            </w:r>
          </w:p>
        </w:tc>
      </w:tr>
      <w:tr w:rsidR="00860BC1" w:rsidRPr="00E35307" w14:paraId="7210293D"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7A0C3"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RWHM_04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F1622"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Poprawa stanu elementów hydromorfologicznych w zakresie spełnienia celów środowiskowych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0E027"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43525"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7CBBF"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4,50 </w:t>
            </w:r>
          </w:p>
        </w:tc>
      </w:tr>
      <w:tr w:rsidR="00860BC1" w:rsidRPr="00E35307" w14:paraId="539185F5"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AF49B"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RWP_01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6CA6E"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Gospodarka ściekowa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0BBFF"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51 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8FDE8"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18 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15FB5"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26,90 </w:t>
            </w:r>
          </w:p>
        </w:tc>
      </w:tr>
      <w:tr w:rsidR="00860BC1" w:rsidRPr="00E35307" w14:paraId="7E5D8665"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CF4BA"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RWP_02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54C8D"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Działania kontrolne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693EB"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43 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557EB"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39 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A9908"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58,20 </w:t>
            </w:r>
          </w:p>
        </w:tc>
      </w:tr>
      <w:tr w:rsidR="00860BC1" w:rsidRPr="00E35307" w14:paraId="5CA8E30A"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9BD43"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RWP_04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E94D2"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Działania edukacyjne i doradcze dla rolników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02232"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36 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C8CD6"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36 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3E22E"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53,70 </w:t>
            </w:r>
          </w:p>
        </w:tc>
      </w:tr>
      <w:tr w:rsidR="00860BC1" w:rsidRPr="00E35307" w14:paraId="14DFB383" w14:textId="77777777" w:rsidTr="00860BC1">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AD8CA"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RWP_09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B9546" w14:textId="77777777" w:rsidR="00860BC1" w:rsidRPr="00E35307" w:rsidRDefault="00860BC1" w:rsidP="002A3454">
            <w:pPr>
              <w:suppressAutoHyphens/>
              <w:spacing w:before="40" w:after="40"/>
              <w:jc w:val="left"/>
              <w:rPr>
                <w:rFonts w:asciiTheme="minorHAnsi" w:hAnsiTheme="minorHAnsi" w:cstheme="minorHAnsi"/>
                <w:sz w:val="20"/>
                <w:szCs w:val="20"/>
              </w:rPr>
            </w:pPr>
            <w:r w:rsidRPr="00E35307">
              <w:rPr>
                <w:rFonts w:asciiTheme="minorHAnsi" w:hAnsiTheme="minorHAnsi" w:cstheme="minorHAnsi"/>
                <w:sz w:val="20"/>
                <w:szCs w:val="20"/>
              </w:rPr>
              <w:t>Weryfikacja programu ochrony środowiska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A7ABD"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14 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39C78"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14 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69284" w14:textId="77777777" w:rsidR="00860BC1" w:rsidRPr="00E35307" w:rsidRDefault="00860BC1" w:rsidP="00860BC1">
            <w:pPr>
              <w:suppressAutoHyphens/>
              <w:spacing w:before="40" w:after="40"/>
              <w:jc w:val="center"/>
              <w:rPr>
                <w:rFonts w:asciiTheme="minorHAnsi" w:hAnsiTheme="minorHAnsi" w:cstheme="minorHAnsi"/>
                <w:sz w:val="20"/>
                <w:szCs w:val="20"/>
              </w:rPr>
            </w:pPr>
            <w:r w:rsidRPr="00E35307">
              <w:rPr>
                <w:rFonts w:asciiTheme="minorHAnsi" w:hAnsiTheme="minorHAnsi" w:cstheme="minorHAnsi"/>
                <w:sz w:val="20"/>
                <w:szCs w:val="20"/>
              </w:rPr>
              <w:t>20,90 </w:t>
            </w:r>
          </w:p>
        </w:tc>
      </w:tr>
    </w:tbl>
    <w:p w14:paraId="64F66F18" w14:textId="77777777" w:rsidR="00860BC1" w:rsidRPr="00625564" w:rsidRDefault="00860BC1" w:rsidP="00860BC1">
      <w:pPr>
        <w:pStyle w:val="rdo0"/>
      </w:pPr>
      <w:r w:rsidRPr="00625564">
        <w:t>Źródło: opracowanie własne</w:t>
      </w:r>
    </w:p>
    <w:p w14:paraId="5D10E8FF" w14:textId="51201D5D" w:rsidR="00860BC1" w:rsidRDefault="00860BC1" w:rsidP="00860BC1">
      <w:r w:rsidRPr="00E35307">
        <w:t>Łącznie zestawy działań zostały zaplanowane dla 67 jcwp RW (81,7</w:t>
      </w:r>
      <w:r>
        <w:t>%</w:t>
      </w:r>
      <w:r w:rsidRPr="00E35307">
        <w:t xml:space="preserve"> jcwp</w:t>
      </w:r>
      <w:r>
        <w:t xml:space="preserve"> RW</w:t>
      </w:r>
      <w:r w:rsidRPr="00E35307">
        <w:t>), w pozostałych 15 jcwp</w:t>
      </w:r>
      <w:r>
        <w:t xml:space="preserve"> RW</w:t>
      </w:r>
      <w:r w:rsidRPr="00E35307">
        <w:t xml:space="preserve"> realizowane będą działania ogólnokrajowe. </w:t>
      </w:r>
      <w:r w:rsidR="007B7A3D" w:rsidRPr="00E35307">
        <w:t xml:space="preserve">Na poniższym </w:t>
      </w:r>
      <w:r w:rsidR="007B7A3D" w:rsidRPr="00185569">
        <w:t>wykresie (wykres 12-</w:t>
      </w:r>
      <w:r w:rsidR="00185569" w:rsidRPr="00185569">
        <w:t>1</w:t>
      </w:r>
      <w:r w:rsidR="00AD43E2">
        <w:t>4</w:t>
      </w:r>
      <w:r w:rsidRPr="00185569">
        <w:t>)</w:t>
      </w:r>
      <w:r w:rsidRPr="00E35307">
        <w:t xml:space="preserve"> przedstawiono informacje o udziale jcwp RW z zestawem działań w ogólnej liczbie jcwp RW w </w:t>
      </w:r>
      <w:r>
        <w:t>regionie wodnym obszaru</w:t>
      </w:r>
      <w:r w:rsidRPr="00E35307">
        <w:t xml:space="preserve"> dorzecza Pregoły.</w:t>
      </w:r>
    </w:p>
    <w:p w14:paraId="6CC77373" w14:textId="6F0EE4FD" w:rsidR="00860BC1" w:rsidRDefault="005536D1" w:rsidP="00185569">
      <w:pPr>
        <w:jc w:val="center"/>
      </w:pPr>
      <w:r>
        <w:rPr>
          <w:noProof/>
        </w:rPr>
        <w:drawing>
          <wp:inline distT="0" distB="0" distL="0" distR="0" wp14:anchorId="29739F18" wp14:editId="2826D949">
            <wp:extent cx="4532810" cy="4212771"/>
            <wp:effectExtent l="0" t="0" r="1270" b="16510"/>
            <wp:docPr id="1866059335" name="Wykres 1866059335">
              <a:extLst xmlns:a="http://schemas.openxmlformats.org/drawingml/2006/main">
                <a:ext uri="{FF2B5EF4-FFF2-40B4-BE49-F238E27FC236}">
                  <a16:creationId xmlns:a16="http://schemas.microsoft.com/office/drawing/2014/main" id="{A5267104-DC81-4ABD-A0A8-00AA887DF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AA4E36F" w14:textId="1896E214" w:rsidR="00860BC1" w:rsidRDefault="00860BC1" w:rsidP="006802BB">
      <w:pPr>
        <w:pStyle w:val="Wykres"/>
      </w:pPr>
      <w:bookmarkStart w:id="407" w:name="_Toc68727129"/>
      <w:r>
        <w:t xml:space="preserve">Wykres </w:t>
      </w:r>
      <w:r w:rsidR="007B7A3D">
        <w:fldChar w:fldCharType="begin"/>
      </w:r>
      <w:r w:rsidR="007B7A3D">
        <w:instrText>STYLEREF 1 \s</w:instrText>
      </w:r>
      <w:r w:rsidR="007B7A3D">
        <w:fldChar w:fldCharType="separate"/>
      </w:r>
      <w:r w:rsidR="009165BB">
        <w:rPr>
          <w:noProof/>
        </w:rPr>
        <w:t>12</w:t>
      </w:r>
      <w:r w:rsidR="007B7A3D">
        <w:fldChar w:fldCharType="end"/>
      </w:r>
      <w:r w:rsidR="00EF3FD3">
        <w:noBreakHyphen/>
      </w:r>
      <w:r w:rsidR="007B7A3D">
        <w:fldChar w:fldCharType="begin"/>
      </w:r>
      <w:r w:rsidR="007B7A3D">
        <w:instrText>SEQ Wykres \* ARABIC \s 1</w:instrText>
      </w:r>
      <w:r w:rsidR="007B7A3D">
        <w:fldChar w:fldCharType="separate"/>
      </w:r>
      <w:r w:rsidR="009165BB">
        <w:rPr>
          <w:noProof/>
        </w:rPr>
        <w:t>14</w:t>
      </w:r>
      <w:r w:rsidR="007B7A3D">
        <w:fldChar w:fldCharType="end"/>
      </w:r>
      <w:r>
        <w:tab/>
      </w:r>
      <w:r w:rsidRPr="001331A3">
        <w:t xml:space="preserve">Udział jcwp RW z przypisanymi zestawami działań w </w:t>
      </w:r>
      <w:r>
        <w:t>regionie wodnym</w:t>
      </w:r>
      <w:r w:rsidRPr="001331A3">
        <w:t xml:space="preserve"> obszaru dorzecza</w:t>
      </w:r>
      <w:r>
        <w:t xml:space="preserve"> Pregoły</w:t>
      </w:r>
      <w:bookmarkEnd w:id="407"/>
    </w:p>
    <w:p w14:paraId="62B5FF73" w14:textId="77777777" w:rsidR="00860BC1" w:rsidRDefault="00860BC1" w:rsidP="00860BC1">
      <w:pPr>
        <w:pStyle w:val="rdo0"/>
      </w:pPr>
      <w:r w:rsidRPr="002F6B68">
        <w:t>Źródło: opracowanie własne</w:t>
      </w:r>
    </w:p>
    <w:p w14:paraId="7B15CEB8" w14:textId="50D9AEE5" w:rsidR="00860BC1" w:rsidRDefault="00860BC1" w:rsidP="00860BC1">
      <w:r>
        <w:t xml:space="preserve">Wśród działań zaplanowanych dla jcwp </w:t>
      </w:r>
      <w:r w:rsidRPr="00185569">
        <w:t xml:space="preserve">RW </w:t>
      </w:r>
      <w:r w:rsidR="00185569" w:rsidRPr="00185569">
        <w:t xml:space="preserve">na </w:t>
      </w:r>
      <w:r w:rsidRPr="00185569">
        <w:t>obszar</w:t>
      </w:r>
      <w:r w:rsidR="00185569" w:rsidRPr="00185569">
        <w:t>ze</w:t>
      </w:r>
      <w:r w:rsidRPr="00185569">
        <w:t xml:space="preserve"> dorzecza Pregoły</w:t>
      </w:r>
      <w:r>
        <w:t xml:space="preserve"> 70% stanowią działania podstawowe, a 30% stanowią działania uzupełniające</w:t>
      </w:r>
      <w:r w:rsidR="0050790A">
        <w:t xml:space="preserve"> (</w:t>
      </w:r>
      <w:r w:rsidR="00AD43E2">
        <w:t>wykres</w:t>
      </w:r>
      <w:r w:rsidR="007B7A3D">
        <w:t xml:space="preserve"> 12-</w:t>
      </w:r>
      <w:r w:rsidR="0050790A">
        <w:t>1</w:t>
      </w:r>
      <w:r w:rsidR="00AD43E2">
        <w:t>5</w:t>
      </w:r>
      <w:r w:rsidR="0050790A">
        <w:t>)</w:t>
      </w:r>
      <w:r>
        <w:t>.</w:t>
      </w:r>
    </w:p>
    <w:p w14:paraId="0EA850EC" w14:textId="77777777" w:rsidR="00860BC1" w:rsidRDefault="007B7A3D" w:rsidP="00860BC1">
      <w:r>
        <w:rPr>
          <w:noProof/>
          <w:lang w:eastAsia="pl-PL"/>
        </w:rPr>
        <w:drawing>
          <wp:inline distT="0" distB="0" distL="0" distR="0" wp14:anchorId="0988BE4F" wp14:editId="5DF996FE">
            <wp:extent cx="5760720" cy="3547110"/>
            <wp:effectExtent l="0" t="0" r="11430" b="15240"/>
            <wp:docPr id="1866059338" name="Wykres 6">
              <a:extLst xmlns:a="http://schemas.openxmlformats.org/drawingml/2006/main">
                <a:ext uri="{FF2B5EF4-FFF2-40B4-BE49-F238E27FC236}">
                  <a16:creationId xmlns:a16="http://schemas.microsoft.com/office/drawing/2014/main" id="{DECA3EB7-98C9-4944-A910-349304A50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A352CBF" w14:textId="24A40DAB" w:rsidR="00860BC1" w:rsidRDefault="00860BC1" w:rsidP="006802BB">
      <w:pPr>
        <w:pStyle w:val="Wykres"/>
      </w:pPr>
      <w:bookmarkStart w:id="408" w:name="_Hlk67459261"/>
      <w:bookmarkStart w:id="409" w:name="_Toc68727130"/>
      <w:r>
        <w:t xml:space="preserve">Wykres </w:t>
      </w:r>
      <w:r w:rsidR="007B7A3D">
        <w:fldChar w:fldCharType="begin"/>
      </w:r>
      <w:r w:rsidR="007B7A3D">
        <w:instrText>STYLEREF 1 \s</w:instrText>
      </w:r>
      <w:r w:rsidR="007B7A3D">
        <w:fldChar w:fldCharType="separate"/>
      </w:r>
      <w:r w:rsidR="009165BB">
        <w:rPr>
          <w:noProof/>
        </w:rPr>
        <w:t>12</w:t>
      </w:r>
      <w:r w:rsidR="007B7A3D">
        <w:fldChar w:fldCharType="end"/>
      </w:r>
      <w:r w:rsidR="007B7A3D">
        <w:noBreakHyphen/>
      </w:r>
      <w:r w:rsidR="007B7A3D">
        <w:fldChar w:fldCharType="begin"/>
      </w:r>
      <w:r w:rsidR="007B7A3D">
        <w:instrText>SEQ Wykres \* ARABIC \s 1</w:instrText>
      </w:r>
      <w:r w:rsidR="007B7A3D">
        <w:fldChar w:fldCharType="separate"/>
      </w:r>
      <w:r w:rsidR="009165BB">
        <w:rPr>
          <w:noProof/>
        </w:rPr>
        <w:t>15</w:t>
      </w:r>
      <w:r w:rsidR="007B7A3D">
        <w:fldChar w:fldCharType="end"/>
      </w:r>
      <w:r>
        <w:tab/>
      </w:r>
      <w:r w:rsidRPr="002F6B68">
        <w:t xml:space="preserve">Podział działań w zestawie dla jcwp RW </w:t>
      </w:r>
      <w:r w:rsidR="0050790A" w:rsidRPr="0050790A">
        <w:t xml:space="preserve">na </w:t>
      </w:r>
      <w:r w:rsidRPr="0050790A">
        <w:t>obszar</w:t>
      </w:r>
      <w:r w:rsidR="0050790A" w:rsidRPr="0050790A">
        <w:t>ze</w:t>
      </w:r>
      <w:r w:rsidRPr="0050790A">
        <w:t xml:space="preserve"> dorzecza Pregoły</w:t>
      </w:r>
      <w:bookmarkEnd w:id="409"/>
    </w:p>
    <w:bookmarkEnd w:id="408"/>
    <w:p w14:paraId="15029260" w14:textId="77777777" w:rsidR="00860BC1" w:rsidRDefault="00860BC1" w:rsidP="00860BC1">
      <w:pPr>
        <w:pStyle w:val="rdo0"/>
      </w:pPr>
      <w:r w:rsidRPr="002F6B68">
        <w:t>Źródło: opracowanie własne</w:t>
      </w:r>
    </w:p>
    <w:p w14:paraId="1EB63170" w14:textId="77777777" w:rsidR="00860BC1" w:rsidRDefault="00860BC1" w:rsidP="00860BC1">
      <w:pPr>
        <w:suppressAutoHyphens/>
        <w:rPr>
          <w:rFonts w:eastAsia="Times New Roman" w:cs="Calibri"/>
        </w:rPr>
      </w:pPr>
      <w:r>
        <w:rPr>
          <w:rFonts w:eastAsia="Times New Roman" w:cs="Calibri"/>
        </w:rPr>
        <w:t xml:space="preserve">Informacje o działaniach zaplanowanych dla danej jcwp uwzględnione zostały w załączniku nr </w:t>
      </w:r>
      <w:r w:rsidR="009E1FEB">
        <w:rPr>
          <w:rFonts w:eastAsia="Times New Roman" w:cs="Calibri"/>
        </w:rPr>
        <w:t>7</w:t>
      </w:r>
      <w:r w:rsidR="00840ED3">
        <w:rPr>
          <w:rFonts w:eastAsia="Times New Roman" w:cs="Calibri"/>
        </w:rPr>
        <w:t>.3</w:t>
      </w:r>
      <w:r>
        <w:rPr>
          <w:rFonts w:eastAsia="Times New Roman" w:cs="Calibri"/>
        </w:rPr>
        <w:t xml:space="preserve"> (Zestaw</w:t>
      </w:r>
      <w:r w:rsidR="00840ED3">
        <w:rPr>
          <w:rFonts w:eastAsia="Times New Roman" w:cs="Calibri"/>
        </w:rPr>
        <w:t xml:space="preserve"> działań RW</w:t>
      </w:r>
      <w:r>
        <w:rPr>
          <w:rFonts w:eastAsia="Times New Roman" w:cs="Calibri"/>
        </w:rPr>
        <w:t xml:space="preserve">). Zobrazowanie </w:t>
      </w:r>
      <w:r w:rsidRPr="0050790A">
        <w:rPr>
          <w:rFonts w:eastAsia="Times New Roman" w:cs="Calibri"/>
        </w:rPr>
        <w:t xml:space="preserve">przestrzenne jcwp RW </w:t>
      </w:r>
      <w:r w:rsidR="0050790A" w:rsidRPr="0050790A">
        <w:rPr>
          <w:rFonts w:eastAsia="Times New Roman" w:cs="Calibri"/>
        </w:rPr>
        <w:t>na</w:t>
      </w:r>
      <w:r w:rsidRPr="0050790A">
        <w:rPr>
          <w:rFonts w:eastAsia="Times New Roman" w:cs="Calibri"/>
        </w:rPr>
        <w:t xml:space="preserve"> obszarze dorzecza Pregoły z przypisanym zestawem działań stanowi załącznik graficzny nr </w:t>
      </w:r>
      <w:r w:rsidR="0050790A">
        <w:rPr>
          <w:rFonts w:eastAsia="Times New Roman" w:cs="Calibri"/>
        </w:rPr>
        <w:t>29</w:t>
      </w:r>
      <w:r w:rsidRPr="0050790A">
        <w:rPr>
          <w:rFonts w:eastAsia="Times New Roman" w:cs="Calibri"/>
        </w:rPr>
        <w:t>.</w:t>
      </w:r>
    </w:p>
    <w:p w14:paraId="28CA6AE0" w14:textId="4E9350E1" w:rsidR="00860BC1" w:rsidRPr="0050790A" w:rsidRDefault="00860BC1" w:rsidP="00860BC1">
      <w:pPr>
        <w:suppressAutoHyphens/>
        <w:rPr>
          <w:rFonts w:asciiTheme="minorHAnsi" w:hAnsiTheme="minorHAnsi" w:cstheme="minorHAnsi"/>
        </w:rPr>
      </w:pPr>
      <w:r w:rsidRPr="0050790A">
        <w:rPr>
          <w:rFonts w:asciiTheme="minorHAnsi" w:hAnsiTheme="minorHAnsi" w:cstheme="minorHAnsi"/>
        </w:rPr>
        <w:t xml:space="preserve">Dodatkowo na odrębnym załączniku graficznym przedstawione zostały jcwp RW z zestawem działań zawierającym działania ukierunkowane na drożność (załącznik graficzny nr </w:t>
      </w:r>
      <w:r w:rsidR="0050790A" w:rsidRPr="0050790A">
        <w:rPr>
          <w:rFonts w:asciiTheme="minorHAnsi" w:hAnsiTheme="minorHAnsi" w:cstheme="minorHAnsi"/>
        </w:rPr>
        <w:t>30</w:t>
      </w:r>
      <w:r w:rsidRPr="0050790A">
        <w:rPr>
          <w:rFonts w:asciiTheme="minorHAnsi" w:hAnsiTheme="minorHAnsi" w:cstheme="minorHAnsi"/>
        </w:rPr>
        <w:t>).</w:t>
      </w:r>
    </w:p>
    <w:p w14:paraId="7872D3F6" w14:textId="77777777" w:rsidR="00860BC1" w:rsidRPr="0050790A" w:rsidRDefault="00860BC1" w:rsidP="00B50FFD">
      <w:pPr>
        <w:pStyle w:val="Nagwek3"/>
      </w:pPr>
      <w:bookmarkStart w:id="410" w:name="_Toc68726901"/>
      <w:r w:rsidRPr="0050790A">
        <w:t>Zestaw działań podstawowych i uzupełniających jcwp LW</w:t>
      </w:r>
      <w:bookmarkEnd w:id="410"/>
    </w:p>
    <w:p w14:paraId="683A743C" w14:textId="77777777" w:rsidR="00860BC1" w:rsidRPr="00582A84" w:rsidRDefault="00860BC1" w:rsidP="00860BC1">
      <w:r w:rsidRPr="00582A84">
        <w:t xml:space="preserve">Zestawy działań dla jcwp </w:t>
      </w:r>
      <w:r>
        <w:t>LW</w:t>
      </w:r>
      <w:r w:rsidRPr="00582A84">
        <w:t xml:space="preserve"> zostały ukierunkowane na likwidację/zmniejszenie presji znaczących powodujących ryzyko nieosiągnięcia celów środowiskowych, ze szczególnym uwzględnieniem:</w:t>
      </w:r>
    </w:p>
    <w:p w14:paraId="258A02FB" w14:textId="77777777" w:rsidR="00860BC1" w:rsidRPr="00582A84" w:rsidRDefault="00860BC1" w:rsidP="00AA3506">
      <w:pPr>
        <w:pStyle w:val="Akapitzlist"/>
        <w:numPr>
          <w:ilvl w:val="0"/>
          <w:numId w:val="129"/>
        </w:numPr>
      </w:pPr>
      <w:r w:rsidRPr="00582A84">
        <w:t>poprawy jakości wód i ograniczenia dopływu zanieczyszczeń ze źródeł: rolniczych, komunalnych i przemysłowych;</w:t>
      </w:r>
    </w:p>
    <w:p w14:paraId="3AA12137" w14:textId="77777777" w:rsidR="00860BC1" w:rsidRPr="00582A84" w:rsidRDefault="00860BC1" w:rsidP="00AA3506">
      <w:pPr>
        <w:pStyle w:val="Akapitzlist"/>
        <w:numPr>
          <w:ilvl w:val="0"/>
          <w:numId w:val="129"/>
        </w:numPr>
      </w:pPr>
      <w:r w:rsidRPr="00582A84">
        <w:t>poprawy warunków morfologicznych (siedliskowych) w kontekście poprawy stanu elementów biologicznych;</w:t>
      </w:r>
    </w:p>
    <w:p w14:paraId="52840023" w14:textId="77777777" w:rsidR="00860BC1" w:rsidRPr="00582A84" w:rsidRDefault="00860BC1" w:rsidP="00AA3506">
      <w:pPr>
        <w:pStyle w:val="Akapitzlist"/>
        <w:numPr>
          <w:ilvl w:val="0"/>
          <w:numId w:val="129"/>
        </w:numPr>
      </w:pPr>
      <w:r w:rsidRPr="00582A84">
        <w:t>przywrócenia drożności dla migracji ryb, w tym także poprawa połączeń ekosystemów rzeczno-jeziornych</w:t>
      </w:r>
      <w:r>
        <w:t>;</w:t>
      </w:r>
    </w:p>
    <w:p w14:paraId="2D0631A8" w14:textId="77777777" w:rsidR="00860BC1" w:rsidRPr="00582A84" w:rsidRDefault="00860BC1" w:rsidP="00AA3506">
      <w:pPr>
        <w:pStyle w:val="Akapitzlist"/>
        <w:numPr>
          <w:ilvl w:val="0"/>
          <w:numId w:val="129"/>
        </w:numPr>
      </w:pPr>
      <w:r w:rsidRPr="00582A84">
        <w:t>spełnienia wymagań obszarów przeznaczonych do ochrony siedlisk lub gatunków ustanowionych w u.o.p., dla których utrzymanie lub poprawa stanu wód jest ważnym czynnikiem w ich ochronie.</w:t>
      </w:r>
    </w:p>
    <w:p w14:paraId="61ABC5EF" w14:textId="25E21E09" w:rsidR="00860BC1" w:rsidRDefault="00860BC1" w:rsidP="00860BC1">
      <w:r w:rsidRPr="00FB1043">
        <w:t xml:space="preserve">Największą grupę spośród przypisanych działań w </w:t>
      </w:r>
      <w:r>
        <w:t xml:space="preserve">obszarze </w:t>
      </w:r>
      <w:r w:rsidRPr="00FB1043">
        <w:t>dorzecz</w:t>
      </w:r>
      <w:r>
        <w:t>a</w:t>
      </w:r>
      <w:r w:rsidRPr="00FB1043">
        <w:t xml:space="preserve"> stanowią działania z grupy LWP_09</w:t>
      </w:r>
      <w:r>
        <w:t>,</w:t>
      </w:r>
      <w:r w:rsidRPr="00FB1043">
        <w:t xml:space="preserve"> tj. działania naprawcze dla obszarów </w:t>
      </w:r>
      <w:r w:rsidRPr="0050790A">
        <w:t>chronionych (tabela 12-</w:t>
      </w:r>
      <w:r w:rsidR="0050790A" w:rsidRPr="0050790A">
        <w:t>7</w:t>
      </w:r>
      <w:r w:rsidRPr="0050790A">
        <w:t>).</w:t>
      </w:r>
    </w:p>
    <w:p w14:paraId="15D53BBE" w14:textId="75E72723" w:rsidR="00860BC1" w:rsidRPr="00FC08AF" w:rsidRDefault="00860BC1" w:rsidP="006802BB">
      <w:pPr>
        <w:pStyle w:val="Tabela"/>
      </w:pPr>
      <w:bookmarkStart w:id="411" w:name="_Toc66341950"/>
      <w:bookmarkStart w:id="412" w:name="_Toc66706735"/>
      <w:bookmarkStart w:id="413" w:name="_Toc68727035"/>
      <w:r>
        <w:t xml:space="preserve">Tabela </w:t>
      </w:r>
      <w:fldSimple w:instr=" STYLEREF 1 \s ">
        <w:r w:rsidR="007B4050">
          <w:rPr>
            <w:noProof/>
          </w:rPr>
          <w:t>12</w:t>
        </w:r>
      </w:fldSimple>
      <w:r w:rsidR="007B4050">
        <w:noBreakHyphen/>
      </w:r>
      <w:fldSimple w:instr=" SEQ Tabela \* ARABIC \s 1 ">
        <w:r w:rsidR="007B4050">
          <w:rPr>
            <w:noProof/>
          </w:rPr>
          <w:t>7</w:t>
        </w:r>
      </w:fldSimple>
      <w:r>
        <w:tab/>
        <w:t xml:space="preserve">Zestawienie działań zalecanych do wdrożenia w jcwp LW na </w:t>
      </w:r>
      <w:r w:rsidRPr="0050790A">
        <w:t xml:space="preserve">obszarze dorzecza </w:t>
      </w:r>
      <w:bookmarkEnd w:id="411"/>
      <w:bookmarkEnd w:id="412"/>
      <w:r w:rsidRPr="0050790A">
        <w:t>Pregoły</w:t>
      </w:r>
      <w:bookmarkEnd w:id="4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3445"/>
        <w:gridCol w:w="1463"/>
        <w:gridCol w:w="1463"/>
        <w:gridCol w:w="1463"/>
      </w:tblGrid>
      <w:tr w:rsidR="00860BC1" w:rsidRPr="00FC08AF" w14:paraId="0086D302"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19A4D" w14:textId="77777777" w:rsidR="00860BC1" w:rsidRPr="00FC08AF" w:rsidRDefault="00860BC1" w:rsidP="00860BC1">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Kod grupy IIaPGW</w:t>
            </w:r>
          </w:p>
        </w:tc>
        <w:tc>
          <w:tcPr>
            <w:tcW w:w="19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69513E" w14:textId="77777777" w:rsidR="00860BC1" w:rsidRPr="00FC08AF" w:rsidRDefault="00860BC1" w:rsidP="00860BC1">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Grupa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5E8621" w14:textId="77777777" w:rsidR="00860BC1" w:rsidRPr="00FC08AF" w:rsidRDefault="00860BC1" w:rsidP="00860BC1">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Łączna liczba przypisanych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4C41DA" w14:textId="77777777" w:rsidR="00860BC1" w:rsidRPr="00FC08AF" w:rsidRDefault="00860BC1" w:rsidP="00860BC1">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Liczba jcw z przypisanym działaniem</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874C4C" w14:textId="77777777" w:rsidR="00860BC1" w:rsidRPr="00FC08AF" w:rsidRDefault="00860BC1" w:rsidP="00860BC1">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 xml:space="preserve">Udział w ogólnej liczbie jcw ze zbudowanym </w:t>
            </w:r>
            <w:r>
              <w:rPr>
                <w:rFonts w:asciiTheme="minorHAnsi" w:eastAsia="Times New Roman" w:hAnsiTheme="minorHAnsi" w:cstheme="minorHAnsi"/>
                <w:b/>
                <w:color w:val="000000"/>
                <w:sz w:val="20"/>
                <w:szCs w:val="20"/>
                <w:lang w:eastAsia="pl-PL"/>
              </w:rPr>
              <w:t xml:space="preserve">zestawem </w:t>
            </w:r>
            <w:r w:rsidRPr="00FC08AF">
              <w:rPr>
                <w:rFonts w:asciiTheme="minorHAnsi" w:eastAsia="Times New Roman" w:hAnsiTheme="minorHAnsi" w:cstheme="minorHAnsi"/>
                <w:b/>
                <w:color w:val="000000"/>
                <w:sz w:val="20"/>
                <w:szCs w:val="20"/>
                <w:lang w:eastAsia="pl-PL"/>
              </w:rPr>
              <w:t>działa</w:t>
            </w:r>
            <w:r>
              <w:rPr>
                <w:rFonts w:asciiTheme="minorHAnsi" w:eastAsia="Times New Roman" w:hAnsiTheme="minorHAnsi" w:cstheme="minorHAnsi"/>
                <w:b/>
                <w:color w:val="000000"/>
                <w:sz w:val="20"/>
                <w:szCs w:val="20"/>
                <w:lang w:eastAsia="pl-PL"/>
              </w:rPr>
              <w:t>ń</w:t>
            </w:r>
            <w:r>
              <w:rPr>
                <w:rFonts w:asciiTheme="minorHAnsi" w:eastAsia="Times New Roman" w:hAnsiTheme="minorHAnsi" w:cstheme="minorHAnsi"/>
                <w:b/>
                <w:color w:val="000000"/>
                <w:sz w:val="20"/>
                <w:szCs w:val="20"/>
                <w:lang w:eastAsia="pl-PL"/>
              </w:rPr>
              <w:br/>
              <w:t>(%)</w:t>
            </w:r>
          </w:p>
        </w:tc>
      </w:tr>
      <w:tr w:rsidR="00860BC1" w:rsidRPr="00FB1043" w14:paraId="060E1638"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59AD9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LWHM_01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649C9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Poprawa warunków wodnych i siedliskowych w obrębie strefy brzegowej jezior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D76CE0"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788D10"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887C9" w14:textId="6EA70BB2"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6,8 </w:t>
            </w:r>
          </w:p>
        </w:tc>
      </w:tr>
      <w:tr w:rsidR="00860BC1" w:rsidRPr="00FB1043" w14:paraId="427C0E92"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7720E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LWHM_02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657D3"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Poprawa warunków siedliskowych w strefie litoralnej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D3F094"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116B7"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11FC2" w14:textId="1978A700"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0,0 </w:t>
            </w:r>
          </w:p>
        </w:tc>
      </w:tr>
      <w:tr w:rsidR="00860BC1" w:rsidRPr="00FB1043" w14:paraId="170E73A9"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7E09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LWH_02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80BE40"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Zintegrowany system monitoringu suszy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0F8793"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E294"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9108E1" w14:textId="44AB5DE0"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1,7 </w:t>
            </w:r>
          </w:p>
        </w:tc>
      </w:tr>
      <w:tr w:rsidR="00860BC1" w:rsidRPr="00FB1043" w14:paraId="4D81DB7F"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7DEA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598B7"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Działania edukacyjne i doradcze dla rolników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07B79"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EDA661"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48D6A" w14:textId="7D3D4106"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27,1 </w:t>
            </w:r>
          </w:p>
        </w:tc>
      </w:tr>
      <w:tr w:rsidR="00860BC1" w:rsidRPr="00FB1043" w14:paraId="592258B9"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E75A0"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33079"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Ograniczenie zanieczyszczenia pestycydami z rolnictwa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E7786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022D0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749AD" w14:textId="2564569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28,</w:t>
            </w:r>
            <w:r w:rsidR="0050790A">
              <w:rPr>
                <w:rFonts w:asciiTheme="minorHAnsi" w:eastAsia="Times New Roman" w:hAnsiTheme="minorHAnsi" w:cstheme="minorHAnsi"/>
                <w:bCs/>
                <w:color w:val="000000"/>
                <w:sz w:val="20"/>
                <w:szCs w:val="20"/>
                <w:lang w:eastAsia="pl-PL"/>
              </w:rPr>
              <w:t>8</w:t>
            </w:r>
          </w:p>
        </w:tc>
      </w:tr>
      <w:tr w:rsidR="00860BC1" w:rsidRPr="00FB1043" w14:paraId="54C2DB17"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29A1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LWP_06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E30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Gospodarka ściekowa w obszarach niezurbanizowanych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8B95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A4BBF"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88067" w14:textId="155AB121"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27,1</w:t>
            </w:r>
          </w:p>
        </w:tc>
      </w:tr>
      <w:tr w:rsidR="00860BC1" w:rsidRPr="00FB1043" w14:paraId="1010F124"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BE755"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LWP_07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C689E3"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Gospodarka ściekowa w obszarach niezurbanizowanych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4936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B8546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BAA4C" w14:textId="534A0366"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27,1 </w:t>
            </w:r>
          </w:p>
        </w:tc>
      </w:tr>
      <w:tr w:rsidR="00860BC1" w:rsidRPr="00FB1043" w14:paraId="19E5AD62"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FFA926"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LWP_08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09040E"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Weryfikacja i aktualizacja programu ochrony środowiska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D3A44"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130DA"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BCF1E" w14:textId="597133AC"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74,6 </w:t>
            </w:r>
          </w:p>
        </w:tc>
      </w:tr>
      <w:tr w:rsidR="00860BC1" w:rsidRPr="00FB1043" w14:paraId="37A68CD1"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394944"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LWP_09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C862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Działania kontrolne i monitoringowe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744955"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E2BC1"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44 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5157EA" w14:textId="66D84298"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74,6 </w:t>
            </w:r>
          </w:p>
        </w:tc>
      </w:tr>
      <w:tr w:rsidR="00860BC1" w:rsidRPr="00FB1043" w14:paraId="141D38E1"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74FB7B"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LWP_10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E05116"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Gospodarka ściekowa w aglomeracjach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9383B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0212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758934" w14:textId="6C9F443E"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0,0</w:t>
            </w:r>
          </w:p>
        </w:tc>
      </w:tr>
      <w:tr w:rsidR="00860BC1" w:rsidRPr="00FB1043" w14:paraId="01E7E6CE"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1BD0E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2AEEF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Programy rekultywacji jezior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1F200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D58C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3C421" w14:textId="3509E20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1,7 </w:t>
            </w:r>
          </w:p>
        </w:tc>
      </w:tr>
      <w:tr w:rsidR="00860BC1" w:rsidRPr="00FB1043" w14:paraId="13ECBE9D"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8E24E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9C6D9"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Program renaturyzacji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BE4E06"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C3F1D5"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12DF5" w14:textId="573108C6"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0,0 </w:t>
            </w:r>
          </w:p>
        </w:tc>
      </w:tr>
      <w:tr w:rsidR="00860BC1" w:rsidRPr="00FB1043" w14:paraId="2A80FA7A"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593FC2"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LWC_08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F002ED"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Realizacja działań wynikających z planów ochrony i planów zadań ochronnych dla obszarów chronionych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ACF71E"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8 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911C81"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8 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FF5C33" w14:textId="0F2A72CB"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13,6 </w:t>
            </w:r>
          </w:p>
        </w:tc>
      </w:tr>
      <w:tr w:rsidR="00860BC1" w:rsidRPr="00FB1043" w14:paraId="1A19ACA3"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15EE04"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LWC_09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58E52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Działania naprawcze dla obszarów chronionych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C9B0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B457C7"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826E9" w14:textId="6A828792"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27,1 </w:t>
            </w:r>
          </w:p>
        </w:tc>
      </w:tr>
      <w:tr w:rsidR="00860BC1" w:rsidRPr="00FB1043" w14:paraId="350D0C56"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00A395"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LWC_11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907813"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Działania kontrolne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5B4EC9"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EA65B6"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CD827" w14:textId="2C97E43A"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27,1 </w:t>
            </w:r>
          </w:p>
        </w:tc>
      </w:tr>
      <w:tr w:rsidR="00860BC1" w:rsidRPr="00FB1043" w14:paraId="16A0FDA7" w14:textId="77777777" w:rsidTr="00860BC1">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9F139C"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LWC_12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035BF"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Działania monitoringowe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DA8D58"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6D4235" w14:textId="77777777"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91E8E9" w14:textId="5A1B4608" w:rsidR="00860BC1" w:rsidRPr="0050790A" w:rsidRDefault="00860BC1" w:rsidP="00860BC1">
            <w:pPr>
              <w:spacing w:before="40" w:after="40"/>
              <w:jc w:val="center"/>
              <w:rPr>
                <w:rFonts w:asciiTheme="minorHAnsi" w:eastAsia="Times New Roman" w:hAnsiTheme="minorHAnsi" w:cstheme="minorHAnsi"/>
                <w:bCs/>
                <w:color w:val="000000"/>
                <w:sz w:val="20"/>
                <w:szCs w:val="20"/>
                <w:lang w:eastAsia="pl-PL"/>
              </w:rPr>
            </w:pPr>
            <w:r w:rsidRPr="0050790A">
              <w:rPr>
                <w:rFonts w:asciiTheme="minorHAnsi" w:eastAsia="Times New Roman" w:hAnsiTheme="minorHAnsi" w:cstheme="minorHAnsi"/>
                <w:bCs/>
                <w:color w:val="000000"/>
                <w:sz w:val="20"/>
                <w:szCs w:val="20"/>
                <w:lang w:eastAsia="pl-PL"/>
              </w:rPr>
              <w:t>1,7</w:t>
            </w:r>
          </w:p>
        </w:tc>
      </w:tr>
    </w:tbl>
    <w:p w14:paraId="392F9C53" w14:textId="77777777" w:rsidR="00860BC1" w:rsidRDefault="00860BC1" w:rsidP="00860BC1">
      <w:pPr>
        <w:pStyle w:val="rdo0"/>
      </w:pPr>
      <w:r>
        <w:t>Źródło: opracowanie własne</w:t>
      </w:r>
    </w:p>
    <w:p w14:paraId="728CFFE1" w14:textId="7938240F" w:rsidR="00860BC1" w:rsidRDefault="00860BC1" w:rsidP="00860BC1">
      <w:r w:rsidRPr="00FB1043">
        <w:t xml:space="preserve">Na obszarze dorzecza Pregoły zestaw działań zbudowano dla 59 jcwp, co stanowi 56% jcwp </w:t>
      </w:r>
      <w:r>
        <w:t>LW</w:t>
      </w:r>
      <w:r w:rsidRPr="00FB1043">
        <w:t xml:space="preserve"> w</w:t>
      </w:r>
      <w:r w:rsidR="001E446E">
        <w:t> </w:t>
      </w:r>
      <w:r>
        <w:t xml:space="preserve">obszarze </w:t>
      </w:r>
      <w:r w:rsidRPr="00FB1043">
        <w:t>dorzecz</w:t>
      </w:r>
      <w:r>
        <w:t>a</w:t>
      </w:r>
      <w:r w:rsidRPr="00FB1043">
        <w:t xml:space="preserve">. Na poniższym </w:t>
      </w:r>
      <w:r w:rsidRPr="0050790A">
        <w:t>wykresie (wykres 12-</w:t>
      </w:r>
      <w:r w:rsidR="0050790A" w:rsidRPr="0050790A">
        <w:t>1</w:t>
      </w:r>
      <w:r w:rsidR="00AD43E2">
        <w:t>6</w:t>
      </w:r>
      <w:r w:rsidRPr="0050790A">
        <w:t>) przedstawiono</w:t>
      </w:r>
      <w:r w:rsidRPr="00FB1043">
        <w:t xml:space="preserve"> informacje o udziale jcwp LW z zestawem działań w ogólnej liczbie jcwp LW </w:t>
      </w:r>
      <w:r>
        <w:t xml:space="preserve">w regionie wodnym obszaru </w:t>
      </w:r>
      <w:r w:rsidRPr="00FB1043">
        <w:t>dorzecza Pregoły</w:t>
      </w:r>
      <w:r w:rsidRPr="00E770A8">
        <w:t>.</w:t>
      </w:r>
    </w:p>
    <w:p w14:paraId="264151E0" w14:textId="77777777" w:rsidR="00860BC1" w:rsidRDefault="00860BC1" w:rsidP="0050790A">
      <w:pPr>
        <w:jc w:val="center"/>
      </w:pPr>
      <w:r>
        <w:rPr>
          <w:noProof/>
        </w:rPr>
        <w:drawing>
          <wp:inline distT="0" distB="0" distL="0" distR="0" wp14:anchorId="00701351" wp14:editId="66A1C2B2">
            <wp:extent cx="4532400" cy="3600000"/>
            <wp:effectExtent l="0" t="0" r="1905" b="635"/>
            <wp:docPr id="1866059339" name="Wykres 7">
              <a:extLst xmlns:a="http://schemas.openxmlformats.org/drawingml/2006/main">
                <a:ext uri="{FF2B5EF4-FFF2-40B4-BE49-F238E27FC236}">
                  <a16:creationId xmlns:a16="http://schemas.microsoft.com/office/drawing/2014/main" id="{A5267104-DC81-4ABD-A0A8-00AA887DFDA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2EED106" w14:textId="1C3BC84D" w:rsidR="00860BC1" w:rsidRDefault="00860BC1" w:rsidP="006802BB">
      <w:pPr>
        <w:pStyle w:val="Wykres"/>
      </w:pPr>
      <w:bookmarkStart w:id="414" w:name="_Toc68727131"/>
      <w:r>
        <w:t xml:space="preserve">Wykres </w:t>
      </w:r>
      <w:fldSimple w:instr=" STYLEREF 1 \s ">
        <w:r w:rsidR="00EF3FD3">
          <w:rPr>
            <w:noProof/>
          </w:rPr>
          <w:t>12</w:t>
        </w:r>
      </w:fldSimple>
      <w:r w:rsidR="00EF3FD3">
        <w:noBreakHyphen/>
      </w:r>
      <w:fldSimple w:instr=" SEQ Wykres \* ARABIC \s 1 ">
        <w:r w:rsidR="00DD7EA4">
          <w:rPr>
            <w:noProof/>
          </w:rPr>
          <w:t>16</w:t>
        </w:r>
      </w:fldSimple>
      <w:r>
        <w:tab/>
      </w:r>
      <w:r w:rsidRPr="001331A3">
        <w:t xml:space="preserve">Udział jcwp </w:t>
      </w:r>
      <w:r>
        <w:t>L</w:t>
      </w:r>
      <w:r w:rsidRPr="001331A3">
        <w:t xml:space="preserve">W z przypisanymi zestawami działań w </w:t>
      </w:r>
      <w:r>
        <w:t>regionie wodnym</w:t>
      </w:r>
      <w:r w:rsidRPr="001331A3">
        <w:t xml:space="preserve"> obszaru dorzecza</w:t>
      </w:r>
      <w:r>
        <w:t xml:space="preserve"> Pregoły</w:t>
      </w:r>
      <w:bookmarkEnd w:id="414"/>
    </w:p>
    <w:p w14:paraId="0ED59412" w14:textId="77777777" w:rsidR="00860BC1" w:rsidRDefault="00860BC1" w:rsidP="00860BC1">
      <w:pPr>
        <w:pStyle w:val="rdo0"/>
      </w:pPr>
      <w:r w:rsidRPr="002F6B68">
        <w:t>Źródło: opracowanie własne</w:t>
      </w:r>
    </w:p>
    <w:p w14:paraId="329E358E" w14:textId="46A76E90" w:rsidR="00860BC1" w:rsidRDefault="00860BC1" w:rsidP="00860BC1">
      <w:r>
        <w:t xml:space="preserve">Wśród działań zaplanowanych dla </w:t>
      </w:r>
      <w:r w:rsidRPr="0050790A">
        <w:t>jcwp LW</w:t>
      </w:r>
      <w:r w:rsidR="0050790A" w:rsidRPr="0050790A">
        <w:t xml:space="preserve"> na</w:t>
      </w:r>
      <w:r w:rsidRPr="0050790A">
        <w:t xml:space="preserve"> obszar</w:t>
      </w:r>
      <w:r w:rsidR="0050790A" w:rsidRPr="0050790A">
        <w:t>ze</w:t>
      </w:r>
      <w:r w:rsidRPr="0050790A">
        <w:t xml:space="preserve"> dorzecza </w:t>
      </w:r>
      <w:r>
        <w:t>Pregoły 48% stanowią działania podstawowe, a 52% stanowią działania uzupełniające.</w:t>
      </w:r>
    </w:p>
    <w:p w14:paraId="7A795935" w14:textId="77777777" w:rsidR="00860BC1" w:rsidRDefault="00860BC1" w:rsidP="00860BC1">
      <w:r>
        <w:rPr>
          <w:noProof/>
        </w:rPr>
        <w:drawing>
          <wp:inline distT="0" distB="0" distL="0" distR="0" wp14:anchorId="66B71050" wp14:editId="17F9B6B7">
            <wp:extent cx="5760000" cy="3600000"/>
            <wp:effectExtent l="0" t="0" r="12700" b="635"/>
            <wp:docPr id="8" name="Wykres 8">
              <a:extLst xmlns:a="http://schemas.openxmlformats.org/drawingml/2006/main">
                <a:ext uri="{FF2B5EF4-FFF2-40B4-BE49-F238E27FC236}">
                  <a16:creationId xmlns:a16="http://schemas.microsoft.com/office/drawing/2014/main" id="{DECA3EB7-98C9-4944-A910-349304A50BB8}"/>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C60312E" w14:textId="372D3E9D" w:rsidR="00860BC1" w:rsidRPr="002D6624" w:rsidRDefault="00860BC1" w:rsidP="006802BB">
      <w:pPr>
        <w:pStyle w:val="Wykres"/>
      </w:pPr>
      <w:bookmarkStart w:id="415" w:name="_Toc68727132"/>
      <w:r w:rsidRPr="002D6624">
        <w:t xml:space="preserve">Wykres </w:t>
      </w:r>
      <w:fldSimple w:instr=" STYLEREF 1 \s ">
        <w:r w:rsidR="00EF3FD3">
          <w:rPr>
            <w:noProof/>
          </w:rPr>
          <w:t>12</w:t>
        </w:r>
      </w:fldSimple>
      <w:r w:rsidR="00EF3FD3">
        <w:noBreakHyphen/>
      </w:r>
      <w:fldSimple w:instr=" SEQ Wykres \* ARABIC \s 1 ">
        <w:r w:rsidR="00EF3FD3">
          <w:rPr>
            <w:noProof/>
          </w:rPr>
          <w:t>14</w:t>
        </w:r>
      </w:fldSimple>
      <w:r w:rsidRPr="002D6624">
        <w:tab/>
        <w:t>Podział działań w zestawie dla jcwp</w:t>
      </w:r>
      <w:r>
        <w:t xml:space="preserve"> LW </w:t>
      </w:r>
      <w:r w:rsidRPr="002D6624">
        <w:t xml:space="preserve">dla </w:t>
      </w:r>
      <w:r>
        <w:t xml:space="preserve">obszaru </w:t>
      </w:r>
      <w:r w:rsidRPr="002D6624">
        <w:t xml:space="preserve">dorzecza </w:t>
      </w:r>
      <w:r>
        <w:t>Pregoły</w:t>
      </w:r>
      <w:bookmarkEnd w:id="415"/>
    </w:p>
    <w:p w14:paraId="314B6CFB" w14:textId="77777777" w:rsidR="00860BC1" w:rsidRPr="002D6624" w:rsidRDefault="00860BC1" w:rsidP="00860BC1">
      <w:pPr>
        <w:pStyle w:val="rdo0"/>
      </w:pPr>
      <w:r w:rsidRPr="002D6624">
        <w:t xml:space="preserve">Źródło: opracowanie </w:t>
      </w:r>
      <w:r>
        <w:t>własne</w:t>
      </w:r>
    </w:p>
    <w:p w14:paraId="35A0A6A9" w14:textId="5B8495DB" w:rsidR="00860BC1" w:rsidRDefault="00860BC1" w:rsidP="00860BC1">
      <w:r w:rsidRPr="002D6624">
        <w:t xml:space="preserve">Informacje o działaniach zaplanowanych dla danej jcwp uwzględnione zostały w załączniku nr </w:t>
      </w:r>
      <w:r w:rsidR="009E1FEB">
        <w:t>7</w:t>
      </w:r>
      <w:r w:rsidR="00840ED3">
        <w:t>.4</w:t>
      </w:r>
      <w:r w:rsidRPr="002D6624">
        <w:t xml:space="preserve"> (Zestaw</w:t>
      </w:r>
      <w:r w:rsidR="00840ED3">
        <w:t xml:space="preserve"> działań LW</w:t>
      </w:r>
      <w:r w:rsidRPr="002D6624">
        <w:t xml:space="preserve">). Zobrazowanie przestrzenne jcwp LW w obszarze dorzecza </w:t>
      </w:r>
      <w:r w:rsidR="00480AAE">
        <w:t>Pregoły</w:t>
      </w:r>
      <w:r w:rsidRPr="002D6624">
        <w:t xml:space="preserve"> z przypisanym zestawem działań </w:t>
      </w:r>
      <w:r w:rsidRPr="0050790A">
        <w:t xml:space="preserve">stanowi załącznik graficzny nr </w:t>
      </w:r>
      <w:r w:rsidR="0050790A" w:rsidRPr="0050790A">
        <w:t>31</w:t>
      </w:r>
    </w:p>
    <w:p w14:paraId="6F267430" w14:textId="77777777" w:rsidR="00860BC1" w:rsidRPr="00C1245D" w:rsidRDefault="00860BC1" w:rsidP="00B50FFD">
      <w:pPr>
        <w:pStyle w:val="Nagwek3"/>
      </w:pPr>
      <w:bookmarkStart w:id="416" w:name="_Toc68726902"/>
      <w:r w:rsidRPr="00C1245D">
        <w:t>Zestawy działań dla jcwpd (GW)</w:t>
      </w:r>
      <w:bookmarkEnd w:id="416"/>
    </w:p>
    <w:p w14:paraId="5E36E4B1" w14:textId="77777777" w:rsidR="00860BC1" w:rsidRPr="00C1245D" w:rsidRDefault="00860BC1" w:rsidP="00860BC1">
      <w:pPr>
        <w:rPr>
          <w:rFonts w:eastAsia="Times New Roman"/>
        </w:rPr>
      </w:pPr>
      <w:r w:rsidRPr="00C1245D">
        <w:t xml:space="preserve">Zestawy działań dla poszczególnych jcwpd (GW) były konstruowane na podstawie oceny ryzyka </w:t>
      </w:r>
      <w:r w:rsidRPr="00C1245D">
        <w:rPr>
          <w:rFonts w:eastAsia="Times New Roman"/>
        </w:rPr>
        <w:t>nieosiągnięcia celów środowiskowych, a także wyników oceny stanu jcwpd.</w:t>
      </w:r>
    </w:p>
    <w:p w14:paraId="7AF05268" w14:textId="77777777" w:rsidR="00860BC1" w:rsidRDefault="00860BC1" w:rsidP="00860BC1">
      <w:pPr>
        <w:rPr>
          <w:rFonts w:eastAsia="Times New Roman"/>
        </w:rPr>
      </w:pPr>
      <w:r w:rsidRPr="00C1245D">
        <w:rPr>
          <w:rFonts w:eastAsia="Times New Roman"/>
        </w:rPr>
        <w:t>Analizie poddano przyczyny stanu słabego jcwpd oraz zagrożenia w odniesieniu do osiągnięcia ustalonych celów</w:t>
      </w:r>
      <w:r w:rsidRPr="009A5F30">
        <w:rPr>
          <w:rFonts w:eastAsia="Times New Roman"/>
        </w:rPr>
        <w:t xml:space="preserve"> środowiskowych. Dla każdej jcwpd podano w zestawie informację na temat wyniku najnowszej oceny stanu wykonanej w 2020 r. na podstawie wyników monitoringu diagnostycznego z</w:t>
      </w:r>
      <w:r>
        <w:rPr>
          <w:rFonts w:eastAsia="Times New Roman"/>
        </w:rPr>
        <w:t> 2019 r. oraz oceny ryzyka, różnicując z uwagi na rodzaj presji decydującej o stanie słabym bądź zagrożeniu jcwpd (presje związane ze stanem ilościowym, chemicznym lub ilościowym i chemicznym). Działania dla poszczególnych jcwpd przypisywano tak, aby były ukierunkowane na redukcję zidentyfikowanych presji decydujących o stanie lub zagrożeniu jcwpd. W obszarze presji wpływających na stan chemiczny jcwpd dodatkowo dokonano rozdzielenia z uwagi na rodzaj presji, wyróżniając:</w:t>
      </w:r>
    </w:p>
    <w:p w14:paraId="70966680" w14:textId="77777777" w:rsidR="00860BC1" w:rsidRDefault="00860BC1" w:rsidP="00AA3506">
      <w:pPr>
        <w:pStyle w:val="Akapitzlist"/>
        <w:numPr>
          <w:ilvl w:val="0"/>
          <w:numId w:val="129"/>
        </w:numPr>
        <w:rPr>
          <w:rFonts w:eastAsiaTheme="minorEastAsia" w:cstheme="minorBidi"/>
        </w:rPr>
      </w:pPr>
      <w:r>
        <w:t>presje związane z rolnictwem i gospodarką komunalną (presja chemiczna typu A);</w:t>
      </w:r>
    </w:p>
    <w:p w14:paraId="54E72D1E" w14:textId="77777777" w:rsidR="00860BC1" w:rsidRDefault="00860BC1" w:rsidP="00AA3506">
      <w:pPr>
        <w:pStyle w:val="Akapitzlist"/>
        <w:numPr>
          <w:ilvl w:val="0"/>
          <w:numId w:val="129"/>
        </w:numPr>
        <w:rPr>
          <w:rFonts w:eastAsiaTheme="minorEastAsia" w:cstheme="minorBidi"/>
        </w:rPr>
      </w:pPr>
      <w:r>
        <w:t>presje związane z przemysłem (presja chemiczna typu B).</w:t>
      </w:r>
    </w:p>
    <w:p w14:paraId="43BAB20A" w14:textId="7FB402A9" w:rsidR="00860BC1" w:rsidRDefault="00860BC1" w:rsidP="00860BC1">
      <w:r>
        <w:t xml:space="preserve">Na obszarze dorzecza Pregoły wydzielone zostały dwie jcwpd, o numerach nr 20 i 21. </w:t>
      </w:r>
      <w:r w:rsidR="00721FE6">
        <w:t>Zgodnie z</w:t>
      </w:r>
      <w:r w:rsidR="009165BB">
        <w:t> </w:t>
      </w:r>
      <w:r w:rsidR="00721FE6">
        <w:t>wykonaną w 2020 r. oceną stanu jcwpd, na podstawie wyników monitoringu diagnostycznego z</w:t>
      </w:r>
      <w:r w:rsidR="009165BB">
        <w:t> </w:t>
      </w:r>
      <w:r w:rsidR="00721FE6">
        <w:t>2019 r., obydwie jcwpd są o stanie dobrym, zarówno ilościowym jak i chemicznym. Wyniki oceny stanu jcwpd w dorzeczu Pregoły opisano w rozdziale 5. Jednocześnie w wyniku przeprowadzonej analizy presji nie stwierdzono dla tych jcwpd zagrożenia nieosiągnięcia celu środowiskowego. Zestaw działań zbudowano dla jednej jcwpd (wykres 12-</w:t>
      </w:r>
      <w:r w:rsidR="00144938">
        <w:t>18</w:t>
      </w:r>
      <w:r>
        <w:t xml:space="preserve">). </w:t>
      </w:r>
    </w:p>
    <w:p w14:paraId="6C4CF0D0" w14:textId="77777777" w:rsidR="0050790A" w:rsidRDefault="00721FE6" w:rsidP="0050790A">
      <w:pPr>
        <w:keepNext/>
      </w:pPr>
      <w:r>
        <w:rPr>
          <w:noProof/>
        </w:rPr>
        <w:drawing>
          <wp:inline distT="0" distB="0" distL="0" distR="0" wp14:anchorId="6CA280AC" wp14:editId="312F28A4">
            <wp:extent cx="5354320" cy="3369310"/>
            <wp:effectExtent l="0" t="0" r="0" b="2540"/>
            <wp:docPr id="186605934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86">
                      <a:extLst>
                        <a:ext uri="{28A0092B-C50C-407E-A947-70E740481C1C}">
                          <a14:useLocalDpi xmlns:a14="http://schemas.microsoft.com/office/drawing/2010/main" val="0"/>
                        </a:ext>
                      </a:extLst>
                    </a:blip>
                    <a:stretch>
                      <a:fillRect/>
                    </a:stretch>
                  </pic:blipFill>
                  <pic:spPr>
                    <a:xfrm>
                      <a:off x="0" y="0"/>
                      <a:ext cx="5354320" cy="3369310"/>
                    </a:xfrm>
                    <a:prstGeom prst="rect">
                      <a:avLst/>
                    </a:prstGeom>
                  </pic:spPr>
                </pic:pic>
              </a:graphicData>
            </a:graphic>
          </wp:inline>
        </w:drawing>
      </w:r>
    </w:p>
    <w:p w14:paraId="5EBF4AD4" w14:textId="4E5C90FB" w:rsidR="00860BC1" w:rsidRDefault="0050790A" w:rsidP="0050790A">
      <w:pPr>
        <w:pStyle w:val="Legenda"/>
        <w:jc w:val="both"/>
      </w:pPr>
      <w:bookmarkStart w:id="417" w:name="_Toc68727133"/>
      <w:r>
        <w:t xml:space="preserve">Wykres </w:t>
      </w:r>
      <w:r w:rsidR="00721FE6">
        <w:fldChar w:fldCharType="begin"/>
      </w:r>
      <w:r w:rsidR="00721FE6">
        <w:instrText>STYLEREF 1 \s</w:instrText>
      </w:r>
      <w:r w:rsidR="00721FE6">
        <w:fldChar w:fldCharType="separate"/>
      </w:r>
      <w:r w:rsidR="009165BB">
        <w:rPr>
          <w:noProof/>
        </w:rPr>
        <w:t>12</w:t>
      </w:r>
      <w:r w:rsidR="00721FE6">
        <w:fldChar w:fldCharType="end"/>
      </w:r>
      <w:r w:rsidR="00EF3FD3">
        <w:noBreakHyphen/>
      </w:r>
      <w:r w:rsidR="00721FE6">
        <w:fldChar w:fldCharType="begin"/>
      </w:r>
      <w:r w:rsidR="00721FE6">
        <w:instrText>SEQ Wykres \* ARABIC \s 1</w:instrText>
      </w:r>
      <w:r w:rsidR="00721FE6">
        <w:fldChar w:fldCharType="separate"/>
      </w:r>
      <w:r w:rsidR="009165BB">
        <w:rPr>
          <w:noProof/>
        </w:rPr>
        <w:t>18</w:t>
      </w:r>
      <w:r w:rsidR="00721FE6">
        <w:fldChar w:fldCharType="end"/>
      </w:r>
      <w:r w:rsidR="004270D5">
        <w:tab/>
      </w:r>
      <w:r w:rsidRPr="00B57515">
        <w:t>Udział jcwpd z przypisanymi zestawami działań w regionie wodnym obszaru dorzecza Pregoły</w:t>
      </w:r>
      <w:bookmarkEnd w:id="417"/>
    </w:p>
    <w:p w14:paraId="6BA69D2D" w14:textId="77777777" w:rsidR="00860BC1" w:rsidRPr="002D6624" w:rsidRDefault="00860BC1" w:rsidP="00860BC1">
      <w:pPr>
        <w:pStyle w:val="rdo0"/>
      </w:pPr>
      <w:r w:rsidRPr="002D6624">
        <w:t xml:space="preserve">Źródło: opracowanie </w:t>
      </w:r>
      <w:r>
        <w:t>własne</w:t>
      </w:r>
    </w:p>
    <w:p w14:paraId="070EC27F" w14:textId="357E563D" w:rsidR="00860BC1" w:rsidRDefault="00860BC1" w:rsidP="00860BC1">
      <w:r>
        <w:t xml:space="preserve">W zestawie działań wskazano działania dla jcwpd nr 20. </w:t>
      </w:r>
      <w:r w:rsidR="00721FE6">
        <w:t>Przypisano dla niej 2 działania podstawowe i</w:t>
      </w:r>
      <w:r w:rsidR="002C4466">
        <w:t> </w:t>
      </w:r>
      <w:r w:rsidR="00721FE6">
        <w:t>jedno działanie uzupełniające związane z ustanowieniem obszaru ochronnego zbiornika wód śródlądowych (GZWP nr 208, Zbiornik Biskupiec). Są to działania nowe, nietechniczne. Działania te</w:t>
      </w:r>
      <w:r w:rsidR="002C4466">
        <w:t> </w:t>
      </w:r>
      <w:r>
        <w:t xml:space="preserve">ukierunkowane są na redukcję presji chemicznej. Dla jcwpd nr 21 nie wskazano żadnych dodatkowych działań w zestawie i przypisano dla niej wyłącznie działania wskazane w katalogu działań krajowych. Na podstawie wykonanych analiz przyjmuje się, że do utrzymania stanu dobrego oraz osiągnięcia ustalonych celów środowiskowych wystarczy realizacja działań zawartych w katalogu krajowym. </w:t>
      </w:r>
      <w:r w:rsidRPr="7C88ECA2">
        <w:t xml:space="preserve"> </w:t>
      </w:r>
    </w:p>
    <w:p w14:paraId="5C484499" w14:textId="77777777" w:rsidR="00860BC1" w:rsidRDefault="00721FE6" w:rsidP="00860BC1">
      <w:pPr>
        <w:keepNext/>
      </w:pPr>
      <w:r>
        <w:rPr>
          <w:noProof/>
        </w:rPr>
        <w:drawing>
          <wp:inline distT="0" distB="0" distL="0" distR="0" wp14:anchorId="70664FA8" wp14:editId="200AD991">
            <wp:extent cx="5760000" cy="3240000"/>
            <wp:effectExtent l="0" t="0" r="12700" b="17780"/>
            <wp:docPr id="31" name="Wykres 3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B7C7FD7" w14:textId="26DD7561" w:rsidR="00860BC1" w:rsidRDefault="00860BC1" w:rsidP="006802BB">
      <w:pPr>
        <w:pStyle w:val="Legenda"/>
      </w:pPr>
      <w:bookmarkStart w:id="418" w:name="_Toc68727134"/>
      <w:r>
        <w:t xml:space="preserve">Wykres </w:t>
      </w:r>
      <w:r w:rsidR="00721FE6">
        <w:fldChar w:fldCharType="begin"/>
      </w:r>
      <w:r w:rsidR="00721FE6">
        <w:instrText>STYLEREF 1 \s</w:instrText>
      </w:r>
      <w:r w:rsidR="00721FE6">
        <w:fldChar w:fldCharType="separate"/>
      </w:r>
      <w:r w:rsidR="002C4466">
        <w:rPr>
          <w:noProof/>
        </w:rPr>
        <w:t>12</w:t>
      </w:r>
      <w:r w:rsidR="00721FE6">
        <w:fldChar w:fldCharType="end"/>
      </w:r>
      <w:r w:rsidR="00EF3FD3">
        <w:noBreakHyphen/>
      </w:r>
      <w:r w:rsidR="00721FE6">
        <w:fldChar w:fldCharType="begin"/>
      </w:r>
      <w:r w:rsidR="00721FE6">
        <w:instrText>SEQ Wykres \* ARABIC \s 1</w:instrText>
      </w:r>
      <w:r w:rsidR="00721FE6">
        <w:fldChar w:fldCharType="separate"/>
      </w:r>
      <w:r w:rsidR="002C4466">
        <w:rPr>
          <w:noProof/>
        </w:rPr>
        <w:t>19</w:t>
      </w:r>
      <w:r w:rsidR="00721FE6">
        <w:fldChar w:fldCharType="end"/>
      </w:r>
      <w:r>
        <w:tab/>
      </w:r>
      <w:r w:rsidRPr="009F010A">
        <w:rPr>
          <w:shd w:val="clear" w:color="auto" w:fill="FFFFFF"/>
        </w:rPr>
        <w:t>Podział działań w zestawie dla </w:t>
      </w:r>
      <w:r w:rsidRPr="00791CCF">
        <w:rPr>
          <w:shd w:val="clear" w:color="auto" w:fill="FFFFFF"/>
        </w:rPr>
        <w:t>jcwpd </w:t>
      </w:r>
      <w:r w:rsidR="00791CCF" w:rsidRPr="00791CCF">
        <w:rPr>
          <w:shd w:val="clear" w:color="auto" w:fill="FFFFFF"/>
        </w:rPr>
        <w:t>na</w:t>
      </w:r>
      <w:r w:rsidRPr="00791CCF">
        <w:rPr>
          <w:shd w:val="clear" w:color="auto" w:fill="FFFFFF"/>
        </w:rPr>
        <w:t> </w:t>
      </w:r>
      <w:r w:rsidRPr="00791CCF">
        <w:t>obszar</w:t>
      </w:r>
      <w:r w:rsidR="00791CCF" w:rsidRPr="00791CCF">
        <w:t>ze</w:t>
      </w:r>
      <w:r w:rsidRPr="00791CCF">
        <w:t> dorzecza Pregoły</w:t>
      </w:r>
      <w:bookmarkEnd w:id="418"/>
    </w:p>
    <w:p w14:paraId="52414846" w14:textId="77777777" w:rsidR="00860BC1" w:rsidRPr="002D6624" w:rsidRDefault="00860BC1" w:rsidP="00860BC1">
      <w:pPr>
        <w:pStyle w:val="rdo0"/>
      </w:pPr>
      <w:r w:rsidRPr="002D6624">
        <w:t xml:space="preserve">Źródło: opracowanie </w:t>
      </w:r>
      <w:r>
        <w:t>własne</w:t>
      </w:r>
    </w:p>
    <w:p w14:paraId="21608086" w14:textId="2D7E9839" w:rsidR="00860BC1" w:rsidRDefault="00860BC1" w:rsidP="00860BC1">
      <w:pPr>
        <w:suppressAutoHyphens/>
        <w:rPr>
          <w:rFonts w:cs="Calibri"/>
          <w:color w:val="000000"/>
          <w:shd w:val="clear" w:color="auto" w:fill="FFFFFF"/>
        </w:rPr>
      </w:pPr>
      <w:r w:rsidRPr="7C88ECA2">
        <w:rPr>
          <w:rFonts w:eastAsia="Times New Roman" w:cs="Calibri"/>
        </w:rPr>
        <w:t xml:space="preserve">Informacje o działaniach zaplanowanych dla danej jcwpd uwzględnione zostały w załączniku nr </w:t>
      </w:r>
      <w:r w:rsidR="009E1FEB">
        <w:rPr>
          <w:rFonts w:eastAsia="Times New Roman" w:cs="Calibri"/>
        </w:rPr>
        <w:t>7</w:t>
      </w:r>
      <w:r w:rsidR="00840ED3">
        <w:rPr>
          <w:rFonts w:eastAsia="Times New Roman" w:cs="Calibri"/>
        </w:rPr>
        <w:t>.5</w:t>
      </w:r>
      <w:r w:rsidRPr="7C88ECA2">
        <w:rPr>
          <w:rFonts w:eastAsia="Times New Roman" w:cs="Calibri"/>
        </w:rPr>
        <w:t xml:space="preserve"> </w:t>
      </w:r>
      <w:r>
        <w:rPr>
          <w:rFonts w:eastAsia="Times New Roman" w:cs="Calibri"/>
        </w:rPr>
        <w:t>(</w:t>
      </w:r>
      <w:r w:rsidRPr="00791CCF">
        <w:rPr>
          <w:rFonts w:eastAsia="Times New Roman" w:cs="Calibri"/>
        </w:rPr>
        <w:t>Zestaw</w:t>
      </w:r>
      <w:r w:rsidR="00840ED3">
        <w:rPr>
          <w:rFonts w:eastAsia="Times New Roman" w:cs="Calibri"/>
        </w:rPr>
        <w:t xml:space="preserve"> działań jcwpd</w:t>
      </w:r>
      <w:r w:rsidRPr="00791CCF">
        <w:rPr>
          <w:rFonts w:eastAsia="Times New Roman" w:cs="Calibri"/>
        </w:rPr>
        <w:t xml:space="preserve">). </w:t>
      </w:r>
      <w:r w:rsidRPr="00791CCF">
        <w:rPr>
          <w:rFonts w:cs="Calibri"/>
          <w:color w:val="000000"/>
          <w:shd w:val="clear" w:color="auto" w:fill="FFFFFF"/>
        </w:rPr>
        <w:t>Zobrazowanie przestrzenne jcwpd w obszarze dorzecza Pregoły z przypisanym zestawem działań stanowi załącznik graficzny 32.</w:t>
      </w:r>
    </w:p>
    <w:p w14:paraId="563F54C0" w14:textId="6B60449E" w:rsidR="00525D8A" w:rsidRPr="002D6624" w:rsidRDefault="00525D8A" w:rsidP="00B50FFD">
      <w:pPr>
        <w:pStyle w:val="Nagwek2"/>
      </w:pPr>
      <w:bookmarkStart w:id="419" w:name="_Toc66305723"/>
      <w:bookmarkStart w:id="420" w:name="_Toc66324669"/>
      <w:bookmarkStart w:id="421" w:name="_Toc68726903"/>
      <w:r w:rsidRPr="002D6624">
        <w:t>Koszty zestawu działań</w:t>
      </w:r>
      <w:bookmarkEnd w:id="419"/>
      <w:bookmarkEnd w:id="420"/>
      <w:bookmarkEnd w:id="421"/>
    </w:p>
    <w:p w14:paraId="23263380" w14:textId="23100F95" w:rsidR="00525D8A" w:rsidRPr="002D6624" w:rsidRDefault="00525D8A" w:rsidP="00525D8A">
      <w:r>
        <w:t xml:space="preserve">Łączne koszty zestawu działań </w:t>
      </w:r>
      <w:r w:rsidRPr="001E4D45">
        <w:rPr>
          <w:rFonts w:cs="Lucida Grande"/>
        </w:rPr>
        <w:t xml:space="preserve">w </w:t>
      </w:r>
      <w:r>
        <w:rPr>
          <w:rFonts w:cs="Lucida Grande"/>
        </w:rPr>
        <w:t xml:space="preserve">obszarze </w:t>
      </w:r>
      <w:r w:rsidRPr="001E4D45">
        <w:rPr>
          <w:rFonts w:cs="Lucida Grande"/>
        </w:rPr>
        <w:t>dorzecz</w:t>
      </w:r>
      <w:r>
        <w:rPr>
          <w:rFonts w:cs="Lucida Grande"/>
        </w:rPr>
        <w:t>a</w:t>
      </w:r>
      <w:r w:rsidRPr="001E4D45">
        <w:rPr>
          <w:rFonts w:cs="Lucida Grande"/>
        </w:rPr>
        <w:t xml:space="preserve"> </w:t>
      </w:r>
      <w:r w:rsidRPr="00A17A55">
        <w:t xml:space="preserve">Pregoły wynoszą </w:t>
      </w:r>
      <w:r>
        <w:t>236,92</w:t>
      </w:r>
      <w:r w:rsidRPr="00A17A55">
        <w:t xml:space="preserve"> mln zł</w:t>
      </w:r>
      <w:r w:rsidR="002C7A24" w:rsidRPr="00493FD3">
        <w:t xml:space="preserve">. </w:t>
      </w:r>
      <w:r w:rsidRPr="00A17A55">
        <w:t>98</w:t>
      </w:r>
      <w:r w:rsidR="002C7A24" w:rsidRPr="00493FD3">
        <w:t>,</w:t>
      </w:r>
      <w:r w:rsidR="00493FD3" w:rsidRPr="00493FD3">
        <w:t>34</w:t>
      </w:r>
      <w:r w:rsidR="002C7A24" w:rsidRPr="00493FD3">
        <w:t xml:space="preserve">% kosztów zestawu działań </w:t>
      </w:r>
      <w:r w:rsidRPr="00A17A55">
        <w:t xml:space="preserve">stanowią nakłady poniesione w ramach </w:t>
      </w:r>
      <w:r w:rsidR="000D1498">
        <w:t>jcw</w:t>
      </w:r>
      <w:r w:rsidRPr="00A17A55">
        <w:t xml:space="preserve"> rzecznych</w:t>
      </w:r>
      <w:r>
        <w:t>,</w:t>
      </w:r>
      <w:r w:rsidR="002C7A24" w:rsidRPr="00493FD3">
        <w:t xml:space="preserve"> a 1,</w:t>
      </w:r>
      <w:r w:rsidR="00493FD3" w:rsidRPr="00493FD3">
        <w:t>66</w:t>
      </w:r>
      <w:r w:rsidR="002C7A24" w:rsidRPr="00493FD3">
        <w:t>%</w:t>
      </w:r>
      <w:r w:rsidR="002C7A24">
        <w:t xml:space="preserve"> dotyczy wód podziemnych.</w:t>
      </w:r>
      <w:r w:rsidR="004D6A05">
        <w:t xml:space="preserve"> </w:t>
      </w:r>
      <w:r w:rsidRPr="006B5D93">
        <w:t>Szczegółowe koszt</w:t>
      </w:r>
      <w:r w:rsidR="00D645F8">
        <w:t>y</w:t>
      </w:r>
      <w:r w:rsidRPr="006B5D93">
        <w:t xml:space="preserve"> zestawu działań </w:t>
      </w:r>
      <w:r w:rsidR="00D645F8">
        <w:t>na obszarze dorzecza Pregoły</w:t>
      </w:r>
      <w:r w:rsidR="007A14B4">
        <w:t xml:space="preserve"> prezentują</w:t>
      </w:r>
      <w:r w:rsidRPr="006B5D93">
        <w:t xml:space="preserve"> poniższe tabele</w:t>
      </w:r>
      <w:r w:rsidRPr="002D6624">
        <w:t>:</w:t>
      </w:r>
    </w:p>
    <w:p w14:paraId="0B926E13" w14:textId="5FB87A0C" w:rsidR="00525D8A" w:rsidRPr="002D6624" w:rsidRDefault="00525D8A" w:rsidP="000A2964">
      <w:pPr>
        <w:pStyle w:val="Tabela"/>
      </w:pPr>
      <w:bookmarkStart w:id="422" w:name="_Toc66324817"/>
      <w:bookmarkStart w:id="423" w:name="_Toc68727036"/>
      <w:r w:rsidRPr="002D6624">
        <w:t xml:space="preserve">Tabela </w:t>
      </w:r>
      <w:fldSimple w:instr=" STYLEREF 1 \s ">
        <w:r w:rsidR="007B4050">
          <w:rPr>
            <w:noProof/>
          </w:rPr>
          <w:t>12</w:t>
        </w:r>
      </w:fldSimple>
      <w:r w:rsidR="007B4050">
        <w:noBreakHyphen/>
      </w:r>
      <w:fldSimple w:instr=" SEQ Tabela \* ARABIC \s 1 ">
        <w:r w:rsidR="007B4050">
          <w:rPr>
            <w:noProof/>
          </w:rPr>
          <w:t>8</w:t>
        </w:r>
      </w:fldSimple>
      <w:r w:rsidRPr="002D6624">
        <w:tab/>
      </w:r>
      <w:r w:rsidR="008232E0">
        <w:t>Koszty zestawu działań</w:t>
      </w:r>
      <w:r w:rsidRPr="002D6624">
        <w:t xml:space="preserve"> w </w:t>
      </w:r>
      <w:r>
        <w:t xml:space="preserve">obszarze </w:t>
      </w:r>
      <w:r w:rsidRPr="002D6624">
        <w:t>dorzecz</w:t>
      </w:r>
      <w:r>
        <w:t>a</w:t>
      </w:r>
      <w:r w:rsidRPr="002D6624">
        <w:t xml:space="preserve"> </w:t>
      </w:r>
      <w:r>
        <w:t xml:space="preserve">Pregoły </w:t>
      </w:r>
      <w:r w:rsidRPr="002D6624">
        <w:t>(w tys. zł)</w:t>
      </w:r>
      <w:bookmarkEnd w:id="422"/>
      <w:bookmarkEnd w:id="423"/>
    </w:p>
    <w:tbl>
      <w:tblPr>
        <w:tblStyle w:val="IIaPGW"/>
        <w:tblW w:w="5000" w:type="pct"/>
        <w:tblLook w:val="04A0" w:firstRow="1" w:lastRow="0" w:firstColumn="1" w:lastColumn="0" w:noHBand="0" w:noVBand="1"/>
      </w:tblPr>
      <w:tblGrid>
        <w:gridCol w:w="2264"/>
        <w:gridCol w:w="1700"/>
        <w:gridCol w:w="1687"/>
        <w:gridCol w:w="1707"/>
        <w:gridCol w:w="1704"/>
      </w:tblGrid>
      <w:tr w:rsidR="00525D8A" w:rsidRPr="002D6624" w14:paraId="3941EB76" w14:textId="77777777" w:rsidTr="00525D8A">
        <w:trPr>
          <w:cnfStyle w:val="100000000000" w:firstRow="1" w:lastRow="0" w:firstColumn="0" w:lastColumn="0" w:oddVBand="0" w:evenVBand="0" w:oddHBand="0" w:evenHBand="0" w:firstRowFirstColumn="0" w:firstRowLastColumn="0" w:lastRowFirstColumn="0" w:lastRowLastColumn="0"/>
          <w:trHeight w:val="289"/>
        </w:trPr>
        <w:tc>
          <w:tcPr>
            <w:tcW w:w="1249" w:type="pct"/>
            <w:hideMark/>
          </w:tcPr>
          <w:p w14:paraId="0B9587B4" w14:textId="77777777" w:rsidR="00525D8A" w:rsidRPr="002D6624" w:rsidRDefault="00525D8A" w:rsidP="00525D8A">
            <w:pPr>
              <w:spacing w:before="40" w:after="40"/>
              <w:jc w:val="center"/>
              <w:rPr>
                <w:b/>
                <w:bCs/>
                <w:sz w:val="20"/>
                <w:szCs w:val="20"/>
              </w:rPr>
            </w:pPr>
            <w:r w:rsidRPr="002D6624">
              <w:rPr>
                <w:b/>
                <w:bCs/>
                <w:sz w:val="20"/>
                <w:szCs w:val="20"/>
              </w:rPr>
              <w:t>Region wodny</w:t>
            </w:r>
          </w:p>
        </w:tc>
        <w:tc>
          <w:tcPr>
            <w:tcW w:w="938" w:type="pct"/>
          </w:tcPr>
          <w:p w14:paraId="0283ABBB" w14:textId="77777777" w:rsidR="00525D8A" w:rsidRDefault="00525D8A" w:rsidP="00525D8A">
            <w:pPr>
              <w:spacing w:before="40" w:after="40"/>
              <w:jc w:val="center"/>
              <w:rPr>
                <w:b/>
                <w:bCs/>
                <w:sz w:val="20"/>
                <w:szCs w:val="20"/>
              </w:rPr>
            </w:pPr>
            <w:r>
              <w:rPr>
                <w:b/>
                <w:bCs/>
                <w:sz w:val="20"/>
                <w:szCs w:val="20"/>
              </w:rPr>
              <w:t>Razem</w:t>
            </w:r>
          </w:p>
        </w:tc>
        <w:tc>
          <w:tcPr>
            <w:tcW w:w="931" w:type="pct"/>
            <w:hideMark/>
          </w:tcPr>
          <w:p w14:paraId="105FE646" w14:textId="77777777" w:rsidR="00525D8A" w:rsidRPr="002D6624" w:rsidRDefault="00525D8A" w:rsidP="00525D8A">
            <w:pPr>
              <w:spacing w:before="40" w:after="40"/>
              <w:jc w:val="center"/>
              <w:rPr>
                <w:b/>
                <w:bCs/>
                <w:sz w:val="20"/>
                <w:szCs w:val="20"/>
              </w:rPr>
            </w:pPr>
            <w:r>
              <w:rPr>
                <w:b/>
                <w:bCs/>
                <w:sz w:val="20"/>
                <w:szCs w:val="20"/>
              </w:rPr>
              <w:t>jcwp RW</w:t>
            </w:r>
          </w:p>
        </w:tc>
        <w:tc>
          <w:tcPr>
            <w:tcW w:w="942" w:type="pct"/>
            <w:hideMark/>
          </w:tcPr>
          <w:p w14:paraId="4A11CDE5" w14:textId="77777777" w:rsidR="00525D8A" w:rsidRPr="002D6624" w:rsidRDefault="00525D8A" w:rsidP="00525D8A">
            <w:pPr>
              <w:spacing w:before="40" w:after="40"/>
              <w:jc w:val="center"/>
              <w:rPr>
                <w:b/>
                <w:bCs/>
                <w:sz w:val="20"/>
                <w:szCs w:val="20"/>
              </w:rPr>
            </w:pPr>
            <w:r>
              <w:rPr>
                <w:b/>
                <w:bCs/>
                <w:sz w:val="20"/>
                <w:szCs w:val="20"/>
              </w:rPr>
              <w:t>jcwp LW</w:t>
            </w:r>
          </w:p>
        </w:tc>
        <w:tc>
          <w:tcPr>
            <w:tcW w:w="940" w:type="pct"/>
          </w:tcPr>
          <w:p w14:paraId="28149918" w14:textId="77777777" w:rsidR="00525D8A" w:rsidRPr="002D6624" w:rsidRDefault="00525D8A" w:rsidP="00525D8A">
            <w:pPr>
              <w:spacing w:before="40" w:after="40"/>
              <w:jc w:val="center"/>
              <w:rPr>
                <w:b/>
                <w:bCs/>
                <w:sz w:val="20"/>
                <w:szCs w:val="20"/>
              </w:rPr>
            </w:pPr>
            <w:r>
              <w:rPr>
                <w:b/>
                <w:bCs/>
                <w:sz w:val="20"/>
                <w:szCs w:val="20"/>
              </w:rPr>
              <w:t>jcwpd</w:t>
            </w:r>
          </w:p>
        </w:tc>
      </w:tr>
      <w:tr w:rsidR="00525D8A" w:rsidRPr="002D6624" w14:paraId="6D95E52D" w14:textId="77777777" w:rsidTr="00525D8A">
        <w:trPr>
          <w:trHeight w:val="289"/>
        </w:trPr>
        <w:tc>
          <w:tcPr>
            <w:tcW w:w="1249" w:type="pct"/>
            <w:hideMark/>
          </w:tcPr>
          <w:p w14:paraId="30F2DB1F" w14:textId="77777777" w:rsidR="00525D8A" w:rsidRPr="002D6624" w:rsidRDefault="00525D8A" w:rsidP="00525D8A">
            <w:pPr>
              <w:spacing w:before="40" w:after="40"/>
              <w:jc w:val="left"/>
              <w:rPr>
                <w:sz w:val="20"/>
                <w:szCs w:val="20"/>
              </w:rPr>
            </w:pPr>
            <w:r w:rsidRPr="00F63EF3">
              <w:rPr>
                <w:rFonts w:eastAsia="Times New Roman"/>
                <w:color w:val="000000" w:themeColor="text1"/>
                <w:sz w:val="20"/>
                <w:szCs w:val="20"/>
                <w:lang w:eastAsia="pl-PL"/>
              </w:rPr>
              <w:t>Łyny i Węgorapy</w:t>
            </w:r>
          </w:p>
        </w:tc>
        <w:tc>
          <w:tcPr>
            <w:tcW w:w="938" w:type="pct"/>
          </w:tcPr>
          <w:p w14:paraId="6FCCF226" w14:textId="77777777" w:rsidR="00525D8A" w:rsidRDefault="00525D8A" w:rsidP="00525D8A">
            <w:pPr>
              <w:spacing w:before="40" w:after="40"/>
              <w:jc w:val="center"/>
              <w:rPr>
                <w:rFonts w:cs="Calibri"/>
                <w:color w:val="000000" w:themeColor="text1"/>
                <w:sz w:val="20"/>
                <w:szCs w:val="20"/>
                <w:lang w:val="en-US" w:eastAsia="pl-PL"/>
              </w:rPr>
            </w:pPr>
            <w:r>
              <w:rPr>
                <w:rFonts w:cs="Calibri"/>
                <w:color w:val="000000" w:themeColor="text1"/>
                <w:sz w:val="20"/>
                <w:szCs w:val="20"/>
                <w:lang w:val="en-US" w:eastAsia="pl-PL"/>
              </w:rPr>
              <w:t>236 920,07</w:t>
            </w:r>
          </w:p>
        </w:tc>
        <w:tc>
          <w:tcPr>
            <w:tcW w:w="931" w:type="pct"/>
          </w:tcPr>
          <w:p w14:paraId="24729D5C" w14:textId="77777777" w:rsidR="00525D8A" w:rsidRPr="002D6624" w:rsidRDefault="00525D8A" w:rsidP="00525D8A">
            <w:pPr>
              <w:spacing w:before="40" w:after="40"/>
              <w:jc w:val="center"/>
              <w:rPr>
                <w:sz w:val="20"/>
                <w:szCs w:val="20"/>
              </w:rPr>
            </w:pPr>
            <w:r>
              <w:rPr>
                <w:rFonts w:cs="Calibri"/>
                <w:color w:val="000000" w:themeColor="text1"/>
                <w:sz w:val="20"/>
                <w:szCs w:val="20"/>
                <w:lang w:val="en-US" w:eastAsia="pl-PL"/>
              </w:rPr>
              <w:t>232</w:t>
            </w:r>
            <w:r w:rsidRPr="00F63EF3">
              <w:rPr>
                <w:rFonts w:cs="Calibri"/>
                <w:color w:val="000000" w:themeColor="text1"/>
                <w:sz w:val="20"/>
                <w:szCs w:val="20"/>
                <w:lang w:val="en-US" w:eastAsia="pl-PL"/>
              </w:rPr>
              <w:t> </w:t>
            </w:r>
            <w:r>
              <w:rPr>
                <w:rFonts w:cs="Calibri"/>
                <w:color w:val="000000" w:themeColor="text1"/>
                <w:sz w:val="20"/>
                <w:szCs w:val="20"/>
                <w:lang w:val="en-US" w:eastAsia="pl-PL"/>
              </w:rPr>
              <w:t>977,31</w:t>
            </w:r>
          </w:p>
        </w:tc>
        <w:tc>
          <w:tcPr>
            <w:tcW w:w="942" w:type="pct"/>
          </w:tcPr>
          <w:p w14:paraId="5C0B8825" w14:textId="77777777" w:rsidR="00525D8A" w:rsidRPr="002D6624" w:rsidRDefault="00525D8A" w:rsidP="00525D8A">
            <w:pPr>
              <w:spacing w:before="40" w:after="40"/>
              <w:jc w:val="center"/>
              <w:rPr>
                <w:sz w:val="20"/>
                <w:szCs w:val="20"/>
              </w:rPr>
            </w:pPr>
            <w:r>
              <w:rPr>
                <w:rFonts w:cs="Calibri"/>
                <w:color w:val="000000" w:themeColor="text1"/>
                <w:sz w:val="20"/>
                <w:szCs w:val="20"/>
                <w:lang w:val="en-US" w:eastAsia="pl-PL"/>
              </w:rPr>
              <w:t>3 942,76</w:t>
            </w:r>
          </w:p>
        </w:tc>
        <w:tc>
          <w:tcPr>
            <w:tcW w:w="940" w:type="pct"/>
          </w:tcPr>
          <w:p w14:paraId="4172D659" w14:textId="77777777" w:rsidR="00525D8A" w:rsidRPr="00F63EF3" w:rsidRDefault="00525D8A" w:rsidP="00525D8A">
            <w:pPr>
              <w:spacing w:before="40" w:after="40"/>
              <w:jc w:val="center"/>
              <w:rPr>
                <w:rFonts w:cs="Calibri"/>
                <w:color w:val="000000" w:themeColor="text1"/>
                <w:sz w:val="20"/>
                <w:szCs w:val="20"/>
                <w:lang w:val="en-US" w:eastAsia="pl-PL"/>
              </w:rPr>
            </w:pPr>
            <w:r>
              <w:rPr>
                <w:rFonts w:cs="Calibri"/>
                <w:color w:val="000000" w:themeColor="text1"/>
                <w:sz w:val="20"/>
                <w:szCs w:val="20"/>
                <w:lang w:val="en-US" w:eastAsia="pl-PL"/>
              </w:rPr>
              <w:t>0,0</w:t>
            </w:r>
          </w:p>
        </w:tc>
      </w:tr>
    </w:tbl>
    <w:p w14:paraId="2A85EF2D" w14:textId="36999D3C" w:rsidR="000338C0" w:rsidRDefault="00525D8A" w:rsidP="00525D8A">
      <w:pPr>
        <w:pStyle w:val="rdo0"/>
        <w:rPr>
          <w:lang w:eastAsia="zh-CN"/>
        </w:rPr>
      </w:pPr>
      <w:bookmarkStart w:id="424" w:name="_Toc66324818"/>
      <w:r w:rsidRPr="001E4D45">
        <w:rPr>
          <w:lang w:eastAsia="zh-CN"/>
        </w:rPr>
        <w:t xml:space="preserve">Źródło: opracowanie </w:t>
      </w:r>
      <w:r>
        <w:rPr>
          <w:lang w:eastAsia="zh-CN"/>
        </w:rPr>
        <w:t>własne</w:t>
      </w:r>
    </w:p>
    <w:p w14:paraId="2915002C" w14:textId="131A73CC" w:rsidR="00D923A4" w:rsidRPr="002D6624" w:rsidRDefault="00525D8A" w:rsidP="00D923A4">
      <w:pPr>
        <w:pStyle w:val="Legenda"/>
      </w:pPr>
      <w:bookmarkStart w:id="425" w:name="_Toc68727037"/>
      <w:r w:rsidRPr="002D6624">
        <w:t xml:space="preserve">Tabela </w:t>
      </w:r>
      <w:fldSimple w:instr=" STYLEREF 1 \s ">
        <w:r w:rsidR="007B4050">
          <w:rPr>
            <w:noProof/>
          </w:rPr>
          <w:t>12</w:t>
        </w:r>
      </w:fldSimple>
      <w:r w:rsidR="007B4050">
        <w:noBreakHyphen/>
      </w:r>
      <w:fldSimple w:instr=" SEQ Tabela \* ARABIC \s 1 ">
        <w:r w:rsidR="007B4050">
          <w:rPr>
            <w:noProof/>
          </w:rPr>
          <w:t>9</w:t>
        </w:r>
      </w:fldSimple>
      <w:r w:rsidR="00D923A4" w:rsidRPr="002D6624">
        <w:tab/>
        <w:t xml:space="preserve">Udział poszczególnych kategorii wód w </w:t>
      </w:r>
      <w:r w:rsidR="00EF6D1D">
        <w:t>kosztach</w:t>
      </w:r>
      <w:r w:rsidR="00D923A4" w:rsidRPr="002D6624">
        <w:t xml:space="preserve"> ogółem zestawu działań </w:t>
      </w:r>
      <w:r w:rsidR="00D923A4">
        <w:t>w obszarze</w:t>
      </w:r>
      <w:r w:rsidR="00D923A4" w:rsidRPr="002D6624">
        <w:t xml:space="preserve"> dorzecz</w:t>
      </w:r>
      <w:r w:rsidR="00D923A4">
        <w:t>a</w:t>
      </w:r>
      <w:r w:rsidR="00D923A4" w:rsidRPr="002D6624">
        <w:t xml:space="preserve"> </w:t>
      </w:r>
      <w:r w:rsidR="00D923A4">
        <w:t>Pregoły</w:t>
      </w:r>
      <w:bookmarkEnd w:id="425"/>
    </w:p>
    <w:tbl>
      <w:tblPr>
        <w:tblStyle w:val="IIaPGW"/>
        <w:tblW w:w="5000" w:type="pct"/>
        <w:tblLook w:val="04A0" w:firstRow="1" w:lastRow="0" w:firstColumn="1" w:lastColumn="0" w:noHBand="0" w:noVBand="1"/>
      </w:tblPr>
      <w:tblGrid>
        <w:gridCol w:w="2690"/>
        <w:gridCol w:w="2124"/>
        <w:gridCol w:w="2124"/>
        <w:gridCol w:w="2124"/>
      </w:tblGrid>
      <w:tr w:rsidR="00D923A4" w:rsidRPr="002D6624" w14:paraId="78306980" w14:textId="77777777" w:rsidTr="00BD005D">
        <w:trPr>
          <w:cnfStyle w:val="100000000000" w:firstRow="1" w:lastRow="0" w:firstColumn="0" w:lastColumn="0" w:oddVBand="0" w:evenVBand="0" w:oddHBand="0" w:evenHBand="0" w:firstRowFirstColumn="0" w:firstRowLastColumn="0" w:lastRowFirstColumn="0" w:lastRowLastColumn="0"/>
          <w:trHeight w:val="525"/>
        </w:trPr>
        <w:tc>
          <w:tcPr>
            <w:tcW w:w="1484" w:type="pct"/>
            <w:hideMark/>
          </w:tcPr>
          <w:p w14:paraId="25B4665C" w14:textId="77777777" w:rsidR="00D923A4" w:rsidRPr="002D6624" w:rsidRDefault="00D923A4" w:rsidP="00BD005D">
            <w:pPr>
              <w:jc w:val="center"/>
              <w:rPr>
                <w:b/>
                <w:bCs/>
                <w:sz w:val="20"/>
                <w:szCs w:val="20"/>
              </w:rPr>
            </w:pPr>
            <w:r w:rsidRPr="002D6624">
              <w:rPr>
                <w:b/>
                <w:bCs/>
                <w:sz w:val="20"/>
                <w:szCs w:val="20"/>
              </w:rPr>
              <w:t>Kategorie wód</w:t>
            </w:r>
          </w:p>
        </w:tc>
        <w:tc>
          <w:tcPr>
            <w:tcW w:w="1172" w:type="pct"/>
            <w:hideMark/>
          </w:tcPr>
          <w:p w14:paraId="14C7B11D" w14:textId="77777777" w:rsidR="00D923A4" w:rsidRPr="002D6624" w:rsidRDefault="00D923A4" w:rsidP="00BD005D">
            <w:pPr>
              <w:jc w:val="center"/>
              <w:rPr>
                <w:b/>
                <w:bCs/>
                <w:sz w:val="20"/>
                <w:szCs w:val="20"/>
              </w:rPr>
            </w:pPr>
            <w:r>
              <w:rPr>
                <w:b/>
                <w:bCs/>
                <w:sz w:val="20"/>
                <w:szCs w:val="20"/>
              </w:rPr>
              <w:t>jcwp RW</w:t>
            </w:r>
          </w:p>
        </w:tc>
        <w:tc>
          <w:tcPr>
            <w:tcW w:w="1172" w:type="pct"/>
            <w:hideMark/>
          </w:tcPr>
          <w:p w14:paraId="4BE26945" w14:textId="77777777" w:rsidR="00D923A4" w:rsidRPr="002D6624" w:rsidRDefault="00D923A4" w:rsidP="00BD005D">
            <w:pPr>
              <w:jc w:val="center"/>
              <w:rPr>
                <w:b/>
                <w:bCs/>
                <w:sz w:val="20"/>
                <w:szCs w:val="20"/>
              </w:rPr>
            </w:pPr>
            <w:r>
              <w:rPr>
                <w:b/>
                <w:bCs/>
                <w:sz w:val="20"/>
                <w:szCs w:val="20"/>
              </w:rPr>
              <w:t>jcwp LW</w:t>
            </w:r>
          </w:p>
        </w:tc>
        <w:tc>
          <w:tcPr>
            <w:tcW w:w="1172" w:type="pct"/>
          </w:tcPr>
          <w:p w14:paraId="47ED5DB3" w14:textId="77777777" w:rsidR="00D923A4" w:rsidRPr="002D6624" w:rsidRDefault="00D923A4" w:rsidP="00BD005D">
            <w:pPr>
              <w:jc w:val="center"/>
              <w:rPr>
                <w:b/>
                <w:bCs/>
                <w:sz w:val="20"/>
                <w:szCs w:val="20"/>
              </w:rPr>
            </w:pPr>
            <w:r>
              <w:rPr>
                <w:b/>
                <w:bCs/>
                <w:sz w:val="20"/>
                <w:szCs w:val="20"/>
              </w:rPr>
              <w:t>jcwpd</w:t>
            </w:r>
          </w:p>
        </w:tc>
      </w:tr>
      <w:tr w:rsidR="00D923A4" w:rsidRPr="002D6624" w14:paraId="7B55B60E" w14:textId="77777777" w:rsidTr="00BD005D">
        <w:trPr>
          <w:trHeight w:val="525"/>
        </w:trPr>
        <w:tc>
          <w:tcPr>
            <w:tcW w:w="1484" w:type="pct"/>
            <w:hideMark/>
          </w:tcPr>
          <w:p w14:paraId="744C4CA8" w14:textId="77777777" w:rsidR="00D923A4" w:rsidRPr="002D6624" w:rsidRDefault="00D923A4" w:rsidP="00BD005D">
            <w:pPr>
              <w:jc w:val="left"/>
              <w:rPr>
                <w:sz w:val="20"/>
                <w:szCs w:val="20"/>
              </w:rPr>
            </w:pPr>
            <w:r w:rsidRPr="002D6624">
              <w:rPr>
                <w:sz w:val="20"/>
                <w:szCs w:val="20"/>
              </w:rPr>
              <w:t>Udział w kosztach ogółem</w:t>
            </w:r>
            <w:r>
              <w:rPr>
                <w:sz w:val="20"/>
                <w:szCs w:val="20"/>
              </w:rPr>
              <w:t xml:space="preserve"> (%)</w:t>
            </w:r>
          </w:p>
        </w:tc>
        <w:tc>
          <w:tcPr>
            <w:tcW w:w="1172" w:type="pct"/>
          </w:tcPr>
          <w:p w14:paraId="2E25BE4C" w14:textId="77777777" w:rsidR="00D923A4" w:rsidRPr="002D6624" w:rsidRDefault="00D923A4" w:rsidP="00BD005D">
            <w:pPr>
              <w:jc w:val="center"/>
              <w:rPr>
                <w:sz w:val="20"/>
                <w:szCs w:val="20"/>
              </w:rPr>
            </w:pPr>
            <w:r w:rsidRPr="00CD4CC1">
              <w:rPr>
                <w:rFonts w:eastAsia="Times New Roman"/>
                <w:color w:val="000000"/>
                <w:sz w:val="20"/>
                <w:szCs w:val="20"/>
              </w:rPr>
              <w:t>98,</w:t>
            </w:r>
            <w:r>
              <w:rPr>
                <w:rFonts w:eastAsia="Times New Roman"/>
                <w:color w:val="000000"/>
                <w:sz w:val="20"/>
                <w:szCs w:val="20"/>
              </w:rPr>
              <w:t>34</w:t>
            </w:r>
          </w:p>
        </w:tc>
        <w:tc>
          <w:tcPr>
            <w:tcW w:w="1172" w:type="pct"/>
          </w:tcPr>
          <w:p w14:paraId="7902276C" w14:textId="77777777" w:rsidR="00D923A4" w:rsidRPr="002D6624" w:rsidRDefault="00D923A4" w:rsidP="00BD005D">
            <w:pPr>
              <w:jc w:val="center"/>
              <w:rPr>
                <w:sz w:val="20"/>
                <w:szCs w:val="20"/>
              </w:rPr>
            </w:pPr>
            <w:r w:rsidRPr="00CD4CC1">
              <w:rPr>
                <w:rFonts w:eastAsia="Times New Roman"/>
                <w:color w:val="000000"/>
                <w:sz w:val="20"/>
                <w:szCs w:val="20"/>
              </w:rPr>
              <w:t>1,</w:t>
            </w:r>
            <w:r>
              <w:rPr>
                <w:rFonts w:eastAsia="Times New Roman"/>
                <w:color w:val="000000"/>
                <w:sz w:val="20"/>
                <w:szCs w:val="20"/>
              </w:rPr>
              <w:t>66</w:t>
            </w:r>
          </w:p>
        </w:tc>
        <w:tc>
          <w:tcPr>
            <w:tcW w:w="1172" w:type="pct"/>
          </w:tcPr>
          <w:p w14:paraId="62AF54D1" w14:textId="77777777" w:rsidR="00D923A4" w:rsidRPr="00CD4CC1" w:rsidRDefault="00D923A4" w:rsidP="00BD005D">
            <w:pPr>
              <w:jc w:val="center"/>
              <w:rPr>
                <w:rFonts w:eastAsia="Times New Roman"/>
                <w:color w:val="000000"/>
                <w:sz w:val="20"/>
                <w:szCs w:val="20"/>
              </w:rPr>
            </w:pPr>
            <w:r>
              <w:rPr>
                <w:rFonts w:eastAsia="Times New Roman"/>
                <w:color w:val="000000"/>
                <w:sz w:val="20"/>
                <w:szCs w:val="20"/>
              </w:rPr>
              <w:t>0,00</w:t>
            </w:r>
          </w:p>
        </w:tc>
      </w:tr>
    </w:tbl>
    <w:p w14:paraId="2B63A746" w14:textId="5314CE01" w:rsidR="00D923A4" w:rsidRDefault="00D923A4" w:rsidP="00D923A4">
      <w:pPr>
        <w:pStyle w:val="rdo0"/>
        <w:rPr>
          <w:lang w:eastAsia="zh-CN"/>
        </w:rPr>
      </w:pPr>
      <w:r w:rsidRPr="001E4D45">
        <w:rPr>
          <w:lang w:eastAsia="zh-CN"/>
        </w:rPr>
        <w:t xml:space="preserve">Źródło: opracowanie </w:t>
      </w:r>
      <w:r>
        <w:rPr>
          <w:lang w:eastAsia="zh-CN"/>
        </w:rPr>
        <w:t>własne</w:t>
      </w:r>
    </w:p>
    <w:p w14:paraId="7DA0C932" w14:textId="77777777" w:rsidR="004D6A05" w:rsidRDefault="004D6A05">
      <w:pPr>
        <w:spacing w:before="0" w:after="0"/>
        <w:jc w:val="left"/>
        <w:rPr>
          <w:highlight w:val="yellow"/>
        </w:rPr>
      </w:pPr>
      <w:r>
        <w:rPr>
          <w:highlight w:val="yellow"/>
        </w:rPr>
        <w:br w:type="page"/>
      </w:r>
    </w:p>
    <w:p w14:paraId="27F406A6" w14:textId="644E2B0F" w:rsidR="00740DDF" w:rsidRDefault="00147885" w:rsidP="00740DDF">
      <w:r w:rsidRPr="00C41257">
        <w:t xml:space="preserve">Działania podstawowe stanowią ponad </w:t>
      </w:r>
      <w:r w:rsidR="00740DDF" w:rsidRPr="00C41257">
        <w:t>91% kosztu</w:t>
      </w:r>
      <w:r w:rsidR="00740DDF">
        <w:t xml:space="preserve"> wszystkich działań </w:t>
      </w:r>
      <w:r w:rsidR="00262C90">
        <w:t>(</w:t>
      </w:r>
      <w:r w:rsidR="00ED24C2">
        <w:t>tabela 12-10):</w:t>
      </w:r>
    </w:p>
    <w:p w14:paraId="6F3566B0" w14:textId="20140147" w:rsidR="00525D8A" w:rsidRPr="002D6624" w:rsidRDefault="00525D8A" w:rsidP="00525D8A">
      <w:pPr>
        <w:pStyle w:val="Legenda"/>
      </w:pPr>
      <w:bookmarkStart w:id="426" w:name="_Toc68727038"/>
      <w:r w:rsidRPr="002D6624">
        <w:t xml:space="preserve">Tabela </w:t>
      </w:r>
      <w:r>
        <w:fldChar w:fldCharType="begin"/>
      </w:r>
      <w:r>
        <w:instrText>STYLEREF 1 \s</w:instrText>
      </w:r>
      <w:r>
        <w:fldChar w:fldCharType="separate"/>
      </w:r>
      <w:r w:rsidR="00D923A4">
        <w:rPr>
          <w:noProof/>
        </w:rPr>
        <w:t>12</w:t>
      </w:r>
      <w:r>
        <w:fldChar w:fldCharType="end"/>
      </w:r>
      <w:r w:rsidR="007B4050">
        <w:noBreakHyphen/>
      </w:r>
      <w:r>
        <w:fldChar w:fldCharType="begin"/>
      </w:r>
      <w:r>
        <w:instrText>SEQ Tabela \* ARABIC \s 1</w:instrText>
      </w:r>
      <w:r>
        <w:fldChar w:fldCharType="separate"/>
      </w:r>
      <w:r w:rsidR="00D923A4">
        <w:rPr>
          <w:noProof/>
        </w:rPr>
        <w:t>10</w:t>
      </w:r>
      <w:r>
        <w:fldChar w:fldCharType="end"/>
      </w:r>
      <w:r w:rsidRPr="002D6624">
        <w:tab/>
      </w:r>
      <w:r w:rsidR="00A40BE3">
        <w:t>Koszty zestawu działań</w:t>
      </w:r>
      <w:r w:rsidRPr="002D6624">
        <w:t xml:space="preserve"> według rodzajów działań (w tys. zł) </w:t>
      </w:r>
      <w:r>
        <w:t xml:space="preserve">w obszarze </w:t>
      </w:r>
      <w:r w:rsidRPr="002D6624">
        <w:t>dorzecz</w:t>
      </w:r>
      <w:r>
        <w:t>a</w:t>
      </w:r>
      <w:r w:rsidRPr="002D6624">
        <w:t xml:space="preserve"> </w:t>
      </w:r>
      <w:bookmarkEnd w:id="424"/>
      <w:r>
        <w:t>Pregoły</w:t>
      </w:r>
      <w:bookmarkEnd w:id="426"/>
    </w:p>
    <w:tbl>
      <w:tblPr>
        <w:tblStyle w:val="IIaPGW"/>
        <w:tblW w:w="5000" w:type="pct"/>
        <w:tblLook w:val="04A0" w:firstRow="1" w:lastRow="0" w:firstColumn="1" w:lastColumn="0" w:noHBand="0" w:noVBand="1"/>
      </w:tblPr>
      <w:tblGrid>
        <w:gridCol w:w="2266"/>
        <w:gridCol w:w="1698"/>
        <w:gridCol w:w="1702"/>
        <w:gridCol w:w="1700"/>
        <w:gridCol w:w="1696"/>
      </w:tblGrid>
      <w:tr w:rsidR="00525D8A" w:rsidRPr="002D6624" w14:paraId="16C2759C" w14:textId="77777777" w:rsidTr="00525D8A">
        <w:trPr>
          <w:cnfStyle w:val="100000000000" w:firstRow="1" w:lastRow="0" w:firstColumn="0" w:lastColumn="0" w:oddVBand="0" w:evenVBand="0" w:oddHBand="0" w:evenHBand="0" w:firstRowFirstColumn="0" w:firstRowLastColumn="0" w:lastRowFirstColumn="0" w:lastRowLastColumn="0"/>
          <w:trHeight w:val="289"/>
        </w:trPr>
        <w:tc>
          <w:tcPr>
            <w:tcW w:w="1250" w:type="pct"/>
            <w:hideMark/>
          </w:tcPr>
          <w:p w14:paraId="6EB169DE" w14:textId="77777777" w:rsidR="00525D8A" w:rsidRPr="002D6624" w:rsidRDefault="00525D8A" w:rsidP="00525D8A">
            <w:pPr>
              <w:spacing w:before="40" w:after="40"/>
              <w:jc w:val="center"/>
              <w:rPr>
                <w:b/>
                <w:bCs/>
                <w:sz w:val="20"/>
                <w:szCs w:val="20"/>
              </w:rPr>
            </w:pPr>
            <w:r w:rsidRPr="002D6624">
              <w:rPr>
                <w:b/>
                <w:bCs/>
                <w:sz w:val="20"/>
                <w:szCs w:val="20"/>
              </w:rPr>
              <w:t>Rodzaj działania</w:t>
            </w:r>
          </w:p>
        </w:tc>
        <w:tc>
          <w:tcPr>
            <w:tcW w:w="937" w:type="pct"/>
          </w:tcPr>
          <w:p w14:paraId="27375446" w14:textId="77777777" w:rsidR="00525D8A" w:rsidRPr="002D6624" w:rsidRDefault="00525D8A" w:rsidP="00525D8A">
            <w:pPr>
              <w:spacing w:before="40" w:after="40"/>
              <w:jc w:val="center"/>
              <w:rPr>
                <w:b/>
                <w:bCs/>
                <w:sz w:val="20"/>
                <w:szCs w:val="20"/>
              </w:rPr>
            </w:pPr>
            <w:r w:rsidRPr="002D6624">
              <w:rPr>
                <w:b/>
                <w:bCs/>
                <w:sz w:val="20"/>
                <w:szCs w:val="20"/>
              </w:rPr>
              <w:t>Razem</w:t>
            </w:r>
          </w:p>
        </w:tc>
        <w:tc>
          <w:tcPr>
            <w:tcW w:w="939" w:type="pct"/>
            <w:hideMark/>
          </w:tcPr>
          <w:p w14:paraId="10A8C731" w14:textId="77777777" w:rsidR="00525D8A" w:rsidRPr="002D6624" w:rsidRDefault="00525D8A" w:rsidP="00525D8A">
            <w:pPr>
              <w:spacing w:before="40" w:after="40"/>
              <w:jc w:val="center"/>
              <w:rPr>
                <w:b/>
                <w:bCs/>
                <w:sz w:val="20"/>
                <w:szCs w:val="20"/>
              </w:rPr>
            </w:pPr>
            <w:r>
              <w:rPr>
                <w:b/>
                <w:bCs/>
                <w:sz w:val="20"/>
                <w:szCs w:val="20"/>
              </w:rPr>
              <w:t>jcwp RW</w:t>
            </w:r>
          </w:p>
        </w:tc>
        <w:tc>
          <w:tcPr>
            <w:tcW w:w="938" w:type="pct"/>
            <w:hideMark/>
          </w:tcPr>
          <w:p w14:paraId="35EE5A66" w14:textId="77777777" w:rsidR="00525D8A" w:rsidRPr="002D6624" w:rsidRDefault="00525D8A" w:rsidP="00525D8A">
            <w:pPr>
              <w:spacing w:before="40" w:after="40"/>
              <w:jc w:val="center"/>
              <w:rPr>
                <w:b/>
                <w:bCs/>
                <w:sz w:val="20"/>
                <w:szCs w:val="20"/>
              </w:rPr>
            </w:pPr>
            <w:r>
              <w:rPr>
                <w:b/>
                <w:bCs/>
                <w:sz w:val="20"/>
                <w:szCs w:val="20"/>
              </w:rPr>
              <w:t>jcwp LW</w:t>
            </w:r>
          </w:p>
        </w:tc>
        <w:tc>
          <w:tcPr>
            <w:tcW w:w="936" w:type="pct"/>
          </w:tcPr>
          <w:p w14:paraId="140ECC5B" w14:textId="77777777" w:rsidR="00525D8A" w:rsidRPr="002D6624" w:rsidRDefault="00525D8A" w:rsidP="00525D8A">
            <w:pPr>
              <w:spacing w:before="40" w:after="40"/>
              <w:jc w:val="center"/>
              <w:rPr>
                <w:b/>
                <w:bCs/>
                <w:sz w:val="20"/>
                <w:szCs w:val="20"/>
              </w:rPr>
            </w:pPr>
            <w:r>
              <w:rPr>
                <w:b/>
                <w:bCs/>
                <w:sz w:val="20"/>
                <w:szCs w:val="20"/>
              </w:rPr>
              <w:t>jcwpd</w:t>
            </w:r>
          </w:p>
        </w:tc>
      </w:tr>
      <w:tr w:rsidR="00525D8A" w:rsidRPr="002D6624" w14:paraId="455F4E08" w14:textId="77777777" w:rsidTr="00525D8A">
        <w:trPr>
          <w:trHeight w:val="289"/>
        </w:trPr>
        <w:tc>
          <w:tcPr>
            <w:tcW w:w="1250" w:type="pct"/>
            <w:hideMark/>
          </w:tcPr>
          <w:p w14:paraId="3D269E24" w14:textId="77777777" w:rsidR="00525D8A" w:rsidRPr="002D6624" w:rsidRDefault="00525D8A" w:rsidP="00525D8A">
            <w:pPr>
              <w:spacing w:before="40" w:after="40"/>
              <w:rPr>
                <w:sz w:val="20"/>
                <w:szCs w:val="20"/>
              </w:rPr>
            </w:pPr>
            <w:r w:rsidRPr="002D6624">
              <w:rPr>
                <w:sz w:val="20"/>
                <w:szCs w:val="20"/>
              </w:rPr>
              <w:t>Działania podstawowe</w:t>
            </w:r>
          </w:p>
        </w:tc>
        <w:tc>
          <w:tcPr>
            <w:tcW w:w="937" w:type="pct"/>
          </w:tcPr>
          <w:p w14:paraId="0D8D94F6" w14:textId="77777777" w:rsidR="00525D8A" w:rsidRPr="002D6624" w:rsidRDefault="00525D8A" w:rsidP="00525D8A">
            <w:pPr>
              <w:spacing w:before="40" w:after="40"/>
              <w:jc w:val="center"/>
              <w:rPr>
                <w:sz w:val="20"/>
                <w:szCs w:val="20"/>
              </w:rPr>
            </w:pPr>
            <w:r>
              <w:rPr>
                <w:rFonts w:cs="Calibri"/>
                <w:color w:val="000000" w:themeColor="text1"/>
                <w:sz w:val="20"/>
                <w:szCs w:val="20"/>
                <w:lang w:val="en-US" w:eastAsia="pl-PL"/>
              </w:rPr>
              <w:t>216 623,12</w:t>
            </w:r>
          </w:p>
        </w:tc>
        <w:tc>
          <w:tcPr>
            <w:tcW w:w="939" w:type="pct"/>
          </w:tcPr>
          <w:p w14:paraId="0B985898" w14:textId="77777777" w:rsidR="00525D8A" w:rsidRPr="002D6624" w:rsidRDefault="00525D8A" w:rsidP="00525D8A">
            <w:pPr>
              <w:spacing w:before="40" w:after="40"/>
              <w:jc w:val="center"/>
              <w:rPr>
                <w:sz w:val="20"/>
                <w:szCs w:val="20"/>
              </w:rPr>
            </w:pPr>
            <w:r>
              <w:rPr>
                <w:sz w:val="20"/>
                <w:szCs w:val="20"/>
              </w:rPr>
              <w:t>216 192,26</w:t>
            </w:r>
          </w:p>
        </w:tc>
        <w:tc>
          <w:tcPr>
            <w:tcW w:w="938" w:type="pct"/>
          </w:tcPr>
          <w:p w14:paraId="6E8B6DAC" w14:textId="77777777" w:rsidR="00525D8A" w:rsidRPr="002D6624" w:rsidRDefault="00525D8A" w:rsidP="00525D8A">
            <w:pPr>
              <w:spacing w:before="40" w:after="40"/>
              <w:jc w:val="center"/>
              <w:rPr>
                <w:sz w:val="20"/>
                <w:szCs w:val="20"/>
              </w:rPr>
            </w:pPr>
            <w:r>
              <w:rPr>
                <w:sz w:val="20"/>
                <w:szCs w:val="20"/>
              </w:rPr>
              <w:t>430,86</w:t>
            </w:r>
          </w:p>
        </w:tc>
        <w:tc>
          <w:tcPr>
            <w:tcW w:w="936" w:type="pct"/>
            <w:vAlign w:val="top"/>
          </w:tcPr>
          <w:p w14:paraId="75FB50FF" w14:textId="77777777" w:rsidR="00525D8A" w:rsidRPr="00F63EF3" w:rsidRDefault="00525D8A" w:rsidP="00525D8A">
            <w:pPr>
              <w:spacing w:before="40" w:after="40"/>
              <w:jc w:val="center"/>
              <w:rPr>
                <w:rFonts w:cs="Calibri"/>
                <w:color w:val="000000" w:themeColor="text1"/>
                <w:sz w:val="20"/>
                <w:szCs w:val="20"/>
                <w:lang w:val="en-US" w:eastAsia="pl-PL"/>
              </w:rPr>
            </w:pPr>
            <w:r>
              <w:rPr>
                <w:rFonts w:cs="Calibri"/>
                <w:color w:val="000000" w:themeColor="text1"/>
                <w:sz w:val="20"/>
                <w:szCs w:val="20"/>
                <w:lang w:val="en-US" w:eastAsia="pl-PL"/>
              </w:rPr>
              <w:t>0,0</w:t>
            </w:r>
          </w:p>
        </w:tc>
      </w:tr>
      <w:tr w:rsidR="00525D8A" w:rsidRPr="002D6624" w14:paraId="74299561" w14:textId="77777777" w:rsidTr="00525D8A">
        <w:trPr>
          <w:trHeight w:val="289"/>
        </w:trPr>
        <w:tc>
          <w:tcPr>
            <w:tcW w:w="1250" w:type="pct"/>
          </w:tcPr>
          <w:p w14:paraId="74416B6F" w14:textId="77777777" w:rsidR="00525D8A" w:rsidRPr="002D6624" w:rsidRDefault="00525D8A" w:rsidP="00525D8A">
            <w:pPr>
              <w:spacing w:before="40" w:after="40"/>
              <w:rPr>
                <w:sz w:val="20"/>
                <w:szCs w:val="20"/>
              </w:rPr>
            </w:pPr>
            <w:r w:rsidRPr="002D6624">
              <w:rPr>
                <w:sz w:val="20"/>
                <w:szCs w:val="20"/>
              </w:rPr>
              <w:t>Działania uzupełniające</w:t>
            </w:r>
          </w:p>
        </w:tc>
        <w:tc>
          <w:tcPr>
            <w:tcW w:w="937" w:type="pct"/>
          </w:tcPr>
          <w:p w14:paraId="0CC37C0F" w14:textId="77777777" w:rsidR="00525D8A" w:rsidRPr="002D6624" w:rsidRDefault="00525D8A" w:rsidP="00525D8A">
            <w:pPr>
              <w:spacing w:before="40" w:after="40"/>
              <w:jc w:val="center"/>
              <w:rPr>
                <w:sz w:val="20"/>
                <w:szCs w:val="20"/>
              </w:rPr>
            </w:pPr>
            <w:r>
              <w:rPr>
                <w:sz w:val="20"/>
                <w:szCs w:val="20"/>
              </w:rPr>
              <w:t>20 296,95</w:t>
            </w:r>
          </w:p>
        </w:tc>
        <w:tc>
          <w:tcPr>
            <w:tcW w:w="939" w:type="pct"/>
          </w:tcPr>
          <w:p w14:paraId="427B134E" w14:textId="77777777" w:rsidR="00525D8A" w:rsidRPr="002D6624" w:rsidRDefault="00525D8A" w:rsidP="00525D8A">
            <w:pPr>
              <w:spacing w:before="40" w:after="40"/>
              <w:jc w:val="center"/>
              <w:rPr>
                <w:sz w:val="20"/>
                <w:szCs w:val="20"/>
              </w:rPr>
            </w:pPr>
            <w:r>
              <w:rPr>
                <w:sz w:val="20"/>
                <w:szCs w:val="20"/>
              </w:rPr>
              <w:t>16 785,05</w:t>
            </w:r>
          </w:p>
        </w:tc>
        <w:tc>
          <w:tcPr>
            <w:tcW w:w="938" w:type="pct"/>
          </w:tcPr>
          <w:p w14:paraId="06A07899" w14:textId="77777777" w:rsidR="00525D8A" w:rsidRPr="002D6624" w:rsidRDefault="00525D8A" w:rsidP="00525D8A">
            <w:pPr>
              <w:spacing w:before="40" w:after="40"/>
              <w:jc w:val="center"/>
              <w:rPr>
                <w:sz w:val="20"/>
                <w:szCs w:val="20"/>
              </w:rPr>
            </w:pPr>
            <w:r>
              <w:rPr>
                <w:sz w:val="20"/>
                <w:szCs w:val="20"/>
              </w:rPr>
              <w:t>3 511,90</w:t>
            </w:r>
          </w:p>
        </w:tc>
        <w:tc>
          <w:tcPr>
            <w:tcW w:w="936" w:type="pct"/>
            <w:vAlign w:val="top"/>
          </w:tcPr>
          <w:p w14:paraId="553F3037" w14:textId="77777777" w:rsidR="00525D8A" w:rsidRPr="00F63EF3" w:rsidRDefault="00525D8A" w:rsidP="00525D8A">
            <w:pPr>
              <w:spacing w:before="40" w:after="40"/>
              <w:jc w:val="center"/>
              <w:rPr>
                <w:rFonts w:cs="Calibri"/>
                <w:color w:val="000000" w:themeColor="text1"/>
                <w:sz w:val="20"/>
                <w:szCs w:val="20"/>
                <w:lang w:val="en-US" w:eastAsia="pl-PL"/>
              </w:rPr>
            </w:pPr>
            <w:r>
              <w:rPr>
                <w:rFonts w:cs="Calibri"/>
                <w:color w:val="000000" w:themeColor="text1"/>
                <w:sz w:val="20"/>
                <w:szCs w:val="20"/>
                <w:lang w:val="en-US" w:eastAsia="pl-PL"/>
              </w:rPr>
              <w:t>0,0</w:t>
            </w:r>
          </w:p>
        </w:tc>
      </w:tr>
      <w:tr w:rsidR="00525D8A" w:rsidRPr="0053495F" w14:paraId="39EEEF48" w14:textId="77777777" w:rsidTr="00525D8A">
        <w:trPr>
          <w:trHeight w:val="432"/>
        </w:trPr>
        <w:tc>
          <w:tcPr>
            <w:tcW w:w="1250" w:type="pct"/>
            <w:shd w:val="clear" w:color="auto" w:fill="D9D9D9" w:themeFill="background1" w:themeFillShade="D9"/>
            <w:hideMark/>
          </w:tcPr>
          <w:p w14:paraId="7A549D8D" w14:textId="4ACF2F41" w:rsidR="00525D8A" w:rsidRPr="0053495F" w:rsidRDefault="00FB6224" w:rsidP="00525D8A">
            <w:pPr>
              <w:spacing w:before="40" w:after="40"/>
              <w:jc w:val="center"/>
              <w:rPr>
                <w:b/>
                <w:bCs/>
                <w:sz w:val="20"/>
                <w:szCs w:val="20"/>
              </w:rPr>
            </w:pPr>
            <w:r>
              <w:rPr>
                <w:b/>
                <w:bCs/>
                <w:sz w:val="20"/>
                <w:szCs w:val="20"/>
              </w:rPr>
              <w:t>Razem</w:t>
            </w:r>
          </w:p>
        </w:tc>
        <w:tc>
          <w:tcPr>
            <w:tcW w:w="937" w:type="pct"/>
            <w:shd w:val="clear" w:color="auto" w:fill="D9D9D9" w:themeFill="background1" w:themeFillShade="D9"/>
          </w:tcPr>
          <w:p w14:paraId="1B2D190B" w14:textId="77777777" w:rsidR="00525D8A" w:rsidRPr="0053495F" w:rsidRDefault="00525D8A" w:rsidP="00525D8A">
            <w:pPr>
              <w:spacing w:before="40" w:after="40"/>
              <w:jc w:val="center"/>
              <w:rPr>
                <w:b/>
                <w:bCs/>
                <w:sz w:val="20"/>
                <w:szCs w:val="20"/>
              </w:rPr>
            </w:pPr>
            <w:r>
              <w:rPr>
                <w:b/>
                <w:bCs/>
                <w:sz w:val="20"/>
                <w:szCs w:val="20"/>
              </w:rPr>
              <w:t>236 920,07</w:t>
            </w:r>
          </w:p>
        </w:tc>
        <w:tc>
          <w:tcPr>
            <w:tcW w:w="939" w:type="pct"/>
            <w:shd w:val="clear" w:color="auto" w:fill="D9D9D9" w:themeFill="background1" w:themeFillShade="D9"/>
          </w:tcPr>
          <w:p w14:paraId="2C268759" w14:textId="77777777" w:rsidR="00525D8A" w:rsidRPr="0053495F" w:rsidRDefault="00525D8A" w:rsidP="00525D8A">
            <w:pPr>
              <w:spacing w:before="40" w:after="40"/>
              <w:jc w:val="center"/>
              <w:rPr>
                <w:b/>
                <w:bCs/>
                <w:sz w:val="20"/>
                <w:szCs w:val="20"/>
              </w:rPr>
            </w:pPr>
            <w:r w:rsidRPr="0053495F">
              <w:rPr>
                <w:rFonts w:eastAsia="Times New Roman"/>
                <w:b/>
                <w:sz w:val="20"/>
                <w:szCs w:val="20"/>
              </w:rPr>
              <w:t>301</w:t>
            </w:r>
            <w:r>
              <w:rPr>
                <w:rFonts w:eastAsia="Times New Roman"/>
                <w:b/>
                <w:sz w:val="20"/>
                <w:szCs w:val="20"/>
              </w:rPr>
              <w:t> </w:t>
            </w:r>
            <w:r w:rsidRPr="0053495F">
              <w:rPr>
                <w:rFonts w:eastAsia="Times New Roman"/>
                <w:b/>
                <w:sz w:val="20"/>
                <w:szCs w:val="20"/>
              </w:rPr>
              <w:t>764</w:t>
            </w:r>
            <w:r>
              <w:rPr>
                <w:rFonts w:eastAsia="Times New Roman"/>
                <w:b/>
                <w:sz w:val="20"/>
                <w:szCs w:val="20"/>
              </w:rPr>
              <w:t>,00</w:t>
            </w:r>
          </w:p>
        </w:tc>
        <w:tc>
          <w:tcPr>
            <w:tcW w:w="938" w:type="pct"/>
            <w:shd w:val="clear" w:color="auto" w:fill="D9D9D9" w:themeFill="background1" w:themeFillShade="D9"/>
          </w:tcPr>
          <w:p w14:paraId="5D233EB1" w14:textId="77777777" w:rsidR="00525D8A" w:rsidRPr="0053495F" w:rsidRDefault="00525D8A" w:rsidP="00525D8A">
            <w:pPr>
              <w:spacing w:before="40" w:after="40"/>
              <w:jc w:val="center"/>
              <w:rPr>
                <w:b/>
                <w:bCs/>
                <w:sz w:val="20"/>
                <w:szCs w:val="20"/>
              </w:rPr>
            </w:pPr>
            <w:r w:rsidRPr="0053495F">
              <w:rPr>
                <w:rFonts w:eastAsia="Times New Roman"/>
                <w:b/>
                <w:sz w:val="20"/>
                <w:szCs w:val="20"/>
              </w:rPr>
              <w:t>4</w:t>
            </w:r>
            <w:r>
              <w:rPr>
                <w:rFonts w:eastAsia="Times New Roman"/>
                <w:b/>
                <w:sz w:val="20"/>
                <w:szCs w:val="20"/>
              </w:rPr>
              <w:t> </w:t>
            </w:r>
            <w:r w:rsidRPr="0053495F">
              <w:rPr>
                <w:rFonts w:eastAsia="Times New Roman"/>
                <w:b/>
                <w:sz w:val="20"/>
                <w:szCs w:val="20"/>
              </w:rPr>
              <w:t>138</w:t>
            </w:r>
            <w:r>
              <w:rPr>
                <w:rFonts w:eastAsia="Times New Roman"/>
                <w:b/>
                <w:sz w:val="20"/>
                <w:szCs w:val="20"/>
              </w:rPr>
              <w:t>,00</w:t>
            </w:r>
          </w:p>
        </w:tc>
        <w:tc>
          <w:tcPr>
            <w:tcW w:w="936" w:type="pct"/>
            <w:shd w:val="clear" w:color="auto" w:fill="D9D9D9" w:themeFill="background1" w:themeFillShade="D9"/>
          </w:tcPr>
          <w:p w14:paraId="2C28F294" w14:textId="77777777" w:rsidR="00525D8A" w:rsidRPr="0053495F" w:rsidRDefault="00525D8A" w:rsidP="00525D8A">
            <w:pPr>
              <w:spacing w:before="40" w:after="40"/>
              <w:jc w:val="center"/>
              <w:rPr>
                <w:b/>
                <w:bCs/>
                <w:sz w:val="20"/>
                <w:szCs w:val="20"/>
              </w:rPr>
            </w:pPr>
            <w:r w:rsidRPr="0053495F">
              <w:rPr>
                <w:rFonts w:eastAsia="Times New Roman"/>
                <w:b/>
                <w:sz w:val="20"/>
                <w:szCs w:val="20"/>
              </w:rPr>
              <w:t>0</w:t>
            </w:r>
            <w:r>
              <w:rPr>
                <w:rFonts w:eastAsia="Times New Roman"/>
                <w:b/>
                <w:sz w:val="20"/>
                <w:szCs w:val="20"/>
              </w:rPr>
              <w:t>,0</w:t>
            </w:r>
          </w:p>
        </w:tc>
      </w:tr>
    </w:tbl>
    <w:p w14:paraId="1E5E7CFE" w14:textId="1C537E46" w:rsidR="00525D8A" w:rsidRDefault="00525D8A" w:rsidP="00525D8A">
      <w:pPr>
        <w:pStyle w:val="rdo0"/>
        <w:rPr>
          <w:lang w:eastAsia="zh-CN"/>
        </w:rPr>
      </w:pPr>
      <w:bookmarkStart w:id="427" w:name="_Toc66324819"/>
      <w:r w:rsidRPr="001E4D45">
        <w:rPr>
          <w:lang w:eastAsia="zh-CN"/>
        </w:rPr>
        <w:t xml:space="preserve">Źródło: opracowanie </w:t>
      </w:r>
      <w:r>
        <w:rPr>
          <w:lang w:eastAsia="zh-CN"/>
        </w:rPr>
        <w:t>własne</w:t>
      </w:r>
    </w:p>
    <w:p w14:paraId="5E80ACC2" w14:textId="593BA86A" w:rsidR="004D6A05" w:rsidRDefault="00EF6D1D" w:rsidP="004D6A05">
      <w:r w:rsidRPr="00BE2ECA">
        <w:t>W przypadku kosztów zestawu działań według kategorii działań należy stwierdzić, że n</w:t>
      </w:r>
      <w:r w:rsidR="004D6A05" w:rsidRPr="00BE2ECA">
        <w:t xml:space="preserve">ajwiększy udział w kosztach zestawu działań mają zadania z zakresu gospodarki komunalnej i odpadami </w:t>
      </w:r>
      <w:r w:rsidR="006C4947">
        <w:t>-</w:t>
      </w:r>
      <w:r w:rsidR="004D6A05" w:rsidRPr="00BE2ECA">
        <w:t xml:space="preserve"> </w:t>
      </w:r>
      <w:r w:rsidR="0054078A" w:rsidRPr="00BE2ECA">
        <w:t xml:space="preserve">ok. </w:t>
      </w:r>
      <w:r w:rsidR="004D6A05" w:rsidRPr="00BE2ECA">
        <w:t>92%, drugą w kolejności kategorią są działania z zakresu zapewnienia ciągłości biologicznej i morfologicznej rzek i potoków (</w:t>
      </w:r>
      <w:r w:rsidR="0054078A" w:rsidRPr="00BE2ECA">
        <w:t xml:space="preserve">ok. </w:t>
      </w:r>
      <w:r w:rsidR="004D6A05" w:rsidRPr="00BE2ECA">
        <w:t>6%)</w:t>
      </w:r>
      <w:r w:rsidR="00865228" w:rsidRPr="00BE2ECA">
        <w:t>.</w:t>
      </w:r>
      <w:r w:rsidR="00BE2ECA">
        <w:t xml:space="preserve"> </w:t>
      </w:r>
      <w:r w:rsidR="00BE2ECA" w:rsidRPr="00D975CC">
        <w:t>Szczegółowe dane w podziale na poszczególne kategorie działań, przedstawia tabela poniżej.</w:t>
      </w:r>
    </w:p>
    <w:p w14:paraId="251C5558" w14:textId="13F3395A" w:rsidR="00525D8A" w:rsidRPr="002D6624" w:rsidRDefault="00525D8A" w:rsidP="00525D8A">
      <w:pPr>
        <w:pStyle w:val="Tabela"/>
      </w:pPr>
      <w:bookmarkStart w:id="428" w:name="_Toc68727039"/>
      <w:r w:rsidRPr="002D6624">
        <w:t xml:space="preserve">Tabela </w:t>
      </w:r>
      <w:fldSimple w:instr=" STYLEREF 1 \s ">
        <w:r w:rsidR="007B4050">
          <w:rPr>
            <w:noProof/>
          </w:rPr>
          <w:t>12</w:t>
        </w:r>
      </w:fldSimple>
      <w:r w:rsidR="007B4050">
        <w:noBreakHyphen/>
      </w:r>
      <w:fldSimple w:instr=" SEQ Tabela \* ARABIC \s 1 ">
        <w:r w:rsidR="00DD7EA4">
          <w:rPr>
            <w:noProof/>
          </w:rPr>
          <w:t>11</w:t>
        </w:r>
      </w:fldSimple>
      <w:r w:rsidRPr="002D6624">
        <w:tab/>
      </w:r>
      <w:r w:rsidR="00A40BE3">
        <w:t>Koszty zestawu działań</w:t>
      </w:r>
      <w:r w:rsidRPr="002D6624">
        <w:t xml:space="preserve"> według kategorii działań (w tys. zł) </w:t>
      </w:r>
      <w:r>
        <w:t>w obszarze</w:t>
      </w:r>
      <w:r w:rsidRPr="002D6624">
        <w:t xml:space="preserve"> dorzecz</w:t>
      </w:r>
      <w:r>
        <w:t>a</w:t>
      </w:r>
      <w:r w:rsidRPr="002D6624">
        <w:t xml:space="preserve"> </w:t>
      </w:r>
      <w:bookmarkEnd w:id="427"/>
      <w:r>
        <w:t>Pregoły</w:t>
      </w:r>
      <w:bookmarkEnd w:id="428"/>
    </w:p>
    <w:tbl>
      <w:tblPr>
        <w:tblStyle w:val="IIaPGW"/>
        <w:tblW w:w="5000" w:type="pct"/>
        <w:tblLayout w:type="fixed"/>
        <w:tblLook w:val="04A0" w:firstRow="1" w:lastRow="0" w:firstColumn="1" w:lastColumn="0" w:noHBand="0" w:noVBand="1"/>
      </w:tblPr>
      <w:tblGrid>
        <w:gridCol w:w="3542"/>
        <w:gridCol w:w="1379"/>
        <w:gridCol w:w="1381"/>
        <w:gridCol w:w="1379"/>
        <w:gridCol w:w="1381"/>
      </w:tblGrid>
      <w:tr w:rsidR="00525D8A" w:rsidRPr="0053495F" w14:paraId="188992A0" w14:textId="77777777" w:rsidTr="00525D8A">
        <w:trPr>
          <w:cnfStyle w:val="100000000000" w:firstRow="1" w:lastRow="0" w:firstColumn="0" w:lastColumn="0" w:oddVBand="0" w:evenVBand="0" w:oddHBand="0" w:evenHBand="0" w:firstRowFirstColumn="0" w:firstRowLastColumn="0" w:lastRowFirstColumn="0" w:lastRowLastColumn="0"/>
          <w:trHeight w:val="600"/>
        </w:trPr>
        <w:tc>
          <w:tcPr>
            <w:tcW w:w="1954" w:type="pct"/>
            <w:hideMark/>
          </w:tcPr>
          <w:p w14:paraId="4B02D6CD" w14:textId="77777777" w:rsidR="00525D8A" w:rsidRPr="0053495F" w:rsidRDefault="00525D8A" w:rsidP="00525D8A">
            <w:pPr>
              <w:spacing w:before="40" w:after="40"/>
              <w:jc w:val="center"/>
              <w:rPr>
                <w:b/>
                <w:bCs/>
                <w:sz w:val="20"/>
                <w:szCs w:val="20"/>
              </w:rPr>
            </w:pPr>
            <w:r w:rsidRPr="0053495F">
              <w:rPr>
                <w:b/>
                <w:bCs/>
                <w:sz w:val="20"/>
                <w:szCs w:val="20"/>
              </w:rPr>
              <w:t>Kategoria działań</w:t>
            </w:r>
          </w:p>
        </w:tc>
        <w:tc>
          <w:tcPr>
            <w:tcW w:w="761" w:type="pct"/>
            <w:hideMark/>
          </w:tcPr>
          <w:p w14:paraId="46F75B67" w14:textId="274B2365" w:rsidR="00525D8A" w:rsidRPr="0053495F" w:rsidRDefault="008F5858" w:rsidP="00525D8A">
            <w:pPr>
              <w:spacing w:before="40" w:after="40"/>
              <w:jc w:val="center"/>
              <w:rPr>
                <w:b/>
                <w:bCs/>
                <w:sz w:val="20"/>
                <w:szCs w:val="20"/>
              </w:rPr>
            </w:pPr>
            <w:r>
              <w:rPr>
                <w:b/>
                <w:bCs/>
                <w:sz w:val="20"/>
                <w:szCs w:val="20"/>
              </w:rPr>
              <w:t>Razem</w:t>
            </w:r>
          </w:p>
        </w:tc>
        <w:tc>
          <w:tcPr>
            <w:tcW w:w="762" w:type="pct"/>
            <w:hideMark/>
          </w:tcPr>
          <w:p w14:paraId="1A7A4B99" w14:textId="77777777" w:rsidR="00525D8A" w:rsidRPr="0053495F" w:rsidRDefault="00525D8A" w:rsidP="00525D8A">
            <w:pPr>
              <w:spacing w:before="40" w:after="40"/>
              <w:jc w:val="center"/>
              <w:rPr>
                <w:b/>
                <w:bCs/>
                <w:sz w:val="20"/>
                <w:szCs w:val="20"/>
              </w:rPr>
            </w:pPr>
            <w:r>
              <w:rPr>
                <w:b/>
                <w:bCs/>
                <w:sz w:val="20"/>
                <w:szCs w:val="20"/>
              </w:rPr>
              <w:t>jcwp RW</w:t>
            </w:r>
          </w:p>
        </w:tc>
        <w:tc>
          <w:tcPr>
            <w:tcW w:w="761" w:type="pct"/>
            <w:hideMark/>
          </w:tcPr>
          <w:p w14:paraId="60B2E381" w14:textId="77777777" w:rsidR="00525D8A" w:rsidRPr="0053495F" w:rsidRDefault="00525D8A" w:rsidP="00525D8A">
            <w:pPr>
              <w:spacing w:before="40" w:after="40"/>
              <w:jc w:val="center"/>
              <w:rPr>
                <w:b/>
                <w:bCs/>
                <w:sz w:val="20"/>
                <w:szCs w:val="20"/>
              </w:rPr>
            </w:pPr>
            <w:r>
              <w:rPr>
                <w:b/>
                <w:bCs/>
                <w:sz w:val="20"/>
                <w:szCs w:val="20"/>
              </w:rPr>
              <w:t>jcwp LW</w:t>
            </w:r>
          </w:p>
        </w:tc>
        <w:tc>
          <w:tcPr>
            <w:tcW w:w="762" w:type="pct"/>
            <w:hideMark/>
          </w:tcPr>
          <w:p w14:paraId="49CEAB2C" w14:textId="77777777" w:rsidR="00525D8A" w:rsidRPr="0053495F" w:rsidRDefault="00525D8A" w:rsidP="00525D8A">
            <w:pPr>
              <w:spacing w:before="40" w:after="40"/>
              <w:jc w:val="center"/>
              <w:rPr>
                <w:b/>
                <w:bCs/>
                <w:sz w:val="20"/>
                <w:szCs w:val="20"/>
              </w:rPr>
            </w:pPr>
            <w:r>
              <w:rPr>
                <w:b/>
                <w:bCs/>
                <w:sz w:val="20"/>
                <w:szCs w:val="20"/>
              </w:rPr>
              <w:t>jcwpd</w:t>
            </w:r>
          </w:p>
        </w:tc>
      </w:tr>
      <w:tr w:rsidR="00525D8A" w:rsidRPr="0053495F" w14:paraId="45CAF0D6" w14:textId="77777777" w:rsidTr="00525D8A">
        <w:trPr>
          <w:trHeight w:val="280"/>
        </w:trPr>
        <w:tc>
          <w:tcPr>
            <w:tcW w:w="1954" w:type="pct"/>
            <w:hideMark/>
          </w:tcPr>
          <w:p w14:paraId="70CABD38" w14:textId="24550EB5" w:rsidR="00525D8A" w:rsidRPr="0053495F" w:rsidRDefault="00525D8A" w:rsidP="00525D8A">
            <w:pPr>
              <w:spacing w:before="40" w:after="40"/>
              <w:jc w:val="left"/>
              <w:rPr>
                <w:sz w:val="20"/>
                <w:szCs w:val="20"/>
              </w:rPr>
            </w:pPr>
            <w:r w:rsidRPr="0053495F">
              <w:rPr>
                <w:sz w:val="20"/>
                <w:szCs w:val="20"/>
              </w:rPr>
              <w:t>Adaptacja do zmian klimatu</w:t>
            </w:r>
            <w:r w:rsidR="00C37351">
              <w:rPr>
                <w:sz w:val="20"/>
                <w:szCs w:val="20"/>
              </w:rPr>
              <w:t>*</w:t>
            </w:r>
          </w:p>
        </w:tc>
        <w:tc>
          <w:tcPr>
            <w:tcW w:w="761" w:type="pct"/>
          </w:tcPr>
          <w:p w14:paraId="2CC9F6EB" w14:textId="15772D68"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5B126CA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6CDF80AF"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5558ABF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05DC4A0A" w14:textId="77777777" w:rsidTr="00525D8A">
        <w:trPr>
          <w:trHeight w:val="264"/>
        </w:trPr>
        <w:tc>
          <w:tcPr>
            <w:tcW w:w="1954" w:type="pct"/>
            <w:hideMark/>
          </w:tcPr>
          <w:p w14:paraId="1586191D" w14:textId="77777777" w:rsidR="00525D8A" w:rsidRPr="0053495F" w:rsidRDefault="00525D8A" w:rsidP="00525D8A">
            <w:pPr>
              <w:spacing w:before="40" w:after="40"/>
              <w:jc w:val="left"/>
              <w:rPr>
                <w:sz w:val="20"/>
                <w:szCs w:val="20"/>
              </w:rPr>
            </w:pPr>
            <w:r w:rsidRPr="0053495F">
              <w:rPr>
                <w:sz w:val="20"/>
                <w:szCs w:val="20"/>
              </w:rPr>
              <w:t>Działania kontrolne i monitoringowe</w:t>
            </w:r>
          </w:p>
        </w:tc>
        <w:tc>
          <w:tcPr>
            <w:tcW w:w="761" w:type="pct"/>
          </w:tcPr>
          <w:p w14:paraId="547E1911" w14:textId="18159B71" w:rsidR="00525D8A" w:rsidRPr="0053495F" w:rsidRDefault="00525D8A" w:rsidP="00525D8A">
            <w:pPr>
              <w:spacing w:before="40" w:after="40"/>
              <w:jc w:val="center"/>
              <w:rPr>
                <w:sz w:val="20"/>
                <w:szCs w:val="20"/>
              </w:rPr>
            </w:pPr>
            <w:r w:rsidRPr="002A283F">
              <w:rPr>
                <w:rFonts w:cs="Calibri"/>
                <w:color w:val="000000"/>
                <w:sz w:val="20"/>
                <w:szCs w:val="20"/>
                <w:lang w:val="en-US" w:eastAsia="pl-PL"/>
              </w:rPr>
              <w:t>23,04</w:t>
            </w:r>
          </w:p>
        </w:tc>
        <w:tc>
          <w:tcPr>
            <w:tcW w:w="762" w:type="pct"/>
          </w:tcPr>
          <w:p w14:paraId="04948F7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5250D6D1"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23,04</w:t>
            </w:r>
          </w:p>
        </w:tc>
        <w:tc>
          <w:tcPr>
            <w:tcW w:w="762" w:type="pct"/>
          </w:tcPr>
          <w:p w14:paraId="024E032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6EA6B25" w14:textId="77777777" w:rsidTr="00525D8A">
        <w:trPr>
          <w:trHeight w:val="280"/>
        </w:trPr>
        <w:tc>
          <w:tcPr>
            <w:tcW w:w="1954" w:type="pct"/>
            <w:hideMark/>
          </w:tcPr>
          <w:p w14:paraId="6F1104B3" w14:textId="77777777" w:rsidR="00525D8A" w:rsidRPr="0053495F" w:rsidRDefault="00525D8A" w:rsidP="00525D8A">
            <w:pPr>
              <w:spacing w:before="40" w:after="40"/>
              <w:jc w:val="left"/>
              <w:rPr>
                <w:sz w:val="20"/>
                <w:szCs w:val="20"/>
              </w:rPr>
            </w:pPr>
            <w:r w:rsidRPr="0053495F">
              <w:rPr>
                <w:sz w:val="20"/>
                <w:szCs w:val="20"/>
              </w:rPr>
              <w:t>Edukacja i informacja</w:t>
            </w:r>
          </w:p>
        </w:tc>
        <w:tc>
          <w:tcPr>
            <w:tcW w:w="761" w:type="pct"/>
          </w:tcPr>
          <w:p w14:paraId="7AEE3828" w14:textId="0FF8FB6C" w:rsidR="00525D8A" w:rsidRPr="0053495F" w:rsidRDefault="00525D8A" w:rsidP="00525D8A">
            <w:pPr>
              <w:spacing w:before="40" w:after="40"/>
              <w:jc w:val="center"/>
              <w:rPr>
                <w:sz w:val="20"/>
                <w:szCs w:val="20"/>
              </w:rPr>
            </w:pPr>
            <w:r w:rsidRPr="002A283F">
              <w:rPr>
                <w:rFonts w:cs="Calibri"/>
                <w:color w:val="000000"/>
                <w:sz w:val="20"/>
                <w:szCs w:val="20"/>
                <w:lang w:val="en-US" w:eastAsia="pl-PL"/>
              </w:rPr>
              <w:t>423,22</w:t>
            </w:r>
          </w:p>
        </w:tc>
        <w:tc>
          <w:tcPr>
            <w:tcW w:w="762" w:type="pct"/>
          </w:tcPr>
          <w:p w14:paraId="1FED523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349,62</w:t>
            </w:r>
          </w:p>
        </w:tc>
        <w:tc>
          <w:tcPr>
            <w:tcW w:w="761" w:type="pct"/>
          </w:tcPr>
          <w:p w14:paraId="6E78C3C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73,60</w:t>
            </w:r>
          </w:p>
        </w:tc>
        <w:tc>
          <w:tcPr>
            <w:tcW w:w="762" w:type="pct"/>
          </w:tcPr>
          <w:p w14:paraId="29FC80EA"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7DE41841" w14:textId="77777777" w:rsidTr="00525D8A">
        <w:trPr>
          <w:trHeight w:val="414"/>
        </w:trPr>
        <w:tc>
          <w:tcPr>
            <w:tcW w:w="1954" w:type="pct"/>
            <w:hideMark/>
          </w:tcPr>
          <w:p w14:paraId="7A1D57FC" w14:textId="77777777" w:rsidR="00525D8A" w:rsidRPr="0053495F" w:rsidRDefault="00525D8A" w:rsidP="00525D8A">
            <w:pPr>
              <w:spacing w:before="40" w:after="40"/>
              <w:jc w:val="left"/>
              <w:rPr>
                <w:sz w:val="20"/>
                <w:szCs w:val="20"/>
              </w:rPr>
            </w:pPr>
            <w:r w:rsidRPr="0053495F">
              <w:rPr>
                <w:sz w:val="20"/>
                <w:szCs w:val="20"/>
              </w:rPr>
              <w:t>Gospodarka komunalna i odpadami</w:t>
            </w:r>
          </w:p>
        </w:tc>
        <w:tc>
          <w:tcPr>
            <w:tcW w:w="761" w:type="pct"/>
          </w:tcPr>
          <w:p w14:paraId="52C54DD1" w14:textId="5DD208A4" w:rsidR="00525D8A" w:rsidRPr="0053495F" w:rsidRDefault="00525D8A" w:rsidP="00525D8A">
            <w:pPr>
              <w:spacing w:before="40" w:after="40"/>
              <w:jc w:val="center"/>
              <w:rPr>
                <w:sz w:val="20"/>
                <w:szCs w:val="20"/>
              </w:rPr>
            </w:pPr>
            <w:r w:rsidRPr="002A283F">
              <w:rPr>
                <w:rFonts w:cs="Calibri"/>
                <w:color w:val="000000"/>
                <w:sz w:val="20"/>
                <w:szCs w:val="20"/>
                <w:lang w:val="en-US" w:eastAsia="pl-PL"/>
              </w:rPr>
              <w:t>217 554,30</w:t>
            </w:r>
          </w:p>
        </w:tc>
        <w:tc>
          <w:tcPr>
            <w:tcW w:w="762" w:type="pct"/>
          </w:tcPr>
          <w:p w14:paraId="76471AB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216 104,30</w:t>
            </w:r>
          </w:p>
        </w:tc>
        <w:tc>
          <w:tcPr>
            <w:tcW w:w="761" w:type="pct"/>
          </w:tcPr>
          <w:p w14:paraId="20D91635"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1 450,00</w:t>
            </w:r>
          </w:p>
        </w:tc>
        <w:tc>
          <w:tcPr>
            <w:tcW w:w="762" w:type="pct"/>
          </w:tcPr>
          <w:p w14:paraId="4335B16A"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39AF7832" w14:textId="77777777" w:rsidTr="00525D8A">
        <w:trPr>
          <w:trHeight w:val="278"/>
        </w:trPr>
        <w:tc>
          <w:tcPr>
            <w:tcW w:w="1954" w:type="pct"/>
            <w:hideMark/>
          </w:tcPr>
          <w:p w14:paraId="32837345" w14:textId="77777777" w:rsidR="00525D8A" w:rsidRPr="0053495F" w:rsidRDefault="00525D8A" w:rsidP="00525D8A">
            <w:pPr>
              <w:spacing w:before="40" w:after="40"/>
              <w:jc w:val="left"/>
              <w:rPr>
                <w:sz w:val="20"/>
                <w:szCs w:val="20"/>
              </w:rPr>
            </w:pPr>
            <w:r w:rsidRPr="0053495F">
              <w:rPr>
                <w:sz w:val="20"/>
                <w:szCs w:val="20"/>
              </w:rPr>
              <w:t>Ograniczanie zanieczyszczeń rozproszonych</w:t>
            </w:r>
          </w:p>
        </w:tc>
        <w:tc>
          <w:tcPr>
            <w:tcW w:w="761" w:type="pct"/>
          </w:tcPr>
          <w:p w14:paraId="77E9E911" w14:textId="5DA27470" w:rsidR="00525D8A" w:rsidRPr="0053495F" w:rsidRDefault="00525D8A" w:rsidP="00525D8A">
            <w:pPr>
              <w:spacing w:before="40" w:after="40"/>
              <w:jc w:val="center"/>
              <w:rPr>
                <w:sz w:val="20"/>
                <w:szCs w:val="20"/>
              </w:rPr>
            </w:pPr>
            <w:r w:rsidRPr="002A283F">
              <w:rPr>
                <w:rFonts w:cs="Calibri"/>
                <w:color w:val="000000"/>
                <w:sz w:val="20"/>
                <w:szCs w:val="20"/>
                <w:lang w:val="en-US" w:eastAsia="pl-PL"/>
              </w:rPr>
              <w:t>1 989,26</w:t>
            </w:r>
          </w:p>
        </w:tc>
        <w:tc>
          <w:tcPr>
            <w:tcW w:w="762" w:type="pct"/>
          </w:tcPr>
          <w:p w14:paraId="639F2A8F"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1 592,96</w:t>
            </w:r>
          </w:p>
        </w:tc>
        <w:tc>
          <w:tcPr>
            <w:tcW w:w="761" w:type="pct"/>
          </w:tcPr>
          <w:p w14:paraId="6C3093A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396,30</w:t>
            </w:r>
          </w:p>
        </w:tc>
        <w:tc>
          <w:tcPr>
            <w:tcW w:w="762" w:type="pct"/>
          </w:tcPr>
          <w:p w14:paraId="1E9E4AFC"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020B9F5" w14:textId="77777777" w:rsidTr="00525D8A">
        <w:trPr>
          <w:trHeight w:val="560"/>
        </w:trPr>
        <w:tc>
          <w:tcPr>
            <w:tcW w:w="1954" w:type="pct"/>
            <w:hideMark/>
          </w:tcPr>
          <w:p w14:paraId="1BA2D70E" w14:textId="2A66FB48" w:rsidR="00525D8A" w:rsidRPr="0053495F" w:rsidRDefault="00525D8A" w:rsidP="00525D8A">
            <w:pPr>
              <w:spacing w:before="40" w:after="40"/>
              <w:jc w:val="left"/>
              <w:rPr>
                <w:sz w:val="20"/>
                <w:szCs w:val="20"/>
              </w:rPr>
            </w:pPr>
            <w:r w:rsidRPr="0053495F">
              <w:rPr>
                <w:sz w:val="20"/>
                <w:szCs w:val="20"/>
              </w:rPr>
              <w:t>Gospodarowanie wodami opadowymi</w:t>
            </w:r>
            <w:r w:rsidR="00C37351">
              <w:rPr>
                <w:sz w:val="20"/>
                <w:szCs w:val="20"/>
              </w:rPr>
              <w:t>*</w:t>
            </w:r>
          </w:p>
        </w:tc>
        <w:tc>
          <w:tcPr>
            <w:tcW w:w="761" w:type="pct"/>
          </w:tcPr>
          <w:p w14:paraId="5120F31A" w14:textId="3C59C601"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781AFD11"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3E6B601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385280B7"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1AA996A9" w14:textId="77777777" w:rsidTr="00525D8A">
        <w:trPr>
          <w:trHeight w:val="560"/>
        </w:trPr>
        <w:tc>
          <w:tcPr>
            <w:tcW w:w="1954" w:type="pct"/>
            <w:hideMark/>
          </w:tcPr>
          <w:p w14:paraId="128ABECE" w14:textId="4BC2CA4E" w:rsidR="00525D8A" w:rsidRPr="0053495F" w:rsidRDefault="00525D8A" w:rsidP="00525D8A">
            <w:pPr>
              <w:spacing w:before="40" w:after="40"/>
              <w:jc w:val="left"/>
              <w:rPr>
                <w:sz w:val="20"/>
                <w:szCs w:val="20"/>
              </w:rPr>
            </w:pPr>
            <w:r w:rsidRPr="0053495F">
              <w:rPr>
                <w:sz w:val="20"/>
                <w:szCs w:val="20"/>
              </w:rPr>
              <w:t>Indywidualne programy poprawy stanu jcwp</w:t>
            </w:r>
            <w:r w:rsidR="00C37351">
              <w:rPr>
                <w:sz w:val="20"/>
                <w:szCs w:val="20"/>
              </w:rPr>
              <w:t>*</w:t>
            </w:r>
          </w:p>
        </w:tc>
        <w:tc>
          <w:tcPr>
            <w:tcW w:w="761" w:type="pct"/>
          </w:tcPr>
          <w:p w14:paraId="6FC68D4B" w14:textId="5B0DDB9E"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2F2779BF"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187665D6"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112D873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705E8D8F" w14:textId="77777777" w:rsidTr="00525D8A">
        <w:trPr>
          <w:trHeight w:val="560"/>
        </w:trPr>
        <w:tc>
          <w:tcPr>
            <w:tcW w:w="1954" w:type="pct"/>
            <w:hideMark/>
          </w:tcPr>
          <w:p w14:paraId="77059C05" w14:textId="77777777" w:rsidR="00525D8A" w:rsidRPr="0053495F" w:rsidRDefault="00525D8A" w:rsidP="00525D8A">
            <w:pPr>
              <w:spacing w:before="40" w:after="40"/>
              <w:jc w:val="left"/>
              <w:rPr>
                <w:sz w:val="20"/>
                <w:szCs w:val="20"/>
              </w:rPr>
            </w:pPr>
            <w:r w:rsidRPr="0053495F">
              <w:rPr>
                <w:sz w:val="20"/>
                <w:szCs w:val="20"/>
              </w:rPr>
              <w:t>Kształtowanie stosunków wodnych w zlewni jcwp</w:t>
            </w:r>
          </w:p>
        </w:tc>
        <w:tc>
          <w:tcPr>
            <w:tcW w:w="761" w:type="pct"/>
          </w:tcPr>
          <w:p w14:paraId="2D3F68B9" w14:textId="3DAF32A3" w:rsidR="00525D8A" w:rsidRPr="0053495F" w:rsidRDefault="00525D8A" w:rsidP="00525D8A">
            <w:pPr>
              <w:spacing w:before="40" w:after="40"/>
              <w:jc w:val="center"/>
              <w:rPr>
                <w:sz w:val="20"/>
                <w:szCs w:val="20"/>
              </w:rPr>
            </w:pPr>
            <w:r w:rsidRPr="002A283F">
              <w:rPr>
                <w:rFonts w:cs="Calibri"/>
                <w:color w:val="000000"/>
                <w:sz w:val="20"/>
                <w:szCs w:val="20"/>
                <w:lang w:val="en-US" w:eastAsia="pl-PL"/>
              </w:rPr>
              <w:t>63,23</w:t>
            </w:r>
          </w:p>
        </w:tc>
        <w:tc>
          <w:tcPr>
            <w:tcW w:w="762" w:type="pct"/>
          </w:tcPr>
          <w:p w14:paraId="74A15340"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63,23</w:t>
            </w:r>
          </w:p>
        </w:tc>
        <w:tc>
          <w:tcPr>
            <w:tcW w:w="761" w:type="pct"/>
          </w:tcPr>
          <w:p w14:paraId="6C03BA7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6615E0D1"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DF1F108" w14:textId="77777777" w:rsidTr="00525D8A">
        <w:trPr>
          <w:trHeight w:val="560"/>
        </w:trPr>
        <w:tc>
          <w:tcPr>
            <w:tcW w:w="1954" w:type="pct"/>
            <w:hideMark/>
          </w:tcPr>
          <w:p w14:paraId="7669ACC5" w14:textId="77777777" w:rsidR="00525D8A" w:rsidRPr="0053495F" w:rsidRDefault="00525D8A" w:rsidP="00525D8A">
            <w:pPr>
              <w:spacing w:before="40" w:after="40"/>
              <w:jc w:val="left"/>
              <w:rPr>
                <w:sz w:val="20"/>
                <w:szCs w:val="20"/>
              </w:rPr>
            </w:pPr>
            <w:r w:rsidRPr="0053495F">
              <w:rPr>
                <w:sz w:val="20"/>
                <w:szCs w:val="20"/>
              </w:rPr>
              <w:t>Kształtowanie stref buforowych</w:t>
            </w:r>
          </w:p>
        </w:tc>
        <w:tc>
          <w:tcPr>
            <w:tcW w:w="761" w:type="pct"/>
          </w:tcPr>
          <w:p w14:paraId="4F15EB4A" w14:textId="053662D2" w:rsidR="00525D8A" w:rsidRPr="0053495F" w:rsidRDefault="00525D8A" w:rsidP="00525D8A">
            <w:pPr>
              <w:spacing w:before="40" w:after="40"/>
              <w:jc w:val="center"/>
              <w:rPr>
                <w:sz w:val="20"/>
                <w:szCs w:val="20"/>
              </w:rPr>
            </w:pPr>
            <w:r w:rsidRPr="002A283F">
              <w:rPr>
                <w:rFonts w:cs="Calibri"/>
                <w:color w:val="000000"/>
                <w:sz w:val="20"/>
                <w:szCs w:val="20"/>
                <w:lang w:val="en-US" w:eastAsia="pl-PL"/>
              </w:rPr>
              <w:t>180,26</w:t>
            </w:r>
          </w:p>
        </w:tc>
        <w:tc>
          <w:tcPr>
            <w:tcW w:w="762" w:type="pct"/>
          </w:tcPr>
          <w:p w14:paraId="16F05B1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1DE42A3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180,26</w:t>
            </w:r>
          </w:p>
        </w:tc>
        <w:tc>
          <w:tcPr>
            <w:tcW w:w="762" w:type="pct"/>
          </w:tcPr>
          <w:p w14:paraId="55349982"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43FF8258" w14:textId="77777777" w:rsidTr="00525D8A">
        <w:trPr>
          <w:trHeight w:val="271"/>
        </w:trPr>
        <w:tc>
          <w:tcPr>
            <w:tcW w:w="1954" w:type="pct"/>
            <w:hideMark/>
          </w:tcPr>
          <w:p w14:paraId="25B8B3D2" w14:textId="0AD7E150" w:rsidR="00525D8A" w:rsidRPr="0053495F" w:rsidRDefault="00525D8A" w:rsidP="00525D8A">
            <w:pPr>
              <w:spacing w:before="40" w:after="40"/>
              <w:jc w:val="left"/>
              <w:rPr>
                <w:sz w:val="20"/>
                <w:szCs w:val="20"/>
              </w:rPr>
            </w:pPr>
            <w:r w:rsidRPr="0053495F">
              <w:rPr>
                <w:sz w:val="20"/>
                <w:szCs w:val="20"/>
              </w:rPr>
              <w:t>Leśnictwo</w:t>
            </w:r>
            <w:r w:rsidR="00C37351">
              <w:rPr>
                <w:sz w:val="20"/>
                <w:szCs w:val="20"/>
              </w:rPr>
              <w:t>*</w:t>
            </w:r>
          </w:p>
        </w:tc>
        <w:tc>
          <w:tcPr>
            <w:tcW w:w="761" w:type="pct"/>
          </w:tcPr>
          <w:p w14:paraId="39D7590E" w14:textId="1279D055"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158038C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730F7AE4"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33EA710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60A93AB" w14:textId="77777777" w:rsidTr="00525D8A">
        <w:trPr>
          <w:trHeight w:val="1120"/>
        </w:trPr>
        <w:tc>
          <w:tcPr>
            <w:tcW w:w="1954" w:type="pct"/>
            <w:hideMark/>
          </w:tcPr>
          <w:p w14:paraId="3C385185" w14:textId="16EB7EC6" w:rsidR="00525D8A" w:rsidRPr="0053495F" w:rsidRDefault="00525D8A" w:rsidP="00525D8A">
            <w:pPr>
              <w:spacing w:before="40" w:after="40"/>
              <w:jc w:val="left"/>
              <w:rPr>
                <w:sz w:val="20"/>
                <w:szCs w:val="20"/>
              </w:rPr>
            </w:pPr>
            <w:r w:rsidRPr="0053495F">
              <w:rPr>
                <w:sz w:val="20"/>
                <w:szCs w:val="20"/>
              </w:rPr>
              <w:t>Ochrona i odtwarzanie naturalnych procesów hydromorfologicznych w strefie brzegowej</w:t>
            </w:r>
            <w:r w:rsidR="00C37351">
              <w:rPr>
                <w:sz w:val="20"/>
                <w:szCs w:val="20"/>
              </w:rPr>
              <w:t>*</w:t>
            </w:r>
          </w:p>
        </w:tc>
        <w:tc>
          <w:tcPr>
            <w:tcW w:w="761" w:type="pct"/>
          </w:tcPr>
          <w:p w14:paraId="579C3634" w14:textId="663A0FA3"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1ED84F65"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6B6A9BBF"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73E5E838"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23E151F4" w14:textId="77777777" w:rsidTr="00525D8A">
        <w:trPr>
          <w:trHeight w:val="560"/>
        </w:trPr>
        <w:tc>
          <w:tcPr>
            <w:tcW w:w="1954" w:type="pct"/>
            <w:hideMark/>
          </w:tcPr>
          <w:p w14:paraId="6ECFF38A" w14:textId="23C59314" w:rsidR="00525D8A" w:rsidRPr="0053495F" w:rsidRDefault="00525D8A" w:rsidP="00525D8A">
            <w:pPr>
              <w:spacing w:before="40" w:after="40"/>
              <w:jc w:val="left"/>
              <w:rPr>
                <w:sz w:val="20"/>
                <w:szCs w:val="20"/>
              </w:rPr>
            </w:pPr>
            <w:r w:rsidRPr="0053495F">
              <w:rPr>
                <w:sz w:val="20"/>
                <w:szCs w:val="20"/>
              </w:rPr>
              <w:t>Poprawa stanu elementów i warunków hydromorfologicznych</w:t>
            </w:r>
            <w:r w:rsidR="00C37351">
              <w:rPr>
                <w:sz w:val="20"/>
                <w:szCs w:val="20"/>
              </w:rPr>
              <w:t>*</w:t>
            </w:r>
          </w:p>
        </w:tc>
        <w:tc>
          <w:tcPr>
            <w:tcW w:w="761" w:type="pct"/>
          </w:tcPr>
          <w:p w14:paraId="3ABEEEF8" w14:textId="5C76DA59"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49E2610E"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0CB24270"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2DAB68D4"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2091988A" w14:textId="77777777" w:rsidTr="00525D8A">
        <w:trPr>
          <w:trHeight w:val="560"/>
        </w:trPr>
        <w:tc>
          <w:tcPr>
            <w:tcW w:w="1954" w:type="pct"/>
            <w:hideMark/>
          </w:tcPr>
          <w:p w14:paraId="1611B551" w14:textId="6DA83DEE" w:rsidR="00525D8A" w:rsidRPr="0053495F" w:rsidRDefault="00525D8A" w:rsidP="00525D8A">
            <w:pPr>
              <w:spacing w:before="40" w:after="40"/>
              <w:jc w:val="left"/>
              <w:rPr>
                <w:sz w:val="20"/>
                <w:szCs w:val="20"/>
              </w:rPr>
            </w:pPr>
            <w:r w:rsidRPr="0053495F">
              <w:rPr>
                <w:sz w:val="20"/>
                <w:szCs w:val="20"/>
              </w:rPr>
              <w:t>Poprawa warunków dla obszarów chronionych</w:t>
            </w:r>
            <w:r w:rsidR="00C37351">
              <w:rPr>
                <w:sz w:val="20"/>
                <w:szCs w:val="20"/>
              </w:rPr>
              <w:t>*</w:t>
            </w:r>
          </w:p>
        </w:tc>
        <w:tc>
          <w:tcPr>
            <w:tcW w:w="761" w:type="pct"/>
          </w:tcPr>
          <w:p w14:paraId="40659654" w14:textId="56A36504"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1444ED4F"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3350AC8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38F816DB"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0709087" w14:textId="77777777" w:rsidTr="00525D8A">
        <w:trPr>
          <w:trHeight w:val="280"/>
        </w:trPr>
        <w:tc>
          <w:tcPr>
            <w:tcW w:w="1954" w:type="pct"/>
            <w:hideMark/>
          </w:tcPr>
          <w:p w14:paraId="0C95BCD4" w14:textId="6A5CC13B" w:rsidR="00525D8A" w:rsidRPr="0053495F" w:rsidRDefault="00525D8A" w:rsidP="00525D8A">
            <w:pPr>
              <w:spacing w:before="40" w:after="40"/>
              <w:jc w:val="left"/>
              <w:rPr>
                <w:sz w:val="20"/>
                <w:szCs w:val="20"/>
              </w:rPr>
            </w:pPr>
            <w:r w:rsidRPr="0053495F">
              <w:rPr>
                <w:sz w:val="20"/>
                <w:szCs w:val="20"/>
              </w:rPr>
              <w:t>Przemysł</w:t>
            </w:r>
            <w:r w:rsidR="00C37351">
              <w:rPr>
                <w:sz w:val="20"/>
                <w:szCs w:val="20"/>
              </w:rPr>
              <w:t>*</w:t>
            </w:r>
          </w:p>
        </w:tc>
        <w:tc>
          <w:tcPr>
            <w:tcW w:w="761" w:type="pct"/>
          </w:tcPr>
          <w:p w14:paraId="6779CA8F" w14:textId="55673EBE"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465CBCF8"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6ECA5AF2"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640FE27C"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023C662C" w14:textId="77777777" w:rsidTr="00525D8A">
        <w:trPr>
          <w:trHeight w:val="560"/>
        </w:trPr>
        <w:tc>
          <w:tcPr>
            <w:tcW w:w="1954" w:type="pct"/>
            <w:hideMark/>
          </w:tcPr>
          <w:p w14:paraId="096570F3" w14:textId="036DD253" w:rsidR="00525D8A" w:rsidRPr="0053495F" w:rsidRDefault="00525D8A" w:rsidP="00525D8A">
            <w:pPr>
              <w:spacing w:before="40" w:after="40"/>
              <w:jc w:val="left"/>
              <w:rPr>
                <w:sz w:val="20"/>
                <w:szCs w:val="20"/>
              </w:rPr>
            </w:pPr>
            <w:r w:rsidRPr="0053495F">
              <w:rPr>
                <w:sz w:val="20"/>
                <w:szCs w:val="20"/>
              </w:rPr>
              <w:t>Redukcja emisji i zrzutów substancji priorytetowych</w:t>
            </w:r>
            <w:r w:rsidR="00C37351">
              <w:rPr>
                <w:sz w:val="20"/>
                <w:szCs w:val="20"/>
              </w:rPr>
              <w:t>*</w:t>
            </w:r>
          </w:p>
        </w:tc>
        <w:tc>
          <w:tcPr>
            <w:tcW w:w="761" w:type="pct"/>
          </w:tcPr>
          <w:p w14:paraId="13AACEF4" w14:textId="74DED543"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1AD234B8"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0D3D34AA"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001A0B9E"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55DA11C5" w14:textId="77777777" w:rsidTr="00525D8A">
        <w:trPr>
          <w:trHeight w:val="280"/>
        </w:trPr>
        <w:tc>
          <w:tcPr>
            <w:tcW w:w="1954" w:type="pct"/>
            <w:hideMark/>
          </w:tcPr>
          <w:p w14:paraId="62285B2F" w14:textId="272A5E1F" w:rsidR="00525D8A" w:rsidRPr="0053495F" w:rsidRDefault="00525D8A" w:rsidP="00525D8A">
            <w:pPr>
              <w:spacing w:before="40" w:after="40"/>
              <w:jc w:val="left"/>
              <w:rPr>
                <w:sz w:val="20"/>
                <w:szCs w:val="20"/>
              </w:rPr>
            </w:pPr>
            <w:r w:rsidRPr="0053495F">
              <w:rPr>
                <w:sz w:val="20"/>
                <w:szCs w:val="20"/>
              </w:rPr>
              <w:t>Rolnictwo</w:t>
            </w:r>
            <w:r w:rsidR="00C37351">
              <w:rPr>
                <w:sz w:val="20"/>
                <w:szCs w:val="20"/>
              </w:rPr>
              <w:t>*</w:t>
            </w:r>
          </w:p>
        </w:tc>
        <w:tc>
          <w:tcPr>
            <w:tcW w:w="761" w:type="pct"/>
          </w:tcPr>
          <w:p w14:paraId="413F00F0" w14:textId="23A86E2B"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2913E02A"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7A8B7116"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527E6448"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16F8A549" w14:textId="77777777" w:rsidTr="00525D8A">
        <w:trPr>
          <w:trHeight w:val="499"/>
        </w:trPr>
        <w:tc>
          <w:tcPr>
            <w:tcW w:w="1954" w:type="pct"/>
            <w:hideMark/>
          </w:tcPr>
          <w:p w14:paraId="29E896D2" w14:textId="77777777" w:rsidR="00525D8A" w:rsidRPr="0053495F" w:rsidRDefault="00525D8A" w:rsidP="00525D8A">
            <w:pPr>
              <w:spacing w:before="40" w:after="40"/>
              <w:jc w:val="left"/>
              <w:rPr>
                <w:sz w:val="20"/>
                <w:szCs w:val="20"/>
              </w:rPr>
            </w:pPr>
            <w:r w:rsidRPr="0053495F">
              <w:rPr>
                <w:sz w:val="20"/>
                <w:szCs w:val="20"/>
              </w:rPr>
              <w:t>Weryfikacja programu ochrony środowiska</w:t>
            </w:r>
          </w:p>
        </w:tc>
        <w:tc>
          <w:tcPr>
            <w:tcW w:w="761" w:type="pct"/>
          </w:tcPr>
          <w:p w14:paraId="5AEED17A" w14:textId="0F9720CB" w:rsidR="00525D8A" w:rsidRPr="0053495F" w:rsidRDefault="00525D8A" w:rsidP="00525D8A">
            <w:pPr>
              <w:spacing w:before="40" w:after="40"/>
              <w:jc w:val="center"/>
              <w:rPr>
                <w:sz w:val="20"/>
                <w:szCs w:val="20"/>
              </w:rPr>
            </w:pPr>
            <w:r w:rsidRPr="002A283F">
              <w:rPr>
                <w:rFonts w:cs="Calibri"/>
                <w:color w:val="000000"/>
                <w:sz w:val="20"/>
                <w:szCs w:val="20"/>
                <w:lang w:val="en-US" w:eastAsia="pl-PL"/>
              </w:rPr>
              <w:t>2 945,00</w:t>
            </w:r>
          </w:p>
        </w:tc>
        <w:tc>
          <w:tcPr>
            <w:tcW w:w="762" w:type="pct"/>
          </w:tcPr>
          <w:p w14:paraId="16E71156"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1 160,00</w:t>
            </w:r>
          </w:p>
        </w:tc>
        <w:tc>
          <w:tcPr>
            <w:tcW w:w="761" w:type="pct"/>
          </w:tcPr>
          <w:p w14:paraId="3990C5D1"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1 785,00</w:t>
            </w:r>
          </w:p>
        </w:tc>
        <w:tc>
          <w:tcPr>
            <w:tcW w:w="762" w:type="pct"/>
          </w:tcPr>
          <w:p w14:paraId="0201B7E6"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373C83D7" w14:textId="77777777" w:rsidTr="00525D8A">
        <w:trPr>
          <w:trHeight w:val="840"/>
        </w:trPr>
        <w:tc>
          <w:tcPr>
            <w:tcW w:w="1954" w:type="pct"/>
            <w:hideMark/>
          </w:tcPr>
          <w:p w14:paraId="5BE993DF" w14:textId="77777777" w:rsidR="00525D8A" w:rsidRPr="0053495F" w:rsidRDefault="00525D8A" w:rsidP="00525D8A">
            <w:pPr>
              <w:spacing w:before="40" w:after="40"/>
              <w:jc w:val="left"/>
              <w:rPr>
                <w:sz w:val="20"/>
                <w:szCs w:val="20"/>
              </w:rPr>
            </w:pPr>
            <w:r w:rsidRPr="0053495F">
              <w:rPr>
                <w:sz w:val="20"/>
                <w:szCs w:val="20"/>
              </w:rPr>
              <w:t xml:space="preserve">Zapewnienie ciągłości biologicznej i morfologicznej rzek i potoków </w:t>
            </w:r>
          </w:p>
        </w:tc>
        <w:tc>
          <w:tcPr>
            <w:tcW w:w="761" w:type="pct"/>
          </w:tcPr>
          <w:p w14:paraId="2ADAC541" w14:textId="33D1D5ED" w:rsidR="00525D8A" w:rsidRPr="0053495F" w:rsidRDefault="00525D8A" w:rsidP="00525D8A">
            <w:pPr>
              <w:spacing w:before="40" w:after="40"/>
              <w:jc w:val="center"/>
              <w:rPr>
                <w:sz w:val="20"/>
                <w:szCs w:val="20"/>
              </w:rPr>
            </w:pPr>
            <w:r w:rsidRPr="002A283F">
              <w:rPr>
                <w:rFonts w:cs="Calibri"/>
                <w:color w:val="000000"/>
                <w:sz w:val="20"/>
                <w:szCs w:val="20"/>
                <w:lang w:val="en-US" w:eastAsia="pl-PL"/>
              </w:rPr>
              <w:t>13 707,20</w:t>
            </w:r>
          </w:p>
        </w:tc>
        <w:tc>
          <w:tcPr>
            <w:tcW w:w="762" w:type="pct"/>
          </w:tcPr>
          <w:p w14:paraId="25CE1007"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13 707,20</w:t>
            </w:r>
          </w:p>
        </w:tc>
        <w:tc>
          <w:tcPr>
            <w:tcW w:w="761" w:type="pct"/>
          </w:tcPr>
          <w:p w14:paraId="6D49A5F8"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3D711B99"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44F7527D" w14:textId="77777777" w:rsidTr="00525D8A">
        <w:trPr>
          <w:trHeight w:val="562"/>
        </w:trPr>
        <w:tc>
          <w:tcPr>
            <w:tcW w:w="1954" w:type="pct"/>
            <w:hideMark/>
          </w:tcPr>
          <w:p w14:paraId="279A9EFB" w14:textId="77777777" w:rsidR="00525D8A" w:rsidRPr="0053495F" w:rsidRDefault="00525D8A" w:rsidP="00525D8A">
            <w:pPr>
              <w:spacing w:before="40" w:after="40"/>
              <w:jc w:val="left"/>
              <w:rPr>
                <w:sz w:val="20"/>
                <w:szCs w:val="20"/>
              </w:rPr>
            </w:pPr>
            <w:r w:rsidRPr="0053495F">
              <w:rPr>
                <w:sz w:val="20"/>
                <w:szCs w:val="20"/>
              </w:rPr>
              <w:t xml:space="preserve">Zintegrowany system monitoringu suszy </w:t>
            </w:r>
          </w:p>
        </w:tc>
        <w:tc>
          <w:tcPr>
            <w:tcW w:w="761" w:type="pct"/>
          </w:tcPr>
          <w:p w14:paraId="71D1CEC9" w14:textId="1408B832" w:rsidR="00525D8A" w:rsidRPr="0053495F" w:rsidRDefault="00525D8A" w:rsidP="00525D8A">
            <w:pPr>
              <w:spacing w:before="40" w:after="40"/>
              <w:jc w:val="center"/>
              <w:rPr>
                <w:sz w:val="20"/>
                <w:szCs w:val="20"/>
              </w:rPr>
            </w:pPr>
            <w:r w:rsidRPr="002A283F">
              <w:rPr>
                <w:rFonts w:cs="Calibri"/>
                <w:color w:val="000000"/>
                <w:sz w:val="20"/>
                <w:szCs w:val="20"/>
                <w:lang w:val="en-US" w:eastAsia="pl-PL"/>
              </w:rPr>
              <w:t>34,56</w:t>
            </w:r>
          </w:p>
        </w:tc>
        <w:tc>
          <w:tcPr>
            <w:tcW w:w="762" w:type="pct"/>
          </w:tcPr>
          <w:p w14:paraId="18F6D96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50FFED5C"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34,56</w:t>
            </w:r>
          </w:p>
        </w:tc>
        <w:tc>
          <w:tcPr>
            <w:tcW w:w="762" w:type="pct"/>
          </w:tcPr>
          <w:p w14:paraId="0541B632"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2DF79522" w14:textId="77777777" w:rsidTr="00525D8A">
        <w:trPr>
          <w:trHeight w:val="258"/>
        </w:trPr>
        <w:tc>
          <w:tcPr>
            <w:tcW w:w="1954" w:type="pct"/>
            <w:hideMark/>
          </w:tcPr>
          <w:p w14:paraId="5F245356" w14:textId="1F6985EF" w:rsidR="00525D8A" w:rsidRPr="0053495F" w:rsidRDefault="00525D8A" w:rsidP="00525D8A">
            <w:pPr>
              <w:spacing w:before="40" w:after="40"/>
              <w:jc w:val="left"/>
              <w:rPr>
                <w:sz w:val="20"/>
                <w:szCs w:val="20"/>
              </w:rPr>
            </w:pPr>
            <w:r w:rsidRPr="0053495F">
              <w:rPr>
                <w:sz w:val="20"/>
                <w:szCs w:val="20"/>
              </w:rPr>
              <w:t>Inne</w:t>
            </w:r>
            <w:r w:rsidR="00C37351">
              <w:rPr>
                <w:sz w:val="20"/>
                <w:szCs w:val="20"/>
              </w:rPr>
              <w:t>*</w:t>
            </w:r>
          </w:p>
        </w:tc>
        <w:tc>
          <w:tcPr>
            <w:tcW w:w="761" w:type="pct"/>
          </w:tcPr>
          <w:p w14:paraId="0F9DE07D" w14:textId="2D8F1A80" w:rsidR="00525D8A" w:rsidRPr="0053495F" w:rsidRDefault="00525D8A" w:rsidP="00525D8A">
            <w:pPr>
              <w:spacing w:before="40" w:after="40"/>
              <w:jc w:val="center"/>
              <w:rPr>
                <w:sz w:val="20"/>
                <w:szCs w:val="20"/>
              </w:rPr>
            </w:pPr>
            <w:r w:rsidRPr="002A283F">
              <w:rPr>
                <w:rFonts w:cs="Calibri"/>
                <w:color w:val="000000"/>
                <w:sz w:val="20"/>
                <w:szCs w:val="20"/>
                <w:lang w:val="en-US" w:eastAsia="pl-PL"/>
              </w:rPr>
              <w:t>0,00</w:t>
            </w:r>
          </w:p>
        </w:tc>
        <w:tc>
          <w:tcPr>
            <w:tcW w:w="762" w:type="pct"/>
          </w:tcPr>
          <w:p w14:paraId="36B9D182"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1" w:type="pct"/>
          </w:tcPr>
          <w:p w14:paraId="11A7479D"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c>
          <w:tcPr>
            <w:tcW w:w="762" w:type="pct"/>
          </w:tcPr>
          <w:p w14:paraId="59730E47" w14:textId="77777777" w:rsidR="00525D8A" w:rsidRPr="0053495F" w:rsidRDefault="00525D8A" w:rsidP="00525D8A">
            <w:pPr>
              <w:spacing w:before="40" w:after="40"/>
              <w:jc w:val="center"/>
              <w:rPr>
                <w:sz w:val="20"/>
                <w:szCs w:val="20"/>
              </w:rPr>
            </w:pPr>
            <w:r>
              <w:rPr>
                <w:rFonts w:cs="Calibri"/>
                <w:color w:val="000000"/>
                <w:sz w:val="20"/>
                <w:szCs w:val="20"/>
                <w:lang w:val="en-US" w:eastAsia="pl-PL"/>
              </w:rPr>
              <w:t>0,00</w:t>
            </w:r>
          </w:p>
        </w:tc>
      </w:tr>
      <w:tr w:rsidR="00525D8A" w:rsidRPr="0053495F" w14:paraId="39BD1628" w14:textId="77777777" w:rsidTr="00525D8A">
        <w:trPr>
          <w:trHeight w:val="432"/>
        </w:trPr>
        <w:tc>
          <w:tcPr>
            <w:tcW w:w="1954" w:type="pct"/>
            <w:shd w:val="clear" w:color="auto" w:fill="D9D9D9" w:themeFill="background1" w:themeFillShade="D9"/>
            <w:hideMark/>
          </w:tcPr>
          <w:p w14:paraId="0E20FCF1" w14:textId="5CA1ABF1" w:rsidR="00525D8A" w:rsidRPr="0053495F" w:rsidRDefault="00FB6224" w:rsidP="00525D8A">
            <w:pPr>
              <w:spacing w:before="40" w:after="40"/>
              <w:jc w:val="center"/>
              <w:rPr>
                <w:b/>
                <w:bCs/>
                <w:sz w:val="20"/>
                <w:szCs w:val="20"/>
              </w:rPr>
            </w:pPr>
            <w:r>
              <w:rPr>
                <w:b/>
                <w:bCs/>
                <w:sz w:val="20"/>
                <w:szCs w:val="20"/>
              </w:rPr>
              <w:t>Razem</w:t>
            </w:r>
          </w:p>
        </w:tc>
        <w:tc>
          <w:tcPr>
            <w:tcW w:w="761" w:type="pct"/>
            <w:shd w:val="clear" w:color="auto" w:fill="D9D9D9" w:themeFill="background1" w:themeFillShade="D9"/>
          </w:tcPr>
          <w:p w14:paraId="229456E2" w14:textId="77777777" w:rsidR="00525D8A" w:rsidRPr="0053495F" w:rsidRDefault="00525D8A" w:rsidP="00525D8A">
            <w:pPr>
              <w:spacing w:before="40" w:after="40"/>
              <w:jc w:val="center"/>
              <w:rPr>
                <w:b/>
                <w:bCs/>
                <w:sz w:val="20"/>
                <w:szCs w:val="20"/>
              </w:rPr>
            </w:pPr>
            <w:r>
              <w:rPr>
                <w:rFonts w:eastAsia="Times New Roman"/>
                <w:b/>
                <w:sz w:val="20"/>
                <w:szCs w:val="20"/>
              </w:rPr>
              <w:t>236 920,07</w:t>
            </w:r>
          </w:p>
        </w:tc>
        <w:tc>
          <w:tcPr>
            <w:tcW w:w="762" w:type="pct"/>
            <w:shd w:val="clear" w:color="auto" w:fill="D9D9D9" w:themeFill="background1" w:themeFillShade="D9"/>
          </w:tcPr>
          <w:p w14:paraId="2FD5F1D2" w14:textId="77777777" w:rsidR="00525D8A" w:rsidRPr="0053495F" w:rsidRDefault="00525D8A" w:rsidP="00525D8A">
            <w:pPr>
              <w:spacing w:before="40" w:after="40"/>
              <w:jc w:val="center"/>
              <w:rPr>
                <w:b/>
                <w:bCs/>
                <w:sz w:val="20"/>
                <w:szCs w:val="20"/>
              </w:rPr>
            </w:pPr>
            <w:r>
              <w:rPr>
                <w:rFonts w:eastAsia="Times New Roman"/>
                <w:b/>
                <w:sz w:val="20"/>
                <w:szCs w:val="20"/>
              </w:rPr>
              <w:t>232 977,31</w:t>
            </w:r>
          </w:p>
        </w:tc>
        <w:tc>
          <w:tcPr>
            <w:tcW w:w="761" w:type="pct"/>
            <w:shd w:val="clear" w:color="auto" w:fill="D9D9D9" w:themeFill="background1" w:themeFillShade="D9"/>
          </w:tcPr>
          <w:p w14:paraId="3DAAD756" w14:textId="77777777" w:rsidR="00525D8A" w:rsidRPr="0053495F" w:rsidRDefault="00525D8A" w:rsidP="00525D8A">
            <w:pPr>
              <w:spacing w:before="40" w:after="40"/>
              <w:jc w:val="center"/>
              <w:rPr>
                <w:b/>
                <w:bCs/>
                <w:sz w:val="20"/>
                <w:szCs w:val="20"/>
              </w:rPr>
            </w:pPr>
            <w:r>
              <w:rPr>
                <w:rFonts w:eastAsia="Times New Roman"/>
                <w:b/>
                <w:sz w:val="20"/>
                <w:szCs w:val="20"/>
              </w:rPr>
              <w:t>3 942,76</w:t>
            </w:r>
          </w:p>
        </w:tc>
        <w:tc>
          <w:tcPr>
            <w:tcW w:w="762" w:type="pct"/>
            <w:shd w:val="clear" w:color="auto" w:fill="D9D9D9" w:themeFill="background1" w:themeFillShade="D9"/>
          </w:tcPr>
          <w:p w14:paraId="5E13D41C" w14:textId="77777777" w:rsidR="00525D8A" w:rsidRPr="0053495F" w:rsidRDefault="00525D8A" w:rsidP="00525D8A">
            <w:pPr>
              <w:spacing w:before="40" w:after="40"/>
              <w:jc w:val="center"/>
              <w:rPr>
                <w:b/>
                <w:bCs/>
                <w:sz w:val="20"/>
                <w:szCs w:val="20"/>
              </w:rPr>
            </w:pPr>
            <w:r w:rsidRPr="0053495F">
              <w:rPr>
                <w:rFonts w:eastAsia="Times New Roman"/>
                <w:b/>
                <w:sz w:val="20"/>
                <w:szCs w:val="20"/>
              </w:rPr>
              <w:t>0</w:t>
            </w:r>
            <w:r>
              <w:rPr>
                <w:rFonts w:eastAsia="Times New Roman"/>
                <w:b/>
                <w:sz w:val="20"/>
                <w:szCs w:val="20"/>
              </w:rPr>
              <w:t>,00</w:t>
            </w:r>
          </w:p>
        </w:tc>
      </w:tr>
    </w:tbl>
    <w:p w14:paraId="4456C415" w14:textId="77777777" w:rsidR="00C37351" w:rsidRDefault="00C37351" w:rsidP="00C37351">
      <w:pPr>
        <w:rPr>
          <w:i/>
          <w:iCs/>
          <w:sz w:val="18"/>
          <w:szCs w:val="18"/>
        </w:rPr>
      </w:pPr>
      <w:bookmarkStart w:id="429" w:name="_Toc66324820"/>
      <w:r>
        <w:rPr>
          <w:i/>
          <w:iCs/>
          <w:sz w:val="18"/>
          <w:szCs w:val="18"/>
        </w:rPr>
        <w:t>*koszt nie został określony (w zależności od wyceny potrzeb)</w:t>
      </w:r>
    </w:p>
    <w:p w14:paraId="2607CA29" w14:textId="18ECE3C8" w:rsidR="00525D8A" w:rsidRPr="001E4D45" w:rsidRDefault="00525D8A" w:rsidP="00525D8A">
      <w:pPr>
        <w:pStyle w:val="rdo0"/>
      </w:pPr>
      <w:r w:rsidRPr="001E4D45">
        <w:rPr>
          <w:lang w:eastAsia="zh-CN"/>
        </w:rPr>
        <w:t xml:space="preserve">Źródło: opracowanie </w:t>
      </w:r>
      <w:r>
        <w:rPr>
          <w:lang w:eastAsia="zh-CN"/>
        </w:rPr>
        <w:t>własne</w:t>
      </w:r>
    </w:p>
    <w:bookmarkEnd w:id="429"/>
    <w:p w14:paraId="051FD9A9" w14:textId="51CD5E7C" w:rsidR="00525D8A" w:rsidRDefault="00525D8A" w:rsidP="00525D8A">
      <w:r>
        <w:t xml:space="preserve">Działania finansowane wyłącznie ze środków własnych bądź budżetu państwa stanowią 48% w ogólnej liczbie działań. Pozostałe 52% działań są to działania, które oprócz środków własnych czy budżetu państwa mogą być finansowane ze środków UE, innych środków krajowych (poprzez NFOŚiGW/WFOŚiGW) oraz środków programu LIFE. </w:t>
      </w:r>
      <w:r w:rsidR="004C5FED" w:rsidRPr="00AD4B4D">
        <w:t>Blisko</w:t>
      </w:r>
      <w:r w:rsidR="0045414D" w:rsidRPr="00AD4B4D">
        <w:t xml:space="preserve"> </w:t>
      </w:r>
      <w:r w:rsidR="004C5FED" w:rsidRPr="00AD4B4D">
        <w:t>19</w:t>
      </w:r>
      <w:r w:rsidR="0045414D" w:rsidRPr="00AD4B4D">
        <w:t>% działań jest możliw</w:t>
      </w:r>
      <w:r w:rsidR="004C5FED" w:rsidRPr="00AD4B4D">
        <w:t>ych</w:t>
      </w:r>
      <w:r w:rsidR="0045414D" w:rsidRPr="00AD4B4D">
        <w:t xml:space="preserve"> do wdrożenia do 2027 roku, ale nie ma określonego źródła finansowania. </w:t>
      </w:r>
      <w:r w:rsidR="007643F9" w:rsidRPr="00AD4B4D">
        <w:t>Prawie 59</w:t>
      </w:r>
      <w:r w:rsidR="0045414D" w:rsidRPr="00AD4B4D">
        <w:t xml:space="preserve">% wszystkich działań stanowią działania możliwe do wdrożenia do 2024 roku, przy czym nie mają one określonego źródła finansowania. Ponad </w:t>
      </w:r>
      <w:r w:rsidR="005F2E97" w:rsidRPr="00AD4B4D">
        <w:t>21</w:t>
      </w:r>
      <w:r w:rsidR="0045414D" w:rsidRPr="00AD4B4D">
        <w:t>% wszystkich działań z kolei jest możliw</w:t>
      </w:r>
      <w:r w:rsidR="005F2E97" w:rsidRPr="00AD4B4D">
        <w:t>ych</w:t>
      </w:r>
      <w:r w:rsidR="0045414D" w:rsidRPr="00AD4B4D">
        <w:t xml:space="preserve"> do wdrożenia do 2024 roku i</w:t>
      </w:r>
      <w:r w:rsidR="005F2E97" w:rsidRPr="00AD4B4D">
        <w:t> </w:t>
      </w:r>
      <w:r w:rsidR="0045414D" w:rsidRPr="00AD4B4D">
        <w:t xml:space="preserve">posiada zapewnione źródło finansowania. </w:t>
      </w:r>
      <w:r w:rsidRPr="0077299C">
        <w:t>W poniższej tabeli zaprezentowano zestawienie statystyczne dotyczące realności wdrożenia zestawu działań na obszarze dorzecza:</w:t>
      </w:r>
    </w:p>
    <w:p w14:paraId="31EDE3F7" w14:textId="2CDE0A29" w:rsidR="00525D8A" w:rsidRDefault="00525D8A" w:rsidP="00525D8A">
      <w:pPr>
        <w:pStyle w:val="Legenda"/>
        <w:spacing w:before="120" w:after="120"/>
        <w:rPr>
          <w:b w:val="0"/>
        </w:rPr>
      </w:pPr>
      <w:bookmarkStart w:id="430" w:name="_Toc68727040"/>
      <w:r w:rsidRPr="002D6624">
        <w:t xml:space="preserve">Tabela </w:t>
      </w:r>
      <w:fldSimple w:instr=" STYLEREF 1 \s ">
        <w:r w:rsidR="007B4050">
          <w:rPr>
            <w:noProof/>
          </w:rPr>
          <w:t>12</w:t>
        </w:r>
      </w:fldSimple>
      <w:r w:rsidR="007B4050">
        <w:noBreakHyphen/>
      </w:r>
      <w:fldSimple w:instr=" SEQ Tabela \* ARABIC \s 1 ">
        <w:r w:rsidR="007B4050">
          <w:rPr>
            <w:noProof/>
          </w:rPr>
          <w:t>12</w:t>
        </w:r>
      </w:fldSimple>
      <w:r w:rsidR="00AE00B0">
        <w:tab/>
      </w:r>
      <w:r>
        <w:rPr>
          <w:b w:val="0"/>
        </w:rPr>
        <w:t xml:space="preserve">Ocena realności wdrożenia działań </w:t>
      </w:r>
      <w:r w:rsidR="006C4947">
        <w:rPr>
          <w:b w:val="0"/>
        </w:rPr>
        <w:t>-</w:t>
      </w:r>
      <w:r>
        <w:rPr>
          <w:b w:val="0"/>
        </w:rPr>
        <w:t xml:space="preserve"> dorzecze Pregoły</w:t>
      </w:r>
      <w:bookmarkEnd w:id="430"/>
    </w:p>
    <w:tbl>
      <w:tblPr>
        <w:tblW w:w="9108" w:type="dxa"/>
        <w:tblInd w:w="65" w:type="dxa"/>
        <w:tblCellMar>
          <w:left w:w="70" w:type="dxa"/>
          <w:right w:w="70" w:type="dxa"/>
        </w:tblCellMar>
        <w:tblLook w:val="04A0" w:firstRow="1" w:lastRow="0" w:firstColumn="1" w:lastColumn="0" w:noHBand="0" w:noVBand="1"/>
      </w:tblPr>
      <w:tblGrid>
        <w:gridCol w:w="1324"/>
        <w:gridCol w:w="4918"/>
        <w:gridCol w:w="1449"/>
        <w:gridCol w:w="1417"/>
      </w:tblGrid>
      <w:tr w:rsidR="00525D8A" w:rsidRPr="00F552A2" w14:paraId="5FBE8059" w14:textId="77777777" w:rsidTr="00FB6224">
        <w:trPr>
          <w:trHeight w:val="560"/>
        </w:trPr>
        <w:tc>
          <w:tcPr>
            <w:tcW w:w="13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4F3DB8" w14:textId="77777777" w:rsidR="00525D8A" w:rsidRPr="00F552A2" w:rsidRDefault="00525D8A" w:rsidP="00525D8A">
            <w:pPr>
              <w:jc w:val="center"/>
              <w:rPr>
                <w:rFonts w:eastAsia="Times New Roman"/>
                <w:b/>
                <w:bCs/>
                <w:sz w:val="20"/>
                <w:szCs w:val="20"/>
              </w:rPr>
            </w:pPr>
            <w:r w:rsidRPr="00F552A2">
              <w:rPr>
                <w:rFonts w:eastAsia="Times New Roman"/>
                <w:b/>
                <w:bCs/>
                <w:sz w:val="20"/>
                <w:szCs w:val="20"/>
              </w:rPr>
              <w:t>Stopień oceny realności</w:t>
            </w:r>
          </w:p>
        </w:tc>
        <w:tc>
          <w:tcPr>
            <w:tcW w:w="49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FF7E29" w14:textId="77777777" w:rsidR="00525D8A" w:rsidRPr="00F552A2" w:rsidRDefault="00525D8A" w:rsidP="00525D8A">
            <w:pPr>
              <w:jc w:val="center"/>
              <w:rPr>
                <w:rFonts w:eastAsia="Times New Roman"/>
                <w:b/>
                <w:bCs/>
                <w:sz w:val="20"/>
                <w:szCs w:val="20"/>
              </w:rPr>
            </w:pPr>
            <w:r w:rsidRPr="00F552A2">
              <w:rPr>
                <w:rFonts w:eastAsia="Times New Roman"/>
                <w:b/>
                <w:bCs/>
                <w:sz w:val="20"/>
                <w:szCs w:val="20"/>
              </w:rPr>
              <w:t>Ocena jakościowa</w:t>
            </w:r>
          </w:p>
        </w:tc>
        <w:tc>
          <w:tcPr>
            <w:tcW w:w="144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49794DB" w14:textId="77777777" w:rsidR="00525D8A" w:rsidRPr="00F552A2" w:rsidRDefault="00525D8A" w:rsidP="00525D8A">
            <w:pPr>
              <w:jc w:val="center"/>
              <w:rPr>
                <w:rFonts w:eastAsia="Times New Roman"/>
                <w:b/>
                <w:bCs/>
                <w:color w:val="000000"/>
                <w:sz w:val="20"/>
                <w:szCs w:val="20"/>
              </w:rPr>
            </w:pPr>
            <w:r w:rsidRPr="00F552A2">
              <w:rPr>
                <w:rFonts w:eastAsia="Times New Roman"/>
                <w:b/>
                <w:bCs/>
                <w:color w:val="000000"/>
                <w:sz w:val="20"/>
                <w:szCs w:val="20"/>
              </w:rPr>
              <w:t>Liczba działań</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636649C" w14:textId="5A000600" w:rsidR="00525D8A" w:rsidRPr="00F552A2" w:rsidRDefault="00525D8A" w:rsidP="00525D8A">
            <w:pPr>
              <w:jc w:val="center"/>
              <w:rPr>
                <w:rFonts w:eastAsia="Times New Roman"/>
                <w:b/>
                <w:bCs/>
                <w:color w:val="000000"/>
                <w:sz w:val="20"/>
                <w:szCs w:val="20"/>
              </w:rPr>
            </w:pPr>
            <w:r w:rsidRPr="00F552A2">
              <w:rPr>
                <w:rFonts w:eastAsia="Times New Roman"/>
                <w:b/>
                <w:bCs/>
                <w:color w:val="000000"/>
                <w:sz w:val="20"/>
                <w:szCs w:val="20"/>
              </w:rPr>
              <w:t xml:space="preserve">Udział </w:t>
            </w:r>
            <w:r w:rsidR="000A2964">
              <w:rPr>
                <w:rFonts w:eastAsia="Times New Roman"/>
                <w:b/>
                <w:bCs/>
                <w:color w:val="000000"/>
                <w:sz w:val="20"/>
                <w:szCs w:val="20"/>
              </w:rPr>
              <w:t>(%)</w:t>
            </w:r>
          </w:p>
        </w:tc>
      </w:tr>
      <w:tr w:rsidR="00525D8A" w:rsidRPr="00F552A2" w14:paraId="1DF8B2F8" w14:textId="77777777" w:rsidTr="00525D8A">
        <w:trPr>
          <w:trHeight w:val="28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2A4EC1B5" w14:textId="77777777" w:rsidR="00525D8A" w:rsidRPr="00F552A2" w:rsidRDefault="00525D8A" w:rsidP="00525D8A">
            <w:pPr>
              <w:jc w:val="center"/>
              <w:rPr>
                <w:rFonts w:eastAsia="Times New Roman"/>
                <w:sz w:val="20"/>
                <w:szCs w:val="20"/>
              </w:rPr>
            </w:pPr>
            <w:r w:rsidRPr="00F552A2">
              <w:rPr>
                <w:rFonts w:eastAsia="Times New Roman"/>
                <w:sz w:val="20"/>
                <w:szCs w:val="20"/>
              </w:rPr>
              <w:t>1</w:t>
            </w:r>
          </w:p>
        </w:tc>
        <w:tc>
          <w:tcPr>
            <w:tcW w:w="4918" w:type="dxa"/>
            <w:tcBorders>
              <w:top w:val="nil"/>
              <w:left w:val="nil"/>
              <w:bottom w:val="single" w:sz="4" w:space="0" w:color="auto"/>
              <w:right w:val="single" w:sz="4" w:space="0" w:color="auto"/>
            </w:tcBorders>
            <w:shd w:val="clear" w:color="auto" w:fill="auto"/>
            <w:vAlign w:val="center"/>
            <w:hideMark/>
          </w:tcPr>
          <w:p w14:paraId="2A69FB65" w14:textId="77777777" w:rsidR="00525D8A" w:rsidRPr="00F552A2" w:rsidRDefault="00525D8A" w:rsidP="00525D8A">
            <w:pPr>
              <w:jc w:val="center"/>
              <w:rPr>
                <w:rFonts w:eastAsia="Times New Roman"/>
                <w:sz w:val="20"/>
                <w:szCs w:val="20"/>
              </w:rPr>
            </w:pPr>
            <w:r w:rsidRPr="00F552A2">
              <w:rPr>
                <w:rFonts w:eastAsia="Times New Roman"/>
                <w:sz w:val="20"/>
                <w:szCs w:val="20"/>
              </w:rPr>
              <w:t>Działania mało realne do wdrożenia do roku 2027</w:t>
            </w:r>
          </w:p>
        </w:tc>
        <w:tc>
          <w:tcPr>
            <w:tcW w:w="1449" w:type="dxa"/>
            <w:tcBorders>
              <w:top w:val="nil"/>
              <w:left w:val="nil"/>
              <w:bottom w:val="single" w:sz="4" w:space="0" w:color="auto"/>
              <w:right w:val="single" w:sz="4" w:space="0" w:color="auto"/>
            </w:tcBorders>
            <w:shd w:val="clear" w:color="000000" w:fill="FFFFFF"/>
            <w:vAlign w:val="center"/>
          </w:tcPr>
          <w:p w14:paraId="3EDE25D6" w14:textId="77777777"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0</w:t>
            </w:r>
          </w:p>
        </w:tc>
        <w:tc>
          <w:tcPr>
            <w:tcW w:w="1417" w:type="dxa"/>
            <w:tcBorders>
              <w:top w:val="nil"/>
              <w:left w:val="nil"/>
              <w:bottom w:val="single" w:sz="4" w:space="0" w:color="auto"/>
              <w:right w:val="single" w:sz="4" w:space="0" w:color="auto"/>
            </w:tcBorders>
            <w:shd w:val="clear" w:color="000000" w:fill="FFFFFF"/>
            <w:vAlign w:val="center"/>
          </w:tcPr>
          <w:p w14:paraId="6B5E5BE8" w14:textId="4DF322D0"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0,00</w:t>
            </w:r>
          </w:p>
        </w:tc>
      </w:tr>
      <w:tr w:rsidR="00525D8A" w:rsidRPr="00F552A2" w14:paraId="5B9238C6" w14:textId="77777777" w:rsidTr="00525D8A">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68F685EB" w14:textId="77777777" w:rsidR="00525D8A" w:rsidRPr="00F552A2" w:rsidRDefault="00525D8A" w:rsidP="00525D8A">
            <w:pPr>
              <w:jc w:val="center"/>
              <w:rPr>
                <w:rFonts w:eastAsia="Times New Roman"/>
                <w:sz w:val="20"/>
                <w:szCs w:val="20"/>
              </w:rPr>
            </w:pPr>
            <w:r w:rsidRPr="00F552A2">
              <w:rPr>
                <w:rFonts w:eastAsia="Times New Roman"/>
                <w:sz w:val="20"/>
                <w:szCs w:val="20"/>
              </w:rPr>
              <w:t>2</w:t>
            </w:r>
          </w:p>
        </w:tc>
        <w:tc>
          <w:tcPr>
            <w:tcW w:w="4918" w:type="dxa"/>
            <w:tcBorders>
              <w:top w:val="nil"/>
              <w:left w:val="nil"/>
              <w:bottom w:val="single" w:sz="4" w:space="0" w:color="auto"/>
              <w:right w:val="single" w:sz="4" w:space="0" w:color="auto"/>
            </w:tcBorders>
            <w:shd w:val="clear" w:color="auto" w:fill="auto"/>
            <w:vAlign w:val="center"/>
            <w:hideMark/>
          </w:tcPr>
          <w:p w14:paraId="547C808E" w14:textId="77777777" w:rsidR="00525D8A" w:rsidRPr="00F552A2" w:rsidRDefault="00525D8A" w:rsidP="00525D8A">
            <w:pPr>
              <w:jc w:val="center"/>
              <w:rPr>
                <w:rFonts w:eastAsia="Times New Roman"/>
                <w:sz w:val="20"/>
                <w:szCs w:val="20"/>
              </w:rPr>
            </w:pPr>
            <w:r w:rsidRPr="00F552A2">
              <w:rPr>
                <w:rFonts w:eastAsia="Times New Roman"/>
                <w:sz w:val="20"/>
                <w:szCs w:val="20"/>
              </w:rPr>
              <w:t>Działania możliwe do wdrożenia do roku 2027,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000000" w:fill="FFFFFF"/>
            <w:vAlign w:val="center"/>
          </w:tcPr>
          <w:p w14:paraId="475CAEE9" w14:textId="77777777"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104</w:t>
            </w:r>
          </w:p>
        </w:tc>
        <w:tc>
          <w:tcPr>
            <w:tcW w:w="1417" w:type="dxa"/>
            <w:tcBorders>
              <w:top w:val="nil"/>
              <w:left w:val="nil"/>
              <w:bottom w:val="single" w:sz="4" w:space="0" w:color="auto"/>
              <w:right w:val="single" w:sz="4" w:space="0" w:color="auto"/>
            </w:tcBorders>
            <w:shd w:val="clear" w:color="000000" w:fill="FFFFFF"/>
            <w:vAlign w:val="center"/>
          </w:tcPr>
          <w:p w14:paraId="49AF0CFE" w14:textId="038B6639"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18,98</w:t>
            </w:r>
          </w:p>
        </w:tc>
      </w:tr>
      <w:tr w:rsidR="00525D8A" w:rsidRPr="00F552A2" w14:paraId="3CE5643F" w14:textId="77777777" w:rsidTr="00525D8A">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1398EF3B" w14:textId="77777777" w:rsidR="00525D8A" w:rsidRPr="00F552A2" w:rsidRDefault="00525D8A" w:rsidP="00525D8A">
            <w:pPr>
              <w:jc w:val="center"/>
              <w:rPr>
                <w:rFonts w:eastAsia="Times New Roman"/>
                <w:sz w:val="20"/>
                <w:szCs w:val="20"/>
              </w:rPr>
            </w:pPr>
            <w:r w:rsidRPr="00F552A2">
              <w:rPr>
                <w:rFonts w:eastAsia="Times New Roman"/>
                <w:sz w:val="20"/>
                <w:szCs w:val="20"/>
              </w:rPr>
              <w:t>3</w:t>
            </w:r>
          </w:p>
        </w:tc>
        <w:tc>
          <w:tcPr>
            <w:tcW w:w="4918" w:type="dxa"/>
            <w:tcBorders>
              <w:top w:val="nil"/>
              <w:left w:val="nil"/>
              <w:bottom w:val="single" w:sz="4" w:space="0" w:color="auto"/>
              <w:right w:val="single" w:sz="4" w:space="0" w:color="auto"/>
            </w:tcBorders>
            <w:shd w:val="clear" w:color="auto" w:fill="auto"/>
            <w:vAlign w:val="center"/>
            <w:hideMark/>
          </w:tcPr>
          <w:p w14:paraId="6D1E621A" w14:textId="77777777" w:rsidR="00525D8A" w:rsidRPr="00F552A2" w:rsidRDefault="00525D8A" w:rsidP="00525D8A">
            <w:pPr>
              <w:jc w:val="center"/>
              <w:rPr>
                <w:rFonts w:eastAsia="Times New Roman"/>
                <w:sz w:val="20"/>
                <w:szCs w:val="20"/>
              </w:rPr>
            </w:pPr>
            <w:r w:rsidRPr="00F552A2">
              <w:rPr>
                <w:rFonts w:eastAsia="Times New Roman"/>
                <w:sz w:val="20"/>
                <w:szCs w:val="20"/>
              </w:rPr>
              <w:t>Działania możliwe do wdrożenia do roku 2024,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000000" w:fill="FFFFFF"/>
            <w:vAlign w:val="center"/>
          </w:tcPr>
          <w:p w14:paraId="41A67E13" w14:textId="77777777"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322</w:t>
            </w:r>
          </w:p>
        </w:tc>
        <w:tc>
          <w:tcPr>
            <w:tcW w:w="1417" w:type="dxa"/>
            <w:tcBorders>
              <w:top w:val="nil"/>
              <w:left w:val="nil"/>
              <w:bottom w:val="single" w:sz="4" w:space="0" w:color="auto"/>
              <w:right w:val="single" w:sz="4" w:space="0" w:color="auto"/>
            </w:tcBorders>
            <w:shd w:val="clear" w:color="000000" w:fill="FFFFFF"/>
            <w:vAlign w:val="center"/>
          </w:tcPr>
          <w:p w14:paraId="2B3F77D8" w14:textId="15DD5853"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58,76</w:t>
            </w:r>
          </w:p>
        </w:tc>
      </w:tr>
      <w:tr w:rsidR="00525D8A" w:rsidRPr="00F552A2" w14:paraId="54DD3118" w14:textId="77777777" w:rsidTr="00525D8A">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4743A95E" w14:textId="77777777" w:rsidR="00525D8A" w:rsidRPr="00F552A2" w:rsidRDefault="00525D8A" w:rsidP="00525D8A">
            <w:pPr>
              <w:jc w:val="center"/>
              <w:rPr>
                <w:rFonts w:eastAsia="Times New Roman"/>
                <w:sz w:val="20"/>
                <w:szCs w:val="20"/>
              </w:rPr>
            </w:pPr>
            <w:r w:rsidRPr="00F552A2">
              <w:rPr>
                <w:rFonts w:eastAsia="Times New Roman"/>
                <w:sz w:val="20"/>
                <w:szCs w:val="20"/>
              </w:rPr>
              <w:t>4</w:t>
            </w:r>
          </w:p>
        </w:tc>
        <w:tc>
          <w:tcPr>
            <w:tcW w:w="4918" w:type="dxa"/>
            <w:tcBorders>
              <w:top w:val="nil"/>
              <w:left w:val="nil"/>
              <w:bottom w:val="single" w:sz="4" w:space="0" w:color="auto"/>
              <w:right w:val="single" w:sz="4" w:space="0" w:color="auto"/>
            </w:tcBorders>
            <w:shd w:val="clear" w:color="auto" w:fill="auto"/>
            <w:vAlign w:val="center"/>
            <w:hideMark/>
          </w:tcPr>
          <w:p w14:paraId="09C544E2" w14:textId="5BACD552" w:rsidR="00525D8A" w:rsidRPr="00F552A2" w:rsidRDefault="00525D8A" w:rsidP="00525D8A">
            <w:pPr>
              <w:jc w:val="center"/>
              <w:rPr>
                <w:rFonts w:eastAsia="Times New Roman"/>
                <w:sz w:val="20"/>
                <w:szCs w:val="20"/>
              </w:rPr>
            </w:pPr>
            <w:r w:rsidRPr="00F552A2">
              <w:rPr>
                <w:rFonts w:eastAsia="Times New Roman"/>
                <w:sz w:val="20"/>
                <w:szCs w:val="20"/>
              </w:rPr>
              <w:t xml:space="preserve">Działania możliwe do wdrożenia do roku 2027 </w:t>
            </w:r>
            <w:r w:rsidR="006C4947">
              <w:rPr>
                <w:rFonts w:eastAsia="Times New Roman"/>
                <w:sz w:val="20"/>
                <w:szCs w:val="20"/>
              </w:rPr>
              <w:t>-</w:t>
            </w:r>
            <w:r w:rsidRPr="00F552A2">
              <w:rPr>
                <w:rFonts w:eastAsia="Times New Roman"/>
                <w:sz w:val="20"/>
                <w:szCs w:val="20"/>
              </w:rPr>
              <w:t xml:space="preserve"> działanie jest przygotowane i ma zapewnione finansowanie</w:t>
            </w:r>
          </w:p>
        </w:tc>
        <w:tc>
          <w:tcPr>
            <w:tcW w:w="1449" w:type="dxa"/>
            <w:tcBorders>
              <w:top w:val="nil"/>
              <w:left w:val="nil"/>
              <w:bottom w:val="single" w:sz="4" w:space="0" w:color="auto"/>
              <w:right w:val="single" w:sz="4" w:space="0" w:color="auto"/>
            </w:tcBorders>
            <w:shd w:val="clear" w:color="000000" w:fill="FFFFFF"/>
            <w:vAlign w:val="center"/>
          </w:tcPr>
          <w:p w14:paraId="6FF03B62" w14:textId="77777777"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4</w:t>
            </w:r>
          </w:p>
        </w:tc>
        <w:tc>
          <w:tcPr>
            <w:tcW w:w="1417" w:type="dxa"/>
            <w:tcBorders>
              <w:top w:val="nil"/>
              <w:left w:val="nil"/>
              <w:bottom w:val="single" w:sz="4" w:space="0" w:color="auto"/>
              <w:right w:val="single" w:sz="4" w:space="0" w:color="auto"/>
            </w:tcBorders>
            <w:shd w:val="clear" w:color="000000" w:fill="FFFFFF"/>
            <w:vAlign w:val="center"/>
          </w:tcPr>
          <w:p w14:paraId="6E232206" w14:textId="679223CB"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0,73</w:t>
            </w:r>
          </w:p>
        </w:tc>
      </w:tr>
      <w:tr w:rsidR="00525D8A" w:rsidRPr="00F552A2" w14:paraId="63380E2F" w14:textId="77777777" w:rsidTr="00525D8A">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44B15BBB" w14:textId="77777777" w:rsidR="00525D8A" w:rsidRPr="00F552A2" w:rsidRDefault="00525D8A" w:rsidP="00525D8A">
            <w:pPr>
              <w:jc w:val="center"/>
              <w:rPr>
                <w:rFonts w:eastAsia="Times New Roman"/>
                <w:sz w:val="20"/>
                <w:szCs w:val="20"/>
              </w:rPr>
            </w:pPr>
            <w:r w:rsidRPr="00F552A2">
              <w:rPr>
                <w:rFonts w:eastAsia="Times New Roman"/>
                <w:sz w:val="20"/>
                <w:szCs w:val="20"/>
              </w:rPr>
              <w:t>5</w:t>
            </w:r>
          </w:p>
        </w:tc>
        <w:tc>
          <w:tcPr>
            <w:tcW w:w="4918" w:type="dxa"/>
            <w:tcBorders>
              <w:top w:val="nil"/>
              <w:left w:val="nil"/>
              <w:bottom w:val="single" w:sz="4" w:space="0" w:color="auto"/>
              <w:right w:val="single" w:sz="4" w:space="0" w:color="auto"/>
            </w:tcBorders>
            <w:shd w:val="clear" w:color="auto" w:fill="auto"/>
            <w:vAlign w:val="center"/>
            <w:hideMark/>
          </w:tcPr>
          <w:p w14:paraId="6318F1FE" w14:textId="2D39287D" w:rsidR="00525D8A" w:rsidRPr="00F552A2" w:rsidRDefault="00525D8A" w:rsidP="00525D8A">
            <w:pPr>
              <w:jc w:val="center"/>
              <w:rPr>
                <w:rFonts w:eastAsia="Times New Roman"/>
                <w:sz w:val="20"/>
                <w:szCs w:val="20"/>
              </w:rPr>
            </w:pPr>
            <w:r w:rsidRPr="00F552A2">
              <w:rPr>
                <w:rFonts w:eastAsia="Times New Roman"/>
                <w:sz w:val="20"/>
                <w:szCs w:val="20"/>
              </w:rPr>
              <w:t xml:space="preserve">Działania możliwe do wdrożenia do roku 2024 </w:t>
            </w:r>
            <w:r w:rsidR="006C4947">
              <w:rPr>
                <w:rFonts w:eastAsia="Times New Roman"/>
                <w:sz w:val="20"/>
                <w:szCs w:val="20"/>
              </w:rPr>
              <w:t>-</w:t>
            </w:r>
            <w:r w:rsidRPr="00F552A2">
              <w:rPr>
                <w:rFonts w:eastAsia="Times New Roman"/>
                <w:sz w:val="20"/>
                <w:szCs w:val="20"/>
              </w:rPr>
              <w:t xml:space="preserve"> działanie jest przygotowane i ma zapewnione finansowanie</w:t>
            </w:r>
          </w:p>
        </w:tc>
        <w:tc>
          <w:tcPr>
            <w:tcW w:w="1449" w:type="dxa"/>
            <w:tcBorders>
              <w:top w:val="nil"/>
              <w:left w:val="nil"/>
              <w:bottom w:val="single" w:sz="4" w:space="0" w:color="auto"/>
              <w:right w:val="single" w:sz="4" w:space="0" w:color="auto"/>
            </w:tcBorders>
            <w:shd w:val="clear" w:color="000000" w:fill="FFFFFF"/>
            <w:vAlign w:val="center"/>
          </w:tcPr>
          <w:p w14:paraId="4F088E0A" w14:textId="77777777"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118</w:t>
            </w:r>
          </w:p>
        </w:tc>
        <w:tc>
          <w:tcPr>
            <w:tcW w:w="1417" w:type="dxa"/>
            <w:tcBorders>
              <w:top w:val="nil"/>
              <w:left w:val="nil"/>
              <w:bottom w:val="single" w:sz="4" w:space="0" w:color="auto"/>
              <w:right w:val="single" w:sz="4" w:space="0" w:color="auto"/>
            </w:tcBorders>
            <w:shd w:val="clear" w:color="000000" w:fill="FFFFFF"/>
            <w:vAlign w:val="center"/>
          </w:tcPr>
          <w:p w14:paraId="163DFDA3" w14:textId="6C741310" w:rsidR="00525D8A" w:rsidRPr="008A7732" w:rsidRDefault="00525D8A" w:rsidP="00525D8A">
            <w:pPr>
              <w:jc w:val="center"/>
              <w:rPr>
                <w:rFonts w:eastAsia="Times New Roman"/>
                <w:color w:val="000000"/>
                <w:sz w:val="20"/>
                <w:szCs w:val="20"/>
              </w:rPr>
            </w:pPr>
            <w:r w:rsidRPr="002929BC">
              <w:rPr>
                <w:rFonts w:eastAsia="Times New Roman"/>
                <w:color w:val="000000"/>
                <w:sz w:val="20"/>
                <w:szCs w:val="20"/>
              </w:rPr>
              <w:t>21,53</w:t>
            </w:r>
          </w:p>
        </w:tc>
      </w:tr>
    </w:tbl>
    <w:p w14:paraId="62915A74" w14:textId="77777777" w:rsidR="000A2964" w:rsidRPr="001E4D45" w:rsidRDefault="000A2964" w:rsidP="000A2964">
      <w:pPr>
        <w:pStyle w:val="rdo0"/>
      </w:pPr>
      <w:r w:rsidRPr="001E4D45">
        <w:rPr>
          <w:lang w:eastAsia="zh-CN"/>
        </w:rPr>
        <w:t xml:space="preserve">Źródło: opracowanie </w:t>
      </w:r>
      <w:r>
        <w:rPr>
          <w:lang w:eastAsia="zh-CN"/>
        </w:rPr>
        <w:t>własne</w:t>
      </w:r>
    </w:p>
    <w:p w14:paraId="4C2E11F5" w14:textId="36FB4855" w:rsidR="00FC64C2" w:rsidRDefault="00FC64C2" w:rsidP="00B50FFD">
      <w:pPr>
        <w:pStyle w:val="Nagwek1"/>
      </w:pPr>
      <w:bookmarkStart w:id="431" w:name="_Toc68726904"/>
      <w:r>
        <w:t>Podsumowanie działań</w:t>
      </w:r>
      <w:bookmarkEnd w:id="431"/>
    </w:p>
    <w:p w14:paraId="1172FB52" w14:textId="42CC84C8" w:rsidR="00887E05" w:rsidRDefault="00332A4E" w:rsidP="00B50FFD">
      <w:pPr>
        <w:pStyle w:val="Nagwek2"/>
      </w:pPr>
      <w:bookmarkStart w:id="432" w:name="_Toc68726905"/>
      <w:r>
        <w:t>Informacje o planowanych i podjętych działaniach, które służą wdrożeniu zasady zwrotu kosztów usług wodnych</w:t>
      </w:r>
      <w:bookmarkEnd w:id="432"/>
    </w:p>
    <w:p w14:paraId="3C7C9B1A" w14:textId="1E136975" w:rsidR="00DC1C40" w:rsidRDefault="00DC1C40" w:rsidP="00DC1C40">
      <w:pPr>
        <w:suppressAutoHyphens/>
      </w:pPr>
      <w:r>
        <w:t>Zgodnie z art. 9 ust. 2 RDW państwa członkowskie w ramach PGW składają sprawozdanie o planowanych krokach podjętych dla wdrożenia art. 9 ust. 1 RDW, które mają się przyczyniać do</w:t>
      </w:r>
      <w:r w:rsidR="00C4673D">
        <w:t> </w:t>
      </w:r>
      <w:r>
        <w:t xml:space="preserve">osiągnięcia celów środowiskowych dyrektywy, i o wkładzie uczynionym przez różnych użytkowników do zwrotu kosztów usług wodnych. Analogiczne przepisy transponujące ww. założenia do krajowego porządku prawnego znalazły się w art. 318 ust. 1 pkt 8 </w:t>
      </w:r>
      <w:r>
        <w:rPr>
          <w:rFonts w:cs="Lucida Grande"/>
        </w:rPr>
        <w:t xml:space="preserve">ustawy pr.w., </w:t>
      </w:r>
      <w:r>
        <w:t xml:space="preserve">gdzie wskazano, iż PGW </w:t>
      </w:r>
      <w:r w:rsidRPr="00D44004">
        <w:t>na obszarze dorzecza zawiera</w:t>
      </w:r>
      <w:r>
        <w:t xml:space="preserve"> m.in.: informacje o planowanych i podjętych działaniach, które służą̨ wdrożeniu zasady zwrotu kosztów usług wodnych, przy uwzględnieniu wkładu wniesionego przez użytkowników wód oraz kosztów środowiskowych i zasobowych, zawierające w szczególności informacje o wynikach tych działań́ oraz ich wpływie na stan wód. W poprzednim cyklu planistycznym w ramach grupy działań mających na celu wypełnienie zapisów art. 11 ust. 3 pkt b RDW, czyli środków uznanych za odpowiednie do celów art. 9, w załączniku nr 1, </w:t>
      </w:r>
      <w:r w:rsidRPr="0000695D">
        <w:rPr>
          <w:i/>
          <w:iCs/>
        </w:rPr>
        <w:t xml:space="preserve">Katalog działań krajowych </w:t>
      </w:r>
      <w:r w:rsidRPr="0000695D">
        <w:rPr>
          <w:rStyle w:val="Pogrubienie"/>
          <w:rFonts w:eastAsia="Times New Roman"/>
          <w:b w:val="0"/>
          <w:bCs/>
          <w:i/>
          <w:iCs/>
        </w:rPr>
        <w:t>aktualizacji Programu wodno-środowiskowego kraju</w:t>
      </w:r>
      <w:r>
        <w:rPr>
          <w:rStyle w:val="Pogrubienie"/>
          <w:rFonts w:eastAsia="Times New Roman"/>
          <w:b w:val="0"/>
          <w:bCs/>
        </w:rPr>
        <w:t xml:space="preserve"> </w:t>
      </w:r>
      <w:r w:rsidRPr="0000695D">
        <w:rPr>
          <w:rStyle w:val="Pogrubienie"/>
          <w:rFonts w:eastAsia="Times New Roman"/>
          <w:b w:val="0"/>
          <w:bCs/>
          <w:i/>
          <w:iCs/>
        </w:rPr>
        <w:t>(aPWŚK)</w:t>
      </w:r>
      <w:r>
        <w:rPr>
          <w:rStyle w:val="Pogrubienie"/>
          <w:rFonts w:eastAsia="Times New Roman"/>
          <w:b w:val="0"/>
          <w:bCs/>
        </w:rPr>
        <w:t xml:space="preserve">, zawarto następujące działania </w:t>
      </w:r>
      <w:r w:rsidR="00CB6CFB">
        <w:rPr>
          <w:rStyle w:val="Pogrubienie"/>
          <w:rFonts w:eastAsia="Times New Roman"/>
          <w:b w:val="0"/>
          <w:bCs/>
        </w:rPr>
        <w:t xml:space="preserve">(tabela 13-1) </w:t>
      </w:r>
      <w:r>
        <w:t>mające na celu wypełnienie zapisów art. 11 ust. 3 pkt b RDW:</w:t>
      </w:r>
    </w:p>
    <w:p w14:paraId="0D5E9D1C" w14:textId="584342DD" w:rsidR="00DC1C40" w:rsidRPr="00442AB7" w:rsidRDefault="004F483D" w:rsidP="006802BB">
      <w:pPr>
        <w:pStyle w:val="Tabela"/>
      </w:pPr>
      <w:bookmarkStart w:id="433" w:name="_Toc66050535"/>
      <w:bookmarkStart w:id="434" w:name="_Toc68727041"/>
      <w:r w:rsidRPr="00442AB7">
        <w:t xml:space="preserve">Tabela </w:t>
      </w:r>
      <w:fldSimple w:instr=" STYLEREF 1 \s ">
        <w:r w:rsidR="007B4050">
          <w:rPr>
            <w:noProof/>
          </w:rPr>
          <w:t>13</w:t>
        </w:r>
      </w:fldSimple>
      <w:r w:rsidR="007B4050">
        <w:noBreakHyphen/>
      </w:r>
      <w:fldSimple w:instr=" SEQ Tabela \* ARABIC \s 1 ">
        <w:r w:rsidR="007B4050">
          <w:rPr>
            <w:noProof/>
          </w:rPr>
          <w:t>1</w:t>
        </w:r>
      </w:fldSimple>
      <w:r w:rsidR="00DC1C40" w:rsidRPr="00442AB7">
        <w:tab/>
        <w:t>Działania związane z wdrażaniem zasady zwrotu kosztów usług wodnych ujęte w aPWŚK</w:t>
      </w:r>
      <w:bookmarkEnd w:id="433"/>
      <w:bookmarkEnd w:id="434"/>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754"/>
        <w:gridCol w:w="2155"/>
        <w:gridCol w:w="2153"/>
      </w:tblGrid>
      <w:tr w:rsidR="00EB6BDB" w14:paraId="3AE65F47" w14:textId="59CD50AC" w:rsidTr="00EB6BDB">
        <w:trPr>
          <w:trHeight w:val="454"/>
          <w:jc w:val="center"/>
        </w:trPr>
        <w:tc>
          <w:tcPr>
            <w:tcW w:w="2623"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1BDF159" w14:textId="77777777" w:rsidR="00EB6BDB" w:rsidRDefault="00EB6BDB" w:rsidP="00E86687">
            <w:pPr>
              <w:pStyle w:val="Tabela-tekst"/>
              <w:jc w:val="center"/>
              <w:rPr>
                <w:rFonts w:asciiTheme="majorHAnsi" w:hAnsiTheme="majorHAnsi" w:cs="Arial"/>
                <w:b/>
                <w:color w:val="262626" w:themeColor="text1" w:themeTint="D9"/>
              </w:rPr>
            </w:pPr>
            <w:r w:rsidRPr="001B10C5">
              <w:rPr>
                <w:b/>
                <w:bCs/>
              </w:rPr>
              <w:t>Działanie</w:t>
            </w:r>
          </w:p>
        </w:tc>
        <w:tc>
          <w:tcPr>
            <w:tcW w:w="1189"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6EE0A351" w14:textId="77777777" w:rsidR="00EB6BDB" w:rsidRDefault="00EB6BDB" w:rsidP="001B10C5">
            <w:pPr>
              <w:pStyle w:val="Tabela-tekst"/>
              <w:rPr>
                <w:rFonts w:asciiTheme="majorHAnsi" w:hAnsiTheme="majorHAnsi" w:cs="Arial"/>
                <w:b/>
                <w:color w:val="262626" w:themeColor="text1" w:themeTint="D9"/>
              </w:rPr>
            </w:pPr>
            <w:r w:rsidRPr="001B10C5">
              <w:rPr>
                <w:b/>
                <w:bCs/>
              </w:rPr>
              <w:t>Jednostka odpowiedzialna</w:t>
            </w:r>
          </w:p>
        </w:tc>
        <w:tc>
          <w:tcPr>
            <w:tcW w:w="118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349CCF6B" w14:textId="4262DDD5" w:rsidR="00EB6BDB" w:rsidRPr="001B10C5" w:rsidRDefault="00EB6BDB" w:rsidP="00EB6BDB">
            <w:pPr>
              <w:pStyle w:val="Tabela-tekst"/>
              <w:jc w:val="center"/>
              <w:rPr>
                <w:b/>
                <w:bCs/>
              </w:rPr>
            </w:pPr>
            <w:r>
              <w:rPr>
                <w:b/>
                <w:bCs/>
              </w:rPr>
              <w:t>Harmonogram</w:t>
            </w:r>
            <w:r w:rsidR="003A6EF0">
              <w:rPr>
                <w:b/>
                <w:bCs/>
              </w:rPr>
              <w:t xml:space="preserve"> realizacji</w:t>
            </w:r>
          </w:p>
        </w:tc>
      </w:tr>
      <w:tr w:rsidR="00EB6BDB" w14:paraId="194277D3" w14:textId="7ECE1C27" w:rsidTr="00EB6BDB">
        <w:trPr>
          <w:trHeight w:val="454"/>
          <w:jc w:val="center"/>
        </w:trPr>
        <w:tc>
          <w:tcPr>
            <w:tcW w:w="2623" w:type="pct"/>
            <w:tcBorders>
              <w:top w:val="single" w:sz="4" w:space="0" w:color="002060"/>
              <w:left w:val="single" w:sz="4" w:space="0" w:color="002060"/>
              <w:bottom w:val="single" w:sz="4" w:space="0" w:color="002060"/>
              <w:right w:val="single" w:sz="4" w:space="0" w:color="002060"/>
            </w:tcBorders>
            <w:vAlign w:val="center"/>
            <w:hideMark/>
          </w:tcPr>
          <w:p w14:paraId="32E1F325" w14:textId="77777777" w:rsidR="00EB6BDB" w:rsidRDefault="00EB6BDB" w:rsidP="001B10C5">
            <w:pPr>
              <w:pStyle w:val="Tabela-tekst"/>
            </w:pPr>
            <w:r>
              <w:t xml:space="preserve">Ustalanie taryf za zbiorowe zaopatrzenie w wodę i zbiorowe odprowadzanie ścieków z uwzględnieniem: </w:t>
            </w:r>
          </w:p>
          <w:p w14:paraId="2139AFCE" w14:textId="77777777" w:rsidR="00EB6BDB" w:rsidRDefault="00EB6BDB" w:rsidP="00AA3506">
            <w:pPr>
              <w:pStyle w:val="Tabela-tekst"/>
              <w:numPr>
                <w:ilvl w:val="0"/>
                <w:numId w:val="34"/>
              </w:numPr>
              <w:ind w:left="202" w:hanging="202"/>
              <w:rPr>
                <w:rFonts w:asciiTheme="majorHAnsi" w:eastAsiaTheme="majorEastAsia" w:hAnsiTheme="majorHAnsi" w:cstheme="majorBidi"/>
                <w:color w:val="272727" w:themeColor="text1" w:themeTint="D8"/>
              </w:rPr>
            </w:pPr>
            <w:r>
              <w:t>kosztów związanych ze świadczeniem usług,</w:t>
            </w:r>
          </w:p>
          <w:p w14:paraId="3D1A31C0" w14:textId="77777777" w:rsidR="00EB6BDB" w:rsidRDefault="00EB6BDB" w:rsidP="00AA3506">
            <w:pPr>
              <w:pStyle w:val="Tabela-tekst"/>
              <w:numPr>
                <w:ilvl w:val="0"/>
                <w:numId w:val="34"/>
              </w:numPr>
              <w:ind w:left="202" w:hanging="202"/>
              <w:rPr>
                <w:rFonts w:asciiTheme="majorHAnsi" w:eastAsiaTheme="majorEastAsia" w:hAnsiTheme="majorHAnsi" w:cstheme="majorBidi"/>
                <w:color w:val="272727" w:themeColor="text1" w:themeTint="D8"/>
              </w:rPr>
            </w:pPr>
            <w:r>
              <w:t>zmian warunków ekonomicznych oraz wielkości usług i warunków ich świadczenia,</w:t>
            </w:r>
          </w:p>
          <w:p w14:paraId="30F36A44" w14:textId="77777777" w:rsidR="00EB6BDB" w:rsidRDefault="00EB6BDB" w:rsidP="00AA3506">
            <w:pPr>
              <w:pStyle w:val="Tabela-tekst"/>
              <w:numPr>
                <w:ilvl w:val="0"/>
                <w:numId w:val="34"/>
              </w:numPr>
              <w:ind w:left="202" w:hanging="202"/>
              <w:rPr>
                <w:rFonts w:asciiTheme="majorHAnsi" w:eastAsiaTheme="majorEastAsia" w:hAnsiTheme="majorHAnsi" w:cstheme="majorBidi"/>
                <w:color w:val="272727" w:themeColor="text1" w:themeTint="D8"/>
              </w:rPr>
            </w:pPr>
            <w:r>
              <w:t>kosztów wynikających z planowanych wydatków inwestycyjnych.</w:t>
            </w:r>
          </w:p>
        </w:tc>
        <w:tc>
          <w:tcPr>
            <w:tcW w:w="1189" w:type="pct"/>
            <w:tcBorders>
              <w:top w:val="single" w:sz="4" w:space="0" w:color="002060"/>
              <w:left w:val="single" w:sz="4" w:space="0" w:color="002060"/>
              <w:bottom w:val="single" w:sz="4" w:space="0" w:color="002060"/>
              <w:right w:val="single" w:sz="4" w:space="0" w:color="002060"/>
            </w:tcBorders>
            <w:vAlign w:val="center"/>
            <w:hideMark/>
          </w:tcPr>
          <w:p w14:paraId="0540928A" w14:textId="77777777" w:rsidR="00EB6BDB" w:rsidRDefault="00EB6BDB" w:rsidP="001B10C5">
            <w:pPr>
              <w:pStyle w:val="Tabela-tekst"/>
              <w:rPr>
                <w:rFonts w:asciiTheme="majorHAnsi" w:hAnsiTheme="majorHAnsi" w:cs="Arial"/>
                <w:color w:val="262626" w:themeColor="text1" w:themeTint="D9"/>
              </w:rPr>
            </w:pPr>
            <w:r>
              <w:t>przedsiębiorstwa wodociągowo-kanalizacyjne</w:t>
            </w:r>
          </w:p>
        </w:tc>
        <w:tc>
          <w:tcPr>
            <w:tcW w:w="1188" w:type="pct"/>
            <w:tcBorders>
              <w:top w:val="single" w:sz="4" w:space="0" w:color="002060"/>
              <w:left w:val="single" w:sz="4" w:space="0" w:color="002060"/>
              <w:bottom w:val="single" w:sz="4" w:space="0" w:color="002060"/>
              <w:right w:val="single" w:sz="4" w:space="0" w:color="002060"/>
            </w:tcBorders>
            <w:vAlign w:val="center"/>
          </w:tcPr>
          <w:p w14:paraId="441AEDAB" w14:textId="5A77B06B" w:rsidR="00EB6BDB" w:rsidRDefault="00EB6BDB" w:rsidP="00EB6BDB">
            <w:pPr>
              <w:pStyle w:val="Tabela-tekst"/>
              <w:jc w:val="center"/>
            </w:pPr>
            <w:r>
              <w:t>działanie ciągłe</w:t>
            </w:r>
          </w:p>
        </w:tc>
      </w:tr>
      <w:tr w:rsidR="00EB6BDB" w14:paraId="53B646B2" w14:textId="581C895E" w:rsidTr="00EB6BDB">
        <w:trPr>
          <w:trHeight w:val="454"/>
          <w:jc w:val="center"/>
        </w:trPr>
        <w:tc>
          <w:tcPr>
            <w:tcW w:w="2623" w:type="pct"/>
            <w:tcBorders>
              <w:top w:val="single" w:sz="4" w:space="0" w:color="002060"/>
              <w:left w:val="single" w:sz="4" w:space="0" w:color="002060"/>
              <w:bottom w:val="single" w:sz="4" w:space="0" w:color="002060"/>
              <w:right w:val="single" w:sz="4" w:space="0" w:color="002060"/>
            </w:tcBorders>
            <w:vAlign w:val="center"/>
            <w:hideMark/>
          </w:tcPr>
          <w:p w14:paraId="25FB9C44" w14:textId="77777777" w:rsidR="00EB6BDB" w:rsidRDefault="00EB6BDB" w:rsidP="00EB6BDB">
            <w:pPr>
              <w:pStyle w:val="Tabela-tekst"/>
              <w:rPr>
                <w:rFonts w:asciiTheme="majorHAnsi" w:hAnsiTheme="majorHAnsi" w:cs="Arial"/>
                <w:i/>
                <w:color w:val="262626" w:themeColor="text1" w:themeTint="D9"/>
              </w:rPr>
            </w:pPr>
            <w:r>
              <w:t>Uwzględnienie zasady zwrotu kosztów w stosunku do administrowanych rzek i obiektów.</w:t>
            </w:r>
          </w:p>
        </w:tc>
        <w:tc>
          <w:tcPr>
            <w:tcW w:w="1189" w:type="pct"/>
            <w:tcBorders>
              <w:top w:val="single" w:sz="4" w:space="0" w:color="002060"/>
              <w:left w:val="single" w:sz="4" w:space="0" w:color="002060"/>
              <w:bottom w:val="single" w:sz="4" w:space="0" w:color="002060"/>
              <w:right w:val="single" w:sz="4" w:space="0" w:color="002060"/>
            </w:tcBorders>
            <w:vAlign w:val="center"/>
            <w:hideMark/>
          </w:tcPr>
          <w:p w14:paraId="40A6A289" w14:textId="77777777" w:rsidR="00EB6BDB" w:rsidRDefault="00EB6BDB" w:rsidP="00EB6BDB">
            <w:pPr>
              <w:pStyle w:val="Tabela-tekst"/>
              <w:rPr>
                <w:rFonts w:asciiTheme="majorHAnsi" w:hAnsiTheme="majorHAnsi" w:cs="Arial"/>
                <w:color w:val="262626" w:themeColor="text1" w:themeTint="D9"/>
              </w:rPr>
            </w:pPr>
            <w:r>
              <w:t>administrator cieku</w:t>
            </w:r>
          </w:p>
        </w:tc>
        <w:tc>
          <w:tcPr>
            <w:tcW w:w="1188" w:type="pct"/>
            <w:tcBorders>
              <w:top w:val="single" w:sz="4" w:space="0" w:color="002060"/>
              <w:left w:val="single" w:sz="4" w:space="0" w:color="002060"/>
              <w:bottom w:val="single" w:sz="4" w:space="0" w:color="002060"/>
              <w:right w:val="single" w:sz="4" w:space="0" w:color="002060"/>
            </w:tcBorders>
            <w:vAlign w:val="center"/>
          </w:tcPr>
          <w:p w14:paraId="59CEC997" w14:textId="01F0267D" w:rsidR="00EB6BDB" w:rsidRDefault="00EB6BDB" w:rsidP="00EB6BDB">
            <w:pPr>
              <w:pStyle w:val="Tabela-tekst"/>
              <w:jc w:val="center"/>
            </w:pPr>
            <w:r>
              <w:t>działanie ciągłe</w:t>
            </w:r>
          </w:p>
        </w:tc>
      </w:tr>
    </w:tbl>
    <w:p w14:paraId="12C30E35" w14:textId="04CEB090" w:rsidR="00DC1C40" w:rsidRPr="007A3811" w:rsidRDefault="00DC1C40" w:rsidP="00442AB7">
      <w:pPr>
        <w:pStyle w:val="rdo0"/>
      </w:pPr>
      <w:r w:rsidRPr="007A3811">
        <w:t xml:space="preserve">Źródło: </w:t>
      </w:r>
      <w:r w:rsidR="001E640A">
        <w:t xml:space="preserve">opracowanie </w:t>
      </w:r>
      <w:r w:rsidR="00231528">
        <w:t>własne</w:t>
      </w:r>
      <w:r w:rsidRPr="007A3811">
        <w:t xml:space="preserve"> na podstawie aPWŚK, 2016</w:t>
      </w:r>
    </w:p>
    <w:p w14:paraId="6004BE2D" w14:textId="77777777" w:rsidR="00DC1C40" w:rsidRDefault="00DC1C40" w:rsidP="00DC1C40">
      <w:pPr>
        <w:suppressAutoHyphens/>
      </w:pPr>
      <w:r>
        <w:t>Aby zrealizować wymienione wyżej działania, dokonano zmian legislacyjnych mających na celu wdrożenie zasady zwrotu kosztów usług wodnych w ramach następujących aktów prawnych:</w:t>
      </w:r>
    </w:p>
    <w:p w14:paraId="00933FAC" w14:textId="5741B0F1" w:rsidR="00DC1C40" w:rsidRPr="00676DFC" w:rsidRDefault="00DC1C40" w:rsidP="00F06393">
      <w:pPr>
        <w:pStyle w:val="Akapitzlist"/>
      </w:pPr>
      <w:r w:rsidRPr="00676DFC">
        <w:t>Ustawa z dnia 20 lipca 2017 r. Prawo wodne oraz przepisy wykonawcze do tej ustawy</w:t>
      </w:r>
      <w:r w:rsidR="00676DFC" w:rsidRPr="00676DFC">
        <w:t xml:space="preserve"> - </w:t>
      </w:r>
      <w:r w:rsidRPr="00676DFC">
        <w:t>rozporządzenie Rady Ministrów z dnia 22 grudnia 2017 r. w sprawie jednostkowych stawek opłat za usługi wodne, zmienione rozporządzeniem Rady Ministrów z dnia 19 grudnia 2019</w:t>
      </w:r>
      <w:r w:rsidR="001E640A">
        <w:t> </w:t>
      </w:r>
      <w:r w:rsidRPr="00676DFC">
        <w:t>r.</w:t>
      </w:r>
    </w:p>
    <w:p w14:paraId="2BFE6295" w14:textId="77777777" w:rsidR="00DC1C40" w:rsidRPr="00676DFC" w:rsidRDefault="00DC1C40" w:rsidP="00F06393">
      <w:pPr>
        <w:pStyle w:val="Akapitzlist"/>
      </w:pPr>
      <w:r w:rsidRPr="00676DFC">
        <w:t>Ustawa z dnia 7 czerwca 2001 r. o zbiorowym zaopatrzeniu w wodę̨ i zbiorowym odprowadzaniu ścieków oraz przepisy wykonawcze do tej ustawy.</w:t>
      </w:r>
    </w:p>
    <w:p w14:paraId="5918B157" w14:textId="77777777" w:rsidR="00DC1C40" w:rsidRPr="0000695D" w:rsidRDefault="00DC1C40" w:rsidP="00B50FFD">
      <w:pPr>
        <w:pStyle w:val="Nagwek3"/>
      </w:pPr>
      <w:bookmarkStart w:id="435" w:name="_Toc473375870"/>
      <w:bookmarkStart w:id="436" w:name="_Toc68726906"/>
      <w:r w:rsidRPr="0000695D">
        <w:t>Kompleksowe uregulowanie zasady zwrotu kosztów usług wodnych w ustawie Prawo wodne</w:t>
      </w:r>
      <w:bookmarkEnd w:id="435"/>
      <w:bookmarkEnd w:id="436"/>
    </w:p>
    <w:p w14:paraId="23583953" w14:textId="55200816" w:rsidR="00DC1C40" w:rsidRDefault="00DC1C40" w:rsidP="003C76C5">
      <w:r>
        <w:t>Przyjęta w lipcu 2017 r. ustawa pr.w. była kompleksową zmianą uregulowań prawnych w zakresie gospodarki wodnej. Także w zakresie przepisów dotyczących zwrotu kosztów usług wodnych zmiany i</w:t>
      </w:r>
      <w:r w:rsidR="00333A6E">
        <w:t> </w:t>
      </w:r>
      <w:r>
        <w:t xml:space="preserve">uregulowania miały znaczący charakter oraz zakres. Ukierunkowane one zostały na wdrożenie do polskiego porządku prawnego zasady zwrotu kosztów usług wodnych przy jednoczesnym zapewnieniu pełnej ochrony wód zarówno pod względem ilościowym, jak i jakościowym. </w:t>
      </w:r>
      <w:r w:rsidRPr="00B57381">
        <w:t xml:space="preserve">Do najważniejszych </w:t>
      </w:r>
      <w:r w:rsidRPr="00272115">
        <w:t xml:space="preserve">przepisów ustawy należy zaliczyć uregulowania </w:t>
      </w:r>
      <w:r w:rsidRPr="00097DE4">
        <w:t xml:space="preserve">w zakresie gospodarowania wodami </w:t>
      </w:r>
      <w:r w:rsidRPr="008B1D15">
        <w:t>w oparciu o</w:t>
      </w:r>
      <w:r w:rsidR="00333A6E">
        <w:t> </w:t>
      </w:r>
      <w:r w:rsidRPr="00B57381">
        <w:t>zasad</w:t>
      </w:r>
      <w:r w:rsidRPr="008B1D15">
        <w:t>ę</w:t>
      </w:r>
      <w:r w:rsidRPr="00272115">
        <w:t xml:space="preserve"> zwrotu kosztów usług wodnych z </w:t>
      </w:r>
      <w:r w:rsidRPr="00B57381">
        <w:t>uwzględni</w:t>
      </w:r>
      <w:r w:rsidRPr="00272115">
        <w:t>eniem kosztów środowiskow</w:t>
      </w:r>
      <w:r w:rsidRPr="00097DE4">
        <w:t>ych</w:t>
      </w:r>
      <w:r w:rsidRPr="004960C9">
        <w:t xml:space="preserve"> i kosztów</w:t>
      </w:r>
      <w:r w:rsidRPr="00B57381">
        <w:t xml:space="preserve"> zasobowych oraz analizę ekonomiczną (art. 9 ust. 3 </w:t>
      </w:r>
      <w:r w:rsidR="00FA4331">
        <w:t xml:space="preserve">ustawy </w:t>
      </w:r>
      <w:r w:rsidRPr="00B57381">
        <w:t>pr.w.).</w:t>
      </w:r>
      <w:r>
        <w:t xml:space="preserve"> Same opłaty za usługi wodne są jednym z</w:t>
      </w:r>
      <w:r w:rsidR="00333A6E">
        <w:t> </w:t>
      </w:r>
      <w:r>
        <w:t xml:space="preserve">pięciu wskazanych enumeratywnie w ustawie instrumentów zarządzania zasobami wodnymi (art. 11 pkt 3 </w:t>
      </w:r>
      <w:r w:rsidR="00746A34">
        <w:t xml:space="preserve">ustawy </w:t>
      </w:r>
      <w:r>
        <w:t xml:space="preserve">pr.w.) i jednym z dziewięciu instrumentów ekonomicznych służących gospodarowaniu wodami (art. 267 pkt 1 </w:t>
      </w:r>
      <w:r w:rsidR="00746A34">
        <w:t xml:space="preserve">ustawy </w:t>
      </w:r>
      <w:r>
        <w:t>pr.w.).</w:t>
      </w:r>
    </w:p>
    <w:p w14:paraId="0A9BF7BA" w14:textId="77777777" w:rsidR="00DC1C40" w:rsidRPr="0000695D" w:rsidRDefault="00DC1C40" w:rsidP="00AA0CAB">
      <w:pPr>
        <w:pStyle w:val="Nagwek5"/>
      </w:pPr>
      <w:bookmarkStart w:id="437" w:name="_Toc473375872"/>
      <w:r w:rsidRPr="0000695D">
        <w:t>Definicja i zakres usług wodnych</w:t>
      </w:r>
      <w:bookmarkEnd w:id="437"/>
      <w:r w:rsidRPr="0000695D">
        <w:t xml:space="preserve"> </w:t>
      </w:r>
    </w:p>
    <w:p w14:paraId="1C7B547E" w14:textId="77777777" w:rsidR="00DC1C40" w:rsidRDefault="00DC1C40" w:rsidP="003C76C5">
      <w:r>
        <w:t>Konstrukcja definicji usług wodnych zawarta w ustawie pr.w. została oparta na trzech sposobach korzystania z wód: powszechnym, zwykłym i szczególnym.</w:t>
      </w:r>
    </w:p>
    <w:p w14:paraId="426528E9" w14:textId="77777777" w:rsidR="00DC1C40" w:rsidRDefault="00DC1C40" w:rsidP="003C76C5">
      <w:r>
        <w:t>Powszechne korzystanie z wód służy zaspokojeniu potrzeb osobistych, gospodarstwa domowego lub rolnego, bez stosowania specjalnych urządzeń technicznych, a także do wypoczynku, uprawiania turystyki, sportów wodnych oraz, na zasadach określonych w przepisach odrębnych, amatorskiego połowu ryb. Zwykłe korzystanie z wód służy zaspokojeniu potrzeb własnego gospodarstwa domowego lub własnego gospodarstwa rolnego i obejmuje:</w:t>
      </w:r>
    </w:p>
    <w:p w14:paraId="3DDF42E5" w14:textId="77777777" w:rsidR="00DC1C40" w:rsidRDefault="00DC1C40" w:rsidP="00F06393">
      <w:pPr>
        <w:pStyle w:val="Akapitzlist"/>
        <w:rPr>
          <w:rFonts w:ascii="Times New Roman" w:hAnsi="Times New Roman"/>
          <w:sz w:val="20"/>
          <w:szCs w:val="20"/>
        </w:rPr>
      </w:pPr>
      <w:r>
        <w:t>pobór wód podziemnych lub wód powierzchniowych w ilości średniorocznie nieprzekraczającej 5 m</w:t>
      </w:r>
      <w:r>
        <w:rPr>
          <w:vertAlign w:val="superscript"/>
        </w:rPr>
        <w:t>3</w:t>
      </w:r>
      <w:r>
        <w:t xml:space="preserve"> na dobę;</w:t>
      </w:r>
    </w:p>
    <w:p w14:paraId="39161346" w14:textId="77777777" w:rsidR="00DC1C40" w:rsidRDefault="00DC1C40" w:rsidP="00F06393">
      <w:pPr>
        <w:pStyle w:val="Akapitzlist"/>
        <w:rPr>
          <w:rFonts w:ascii="Times New Roman" w:hAnsi="Times New Roman"/>
          <w:sz w:val="20"/>
          <w:szCs w:val="20"/>
        </w:rPr>
      </w:pPr>
      <w:r>
        <w:t>wprowadzanie ścieków do wód lub do ziemi w ilości nieprzekraczającej łącznie 5 m</w:t>
      </w:r>
      <w:r>
        <w:rPr>
          <w:vertAlign w:val="superscript"/>
        </w:rPr>
        <w:t>3</w:t>
      </w:r>
      <w:r>
        <w:t xml:space="preserve"> na dobę.</w:t>
      </w:r>
    </w:p>
    <w:p w14:paraId="1EEE343B" w14:textId="4CB4A31B" w:rsidR="00DC1C40" w:rsidRDefault="00DC1C40" w:rsidP="003C76C5">
      <w:pPr>
        <w:rPr>
          <w:rFonts w:eastAsia="MS Mincho"/>
        </w:rPr>
      </w:pPr>
      <w:r>
        <w:t>Szczególnym korzystaniem z wód jest korzystanie z wód wykraczające poza powszechne korzystanie z</w:t>
      </w:r>
      <w:r w:rsidR="00D45948">
        <w:t> </w:t>
      </w:r>
      <w:r>
        <w:t>wód oraz zwykłe korzystanie z wód, obejmujące:</w:t>
      </w:r>
    </w:p>
    <w:p w14:paraId="33568012" w14:textId="77777777" w:rsidR="00DC1C40" w:rsidRDefault="00DC1C40" w:rsidP="00F06393">
      <w:pPr>
        <w:pStyle w:val="Akapitzlist"/>
        <w:rPr>
          <w:rFonts w:ascii="Times New Roman" w:hAnsi="Times New Roman"/>
          <w:sz w:val="20"/>
          <w:szCs w:val="20"/>
        </w:rPr>
      </w:pPr>
      <w:r>
        <w:t>odwadnianie gruntów i upraw;</w:t>
      </w:r>
    </w:p>
    <w:p w14:paraId="187BF4B4" w14:textId="77777777" w:rsidR="00DC1C40" w:rsidRDefault="00DC1C40" w:rsidP="00F06393">
      <w:pPr>
        <w:pStyle w:val="Akapitzlist"/>
        <w:rPr>
          <w:rFonts w:ascii="Times New Roman" w:hAnsi="Times New Roman"/>
          <w:sz w:val="20"/>
          <w:szCs w:val="20"/>
        </w:rPr>
      </w:pPr>
      <w:r>
        <w:t>użytkowanie wody znajdującej się w stawach i rowach;</w:t>
      </w:r>
    </w:p>
    <w:p w14:paraId="66675FC6" w14:textId="77777777" w:rsidR="00DC1C40" w:rsidRDefault="00DC1C40" w:rsidP="00F06393">
      <w:pPr>
        <w:pStyle w:val="Akapitzlist"/>
        <w:rPr>
          <w:rFonts w:ascii="Times New Roman" w:hAnsi="Times New Roman"/>
          <w:sz w:val="20"/>
          <w:szCs w:val="20"/>
        </w:rPr>
      </w:pPr>
      <w:r>
        <w:t>wprowadzanie do urządzeń kanalizacyjnych będących własnością innych podmiotów ścieków przemysłowych zawierających substancje szczególnie szkodliwe dla środowiska wodnego;</w:t>
      </w:r>
    </w:p>
    <w:p w14:paraId="26D22C96" w14:textId="5690C6BA" w:rsidR="00DC1C40" w:rsidRDefault="00DC1C40" w:rsidP="00F06393">
      <w:pPr>
        <w:pStyle w:val="Akapitzlist"/>
        <w:rPr>
          <w:rFonts w:ascii="Times New Roman" w:hAnsi="Times New Roman"/>
          <w:sz w:val="20"/>
          <w:szCs w:val="20"/>
        </w:rPr>
      </w:pPr>
      <w:r>
        <w:t>wykonywanie na nieruchomości o powierzchni powyżej 3500 m</w:t>
      </w:r>
      <w:r>
        <w:rPr>
          <w:vertAlign w:val="superscript"/>
        </w:rPr>
        <w:t>2</w:t>
      </w:r>
      <w:r>
        <w:t xml:space="preserve"> robót lub obiektów budowlanych trwale związanych z gruntem, mających wpływ na zmniejszenie naturalnej retencji terenowej przez wyłączenie więcej niż 70% powierzchni nieruchomości z</w:t>
      </w:r>
      <w:r w:rsidR="00A91EB6">
        <w:t> </w:t>
      </w:r>
      <w:r>
        <w:t>powierzchni biologicznie czynnej na obszarach nieujętych w systemy kanalizacji otwartej lub zamkniętej;</w:t>
      </w:r>
    </w:p>
    <w:p w14:paraId="6805416B" w14:textId="77777777" w:rsidR="00DC1C40" w:rsidRDefault="00DC1C40" w:rsidP="00F06393">
      <w:pPr>
        <w:pStyle w:val="Akapitzlist"/>
        <w:rPr>
          <w:rFonts w:ascii="Times New Roman" w:hAnsi="Times New Roman"/>
          <w:sz w:val="20"/>
          <w:szCs w:val="20"/>
        </w:rPr>
      </w:pPr>
      <w:r>
        <w:t>rybackie korzystanie ze śródlądowych wód powierzchniowych;</w:t>
      </w:r>
    </w:p>
    <w:p w14:paraId="2CAB984A" w14:textId="77777777" w:rsidR="00DC1C40" w:rsidRDefault="00DC1C40" w:rsidP="00F06393">
      <w:pPr>
        <w:pStyle w:val="Akapitzlist"/>
        <w:rPr>
          <w:rFonts w:ascii="Times New Roman" w:hAnsi="Times New Roman"/>
          <w:sz w:val="20"/>
          <w:szCs w:val="20"/>
        </w:rPr>
      </w:pPr>
      <w:r>
        <w:t>wykorzystywanie wód do celów żeglugi oraz spławu;</w:t>
      </w:r>
    </w:p>
    <w:p w14:paraId="4DFE105F" w14:textId="77777777" w:rsidR="00DC1C40" w:rsidRDefault="00DC1C40" w:rsidP="00F06393">
      <w:pPr>
        <w:pStyle w:val="Akapitzlist"/>
        <w:rPr>
          <w:rFonts w:ascii="Times New Roman" w:hAnsi="Times New Roman"/>
          <w:sz w:val="20"/>
          <w:szCs w:val="20"/>
        </w:rPr>
      </w:pPr>
      <w:r>
        <w:t>przerzuty wód oraz sztuczne zasilanie wód podziemnych;</w:t>
      </w:r>
    </w:p>
    <w:p w14:paraId="26C6DCE9" w14:textId="1A3CA18A" w:rsidR="00DC1C40" w:rsidRDefault="00DC1C40" w:rsidP="00F06393">
      <w:pPr>
        <w:pStyle w:val="Akapitzlist"/>
        <w:rPr>
          <w:rFonts w:ascii="Times New Roman" w:hAnsi="Times New Roman"/>
          <w:sz w:val="20"/>
          <w:szCs w:val="20"/>
        </w:rPr>
      </w:pPr>
      <w:r>
        <w:t>wydobywanie z wód powierzchniowych, w tym z morskich wód wewnętrznych wraz z</w:t>
      </w:r>
      <w:r w:rsidR="00A91EB6">
        <w:t> </w:t>
      </w:r>
      <w:r>
        <w:t>wodami wewnętrznymi Zatoki Gdańskiej oraz wód morza terytorialnego, kamienia, żwiru, piasku oraz innych materiałów, a także wycinanie roślin z wód lub brzegu;</w:t>
      </w:r>
    </w:p>
    <w:p w14:paraId="3615ACAA" w14:textId="77777777" w:rsidR="00DC1C40" w:rsidRDefault="00DC1C40" w:rsidP="00F06393">
      <w:pPr>
        <w:pStyle w:val="Akapitzlist"/>
        <w:rPr>
          <w:rFonts w:ascii="Times New Roman" w:hAnsi="Times New Roman"/>
          <w:sz w:val="20"/>
          <w:szCs w:val="20"/>
        </w:rPr>
      </w:pPr>
      <w:r>
        <w:t>chów ryb w sadzach;</w:t>
      </w:r>
    </w:p>
    <w:p w14:paraId="788DBD50" w14:textId="77777777" w:rsidR="00DC1C40" w:rsidRDefault="00DC1C40" w:rsidP="00F06393">
      <w:pPr>
        <w:pStyle w:val="Akapitzlist"/>
        <w:rPr>
          <w:rFonts w:ascii="Times New Roman" w:hAnsi="Times New Roman"/>
          <w:sz w:val="20"/>
          <w:szCs w:val="20"/>
        </w:rPr>
      </w:pPr>
      <w:r>
        <w:t>zapewnienie wody dla funkcjonowania urządzeń umożliwiających migrację ryb;</w:t>
      </w:r>
    </w:p>
    <w:p w14:paraId="70A491CF" w14:textId="77777777" w:rsidR="00DC1C40" w:rsidRDefault="00DC1C40" w:rsidP="00F06393">
      <w:pPr>
        <w:pStyle w:val="Akapitzlist"/>
        <w:rPr>
          <w:rFonts w:ascii="Times New Roman" w:hAnsi="Times New Roman"/>
          <w:sz w:val="20"/>
          <w:szCs w:val="20"/>
        </w:rPr>
      </w:pPr>
      <w:r>
        <w:t>korzystanie z wód do nawadniania gruntów lub upraw, a także na potrzeby działalności rolniczej, w ilości większej niż średniorocznie 5 m</w:t>
      </w:r>
      <w:r>
        <w:rPr>
          <w:vertAlign w:val="superscript"/>
        </w:rPr>
        <w:t>3</w:t>
      </w:r>
      <w:r>
        <w:t xml:space="preserve"> na dobę;</w:t>
      </w:r>
    </w:p>
    <w:p w14:paraId="747A93D4" w14:textId="77777777" w:rsidR="00DC1C40" w:rsidRDefault="00DC1C40" w:rsidP="00F06393">
      <w:pPr>
        <w:pStyle w:val="Akapitzlist"/>
        <w:rPr>
          <w:rFonts w:ascii="Times New Roman" w:hAnsi="Times New Roman"/>
          <w:sz w:val="20"/>
          <w:szCs w:val="20"/>
        </w:rPr>
      </w:pPr>
      <w:r>
        <w:t>korzystanie z wód na potrzeby działalności gospodarczej innej niż działalność rolnicza;</w:t>
      </w:r>
    </w:p>
    <w:p w14:paraId="1D861FEF" w14:textId="77777777" w:rsidR="00DC1C40" w:rsidRDefault="00DC1C40" w:rsidP="00F06393">
      <w:pPr>
        <w:pStyle w:val="Akapitzlist"/>
        <w:rPr>
          <w:rFonts w:ascii="Times New Roman" w:hAnsi="Times New Roman"/>
          <w:sz w:val="20"/>
          <w:szCs w:val="20"/>
        </w:rPr>
      </w:pPr>
      <w:r>
        <w:t>rolnicze wykorzystanie ścieków, jeżeli ich łączna ilość jest większa niż 5 m</w:t>
      </w:r>
      <w:r>
        <w:rPr>
          <w:vertAlign w:val="superscript"/>
        </w:rPr>
        <w:t>3</w:t>
      </w:r>
      <w:r>
        <w:t xml:space="preserve"> na dobę;</w:t>
      </w:r>
    </w:p>
    <w:p w14:paraId="3D83C74D" w14:textId="77777777" w:rsidR="00DC1C40" w:rsidRDefault="00DC1C40" w:rsidP="00F06393">
      <w:pPr>
        <w:pStyle w:val="Akapitzlist"/>
        <w:rPr>
          <w:rFonts w:ascii="Times New Roman" w:hAnsi="Times New Roman"/>
          <w:sz w:val="20"/>
          <w:szCs w:val="20"/>
        </w:rPr>
      </w:pPr>
      <w:r>
        <w:t>chów lub hodowlę ryb oraz innych organizmów wodnych w sztucznych zbiornikach wodnych usytuowanych na wodach płynących, przeznaczonych na te cele.</w:t>
      </w:r>
    </w:p>
    <w:p w14:paraId="0381A6A6" w14:textId="77777777" w:rsidR="00DC1C40" w:rsidRDefault="00DC1C40" w:rsidP="003C76C5">
      <w:pPr>
        <w:rPr>
          <w:rFonts w:eastAsia="MS Mincho"/>
        </w:rPr>
      </w:pPr>
      <w:r>
        <w:t>Zgodnie z ustawą pr.w. usługi wodne obejmują:</w:t>
      </w:r>
    </w:p>
    <w:p w14:paraId="1FE2E155" w14:textId="77777777" w:rsidR="00DC1C40" w:rsidRDefault="00DC1C40" w:rsidP="00F06393">
      <w:pPr>
        <w:pStyle w:val="Akapitzlist"/>
        <w:rPr>
          <w:rFonts w:ascii="Times New Roman" w:hAnsi="Times New Roman"/>
          <w:sz w:val="20"/>
          <w:szCs w:val="20"/>
        </w:rPr>
      </w:pPr>
      <w:r>
        <w:t>pobór wód podziemnych lub wód powierzchniowych;</w:t>
      </w:r>
    </w:p>
    <w:p w14:paraId="5DEB481A" w14:textId="77777777" w:rsidR="00DC1C40" w:rsidRDefault="00DC1C40" w:rsidP="00F06393">
      <w:pPr>
        <w:pStyle w:val="Akapitzlist"/>
        <w:rPr>
          <w:rFonts w:ascii="Times New Roman" w:hAnsi="Times New Roman"/>
          <w:sz w:val="20"/>
          <w:szCs w:val="20"/>
        </w:rPr>
      </w:pPr>
      <w:r>
        <w:t>piętrzenie, magazynowanie lub retencjonowanie wód podziemnych i wód powierzchniowych oraz korzystanie z tych wód;</w:t>
      </w:r>
    </w:p>
    <w:p w14:paraId="2639FF90" w14:textId="77777777" w:rsidR="00DC1C40" w:rsidRDefault="00DC1C40" w:rsidP="00F06393">
      <w:pPr>
        <w:pStyle w:val="Akapitzlist"/>
        <w:rPr>
          <w:rFonts w:ascii="Times New Roman" w:hAnsi="Times New Roman"/>
          <w:sz w:val="20"/>
          <w:szCs w:val="20"/>
        </w:rPr>
      </w:pPr>
      <w:r>
        <w:t>uzdatnianie wód podziemnych i powierzchniowych oraz ich dystrybucję;</w:t>
      </w:r>
    </w:p>
    <w:p w14:paraId="1A0E034B" w14:textId="77777777" w:rsidR="00DC1C40" w:rsidRDefault="00DC1C40" w:rsidP="00F06393">
      <w:pPr>
        <w:pStyle w:val="Akapitzlist"/>
        <w:rPr>
          <w:rFonts w:ascii="Times New Roman" w:hAnsi="Times New Roman"/>
          <w:sz w:val="20"/>
          <w:szCs w:val="20"/>
        </w:rPr>
      </w:pPr>
      <w:r>
        <w:t>odbiór i oczyszczanie ścieków;</w:t>
      </w:r>
    </w:p>
    <w:p w14:paraId="26A10EC4" w14:textId="77777777" w:rsidR="00DC1C40" w:rsidRDefault="00DC1C40" w:rsidP="00F06393">
      <w:pPr>
        <w:pStyle w:val="Akapitzlist"/>
        <w:rPr>
          <w:rFonts w:ascii="Times New Roman" w:hAnsi="Times New Roman"/>
          <w:sz w:val="20"/>
          <w:szCs w:val="20"/>
        </w:rPr>
      </w:pPr>
      <w:r>
        <w:t>wprowadzanie ścieków do wód lub do ziemi, obejmujące także wprowadzanie ścieków do urządzeń wodnych;</w:t>
      </w:r>
    </w:p>
    <w:p w14:paraId="0BC049BA" w14:textId="77777777" w:rsidR="00DC1C40" w:rsidRDefault="00DC1C40" w:rsidP="00F06393">
      <w:pPr>
        <w:pStyle w:val="Akapitzlist"/>
        <w:rPr>
          <w:rFonts w:ascii="Times New Roman" w:hAnsi="Times New Roman"/>
          <w:sz w:val="20"/>
          <w:szCs w:val="20"/>
        </w:rPr>
      </w:pPr>
      <w:r>
        <w:t>korzystanie z wód do celów energetyki, w tym energetyki wodnej;</w:t>
      </w:r>
    </w:p>
    <w:p w14:paraId="6AD913D9" w14:textId="3A9B4FE4" w:rsidR="00DC1C40" w:rsidRDefault="00DC1C40" w:rsidP="00F06393">
      <w:pPr>
        <w:pStyle w:val="Akapitzlist"/>
        <w:rPr>
          <w:rFonts w:ascii="Times New Roman" w:hAnsi="Times New Roman"/>
          <w:sz w:val="20"/>
          <w:szCs w:val="20"/>
        </w:rPr>
      </w:pPr>
      <w:r>
        <w:t>odprowadzanie do wód lub do urządzeń wodnych wód opadowych lub roztopowych, ujętych w</w:t>
      </w:r>
      <w:r w:rsidR="00C4673D">
        <w:t> </w:t>
      </w:r>
      <w:r>
        <w:t>otwarte lub zamknięte systemy kanalizacji deszczowej służące do odprowadzania opadów atmosferycznych albo w systemy kanalizacji zbiorczej w granicach administracyjnych miast;</w:t>
      </w:r>
    </w:p>
    <w:p w14:paraId="24DB5D47" w14:textId="77777777" w:rsidR="00DC1C40" w:rsidRDefault="00DC1C40" w:rsidP="00F06393">
      <w:pPr>
        <w:pStyle w:val="Akapitzlist"/>
        <w:rPr>
          <w:rFonts w:ascii="Times New Roman" w:hAnsi="Times New Roman"/>
          <w:sz w:val="20"/>
          <w:szCs w:val="20"/>
        </w:rPr>
      </w:pPr>
      <w:r>
        <w:t>trwałe odwadnianie gruntów, obiektów lub wykopów budowlanych oraz zakładów górniczych, a także odprowadzanie do wód - wód pochodzących z odwodnienia gruntów w granicach administracyjnych miast;</w:t>
      </w:r>
    </w:p>
    <w:p w14:paraId="0E962092" w14:textId="77777777" w:rsidR="00DC1C40" w:rsidRDefault="00DC1C40" w:rsidP="00F06393">
      <w:pPr>
        <w:pStyle w:val="Akapitzlist"/>
        <w:rPr>
          <w:rFonts w:ascii="Times New Roman" w:hAnsi="Times New Roman"/>
          <w:sz w:val="20"/>
          <w:szCs w:val="20"/>
        </w:rPr>
      </w:pPr>
      <w:r>
        <w:t>odprowadzanie do wód lub do ziemi wód pobranych i niewykorzystanych.</w:t>
      </w:r>
    </w:p>
    <w:p w14:paraId="306C4839" w14:textId="77777777" w:rsidR="00DC1C40" w:rsidRPr="0000695D" w:rsidRDefault="00DC1C40" w:rsidP="00AA0CAB">
      <w:pPr>
        <w:pStyle w:val="Nagwek5"/>
      </w:pPr>
      <w:bookmarkStart w:id="438" w:name="_Toc473375873"/>
      <w:r w:rsidRPr="0000695D">
        <w:t>System opłat za usługi wodne</w:t>
      </w:r>
      <w:bookmarkEnd w:id="438"/>
    </w:p>
    <w:p w14:paraId="451B7B9D" w14:textId="2B02FA20" w:rsidR="00DC1C40" w:rsidRDefault="00DC1C40" w:rsidP="003C76C5">
      <w:r>
        <w:t xml:space="preserve">Nowe </w:t>
      </w:r>
      <w:r w:rsidR="00FA4331">
        <w:t>Prawo wodne</w:t>
      </w:r>
      <w:r>
        <w:t xml:space="preserve"> wprowadziło nowy system opłat za usługi wodne, które stanowią jeden z</w:t>
      </w:r>
      <w:r w:rsidR="00C4673D">
        <w:t> </w:t>
      </w:r>
      <w:r>
        <w:t>najważniejszych praktycznych instrumentów ukierunkowanych na wdrożenie postanowień art. 9 RDW, czyli zasady zwrotu kosztów usług wodnych. Przed 2018 r. opłaty za korzystanie z wód były w</w:t>
      </w:r>
      <w:r w:rsidR="00C4673D">
        <w:t> </w:t>
      </w:r>
      <w:r>
        <w:t>Polsce ustalane i</w:t>
      </w:r>
      <w:r w:rsidR="00D45948">
        <w:t> </w:t>
      </w:r>
      <w:r>
        <w:t>ponoszone na rzecz urzędów marszałkowskich. W wyniku wprowadzonych zmian opłaty za usługi wodne zostały wydzielone z szeroko rozumianych opłat środowiskowych i w całości znalazły się w</w:t>
      </w:r>
      <w:r w:rsidR="00D45948">
        <w:t> </w:t>
      </w:r>
      <w:r>
        <w:t>zakresie regulacji ustawy pr.w. oraz zaproponowanego przez tę ustawę systemu instytucjonalnego (w zasadniczej części znalazły się w kompetencjach PGW</w:t>
      </w:r>
      <w:r w:rsidR="001B1731">
        <w:t xml:space="preserve"> </w:t>
      </w:r>
      <w:r>
        <w:t>WP).</w:t>
      </w:r>
    </w:p>
    <w:p w14:paraId="4A6205C2" w14:textId="78506C75" w:rsidR="00DC1C40" w:rsidRDefault="00DC1C40" w:rsidP="003C76C5">
      <w:r>
        <w:t>Zgodnie z ustawą pr.w. opłaty za usługi wodne uiszcza się za następujący zakres form korzystania z</w:t>
      </w:r>
      <w:r w:rsidR="00D45948">
        <w:t> </w:t>
      </w:r>
      <w:r>
        <w:t>wód:</w:t>
      </w:r>
    </w:p>
    <w:p w14:paraId="2D83C782" w14:textId="77777777" w:rsidR="00DC1C40" w:rsidRDefault="00DC1C40" w:rsidP="00F06393">
      <w:pPr>
        <w:pStyle w:val="Akapitzlist"/>
        <w:rPr>
          <w:rFonts w:ascii="Times New Roman" w:hAnsi="Times New Roman"/>
          <w:sz w:val="20"/>
          <w:szCs w:val="20"/>
        </w:rPr>
      </w:pPr>
      <w:r>
        <w:t>pobór wód podziemnych lub wód powierzchniowych;</w:t>
      </w:r>
    </w:p>
    <w:p w14:paraId="33898C83" w14:textId="77777777" w:rsidR="00DC1C40" w:rsidRDefault="00DC1C40" w:rsidP="00F06393">
      <w:pPr>
        <w:pStyle w:val="Akapitzlist"/>
        <w:rPr>
          <w:rFonts w:ascii="Times New Roman" w:hAnsi="Times New Roman"/>
          <w:sz w:val="20"/>
          <w:szCs w:val="20"/>
        </w:rPr>
      </w:pPr>
      <w:r>
        <w:t>wprowadzanie ścieków do wód lub do ziemi;</w:t>
      </w:r>
    </w:p>
    <w:p w14:paraId="3EE03F9A" w14:textId="34E98AA7" w:rsidR="00DC1C40" w:rsidRDefault="00BD49F9" w:rsidP="00F06393">
      <w:pPr>
        <w:pStyle w:val="Akapitzlist"/>
        <w:rPr>
          <w:rFonts w:ascii="Times New Roman" w:hAnsi="Times New Roman"/>
          <w:sz w:val="20"/>
          <w:szCs w:val="20"/>
        </w:rPr>
      </w:pPr>
      <w:r>
        <w:rPr>
          <w:color w:val="000000"/>
        </w:rPr>
        <w:t xml:space="preserve">odprowadzenie do wód: wód opadowych lub roztopowych </w:t>
      </w:r>
      <w:r w:rsidR="00DC1C40">
        <w:t xml:space="preserve">ujętych w otwarte lub zamknięte systemy kanalizacji deszczowej </w:t>
      </w:r>
      <w:r w:rsidR="00DC1C40" w:rsidRPr="00265375">
        <w:t>służące do odprowadzania opadów atmosferycznych albo systemy kanalizacji zbiorczej w granicach administracyjnych miast</w:t>
      </w:r>
      <w:r w:rsidR="00DC1C40">
        <w:t>, a także wód pochodzących z</w:t>
      </w:r>
      <w:r w:rsidR="00D45948">
        <w:t> </w:t>
      </w:r>
      <w:r w:rsidR="00DC1C40">
        <w:t xml:space="preserve">odwodnienia gruntów </w:t>
      </w:r>
      <w:r w:rsidR="00DC1C40" w:rsidRPr="00265375">
        <w:t>w granicach administracyjnych miast</w:t>
      </w:r>
      <w:r w:rsidR="00DC1C40">
        <w:t>;</w:t>
      </w:r>
    </w:p>
    <w:p w14:paraId="3BF4D1C2" w14:textId="77777777" w:rsidR="00DC1C40" w:rsidRDefault="00DC1C40" w:rsidP="00F06393">
      <w:pPr>
        <w:pStyle w:val="Akapitzlist"/>
      </w:pPr>
      <w:r>
        <w:t>pobór wód podziemnych i wód powierzchniowych na potrzeby chowu i hodowli ryb oraz innych organizmów wodnych;</w:t>
      </w:r>
    </w:p>
    <w:p w14:paraId="3A1FDF03" w14:textId="77777777" w:rsidR="00DC1C40" w:rsidRDefault="00DC1C40" w:rsidP="00F06393">
      <w:pPr>
        <w:pStyle w:val="Akapitzlist"/>
      </w:pPr>
      <w:r>
        <w:t>wprowadzanie do wód lub do ziemi ścieków z chowu lub hodowli ryb oraz innych organizmów wodnych</w:t>
      </w:r>
    </w:p>
    <w:p w14:paraId="73BB4044" w14:textId="77777777" w:rsidR="00DC1C40" w:rsidRDefault="00DC1C40" w:rsidP="003C76C5">
      <w:pPr>
        <w:rPr>
          <w:rFonts w:eastAsia="MS Mincho"/>
        </w:rPr>
      </w:pPr>
      <w:r>
        <w:t xml:space="preserve">oraz </w:t>
      </w:r>
    </w:p>
    <w:p w14:paraId="719D6A29" w14:textId="1EF6F2AE" w:rsidR="00DC1C40" w:rsidRDefault="00DC1C40" w:rsidP="00F06393">
      <w:pPr>
        <w:pStyle w:val="Akapitzlist"/>
      </w:pPr>
      <w:r>
        <w:t>zmniejszenie naturalnej retencji terenowej na skutek wykonywania na nieruchomości o</w:t>
      </w:r>
      <w:r w:rsidR="00D45948">
        <w:t> </w:t>
      </w:r>
      <w:r>
        <w:t>powierzchni powyżej 3500 m</w:t>
      </w:r>
      <w:r>
        <w:rPr>
          <w:vertAlign w:val="superscript"/>
        </w:rPr>
        <w:t>2</w:t>
      </w:r>
      <w:r>
        <w:t xml:space="preserve"> robót lub obiektów budowlanych trwale związanych z</w:t>
      </w:r>
      <w:r w:rsidR="008031C1">
        <w:t> </w:t>
      </w:r>
      <w:r>
        <w:t>gruntem, mających wpływ na zmniejszenie tej retencji przez wyłączenie więcej niż 70% powierzchni nieruchomości z powierzchni biologicznie czynnej na obszarach nieujętych w</w:t>
      </w:r>
      <w:r w:rsidR="0099035D">
        <w:t> </w:t>
      </w:r>
      <w:r>
        <w:t>systemy kanalizacji otwartej lub zamkniętej;</w:t>
      </w:r>
    </w:p>
    <w:p w14:paraId="3EFE91AB" w14:textId="05C70EEE" w:rsidR="00DC1C40" w:rsidRDefault="00DC1C40" w:rsidP="00F06393">
      <w:pPr>
        <w:pStyle w:val="Akapitzlist"/>
      </w:pPr>
      <w:r>
        <w:t>wydobywanie z wód powierzchniowych, w tym z morskich wód wewnętrznych wraz z</w:t>
      </w:r>
      <w:r w:rsidR="0099035D">
        <w:t> </w:t>
      </w:r>
      <w:r>
        <w:t>wodami wewnętrznymi Zatoki Gdańskiej oraz wód morza terytorialnego, kamienia, żwiru, piasku oraz innych materiałów, a także wycinanie roślin z wód lub brzegu.</w:t>
      </w:r>
    </w:p>
    <w:p w14:paraId="472720D1" w14:textId="77777777" w:rsidR="00DC1C40" w:rsidRDefault="00DC1C40" w:rsidP="003C76C5">
      <w:pPr>
        <w:rPr>
          <w:rFonts w:eastAsia="MS Mincho"/>
        </w:rPr>
      </w:pPr>
      <w:r>
        <w:t>Opłaty za usługi wodne są ustalane w oparciu o część stałą i część zmienną. Podstawę ustalenia opłaty stałej stanowi pozwolenie wodnoprawne lub pozwolenie zintegrowane i jest ona naliczana za maksymalną ilość m</w:t>
      </w:r>
      <w:r>
        <w:rPr>
          <w:vertAlign w:val="superscript"/>
        </w:rPr>
        <w:t>3</w:t>
      </w:r>
      <w:r>
        <w:t>/s pobranej wody powierzchniowej lub podziemnej. Ideą stojącą za wprowadzeniem opłaty stałej była racjonalizacja zarządzania zasobami wodnymi (opłata stymulująca do podawania maksymalnych wartości zapotrzebowania na usługi wodne jak najbardziej zbliżonych do faktycznego zapotrzebowania, a nie deklarowanie wartości często znacznie wykraczających poza faktyczne zapotrzebowanie na usługi wodne). Wysokość opłaty zmiennej z kolei zależy od faktycznego zakresu korzystania z wód.</w:t>
      </w:r>
    </w:p>
    <w:p w14:paraId="4322C7A5" w14:textId="364DE7D1" w:rsidR="00DC1C40" w:rsidRDefault="00DC1C40" w:rsidP="003C76C5">
      <w:r>
        <w:t>Szczegóły aktualnie obowiązującego systemu opłat za usługi wodne na podstawie delegacji zawartej w</w:t>
      </w:r>
      <w:r w:rsidR="00D45948">
        <w:t> </w:t>
      </w:r>
      <w:r>
        <w:t xml:space="preserve">art. 277 </w:t>
      </w:r>
      <w:r w:rsidR="00FA4331">
        <w:t xml:space="preserve">ustawy </w:t>
      </w:r>
      <w:r>
        <w:t>pr.w. zostały określone w rozporządzaniach Rady Ministrów wydanych jako akty wykonawcze do ustawy pr.w. Rozporządzenia określiły wysokość jednostkowych stawek opłat za usługi wodne zarówno w formie opłaty stałej, jak i opłaty zmiennej.</w:t>
      </w:r>
    </w:p>
    <w:p w14:paraId="2851D6FD" w14:textId="77777777" w:rsidR="00DC1C40" w:rsidRDefault="00DC1C40" w:rsidP="003C76C5">
      <w:r>
        <w:t>Ustawa pr.w. określa obszary wyłączeń z obowiązującego systemu opłat, w tym m.in.:</w:t>
      </w:r>
    </w:p>
    <w:p w14:paraId="66B17DC7" w14:textId="77777777" w:rsidR="00DC1C40" w:rsidRDefault="00DC1C40" w:rsidP="00F06393">
      <w:pPr>
        <w:pStyle w:val="Akapitzlist"/>
      </w:pPr>
      <w:r>
        <w:t>korzystanie z wód w okresach zdarzeń i zjawisk o nieprzewidywalnym i gwałtownym charakterze oraz zagrażającym innym szczególnie chronionym wartościom i dobrom;</w:t>
      </w:r>
    </w:p>
    <w:p w14:paraId="42331B47" w14:textId="77777777" w:rsidR="00DC1C40" w:rsidRDefault="00DC1C40" w:rsidP="00F06393">
      <w:pPr>
        <w:pStyle w:val="Akapitzlist"/>
      </w:pPr>
      <w:r>
        <w:t xml:space="preserve">zakłady górnicze i </w:t>
      </w:r>
      <w:r w:rsidRPr="00BC66FE">
        <w:t>w przypadku poboru wód</w:t>
      </w:r>
      <w:r w:rsidRPr="00BC66FE" w:rsidDel="00BC66FE">
        <w:t xml:space="preserve"> </w:t>
      </w:r>
      <w:r>
        <w:t>w ramach prowadzonych przez nie odwodnień;</w:t>
      </w:r>
    </w:p>
    <w:p w14:paraId="3DAA406B" w14:textId="77777777" w:rsidR="00DC1C40" w:rsidRDefault="00DC1C40" w:rsidP="00F06393">
      <w:pPr>
        <w:pStyle w:val="Akapitzlist"/>
      </w:pPr>
      <w:r>
        <w:t>szczególny charakter poboru wód z morskich wód wewnętrznych;</w:t>
      </w:r>
    </w:p>
    <w:p w14:paraId="4776299A" w14:textId="5C400162" w:rsidR="00DC1C40" w:rsidRDefault="00DC1C40" w:rsidP="00F06393">
      <w:pPr>
        <w:pStyle w:val="Akapitzlist"/>
      </w:pPr>
      <w:r>
        <w:t>zmniejszenie naturalnej retencji terenowej w przypadku dróg publicznych i dróg kolejowych, z</w:t>
      </w:r>
      <w:r w:rsidR="00D45948">
        <w:t> </w:t>
      </w:r>
      <w:r>
        <w:t>których wody opadowe lub roztopowe są odprowadzane do wód lub do ziemi za pomocą urządzeń wodnych umożliwiających retencję lub infiltrację tych wód, a</w:t>
      </w:r>
      <w:r w:rsidR="008031C1">
        <w:t> </w:t>
      </w:r>
      <w:r>
        <w:t>także w przypadku kościołów i innych związków wyznaniowych</w:t>
      </w:r>
      <w:r w:rsidR="00BD49F9">
        <w:t xml:space="preserve"> (niższe stawki opłat obowiązują w przypadku istnienia urządzeń do retencjonowania wody z terenów uszczelnionych)</w:t>
      </w:r>
      <w:r>
        <w:t>;</w:t>
      </w:r>
    </w:p>
    <w:p w14:paraId="1B26E5E5" w14:textId="4BD05981" w:rsidR="00DC1C40" w:rsidRDefault="00DC1C40" w:rsidP="00F06393">
      <w:pPr>
        <w:pStyle w:val="Akapitzlist"/>
      </w:pPr>
      <w:r>
        <w:t>wydobywanie kamienia, żwiru, piasku oraz innych materiałów, a także wycinanie roślin z</w:t>
      </w:r>
      <w:r w:rsidR="008031C1">
        <w:t> </w:t>
      </w:r>
      <w:r>
        <w:t>wód lub brzegu przez urzędy morskie;</w:t>
      </w:r>
    </w:p>
    <w:p w14:paraId="3E4E39B7" w14:textId="77777777" w:rsidR="00DC1C40" w:rsidRDefault="00DC1C40" w:rsidP="00F06393">
      <w:pPr>
        <w:pStyle w:val="Akapitzlist"/>
      </w:pPr>
      <w:r>
        <w:t>wprowadzanie do ziemi ścieków w celu rolniczego wykorzystania;</w:t>
      </w:r>
    </w:p>
    <w:p w14:paraId="5A08EBCF" w14:textId="77777777" w:rsidR="00DC1C40" w:rsidRDefault="00DC1C40" w:rsidP="00F06393">
      <w:pPr>
        <w:pStyle w:val="Akapitzlist"/>
      </w:pPr>
      <w:r>
        <w:t>wprowadzanie wód pochodzących z elektrowni, a także wykorzystywanych na potrzeby chowu i hodowli ryb z uwzględnieniem ograniczeń ściśle określonych w ustawie pr.w.;</w:t>
      </w:r>
    </w:p>
    <w:p w14:paraId="234B453C" w14:textId="77777777" w:rsidR="00DC1C40" w:rsidRDefault="00DC1C40" w:rsidP="00F06393">
      <w:pPr>
        <w:pStyle w:val="Akapitzlist"/>
      </w:pPr>
      <w:r>
        <w:t>zwolnienia wynikające z praktycznych aspektów związanych z poborem opłat o małej wartości.</w:t>
      </w:r>
    </w:p>
    <w:p w14:paraId="19ABCAE4" w14:textId="77777777" w:rsidR="00DC1C40" w:rsidRPr="0000695D" w:rsidRDefault="00DC1C40" w:rsidP="00B50FFD">
      <w:pPr>
        <w:pStyle w:val="Nagwek3"/>
      </w:pPr>
      <w:bookmarkStart w:id="439" w:name="_Toc473375874"/>
      <w:bookmarkStart w:id="440" w:name="_Toc68726907"/>
      <w:r w:rsidRPr="0000695D">
        <w:t>System regulacji i zatwierdzania taryf za usługi wodno-kanalizacyjne</w:t>
      </w:r>
      <w:bookmarkEnd w:id="439"/>
      <w:bookmarkEnd w:id="440"/>
    </w:p>
    <w:p w14:paraId="6E935A3A" w14:textId="472426A5" w:rsidR="00DC1C40" w:rsidRDefault="00DC1C40" w:rsidP="003C76C5">
      <w:r>
        <w:t>Przed 2018 r. kompetencje w zakresie ustalenia cen za usługi dotyczące zbiorowego zaopatrzenia w</w:t>
      </w:r>
      <w:r w:rsidR="00D45948">
        <w:t> </w:t>
      </w:r>
      <w:r>
        <w:t xml:space="preserve">wodę i zbiorowego odprowadzania ścieków pozostawały w gestii poszczególnych jednostek </w:t>
      </w:r>
      <w:r w:rsidRPr="001322C6">
        <w:t>samorz</w:t>
      </w:r>
      <w:r w:rsidRPr="00C92459">
        <w:t xml:space="preserve">ądu </w:t>
      </w:r>
      <w:r>
        <w:t xml:space="preserve">terytorialnego. Kompleksowa zmiana uregulowań w tym obszarze, wynikająca ze </w:t>
      </w:r>
      <w:r w:rsidRPr="001322C6">
        <w:t>znowelizow</w:t>
      </w:r>
      <w:r w:rsidRPr="00C92459">
        <w:t xml:space="preserve">anych </w:t>
      </w:r>
      <w:r>
        <w:t xml:space="preserve">przepisów ustawy z.z.w.o.ś, dotyczyła wprowadzenia przepisów ukierunkowanych na </w:t>
      </w:r>
      <w:r w:rsidRPr="001322C6">
        <w:t>standar</w:t>
      </w:r>
      <w:r w:rsidRPr="00C92459">
        <w:t xml:space="preserve">yzację </w:t>
      </w:r>
      <w:r>
        <w:t>usług w sektorze zbiorowego zaopatrzenia w wodę i zbiorowego odprowadzania ścieków, w szczególności dotyczących wprowadzenia efektywnego nadzoru nad ustanawianiem cen i</w:t>
      </w:r>
      <w:r w:rsidR="00D45948">
        <w:t> </w:t>
      </w:r>
      <w:r>
        <w:t>opłat za świadczenie usług oraz jednolitych ram prawnych prowadzenia działalności w tym zakresie. W</w:t>
      </w:r>
      <w:r w:rsidR="00D45948">
        <w:t> </w:t>
      </w:r>
      <w:r>
        <w:t xml:space="preserve">tym </w:t>
      </w:r>
      <w:r w:rsidRPr="001322C6">
        <w:t>świ</w:t>
      </w:r>
      <w:r w:rsidRPr="00C92459">
        <w:t xml:space="preserve">etle </w:t>
      </w:r>
      <w:r>
        <w:t>do najważniejszych wprowadzonych zmian należy zaliczyć:</w:t>
      </w:r>
    </w:p>
    <w:p w14:paraId="25F95543" w14:textId="77777777" w:rsidR="00DC1C40" w:rsidRDefault="00DC1C40" w:rsidP="00F06393">
      <w:pPr>
        <w:pStyle w:val="Akapitzlist"/>
      </w:pPr>
      <w:r>
        <w:t>wprowadzenie organu regulacyjnego;</w:t>
      </w:r>
    </w:p>
    <w:p w14:paraId="6948BE49" w14:textId="77777777" w:rsidR="00DC1C40" w:rsidRDefault="00DC1C40" w:rsidP="00F06393">
      <w:pPr>
        <w:pStyle w:val="Akapitzlist"/>
      </w:pPr>
      <w:r>
        <w:t>modyfikacje w systemie ustalania i zatwierdzania taryf;</w:t>
      </w:r>
    </w:p>
    <w:p w14:paraId="26B8D348" w14:textId="77777777" w:rsidR="00DC1C40" w:rsidRDefault="00DC1C40" w:rsidP="00F06393">
      <w:pPr>
        <w:pStyle w:val="Akapitzlist"/>
      </w:pPr>
      <w:r>
        <w:t xml:space="preserve">wprowadzenie uregulowań w obszarze rozstrzygania sporów pomiędzy przedsiębiorstwami wodociągowo-kanalizacyjnymi a odbiorcami usług. </w:t>
      </w:r>
    </w:p>
    <w:p w14:paraId="1B8E460D" w14:textId="77777777" w:rsidR="00DC1C40" w:rsidRDefault="00DC1C40" w:rsidP="003C76C5">
      <w:pPr>
        <w:rPr>
          <w:rFonts w:eastAsia="MS Mincho"/>
        </w:rPr>
      </w:pPr>
      <w:r>
        <w:t>Dwa pierwsze wymienione powyżej obszary stanowią praktyczne ramy instytucjonalne dla realizacji działań związanych z wdrażaniem przez przedsiębiorstwa wodno-kanalizacyjne zasady zwrotu kosztów usług wodnych.</w:t>
      </w:r>
    </w:p>
    <w:p w14:paraId="3C2232D8" w14:textId="77777777" w:rsidR="00DC1C40" w:rsidRPr="0000695D" w:rsidRDefault="00DC1C40" w:rsidP="00AA0CAB">
      <w:pPr>
        <w:pStyle w:val="Nagwek5"/>
      </w:pPr>
      <w:bookmarkStart w:id="441" w:name="_Toc473375875"/>
      <w:r w:rsidRPr="0000695D">
        <w:t>Wprowadzenie organu regulacyjnego</w:t>
      </w:r>
      <w:bookmarkEnd w:id="441"/>
    </w:p>
    <w:p w14:paraId="0705654F" w14:textId="77777777" w:rsidR="00DC1C40" w:rsidRDefault="00DC1C40" w:rsidP="003C76C5">
      <w:r>
        <w:t>W przyjętym modelu funkcjonowania rynku dostarczania wody i odbioru ścieków zdecydowano się na wprowadzenie organu regulacyjnego, któremu powierzono w szczególności następujące zadania:</w:t>
      </w:r>
    </w:p>
    <w:p w14:paraId="750C3D32" w14:textId="77777777" w:rsidR="00DC1C40" w:rsidRDefault="00DC1C40" w:rsidP="00F06393">
      <w:pPr>
        <w:pStyle w:val="Akapitzlist"/>
      </w:pPr>
      <w:r>
        <w:t>opiniowanie regulaminów dostarczania wody i odprowadzania ścieków w celu zapewnienia ich zgodności z przepisami o zbiorowym zaopatrzeniu w wodę i zbiorowym odprowadzaniu ścieków;</w:t>
      </w:r>
    </w:p>
    <w:p w14:paraId="71949B86" w14:textId="77777777" w:rsidR="00DC1C40" w:rsidRDefault="00DC1C40" w:rsidP="00F06393">
      <w:pPr>
        <w:pStyle w:val="Akapitzlist"/>
      </w:pPr>
      <w:r>
        <w:t xml:space="preserve">zatwierdzanie taryf; </w:t>
      </w:r>
    </w:p>
    <w:p w14:paraId="6D1F6754" w14:textId="10226357" w:rsidR="00DC1C40" w:rsidRDefault="00DC1C40" w:rsidP="00F06393">
      <w:pPr>
        <w:pStyle w:val="Akapitzlist"/>
      </w:pPr>
      <w:r>
        <w:t>rozstrzyganie sporów pomiędzy przedsiębiorstwami wodociągowo-kanalizacyjnymi a</w:t>
      </w:r>
      <w:r w:rsidR="00D45948">
        <w:t> </w:t>
      </w:r>
      <w:r>
        <w:t xml:space="preserve">odbiorcami tych usług. </w:t>
      </w:r>
    </w:p>
    <w:p w14:paraId="68CBE0E6" w14:textId="70ACA017" w:rsidR="00DC1C40" w:rsidRDefault="00DC1C40" w:rsidP="003C76C5">
      <w:pPr>
        <w:rPr>
          <w:rFonts w:eastAsia="MS Mincho"/>
          <w:bCs/>
        </w:rPr>
      </w:pPr>
      <w:r>
        <w:t>Funkcja organu regulacyjnego została powierzona właściwemu miejscowo dyrektorowi RZGW</w:t>
      </w:r>
      <w:r w:rsidR="00F53455">
        <w:t xml:space="preserve"> WP</w:t>
      </w:r>
      <w:r>
        <w:t>, w</w:t>
      </w:r>
      <w:r w:rsidR="003C7C9F">
        <w:t> </w:t>
      </w:r>
      <w:r>
        <w:t>którego kompetencjach znajdują się ponadto</w:t>
      </w:r>
      <w:r>
        <w:rPr>
          <w:bCs/>
        </w:rPr>
        <w:t>:</w:t>
      </w:r>
    </w:p>
    <w:p w14:paraId="707FBA3C" w14:textId="346FEFA8" w:rsidR="00DC1C40" w:rsidRDefault="00DC1C40" w:rsidP="00F06393">
      <w:pPr>
        <w:pStyle w:val="Akapitzlist"/>
      </w:pPr>
      <w:r>
        <w:t>zbieranie i przetwarzanie informacji dotyczących przedsiębiorstw wodociągowo-kanalizacyjnych, w szczególności obliczanie średnich cen dostaw wody i odbioru ścieków i</w:t>
      </w:r>
      <w:r w:rsidR="004F483D">
        <w:t> </w:t>
      </w:r>
      <w:r>
        <w:t>publikowanie informacji o tych cenach;</w:t>
      </w:r>
    </w:p>
    <w:p w14:paraId="6F18721A" w14:textId="3A0A9649" w:rsidR="00DC1C40" w:rsidRDefault="00DC1C40" w:rsidP="00F06393">
      <w:pPr>
        <w:pStyle w:val="Akapitzlist"/>
      </w:pPr>
      <w:r>
        <w:t>sporządzanie i publikowanie raportów dotyczących warunków wykonywania działalności w</w:t>
      </w:r>
      <w:r w:rsidR="004F483D">
        <w:t> </w:t>
      </w:r>
      <w:r>
        <w:t>zakresie zbiorowego zaopatrzenia w wodę i zbiorowego odprowadzania ścieków;</w:t>
      </w:r>
    </w:p>
    <w:p w14:paraId="17DE3547" w14:textId="77777777" w:rsidR="00DC1C40" w:rsidRDefault="00DC1C40" w:rsidP="00F06393">
      <w:pPr>
        <w:pStyle w:val="Akapitzlist"/>
      </w:pPr>
      <w:r>
        <w:t>wymierzanie kar pieniężnych związanych ze stosowaniem taryf.</w:t>
      </w:r>
    </w:p>
    <w:p w14:paraId="42AE9293" w14:textId="77777777" w:rsidR="00DC1C40" w:rsidRPr="0000695D" w:rsidRDefault="00DC1C40" w:rsidP="00AA0CAB">
      <w:pPr>
        <w:pStyle w:val="Nagwek5"/>
      </w:pPr>
      <w:bookmarkStart w:id="442" w:name="_Toc473375876"/>
      <w:r w:rsidRPr="0000695D">
        <w:t>System ustalania i zatwierdzania taryf</w:t>
      </w:r>
      <w:bookmarkEnd w:id="442"/>
    </w:p>
    <w:p w14:paraId="3E39EA91" w14:textId="77777777" w:rsidR="00DC1C40" w:rsidRDefault="00DC1C40" w:rsidP="003C76C5">
      <w:r>
        <w:t>Najważniejsze zmiany wprowadzone w zasadach ustalania taryf przez przedsiębiorstwa dotyczyły:</w:t>
      </w:r>
    </w:p>
    <w:p w14:paraId="4EE89C5C" w14:textId="57026015" w:rsidR="00DC1C40" w:rsidRDefault="00DC1C40" w:rsidP="00F06393">
      <w:pPr>
        <w:pStyle w:val="Akapitzlist"/>
      </w:pPr>
      <w:r>
        <w:t>wydłużenia okresu obowiązywania taryf z jednego roku do trzech lat, co miało na celu zapewnienie możliwości bilansowania dostępnych zasobów wodnych w okresie dłuższym niż 1 rok (przede wszystkim w odpowiedzi na takie zjawiska jak susza), zagwarantowanie przewidywalnego poziomu cen odbiorcom usług wodnych w dłuższym horyzoncie czasowym, a</w:t>
      </w:r>
      <w:r w:rsidR="003C7C9F">
        <w:t> </w:t>
      </w:r>
      <w:r>
        <w:t>także zmniejszenie obciążeń administracyjnych zarówno po stronie przedsiębiorstw, jak i</w:t>
      </w:r>
      <w:r w:rsidR="00A04986">
        <w:t> </w:t>
      </w:r>
      <w:r>
        <w:t>organu regulacyjnego;</w:t>
      </w:r>
    </w:p>
    <w:p w14:paraId="4CC34D89" w14:textId="77777777" w:rsidR="00DC1C40" w:rsidRDefault="00DC1C40" w:rsidP="00F06393">
      <w:pPr>
        <w:pStyle w:val="Akapitzlist"/>
      </w:pPr>
      <w:r>
        <w:t>jasnego i precyzyjnego powiązania niezbędnych przychodów do świadczenia usług (stanowiących podstawę do ustalenia taryfy) z ponoszonymi przez to przedsiębiorstwo kosztami (stałymi, zmiennymi i inwestycyjnymi) związanymi bezpośrednio ze świadczeniem usług wodociągowo-kanalizacyjnych, co oznacza obowiązek zapewnienia realizacji zasady zwrotu kosztów usług wodno-kanalizacyjnych;</w:t>
      </w:r>
    </w:p>
    <w:p w14:paraId="7B8271FC" w14:textId="77777777" w:rsidR="00DC1C40" w:rsidRDefault="00DC1C40" w:rsidP="00F06393">
      <w:pPr>
        <w:pStyle w:val="Akapitzlist"/>
      </w:pPr>
      <w:r w:rsidRPr="00A23B73">
        <w:t>wzmocnienia nadzoru nad alokacją kosztów pomiędzy taryfowymi grupami odbiorców usług na podstawie udokumentowanych różnic kosztów zbiorowego zaopatrzenia w wodę i zbiorowego odprowadzania ścieków, co zapewnia wdrożenie zasady "zanieczyszczający płaci" również na poziomie poszczególnych grup odbiorców.</w:t>
      </w:r>
    </w:p>
    <w:p w14:paraId="565BBBFE" w14:textId="77777777" w:rsidR="00DC1C40" w:rsidRDefault="00DC1C40" w:rsidP="00DC1C40">
      <w:pPr>
        <w:suppressAutoHyphens/>
        <w:ind w:right="113"/>
      </w:pPr>
      <w:r>
        <w:t xml:space="preserve">Organ regulacyjny ocenia i weryfikuje projekt taryfy za zbiorowe zaopatrzenie w wodę i zbiorowe odprowadzanie ścieków m.in. pod względem zgodności z przepisami </w:t>
      </w:r>
      <w:r>
        <w:rPr>
          <w:rFonts w:cs="Lucida Grande"/>
        </w:rPr>
        <w:t xml:space="preserve">ustawy pr.w., a zatem również </w:t>
      </w:r>
      <w:r>
        <w:t>pod kątem spełnienia zasady zwrotu kosztów usług wodnych. Na podstawie przedstawionych informacji i wniosków podejmuje w drodze decyzji jedno z dwóch możliwych rozstrzygnięć:</w:t>
      </w:r>
    </w:p>
    <w:p w14:paraId="1847EB66" w14:textId="77777777" w:rsidR="00DC1C40" w:rsidRDefault="00DC1C40" w:rsidP="00F06393">
      <w:pPr>
        <w:pStyle w:val="Akapitzlist"/>
      </w:pPr>
      <w:r>
        <w:t>zatwierdza taryfę zaproponowaną przez przedsiębiorstwo wodociągowo-kanalizacyjne;</w:t>
      </w:r>
    </w:p>
    <w:p w14:paraId="1A1E5FA7" w14:textId="77777777" w:rsidR="00DC1C40" w:rsidRDefault="00DC1C40" w:rsidP="00F06393">
      <w:pPr>
        <w:pStyle w:val="Akapitzlist"/>
      </w:pPr>
      <w:r>
        <w:t>odmawia jej zatwierdzenia, jednocześnie wzywając przedsiębiorstwo do przedłożenia poprawionego wniosku (projektu taryfy lub uzasadnienia);</w:t>
      </w:r>
    </w:p>
    <w:p w14:paraId="1A485AF8" w14:textId="77A6E10F" w:rsidR="00DC1C40" w:rsidRDefault="00DC1C40" w:rsidP="00DC1C40">
      <w:pPr>
        <w:suppressAutoHyphens/>
      </w:pPr>
      <w:r>
        <w:t>Dodatkowo, w przypadku nieprzedłożenia w wymaganym terminie poprawionego wniosku wyznacza taryfę tymczasową na podstawie własnej oceny warunków ekonomicznych, w jakich działa dane przedsiębiorstwo, oraz z uwzględnieniem niezbędnego poziomu pokrycia kosztów funkcjonowania i</w:t>
      </w:r>
      <w:r w:rsidR="004F483D">
        <w:t> </w:t>
      </w:r>
      <w:r>
        <w:t>świadczenia usług.</w:t>
      </w:r>
    </w:p>
    <w:p w14:paraId="64D692A4" w14:textId="2DBF101E" w:rsidR="00DC1C40" w:rsidRDefault="00DC1C40" w:rsidP="00DC1C40">
      <w:pPr>
        <w:suppressAutoHyphens/>
        <w:rPr>
          <w:rFonts w:eastAsia="MS Mincho"/>
          <w:lang w:eastAsia="pl-PL"/>
        </w:rPr>
      </w:pPr>
      <w:r>
        <w:t>Podsumowując, wprowadzone zmiany w pozytywny sposób przyczyniły się do wsparcia wdrażania zasady zwrotu kosztów usług wodnych, przenosząc kompetencje nadzorcze nad ustalaniem taryf z</w:t>
      </w:r>
      <w:r w:rsidR="003C7C9F">
        <w:t> </w:t>
      </w:r>
      <w:r>
        <w:t xml:space="preserve">poziomu jednostek samorządu terytorialnego na poziom organu regulacyjnego, jakim jest </w:t>
      </w:r>
      <w:r w:rsidR="00F906F3">
        <w:t>dyrektor RZGW WP</w:t>
      </w:r>
      <w:r>
        <w:t>. Dzięki temu zapewniono odpowiedni mechanizm weryfikacyjno-kontrolny pod kątem przestrzegania i</w:t>
      </w:r>
      <w:r w:rsidR="004F483D">
        <w:t> </w:t>
      </w:r>
      <w:r>
        <w:t>praktycznego wdrażania zasady zwrotu kosztów usług wodnych.</w:t>
      </w:r>
    </w:p>
    <w:p w14:paraId="16C48069" w14:textId="77777777" w:rsidR="00DC1C40" w:rsidRPr="00055B77" w:rsidRDefault="00DC1C40" w:rsidP="00AA0CAB">
      <w:pPr>
        <w:pStyle w:val="Nagwek5"/>
      </w:pPr>
      <w:bookmarkStart w:id="443" w:name="_Toc473375877"/>
      <w:r w:rsidRPr="00055B77">
        <w:t>Praktyczne aspekty funkcjonowania nowego systemu</w:t>
      </w:r>
      <w:bookmarkEnd w:id="443"/>
    </w:p>
    <w:p w14:paraId="17F4B1D6" w14:textId="43FCDBA9" w:rsidR="000338C0" w:rsidRDefault="00DC1C40" w:rsidP="004F483D">
      <w:pPr>
        <w:suppressAutoHyphens/>
      </w:pPr>
      <w:r>
        <w:t xml:space="preserve">W 2018 r. w oparciu o nowe przepisy organ regulacyjny zweryfikował w skali kraju </w:t>
      </w:r>
      <w:r w:rsidRPr="0066577C">
        <w:t>2794</w:t>
      </w:r>
      <w:r>
        <w:t xml:space="preserve"> wnioski taryfowe, w tym 211 został</w:t>
      </w:r>
      <w:r w:rsidR="00E4408B">
        <w:t>o</w:t>
      </w:r>
      <w:r>
        <w:t xml:space="preserve"> zweryfikowan</w:t>
      </w:r>
      <w:r w:rsidR="00E4408B">
        <w:t>ych</w:t>
      </w:r>
      <w:r>
        <w:t xml:space="preserve"> przez RZGW </w:t>
      </w:r>
      <w:r w:rsidR="00F53455">
        <w:t xml:space="preserve">WP </w:t>
      </w:r>
      <w:r w:rsidR="00E276D6">
        <w:t>w Białymstoku</w:t>
      </w:r>
      <w:r w:rsidR="003E6CE2">
        <w:t xml:space="preserve">. </w:t>
      </w:r>
      <w:r w:rsidR="00AE5101">
        <w:t>Poniższe tabele (tabela 13-2 do 13-4) przedstawiają liczbę złożonych wniosków taryfowych w podziale na typy przedsiębiorstw występujących z wnioskiem.</w:t>
      </w:r>
    </w:p>
    <w:p w14:paraId="2316F1C4" w14:textId="2D557564" w:rsidR="00DC1C40" w:rsidRDefault="00DC1C40" w:rsidP="006802BB">
      <w:pPr>
        <w:pStyle w:val="Tabela"/>
      </w:pPr>
      <w:bookmarkStart w:id="444" w:name="_Toc66050536"/>
      <w:bookmarkStart w:id="445" w:name="_Hlk64022851"/>
      <w:bookmarkStart w:id="446" w:name="_Toc68727042"/>
      <w:r>
        <w:t xml:space="preserve">Tabela </w:t>
      </w:r>
      <w:fldSimple w:instr=" STYLEREF 1 \s ">
        <w:r w:rsidR="007B4050">
          <w:rPr>
            <w:noProof/>
          </w:rPr>
          <w:t>13</w:t>
        </w:r>
      </w:fldSimple>
      <w:r w:rsidR="007B4050">
        <w:noBreakHyphen/>
      </w:r>
      <w:fldSimple w:instr=" SEQ Tabela \* ARABIC \s 1 ">
        <w:r w:rsidR="007B4050">
          <w:rPr>
            <w:noProof/>
          </w:rPr>
          <w:t>2</w:t>
        </w:r>
      </w:fldSimple>
      <w:r>
        <w:tab/>
        <w:t>Liczba złożonych wniosków taryfowych wg organu regulacyjnego (RZGW</w:t>
      </w:r>
      <w:r w:rsidR="00F53455">
        <w:t xml:space="preserve"> WP</w:t>
      </w:r>
      <w:r>
        <w:t>)</w:t>
      </w:r>
      <w:bookmarkEnd w:id="444"/>
      <w:bookmarkEnd w:id="446"/>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020"/>
        <w:gridCol w:w="3021"/>
        <w:gridCol w:w="3021"/>
      </w:tblGrid>
      <w:tr w:rsidR="00DC1C40" w14:paraId="065AB43C" w14:textId="77777777" w:rsidTr="009C4CE8">
        <w:trPr>
          <w:trHeight w:val="454"/>
        </w:trPr>
        <w:tc>
          <w:tcPr>
            <w:tcW w:w="1666"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4245C106" w14:textId="7E420421" w:rsidR="00DC1C40" w:rsidRPr="001B10C5" w:rsidRDefault="00DC1C40" w:rsidP="00E86687">
            <w:pPr>
              <w:pStyle w:val="Tabela-tekst"/>
              <w:keepNext/>
              <w:jc w:val="center"/>
              <w:rPr>
                <w:b/>
                <w:bCs/>
              </w:rPr>
            </w:pPr>
            <w:r w:rsidRPr="001B10C5">
              <w:rPr>
                <w:b/>
                <w:bCs/>
              </w:rPr>
              <w:t>RZGW</w:t>
            </w:r>
            <w:r w:rsidR="00F53455">
              <w:rPr>
                <w:b/>
                <w:bCs/>
              </w:rPr>
              <w:t xml:space="preserve"> WP</w:t>
            </w:r>
          </w:p>
        </w:tc>
        <w:tc>
          <w:tcPr>
            <w:tcW w:w="1667"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90ACE56" w14:textId="77777777" w:rsidR="00DC1C40" w:rsidRPr="001B10C5" w:rsidRDefault="00DC1C40" w:rsidP="00E86687">
            <w:pPr>
              <w:pStyle w:val="Tabela-tekst"/>
              <w:keepNext/>
              <w:jc w:val="center"/>
              <w:rPr>
                <w:b/>
                <w:bCs/>
              </w:rPr>
            </w:pPr>
            <w:r w:rsidRPr="001B10C5">
              <w:rPr>
                <w:b/>
                <w:bCs/>
              </w:rPr>
              <w:t>Liczba wniosków taryfowych</w:t>
            </w:r>
          </w:p>
        </w:tc>
        <w:tc>
          <w:tcPr>
            <w:tcW w:w="1667"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7E9A73D5" w14:textId="6A788ECC" w:rsidR="00DC1C40" w:rsidRPr="001B10C5" w:rsidRDefault="00E7385A" w:rsidP="00E86687">
            <w:pPr>
              <w:pStyle w:val="Tabela-tekst"/>
              <w:keepNext/>
              <w:jc w:val="center"/>
              <w:rPr>
                <w:b/>
                <w:bCs/>
              </w:rPr>
            </w:pPr>
            <w:r w:rsidRPr="001B10C5">
              <w:rPr>
                <w:b/>
                <w:bCs/>
              </w:rPr>
              <w:t xml:space="preserve">Udział </w:t>
            </w:r>
            <w:r>
              <w:rPr>
                <w:b/>
                <w:bCs/>
              </w:rPr>
              <w:t>wniosków w podziale na RZGW</w:t>
            </w:r>
            <w:r w:rsidR="00F53455">
              <w:rPr>
                <w:b/>
                <w:bCs/>
              </w:rPr>
              <w:t xml:space="preserve"> WP</w:t>
            </w:r>
            <w:r>
              <w:rPr>
                <w:b/>
                <w:bCs/>
              </w:rPr>
              <w:t xml:space="preserve"> (</w:t>
            </w:r>
            <w:r w:rsidRPr="001B10C5">
              <w:rPr>
                <w:b/>
                <w:bCs/>
              </w:rPr>
              <w:t>%</w:t>
            </w:r>
            <w:r>
              <w:rPr>
                <w:b/>
                <w:bCs/>
              </w:rPr>
              <w:t>)</w:t>
            </w:r>
          </w:p>
        </w:tc>
      </w:tr>
      <w:tr w:rsidR="00DC1C40" w:rsidRPr="00CD3CEF" w14:paraId="7878DFA9" w14:textId="77777777" w:rsidTr="009C4CE8">
        <w:trPr>
          <w:trHeight w:val="454"/>
        </w:trPr>
        <w:tc>
          <w:tcPr>
            <w:tcW w:w="1666" w:type="pct"/>
            <w:tcBorders>
              <w:top w:val="single" w:sz="4" w:space="0" w:color="002060"/>
              <w:left w:val="single" w:sz="4" w:space="0" w:color="002060"/>
              <w:bottom w:val="single" w:sz="4" w:space="0" w:color="002060"/>
              <w:right w:val="single" w:sz="4" w:space="0" w:color="002060"/>
            </w:tcBorders>
            <w:vAlign w:val="center"/>
            <w:hideMark/>
          </w:tcPr>
          <w:p w14:paraId="60C10D07" w14:textId="3948BFD0" w:rsidR="00DC1C40" w:rsidRPr="00BC1F60" w:rsidRDefault="00DC1C40" w:rsidP="001B10C5">
            <w:pPr>
              <w:pStyle w:val="Tabela-tekst"/>
            </w:pPr>
            <w:r w:rsidRPr="00BC1F60">
              <w:t xml:space="preserve">RZGW </w:t>
            </w:r>
            <w:r w:rsidR="00F53455">
              <w:t xml:space="preserve">WP </w:t>
            </w:r>
            <w:r w:rsidRPr="00BC1F60">
              <w:t>w Białymstoku</w:t>
            </w:r>
          </w:p>
        </w:tc>
        <w:tc>
          <w:tcPr>
            <w:tcW w:w="1667" w:type="pct"/>
            <w:tcBorders>
              <w:top w:val="single" w:sz="4" w:space="0" w:color="002060"/>
              <w:left w:val="single" w:sz="4" w:space="0" w:color="002060"/>
              <w:bottom w:val="single" w:sz="4" w:space="0" w:color="002060"/>
              <w:right w:val="single" w:sz="4" w:space="0" w:color="002060"/>
            </w:tcBorders>
            <w:vAlign w:val="center"/>
            <w:hideMark/>
          </w:tcPr>
          <w:p w14:paraId="691DBE53" w14:textId="77777777" w:rsidR="00DC1C40" w:rsidRPr="00BC1F60" w:rsidRDefault="00DC1C40" w:rsidP="00B409FA">
            <w:pPr>
              <w:pStyle w:val="Tabela-tekst"/>
              <w:jc w:val="center"/>
            </w:pPr>
            <w:r w:rsidRPr="00BC1F60">
              <w:t>211</w:t>
            </w:r>
          </w:p>
        </w:tc>
        <w:tc>
          <w:tcPr>
            <w:tcW w:w="1667" w:type="pct"/>
            <w:tcBorders>
              <w:top w:val="single" w:sz="4" w:space="0" w:color="002060"/>
              <w:left w:val="single" w:sz="4" w:space="0" w:color="002060"/>
              <w:bottom w:val="single" w:sz="4" w:space="0" w:color="002060"/>
              <w:right w:val="single" w:sz="4" w:space="0" w:color="002060"/>
            </w:tcBorders>
            <w:vAlign w:val="center"/>
            <w:hideMark/>
          </w:tcPr>
          <w:p w14:paraId="351B6EDD" w14:textId="1A4EB31F" w:rsidR="00DC1C40" w:rsidRPr="00BC1F60" w:rsidRDefault="00DC1C40" w:rsidP="00B409FA">
            <w:pPr>
              <w:pStyle w:val="Tabela-tekst"/>
              <w:jc w:val="center"/>
            </w:pPr>
            <w:r w:rsidRPr="00BC1F60">
              <w:t>7,55</w:t>
            </w:r>
          </w:p>
        </w:tc>
      </w:tr>
      <w:tr w:rsidR="00DC1C40" w14:paraId="65E1A27F" w14:textId="77777777" w:rsidTr="009C4CE8">
        <w:trPr>
          <w:trHeight w:val="454"/>
        </w:trPr>
        <w:tc>
          <w:tcPr>
            <w:tcW w:w="1666" w:type="pct"/>
            <w:tcBorders>
              <w:top w:val="single" w:sz="4" w:space="0" w:color="002060"/>
              <w:left w:val="single" w:sz="4" w:space="0" w:color="002060"/>
              <w:bottom w:val="single" w:sz="4" w:space="0" w:color="002060"/>
              <w:right w:val="single" w:sz="4" w:space="0" w:color="002060"/>
            </w:tcBorders>
            <w:vAlign w:val="center"/>
          </w:tcPr>
          <w:p w14:paraId="50294C42" w14:textId="1941E93D" w:rsidR="00DC1C40" w:rsidRPr="00465A9D" w:rsidRDefault="00DC1C40" w:rsidP="001B10C5">
            <w:pPr>
              <w:pStyle w:val="Tabela-tekst"/>
            </w:pPr>
            <w:r>
              <w:t xml:space="preserve">Pozostałe </w:t>
            </w:r>
            <w:r w:rsidRPr="00465A9D">
              <w:t>RZGW</w:t>
            </w:r>
            <w:r w:rsidR="00F53455">
              <w:t xml:space="preserve"> WP</w:t>
            </w:r>
          </w:p>
        </w:tc>
        <w:tc>
          <w:tcPr>
            <w:tcW w:w="1667" w:type="pct"/>
            <w:tcBorders>
              <w:top w:val="single" w:sz="4" w:space="0" w:color="002060"/>
              <w:left w:val="single" w:sz="4" w:space="0" w:color="002060"/>
              <w:bottom w:val="single" w:sz="4" w:space="0" w:color="002060"/>
              <w:right w:val="single" w:sz="4" w:space="0" w:color="002060"/>
            </w:tcBorders>
            <w:vAlign w:val="center"/>
          </w:tcPr>
          <w:p w14:paraId="5B5F4F2D" w14:textId="77777777" w:rsidR="00DC1C40" w:rsidRPr="00465A9D" w:rsidRDefault="00DC1C40" w:rsidP="00B409FA">
            <w:pPr>
              <w:pStyle w:val="Tabela-tekst"/>
              <w:jc w:val="center"/>
            </w:pPr>
            <w:r w:rsidRPr="0077416E">
              <w:t>2583</w:t>
            </w:r>
          </w:p>
        </w:tc>
        <w:tc>
          <w:tcPr>
            <w:tcW w:w="1667" w:type="pct"/>
            <w:tcBorders>
              <w:top w:val="single" w:sz="4" w:space="0" w:color="002060"/>
              <w:left w:val="single" w:sz="4" w:space="0" w:color="002060"/>
              <w:bottom w:val="single" w:sz="4" w:space="0" w:color="002060"/>
              <w:right w:val="single" w:sz="4" w:space="0" w:color="002060"/>
            </w:tcBorders>
            <w:vAlign w:val="center"/>
          </w:tcPr>
          <w:p w14:paraId="726D4AF6" w14:textId="583A7D09" w:rsidR="00DC1C40" w:rsidRPr="00465A9D" w:rsidRDefault="00DC1C40" w:rsidP="00B409FA">
            <w:pPr>
              <w:pStyle w:val="Tabela-tekst"/>
              <w:jc w:val="center"/>
            </w:pPr>
            <w:r w:rsidRPr="0077416E">
              <w:t>92,45</w:t>
            </w:r>
          </w:p>
        </w:tc>
      </w:tr>
      <w:tr w:rsidR="00DC1C40" w14:paraId="047B57EE" w14:textId="77777777" w:rsidTr="00E86687">
        <w:trPr>
          <w:trHeight w:val="454"/>
        </w:trPr>
        <w:tc>
          <w:tcPr>
            <w:tcW w:w="1666"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1C23C7F7" w14:textId="29224DCA" w:rsidR="00DC1C40" w:rsidRPr="009C4CE8" w:rsidRDefault="00DC1C40" w:rsidP="00E86687">
            <w:pPr>
              <w:pStyle w:val="Tabela-tekst"/>
              <w:jc w:val="center"/>
              <w:rPr>
                <w:b/>
                <w:bCs/>
              </w:rPr>
            </w:pPr>
            <w:r w:rsidRPr="009C4CE8">
              <w:rPr>
                <w:b/>
                <w:bCs/>
              </w:rPr>
              <w:t>Razem</w:t>
            </w:r>
          </w:p>
        </w:tc>
        <w:tc>
          <w:tcPr>
            <w:tcW w:w="1667"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23BB22CD" w14:textId="77777777" w:rsidR="00DC1C40" w:rsidRPr="009C4CE8" w:rsidRDefault="00DC1C40" w:rsidP="00B409FA">
            <w:pPr>
              <w:pStyle w:val="Tabela-tekst"/>
              <w:jc w:val="center"/>
              <w:rPr>
                <w:b/>
                <w:bCs/>
              </w:rPr>
            </w:pPr>
            <w:r w:rsidRPr="009C4CE8">
              <w:rPr>
                <w:b/>
                <w:bCs/>
              </w:rPr>
              <w:t>2794</w:t>
            </w:r>
          </w:p>
        </w:tc>
        <w:tc>
          <w:tcPr>
            <w:tcW w:w="1667"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5D32E4AB" w14:textId="56DB94C4" w:rsidR="00DC1C40" w:rsidRPr="009C4CE8" w:rsidRDefault="00DC1C40" w:rsidP="00B409FA">
            <w:pPr>
              <w:pStyle w:val="Tabela-tekst"/>
              <w:jc w:val="center"/>
              <w:rPr>
                <w:b/>
                <w:bCs/>
              </w:rPr>
            </w:pPr>
            <w:r w:rsidRPr="009C4CE8">
              <w:rPr>
                <w:b/>
                <w:bCs/>
              </w:rPr>
              <w:t>100,00</w:t>
            </w:r>
          </w:p>
        </w:tc>
      </w:tr>
    </w:tbl>
    <w:p w14:paraId="085840C9" w14:textId="77777777" w:rsidR="00231528" w:rsidRPr="001E4D45" w:rsidRDefault="00231528" w:rsidP="00231528">
      <w:pPr>
        <w:pStyle w:val="rdo0"/>
      </w:pPr>
      <w:bookmarkStart w:id="447" w:name="_Toc66050537"/>
      <w:bookmarkEnd w:id="445"/>
      <w:r w:rsidRPr="001E4D45">
        <w:rPr>
          <w:lang w:eastAsia="zh-CN"/>
        </w:rPr>
        <w:t xml:space="preserve">Źródło: opracowanie </w:t>
      </w:r>
      <w:r>
        <w:rPr>
          <w:lang w:eastAsia="zh-CN"/>
        </w:rPr>
        <w:t>własne</w:t>
      </w:r>
    </w:p>
    <w:p w14:paraId="41E59C5F" w14:textId="020F3B8E" w:rsidR="00DC1C40" w:rsidRDefault="00DC1C40" w:rsidP="006802BB">
      <w:pPr>
        <w:pStyle w:val="Tabela"/>
      </w:pPr>
      <w:bookmarkStart w:id="448" w:name="_Toc68727043"/>
      <w:r>
        <w:t xml:space="preserve">Tabela </w:t>
      </w:r>
      <w:fldSimple w:instr=" STYLEREF 1 \s ">
        <w:r w:rsidR="007B4050">
          <w:rPr>
            <w:noProof/>
          </w:rPr>
          <w:t>13</w:t>
        </w:r>
      </w:fldSimple>
      <w:r w:rsidR="007B4050">
        <w:noBreakHyphen/>
      </w:r>
      <w:fldSimple w:instr=" SEQ Tabela \* ARABIC \s 1 ">
        <w:r w:rsidR="007B4050">
          <w:rPr>
            <w:noProof/>
          </w:rPr>
          <w:t>3</w:t>
        </w:r>
      </w:fldSimple>
      <w:r>
        <w:tab/>
        <w:t xml:space="preserve">Liczba wniosków taryfowych złożonych do RZGW </w:t>
      </w:r>
      <w:r w:rsidR="00F53455">
        <w:t xml:space="preserve">WP </w:t>
      </w:r>
      <w:r w:rsidR="00E276D6">
        <w:t>w Białymstoku</w:t>
      </w:r>
      <w:r>
        <w:t xml:space="preserve"> wg formy organizacyjnej przedsiębiorstwa wodociągowo-kanalizacyjnego występującego z wnioskiem</w:t>
      </w:r>
      <w:bookmarkEnd w:id="447"/>
      <w:bookmarkEnd w:id="448"/>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4763"/>
        <w:gridCol w:w="1611"/>
        <w:gridCol w:w="2688"/>
      </w:tblGrid>
      <w:tr w:rsidR="00DC1C40" w14:paraId="2541535C" w14:textId="77777777" w:rsidTr="000564B6">
        <w:trPr>
          <w:trHeight w:val="454"/>
          <w:tblHeader/>
        </w:trPr>
        <w:tc>
          <w:tcPr>
            <w:tcW w:w="262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20ACD29D" w14:textId="4FEAB393" w:rsidR="00DC1C40" w:rsidRDefault="00DC1C40" w:rsidP="009A7D50">
            <w:pPr>
              <w:pStyle w:val="Tabela-tekst"/>
              <w:jc w:val="center"/>
              <w:rPr>
                <w:rFonts w:asciiTheme="majorHAnsi" w:eastAsiaTheme="majorEastAsia" w:hAnsiTheme="majorHAnsi" w:cs="Calibri"/>
                <w:b/>
                <w:color w:val="262626" w:themeColor="text1" w:themeTint="D9"/>
              </w:rPr>
            </w:pPr>
            <w:r w:rsidRPr="001B10C5">
              <w:rPr>
                <w:b/>
                <w:bCs/>
              </w:rPr>
              <w:t>Forma organizacyjna</w:t>
            </w:r>
          </w:p>
        </w:tc>
        <w:tc>
          <w:tcPr>
            <w:tcW w:w="889"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21188C4E" w14:textId="77777777" w:rsidR="00DC1C40" w:rsidRDefault="00DC1C40" w:rsidP="009A7D50">
            <w:pPr>
              <w:pStyle w:val="Tabela-tekst"/>
              <w:jc w:val="center"/>
              <w:rPr>
                <w:rFonts w:asciiTheme="majorHAnsi" w:eastAsiaTheme="majorEastAsia" w:hAnsiTheme="majorHAnsi" w:cs="Calibri"/>
                <w:b/>
                <w:color w:val="262626" w:themeColor="text1" w:themeTint="D9"/>
              </w:rPr>
            </w:pPr>
            <w:r w:rsidRPr="001B10C5">
              <w:rPr>
                <w:b/>
                <w:bCs/>
              </w:rPr>
              <w:t>Liczba wniosków taryfowych</w:t>
            </w:r>
          </w:p>
        </w:tc>
        <w:tc>
          <w:tcPr>
            <w:tcW w:w="1483"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45CB59D0" w14:textId="63843598" w:rsidR="00DC1C40" w:rsidRDefault="00DC1C40" w:rsidP="009A7D50">
            <w:pPr>
              <w:pStyle w:val="Tabela-tekst"/>
              <w:jc w:val="center"/>
              <w:rPr>
                <w:rFonts w:asciiTheme="majorHAnsi" w:eastAsiaTheme="majorEastAsia" w:hAnsiTheme="majorHAnsi" w:cs="Calibri"/>
                <w:b/>
                <w:color w:val="262626" w:themeColor="text1" w:themeTint="D9"/>
              </w:rPr>
            </w:pPr>
            <w:r w:rsidRPr="001B10C5">
              <w:rPr>
                <w:b/>
                <w:bCs/>
              </w:rPr>
              <w:t xml:space="preserve">Udział </w:t>
            </w:r>
            <w:r w:rsidR="000564B6">
              <w:rPr>
                <w:b/>
                <w:bCs/>
              </w:rPr>
              <w:t xml:space="preserve">wniosków </w:t>
            </w:r>
            <w:r w:rsidRPr="001B10C5">
              <w:rPr>
                <w:b/>
                <w:bCs/>
              </w:rPr>
              <w:t xml:space="preserve">w </w:t>
            </w:r>
            <w:r w:rsidR="000564B6">
              <w:rPr>
                <w:b/>
                <w:bCs/>
              </w:rPr>
              <w:t>podziale na formę organizacyjną przedsiębiorstwa (</w:t>
            </w:r>
            <w:r w:rsidRPr="001B10C5">
              <w:rPr>
                <w:b/>
                <w:bCs/>
              </w:rPr>
              <w:t>%</w:t>
            </w:r>
            <w:r w:rsidR="000564B6">
              <w:rPr>
                <w:b/>
                <w:bCs/>
              </w:rPr>
              <w:t>)</w:t>
            </w:r>
          </w:p>
        </w:tc>
      </w:tr>
      <w:tr w:rsidR="00DC1C40" w14:paraId="0F5F791B"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5627BF3F" w14:textId="77777777" w:rsidR="00DC1C40" w:rsidRDefault="00DC1C40" w:rsidP="001B10C5">
            <w:pPr>
              <w:pStyle w:val="Tabela-tekst"/>
              <w:rPr>
                <w:rFonts w:asciiTheme="majorHAnsi" w:eastAsiaTheme="majorEastAsia" w:hAnsiTheme="majorHAnsi" w:cs="Calibri"/>
                <w:color w:val="262626" w:themeColor="text1" w:themeTint="D9"/>
              </w:rPr>
            </w:pPr>
            <w:r>
              <w:t>Jednoosobowa działalność gospodarcza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4DE0B106"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3</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3FF4048D" w14:textId="7763D3C4"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1,42</w:t>
            </w:r>
          </w:p>
        </w:tc>
      </w:tr>
      <w:tr w:rsidR="00DC1C40" w14:paraId="751E2634"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5CB5B927" w14:textId="77777777" w:rsidR="00DC1C40" w:rsidRDefault="00DC1C40" w:rsidP="001B10C5">
            <w:pPr>
              <w:pStyle w:val="Tabela-tekst"/>
              <w:rPr>
                <w:rFonts w:asciiTheme="majorHAnsi" w:eastAsiaTheme="majorEastAsia" w:hAnsiTheme="majorHAnsi" w:cs="Calibri"/>
                <w:color w:val="262626" w:themeColor="text1" w:themeTint="D9"/>
              </w:rPr>
            </w:pPr>
            <w:r>
              <w:t>Jednostka budżetowa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428CFDC9"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11</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35F0E216" w14:textId="4BBFF08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5,21</w:t>
            </w:r>
          </w:p>
        </w:tc>
      </w:tr>
      <w:tr w:rsidR="00DC1C40" w14:paraId="6BF56665"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20AC8C48"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 xml:space="preserve">Jednostka samorządu </w:t>
            </w:r>
            <w:r w:rsidRPr="00465A9D">
              <w:rPr>
                <w:rFonts w:cs="Calibri"/>
              </w:rPr>
              <w:t>terytorialnego</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168E7582"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59</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723EBD69" w14:textId="1D7B3B4B"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27,96</w:t>
            </w:r>
          </w:p>
        </w:tc>
      </w:tr>
      <w:tr w:rsidR="00DC1C40" w14:paraId="7D715C9D"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40661745"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Przedsiębiorstwo państwowe</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27977F2B"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79F66AEF" w14:textId="1B9E7454"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14:paraId="709F5D33"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00FAF4BD"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Samorządowy zakład budżetowy</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368BBA52"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32</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2977B675" w14:textId="28E18A51"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15,17</w:t>
            </w:r>
          </w:p>
        </w:tc>
      </w:tr>
      <w:tr w:rsidR="00DC1C40" w14:paraId="7FCB585F"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2CC75E4C"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Spółdzielnia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77794B52"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11</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034B6E19" w14:textId="6F840A0F"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5,21</w:t>
            </w:r>
          </w:p>
        </w:tc>
      </w:tr>
      <w:tr w:rsidR="00DC1C40" w14:paraId="22D7E311"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370A238F"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 xml:space="preserve">Spółka akcyjna </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1B02F6D9"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5BC4AAC3" w14:textId="3782C9FA"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14:paraId="1E7C799A"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4F2ED00D"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Spółka cywilna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51F06A7F"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1</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0F3279EF" w14:textId="0BE12E6B"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0,47</w:t>
            </w:r>
          </w:p>
        </w:tc>
      </w:tr>
      <w:tr w:rsidR="00DC1C40" w14:paraId="3B64AF0A"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2851D021"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Spółka jawna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65AA4AE4"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510802EA" w14:textId="2F8B3E48"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14:paraId="00E49D0C"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209BD8EB"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Spółka wodna</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15DD7163"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6B53976A" w14:textId="58BE85AD"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14:paraId="403CB9D1"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hideMark/>
          </w:tcPr>
          <w:p w14:paraId="5D697940"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 xml:space="preserve">Spółka z ograniczoną </w:t>
            </w:r>
            <w:r w:rsidRPr="00465A9D">
              <w:rPr>
                <w:rFonts w:cs="Calibri"/>
              </w:rPr>
              <w:t>odpowiedzialnością</w:t>
            </w:r>
          </w:p>
        </w:tc>
        <w:tc>
          <w:tcPr>
            <w:tcW w:w="889" w:type="pct"/>
            <w:tcBorders>
              <w:top w:val="single" w:sz="4" w:space="0" w:color="002060"/>
              <w:left w:val="single" w:sz="4" w:space="0" w:color="002060"/>
              <w:bottom w:val="single" w:sz="4" w:space="0" w:color="002060"/>
              <w:right w:val="single" w:sz="4" w:space="0" w:color="002060"/>
            </w:tcBorders>
            <w:vAlign w:val="center"/>
            <w:hideMark/>
          </w:tcPr>
          <w:p w14:paraId="325D6651"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94</w:t>
            </w:r>
          </w:p>
        </w:tc>
        <w:tc>
          <w:tcPr>
            <w:tcW w:w="1483" w:type="pct"/>
            <w:tcBorders>
              <w:top w:val="single" w:sz="4" w:space="0" w:color="002060"/>
              <w:left w:val="single" w:sz="4" w:space="0" w:color="002060"/>
              <w:bottom w:val="single" w:sz="4" w:space="0" w:color="002060"/>
              <w:right w:val="single" w:sz="4" w:space="0" w:color="002060"/>
            </w:tcBorders>
            <w:vAlign w:val="center"/>
            <w:hideMark/>
          </w:tcPr>
          <w:p w14:paraId="442AFD1A" w14:textId="201B30A4"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44,56</w:t>
            </w:r>
          </w:p>
        </w:tc>
      </w:tr>
      <w:tr w:rsidR="00DC1C40" w:rsidRPr="0071317A" w14:paraId="0E36CD84"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tcPr>
          <w:p w14:paraId="74B16BED"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Stowarzyszenie</w:t>
            </w:r>
          </w:p>
        </w:tc>
        <w:tc>
          <w:tcPr>
            <w:tcW w:w="889" w:type="pct"/>
            <w:tcBorders>
              <w:top w:val="single" w:sz="4" w:space="0" w:color="002060"/>
              <w:left w:val="single" w:sz="4" w:space="0" w:color="002060"/>
              <w:bottom w:val="single" w:sz="4" w:space="0" w:color="002060"/>
              <w:right w:val="single" w:sz="4" w:space="0" w:color="002060"/>
            </w:tcBorders>
            <w:vAlign w:val="center"/>
          </w:tcPr>
          <w:p w14:paraId="55865D9B"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tcPr>
          <w:p w14:paraId="1EC1DC8D" w14:textId="4E25C18B"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rsidRPr="0071317A" w14:paraId="67DF81EE" w14:textId="77777777" w:rsidTr="000564B6">
        <w:trPr>
          <w:trHeight w:val="454"/>
        </w:trPr>
        <w:tc>
          <w:tcPr>
            <w:tcW w:w="2628" w:type="pct"/>
            <w:tcBorders>
              <w:top w:val="single" w:sz="4" w:space="0" w:color="002060"/>
              <w:left w:val="single" w:sz="4" w:space="0" w:color="002060"/>
              <w:bottom w:val="single" w:sz="4" w:space="0" w:color="002060"/>
              <w:right w:val="single" w:sz="4" w:space="0" w:color="002060"/>
            </w:tcBorders>
            <w:vAlign w:val="center"/>
          </w:tcPr>
          <w:p w14:paraId="6776EE95" w14:textId="77777777" w:rsidR="00DC1C40" w:rsidRPr="00465A9D" w:rsidRDefault="00DC1C40" w:rsidP="001B10C5">
            <w:pPr>
              <w:pStyle w:val="Tabela-tekst"/>
              <w:rPr>
                <w:rFonts w:asciiTheme="majorHAnsi" w:eastAsiaTheme="majorEastAsia" w:hAnsiTheme="majorHAnsi" w:cs="Calibri"/>
                <w:color w:val="262626" w:themeColor="text1" w:themeTint="D9"/>
              </w:rPr>
            </w:pPr>
            <w:r w:rsidRPr="00465A9D">
              <w:t>Związek gmin</w:t>
            </w:r>
          </w:p>
        </w:tc>
        <w:tc>
          <w:tcPr>
            <w:tcW w:w="889" w:type="pct"/>
            <w:tcBorders>
              <w:top w:val="single" w:sz="4" w:space="0" w:color="002060"/>
              <w:left w:val="single" w:sz="4" w:space="0" w:color="002060"/>
              <w:bottom w:val="single" w:sz="4" w:space="0" w:color="002060"/>
              <w:right w:val="single" w:sz="4" w:space="0" w:color="002060"/>
            </w:tcBorders>
            <w:vAlign w:val="center"/>
          </w:tcPr>
          <w:p w14:paraId="58ABBBB8" w14:textId="77777777"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w:t>
            </w:r>
          </w:p>
        </w:tc>
        <w:tc>
          <w:tcPr>
            <w:tcW w:w="1483" w:type="pct"/>
            <w:tcBorders>
              <w:top w:val="single" w:sz="4" w:space="0" w:color="002060"/>
              <w:left w:val="single" w:sz="4" w:space="0" w:color="002060"/>
              <w:bottom w:val="single" w:sz="4" w:space="0" w:color="002060"/>
              <w:right w:val="single" w:sz="4" w:space="0" w:color="002060"/>
            </w:tcBorders>
            <w:vAlign w:val="center"/>
          </w:tcPr>
          <w:p w14:paraId="4F4D69C5" w14:textId="197ED3A8" w:rsidR="00DC1C40" w:rsidRPr="004E4A4F" w:rsidRDefault="00DC1C40" w:rsidP="004C091E">
            <w:pPr>
              <w:pStyle w:val="Tabela-tekst"/>
              <w:jc w:val="center"/>
              <w:rPr>
                <w:rFonts w:asciiTheme="majorHAnsi" w:eastAsiaTheme="majorEastAsia" w:hAnsiTheme="majorHAnsi" w:cs="Calibri"/>
                <w:color w:val="262626" w:themeColor="text1" w:themeTint="D9"/>
              </w:rPr>
            </w:pPr>
            <w:r w:rsidRPr="00623CB6">
              <w:rPr>
                <w:color w:val="000000"/>
              </w:rPr>
              <w:t>0,00</w:t>
            </w:r>
          </w:p>
        </w:tc>
      </w:tr>
      <w:tr w:rsidR="00DC1C40" w14:paraId="02597C6E" w14:textId="77777777" w:rsidTr="009A7D50">
        <w:trPr>
          <w:trHeight w:val="454"/>
        </w:trPr>
        <w:tc>
          <w:tcPr>
            <w:tcW w:w="262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4887FBA" w14:textId="509A70EA" w:rsidR="00DC1C40" w:rsidRPr="009C4CE8" w:rsidRDefault="00DC1C40" w:rsidP="009A7D50">
            <w:pPr>
              <w:pStyle w:val="Tabela-tekst"/>
              <w:jc w:val="center"/>
              <w:rPr>
                <w:rFonts w:asciiTheme="majorHAnsi" w:eastAsiaTheme="majorEastAsia" w:hAnsiTheme="majorHAnsi" w:cs="Calibri"/>
                <w:b/>
                <w:bCs/>
                <w:color w:val="262626" w:themeColor="text1" w:themeTint="D9"/>
              </w:rPr>
            </w:pPr>
            <w:r w:rsidRPr="009C4CE8">
              <w:rPr>
                <w:b/>
                <w:bCs/>
              </w:rPr>
              <w:t>Razem</w:t>
            </w:r>
          </w:p>
        </w:tc>
        <w:tc>
          <w:tcPr>
            <w:tcW w:w="889"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398A424" w14:textId="77777777" w:rsidR="00DC1C40" w:rsidRPr="009C4CE8" w:rsidRDefault="00DC1C40" w:rsidP="004C091E">
            <w:pPr>
              <w:pStyle w:val="Tabela-tekst"/>
              <w:jc w:val="center"/>
              <w:rPr>
                <w:rFonts w:asciiTheme="majorHAnsi" w:hAnsiTheme="majorHAnsi" w:cs="Calibri"/>
                <w:b/>
                <w:bCs/>
                <w:color w:val="000000"/>
              </w:rPr>
            </w:pPr>
            <w:r w:rsidRPr="009C4CE8">
              <w:rPr>
                <w:b/>
                <w:bCs/>
                <w:color w:val="000000"/>
              </w:rPr>
              <w:t>211</w:t>
            </w:r>
          </w:p>
        </w:tc>
        <w:tc>
          <w:tcPr>
            <w:tcW w:w="1483"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11DDBAF1" w14:textId="318A858F" w:rsidR="00DC1C40" w:rsidRPr="009C4CE8" w:rsidRDefault="00DC1C40" w:rsidP="004C091E">
            <w:pPr>
              <w:pStyle w:val="Tabela-tekst"/>
              <w:jc w:val="center"/>
              <w:rPr>
                <w:rFonts w:asciiTheme="majorHAnsi" w:eastAsia="MS Mincho" w:hAnsiTheme="majorHAnsi" w:cs="Calibri"/>
                <w:b/>
                <w:bCs/>
                <w:color w:val="262626" w:themeColor="text1" w:themeTint="D9"/>
              </w:rPr>
            </w:pPr>
            <w:r w:rsidRPr="009C4CE8">
              <w:rPr>
                <w:b/>
                <w:bCs/>
                <w:color w:val="000000"/>
              </w:rPr>
              <w:t>100,00</w:t>
            </w:r>
          </w:p>
        </w:tc>
      </w:tr>
    </w:tbl>
    <w:p w14:paraId="0D539C09" w14:textId="4E4A536E" w:rsidR="00E0555D" w:rsidRPr="001F5B26" w:rsidRDefault="00231528" w:rsidP="00231528">
      <w:pPr>
        <w:pStyle w:val="rdo0"/>
      </w:pPr>
      <w:bookmarkStart w:id="449" w:name="_Toc66050538"/>
      <w:r w:rsidRPr="001E4D45">
        <w:rPr>
          <w:lang w:eastAsia="zh-CN"/>
        </w:rPr>
        <w:t xml:space="preserve">Źródło: opracowanie </w:t>
      </w:r>
      <w:r>
        <w:rPr>
          <w:lang w:eastAsia="zh-CN"/>
        </w:rPr>
        <w:t>własne</w:t>
      </w:r>
    </w:p>
    <w:p w14:paraId="3896B14F" w14:textId="14A4E1EE" w:rsidR="00DC1C40" w:rsidRDefault="00DC1C40" w:rsidP="006802BB">
      <w:pPr>
        <w:pStyle w:val="Tabela"/>
      </w:pPr>
      <w:bookmarkStart w:id="450" w:name="_Toc68727044"/>
      <w:r>
        <w:t xml:space="preserve">Tabela </w:t>
      </w:r>
      <w:fldSimple w:instr=" STYLEREF 1 \s ">
        <w:r w:rsidR="007B4050">
          <w:rPr>
            <w:noProof/>
          </w:rPr>
          <w:t>13</w:t>
        </w:r>
      </w:fldSimple>
      <w:r w:rsidR="007B4050">
        <w:noBreakHyphen/>
      </w:r>
      <w:fldSimple w:instr=" SEQ Tabela \* ARABIC \s 1 ">
        <w:r w:rsidR="007B4050">
          <w:rPr>
            <w:noProof/>
          </w:rPr>
          <w:t>4</w:t>
        </w:r>
      </w:fldSimple>
      <w:r w:rsidR="004F483D">
        <w:tab/>
      </w:r>
      <w:r>
        <w:t xml:space="preserve">Liczba wniosków taryfowych </w:t>
      </w:r>
      <w:r>
        <w:rPr>
          <w:rFonts w:cs="Calibri"/>
        </w:rPr>
        <w:t xml:space="preserve">złożonych do RZGW </w:t>
      </w:r>
      <w:r w:rsidR="00F53455">
        <w:rPr>
          <w:rFonts w:cs="Calibri"/>
        </w:rPr>
        <w:t xml:space="preserve">WP </w:t>
      </w:r>
      <w:r w:rsidR="00E276D6">
        <w:rPr>
          <w:rFonts w:cs="Calibri"/>
        </w:rPr>
        <w:t>w Białymstoku</w:t>
      </w:r>
      <w:r>
        <w:rPr>
          <w:rFonts w:cs="Calibri"/>
        </w:rPr>
        <w:t xml:space="preserve"> </w:t>
      </w:r>
      <w:r>
        <w:t>wg rodzaju działalności przedsiębiorstwa</w:t>
      </w:r>
      <w:bookmarkEnd w:id="449"/>
      <w:bookmarkEnd w:id="450"/>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929"/>
        <w:gridCol w:w="2304"/>
        <w:gridCol w:w="2829"/>
      </w:tblGrid>
      <w:tr w:rsidR="00DC1C40" w14:paraId="7EA50689" w14:textId="77777777" w:rsidTr="000338C0">
        <w:trPr>
          <w:trHeight w:val="454"/>
          <w:tblHeader/>
        </w:trPr>
        <w:tc>
          <w:tcPr>
            <w:tcW w:w="216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81CEE7B" w14:textId="77777777" w:rsidR="00DC1C40" w:rsidRPr="001B10C5" w:rsidRDefault="00DC1C40" w:rsidP="001B10C5">
            <w:pPr>
              <w:pStyle w:val="Tabela-tekst"/>
              <w:rPr>
                <w:rFonts w:asciiTheme="majorHAnsi" w:eastAsiaTheme="majorEastAsia" w:hAnsiTheme="majorHAnsi" w:cstheme="majorBidi"/>
                <w:b/>
                <w:bCs/>
                <w:color w:val="272727" w:themeColor="text1" w:themeTint="D8"/>
              </w:rPr>
            </w:pPr>
            <w:r w:rsidRPr="001B10C5">
              <w:rPr>
                <w:b/>
                <w:bCs/>
              </w:rPr>
              <w:t>Rodzaj działalności</w:t>
            </w:r>
          </w:p>
        </w:tc>
        <w:tc>
          <w:tcPr>
            <w:tcW w:w="1271"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58F5A2CC" w14:textId="77777777" w:rsidR="00DC1C40" w:rsidRPr="001B10C5" w:rsidRDefault="00DC1C40" w:rsidP="004A4D83">
            <w:pPr>
              <w:pStyle w:val="Tabela-tekst"/>
              <w:jc w:val="center"/>
              <w:rPr>
                <w:rFonts w:asciiTheme="majorHAnsi" w:eastAsiaTheme="majorEastAsia" w:hAnsiTheme="majorHAnsi" w:cstheme="majorBidi"/>
                <w:b/>
                <w:bCs/>
                <w:color w:val="272727" w:themeColor="text1" w:themeTint="D8"/>
              </w:rPr>
            </w:pPr>
            <w:r w:rsidRPr="001B10C5">
              <w:rPr>
                <w:b/>
                <w:bCs/>
              </w:rPr>
              <w:t>Liczba zweryfikowanych wniosków</w:t>
            </w:r>
          </w:p>
        </w:tc>
        <w:tc>
          <w:tcPr>
            <w:tcW w:w="1561"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62735C33" w14:textId="1D8266EC" w:rsidR="00DC1C40" w:rsidRPr="001B10C5" w:rsidRDefault="00DC1C40" w:rsidP="004A4D83">
            <w:pPr>
              <w:pStyle w:val="Tabela-tekst"/>
              <w:jc w:val="center"/>
              <w:rPr>
                <w:rFonts w:asciiTheme="majorHAnsi" w:eastAsiaTheme="majorEastAsia" w:hAnsiTheme="majorHAnsi" w:cstheme="majorBidi"/>
                <w:b/>
                <w:bCs/>
                <w:color w:val="272727" w:themeColor="text1" w:themeTint="D8"/>
              </w:rPr>
            </w:pPr>
            <w:r w:rsidRPr="001B10C5">
              <w:rPr>
                <w:b/>
                <w:bCs/>
              </w:rPr>
              <w:t xml:space="preserve">Udział </w:t>
            </w:r>
            <w:r w:rsidR="000D6A1F">
              <w:rPr>
                <w:b/>
                <w:bCs/>
              </w:rPr>
              <w:t>wniosków w podziale na rodzaj działalności przedsiębiorstwa (</w:t>
            </w:r>
            <w:r w:rsidRPr="001B10C5">
              <w:rPr>
                <w:b/>
                <w:bCs/>
              </w:rPr>
              <w:t>%</w:t>
            </w:r>
            <w:r w:rsidR="000D6A1F">
              <w:rPr>
                <w:b/>
                <w:bCs/>
              </w:rPr>
              <w:t>)</w:t>
            </w:r>
          </w:p>
        </w:tc>
      </w:tr>
      <w:tr w:rsidR="00DC1C40" w14:paraId="42CC9DF7" w14:textId="77777777" w:rsidTr="00231528">
        <w:trPr>
          <w:trHeight w:val="454"/>
        </w:trPr>
        <w:tc>
          <w:tcPr>
            <w:tcW w:w="2168" w:type="pct"/>
            <w:tcBorders>
              <w:top w:val="single" w:sz="4" w:space="0" w:color="002060"/>
              <w:left w:val="single" w:sz="4" w:space="0" w:color="002060"/>
              <w:bottom w:val="single" w:sz="4" w:space="0" w:color="002060"/>
              <w:right w:val="single" w:sz="4" w:space="0" w:color="002060"/>
            </w:tcBorders>
            <w:vAlign w:val="center"/>
            <w:hideMark/>
          </w:tcPr>
          <w:p w14:paraId="1BF8B932" w14:textId="77777777" w:rsidR="00DC1C40" w:rsidRDefault="00DC1C40" w:rsidP="001B10C5">
            <w:pPr>
              <w:pStyle w:val="Tabela-tekst"/>
              <w:rPr>
                <w:rFonts w:asciiTheme="majorHAnsi" w:eastAsiaTheme="majorEastAsia" w:hAnsiTheme="majorHAnsi" w:cstheme="majorBidi"/>
                <w:color w:val="272727" w:themeColor="text1" w:themeTint="D8"/>
              </w:rPr>
            </w:pPr>
            <w:r>
              <w:t>Odbiór ścieków</w:t>
            </w:r>
          </w:p>
        </w:tc>
        <w:tc>
          <w:tcPr>
            <w:tcW w:w="1271" w:type="pct"/>
            <w:tcBorders>
              <w:top w:val="single" w:sz="4" w:space="0" w:color="002060"/>
              <w:left w:val="single" w:sz="4" w:space="0" w:color="002060"/>
              <w:bottom w:val="single" w:sz="4" w:space="0" w:color="002060"/>
              <w:right w:val="single" w:sz="4" w:space="0" w:color="002060"/>
            </w:tcBorders>
            <w:vAlign w:val="center"/>
            <w:hideMark/>
          </w:tcPr>
          <w:p w14:paraId="2FE57DB8" w14:textId="77777777"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10</w:t>
            </w:r>
          </w:p>
        </w:tc>
        <w:tc>
          <w:tcPr>
            <w:tcW w:w="1561" w:type="pct"/>
            <w:tcBorders>
              <w:top w:val="single" w:sz="4" w:space="0" w:color="002060"/>
              <w:left w:val="single" w:sz="4" w:space="0" w:color="002060"/>
              <w:bottom w:val="single" w:sz="4" w:space="0" w:color="002060"/>
              <w:right w:val="single" w:sz="4" w:space="0" w:color="002060"/>
            </w:tcBorders>
            <w:vAlign w:val="center"/>
            <w:hideMark/>
          </w:tcPr>
          <w:p w14:paraId="1214CB6C" w14:textId="2A329B43"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4,74</w:t>
            </w:r>
          </w:p>
        </w:tc>
      </w:tr>
      <w:tr w:rsidR="00DC1C40" w14:paraId="54CA7DD5" w14:textId="77777777" w:rsidTr="00231528">
        <w:trPr>
          <w:trHeight w:val="454"/>
        </w:trPr>
        <w:tc>
          <w:tcPr>
            <w:tcW w:w="2168" w:type="pct"/>
            <w:tcBorders>
              <w:top w:val="single" w:sz="4" w:space="0" w:color="002060"/>
              <w:left w:val="single" w:sz="4" w:space="0" w:color="002060"/>
              <w:bottom w:val="single" w:sz="4" w:space="0" w:color="002060"/>
              <w:right w:val="single" w:sz="4" w:space="0" w:color="002060"/>
            </w:tcBorders>
            <w:vAlign w:val="center"/>
            <w:hideMark/>
          </w:tcPr>
          <w:p w14:paraId="3ED4DB41" w14:textId="77777777" w:rsidR="00DC1C40" w:rsidRDefault="00DC1C40" w:rsidP="001B10C5">
            <w:pPr>
              <w:pStyle w:val="Tabela-tekst"/>
              <w:rPr>
                <w:rFonts w:asciiTheme="majorHAnsi" w:eastAsiaTheme="majorEastAsia" w:hAnsiTheme="majorHAnsi" w:cstheme="majorBidi"/>
                <w:color w:val="272727" w:themeColor="text1" w:themeTint="D8"/>
              </w:rPr>
            </w:pPr>
            <w:r>
              <w:t>Zaopatrzenie w wodę</w:t>
            </w:r>
          </w:p>
        </w:tc>
        <w:tc>
          <w:tcPr>
            <w:tcW w:w="1271" w:type="pct"/>
            <w:tcBorders>
              <w:top w:val="single" w:sz="4" w:space="0" w:color="002060"/>
              <w:left w:val="single" w:sz="4" w:space="0" w:color="002060"/>
              <w:bottom w:val="single" w:sz="4" w:space="0" w:color="002060"/>
              <w:right w:val="single" w:sz="4" w:space="0" w:color="002060"/>
            </w:tcBorders>
            <w:vAlign w:val="center"/>
            <w:hideMark/>
          </w:tcPr>
          <w:p w14:paraId="06EC343E" w14:textId="77777777"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34</w:t>
            </w:r>
          </w:p>
        </w:tc>
        <w:tc>
          <w:tcPr>
            <w:tcW w:w="1561" w:type="pct"/>
            <w:tcBorders>
              <w:top w:val="single" w:sz="4" w:space="0" w:color="002060"/>
              <w:left w:val="single" w:sz="4" w:space="0" w:color="002060"/>
              <w:bottom w:val="single" w:sz="4" w:space="0" w:color="002060"/>
              <w:right w:val="single" w:sz="4" w:space="0" w:color="002060"/>
            </w:tcBorders>
            <w:vAlign w:val="center"/>
            <w:hideMark/>
          </w:tcPr>
          <w:p w14:paraId="2E9CEA05" w14:textId="727B2AC9"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16,11</w:t>
            </w:r>
          </w:p>
        </w:tc>
      </w:tr>
      <w:tr w:rsidR="00DC1C40" w14:paraId="195205F1" w14:textId="77777777" w:rsidTr="00231528">
        <w:trPr>
          <w:trHeight w:val="454"/>
        </w:trPr>
        <w:tc>
          <w:tcPr>
            <w:tcW w:w="2168" w:type="pct"/>
            <w:tcBorders>
              <w:top w:val="single" w:sz="4" w:space="0" w:color="002060"/>
              <w:left w:val="single" w:sz="4" w:space="0" w:color="002060"/>
              <w:bottom w:val="single" w:sz="4" w:space="0" w:color="002060"/>
              <w:right w:val="single" w:sz="4" w:space="0" w:color="002060"/>
            </w:tcBorders>
            <w:vAlign w:val="center"/>
            <w:hideMark/>
          </w:tcPr>
          <w:p w14:paraId="774A412C" w14:textId="77777777" w:rsidR="00DC1C40" w:rsidRDefault="00DC1C40" w:rsidP="001B10C5">
            <w:pPr>
              <w:pStyle w:val="Tabela-tekst"/>
              <w:rPr>
                <w:rFonts w:asciiTheme="majorHAnsi" w:eastAsiaTheme="majorEastAsia" w:hAnsiTheme="majorHAnsi" w:cstheme="majorBidi"/>
                <w:color w:val="272727" w:themeColor="text1" w:themeTint="D8"/>
              </w:rPr>
            </w:pPr>
            <w:r>
              <w:t>Zaopatrzenie w wodę i odbiór ścieków</w:t>
            </w:r>
          </w:p>
        </w:tc>
        <w:tc>
          <w:tcPr>
            <w:tcW w:w="1271" w:type="pct"/>
            <w:tcBorders>
              <w:top w:val="single" w:sz="4" w:space="0" w:color="002060"/>
              <w:left w:val="single" w:sz="4" w:space="0" w:color="002060"/>
              <w:bottom w:val="single" w:sz="4" w:space="0" w:color="002060"/>
              <w:right w:val="single" w:sz="4" w:space="0" w:color="002060"/>
            </w:tcBorders>
            <w:vAlign w:val="center"/>
            <w:hideMark/>
          </w:tcPr>
          <w:p w14:paraId="76B32B4B" w14:textId="77777777"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167</w:t>
            </w:r>
          </w:p>
        </w:tc>
        <w:tc>
          <w:tcPr>
            <w:tcW w:w="1561" w:type="pct"/>
            <w:tcBorders>
              <w:top w:val="single" w:sz="4" w:space="0" w:color="002060"/>
              <w:left w:val="single" w:sz="4" w:space="0" w:color="002060"/>
              <w:bottom w:val="single" w:sz="4" w:space="0" w:color="002060"/>
              <w:right w:val="single" w:sz="4" w:space="0" w:color="002060"/>
            </w:tcBorders>
            <w:vAlign w:val="center"/>
            <w:hideMark/>
          </w:tcPr>
          <w:p w14:paraId="5290D541" w14:textId="7A254BDD" w:rsidR="00DC1C40" w:rsidRPr="0008697B" w:rsidRDefault="00DC1C40" w:rsidP="004A4D83">
            <w:pPr>
              <w:pStyle w:val="Tabela-tekst"/>
              <w:jc w:val="center"/>
              <w:rPr>
                <w:rFonts w:asciiTheme="majorHAnsi" w:eastAsiaTheme="majorEastAsia" w:hAnsiTheme="majorHAnsi" w:cstheme="majorBidi"/>
                <w:color w:val="272727" w:themeColor="text1" w:themeTint="D8"/>
              </w:rPr>
            </w:pPr>
            <w:r w:rsidRPr="00623CB6">
              <w:rPr>
                <w:color w:val="000000"/>
              </w:rPr>
              <w:t>79,15</w:t>
            </w:r>
          </w:p>
        </w:tc>
      </w:tr>
      <w:tr w:rsidR="00DC1C40" w14:paraId="18D11FB2" w14:textId="77777777" w:rsidTr="009A7D50">
        <w:trPr>
          <w:trHeight w:val="454"/>
        </w:trPr>
        <w:tc>
          <w:tcPr>
            <w:tcW w:w="216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7ABAB488" w14:textId="79F7DDD3" w:rsidR="00DC1C40" w:rsidRPr="009A7D50" w:rsidRDefault="00DC1C40" w:rsidP="009A7D50">
            <w:pPr>
              <w:pStyle w:val="Tabela-tekst"/>
              <w:jc w:val="center"/>
              <w:rPr>
                <w:rFonts w:asciiTheme="majorHAnsi" w:eastAsiaTheme="majorEastAsia" w:hAnsiTheme="majorHAnsi" w:cstheme="majorBidi"/>
                <w:b/>
                <w:bCs/>
                <w:color w:val="262626" w:themeColor="text1" w:themeTint="D9"/>
              </w:rPr>
            </w:pPr>
            <w:r w:rsidRPr="009A7D50">
              <w:rPr>
                <w:b/>
                <w:bCs/>
              </w:rPr>
              <w:t>Razem</w:t>
            </w:r>
          </w:p>
        </w:tc>
        <w:tc>
          <w:tcPr>
            <w:tcW w:w="1271"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67ACB845" w14:textId="77777777" w:rsidR="00DC1C40" w:rsidRPr="009A7D50" w:rsidRDefault="00DC1C40" w:rsidP="009A7D50">
            <w:pPr>
              <w:pStyle w:val="Tabela-tekst"/>
              <w:jc w:val="center"/>
              <w:rPr>
                <w:rFonts w:asciiTheme="majorHAnsi" w:eastAsiaTheme="majorEastAsia" w:hAnsiTheme="majorHAnsi" w:cstheme="majorBidi"/>
                <w:b/>
                <w:bCs/>
                <w:color w:val="262626" w:themeColor="text1" w:themeTint="D9"/>
              </w:rPr>
            </w:pPr>
            <w:r w:rsidRPr="009A7D50">
              <w:rPr>
                <w:b/>
                <w:bCs/>
                <w:color w:val="000000"/>
              </w:rPr>
              <w:t>211</w:t>
            </w:r>
          </w:p>
        </w:tc>
        <w:tc>
          <w:tcPr>
            <w:tcW w:w="1561"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68261A70" w14:textId="03DC5E64" w:rsidR="00DC1C40" w:rsidRPr="009A7D50" w:rsidRDefault="00DC1C40" w:rsidP="009A7D50">
            <w:pPr>
              <w:pStyle w:val="Tabela-tekst"/>
              <w:jc w:val="center"/>
              <w:rPr>
                <w:rFonts w:asciiTheme="majorHAnsi" w:eastAsiaTheme="majorEastAsia" w:hAnsiTheme="majorHAnsi" w:cstheme="majorBidi"/>
                <w:b/>
                <w:bCs/>
                <w:color w:val="262626" w:themeColor="text1" w:themeTint="D9"/>
              </w:rPr>
            </w:pPr>
            <w:r w:rsidRPr="009A7D50">
              <w:rPr>
                <w:b/>
                <w:bCs/>
                <w:color w:val="000000"/>
              </w:rPr>
              <w:t>100,00</w:t>
            </w:r>
          </w:p>
        </w:tc>
      </w:tr>
    </w:tbl>
    <w:p w14:paraId="30BD25C0" w14:textId="77777777" w:rsidR="00231528" w:rsidRPr="001E4D45" w:rsidRDefault="00231528" w:rsidP="00231528">
      <w:pPr>
        <w:pStyle w:val="rdo0"/>
      </w:pPr>
      <w:r w:rsidRPr="001E4D45">
        <w:rPr>
          <w:lang w:eastAsia="zh-CN"/>
        </w:rPr>
        <w:t xml:space="preserve">Źródło: opracowanie </w:t>
      </w:r>
      <w:r>
        <w:rPr>
          <w:lang w:eastAsia="zh-CN"/>
        </w:rPr>
        <w:t>własne</w:t>
      </w:r>
    </w:p>
    <w:p w14:paraId="54FBC873" w14:textId="6DEC3A94" w:rsidR="00DC1C40" w:rsidRDefault="00DC1C40" w:rsidP="00DC1C40">
      <w:pPr>
        <w:suppressAutoHyphens/>
        <w:rPr>
          <w:rFonts w:eastAsia="MS Mincho"/>
          <w:lang w:eastAsia="pl-PL"/>
        </w:rPr>
      </w:pPr>
      <w:r>
        <w:t xml:space="preserve">Podsumowując, system </w:t>
      </w:r>
      <w:r>
        <w:rPr>
          <w:rFonts w:eastAsia="Times New Roman" w:cs="Arial"/>
        </w:rPr>
        <w:t>ustalania taryf za zbiorowe zaopatrzenie w wodę i zbiorowe odprowadzanie ścieków z uwzględnieniem kosztów związanych ze świadczeniem usług, zmian warunków ekonomicznych oraz wielkości usług i warunków ich świadczenia, a także kosztów wynikających z</w:t>
      </w:r>
      <w:r w:rsidR="004F483D">
        <w:rPr>
          <w:rFonts w:eastAsia="Times New Roman" w:cs="Arial"/>
        </w:rPr>
        <w:t> </w:t>
      </w:r>
      <w:r>
        <w:rPr>
          <w:rFonts w:eastAsia="Times New Roman" w:cs="Arial"/>
        </w:rPr>
        <w:t xml:space="preserve">planowanych wydatków inwestycyjnych </w:t>
      </w:r>
      <w:r>
        <w:t>został w III cyklu planistycznym zmodyfikowany pod kątem spełnienia zasady zwrotu kosztów usług wodnych.</w:t>
      </w:r>
    </w:p>
    <w:p w14:paraId="5A45BBE4" w14:textId="77777777" w:rsidR="00DC1C40" w:rsidRPr="00055B77" w:rsidRDefault="00DC1C40" w:rsidP="00B50FFD">
      <w:pPr>
        <w:pStyle w:val="Nagwek3"/>
      </w:pPr>
      <w:bookmarkStart w:id="451" w:name="_Toc473375878"/>
      <w:bookmarkStart w:id="452" w:name="_Toc68726908"/>
      <w:r w:rsidRPr="00055B77">
        <w:t>Planowane działania</w:t>
      </w:r>
      <w:bookmarkEnd w:id="451"/>
      <w:bookmarkEnd w:id="452"/>
    </w:p>
    <w:p w14:paraId="40460B0C" w14:textId="162FFDD6" w:rsidR="00DC1C40" w:rsidRDefault="00DC1C40" w:rsidP="00DC1C40">
      <w:pPr>
        <w:suppressAutoHyphens/>
      </w:pPr>
      <w:r>
        <w:t>Wyszczególnione i omówione powyżej działania są rekomendowane do kontynuowania i powinny być także podjęte w ramach IV cyklu planistycznego (2022-2027)</w:t>
      </w:r>
      <w:r w:rsidR="007825D7">
        <w:t xml:space="preserve"> (tabela 13-5</w:t>
      </w:r>
      <w:r>
        <w:t>. Działania te zostały zaproponowane i</w:t>
      </w:r>
      <w:r w:rsidR="004F483D">
        <w:t> </w:t>
      </w:r>
      <w:r>
        <w:t>były także ujęte w katalogu działań krajowych w ramach III cyklu planistycznego. Mają one charakter ciągły, a ich ujęcie w katalogu działań krajowych w ramach IV cyklu planistycznego zapewnia, iż zasada zwrotu kosztów usług wodnych jest i będzie wdrażana w sposób trwały zgodnie z</w:t>
      </w:r>
      <w:r w:rsidR="00C4673D">
        <w:t> </w:t>
      </w:r>
      <w:r>
        <w:t>wymogami RDW w</w:t>
      </w:r>
      <w:r w:rsidR="004F483D">
        <w:t> </w:t>
      </w:r>
      <w:r>
        <w:t>dwóch zasadniczych obszarach funkcjonalnych:</w:t>
      </w:r>
    </w:p>
    <w:p w14:paraId="5A229071" w14:textId="77777777" w:rsidR="00DC1C40" w:rsidRDefault="00DC1C40" w:rsidP="00F06393">
      <w:pPr>
        <w:pStyle w:val="Akapitzlist"/>
      </w:pPr>
      <w:r>
        <w:t>Przez przedsiębiorstwa wodociągowo-kanalizacyjne, świadczące usługi w zakresie zbiorowego dostarczania wody i odprowadzania ścieków dla cały czas rosnącej grupy odbiorców;</w:t>
      </w:r>
    </w:p>
    <w:p w14:paraId="7B0C2B05" w14:textId="77777777" w:rsidR="00DC1C40" w:rsidRDefault="00DC1C40" w:rsidP="00F06393">
      <w:pPr>
        <w:pStyle w:val="Akapitzlist"/>
      </w:pPr>
      <w:r>
        <w:t>Przez administratora cieku w zakresie administrowanych rzek i obiektów.</w:t>
      </w:r>
    </w:p>
    <w:p w14:paraId="1CDB5535" w14:textId="77777777" w:rsidR="00DC1C40" w:rsidRDefault="00DC1C40" w:rsidP="00DC1C40">
      <w:pPr>
        <w:suppressAutoHyphens/>
      </w:pPr>
      <w:r w:rsidRPr="00CC5583">
        <w:t xml:space="preserve">Zgodnie z </w:t>
      </w:r>
      <w:r>
        <w:t>przepisami</w:t>
      </w:r>
      <w:r w:rsidRPr="00CC5583">
        <w:t xml:space="preserve"> art. 9 RDW państwa członkowskie powinny</w:t>
      </w:r>
      <w:r>
        <w:t xml:space="preserve"> zapewnić</w:t>
      </w:r>
      <w:r w:rsidRPr="00CC5583">
        <w:t xml:space="preserve">, aby usługi wodne były realizowane </w:t>
      </w:r>
      <w:r>
        <w:t>z uwzględnieniem</w:t>
      </w:r>
      <w:r w:rsidRPr="00CC5583">
        <w:t xml:space="preserve"> zasad</w:t>
      </w:r>
      <w:r>
        <w:t>y</w:t>
      </w:r>
      <w:r w:rsidRPr="00CC5583">
        <w:t xml:space="preserve"> zwrotu ich kosztów. Uj</w:t>
      </w:r>
      <w:r>
        <w:t xml:space="preserve">ęcie ww. działań jako działań bezpośrednio wspierających realizację ww. zasady jest więc konieczne i uzasadnione. </w:t>
      </w:r>
    </w:p>
    <w:p w14:paraId="02EBA920" w14:textId="78A444AE" w:rsidR="00DC1C40" w:rsidRDefault="00DC1C40" w:rsidP="006802BB">
      <w:pPr>
        <w:pStyle w:val="Tabela"/>
      </w:pPr>
      <w:bookmarkStart w:id="453" w:name="_Toc66050539"/>
      <w:bookmarkStart w:id="454" w:name="_Toc68727045"/>
      <w:r>
        <w:t xml:space="preserve">Tabela </w:t>
      </w:r>
      <w:fldSimple w:instr=" STYLEREF 1 \s ">
        <w:r w:rsidR="007B4050">
          <w:rPr>
            <w:noProof/>
          </w:rPr>
          <w:t>13</w:t>
        </w:r>
      </w:fldSimple>
      <w:r w:rsidR="007B4050">
        <w:noBreakHyphen/>
      </w:r>
      <w:fldSimple w:instr=" SEQ Tabela \* ARABIC \s 1 ">
        <w:r w:rsidR="007B4050">
          <w:rPr>
            <w:noProof/>
          </w:rPr>
          <w:t>5</w:t>
        </w:r>
      </w:fldSimple>
      <w:r>
        <w:tab/>
        <w:t>Działania planowane na IV cykl planistyczny (2022-2027)</w:t>
      </w:r>
      <w:bookmarkEnd w:id="453"/>
      <w:bookmarkEnd w:id="454"/>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536"/>
        <w:gridCol w:w="2264"/>
        <w:gridCol w:w="2262"/>
      </w:tblGrid>
      <w:tr w:rsidR="00EB6BDB" w14:paraId="7C4C72E4" w14:textId="165FD081" w:rsidTr="00EB6BDB">
        <w:trPr>
          <w:trHeight w:val="454"/>
          <w:tblHeader/>
        </w:trPr>
        <w:tc>
          <w:tcPr>
            <w:tcW w:w="2503"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25C3F423" w14:textId="77777777" w:rsidR="00EB6BDB" w:rsidRDefault="00EB6BDB" w:rsidP="009A7D50">
            <w:pPr>
              <w:pStyle w:val="Tabela-tekst"/>
              <w:jc w:val="center"/>
              <w:rPr>
                <w:rFonts w:asciiTheme="majorHAnsi" w:hAnsiTheme="majorHAnsi" w:cs="Arial"/>
                <w:b/>
                <w:color w:val="262626" w:themeColor="text1" w:themeTint="D9"/>
              </w:rPr>
            </w:pPr>
            <w:r w:rsidRPr="001B10C5">
              <w:rPr>
                <w:b/>
                <w:bCs/>
              </w:rPr>
              <w:t>Działanie</w:t>
            </w:r>
          </w:p>
        </w:tc>
        <w:tc>
          <w:tcPr>
            <w:tcW w:w="1249"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6979AF71" w14:textId="77777777" w:rsidR="00EB6BDB" w:rsidRDefault="00EB6BDB" w:rsidP="009A7D50">
            <w:pPr>
              <w:pStyle w:val="Tabela-tekst"/>
              <w:jc w:val="center"/>
              <w:rPr>
                <w:rFonts w:asciiTheme="majorHAnsi" w:hAnsiTheme="majorHAnsi" w:cs="Arial"/>
                <w:b/>
                <w:color w:val="262626" w:themeColor="text1" w:themeTint="D9"/>
              </w:rPr>
            </w:pPr>
            <w:r w:rsidRPr="001B10C5">
              <w:rPr>
                <w:b/>
                <w:bCs/>
              </w:rPr>
              <w:t>Jednostka odpowiedzialna</w:t>
            </w:r>
          </w:p>
        </w:tc>
        <w:tc>
          <w:tcPr>
            <w:tcW w:w="1248" w:type="pct"/>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74CEA380" w14:textId="2860B2A3" w:rsidR="00EB6BDB" w:rsidRPr="001B10C5" w:rsidRDefault="00EB6BDB" w:rsidP="00EB6BDB">
            <w:pPr>
              <w:pStyle w:val="Tabela-tekst"/>
              <w:jc w:val="center"/>
              <w:rPr>
                <w:b/>
                <w:bCs/>
              </w:rPr>
            </w:pPr>
            <w:r>
              <w:rPr>
                <w:b/>
                <w:bCs/>
              </w:rPr>
              <w:t>Harmonogram</w:t>
            </w:r>
            <w:r w:rsidR="003A6EF0">
              <w:rPr>
                <w:b/>
                <w:bCs/>
              </w:rPr>
              <w:t xml:space="preserve"> realizacji</w:t>
            </w:r>
          </w:p>
        </w:tc>
      </w:tr>
      <w:tr w:rsidR="00EB6BDB" w14:paraId="67E8884C" w14:textId="36636002" w:rsidTr="00EB6BDB">
        <w:trPr>
          <w:trHeight w:val="454"/>
        </w:trPr>
        <w:tc>
          <w:tcPr>
            <w:tcW w:w="2503" w:type="pct"/>
            <w:tcBorders>
              <w:top w:val="single" w:sz="4" w:space="0" w:color="002060"/>
              <w:left w:val="single" w:sz="4" w:space="0" w:color="002060"/>
              <w:bottom w:val="single" w:sz="4" w:space="0" w:color="002060"/>
              <w:right w:val="single" w:sz="4" w:space="0" w:color="002060"/>
            </w:tcBorders>
            <w:vAlign w:val="center"/>
            <w:hideMark/>
          </w:tcPr>
          <w:p w14:paraId="1BE083CD" w14:textId="77777777" w:rsidR="00EB6BDB" w:rsidRDefault="00EB6BDB" w:rsidP="003863A0">
            <w:pPr>
              <w:pStyle w:val="Teksttabelilewy"/>
            </w:pPr>
            <w:r w:rsidRPr="31B9AADA">
              <w:t xml:space="preserve">Ustalanie taryf za zbiorowe zaopatrzenie w wodę i zbiorowe odprowadzanie ścieków z uwzględnieniem: </w:t>
            </w:r>
          </w:p>
          <w:p w14:paraId="0F2D0367" w14:textId="77777777" w:rsidR="00EB6BDB" w:rsidRDefault="00EB6BDB" w:rsidP="00AA3506">
            <w:pPr>
              <w:pStyle w:val="Tabela-tekst"/>
              <w:numPr>
                <w:ilvl w:val="0"/>
                <w:numId w:val="35"/>
              </w:numPr>
              <w:ind w:left="344" w:hanging="344"/>
              <w:rPr>
                <w:rFonts w:asciiTheme="majorHAnsi" w:eastAsiaTheme="majorEastAsia" w:hAnsiTheme="majorHAnsi" w:cstheme="majorBidi"/>
                <w:color w:val="272727" w:themeColor="text1" w:themeTint="D8"/>
              </w:rPr>
            </w:pPr>
            <w:r>
              <w:t>kosztów związanych ze świadczeniem usług,</w:t>
            </w:r>
          </w:p>
          <w:p w14:paraId="4CE8352C" w14:textId="77777777" w:rsidR="00EB6BDB" w:rsidRDefault="00EB6BDB" w:rsidP="00AA3506">
            <w:pPr>
              <w:pStyle w:val="Tabela-tekst"/>
              <w:numPr>
                <w:ilvl w:val="0"/>
                <w:numId w:val="35"/>
              </w:numPr>
              <w:ind w:left="344" w:hanging="344"/>
              <w:rPr>
                <w:rFonts w:asciiTheme="majorHAnsi" w:eastAsiaTheme="majorEastAsia" w:hAnsiTheme="majorHAnsi" w:cstheme="majorBidi"/>
                <w:color w:val="272727" w:themeColor="text1" w:themeTint="D8"/>
              </w:rPr>
            </w:pPr>
            <w:r>
              <w:t>zmian warunków ekonomicznych oraz wielkości usług i warunków ich świadczenia,</w:t>
            </w:r>
          </w:p>
          <w:p w14:paraId="034CC004" w14:textId="77777777" w:rsidR="00EB6BDB" w:rsidRDefault="00EB6BDB" w:rsidP="00AA3506">
            <w:pPr>
              <w:pStyle w:val="Tabela-tekst"/>
              <w:numPr>
                <w:ilvl w:val="0"/>
                <w:numId w:val="35"/>
              </w:numPr>
              <w:ind w:left="344" w:hanging="344"/>
              <w:rPr>
                <w:rFonts w:asciiTheme="majorHAnsi" w:eastAsiaTheme="majorEastAsia" w:hAnsiTheme="majorHAnsi" w:cstheme="majorBidi"/>
                <w:color w:val="272727" w:themeColor="text1" w:themeTint="D8"/>
              </w:rPr>
            </w:pPr>
            <w:r>
              <w:t>kosztów wynikających z planowanych wydatków inwestycyjnych.</w:t>
            </w:r>
          </w:p>
        </w:tc>
        <w:tc>
          <w:tcPr>
            <w:tcW w:w="1249" w:type="pct"/>
            <w:tcBorders>
              <w:top w:val="single" w:sz="4" w:space="0" w:color="002060"/>
              <w:left w:val="single" w:sz="4" w:space="0" w:color="002060"/>
              <w:bottom w:val="single" w:sz="4" w:space="0" w:color="002060"/>
              <w:right w:val="single" w:sz="4" w:space="0" w:color="002060"/>
            </w:tcBorders>
            <w:vAlign w:val="center"/>
            <w:hideMark/>
          </w:tcPr>
          <w:p w14:paraId="326F0390" w14:textId="77777777" w:rsidR="00EB6BDB" w:rsidRDefault="00EB6BDB" w:rsidP="001B10C5">
            <w:pPr>
              <w:pStyle w:val="Tabela-tekst"/>
              <w:rPr>
                <w:rFonts w:asciiTheme="majorHAnsi" w:hAnsiTheme="majorHAnsi" w:cs="Arial"/>
                <w:color w:val="262626" w:themeColor="text1" w:themeTint="D9"/>
              </w:rPr>
            </w:pPr>
            <w:r>
              <w:t>przedsiębiorstwa wodociągowo-kanalizacyjne</w:t>
            </w:r>
          </w:p>
        </w:tc>
        <w:tc>
          <w:tcPr>
            <w:tcW w:w="1248" w:type="pct"/>
            <w:tcBorders>
              <w:top w:val="single" w:sz="4" w:space="0" w:color="002060"/>
              <w:left w:val="single" w:sz="4" w:space="0" w:color="002060"/>
              <w:bottom w:val="single" w:sz="4" w:space="0" w:color="002060"/>
              <w:right w:val="single" w:sz="4" w:space="0" w:color="002060"/>
            </w:tcBorders>
            <w:vAlign w:val="center"/>
          </w:tcPr>
          <w:p w14:paraId="1D6705F8" w14:textId="0A80E4D3" w:rsidR="00EB6BDB" w:rsidRDefault="00EB6BDB" w:rsidP="00EB6BDB">
            <w:pPr>
              <w:pStyle w:val="Tabela-tekst"/>
              <w:jc w:val="center"/>
            </w:pPr>
            <w:r>
              <w:t>działania ciągłe</w:t>
            </w:r>
          </w:p>
        </w:tc>
      </w:tr>
      <w:tr w:rsidR="00EB6BDB" w14:paraId="61D9724F" w14:textId="145CBB63" w:rsidTr="00EB6BDB">
        <w:trPr>
          <w:trHeight w:val="454"/>
        </w:trPr>
        <w:tc>
          <w:tcPr>
            <w:tcW w:w="2503" w:type="pct"/>
            <w:tcBorders>
              <w:top w:val="single" w:sz="4" w:space="0" w:color="002060"/>
              <w:left w:val="single" w:sz="4" w:space="0" w:color="002060"/>
              <w:bottom w:val="single" w:sz="4" w:space="0" w:color="002060"/>
              <w:right w:val="single" w:sz="4" w:space="0" w:color="002060"/>
            </w:tcBorders>
            <w:vAlign w:val="center"/>
            <w:hideMark/>
          </w:tcPr>
          <w:p w14:paraId="5EC1CC69" w14:textId="77777777" w:rsidR="00EB6BDB" w:rsidRDefault="00EB6BDB" w:rsidP="001B10C5">
            <w:pPr>
              <w:pStyle w:val="Tabela-tekst"/>
              <w:rPr>
                <w:rFonts w:asciiTheme="majorHAnsi" w:hAnsiTheme="majorHAnsi" w:cs="Arial"/>
                <w:i/>
                <w:color w:val="262626" w:themeColor="text1" w:themeTint="D9"/>
              </w:rPr>
            </w:pPr>
            <w:r>
              <w:t>Uwzględnienie zasady zwrotu kosztów w stosunku do administrowanych rzek i obiektów.</w:t>
            </w:r>
          </w:p>
        </w:tc>
        <w:tc>
          <w:tcPr>
            <w:tcW w:w="1249" w:type="pct"/>
            <w:tcBorders>
              <w:top w:val="single" w:sz="4" w:space="0" w:color="002060"/>
              <w:left w:val="single" w:sz="4" w:space="0" w:color="002060"/>
              <w:bottom w:val="single" w:sz="4" w:space="0" w:color="002060"/>
              <w:right w:val="single" w:sz="4" w:space="0" w:color="002060"/>
            </w:tcBorders>
            <w:vAlign w:val="center"/>
            <w:hideMark/>
          </w:tcPr>
          <w:p w14:paraId="4BCBBB33" w14:textId="77777777" w:rsidR="00EB6BDB" w:rsidRDefault="00EB6BDB" w:rsidP="001B10C5">
            <w:pPr>
              <w:pStyle w:val="Tabela-tekst"/>
              <w:rPr>
                <w:rFonts w:asciiTheme="majorHAnsi" w:hAnsiTheme="majorHAnsi" w:cs="Arial"/>
                <w:color w:val="262626" w:themeColor="text1" w:themeTint="D9"/>
              </w:rPr>
            </w:pPr>
            <w:r>
              <w:t>administrator cieku</w:t>
            </w:r>
          </w:p>
        </w:tc>
        <w:tc>
          <w:tcPr>
            <w:tcW w:w="1248" w:type="pct"/>
            <w:tcBorders>
              <w:top w:val="single" w:sz="4" w:space="0" w:color="002060"/>
              <w:left w:val="single" w:sz="4" w:space="0" w:color="002060"/>
              <w:bottom w:val="single" w:sz="4" w:space="0" w:color="002060"/>
              <w:right w:val="single" w:sz="4" w:space="0" w:color="002060"/>
            </w:tcBorders>
            <w:vAlign w:val="center"/>
          </w:tcPr>
          <w:p w14:paraId="448D7299" w14:textId="0FA56B45" w:rsidR="00EB6BDB" w:rsidRDefault="00EB6BDB" w:rsidP="00EB6BDB">
            <w:pPr>
              <w:pStyle w:val="Tabela-tekst"/>
              <w:jc w:val="center"/>
            </w:pPr>
            <w:r>
              <w:t>działania ciągłe</w:t>
            </w:r>
          </w:p>
        </w:tc>
      </w:tr>
    </w:tbl>
    <w:p w14:paraId="635E0233" w14:textId="77777777" w:rsidR="00231528" w:rsidRPr="001E4D45" w:rsidRDefault="00231528" w:rsidP="00231528">
      <w:pPr>
        <w:pStyle w:val="rdo0"/>
      </w:pPr>
      <w:r w:rsidRPr="001E4D45">
        <w:rPr>
          <w:lang w:eastAsia="zh-CN"/>
        </w:rPr>
        <w:t xml:space="preserve">Źródło: opracowanie </w:t>
      </w:r>
      <w:r>
        <w:rPr>
          <w:lang w:eastAsia="zh-CN"/>
        </w:rPr>
        <w:t>własne</w:t>
      </w:r>
    </w:p>
    <w:p w14:paraId="5BB94A71" w14:textId="652AE018" w:rsidR="00332A4E" w:rsidRPr="005779B8" w:rsidRDefault="00332A4E" w:rsidP="00B50FFD">
      <w:pPr>
        <w:pStyle w:val="Nagwek2"/>
      </w:pPr>
      <w:bookmarkStart w:id="455" w:name="_Toc68726909"/>
      <w:r w:rsidRPr="005779B8">
        <w:t>Podsumowanie działań</w:t>
      </w:r>
      <w:r w:rsidR="00FC64C2" w:rsidRPr="005779B8">
        <w:t xml:space="preserve"> </w:t>
      </w:r>
      <w:r w:rsidR="007F1BE0" w:rsidRPr="005779B8">
        <w:t>podjętych dla realizacji celów środowiskowych i</w:t>
      </w:r>
      <w:r w:rsidR="00C51D37">
        <w:t> </w:t>
      </w:r>
      <w:r w:rsidR="007F1BE0" w:rsidRPr="005779B8">
        <w:t>wymagań związanych z zaopatrzeniem w wodę</w:t>
      </w:r>
      <w:bookmarkEnd w:id="455"/>
    </w:p>
    <w:p w14:paraId="500C12AC" w14:textId="77777777" w:rsidR="0061199B" w:rsidRPr="001D32AB" w:rsidRDefault="0061199B" w:rsidP="0061199B">
      <w:pPr>
        <w:widowControl w:val="0"/>
        <w:suppressAutoHyphens/>
        <w:autoSpaceDE w:val="0"/>
        <w:autoSpaceDN w:val="0"/>
        <w:adjustRightInd w:val="0"/>
        <w:spacing w:before="60" w:after="60"/>
        <w:ind w:right="57"/>
        <w:rPr>
          <w:rFonts w:asciiTheme="minorHAnsi" w:eastAsiaTheme="minorHAnsi" w:hAnsiTheme="minorHAnsi" w:cstheme="minorHAnsi"/>
          <w:color w:val="000000"/>
          <w:sz w:val="20"/>
          <w:szCs w:val="20"/>
        </w:rPr>
      </w:pPr>
      <w:r w:rsidRPr="001D32AB">
        <w:rPr>
          <w:rFonts w:asciiTheme="minorHAnsi" w:eastAsiaTheme="minorHAnsi" w:hAnsiTheme="minorHAnsi" w:cstheme="minorHAnsi"/>
          <w:color w:val="000000"/>
          <w:sz w:val="20"/>
          <w:szCs w:val="20"/>
        </w:rPr>
        <w:t>Zaopatrzenie w wodę do spożycia przez ludzi stanowi jeden z aspektów uwzględnionych w ustawie pr.w. poprzez uznanie jcwp przeznaczonych do poboru wody na potrzeby zaopatrzenia ludności w wodę przeznaczoną do spożycia przez ludzi, jako obszary chronione (art. 16 pkt 32 ustawy pr.w.).</w:t>
      </w:r>
    </w:p>
    <w:p w14:paraId="7A352E24" w14:textId="77777777" w:rsidR="0061199B" w:rsidRPr="001D32AB" w:rsidRDefault="0061199B" w:rsidP="0061199B">
      <w:pPr>
        <w:widowControl w:val="0"/>
        <w:suppressAutoHyphens/>
        <w:autoSpaceDE w:val="0"/>
        <w:autoSpaceDN w:val="0"/>
        <w:adjustRightInd w:val="0"/>
        <w:ind w:right="57"/>
        <w:rPr>
          <w:rFonts w:asciiTheme="minorHAnsi" w:eastAsiaTheme="minorHAnsi" w:hAnsiTheme="minorHAnsi" w:cstheme="minorHAnsi"/>
          <w:color w:val="000000"/>
          <w:sz w:val="20"/>
          <w:szCs w:val="20"/>
        </w:rPr>
      </w:pPr>
      <w:r w:rsidRPr="001D32AB">
        <w:rPr>
          <w:rFonts w:asciiTheme="minorHAnsi" w:eastAsiaTheme="minorHAnsi" w:hAnsiTheme="minorHAnsi" w:cstheme="minorHAnsi"/>
          <w:color w:val="000000"/>
          <w:sz w:val="20"/>
          <w:szCs w:val="20"/>
        </w:rPr>
        <w:t xml:space="preserve">Na obszarze dorzecza </w:t>
      </w:r>
      <w:r>
        <w:rPr>
          <w:rFonts w:asciiTheme="minorHAnsi" w:eastAsiaTheme="minorHAnsi" w:hAnsiTheme="minorHAnsi" w:cstheme="minorHAnsi"/>
          <w:color w:val="000000"/>
          <w:sz w:val="20"/>
          <w:szCs w:val="20"/>
        </w:rPr>
        <w:t>Pregoły</w:t>
      </w:r>
      <w:r w:rsidRPr="001D32AB">
        <w:rPr>
          <w:rFonts w:asciiTheme="minorHAnsi" w:eastAsiaTheme="minorHAnsi" w:hAnsiTheme="minorHAnsi" w:cstheme="minorHAnsi"/>
          <w:color w:val="000000"/>
          <w:sz w:val="20"/>
          <w:szCs w:val="20"/>
        </w:rPr>
        <w:t xml:space="preserve"> </w:t>
      </w:r>
      <w:r>
        <w:rPr>
          <w:rFonts w:asciiTheme="minorHAnsi" w:eastAsiaTheme="minorHAnsi" w:hAnsiTheme="minorHAnsi" w:cstheme="minorHAnsi"/>
          <w:color w:val="000000"/>
          <w:sz w:val="20"/>
          <w:szCs w:val="20"/>
        </w:rPr>
        <w:t xml:space="preserve">nie występują </w:t>
      </w:r>
      <w:r w:rsidRPr="001D32AB">
        <w:rPr>
          <w:rFonts w:asciiTheme="minorHAnsi" w:eastAsiaTheme="minorHAnsi" w:hAnsiTheme="minorHAnsi" w:cstheme="minorHAnsi"/>
          <w:color w:val="000000"/>
          <w:sz w:val="20"/>
          <w:szCs w:val="20"/>
        </w:rPr>
        <w:t>jcwp przeznaczon</w:t>
      </w:r>
      <w:r>
        <w:rPr>
          <w:rFonts w:asciiTheme="minorHAnsi" w:eastAsiaTheme="minorHAnsi" w:hAnsiTheme="minorHAnsi" w:cstheme="minorHAnsi"/>
          <w:color w:val="000000"/>
          <w:sz w:val="20"/>
          <w:szCs w:val="20"/>
        </w:rPr>
        <w:t>e</w:t>
      </w:r>
      <w:r w:rsidRPr="001D32AB">
        <w:rPr>
          <w:rFonts w:asciiTheme="minorHAnsi" w:eastAsiaTheme="minorHAnsi" w:hAnsiTheme="minorHAnsi" w:cstheme="minorHAnsi"/>
          <w:color w:val="000000"/>
          <w:sz w:val="20"/>
          <w:szCs w:val="20"/>
        </w:rPr>
        <w:t xml:space="preserve"> do poboru wody na potrzeby zaopatrzenia ludności w wodę przeznaczoną do spożycia</w:t>
      </w:r>
      <w:r>
        <w:rPr>
          <w:rFonts w:asciiTheme="minorHAnsi" w:eastAsiaTheme="minorHAnsi" w:hAnsiTheme="minorHAnsi" w:cstheme="minorHAnsi"/>
          <w:color w:val="000000"/>
          <w:sz w:val="20"/>
          <w:szCs w:val="20"/>
        </w:rPr>
        <w:t xml:space="preserve">. </w:t>
      </w:r>
      <w:r w:rsidRPr="001D32AB">
        <w:rPr>
          <w:rFonts w:asciiTheme="minorHAnsi" w:eastAsiaTheme="minorHAnsi" w:hAnsiTheme="minorHAnsi" w:cstheme="minorHAnsi"/>
          <w:color w:val="000000"/>
          <w:sz w:val="20"/>
          <w:szCs w:val="20"/>
        </w:rPr>
        <w:t>W przypadku jcwpd, wszystkie są uznane za przeznaczone do poboru wody na potrzeby zaopatrzenia ludności w wodę przeznaczoną do spożycia</w:t>
      </w:r>
      <w:r>
        <w:rPr>
          <w:rFonts w:asciiTheme="minorHAnsi" w:eastAsiaTheme="minorHAnsi" w:hAnsiTheme="minorHAnsi" w:cstheme="minorHAnsi"/>
          <w:color w:val="000000"/>
          <w:sz w:val="20"/>
          <w:szCs w:val="20"/>
        </w:rPr>
        <w:t>.</w:t>
      </w:r>
    </w:p>
    <w:p w14:paraId="65381D3A" w14:textId="77777777" w:rsidR="0061199B" w:rsidRPr="001D32AB" w:rsidRDefault="0061199B" w:rsidP="0061199B">
      <w:pPr>
        <w:suppressAutoHyphens/>
        <w:rPr>
          <w:rFonts w:asciiTheme="minorHAnsi" w:hAnsiTheme="minorHAnsi" w:cstheme="minorHAnsi"/>
          <w:sz w:val="20"/>
          <w:szCs w:val="20"/>
        </w:rPr>
      </w:pPr>
      <w:r w:rsidRPr="001D32AB">
        <w:rPr>
          <w:rFonts w:asciiTheme="minorHAnsi" w:hAnsiTheme="minorHAnsi" w:cstheme="minorHAnsi"/>
          <w:sz w:val="20"/>
          <w:szCs w:val="20"/>
        </w:rPr>
        <w:t>Działania ukierunkowane na zapewnienie odpowiedniej jakości wody na cele zaopatrzenia ludności stanowią podstawowe działania uwzględniane zarówno w poprzednim cyklu planistycznym, jak i obecnie.</w:t>
      </w:r>
    </w:p>
    <w:p w14:paraId="5CA29AE2" w14:textId="77777777" w:rsidR="00DA391F" w:rsidRPr="0012583F" w:rsidRDefault="00DA391F" w:rsidP="00DA391F">
      <w:pPr>
        <w:suppressAutoHyphens/>
        <w:rPr>
          <w:rFonts w:asciiTheme="minorHAnsi" w:hAnsiTheme="minorHAnsi" w:cstheme="minorHAnsi"/>
        </w:rPr>
      </w:pPr>
      <w:r w:rsidRPr="0012583F">
        <w:rPr>
          <w:rFonts w:asciiTheme="minorHAnsi" w:hAnsiTheme="minorHAnsi" w:cstheme="minorHAnsi"/>
        </w:rPr>
        <w:t xml:space="preserve">W poprzednim cyklu planistycznym, działania dotyczące realizacji celów środowiskowych i wymagań związanych z zaopatrzeniem w wodę, </w:t>
      </w:r>
      <w:r w:rsidRPr="00E46F8F">
        <w:rPr>
          <w:rFonts w:asciiTheme="minorHAnsi" w:hAnsiTheme="minorHAnsi" w:cstheme="minorHAnsi"/>
        </w:rPr>
        <w:t xml:space="preserve">uwzględnione zostały w ramach grup działań: dostęp do informacji oraz działania organizacyjno-prawne (tabela 13-6). </w:t>
      </w:r>
    </w:p>
    <w:p w14:paraId="651CC2BD" w14:textId="20B1DC60" w:rsidR="00DA391F" w:rsidRDefault="00DA391F" w:rsidP="006802BB">
      <w:pPr>
        <w:pStyle w:val="Tabela"/>
        <w:rPr>
          <w:rStyle w:val="Pogrubienie"/>
          <w:b/>
          <w:bCs/>
        </w:rPr>
      </w:pPr>
      <w:bookmarkStart w:id="456" w:name="_Toc66261850"/>
      <w:bookmarkStart w:id="457" w:name="_Toc66311352"/>
      <w:bookmarkStart w:id="458" w:name="_Toc68727046"/>
      <w:r>
        <w:t xml:space="preserve">Tabela </w:t>
      </w:r>
      <w:fldSimple w:instr=" STYLEREF 1 \s ">
        <w:r w:rsidR="007B4050">
          <w:rPr>
            <w:noProof/>
          </w:rPr>
          <w:t>13</w:t>
        </w:r>
      </w:fldSimple>
      <w:r w:rsidR="007B4050">
        <w:noBreakHyphen/>
      </w:r>
      <w:fldSimple w:instr=" SEQ Tabela \* ARABIC \s 1 ">
        <w:r w:rsidR="007B4050">
          <w:rPr>
            <w:noProof/>
          </w:rPr>
          <w:t>6</w:t>
        </w:r>
      </w:fldSimple>
      <w:r w:rsidRPr="001D32AB">
        <w:rPr>
          <w:bCs/>
        </w:rPr>
        <w:tab/>
      </w:r>
      <w:r w:rsidRPr="001D32AB">
        <w:t xml:space="preserve">Działania związane z realizacją celów środowiskowych i wymagań związanych z zaopatrzeniem w wodę ujęte w </w:t>
      </w:r>
      <w:r w:rsidRPr="001D32AB">
        <w:rPr>
          <w:rStyle w:val="Pogrubienie"/>
          <w:b/>
          <w:bCs/>
        </w:rPr>
        <w:t>aPWŚK</w:t>
      </w:r>
      <w:bookmarkEnd w:id="456"/>
      <w:bookmarkEnd w:id="457"/>
      <w:bookmarkEnd w:id="458"/>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2108"/>
        <w:gridCol w:w="4691"/>
        <w:gridCol w:w="2263"/>
      </w:tblGrid>
      <w:tr w:rsidR="003A6EF0" w:rsidRPr="00190079" w14:paraId="6FBAAF8F" w14:textId="77777777" w:rsidTr="00BD005D">
        <w:trPr>
          <w:trHeight w:val="454"/>
          <w:tblHeader/>
          <w:jc w:val="center"/>
        </w:trPr>
        <w:tc>
          <w:tcPr>
            <w:tcW w:w="2108"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0C9D4D68" w14:textId="77777777" w:rsidR="003A6EF0" w:rsidRPr="005145A8" w:rsidRDefault="003A6EF0" w:rsidP="00BD005D">
            <w:pPr>
              <w:pStyle w:val="Teksttabelinaglowek"/>
            </w:pPr>
            <w:bookmarkStart w:id="459" w:name="_Hlk67649477"/>
            <w:r w:rsidRPr="005145A8">
              <w:t>Grupa działań</w:t>
            </w:r>
          </w:p>
        </w:tc>
        <w:tc>
          <w:tcPr>
            <w:tcW w:w="4691"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09AF4F60" w14:textId="77777777" w:rsidR="003A6EF0" w:rsidRPr="00190079" w:rsidRDefault="003A6EF0" w:rsidP="00BD005D">
            <w:pPr>
              <w:pStyle w:val="Teksttabelinaglowek"/>
              <w:rPr>
                <w:rFonts w:asciiTheme="minorHAnsi" w:hAnsiTheme="minorHAnsi" w:cstheme="minorHAnsi"/>
                <w:bCs/>
              </w:rPr>
            </w:pPr>
            <w:r w:rsidRPr="00190079">
              <w:rPr>
                <w:rFonts w:asciiTheme="minorHAnsi" w:hAnsiTheme="minorHAnsi" w:cstheme="minorHAnsi"/>
                <w:bCs/>
              </w:rPr>
              <w:t>Nazwa działania</w:t>
            </w:r>
          </w:p>
        </w:tc>
        <w:tc>
          <w:tcPr>
            <w:tcW w:w="2263"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2584B905" w14:textId="77777777" w:rsidR="003A6EF0" w:rsidRPr="00190079" w:rsidRDefault="003A6EF0" w:rsidP="00BD005D">
            <w:pPr>
              <w:pStyle w:val="Teksttabelinaglowek"/>
              <w:rPr>
                <w:rFonts w:asciiTheme="minorHAnsi" w:hAnsiTheme="minorHAnsi" w:cstheme="minorHAnsi"/>
                <w:bCs/>
              </w:rPr>
            </w:pPr>
            <w:r>
              <w:rPr>
                <w:rFonts w:asciiTheme="minorHAnsi" w:hAnsiTheme="minorHAnsi" w:cstheme="minorHAnsi"/>
                <w:bCs/>
              </w:rPr>
              <w:t>Harmonogram realizacji</w:t>
            </w:r>
          </w:p>
        </w:tc>
      </w:tr>
      <w:tr w:rsidR="003A6EF0" w:rsidRPr="00190079" w14:paraId="1985E59D"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67EDEA5F" w14:textId="77777777" w:rsidR="003A6EF0" w:rsidRPr="00190079" w:rsidRDefault="003A6EF0" w:rsidP="00BD005D">
            <w:pPr>
              <w:pStyle w:val="Teksttabelilewy"/>
            </w:pPr>
            <w:r w:rsidRPr="00190079">
              <w:t>Dostęp do informacji</w:t>
            </w:r>
          </w:p>
        </w:tc>
        <w:tc>
          <w:tcPr>
            <w:tcW w:w="4691" w:type="dxa"/>
            <w:tcBorders>
              <w:top w:val="single" w:sz="4" w:space="0" w:color="002060"/>
              <w:left w:val="single" w:sz="4" w:space="0" w:color="002060"/>
              <w:bottom w:val="single" w:sz="4" w:space="0" w:color="002060"/>
              <w:right w:val="single" w:sz="4" w:space="0" w:color="002060"/>
            </w:tcBorders>
            <w:vAlign w:val="center"/>
          </w:tcPr>
          <w:p w14:paraId="2D452E3B" w14:textId="77777777" w:rsidR="003A6EF0" w:rsidRPr="00190079" w:rsidRDefault="003A6EF0" w:rsidP="00BD005D">
            <w:pPr>
              <w:pStyle w:val="Teksttabelilewy"/>
            </w:pPr>
            <w:r w:rsidRPr="00190079">
              <w:t>opracowanie oceny jakości wody wykorzystywanej do zaopatrzenia ludności w wodę przeznaczoną do spożycia (działania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520B609A" w14:textId="77777777" w:rsidR="003A6EF0" w:rsidRPr="00190079" w:rsidRDefault="003A6EF0" w:rsidP="00BD005D">
            <w:pPr>
              <w:pStyle w:val="Teksttabelisrodek"/>
            </w:pPr>
            <w:r>
              <w:t>działanie ciągłe</w:t>
            </w:r>
          </w:p>
        </w:tc>
      </w:tr>
      <w:tr w:rsidR="003A6EF0" w:rsidRPr="00190079" w14:paraId="7DC8B622"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40C68091" w14:textId="77777777" w:rsidR="003A6EF0" w:rsidRPr="00190079" w:rsidRDefault="003A6EF0" w:rsidP="00BD005D">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1A3F0DEC" w14:textId="77777777" w:rsidR="003A6EF0" w:rsidRPr="00190079" w:rsidRDefault="003A6EF0" w:rsidP="00BD005D">
            <w:pPr>
              <w:pStyle w:val="Teksttabelilewy"/>
            </w:pPr>
            <w:r w:rsidRPr="00190079">
              <w:t>ustanowienie obszarów ochronnych zbiorników wód śródlądowych (działania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0005E903" w14:textId="77777777" w:rsidR="003A6EF0" w:rsidRPr="00190079" w:rsidRDefault="003A6EF0" w:rsidP="00BD005D">
            <w:pPr>
              <w:pStyle w:val="Teksttabelisrodek"/>
            </w:pPr>
            <w:r>
              <w:t>działanie ciągłe</w:t>
            </w:r>
          </w:p>
        </w:tc>
      </w:tr>
      <w:tr w:rsidR="003A6EF0" w:rsidRPr="00190079" w14:paraId="25422B36"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18003057" w14:textId="77777777" w:rsidR="003A6EF0" w:rsidRPr="00190079" w:rsidRDefault="003A6EF0" w:rsidP="00BD005D">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5A4B2FED" w14:textId="77777777" w:rsidR="003A6EF0" w:rsidRPr="00190079" w:rsidRDefault="003A6EF0" w:rsidP="00BD005D">
            <w:pPr>
              <w:pStyle w:val="Teksttabelilewy"/>
            </w:pPr>
            <w:r w:rsidRPr="00190079">
              <w:rPr>
                <w:rFonts w:cs="Calibri"/>
                <w:color w:val="000000"/>
              </w:rPr>
              <w:t>opracowanie dokumentacji na potrzeby ustanowienia obszaru ochronnego zbiornika wód śródlądowych (GZWP)</w:t>
            </w:r>
            <w:r>
              <w:rPr>
                <w:rFonts w:cs="Calibri"/>
                <w:color w:val="000000"/>
              </w:rP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117A8B64" w14:textId="77777777" w:rsidR="003A6EF0" w:rsidRPr="00190079" w:rsidRDefault="003A6EF0" w:rsidP="00BD005D">
            <w:pPr>
              <w:pStyle w:val="Teksttabelisrodek"/>
              <w:rPr>
                <w:rFonts w:cs="Calibri"/>
                <w:color w:val="000000"/>
              </w:rPr>
            </w:pPr>
            <w:r w:rsidRPr="008B4196">
              <w:rPr>
                <w:rFonts w:cs="Calibri"/>
                <w:color w:val="000000"/>
              </w:rPr>
              <w:t>IV kw. 2021</w:t>
            </w:r>
          </w:p>
        </w:tc>
      </w:tr>
      <w:tr w:rsidR="003A6EF0" w:rsidRPr="00190079" w14:paraId="7ECBE508"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76806CB6" w14:textId="77777777" w:rsidR="003A6EF0" w:rsidRPr="00190079" w:rsidRDefault="003A6EF0" w:rsidP="00BD005D">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37D787DD" w14:textId="77777777" w:rsidR="003A6EF0" w:rsidRPr="00190079" w:rsidRDefault="003A6EF0" w:rsidP="00BD005D">
            <w:pPr>
              <w:pStyle w:val="Teksttabelilewy"/>
            </w:pPr>
            <w:r w:rsidRPr="00190079">
              <w:rPr>
                <w:rFonts w:cs="Calibri"/>
                <w:color w:val="000000"/>
              </w:rPr>
              <w:t>opracowanie projektu rozporządzenia na potrzeby ustanowienia obszaru ochronnego zbiornika wód śródlądowych (GZWP)</w:t>
            </w:r>
            <w:r>
              <w:rPr>
                <w:rFonts w:cs="Calibri"/>
                <w:color w:val="000000"/>
              </w:rP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62840BF7" w14:textId="77777777" w:rsidR="003A6EF0" w:rsidRPr="00190079" w:rsidRDefault="003A6EF0" w:rsidP="00BD005D">
            <w:pPr>
              <w:pStyle w:val="Teksttabelisrodek"/>
              <w:rPr>
                <w:rFonts w:cs="Calibri"/>
                <w:color w:val="000000"/>
              </w:rPr>
            </w:pPr>
            <w:r w:rsidRPr="008B4196">
              <w:rPr>
                <w:rFonts w:cs="Calibri"/>
                <w:color w:val="000000"/>
              </w:rPr>
              <w:t>IV kw. 2021</w:t>
            </w:r>
          </w:p>
        </w:tc>
      </w:tr>
      <w:tr w:rsidR="003A6EF0" w:rsidRPr="00190079" w14:paraId="110A7A6E"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6F1E7018" w14:textId="77777777" w:rsidR="003A6EF0" w:rsidRPr="00190079" w:rsidRDefault="003A6EF0" w:rsidP="00BD005D">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7DBF4339" w14:textId="77777777" w:rsidR="003A6EF0" w:rsidRPr="00190079" w:rsidRDefault="003A6EF0" w:rsidP="00BD005D">
            <w:pPr>
              <w:pStyle w:val="Teksttabelilewy"/>
            </w:pPr>
            <w:r w:rsidRPr="00190079">
              <w:rPr>
                <w:rFonts w:cs="Calibri"/>
                <w:color w:val="000000"/>
              </w:rPr>
              <w:t>wydanie rozporządzenia na potrzeby ustanowienia obszaru ochronnego zbiornika wód śródlądowych (GZWP)</w:t>
            </w:r>
            <w:r>
              <w:rPr>
                <w:rFonts w:cs="Calibri"/>
                <w:color w:val="000000"/>
              </w:rP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2D82E150" w14:textId="77777777" w:rsidR="003A6EF0" w:rsidRPr="00190079" w:rsidRDefault="003A6EF0" w:rsidP="00BD005D">
            <w:pPr>
              <w:pStyle w:val="Teksttabelisrodek"/>
              <w:rPr>
                <w:rFonts w:cs="Calibri"/>
                <w:color w:val="000000"/>
              </w:rPr>
            </w:pPr>
            <w:r w:rsidRPr="008B4196">
              <w:rPr>
                <w:rFonts w:cs="Calibri"/>
                <w:color w:val="000000"/>
              </w:rPr>
              <w:t>IV kw. 202</w:t>
            </w:r>
            <w:r>
              <w:rPr>
                <w:rFonts w:cs="Calibri"/>
                <w:color w:val="000000"/>
              </w:rPr>
              <w:t>1</w:t>
            </w:r>
          </w:p>
        </w:tc>
      </w:tr>
      <w:tr w:rsidR="003A6EF0" w:rsidRPr="00190079" w14:paraId="163AF5D5" w14:textId="77777777" w:rsidTr="00BD005D">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5A07828F" w14:textId="77777777" w:rsidR="003A6EF0" w:rsidRPr="00190079" w:rsidRDefault="003A6EF0" w:rsidP="00BD005D">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6D28956B" w14:textId="77777777" w:rsidR="003A6EF0" w:rsidRPr="00190079" w:rsidRDefault="003A6EF0" w:rsidP="00BD005D">
            <w:pPr>
              <w:pStyle w:val="Teksttabelilewy"/>
            </w:pPr>
            <w:r w:rsidRPr="00190079">
              <w:rPr>
                <w:rFonts w:cs="Calibri"/>
                <w:color w:val="000000"/>
              </w:rPr>
              <w:t>przegląd pozwoleń wodnoprawnych związanych z poborem wód podziemnych</w:t>
            </w:r>
            <w:r>
              <w:rPr>
                <w:rFonts w:cs="Calibri"/>
                <w:color w:val="000000"/>
              </w:rP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48F9122C" w14:textId="77777777" w:rsidR="003A6EF0" w:rsidRPr="00190079" w:rsidRDefault="003A6EF0" w:rsidP="00BD005D">
            <w:pPr>
              <w:pStyle w:val="Teksttabelisrodek"/>
              <w:rPr>
                <w:rFonts w:cs="Calibri"/>
                <w:color w:val="000000"/>
              </w:rPr>
            </w:pPr>
            <w:r>
              <w:rPr>
                <w:rFonts w:cs="Calibri"/>
                <w:color w:val="000000"/>
              </w:rPr>
              <w:t>działanie ciągłe</w:t>
            </w:r>
          </w:p>
        </w:tc>
      </w:tr>
    </w:tbl>
    <w:bookmarkEnd w:id="459"/>
    <w:p w14:paraId="1103BD6C" w14:textId="3684718F" w:rsidR="00DA391F" w:rsidRPr="004C642E" w:rsidRDefault="00DA391F" w:rsidP="00DA391F">
      <w:pPr>
        <w:pStyle w:val="rdo0"/>
      </w:pPr>
      <w:r w:rsidRPr="001D32AB">
        <w:t xml:space="preserve">Źródło: </w:t>
      </w:r>
      <w:r w:rsidR="007C57BA">
        <w:t xml:space="preserve">opracowanie </w:t>
      </w:r>
      <w:r w:rsidR="00231528">
        <w:t>własne</w:t>
      </w:r>
      <w:r w:rsidRPr="001D32AB">
        <w:t xml:space="preserve"> na podstawie Ocen</w:t>
      </w:r>
      <w:r w:rsidR="00AA103A">
        <w:t>y</w:t>
      </w:r>
      <w:r w:rsidRPr="001D32AB">
        <w:t xml:space="preserve"> wdrożenia programów działań jcwp i jcwpd (2020)</w:t>
      </w:r>
    </w:p>
    <w:p w14:paraId="37588581" w14:textId="74E2085C" w:rsidR="00D826AE" w:rsidRDefault="0061199B" w:rsidP="00DA391F">
      <w:pPr>
        <w:widowControl w:val="0"/>
        <w:suppressAutoHyphens/>
        <w:autoSpaceDE w:val="0"/>
        <w:autoSpaceDN w:val="0"/>
        <w:adjustRightInd w:val="0"/>
        <w:spacing w:before="21" w:line="243" w:lineRule="auto"/>
        <w:ind w:right="113"/>
        <w:rPr>
          <w:rFonts w:asciiTheme="minorHAnsi" w:hAnsiTheme="minorHAnsi" w:cstheme="minorHAnsi"/>
          <w:color w:val="000000"/>
        </w:rPr>
      </w:pPr>
      <w:r w:rsidRPr="00DB7B72">
        <w:rPr>
          <w:rFonts w:asciiTheme="minorHAnsi" w:hAnsiTheme="minorHAnsi" w:cstheme="minorHAnsi"/>
          <w:color w:val="000000"/>
        </w:rPr>
        <w:t>Działania z grupy dostęp do informacji są realizowane w trybie ciągłym</w:t>
      </w:r>
      <w:r>
        <w:rPr>
          <w:rFonts w:asciiTheme="minorHAnsi" w:hAnsiTheme="minorHAnsi" w:cstheme="minorHAnsi"/>
          <w:color w:val="000000"/>
        </w:rPr>
        <w:t xml:space="preserve">, ogólny stopień ich wdrożenia oszacowany </w:t>
      </w:r>
      <w:r w:rsidRPr="005779B8">
        <w:rPr>
          <w:rFonts w:asciiTheme="minorHAnsi" w:hAnsiTheme="minorHAnsi" w:cstheme="minorHAnsi"/>
          <w:color w:val="000000"/>
        </w:rPr>
        <w:t>został na 42%</w:t>
      </w:r>
      <w:r w:rsidR="00FC3D42">
        <w:rPr>
          <w:rFonts w:asciiTheme="minorHAnsi" w:hAnsiTheme="minorHAnsi" w:cstheme="minorHAnsi"/>
          <w:color w:val="000000"/>
        </w:rPr>
        <w:t xml:space="preserve">. </w:t>
      </w:r>
      <w:r w:rsidR="000A1AC6" w:rsidRPr="00102BBF">
        <w:rPr>
          <w:rFonts w:asciiTheme="minorHAnsi" w:hAnsiTheme="minorHAnsi" w:cstheme="minorHAnsi"/>
          <w:color w:val="000000"/>
        </w:rPr>
        <w:t xml:space="preserve">Na podstawie wyników pracy </w:t>
      </w:r>
      <w:r w:rsidR="000A1AC6" w:rsidRPr="00102BBF">
        <w:rPr>
          <w:rFonts w:asciiTheme="minorHAnsi" w:hAnsiTheme="minorHAnsi" w:cstheme="minorHAnsi"/>
          <w:i/>
          <w:iCs/>
          <w:color w:val="000000"/>
        </w:rPr>
        <w:t>Ocena postępu we wdrażaniu programów działań dla jcwp i jcwpd wynikających z aPWŚK</w:t>
      </w:r>
      <w:r w:rsidR="000A1AC6" w:rsidRPr="00102BBF">
        <w:rPr>
          <w:rFonts w:asciiTheme="minorHAnsi" w:hAnsiTheme="minorHAnsi" w:cstheme="minorHAnsi"/>
          <w:color w:val="000000"/>
        </w:rPr>
        <w:t xml:space="preserve"> w</w:t>
      </w:r>
      <w:r w:rsidR="000A1AC6" w:rsidRPr="002D6624">
        <w:rPr>
          <w:rFonts w:asciiTheme="minorHAnsi" w:hAnsiTheme="minorHAnsi" w:cstheme="minorHAnsi"/>
          <w:color w:val="000000"/>
        </w:rPr>
        <w:t xml:space="preserve"> obrębie grupy działań organizacyjno-prawnych stopień wdrożenia działań oszacowano, podobnie jak w</w:t>
      </w:r>
      <w:r w:rsidR="000A1AC6">
        <w:rPr>
          <w:rFonts w:asciiTheme="minorHAnsi" w:hAnsiTheme="minorHAnsi" w:cstheme="minorHAnsi"/>
          <w:color w:val="000000"/>
        </w:rPr>
        <w:t> </w:t>
      </w:r>
      <w:r w:rsidR="000A1AC6" w:rsidRPr="002D6624">
        <w:rPr>
          <w:rFonts w:asciiTheme="minorHAnsi" w:hAnsiTheme="minorHAnsi" w:cstheme="minorHAnsi"/>
          <w:color w:val="000000"/>
        </w:rPr>
        <w:t>przypadku działań z</w:t>
      </w:r>
      <w:r w:rsidR="000A1AC6">
        <w:rPr>
          <w:rFonts w:asciiTheme="minorHAnsi" w:hAnsiTheme="minorHAnsi" w:cstheme="minorHAnsi"/>
          <w:color w:val="000000"/>
        </w:rPr>
        <w:t> </w:t>
      </w:r>
      <w:r w:rsidR="000A1AC6" w:rsidRPr="002D6624">
        <w:rPr>
          <w:rFonts w:asciiTheme="minorHAnsi" w:hAnsiTheme="minorHAnsi" w:cstheme="minorHAnsi"/>
          <w:color w:val="000000"/>
        </w:rPr>
        <w:t>grupy dostęp do informacji, na</w:t>
      </w:r>
      <w:r w:rsidR="000A1AC6">
        <w:rPr>
          <w:rFonts w:asciiTheme="minorHAnsi" w:hAnsiTheme="minorHAnsi" w:cstheme="minorHAnsi"/>
          <w:color w:val="000000"/>
        </w:rPr>
        <w:t> </w:t>
      </w:r>
      <w:r w:rsidR="000A1AC6" w:rsidRPr="002D6624">
        <w:rPr>
          <w:rFonts w:asciiTheme="minorHAnsi" w:hAnsiTheme="minorHAnsi" w:cstheme="minorHAnsi"/>
          <w:color w:val="000000"/>
        </w:rPr>
        <w:t>poziomie 42% (wykres 13-</w:t>
      </w:r>
      <w:r w:rsidR="000A1AC6">
        <w:rPr>
          <w:rFonts w:asciiTheme="minorHAnsi" w:hAnsiTheme="minorHAnsi" w:cstheme="minorHAnsi"/>
          <w:color w:val="000000"/>
        </w:rPr>
        <w:t>1</w:t>
      </w:r>
      <w:r w:rsidR="000A1AC6" w:rsidRPr="002D6624">
        <w:rPr>
          <w:rFonts w:asciiTheme="minorHAnsi" w:hAnsiTheme="minorHAnsi" w:cstheme="minorHAnsi"/>
          <w:color w:val="000000"/>
        </w:rPr>
        <w:t>).</w:t>
      </w:r>
    </w:p>
    <w:p w14:paraId="0D263CDF" w14:textId="13977185" w:rsidR="00DA391F" w:rsidRPr="001D32AB" w:rsidRDefault="000A1AC6" w:rsidP="00DA391F">
      <w:pPr>
        <w:widowControl w:val="0"/>
        <w:autoSpaceDE w:val="0"/>
        <w:autoSpaceDN w:val="0"/>
        <w:adjustRightInd w:val="0"/>
        <w:spacing w:before="167" w:line="336" w:lineRule="auto"/>
        <w:ind w:right="50"/>
        <w:jc w:val="center"/>
        <w:rPr>
          <w:rFonts w:asciiTheme="minorHAnsi" w:hAnsiTheme="minorHAnsi" w:cstheme="minorHAnsi"/>
          <w:color w:val="000000"/>
          <w:sz w:val="20"/>
          <w:szCs w:val="20"/>
        </w:rPr>
      </w:pPr>
      <w:r w:rsidRPr="00DB2311">
        <w:rPr>
          <w:noProof/>
        </w:rPr>
        <w:drawing>
          <wp:inline distT="0" distB="0" distL="0" distR="0" wp14:anchorId="33EABB4E" wp14:editId="4F207DD2">
            <wp:extent cx="4572000" cy="2743200"/>
            <wp:effectExtent l="0" t="0" r="0" b="0"/>
            <wp:docPr id="20" name="Wykres 255">
              <a:extLst xmlns:a="http://schemas.openxmlformats.org/drawingml/2006/main">
                <a:ext uri="{FF2B5EF4-FFF2-40B4-BE49-F238E27FC236}">
                  <a16:creationId xmlns:a16="http://schemas.microsoft.com/office/drawing/2014/main" id="{FBCF32C2-1992-4E7F-A2D9-6248101482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EF9E1E0" w14:textId="58B86215" w:rsidR="00DA391F" w:rsidRPr="001D32AB" w:rsidRDefault="00DA391F" w:rsidP="003F4A95">
      <w:pPr>
        <w:pStyle w:val="Wykres"/>
        <w:rPr>
          <w:i/>
        </w:rPr>
      </w:pPr>
      <w:bookmarkStart w:id="460" w:name="_Toc66311480"/>
      <w:bookmarkStart w:id="461" w:name="_Toc68727135"/>
      <w:r w:rsidRPr="001D32AB">
        <w:t xml:space="preserve">Wykres </w:t>
      </w:r>
      <w:fldSimple w:instr=" STYLEREF 1 \s ">
        <w:r w:rsidR="000A1AC6">
          <w:rPr>
            <w:noProof/>
          </w:rPr>
          <w:t>13</w:t>
        </w:r>
      </w:fldSimple>
      <w:r w:rsidR="00EF3FD3">
        <w:noBreakHyphen/>
      </w:r>
      <w:fldSimple w:instr=" SEQ Wykres \* ARABIC \s 1 ">
        <w:r w:rsidR="000A1AC6">
          <w:rPr>
            <w:noProof/>
          </w:rPr>
          <w:t>1</w:t>
        </w:r>
      </w:fldSimple>
      <w:r w:rsidRPr="001D32AB">
        <w:tab/>
        <w:t>Stan realizacji działań z grupy działania organizacyjno-prawne</w:t>
      </w:r>
      <w:r>
        <w:t xml:space="preserve"> - jcwpd</w:t>
      </w:r>
      <w:bookmarkEnd w:id="460"/>
      <w:bookmarkEnd w:id="461"/>
    </w:p>
    <w:p w14:paraId="235AFDF5" w14:textId="0F60B0E0" w:rsidR="00DA391F" w:rsidRPr="001D32AB" w:rsidRDefault="00DA391F" w:rsidP="00DA391F">
      <w:pPr>
        <w:pStyle w:val="rdo0"/>
      </w:pPr>
      <w:r w:rsidRPr="001D32AB">
        <w:t xml:space="preserve">Źródło: </w:t>
      </w:r>
      <w:r w:rsidR="00E05D9A">
        <w:t xml:space="preserve">opracowanie </w:t>
      </w:r>
      <w:r w:rsidR="00231528">
        <w:t>własne</w:t>
      </w:r>
      <w:r w:rsidRPr="001D32AB">
        <w:t xml:space="preserve"> na podstawie Ocen</w:t>
      </w:r>
      <w:r w:rsidR="00A85FCB">
        <w:t>y</w:t>
      </w:r>
      <w:r w:rsidRPr="001D32AB">
        <w:t xml:space="preserve"> wdrożenia programów działań jcwp i jcwpd (2020)</w:t>
      </w:r>
    </w:p>
    <w:p w14:paraId="20CFF27F" w14:textId="5B3A9CB6" w:rsidR="0061199B" w:rsidRPr="0061199B" w:rsidRDefault="0061199B" w:rsidP="0061199B">
      <w:pPr>
        <w:suppressAutoHyphens/>
        <w:rPr>
          <w:rFonts w:asciiTheme="minorHAnsi" w:hAnsiTheme="minorHAnsi" w:cstheme="minorBidi"/>
        </w:rPr>
      </w:pPr>
      <w:r w:rsidRPr="0061199B">
        <w:rPr>
          <w:rFonts w:asciiTheme="minorHAnsi" w:hAnsiTheme="minorHAnsi" w:cstheme="minorBidi"/>
        </w:rPr>
        <w:t>Żadne z niezrealizowanych działań dla jcwpd, wskazanych przez KZGW i RZGW</w:t>
      </w:r>
      <w:r w:rsidR="00F53455">
        <w:rPr>
          <w:rFonts w:asciiTheme="minorHAnsi" w:hAnsiTheme="minorHAnsi" w:cstheme="minorBidi"/>
        </w:rPr>
        <w:t xml:space="preserve"> WP</w:t>
      </w:r>
      <w:r w:rsidRPr="0061199B">
        <w:rPr>
          <w:rFonts w:asciiTheme="minorHAnsi" w:hAnsiTheme="minorHAnsi" w:cstheme="minorBidi"/>
        </w:rPr>
        <w:t>, nie odnosi się do stanu ilościowego wód podziemnych. Jedynie ZZ na obszarze dorzecza Pregoły wykazało jedno działanie: coroczne raportowanie pomiarów ilości eksploatowanych wód podziemnych przez właściciela/użytkownika ujęcia, które nie zostało zrealizowane. </w:t>
      </w:r>
    </w:p>
    <w:p w14:paraId="6496C59B" w14:textId="3ADCB9BA" w:rsidR="0061199B" w:rsidRPr="0061199B" w:rsidRDefault="0061199B" w:rsidP="0061199B">
      <w:pPr>
        <w:suppressAutoHyphens/>
        <w:rPr>
          <w:rFonts w:asciiTheme="minorHAnsi" w:hAnsiTheme="minorHAnsi" w:cstheme="minorBidi"/>
        </w:rPr>
      </w:pPr>
      <w:r w:rsidRPr="0061199B">
        <w:rPr>
          <w:rFonts w:asciiTheme="minorHAnsi" w:hAnsiTheme="minorHAnsi" w:cstheme="minorBidi"/>
        </w:rPr>
        <w:t>Działanie te prawdopodobnie nie zostało zrealizowane ze względu na zmiany prawne zachodzące w</w:t>
      </w:r>
      <w:r w:rsidR="00C4673D">
        <w:rPr>
          <w:rFonts w:asciiTheme="minorHAnsi" w:hAnsiTheme="minorHAnsi" w:cstheme="minorBidi"/>
        </w:rPr>
        <w:t> </w:t>
      </w:r>
      <w:r w:rsidRPr="0061199B">
        <w:rPr>
          <w:rFonts w:asciiTheme="minorHAnsi" w:hAnsiTheme="minorHAnsi" w:cstheme="minorBidi"/>
        </w:rPr>
        <w:t xml:space="preserve">poprzednim cyklu planistycznym (wejście w życie nowej ustawy pr.w.) lub zostało zrealizowane pośrednio w ramach innych działań wynikających z ustawy pr.w. </w:t>
      </w:r>
    </w:p>
    <w:p w14:paraId="0727B27D" w14:textId="5795654E" w:rsidR="0061199B" w:rsidRPr="0061199B" w:rsidRDefault="0061199B" w:rsidP="0061199B">
      <w:pPr>
        <w:suppressAutoHyphens/>
        <w:rPr>
          <w:rFonts w:asciiTheme="minorHAnsi" w:hAnsiTheme="minorHAnsi" w:cstheme="minorBidi"/>
        </w:rPr>
      </w:pPr>
      <w:r w:rsidRPr="0061199B">
        <w:rPr>
          <w:rFonts w:asciiTheme="minorHAnsi" w:hAnsiTheme="minorHAnsi" w:cstheme="minorBidi"/>
        </w:rPr>
        <w:t>W ramach IIaPGW wypracowane katalogi działań zawierają zarówno działania podstawowe, jak i</w:t>
      </w:r>
      <w:r w:rsidR="00535A2B">
        <w:rPr>
          <w:rFonts w:asciiTheme="minorHAnsi" w:hAnsiTheme="minorHAnsi" w:cstheme="minorBidi"/>
        </w:rPr>
        <w:t> </w:t>
      </w:r>
      <w:r w:rsidRPr="0061199B">
        <w:rPr>
          <w:rFonts w:asciiTheme="minorHAnsi" w:hAnsiTheme="minorHAnsi" w:cstheme="minorBidi"/>
        </w:rPr>
        <w:t xml:space="preserve">uzupełniające w podziale na działania krajowe (realizowane we wszystkich jcw bez względu na zidentyfikowane presje znaczące) oraz działania przypisane do poszczególnych jcw na podstawie analizy znaczących oddziaływań. W przypadku działań dot. aspektu zaopatrzenia w wodę do spożycia, działania z aPWŚK zostały przyjęte do prolongaty </w:t>
      </w:r>
      <w:r w:rsidR="001C5B4B">
        <w:rPr>
          <w:rFonts w:asciiTheme="minorHAnsi" w:hAnsiTheme="minorHAnsi" w:cstheme="minorBidi"/>
        </w:rPr>
        <w:t xml:space="preserve">(kontynuacji) </w:t>
      </w:r>
      <w:r w:rsidRPr="0061199B">
        <w:rPr>
          <w:rFonts w:asciiTheme="minorHAnsi" w:hAnsiTheme="minorHAnsi" w:cstheme="minorBidi"/>
        </w:rPr>
        <w:t>przy uwzględnieniu koniecznych modyfikacji wynikających ze zmian wprowadzonych ustawą pr.w.</w:t>
      </w:r>
    </w:p>
    <w:p w14:paraId="716399A7" w14:textId="7B39B82A" w:rsidR="00DA391F" w:rsidRDefault="0061199B" w:rsidP="0061199B">
      <w:pPr>
        <w:suppressAutoHyphens/>
        <w:rPr>
          <w:rFonts w:asciiTheme="minorHAnsi" w:hAnsiTheme="minorHAnsi" w:cstheme="minorHAnsi"/>
        </w:rPr>
      </w:pPr>
      <w:r w:rsidRPr="0061199B">
        <w:rPr>
          <w:rFonts w:asciiTheme="minorHAnsi" w:hAnsiTheme="minorHAnsi" w:cstheme="minorBidi"/>
        </w:rPr>
        <w:t>Zaproponowanie działania w aspekcie realizacji celów środowiskowych i wymagań związanych z</w:t>
      </w:r>
      <w:r w:rsidR="00535A2B">
        <w:rPr>
          <w:rFonts w:asciiTheme="minorHAnsi" w:hAnsiTheme="minorHAnsi" w:cstheme="minorBidi"/>
        </w:rPr>
        <w:t> </w:t>
      </w:r>
      <w:r w:rsidRPr="0061199B">
        <w:rPr>
          <w:rFonts w:asciiTheme="minorHAnsi" w:hAnsiTheme="minorHAnsi" w:cstheme="minorBidi"/>
        </w:rPr>
        <w:t xml:space="preserve">zaopatrzeniem w wodę, na poziomie krajowym przedstawione zostały w </w:t>
      </w:r>
      <w:r w:rsidRPr="005779B8">
        <w:rPr>
          <w:rFonts w:asciiTheme="minorHAnsi" w:hAnsiTheme="minorHAnsi" w:cstheme="minorBidi"/>
        </w:rPr>
        <w:t xml:space="preserve">poniższej </w:t>
      </w:r>
      <w:r w:rsidR="00DA391F" w:rsidRPr="005779B8">
        <w:rPr>
          <w:rFonts w:asciiTheme="minorHAnsi" w:hAnsiTheme="minorHAnsi" w:cstheme="minorHAnsi"/>
        </w:rPr>
        <w:t>tabeli 13-</w:t>
      </w:r>
      <w:r w:rsidRPr="005779B8">
        <w:rPr>
          <w:rFonts w:asciiTheme="minorHAnsi" w:hAnsiTheme="minorHAnsi" w:cstheme="minorHAnsi"/>
        </w:rPr>
        <w:t>7</w:t>
      </w:r>
      <w:r w:rsidR="00DA391F" w:rsidRPr="005779B8">
        <w:rPr>
          <w:rFonts w:asciiTheme="minorHAnsi" w:hAnsiTheme="minorHAnsi" w:cstheme="minorHAnsi"/>
        </w:rPr>
        <w:t>.</w:t>
      </w:r>
    </w:p>
    <w:p w14:paraId="150A85FF" w14:textId="453F7D18" w:rsidR="00DA391F" w:rsidRDefault="00DA391F" w:rsidP="006802BB">
      <w:pPr>
        <w:pStyle w:val="Tabela"/>
      </w:pPr>
      <w:bookmarkStart w:id="462" w:name="_Toc66261852"/>
      <w:bookmarkStart w:id="463" w:name="_Toc66311354"/>
      <w:bookmarkStart w:id="464" w:name="_Toc68727047"/>
      <w:r w:rsidRPr="002D0D68">
        <w:t xml:space="preserve">Tabela </w:t>
      </w:r>
      <w:fldSimple w:instr=" STYLEREF 1 \s ">
        <w:r w:rsidR="005951CF">
          <w:rPr>
            <w:noProof/>
          </w:rPr>
          <w:t>13</w:t>
        </w:r>
      </w:fldSimple>
      <w:r w:rsidR="007B4050">
        <w:noBreakHyphen/>
      </w:r>
      <w:fldSimple w:instr=" SEQ Tabela \* ARABIC \s 1 ">
        <w:r w:rsidR="005951CF">
          <w:rPr>
            <w:noProof/>
          </w:rPr>
          <w:t>7</w:t>
        </w:r>
      </w:fldSimple>
      <w:r>
        <w:tab/>
        <w:t>P</w:t>
      </w:r>
      <w:r w:rsidR="000A1AC6">
        <w:t>rzykłady p</w:t>
      </w:r>
      <w:r w:rsidRPr="00AE0E55">
        <w:t>roponowan</w:t>
      </w:r>
      <w:r w:rsidR="000A1AC6">
        <w:t>ych</w:t>
      </w:r>
      <w:r>
        <w:t xml:space="preserve"> </w:t>
      </w:r>
      <w:r w:rsidRPr="00AE0E55">
        <w:t>działa</w:t>
      </w:r>
      <w:r w:rsidR="000A1AC6">
        <w:t>ń krajowych,</w:t>
      </w:r>
      <w:r>
        <w:t xml:space="preserve"> wspólnych d</w:t>
      </w:r>
      <w:r w:rsidRPr="00AE0E55">
        <w:t>la wszystkich jcw</w:t>
      </w:r>
      <w:r>
        <w:t xml:space="preserve">p - obszar </w:t>
      </w:r>
      <w:r w:rsidRPr="00AE0E55">
        <w:t xml:space="preserve">dorzecza </w:t>
      </w:r>
      <w:bookmarkEnd w:id="462"/>
      <w:bookmarkEnd w:id="463"/>
      <w:r w:rsidR="0061199B">
        <w:t>Pregoły</w:t>
      </w:r>
      <w:bookmarkEnd w:id="4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8"/>
        <w:gridCol w:w="4013"/>
        <w:gridCol w:w="1559"/>
        <w:gridCol w:w="1552"/>
      </w:tblGrid>
      <w:tr w:rsidR="00EE4018" w:rsidRPr="00190079" w14:paraId="1F94DE1C" w14:textId="77777777" w:rsidTr="00EE4018">
        <w:trPr>
          <w:trHeight w:val="454"/>
          <w:tblHeader/>
        </w:trPr>
        <w:tc>
          <w:tcPr>
            <w:tcW w:w="1938" w:type="dxa"/>
            <w:shd w:val="clear" w:color="auto" w:fill="BFBFBF" w:themeFill="background1" w:themeFillShade="BF"/>
            <w:vAlign w:val="center"/>
            <w:hideMark/>
          </w:tcPr>
          <w:p w14:paraId="3F2113CC" w14:textId="77777777" w:rsidR="00EE4018" w:rsidRPr="00190079" w:rsidRDefault="00EE4018" w:rsidP="00BD005D">
            <w:pPr>
              <w:pStyle w:val="Teksttabelinaglowek"/>
            </w:pPr>
            <w:bookmarkStart w:id="465" w:name="_Hlk67644428"/>
            <w:r w:rsidRPr="00190079">
              <w:t>Grupa działań</w:t>
            </w:r>
          </w:p>
        </w:tc>
        <w:tc>
          <w:tcPr>
            <w:tcW w:w="4013" w:type="dxa"/>
            <w:shd w:val="clear" w:color="auto" w:fill="BFBFBF" w:themeFill="background1" w:themeFillShade="BF"/>
            <w:vAlign w:val="center"/>
            <w:hideMark/>
          </w:tcPr>
          <w:p w14:paraId="7301574B" w14:textId="77777777" w:rsidR="00EE4018" w:rsidRPr="00190079" w:rsidRDefault="00EE4018" w:rsidP="00BD005D">
            <w:pPr>
              <w:pStyle w:val="Teksttabelinaglowek"/>
            </w:pPr>
            <w:r w:rsidRPr="00190079">
              <w:t>Nazwa działania</w:t>
            </w:r>
          </w:p>
        </w:tc>
        <w:tc>
          <w:tcPr>
            <w:tcW w:w="1559" w:type="dxa"/>
            <w:shd w:val="clear" w:color="auto" w:fill="BFBFBF" w:themeFill="background1" w:themeFillShade="BF"/>
            <w:vAlign w:val="center"/>
            <w:hideMark/>
          </w:tcPr>
          <w:p w14:paraId="157EBE74" w14:textId="77777777" w:rsidR="00EE4018" w:rsidRPr="00190079" w:rsidRDefault="00EE4018" w:rsidP="00BD005D">
            <w:pPr>
              <w:pStyle w:val="Teksttabelinaglowek"/>
            </w:pPr>
            <w:r>
              <w:t>D</w:t>
            </w:r>
            <w:r w:rsidRPr="00190079">
              <w:t>ziałanie nowe / prolongata</w:t>
            </w:r>
            <w:r>
              <w:t>*</w:t>
            </w:r>
          </w:p>
        </w:tc>
        <w:tc>
          <w:tcPr>
            <w:tcW w:w="1552" w:type="dxa"/>
            <w:shd w:val="clear" w:color="auto" w:fill="BFBFBF" w:themeFill="background1" w:themeFillShade="BF"/>
            <w:vAlign w:val="center"/>
          </w:tcPr>
          <w:p w14:paraId="3A5D1253" w14:textId="77777777" w:rsidR="00EE4018" w:rsidRPr="00190079" w:rsidRDefault="00EE4018" w:rsidP="00BD005D">
            <w:pPr>
              <w:pStyle w:val="Teksttabelinaglowek"/>
            </w:pPr>
            <w:r>
              <w:t>Harmonogram realizacji</w:t>
            </w:r>
          </w:p>
        </w:tc>
      </w:tr>
      <w:tr w:rsidR="00EE4018" w:rsidRPr="00190079" w14:paraId="325B4776" w14:textId="77777777" w:rsidTr="00EE4018">
        <w:trPr>
          <w:trHeight w:val="454"/>
        </w:trPr>
        <w:tc>
          <w:tcPr>
            <w:tcW w:w="1938" w:type="dxa"/>
            <w:shd w:val="clear" w:color="auto" w:fill="FFFFFF" w:themeFill="background1"/>
            <w:vAlign w:val="center"/>
          </w:tcPr>
          <w:p w14:paraId="2D19977D" w14:textId="77777777" w:rsidR="00EE4018" w:rsidRPr="00190079" w:rsidRDefault="00EE4018" w:rsidP="00BD005D">
            <w:pPr>
              <w:pStyle w:val="Teksttabelilewy"/>
            </w:pPr>
            <w:r w:rsidRPr="00190079">
              <w:t>Gospodarka komunalna</w:t>
            </w:r>
          </w:p>
        </w:tc>
        <w:tc>
          <w:tcPr>
            <w:tcW w:w="4013" w:type="dxa"/>
            <w:shd w:val="clear" w:color="auto" w:fill="FFFFFF" w:themeFill="background1"/>
            <w:vAlign w:val="center"/>
          </w:tcPr>
          <w:p w14:paraId="49D55C8B" w14:textId="77777777" w:rsidR="00EE4018" w:rsidRPr="00190079" w:rsidRDefault="00EE4018" w:rsidP="00E03BD1">
            <w:pPr>
              <w:pStyle w:val="Teksttabelilewy"/>
              <w:jc w:val="left"/>
              <w:rPr>
                <w:rFonts w:cs="Calibri"/>
              </w:rPr>
            </w:pPr>
            <w:r w:rsidRPr="00780D86">
              <w:rPr>
                <w:rFonts w:cs="Calibri"/>
              </w:rPr>
              <w:t>Zakaz wprowadzania wód opadowych lub roztopowych, ujętych w otwarte lub zamknięte systemy kanalizacji deszczowej służące do odprowadzania opadów atmosferycznych bezpośrednio do wód podziemnych</w:t>
            </w:r>
            <w:r>
              <w:rPr>
                <w:rFonts w:cs="Calibri"/>
              </w:rPr>
              <w:t xml:space="preserve"> (działanie podstawowe)</w:t>
            </w:r>
          </w:p>
        </w:tc>
        <w:tc>
          <w:tcPr>
            <w:tcW w:w="1559" w:type="dxa"/>
            <w:shd w:val="clear" w:color="auto" w:fill="FFFFFF" w:themeFill="background1"/>
            <w:vAlign w:val="center"/>
          </w:tcPr>
          <w:p w14:paraId="194C1AF0" w14:textId="77777777" w:rsidR="00EE4018" w:rsidRPr="00190079" w:rsidRDefault="00EE4018" w:rsidP="00E03BD1">
            <w:pPr>
              <w:pStyle w:val="Teksttabelisrodek"/>
              <w:ind w:left="0"/>
            </w:pPr>
            <w:r w:rsidRPr="00190079">
              <w:t>działanie nowe</w:t>
            </w:r>
          </w:p>
        </w:tc>
        <w:tc>
          <w:tcPr>
            <w:tcW w:w="1552" w:type="dxa"/>
            <w:shd w:val="clear" w:color="auto" w:fill="FFFFFF" w:themeFill="background1"/>
            <w:vAlign w:val="center"/>
          </w:tcPr>
          <w:p w14:paraId="17B225E2" w14:textId="77777777" w:rsidR="00EE4018" w:rsidRPr="00190079" w:rsidRDefault="00EE4018" w:rsidP="00E03BD1">
            <w:pPr>
              <w:pStyle w:val="Teksttabelisrodek"/>
              <w:ind w:left="0"/>
            </w:pPr>
            <w:r>
              <w:t>działanie ciągłe</w:t>
            </w:r>
          </w:p>
        </w:tc>
      </w:tr>
      <w:tr w:rsidR="00EE4018" w:rsidRPr="00190079" w14:paraId="0ECDA142" w14:textId="77777777" w:rsidTr="00EE4018">
        <w:trPr>
          <w:trHeight w:val="454"/>
        </w:trPr>
        <w:tc>
          <w:tcPr>
            <w:tcW w:w="1938" w:type="dxa"/>
            <w:shd w:val="clear" w:color="auto" w:fill="FFFFFF" w:themeFill="background1"/>
            <w:vAlign w:val="center"/>
          </w:tcPr>
          <w:p w14:paraId="208170E7" w14:textId="77777777" w:rsidR="00EE4018" w:rsidRPr="00190079" w:rsidRDefault="00EE4018" w:rsidP="00BD005D">
            <w:pPr>
              <w:pStyle w:val="Teksttabelilewy"/>
            </w:pPr>
            <w:r w:rsidRPr="00190079">
              <w:t>Kształtowanie stosunków wodnych oraz ochrona ekosystemów od wód zależnych</w:t>
            </w:r>
          </w:p>
        </w:tc>
        <w:tc>
          <w:tcPr>
            <w:tcW w:w="4013" w:type="dxa"/>
            <w:shd w:val="clear" w:color="auto" w:fill="FFFFFF" w:themeFill="background1"/>
            <w:vAlign w:val="center"/>
          </w:tcPr>
          <w:p w14:paraId="20D523DD" w14:textId="77777777" w:rsidR="00EE4018" w:rsidRPr="00190079" w:rsidRDefault="00EE4018" w:rsidP="00E03BD1">
            <w:pPr>
              <w:pStyle w:val="Teksttabelilewy"/>
              <w:jc w:val="left"/>
              <w:rPr>
                <w:rFonts w:cs="Calibri"/>
              </w:rPr>
            </w:pPr>
            <w:r w:rsidRPr="00985E78">
              <w:rPr>
                <w:rFonts w:cs="Calibri"/>
              </w:rPr>
              <w:t>Uzgadnianie projektów aktów prawa miejscowego ustanawiających strefy ochronne  obejmujące teren ochrony bezpośredniej i teren ochrony pośredniej</w:t>
            </w:r>
            <w:r>
              <w:rPr>
                <w:rFonts w:cs="Calibri"/>
              </w:rPr>
              <w:t xml:space="preserve"> (działanie podstawowe)</w:t>
            </w:r>
          </w:p>
        </w:tc>
        <w:tc>
          <w:tcPr>
            <w:tcW w:w="1559" w:type="dxa"/>
            <w:shd w:val="clear" w:color="auto" w:fill="FFFFFF" w:themeFill="background1"/>
            <w:vAlign w:val="center"/>
          </w:tcPr>
          <w:p w14:paraId="2BCD95E0" w14:textId="77777777" w:rsidR="00EE4018" w:rsidRPr="00190079" w:rsidRDefault="00EE4018" w:rsidP="00E03BD1">
            <w:pPr>
              <w:pStyle w:val="Teksttabelisrodek"/>
              <w:ind w:left="0"/>
            </w:pPr>
            <w:r w:rsidRPr="00190079">
              <w:t>działanie nowe</w:t>
            </w:r>
          </w:p>
        </w:tc>
        <w:tc>
          <w:tcPr>
            <w:tcW w:w="1552" w:type="dxa"/>
            <w:shd w:val="clear" w:color="auto" w:fill="FFFFFF" w:themeFill="background1"/>
            <w:vAlign w:val="center"/>
          </w:tcPr>
          <w:p w14:paraId="08FB7BE2" w14:textId="77777777" w:rsidR="00EE4018" w:rsidRPr="00190079" w:rsidRDefault="00EE4018" w:rsidP="00E03BD1">
            <w:pPr>
              <w:pStyle w:val="Teksttabelisrodek"/>
              <w:ind w:left="0"/>
            </w:pPr>
            <w:r>
              <w:t>działanie ciągłe</w:t>
            </w:r>
          </w:p>
        </w:tc>
      </w:tr>
      <w:tr w:rsidR="00EE4018" w:rsidRPr="00190079" w14:paraId="7F859482" w14:textId="77777777" w:rsidTr="00EE4018">
        <w:trPr>
          <w:trHeight w:val="454"/>
        </w:trPr>
        <w:tc>
          <w:tcPr>
            <w:tcW w:w="1938" w:type="dxa"/>
            <w:shd w:val="clear" w:color="auto" w:fill="FFFFFF" w:themeFill="background1"/>
            <w:vAlign w:val="center"/>
          </w:tcPr>
          <w:p w14:paraId="61ED12E4" w14:textId="77777777" w:rsidR="00EE4018" w:rsidRPr="00190079" w:rsidRDefault="00EE4018" w:rsidP="00BD005D">
            <w:pPr>
              <w:pStyle w:val="Teksttabelilewy"/>
            </w:pPr>
            <w:r w:rsidRPr="00190079">
              <w:t>Kształtowanie stosunków wodnych oraz ochrona ekosystemów od wód zależnych</w:t>
            </w:r>
          </w:p>
        </w:tc>
        <w:tc>
          <w:tcPr>
            <w:tcW w:w="4013" w:type="dxa"/>
            <w:shd w:val="clear" w:color="auto" w:fill="FFFFFF" w:themeFill="background1"/>
            <w:vAlign w:val="center"/>
          </w:tcPr>
          <w:p w14:paraId="5EFAA478" w14:textId="77777777" w:rsidR="00EE4018" w:rsidRPr="00190079" w:rsidRDefault="00EE4018" w:rsidP="00E03BD1">
            <w:pPr>
              <w:pStyle w:val="Teksttabelilewy"/>
              <w:jc w:val="left"/>
              <w:rPr>
                <w:rFonts w:cs="Calibri"/>
              </w:rPr>
            </w:pPr>
            <w:r w:rsidRPr="00B850B7">
              <w:rPr>
                <w:rFonts w:cs="Calibri"/>
              </w:rPr>
              <w:t>Obowiązek uwzględniania w aktach planowania przestrzennego zbiorników wód podziemnych, stref ochronnych ujęć wód i obszarów ochronnych zbiorników wód śródlądowych</w:t>
            </w:r>
            <w:r>
              <w:rPr>
                <w:rFonts w:cs="Calibri"/>
              </w:rPr>
              <w:t xml:space="preserve"> (działanie podstawowe)</w:t>
            </w:r>
          </w:p>
        </w:tc>
        <w:tc>
          <w:tcPr>
            <w:tcW w:w="1559" w:type="dxa"/>
            <w:shd w:val="clear" w:color="auto" w:fill="FFFFFF" w:themeFill="background1"/>
            <w:vAlign w:val="center"/>
          </w:tcPr>
          <w:p w14:paraId="50848229" w14:textId="77777777" w:rsidR="00EE4018" w:rsidRPr="00190079" w:rsidRDefault="00EE4018" w:rsidP="00E03BD1">
            <w:pPr>
              <w:pStyle w:val="Teksttabelisrodek"/>
              <w:ind w:left="0"/>
            </w:pPr>
            <w:r w:rsidRPr="00190079">
              <w:t>działanie nowe</w:t>
            </w:r>
          </w:p>
        </w:tc>
        <w:tc>
          <w:tcPr>
            <w:tcW w:w="1552" w:type="dxa"/>
            <w:shd w:val="clear" w:color="auto" w:fill="FFFFFF" w:themeFill="background1"/>
            <w:vAlign w:val="center"/>
          </w:tcPr>
          <w:p w14:paraId="06822E53" w14:textId="77777777" w:rsidR="00EE4018" w:rsidRPr="00190079" w:rsidRDefault="00EE4018" w:rsidP="00E03BD1">
            <w:pPr>
              <w:pStyle w:val="Teksttabelisrodek"/>
              <w:ind w:left="0"/>
            </w:pPr>
            <w:r>
              <w:t>działanie ciągłe</w:t>
            </w:r>
          </w:p>
        </w:tc>
      </w:tr>
      <w:tr w:rsidR="00EE4018" w:rsidRPr="00190079" w14:paraId="5F5A18AD" w14:textId="77777777" w:rsidTr="00EE4018">
        <w:trPr>
          <w:trHeight w:val="454"/>
        </w:trPr>
        <w:tc>
          <w:tcPr>
            <w:tcW w:w="1938" w:type="dxa"/>
            <w:shd w:val="clear" w:color="auto" w:fill="FFFFFF" w:themeFill="background1"/>
            <w:vAlign w:val="center"/>
          </w:tcPr>
          <w:p w14:paraId="35FE65AF" w14:textId="77777777" w:rsidR="00EE4018" w:rsidRPr="00190079" w:rsidRDefault="00EE4018" w:rsidP="00BD005D">
            <w:pPr>
              <w:pStyle w:val="Teksttabelilewy"/>
            </w:pPr>
            <w:r w:rsidRPr="00190079">
              <w:t>Kształtowanie stosunków wodnych oraz ochrona ekosystemów od wód zależnych</w:t>
            </w:r>
          </w:p>
        </w:tc>
        <w:tc>
          <w:tcPr>
            <w:tcW w:w="4013" w:type="dxa"/>
            <w:shd w:val="clear" w:color="auto" w:fill="FFFFFF" w:themeFill="background1"/>
            <w:vAlign w:val="center"/>
          </w:tcPr>
          <w:p w14:paraId="7B8FAB16" w14:textId="77777777" w:rsidR="00EE4018" w:rsidRPr="00190079" w:rsidRDefault="00EE4018" w:rsidP="00E03BD1">
            <w:pPr>
              <w:pStyle w:val="Teksttabelilewy"/>
              <w:jc w:val="left"/>
              <w:rPr>
                <w:rFonts w:cs="Calibri"/>
              </w:rPr>
            </w:pPr>
            <w:r w:rsidRPr="000F1CBB">
              <w:rPr>
                <w:rFonts w:cs="Calibri"/>
              </w:rPr>
              <w:t>Zakaz wprowadzania ścieków do wód i do ziemi w granicach obszarów ochronnych zbiorników wód śródlądowych, a także stref ochronnych ujęć wody, jeżeli byłoby to sprzeczne z warunkami ochrony</w:t>
            </w:r>
            <w:r>
              <w:rPr>
                <w:rFonts w:cs="Calibri"/>
              </w:rPr>
              <w:t xml:space="preserve"> (działanie podstawowe)</w:t>
            </w:r>
          </w:p>
        </w:tc>
        <w:tc>
          <w:tcPr>
            <w:tcW w:w="1559" w:type="dxa"/>
            <w:shd w:val="clear" w:color="auto" w:fill="FFFFFF" w:themeFill="background1"/>
            <w:vAlign w:val="center"/>
          </w:tcPr>
          <w:p w14:paraId="51A353E4" w14:textId="77777777" w:rsidR="00EE4018" w:rsidRPr="00190079" w:rsidRDefault="00EE4018" w:rsidP="00E03BD1">
            <w:pPr>
              <w:pStyle w:val="Teksttabelisrodek"/>
              <w:ind w:left="0"/>
            </w:pPr>
            <w:r w:rsidRPr="00190079">
              <w:t>działanie nowe</w:t>
            </w:r>
          </w:p>
        </w:tc>
        <w:tc>
          <w:tcPr>
            <w:tcW w:w="1552" w:type="dxa"/>
            <w:shd w:val="clear" w:color="auto" w:fill="FFFFFF" w:themeFill="background1"/>
            <w:vAlign w:val="center"/>
          </w:tcPr>
          <w:p w14:paraId="01D6370F" w14:textId="77777777" w:rsidR="00EE4018" w:rsidRPr="00190079" w:rsidRDefault="00EE4018" w:rsidP="00E03BD1">
            <w:pPr>
              <w:pStyle w:val="Teksttabelisrodek"/>
              <w:ind w:left="0"/>
            </w:pPr>
            <w:r>
              <w:t>działanie ciągłe</w:t>
            </w:r>
          </w:p>
        </w:tc>
      </w:tr>
      <w:tr w:rsidR="00EE4018" w:rsidRPr="00190079" w14:paraId="0A30405A" w14:textId="77777777" w:rsidTr="00EE4018">
        <w:trPr>
          <w:trHeight w:val="454"/>
        </w:trPr>
        <w:tc>
          <w:tcPr>
            <w:tcW w:w="1938" w:type="dxa"/>
            <w:shd w:val="clear" w:color="auto" w:fill="FFFFFF" w:themeFill="background1"/>
            <w:vAlign w:val="center"/>
          </w:tcPr>
          <w:p w14:paraId="4A9DF485" w14:textId="77777777" w:rsidR="00EE4018" w:rsidRPr="00190079" w:rsidRDefault="00EE4018" w:rsidP="00BD005D">
            <w:pPr>
              <w:pStyle w:val="Teksttabelilewy"/>
            </w:pPr>
            <w:r w:rsidRPr="00190079">
              <w:t>Kształtowanie stosunków wodnych oraz ochrona ekosystemów od wód zależnych</w:t>
            </w:r>
          </w:p>
        </w:tc>
        <w:tc>
          <w:tcPr>
            <w:tcW w:w="4013" w:type="dxa"/>
            <w:shd w:val="clear" w:color="auto" w:fill="FFFFFF" w:themeFill="background1"/>
            <w:vAlign w:val="center"/>
          </w:tcPr>
          <w:p w14:paraId="28BA63C4" w14:textId="77777777" w:rsidR="00EE4018" w:rsidRPr="00CF0623" w:rsidRDefault="00EE4018" w:rsidP="00E03BD1">
            <w:pPr>
              <w:pStyle w:val="Teksttabelilewy"/>
              <w:jc w:val="left"/>
              <w:rPr>
                <w:rFonts w:cs="Calibri"/>
              </w:rPr>
            </w:pPr>
            <w:r w:rsidRPr="008B4196">
              <w:rPr>
                <w:rFonts w:cs="Calibri"/>
                <w:lang w:eastAsia="pl-PL"/>
              </w:rPr>
              <w:t>Ograniczenie poboru wód podziemnych na obszarach i w okresach występowania suszy (niżówki hydrogeologicznej)</w:t>
            </w:r>
            <w:r>
              <w:rPr>
                <w:rFonts w:cs="Calibri"/>
                <w:lang w:eastAsia="pl-PL"/>
              </w:rPr>
              <w:t xml:space="preserve"> </w:t>
            </w:r>
            <w:r>
              <w:rPr>
                <w:rFonts w:cs="Calibri"/>
              </w:rPr>
              <w:t>(działanie podstawowe)</w:t>
            </w:r>
          </w:p>
        </w:tc>
        <w:tc>
          <w:tcPr>
            <w:tcW w:w="1559" w:type="dxa"/>
            <w:shd w:val="clear" w:color="auto" w:fill="FFFFFF" w:themeFill="background1"/>
            <w:vAlign w:val="center"/>
          </w:tcPr>
          <w:p w14:paraId="11921AB1" w14:textId="77777777" w:rsidR="00EE4018" w:rsidRPr="00190079" w:rsidRDefault="00EE4018" w:rsidP="00E03BD1">
            <w:pPr>
              <w:pStyle w:val="Teksttabelisrodek"/>
              <w:ind w:left="0"/>
            </w:pPr>
            <w:r w:rsidRPr="00190079">
              <w:t>działanie nowe</w:t>
            </w:r>
          </w:p>
        </w:tc>
        <w:tc>
          <w:tcPr>
            <w:tcW w:w="1552" w:type="dxa"/>
            <w:shd w:val="clear" w:color="auto" w:fill="FFFFFF" w:themeFill="background1"/>
            <w:vAlign w:val="center"/>
          </w:tcPr>
          <w:p w14:paraId="2D16AC87" w14:textId="77777777" w:rsidR="00EE4018" w:rsidRPr="00190079" w:rsidRDefault="00EE4018" w:rsidP="00E03BD1">
            <w:pPr>
              <w:pStyle w:val="Teksttabelisrodek"/>
              <w:ind w:left="0"/>
            </w:pPr>
            <w:r>
              <w:t>działanie ciągłe</w:t>
            </w:r>
          </w:p>
        </w:tc>
      </w:tr>
      <w:tr w:rsidR="00EE4018" w:rsidRPr="00190079" w14:paraId="4074202D" w14:textId="77777777" w:rsidTr="00EE4018">
        <w:trPr>
          <w:trHeight w:val="454"/>
        </w:trPr>
        <w:tc>
          <w:tcPr>
            <w:tcW w:w="1938" w:type="dxa"/>
            <w:shd w:val="clear" w:color="auto" w:fill="FFFFFF" w:themeFill="background1"/>
            <w:vAlign w:val="center"/>
          </w:tcPr>
          <w:p w14:paraId="54AC7A07" w14:textId="77777777" w:rsidR="00EE4018" w:rsidRPr="00190079" w:rsidRDefault="00EE4018" w:rsidP="00BD005D">
            <w:pPr>
              <w:pStyle w:val="Teksttabelilewy"/>
            </w:pPr>
            <w:r w:rsidRPr="00190079">
              <w:t>Projekt badawczo-rozwojowy</w:t>
            </w:r>
          </w:p>
        </w:tc>
        <w:tc>
          <w:tcPr>
            <w:tcW w:w="4013" w:type="dxa"/>
            <w:shd w:val="clear" w:color="auto" w:fill="FFFFFF" w:themeFill="background1"/>
            <w:vAlign w:val="center"/>
          </w:tcPr>
          <w:p w14:paraId="77D23083" w14:textId="77777777" w:rsidR="00EE4018" w:rsidRPr="00190079" w:rsidRDefault="00EE4018" w:rsidP="00E03BD1">
            <w:pPr>
              <w:pStyle w:val="Teksttabelilewy"/>
              <w:jc w:val="left"/>
              <w:rPr>
                <w:rFonts w:cs="Calibri"/>
              </w:rPr>
            </w:pPr>
            <w:r w:rsidRPr="008B4196">
              <w:rPr>
                <w:rFonts w:cs="Calibri"/>
                <w:lang w:eastAsia="pl-PL"/>
              </w:rPr>
              <w:t>Opracowanie spójnej w skali kraju metodyki wyznaczania jezior do objęcia obszarem ochronnym zbiorników wód śródlądowych, pozwalającej w jednoznaczny sposób wskazać procedurę typowania jezior do objęcia obszarem ochronnym. Metodyka taka powinna zostać w oparciu o badania pilotażowe zrealizowane na jeziorach o różnym stanie ekologicznym oraz uwarunkowaniach zlewniowych</w:t>
            </w:r>
            <w:r>
              <w:rPr>
                <w:rFonts w:cs="Calibri"/>
                <w:lang w:eastAsia="pl-PL"/>
              </w:rPr>
              <w:t xml:space="preserve"> </w:t>
            </w:r>
            <w:r>
              <w:rPr>
                <w:rFonts w:cs="Calibri"/>
              </w:rPr>
              <w:t>(działanie podstawowe)</w:t>
            </w:r>
          </w:p>
        </w:tc>
        <w:tc>
          <w:tcPr>
            <w:tcW w:w="1559" w:type="dxa"/>
            <w:shd w:val="clear" w:color="auto" w:fill="FFFFFF" w:themeFill="background1"/>
            <w:vAlign w:val="center"/>
          </w:tcPr>
          <w:p w14:paraId="559C06DA" w14:textId="77777777" w:rsidR="00EE4018" w:rsidRPr="00190079" w:rsidRDefault="00EE4018" w:rsidP="00E03BD1">
            <w:pPr>
              <w:pStyle w:val="Teksttabelisrodek"/>
              <w:ind w:left="0"/>
            </w:pPr>
            <w:r>
              <w:t>d</w:t>
            </w:r>
            <w:r w:rsidRPr="00190079">
              <w:t>ziałanie nowe</w:t>
            </w:r>
          </w:p>
        </w:tc>
        <w:tc>
          <w:tcPr>
            <w:tcW w:w="1552" w:type="dxa"/>
            <w:shd w:val="clear" w:color="auto" w:fill="FFFFFF" w:themeFill="background1"/>
            <w:vAlign w:val="center"/>
          </w:tcPr>
          <w:p w14:paraId="5DBFBD5F" w14:textId="77777777" w:rsidR="00EE4018" w:rsidRDefault="00EE4018" w:rsidP="00E03BD1">
            <w:pPr>
              <w:pStyle w:val="Teksttabelisrodek"/>
              <w:ind w:left="0"/>
            </w:pPr>
            <w:r>
              <w:t>2023</w:t>
            </w:r>
          </w:p>
        </w:tc>
      </w:tr>
      <w:tr w:rsidR="00EE4018" w:rsidRPr="00190079" w14:paraId="1DDF6971" w14:textId="77777777" w:rsidTr="00EE4018">
        <w:trPr>
          <w:trHeight w:val="454"/>
        </w:trPr>
        <w:tc>
          <w:tcPr>
            <w:tcW w:w="1938" w:type="dxa"/>
            <w:shd w:val="clear" w:color="auto" w:fill="FFFFFF" w:themeFill="background1"/>
            <w:vAlign w:val="center"/>
            <w:hideMark/>
          </w:tcPr>
          <w:p w14:paraId="2B31D8DA" w14:textId="77777777" w:rsidR="00EE4018" w:rsidRPr="00190079" w:rsidRDefault="00EE4018" w:rsidP="00BD005D">
            <w:pPr>
              <w:pStyle w:val="Teksttabelilewy"/>
            </w:pPr>
            <w:r w:rsidRPr="00190079">
              <w:t>Monitoring i ewaluacja</w:t>
            </w:r>
          </w:p>
        </w:tc>
        <w:tc>
          <w:tcPr>
            <w:tcW w:w="4013" w:type="dxa"/>
            <w:shd w:val="clear" w:color="auto" w:fill="FFFFFF" w:themeFill="background1"/>
            <w:vAlign w:val="center"/>
            <w:hideMark/>
          </w:tcPr>
          <w:p w14:paraId="3258FEC2" w14:textId="77777777" w:rsidR="00EE4018" w:rsidRPr="00190079" w:rsidRDefault="00EE4018" w:rsidP="00E03BD1">
            <w:pPr>
              <w:pStyle w:val="Teksttabelilewy"/>
              <w:jc w:val="left"/>
            </w:pPr>
            <w:r w:rsidRPr="008B4196">
              <w:rPr>
                <w:rFonts w:cs="Calibri"/>
                <w:lang w:eastAsia="pl-PL"/>
              </w:rPr>
              <w:t>Przegląd pozwoleń wodnoprawnych na pobór wód, a także realizacji tych pozwoleń, co najmniej raz na 4 lata</w:t>
            </w:r>
            <w:r>
              <w:rPr>
                <w:rFonts w:cs="Calibri"/>
                <w:lang w:eastAsia="pl-PL"/>
              </w:rPr>
              <w:t xml:space="preserve"> </w:t>
            </w:r>
            <w:r>
              <w:rPr>
                <w:rFonts w:cs="Calibri"/>
              </w:rPr>
              <w:t>(działanie podstawowe)</w:t>
            </w:r>
          </w:p>
        </w:tc>
        <w:tc>
          <w:tcPr>
            <w:tcW w:w="1559" w:type="dxa"/>
            <w:shd w:val="clear" w:color="auto" w:fill="FFFFFF" w:themeFill="background1"/>
            <w:vAlign w:val="center"/>
          </w:tcPr>
          <w:p w14:paraId="1B3230F8" w14:textId="77777777" w:rsidR="00EE4018" w:rsidRPr="00190079" w:rsidRDefault="00EE4018" w:rsidP="00E03BD1">
            <w:pPr>
              <w:pStyle w:val="Teksttabelisrodek"/>
              <w:ind w:left="0"/>
            </w:pPr>
            <w:r w:rsidRPr="00190079">
              <w:t>prolongata</w:t>
            </w:r>
          </w:p>
        </w:tc>
        <w:tc>
          <w:tcPr>
            <w:tcW w:w="1552" w:type="dxa"/>
            <w:shd w:val="clear" w:color="auto" w:fill="FFFFFF" w:themeFill="background1"/>
            <w:vAlign w:val="center"/>
          </w:tcPr>
          <w:p w14:paraId="6F8D616C" w14:textId="77777777" w:rsidR="00EE4018" w:rsidRPr="00190079" w:rsidRDefault="00EE4018" w:rsidP="00E03BD1">
            <w:pPr>
              <w:pStyle w:val="Teksttabelisrodek"/>
              <w:ind w:left="0"/>
            </w:pPr>
            <w:r>
              <w:t>działanie ciągłe</w:t>
            </w:r>
          </w:p>
        </w:tc>
      </w:tr>
      <w:tr w:rsidR="00EE4018" w:rsidRPr="00190079" w14:paraId="2BEF0EE3" w14:textId="77777777" w:rsidTr="00EE4018">
        <w:trPr>
          <w:trHeight w:val="454"/>
        </w:trPr>
        <w:tc>
          <w:tcPr>
            <w:tcW w:w="1938" w:type="dxa"/>
            <w:shd w:val="clear" w:color="auto" w:fill="FFFFFF" w:themeFill="background1"/>
            <w:vAlign w:val="center"/>
          </w:tcPr>
          <w:p w14:paraId="1EDCDB9C" w14:textId="77777777" w:rsidR="00EE4018" w:rsidRPr="00190079" w:rsidRDefault="00EE4018" w:rsidP="00BD005D">
            <w:pPr>
              <w:pStyle w:val="Teksttabelilewy"/>
            </w:pPr>
            <w:r w:rsidRPr="00190079">
              <w:t>Monitoring i ewaluacja</w:t>
            </w:r>
          </w:p>
        </w:tc>
        <w:tc>
          <w:tcPr>
            <w:tcW w:w="4013" w:type="dxa"/>
            <w:shd w:val="clear" w:color="auto" w:fill="FFFFFF" w:themeFill="background1"/>
            <w:vAlign w:val="center"/>
          </w:tcPr>
          <w:p w14:paraId="19E1B50F" w14:textId="77777777" w:rsidR="00EE4018" w:rsidRPr="00190079" w:rsidRDefault="00EE4018" w:rsidP="00E03BD1">
            <w:pPr>
              <w:pStyle w:val="Teksttabelilewy"/>
              <w:jc w:val="left"/>
            </w:pPr>
            <w:r w:rsidRPr="00F84931">
              <w:rPr>
                <w:rFonts w:cs="Calibri"/>
              </w:rPr>
              <w:t>Przegląd pozwoleń wodnoprawnych na wprowadzanie ścieków do wód lub do ziemi, lub do urządzeń kanalizacyjnych, a także realizacji tych pozwoleń, co najmniej raz na 4 lata</w:t>
            </w:r>
            <w:r>
              <w:rPr>
                <w:rFonts w:cs="Calibri"/>
              </w:rPr>
              <w:t xml:space="preserve"> (działanie podstawowe)</w:t>
            </w:r>
          </w:p>
        </w:tc>
        <w:tc>
          <w:tcPr>
            <w:tcW w:w="1559" w:type="dxa"/>
            <w:shd w:val="clear" w:color="auto" w:fill="FFFFFF" w:themeFill="background1"/>
            <w:vAlign w:val="center"/>
          </w:tcPr>
          <w:p w14:paraId="02EBBB92" w14:textId="77777777" w:rsidR="00EE4018" w:rsidRPr="00190079" w:rsidRDefault="00EE4018" w:rsidP="00E03BD1">
            <w:pPr>
              <w:pStyle w:val="Teksttabelisrodek"/>
              <w:ind w:left="0"/>
            </w:pPr>
            <w:r w:rsidRPr="00190079">
              <w:t>prolongata</w:t>
            </w:r>
          </w:p>
        </w:tc>
        <w:tc>
          <w:tcPr>
            <w:tcW w:w="1552" w:type="dxa"/>
            <w:shd w:val="clear" w:color="auto" w:fill="FFFFFF" w:themeFill="background1"/>
            <w:vAlign w:val="center"/>
          </w:tcPr>
          <w:p w14:paraId="28878F94" w14:textId="77777777" w:rsidR="00EE4018" w:rsidRPr="00190079" w:rsidRDefault="00EE4018" w:rsidP="00E03BD1">
            <w:pPr>
              <w:pStyle w:val="Teksttabelisrodek"/>
              <w:ind w:left="0"/>
            </w:pPr>
            <w:r>
              <w:t>działanie ciągłe</w:t>
            </w:r>
          </w:p>
        </w:tc>
      </w:tr>
    </w:tbl>
    <w:bookmarkEnd w:id="465"/>
    <w:p w14:paraId="2FAED44B" w14:textId="31A2F719" w:rsidR="00EE4018" w:rsidRPr="00E03BD1" w:rsidRDefault="00EE4018" w:rsidP="006802BB">
      <w:pPr>
        <w:pStyle w:val="Tabela"/>
        <w:rPr>
          <w:b w:val="0"/>
          <w:bCs/>
          <w:i/>
          <w:iCs w:val="0"/>
          <w:sz w:val="18"/>
          <w:szCs w:val="18"/>
        </w:rPr>
      </w:pPr>
      <w:r w:rsidRPr="00E03BD1">
        <w:rPr>
          <w:b w:val="0"/>
          <w:bCs/>
          <w:i/>
          <w:iCs w:val="0"/>
          <w:sz w:val="18"/>
          <w:szCs w:val="18"/>
        </w:rPr>
        <w:t xml:space="preserve">*prolongata </w:t>
      </w:r>
      <w:r w:rsidR="006C4947">
        <w:rPr>
          <w:b w:val="0"/>
          <w:bCs/>
          <w:i/>
          <w:iCs w:val="0"/>
          <w:sz w:val="18"/>
          <w:szCs w:val="18"/>
        </w:rPr>
        <w:t>-</w:t>
      </w:r>
      <w:r w:rsidRPr="00E03BD1">
        <w:rPr>
          <w:b w:val="0"/>
          <w:bCs/>
          <w:i/>
          <w:iCs w:val="0"/>
          <w:sz w:val="18"/>
          <w:szCs w:val="18"/>
        </w:rPr>
        <w:t xml:space="preserve"> działanie kontynuowane w stosunku do aPGW (2016-2021)</w:t>
      </w:r>
    </w:p>
    <w:p w14:paraId="0B6E42B7" w14:textId="77777777" w:rsidR="00231528" w:rsidRPr="001E4D45" w:rsidRDefault="00231528" w:rsidP="00231528">
      <w:pPr>
        <w:pStyle w:val="rdo0"/>
      </w:pPr>
      <w:r w:rsidRPr="001E4D45">
        <w:rPr>
          <w:lang w:eastAsia="zh-CN"/>
        </w:rPr>
        <w:t xml:space="preserve">Źródło: opracowanie </w:t>
      </w:r>
      <w:r>
        <w:rPr>
          <w:lang w:eastAsia="zh-CN"/>
        </w:rPr>
        <w:t>własne</w:t>
      </w:r>
    </w:p>
    <w:p w14:paraId="5BF51369" w14:textId="0E559DB4" w:rsidR="00DA391F" w:rsidRPr="005773AB" w:rsidRDefault="0061199B" w:rsidP="00DA391F">
      <w:pPr>
        <w:suppressAutoHyphens/>
        <w:rPr>
          <w:rFonts w:asciiTheme="minorHAnsi" w:hAnsiTheme="minorHAnsi" w:cstheme="minorBidi"/>
        </w:rPr>
      </w:pPr>
      <w:r w:rsidRPr="003A4611">
        <w:rPr>
          <w:rFonts w:asciiTheme="minorHAnsi" w:hAnsiTheme="minorHAnsi" w:cstheme="minorHAnsi"/>
        </w:rPr>
        <w:t>Jcwpd nr 20 i 21 charakteryzują się stanem dobrym. Celem środowiskowym obu jcwpd jest m.in. dobr</w:t>
      </w:r>
      <w:r w:rsidR="00102BBF">
        <w:rPr>
          <w:rFonts w:asciiTheme="minorHAnsi" w:hAnsiTheme="minorHAnsi" w:cstheme="minorHAnsi"/>
        </w:rPr>
        <w:t>y</w:t>
      </w:r>
      <w:r w:rsidRPr="003A4611">
        <w:rPr>
          <w:rFonts w:asciiTheme="minorHAnsi" w:hAnsiTheme="minorHAnsi" w:cstheme="minorHAnsi"/>
        </w:rPr>
        <w:t xml:space="preserve"> stan ilościow</w:t>
      </w:r>
      <w:r w:rsidR="00102BBF">
        <w:rPr>
          <w:rFonts w:asciiTheme="minorHAnsi" w:hAnsiTheme="minorHAnsi" w:cstheme="minorHAnsi"/>
        </w:rPr>
        <w:t>y</w:t>
      </w:r>
      <w:r w:rsidRPr="003A4611">
        <w:rPr>
          <w:rFonts w:asciiTheme="minorHAnsi" w:hAnsiTheme="minorHAnsi" w:cstheme="minorHAnsi"/>
        </w:rPr>
        <w:t xml:space="preserve"> wód podziemnych. Założono, że w przypadku obu jcwpd, do utrzymania dobrego stanu ilościowego wód podziemnych wystarczy realizacja działań zawartych w</w:t>
      </w:r>
      <w:r w:rsidR="003E68D6">
        <w:rPr>
          <w:rFonts w:asciiTheme="minorHAnsi" w:hAnsiTheme="minorHAnsi" w:cstheme="minorHAnsi"/>
        </w:rPr>
        <w:t> </w:t>
      </w:r>
      <w:r w:rsidRPr="003A4611">
        <w:rPr>
          <w:rFonts w:asciiTheme="minorHAnsi" w:hAnsiTheme="minorHAnsi" w:cstheme="minorHAnsi"/>
        </w:rPr>
        <w:t>katalogu krajowym.</w:t>
      </w:r>
      <w:r w:rsidR="005951CF" w:rsidRPr="005773AB">
        <w:rPr>
          <w:rFonts w:asciiTheme="minorHAnsi" w:hAnsiTheme="minorHAnsi" w:cstheme="minorBidi"/>
        </w:rPr>
        <w:t xml:space="preserve"> </w:t>
      </w:r>
    </w:p>
    <w:p w14:paraId="216D2DB9" w14:textId="06B5A01A" w:rsidR="00DA391F" w:rsidRPr="005779B8" w:rsidRDefault="005779B8" w:rsidP="00DA391F">
      <w:bookmarkStart w:id="466" w:name="_Hlk67459392"/>
      <w:r w:rsidRPr="00664927">
        <w:rPr>
          <w:rFonts w:asciiTheme="minorHAnsi" w:hAnsiTheme="minorHAnsi" w:cstheme="minorHAnsi"/>
        </w:rPr>
        <w:t xml:space="preserve">Wszystkie działania dla poszczególnych jcwp oraz jcwpd znajdują się w </w:t>
      </w:r>
      <w:r w:rsidRPr="003A4611">
        <w:rPr>
          <w:rFonts w:asciiTheme="minorHAnsi" w:hAnsiTheme="minorHAnsi" w:cstheme="minorHAnsi"/>
        </w:rPr>
        <w:t>zestaw</w:t>
      </w:r>
      <w:r w:rsidR="0041143C">
        <w:rPr>
          <w:rFonts w:asciiTheme="minorHAnsi" w:hAnsiTheme="minorHAnsi" w:cstheme="minorHAnsi"/>
        </w:rPr>
        <w:t>ach</w:t>
      </w:r>
      <w:r w:rsidRPr="003A4611">
        <w:rPr>
          <w:rFonts w:asciiTheme="minorHAnsi" w:hAnsiTheme="minorHAnsi" w:cstheme="minorHAnsi"/>
        </w:rPr>
        <w:t xml:space="preserve"> działań (załącznik</w:t>
      </w:r>
      <w:r w:rsidR="0041143C">
        <w:rPr>
          <w:rFonts w:asciiTheme="minorHAnsi" w:hAnsiTheme="minorHAnsi" w:cstheme="minorHAnsi"/>
        </w:rPr>
        <w:t>i</w:t>
      </w:r>
      <w:r w:rsidRPr="003A4611">
        <w:rPr>
          <w:rFonts w:asciiTheme="minorHAnsi" w:hAnsiTheme="minorHAnsi" w:cstheme="minorHAnsi"/>
        </w:rPr>
        <w:t xml:space="preserve"> nr</w:t>
      </w:r>
      <w:r>
        <w:rPr>
          <w:rFonts w:asciiTheme="minorHAnsi" w:hAnsiTheme="minorHAnsi" w:cstheme="minorHAnsi"/>
        </w:rPr>
        <w:t> </w:t>
      </w:r>
      <w:r w:rsidR="009E1FEB">
        <w:rPr>
          <w:rFonts w:asciiTheme="minorHAnsi" w:hAnsiTheme="minorHAnsi" w:cstheme="minorHAnsi"/>
        </w:rPr>
        <w:t>7</w:t>
      </w:r>
      <w:r w:rsidR="0041143C">
        <w:rPr>
          <w:rFonts w:asciiTheme="minorHAnsi" w:hAnsiTheme="minorHAnsi" w:cstheme="minorHAnsi"/>
        </w:rPr>
        <w:t>.3-</w:t>
      </w:r>
      <w:r w:rsidR="009E1FEB">
        <w:rPr>
          <w:rFonts w:asciiTheme="minorHAnsi" w:hAnsiTheme="minorHAnsi" w:cstheme="minorHAnsi"/>
        </w:rPr>
        <w:t>7</w:t>
      </w:r>
      <w:r w:rsidR="0041143C">
        <w:rPr>
          <w:rFonts w:asciiTheme="minorHAnsi" w:hAnsiTheme="minorHAnsi" w:cstheme="minorHAnsi"/>
        </w:rPr>
        <w:t>.5</w:t>
      </w:r>
      <w:r w:rsidRPr="003A4611">
        <w:rPr>
          <w:rFonts w:asciiTheme="minorHAnsi" w:hAnsiTheme="minorHAnsi" w:cstheme="minorHAnsi"/>
        </w:rPr>
        <w:t xml:space="preserve">). Dodatkowo informację dotyczącą przypisanych danej jcw działań prezentuje również załącznik nr 1 (Zestawienie główne). </w:t>
      </w:r>
      <w:bookmarkEnd w:id="466"/>
      <w:r w:rsidRPr="003A4611">
        <w:rPr>
          <w:rFonts w:asciiTheme="minorHAnsi" w:hAnsiTheme="minorHAnsi" w:cstheme="minorHAnsi"/>
        </w:rPr>
        <w:t>W załączniku nr 1 każda jcwp posiada oznaczenie wskazujące</w:t>
      </w:r>
      <w:r w:rsidRPr="00664927">
        <w:rPr>
          <w:rFonts w:asciiTheme="minorHAnsi" w:hAnsiTheme="minorHAnsi" w:cstheme="minorHAnsi"/>
        </w:rPr>
        <w:t xml:space="preserve">, czy zalicza się do grupy jcwp przeznaczonych do poboru wody na potrzeby zaopatrzenia ludności w wodę przeznaczoną </w:t>
      </w:r>
      <w:r w:rsidRPr="005779B8">
        <w:rPr>
          <w:rFonts w:asciiTheme="minorHAnsi" w:hAnsiTheme="minorHAnsi" w:cstheme="minorHAnsi"/>
        </w:rPr>
        <w:t xml:space="preserve">do spożycia. </w:t>
      </w:r>
      <w:r w:rsidRPr="005779B8">
        <w:rPr>
          <w:rFonts w:asciiTheme="minorHAnsi" w:hAnsiTheme="minorHAnsi" w:cstheme="minorBidi"/>
        </w:rPr>
        <w:t>W przypadku jcwpd dotyczy wszystkich jcwpd.</w:t>
      </w:r>
    </w:p>
    <w:p w14:paraId="7CD06A6E" w14:textId="55FCA63E" w:rsidR="000459A4" w:rsidRPr="005779B8" w:rsidRDefault="00332A4E" w:rsidP="00B50FFD">
      <w:pPr>
        <w:pStyle w:val="Nagwek2"/>
      </w:pPr>
      <w:bookmarkStart w:id="467" w:name="_Toc68726910"/>
      <w:r w:rsidRPr="005779B8">
        <w:t>Informacje dotyczące pozwoleń wodnoprawnych</w:t>
      </w:r>
      <w:bookmarkEnd w:id="467"/>
    </w:p>
    <w:p w14:paraId="029368D5" w14:textId="17B7E99A" w:rsidR="00E9765A" w:rsidRDefault="00E9765A" w:rsidP="003C76C5">
      <w:r w:rsidRPr="5C848823">
        <w:t>Zgodnie z art. 318 ust. 1 pkt 10 ustawy pr.w. PGW zawiera informacje dotyczące pozwoleń wodnoprawnych, które są udzielone na pobór wód, magazynowanie wód, wprowadzanie ścieków do wód oraz regulację wód, w odniesieniu do rejestru pozwoleń zawartych w systemie informacyjnym gospodarowania wodami.</w:t>
      </w:r>
      <w:r>
        <w:t xml:space="preserve"> W ramach przepisów </w:t>
      </w:r>
      <w:r w:rsidR="00FA4331">
        <w:t xml:space="preserve">ustawy </w:t>
      </w:r>
      <w:r>
        <w:t>pr.w. pozwolenie wodnoprawne należy do szerszego zbioru aktów administracyjnych - zgód wodnoprawnych obejmując:</w:t>
      </w:r>
    </w:p>
    <w:p w14:paraId="6C297790" w14:textId="77777777" w:rsidR="00E9765A" w:rsidRDefault="00E9765A" w:rsidP="00AA3506">
      <w:pPr>
        <w:pStyle w:val="Akapitzlist"/>
        <w:numPr>
          <w:ilvl w:val="0"/>
          <w:numId w:val="71"/>
        </w:numPr>
      </w:pPr>
      <w:r>
        <w:t>pozwolenie wodnoprawne;</w:t>
      </w:r>
    </w:p>
    <w:p w14:paraId="0DDCB466" w14:textId="77777777" w:rsidR="00E9765A" w:rsidRDefault="00E9765A" w:rsidP="00AA3506">
      <w:pPr>
        <w:pStyle w:val="Akapitzlist"/>
        <w:numPr>
          <w:ilvl w:val="0"/>
          <w:numId w:val="71"/>
        </w:numPr>
      </w:pPr>
      <w:r>
        <w:t>zgłoszenie wodnoprawne;</w:t>
      </w:r>
    </w:p>
    <w:p w14:paraId="67015271" w14:textId="77777777" w:rsidR="00E9765A" w:rsidRDefault="00E9765A" w:rsidP="00AA3506">
      <w:pPr>
        <w:pStyle w:val="Akapitzlist"/>
        <w:numPr>
          <w:ilvl w:val="0"/>
          <w:numId w:val="71"/>
        </w:numPr>
      </w:pPr>
      <w:r>
        <w:t>ocenę wodnoprawną;</w:t>
      </w:r>
    </w:p>
    <w:p w14:paraId="38C4AB64" w14:textId="77777777" w:rsidR="00E9765A" w:rsidRDefault="00E9765A" w:rsidP="00AA3506">
      <w:pPr>
        <w:pStyle w:val="Akapitzlist"/>
        <w:numPr>
          <w:ilvl w:val="0"/>
          <w:numId w:val="71"/>
        </w:numPr>
      </w:pPr>
      <w:r>
        <w:t xml:space="preserve">wydanie decyzji, o których mowa: </w:t>
      </w:r>
    </w:p>
    <w:p w14:paraId="6BEFFC35" w14:textId="660FC9E2" w:rsidR="00E9765A" w:rsidRDefault="00E9765A" w:rsidP="00AA3506">
      <w:pPr>
        <w:pStyle w:val="Wyp-IIpoziom"/>
        <w:numPr>
          <w:ilvl w:val="0"/>
          <w:numId w:val="94"/>
        </w:numPr>
      </w:pPr>
      <w:r>
        <w:t xml:space="preserve">w art. 77 ust. 3 i 8 </w:t>
      </w:r>
      <w:r w:rsidR="00FA4331">
        <w:t xml:space="preserve">ustawy </w:t>
      </w:r>
      <w:r>
        <w:t>pr.w. (zwolnienia z zakazów związanych z wprowadzeniem ścieków do wód i ziemi),</w:t>
      </w:r>
    </w:p>
    <w:p w14:paraId="70AB7822" w14:textId="33A82D34" w:rsidR="00E9765A" w:rsidRDefault="00E9765A" w:rsidP="00AA3506">
      <w:pPr>
        <w:pStyle w:val="Wyp-IIpoziom"/>
        <w:numPr>
          <w:ilvl w:val="0"/>
          <w:numId w:val="94"/>
        </w:numPr>
      </w:pPr>
      <w:r>
        <w:t xml:space="preserve">w art. 176 ust. 4 </w:t>
      </w:r>
      <w:r w:rsidR="00FA4331">
        <w:t xml:space="preserve">ustawy </w:t>
      </w:r>
      <w:r>
        <w:t>pr.w. (zwolnienie z zakazów wpływających na szczelność i</w:t>
      </w:r>
      <w:r w:rsidR="00C4673D">
        <w:t> </w:t>
      </w:r>
      <w:r>
        <w:t>stabilność wałów przeciwpowodziowych).</w:t>
      </w:r>
    </w:p>
    <w:p w14:paraId="7D2CAC5B" w14:textId="77777777" w:rsidR="00E9765A" w:rsidRDefault="00E9765A" w:rsidP="00E9765A">
      <w:pPr>
        <w:suppressAutoHyphens/>
      </w:pPr>
      <w:r>
        <w:t>W wyniku wejścia w życie ustawy pr.w. zmianie uległa struktura kompetencyjna organów właściwych do wydawania pozwoleń wodnoprawnych:</w:t>
      </w:r>
    </w:p>
    <w:p w14:paraId="35DD1093" w14:textId="775E2005" w:rsidR="00E9765A" w:rsidRDefault="00E9765A" w:rsidP="00AA3506">
      <w:pPr>
        <w:pStyle w:val="Akapitzlist"/>
        <w:numPr>
          <w:ilvl w:val="0"/>
          <w:numId w:val="71"/>
        </w:numPr>
      </w:pPr>
      <w:r>
        <w:t>do 31 grudnia 2017 r. (</w:t>
      </w:r>
      <w:r w:rsidR="00FA4331">
        <w:t xml:space="preserve">ustawa </w:t>
      </w:r>
      <w:r>
        <w:t>s.pr.w.) - organem właściwym do wydania pozwolenia wodnoprawnego był co do zasady starosta, w przypadkach wyszczególnionych:</w:t>
      </w:r>
    </w:p>
    <w:p w14:paraId="7CD1B86E" w14:textId="1A08DD1A" w:rsidR="00E9765A" w:rsidRDefault="00E9765A" w:rsidP="00AA3506">
      <w:pPr>
        <w:pStyle w:val="Wyp-IIpoziom"/>
        <w:numPr>
          <w:ilvl w:val="0"/>
          <w:numId w:val="95"/>
        </w:numPr>
      </w:pPr>
      <w:r>
        <w:t xml:space="preserve">marszałek województwa - w sprawach, o których mowa w art. 140 ust. 2 </w:t>
      </w:r>
      <w:r w:rsidR="00FA4331">
        <w:t xml:space="preserve">ustawy </w:t>
      </w:r>
      <w:r>
        <w:t>s.pr.w.,</w:t>
      </w:r>
    </w:p>
    <w:p w14:paraId="149D5CC8" w14:textId="68236E50" w:rsidR="00E9765A" w:rsidRDefault="00E9765A" w:rsidP="00AA3506">
      <w:pPr>
        <w:pStyle w:val="Wyp-IIpoziom"/>
        <w:numPr>
          <w:ilvl w:val="0"/>
          <w:numId w:val="95"/>
        </w:numPr>
      </w:pPr>
      <w:r>
        <w:t>dyrektor RZGW - w przypadku przedsięwzięć w całości lub w części położonych na terenach zamkniętych w rozumieniu Prawa ochrony środowiska (art. 140 ust. 2a</w:t>
      </w:r>
      <w:r w:rsidR="00FA4331">
        <w:t xml:space="preserve"> ustawy </w:t>
      </w:r>
      <w:r>
        <w:t>s.pr.w.);</w:t>
      </w:r>
    </w:p>
    <w:p w14:paraId="73FD3234" w14:textId="77777777" w:rsidR="00E9765A" w:rsidRDefault="00E9765A" w:rsidP="00AA3506">
      <w:pPr>
        <w:pStyle w:val="Akapitzlist"/>
        <w:numPr>
          <w:ilvl w:val="0"/>
          <w:numId w:val="71"/>
        </w:numPr>
      </w:pPr>
      <w:r>
        <w:t>od 1 stycznia 2018 r. - organy właściwe do wydawania pozwoleń wodnoprawnych to:</w:t>
      </w:r>
    </w:p>
    <w:p w14:paraId="537BF504" w14:textId="704506CA" w:rsidR="00E9765A" w:rsidRDefault="00E9765A" w:rsidP="00AA3506">
      <w:pPr>
        <w:pStyle w:val="Wyp-IIpoziom"/>
        <w:numPr>
          <w:ilvl w:val="0"/>
          <w:numId w:val="96"/>
        </w:numPr>
      </w:pPr>
      <w:r>
        <w:t>właściwe organy PGW WP - zgodnie z podziałem kompetencyjnym zawartym w art. 397</w:t>
      </w:r>
      <w:r w:rsidR="00FA4331">
        <w:t xml:space="preserve"> ustawy </w:t>
      </w:r>
      <w:r>
        <w:t>pr.w.,</w:t>
      </w:r>
    </w:p>
    <w:p w14:paraId="55738BAB" w14:textId="77777777" w:rsidR="00E9765A" w:rsidRDefault="00E9765A" w:rsidP="00AA3506">
      <w:pPr>
        <w:pStyle w:val="Wyp-IIpoziom"/>
        <w:numPr>
          <w:ilvl w:val="0"/>
          <w:numId w:val="96"/>
        </w:numPr>
      </w:pPr>
      <w:r>
        <w:t>minister właściwy ds. gospodarki wodnej - gdy wnioskodawcą jest PGW WP.</w:t>
      </w:r>
    </w:p>
    <w:p w14:paraId="4080319F" w14:textId="77777777" w:rsidR="00D329D4" w:rsidRDefault="00D329D4" w:rsidP="003C76C5">
      <w:r w:rsidRPr="5C848823">
        <w:t xml:space="preserve">Na podstawie danych z systemu informacyjnego gospodarowania wodami </w:t>
      </w:r>
      <w:r>
        <w:t xml:space="preserve">oraz </w:t>
      </w:r>
      <w:r w:rsidRPr="00BC6953">
        <w:rPr>
          <w:i/>
          <w:iCs/>
        </w:rPr>
        <w:t>bazy Identyfikacji Presji</w:t>
      </w:r>
      <w:r>
        <w:t xml:space="preserve"> </w:t>
      </w:r>
      <w:r w:rsidRPr="5C848823">
        <w:t xml:space="preserve">dokonano przeglądu i analizy pozwoleń wodnoprawnych </w:t>
      </w:r>
      <w:r>
        <w:t xml:space="preserve">obowiązujących w okresie, którego plan gospodarowania wodami na obszarze dorzecza dotyczy tj. w okresie 2022-2027 </w:t>
      </w:r>
      <w:r w:rsidRPr="00BC6953">
        <w:rPr>
          <w:i/>
          <w:iCs/>
        </w:rPr>
        <w:t>(na podstawie danych bazy Identyfikacji P</w:t>
      </w:r>
      <w:r>
        <w:rPr>
          <w:i/>
          <w:iCs/>
        </w:rPr>
        <w:t>r</w:t>
      </w:r>
      <w:r w:rsidRPr="00BC6953">
        <w:rPr>
          <w:i/>
          <w:iCs/>
        </w:rPr>
        <w:t>esji)</w:t>
      </w:r>
      <w:r>
        <w:t xml:space="preserve">. Dodatkowo wskazane zostały pozwolenia wodnoprawne </w:t>
      </w:r>
      <w:r w:rsidRPr="5C848823">
        <w:t>udzielon</w:t>
      </w:r>
      <w:r>
        <w:t>e</w:t>
      </w:r>
      <w:r w:rsidRPr="5C848823">
        <w:t xml:space="preserve"> </w:t>
      </w:r>
      <w:r>
        <w:t xml:space="preserve">po wejściu w życie ustawy pr.w., tj. </w:t>
      </w:r>
      <w:r w:rsidRPr="5C848823">
        <w:t xml:space="preserve">w okresie 2018-2019. </w:t>
      </w:r>
    </w:p>
    <w:p w14:paraId="10FC6F84" w14:textId="77777777" w:rsidR="00D329D4" w:rsidRPr="002D0D68" w:rsidRDefault="00D329D4" w:rsidP="003C76C5">
      <w:r w:rsidRPr="5C848823">
        <w:t>Informacje dotyczące pozwoleń wodnoprawnych wykorzystywane są na potrzeby wykonywania szczegółowych analiz dla jcw, w których stwierdzono zagrożenie nieosiągnięciem celów środowiskowych. W myśl art. 325 ustawy pr.w. zagrożenie nieosiągnięciem celów środowiskowych może być podstawą do dodatkowego przeglądu udzielonych pozwoleń, a w konsekwencji wskazania pozwoleń, które powinny być cofnięte lub ograniczone w celu zapobieżenia zagrożeniu osiągnięcia celów środowiskowych.</w:t>
      </w:r>
    </w:p>
    <w:p w14:paraId="171BD855" w14:textId="7663E54F" w:rsidR="00E9765A" w:rsidRDefault="00D329D4" w:rsidP="003C76C5">
      <w:r w:rsidRPr="002D0D68">
        <w:t xml:space="preserve">Poniżej </w:t>
      </w:r>
      <w:r>
        <w:t>zaprezentowane zostały</w:t>
      </w:r>
      <w:r w:rsidRPr="002D0D68">
        <w:t xml:space="preserve"> zestawienia </w:t>
      </w:r>
      <w:r>
        <w:t>dotyczące obowiązujących do 2027 r. pozwoleń wodnoprawnych dla poszczególnych obszarów administracyjnych w obszarze dorzecza Pregoły (tabela 13-</w:t>
      </w:r>
      <w:r w:rsidR="005951CF">
        <w:t>8</w:t>
      </w:r>
      <w:r>
        <w:t>).</w:t>
      </w:r>
    </w:p>
    <w:p w14:paraId="75C6FEFD" w14:textId="3F4DAAEA" w:rsidR="00D329D4" w:rsidRDefault="00D329D4" w:rsidP="006802BB">
      <w:pPr>
        <w:pStyle w:val="Tabela"/>
      </w:pPr>
      <w:bookmarkStart w:id="468" w:name="_Toc68727048"/>
      <w:r>
        <w:t xml:space="preserve">Tabela </w:t>
      </w:r>
      <w:fldSimple w:instr=" STYLEREF 1 \s ">
        <w:r w:rsidR="005951CF">
          <w:rPr>
            <w:noProof/>
          </w:rPr>
          <w:t>13</w:t>
        </w:r>
      </w:fldSimple>
      <w:r w:rsidR="007B4050">
        <w:noBreakHyphen/>
      </w:r>
      <w:fldSimple w:instr=" SEQ Tabela \* ARABIC \s 1 ">
        <w:r w:rsidR="005951CF">
          <w:rPr>
            <w:noProof/>
          </w:rPr>
          <w:t>8</w:t>
        </w:r>
      </w:fldSimple>
      <w:r>
        <w:tab/>
      </w:r>
      <w:r w:rsidRPr="00463193">
        <w:t>Zestawienie liczby pozwoleń wodnoprawnych wydanych do roku 2018 i obowiązujących w</w:t>
      </w:r>
      <w:r w:rsidR="003A73C0">
        <w:t> </w:t>
      </w:r>
      <w:r w:rsidRPr="00463193">
        <w:t>okresie 2022-2027</w:t>
      </w:r>
      <w:bookmarkEnd w:id="468"/>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1052"/>
        <w:gridCol w:w="1052"/>
        <w:gridCol w:w="1052"/>
        <w:gridCol w:w="1053"/>
        <w:gridCol w:w="1052"/>
        <w:gridCol w:w="1052"/>
        <w:gridCol w:w="1053"/>
      </w:tblGrid>
      <w:tr w:rsidR="00D329D4" w:rsidRPr="001451F4" w14:paraId="50185836" w14:textId="77777777" w:rsidTr="00EC7E9F">
        <w:trPr>
          <w:trHeight w:val="636"/>
        </w:trPr>
        <w:tc>
          <w:tcPr>
            <w:tcW w:w="1696" w:type="dxa"/>
            <w:vMerge w:val="restart"/>
            <w:shd w:val="clear" w:color="000000" w:fill="BFBFBF"/>
            <w:vAlign w:val="center"/>
            <w:hideMark/>
          </w:tcPr>
          <w:p w14:paraId="757311FA" w14:textId="1D9534B3" w:rsidR="00D329D4" w:rsidRPr="001451F4" w:rsidRDefault="00D329D4" w:rsidP="00C66D17">
            <w:pPr>
              <w:spacing w:before="0" w:after="0"/>
              <w:jc w:val="left"/>
              <w:rPr>
                <w:rFonts w:eastAsia="Times New Roman" w:cs="Calibri"/>
                <w:b/>
                <w:bCs/>
                <w:color w:val="000000"/>
                <w:sz w:val="20"/>
                <w:szCs w:val="20"/>
                <w:lang w:eastAsia="pl-PL"/>
              </w:rPr>
            </w:pPr>
            <w:r w:rsidRPr="001451F4">
              <w:rPr>
                <w:rFonts w:eastAsia="Times New Roman" w:cs="Calibri"/>
                <w:b/>
                <w:bCs/>
                <w:color w:val="000000"/>
                <w:sz w:val="20"/>
                <w:szCs w:val="20"/>
                <w:lang w:eastAsia="pl-PL"/>
              </w:rPr>
              <w:t xml:space="preserve">Obszar </w:t>
            </w:r>
            <w:r w:rsidR="00791A11">
              <w:rPr>
                <w:rFonts w:eastAsia="Times New Roman" w:cs="Calibri"/>
                <w:b/>
                <w:bCs/>
                <w:color w:val="000000"/>
                <w:sz w:val="20"/>
                <w:szCs w:val="20"/>
                <w:lang w:eastAsia="pl-PL"/>
              </w:rPr>
              <w:t>d</w:t>
            </w:r>
            <w:r w:rsidRPr="001451F4">
              <w:rPr>
                <w:rFonts w:eastAsia="Times New Roman" w:cs="Calibri"/>
                <w:b/>
                <w:bCs/>
                <w:color w:val="000000"/>
                <w:sz w:val="20"/>
                <w:szCs w:val="20"/>
                <w:lang w:eastAsia="pl-PL"/>
              </w:rPr>
              <w:t xml:space="preserve">orzecza </w:t>
            </w:r>
            <w:r w:rsidR="000C4534">
              <w:rPr>
                <w:rFonts w:eastAsia="Times New Roman" w:cs="Calibri"/>
                <w:b/>
                <w:bCs/>
                <w:color w:val="000000"/>
                <w:sz w:val="20"/>
                <w:szCs w:val="20"/>
                <w:lang w:eastAsia="pl-PL"/>
              </w:rPr>
              <w:t>Pregoły</w:t>
            </w:r>
            <w:r w:rsidR="003A3599">
              <w:rPr>
                <w:rFonts w:eastAsia="Times New Roman" w:cs="Calibri"/>
                <w:b/>
                <w:bCs/>
                <w:color w:val="000000"/>
                <w:sz w:val="20"/>
                <w:szCs w:val="20"/>
                <w:lang w:eastAsia="pl-PL"/>
              </w:rPr>
              <w:t>/Region wodny</w:t>
            </w:r>
          </w:p>
        </w:tc>
        <w:tc>
          <w:tcPr>
            <w:tcW w:w="7366" w:type="dxa"/>
            <w:gridSpan w:val="7"/>
            <w:shd w:val="clear" w:color="auto" w:fill="BFBFBF" w:themeFill="background1" w:themeFillShade="BF"/>
            <w:vAlign w:val="bottom"/>
            <w:hideMark/>
          </w:tcPr>
          <w:p w14:paraId="5A858A52" w14:textId="773DA4EE" w:rsidR="00D329D4" w:rsidRPr="001451F4" w:rsidRDefault="00D329D4" w:rsidP="00C66D17">
            <w:pPr>
              <w:spacing w:before="0" w:after="0"/>
              <w:jc w:val="center"/>
              <w:rPr>
                <w:rFonts w:eastAsia="Times New Roman" w:cs="Calibri"/>
                <w:b/>
                <w:bCs/>
                <w:color w:val="000000"/>
                <w:sz w:val="20"/>
                <w:szCs w:val="20"/>
                <w:lang w:eastAsia="pl-PL"/>
              </w:rPr>
            </w:pPr>
            <w:r w:rsidRPr="001451F4">
              <w:rPr>
                <w:rFonts w:eastAsia="Times New Roman" w:cs="Calibri"/>
                <w:b/>
                <w:bCs/>
                <w:color w:val="000000"/>
                <w:sz w:val="20"/>
                <w:szCs w:val="20"/>
                <w:lang w:eastAsia="pl-PL"/>
              </w:rPr>
              <w:t>Liczba pozwoleń danej kategorii wydanych do 2018 r. i obowiązujących w okresie 2022-</w:t>
            </w:r>
            <w:r w:rsidR="00FE0604">
              <w:rPr>
                <w:rFonts w:eastAsia="Times New Roman" w:cs="Calibri"/>
                <w:b/>
                <w:bCs/>
                <w:color w:val="000000"/>
                <w:sz w:val="20"/>
                <w:szCs w:val="20"/>
                <w:lang w:eastAsia="pl-PL"/>
              </w:rPr>
              <w:t> </w:t>
            </w:r>
            <w:r w:rsidRPr="001451F4">
              <w:rPr>
                <w:rFonts w:eastAsia="Times New Roman" w:cs="Calibri"/>
                <w:b/>
                <w:bCs/>
                <w:color w:val="000000"/>
                <w:sz w:val="20"/>
                <w:szCs w:val="20"/>
                <w:lang w:eastAsia="pl-PL"/>
              </w:rPr>
              <w:t>2027</w:t>
            </w:r>
          </w:p>
        </w:tc>
      </w:tr>
      <w:tr w:rsidR="00D329D4" w:rsidRPr="001451F4" w14:paraId="068CB96F" w14:textId="77777777" w:rsidTr="00EC7E9F">
        <w:trPr>
          <w:cantSplit/>
          <w:trHeight w:val="1668"/>
        </w:trPr>
        <w:tc>
          <w:tcPr>
            <w:tcW w:w="1696" w:type="dxa"/>
            <w:vMerge/>
            <w:vAlign w:val="center"/>
            <w:hideMark/>
          </w:tcPr>
          <w:p w14:paraId="50FCE316" w14:textId="77777777" w:rsidR="00D329D4" w:rsidRPr="001451F4" w:rsidRDefault="00D329D4" w:rsidP="00C66D17">
            <w:pPr>
              <w:spacing w:before="0" w:after="0"/>
              <w:jc w:val="left"/>
              <w:rPr>
                <w:rFonts w:eastAsia="Times New Roman" w:cs="Calibri"/>
                <w:b/>
                <w:bCs/>
                <w:color w:val="000000"/>
                <w:sz w:val="20"/>
                <w:szCs w:val="20"/>
                <w:lang w:eastAsia="pl-PL"/>
              </w:rPr>
            </w:pPr>
          </w:p>
        </w:tc>
        <w:tc>
          <w:tcPr>
            <w:tcW w:w="1052" w:type="dxa"/>
            <w:shd w:val="clear" w:color="auto" w:fill="BFBFBF" w:themeFill="background1" w:themeFillShade="BF"/>
            <w:textDirection w:val="btLr"/>
            <w:vAlign w:val="center"/>
            <w:hideMark/>
          </w:tcPr>
          <w:p w14:paraId="10A0AA2C"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Pobór wód podziemnych</w:t>
            </w:r>
          </w:p>
        </w:tc>
        <w:tc>
          <w:tcPr>
            <w:tcW w:w="1052" w:type="dxa"/>
            <w:shd w:val="clear" w:color="auto" w:fill="BFBFBF" w:themeFill="background1" w:themeFillShade="BF"/>
            <w:textDirection w:val="btLr"/>
            <w:vAlign w:val="center"/>
            <w:hideMark/>
          </w:tcPr>
          <w:p w14:paraId="7EAD1207"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Pobór wód powierzchniowych</w:t>
            </w:r>
          </w:p>
        </w:tc>
        <w:tc>
          <w:tcPr>
            <w:tcW w:w="1052" w:type="dxa"/>
            <w:shd w:val="clear" w:color="auto" w:fill="BFBFBF" w:themeFill="background1" w:themeFillShade="BF"/>
            <w:textDirection w:val="btLr"/>
            <w:vAlign w:val="center"/>
            <w:hideMark/>
          </w:tcPr>
          <w:p w14:paraId="509991A6"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Zrzuty - wody opadowe</w:t>
            </w:r>
          </w:p>
        </w:tc>
        <w:tc>
          <w:tcPr>
            <w:tcW w:w="1053" w:type="dxa"/>
            <w:shd w:val="clear" w:color="auto" w:fill="BFBFBF" w:themeFill="background1" w:themeFillShade="BF"/>
            <w:textDirection w:val="btLr"/>
            <w:vAlign w:val="center"/>
            <w:hideMark/>
          </w:tcPr>
          <w:p w14:paraId="2E7577EE"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Zrzut - ścieki bytowe</w:t>
            </w:r>
          </w:p>
        </w:tc>
        <w:tc>
          <w:tcPr>
            <w:tcW w:w="1052" w:type="dxa"/>
            <w:shd w:val="clear" w:color="auto" w:fill="BFBFBF" w:themeFill="background1" w:themeFillShade="BF"/>
            <w:textDirection w:val="btLr"/>
            <w:vAlign w:val="center"/>
            <w:hideMark/>
          </w:tcPr>
          <w:p w14:paraId="6B86AB24"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Zrzuty - ścieki komunalne</w:t>
            </w:r>
          </w:p>
        </w:tc>
        <w:tc>
          <w:tcPr>
            <w:tcW w:w="1052" w:type="dxa"/>
            <w:shd w:val="clear" w:color="auto" w:fill="BFBFBF" w:themeFill="background1" w:themeFillShade="BF"/>
            <w:textDirection w:val="btLr"/>
            <w:vAlign w:val="center"/>
            <w:hideMark/>
          </w:tcPr>
          <w:p w14:paraId="2860816F"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Zrzuty - ścieki komunalne i przemysłowe</w:t>
            </w:r>
          </w:p>
        </w:tc>
        <w:tc>
          <w:tcPr>
            <w:tcW w:w="1053" w:type="dxa"/>
            <w:shd w:val="clear" w:color="auto" w:fill="BFBFBF" w:themeFill="background1" w:themeFillShade="BF"/>
            <w:textDirection w:val="btLr"/>
            <w:vAlign w:val="center"/>
            <w:hideMark/>
          </w:tcPr>
          <w:p w14:paraId="195254D2" w14:textId="77777777" w:rsidR="00D329D4" w:rsidRPr="00EC7E9F" w:rsidRDefault="00D329D4" w:rsidP="00EC7E9F">
            <w:pPr>
              <w:spacing w:before="0" w:after="0"/>
              <w:ind w:left="113" w:right="113"/>
              <w:jc w:val="left"/>
              <w:rPr>
                <w:rFonts w:eastAsia="Times New Roman" w:cs="Calibri"/>
                <w:b/>
                <w:bCs/>
                <w:color w:val="000000"/>
                <w:sz w:val="18"/>
                <w:szCs w:val="18"/>
                <w:lang w:eastAsia="pl-PL"/>
              </w:rPr>
            </w:pPr>
            <w:r w:rsidRPr="00EC7E9F">
              <w:rPr>
                <w:rFonts w:eastAsia="Times New Roman" w:cs="Calibri"/>
                <w:b/>
                <w:bCs/>
                <w:color w:val="000000"/>
                <w:sz w:val="18"/>
                <w:szCs w:val="18"/>
                <w:lang w:eastAsia="pl-PL"/>
              </w:rPr>
              <w:t>Zrzuty - stawy</w:t>
            </w:r>
          </w:p>
        </w:tc>
      </w:tr>
      <w:tr w:rsidR="00D329D4" w:rsidRPr="001451F4" w14:paraId="37B9FFCA" w14:textId="77777777" w:rsidTr="004943E1">
        <w:trPr>
          <w:trHeight w:val="288"/>
        </w:trPr>
        <w:tc>
          <w:tcPr>
            <w:tcW w:w="1696" w:type="dxa"/>
            <w:shd w:val="clear" w:color="auto" w:fill="auto"/>
            <w:noWrap/>
            <w:vAlign w:val="center"/>
            <w:hideMark/>
          </w:tcPr>
          <w:p w14:paraId="5706E86D" w14:textId="7E782260" w:rsidR="00D329D4" w:rsidRPr="001451F4" w:rsidRDefault="003A3599" w:rsidP="000C4534">
            <w:pPr>
              <w:spacing w:before="0" w:after="0"/>
              <w:jc w:val="left"/>
              <w:rPr>
                <w:rFonts w:eastAsia="Times New Roman" w:cs="Calibri"/>
                <w:color w:val="000000"/>
                <w:sz w:val="20"/>
                <w:szCs w:val="20"/>
                <w:lang w:eastAsia="pl-PL"/>
              </w:rPr>
            </w:pPr>
            <w:r>
              <w:rPr>
                <w:rFonts w:eastAsia="Times New Roman" w:cs="Calibri"/>
                <w:color w:val="000000"/>
                <w:sz w:val="20"/>
                <w:szCs w:val="20"/>
                <w:lang w:eastAsia="pl-PL"/>
              </w:rPr>
              <w:t>Obszar dorzecza Pregoły</w:t>
            </w:r>
          </w:p>
        </w:tc>
        <w:tc>
          <w:tcPr>
            <w:tcW w:w="1052" w:type="dxa"/>
            <w:shd w:val="clear" w:color="auto" w:fill="auto"/>
            <w:noWrap/>
            <w:vAlign w:val="center"/>
            <w:hideMark/>
          </w:tcPr>
          <w:p w14:paraId="3F0F6F58"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122</w:t>
            </w:r>
          </w:p>
        </w:tc>
        <w:tc>
          <w:tcPr>
            <w:tcW w:w="1052" w:type="dxa"/>
            <w:shd w:val="clear" w:color="auto" w:fill="auto"/>
            <w:noWrap/>
            <w:vAlign w:val="center"/>
            <w:hideMark/>
          </w:tcPr>
          <w:p w14:paraId="4E2F6353"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76</w:t>
            </w:r>
          </w:p>
        </w:tc>
        <w:tc>
          <w:tcPr>
            <w:tcW w:w="1052" w:type="dxa"/>
            <w:shd w:val="clear" w:color="auto" w:fill="auto"/>
            <w:noWrap/>
            <w:vAlign w:val="center"/>
            <w:hideMark/>
          </w:tcPr>
          <w:p w14:paraId="0B0257A0"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2</w:t>
            </w:r>
          </w:p>
        </w:tc>
        <w:tc>
          <w:tcPr>
            <w:tcW w:w="1053" w:type="dxa"/>
            <w:shd w:val="clear" w:color="auto" w:fill="auto"/>
            <w:noWrap/>
            <w:vAlign w:val="center"/>
            <w:hideMark/>
          </w:tcPr>
          <w:p w14:paraId="73E83AE3"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w:t>
            </w:r>
          </w:p>
        </w:tc>
        <w:tc>
          <w:tcPr>
            <w:tcW w:w="1052" w:type="dxa"/>
            <w:shd w:val="clear" w:color="auto" w:fill="auto"/>
            <w:noWrap/>
            <w:vAlign w:val="center"/>
            <w:hideMark/>
          </w:tcPr>
          <w:p w14:paraId="2F280549"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w:t>
            </w:r>
          </w:p>
        </w:tc>
        <w:tc>
          <w:tcPr>
            <w:tcW w:w="1052" w:type="dxa"/>
            <w:shd w:val="clear" w:color="auto" w:fill="auto"/>
            <w:noWrap/>
            <w:vAlign w:val="center"/>
            <w:hideMark/>
          </w:tcPr>
          <w:p w14:paraId="2D5F8DDF"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1</w:t>
            </w:r>
          </w:p>
        </w:tc>
        <w:tc>
          <w:tcPr>
            <w:tcW w:w="1053" w:type="dxa"/>
            <w:shd w:val="clear" w:color="auto" w:fill="auto"/>
            <w:noWrap/>
            <w:vAlign w:val="center"/>
            <w:hideMark/>
          </w:tcPr>
          <w:p w14:paraId="45D2815F" w14:textId="77777777" w:rsidR="00D329D4" w:rsidRPr="001451F4" w:rsidRDefault="00D329D4" w:rsidP="000C4534">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34</w:t>
            </w:r>
          </w:p>
        </w:tc>
      </w:tr>
      <w:tr w:rsidR="003A3599" w:rsidRPr="001451F4" w14:paraId="439E9198" w14:textId="77777777" w:rsidTr="004943E1">
        <w:trPr>
          <w:trHeight w:val="288"/>
        </w:trPr>
        <w:tc>
          <w:tcPr>
            <w:tcW w:w="1696" w:type="dxa"/>
            <w:shd w:val="clear" w:color="auto" w:fill="auto"/>
            <w:noWrap/>
            <w:vAlign w:val="center"/>
          </w:tcPr>
          <w:p w14:paraId="4E02B1CB" w14:textId="15A98769" w:rsidR="003A3599" w:rsidRDefault="003A3599" w:rsidP="003A3599">
            <w:pPr>
              <w:spacing w:before="0" w:after="0"/>
              <w:jc w:val="left"/>
              <w:rPr>
                <w:rFonts w:eastAsia="Times New Roman" w:cs="Calibri"/>
                <w:color w:val="000000"/>
                <w:sz w:val="20"/>
                <w:szCs w:val="20"/>
                <w:lang w:eastAsia="pl-PL"/>
              </w:rPr>
            </w:pPr>
            <w:r>
              <w:rPr>
                <w:rFonts w:eastAsia="Times New Roman" w:cs="Calibri"/>
                <w:color w:val="000000"/>
                <w:sz w:val="20"/>
                <w:szCs w:val="20"/>
                <w:lang w:eastAsia="pl-PL"/>
              </w:rPr>
              <w:t>R</w:t>
            </w:r>
            <w:r w:rsidRPr="001451F4">
              <w:rPr>
                <w:rFonts w:eastAsia="Times New Roman" w:cs="Calibri"/>
                <w:color w:val="000000"/>
                <w:sz w:val="20"/>
                <w:szCs w:val="20"/>
                <w:lang w:eastAsia="pl-PL"/>
              </w:rPr>
              <w:t>egion wodny Łyny i Węgorapy</w:t>
            </w:r>
          </w:p>
        </w:tc>
        <w:tc>
          <w:tcPr>
            <w:tcW w:w="1052" w:type="dxa"/>
            <w:shd w:val="clear" w:color="auto" w:fill="auto"/>
            <w:noWrap/>
            <w:vAlign w:val="center"/>
          </w:tcPr>
          <w:p w14:paraId="586B8CE4" w14:textId="23BC77A0"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122</w:t>
            </w:r>
          </w:p>
        </w:tc>
        <w:tc>
          <w:tcPr>
            <w:tcW w:w="1052" w:type="dxa"/>
            <w:shd w:val="clear" w:color="auto" w:fill="auto"/>
            <w:noWrap/>
            <w:vAlign w:val="center"/>
          </w:tcPr>
          <w:p w14:paraId="3108DFFE" w14:textId="1045FC9C"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76</w:t>
            </w:r>
          </w:p>
        </w:tc>
        <w:tc>
          <w:tcPr>
            <w:tcW w:w="1052" w:type="dxa"/>
            <w:shd w:val="clear" w:color="auto" w:fill="auto"/>
            <w:noWrap/>
            <w:vAlign w:val="center"/>
          </w:tcPr>
          <w:p w14:paraId="3C85F2F5" w14:textId="67F8AB16"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2</w:t>
            </w:r>
          </w:p>
        </w:tc>
        <w:tc>
          <w:tcPr>
            <w:tcW w:w="1053" w:type="dxa"/>
            <w:shd w:val="clear" w:color="auto" w:fill="auto"/>
            <w:noWrap/>
            <w:vAlign w:val="center"/>
          </w:tcPr>
          <w:p w14:paraId="79C6791E" w14:textId="49C85098"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w:t>
            </w:r>
          </w:p>
        </w:tc>
        <w:tc>
          <w:tcPr>
            <w:tcW w:w="1052" w:type="dxa"/>
            <w:shd w:val="clear" w:color="auto" w:fill="auto"/>
            <w:noWrap/>
            <w:vAlign w:val="center"/>
          </w:tcPr>
          <w:p w14:paraId="4E21651D" w14:textId="24C8BCC0"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w:t>
            </w:r>
          </w:p>
        </w:tc>
        <w:tc>
          <w:tcPr>
            <w:tcW w:w="1052" w:type="dxa"/>
            <w:shd w:val="clear" w:color="auto" w:fill="auto"/>
            <w:noWrap/>
            <w:vAlign w:val="center"/>
          </w:tcPr>
          <w:p w14:paraId="7230F50E" w14:textId="43FDC9F2"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1</w:t>
            </w:r>
          </w:p>
        </w:tc>
        <w:tc>
          <w:tcPr>
            <w:tcW w:w="1053" w:type="dxa"/>
            <w:shd w:val="clear" w:color="auto" w:fill="auto"/>
            <w:noWrap/>
            <w:vAlign w:val="center"/>
          </w:tcPr>
          <w:p w14:paraId="5B360D06" w14:textId="7A392B97" w:rsidR="003A3599" w:rsidRPr="001451F4" w:rsidRDefault="003A3599" w:rsidP="003A3599">
            <w:pPr>
              <w:spacing w:before="0" w:after="0"/>
              <w:jc w:val="center"/>
              <w:rPr>
                <w:rFonts w:eastAsia="Times New Roman" w:cs="Calibri"/>
                <w:color w:val="000000"/>
                <w:sz w:val="20"/>
                <w:szCs w:val="20"/>
                <w:lang w:eastAsia="pl-PL"/>
              </w:rPr>
            </w:pPr>
            <w:r w:rsidRPr="001451F4">
              <w:rPr>
                <w:rFonts w:eastAsia="Times New Roman" w:cs="Calibri"/>
                <w:color w:val="000000"/>
                <w:sz w:val="20"/>
                <w:szCs w:val="20"/>
                <w:lang w:eastAsia="pl-PL"/>
              </w:rPr>
              <w:t>34</w:t>
            </w:r>
          </w:p>
        </w:tc>
      </w:tr>
    </w:tbl>
    <w:p w14:paraId="6E312FCF" w14:textId="7BE3C1F0" w:rsidR="00D329D4" w:rsidRPr="00463193" w:rsidRDefault="00D329D4" w:rsidP="00D329D4">
      <w:pPr>
        <w:pStyle w:val="rdo0"/>
      </w:pPr>
      <w:r w:rsidRPr="00463193">
        <w:t xml:space="preserve">Źródło: opracowanie </w:t>
      </w:r>
      <w:r w:rsidR="00231528">
        <w:t>własne</w:t>
      </w:r>
      <w:r w:rsidR="001F664D">
        <w:t xml:space="preserve"> </w:t>
      </w:r>
      <w:r w:rsidRPr="00463193">
        <w:t>na podstawie danych bazy Identyfikacji Presji</w:t>
      </w:r>
    </w:p>
    <w:p w14:paraId="644AAFB4" w14:textId="2CDE0EA6" w:rsidR="008C5A42" w:rsidRDefault="00E9765A" w:rsidP="003C76C5">
      <w:r>
        <w:t>Największy udział wśród pozwoleń obowiązujących w okresie 2022-2027 mają pozwolenia wodnoprawne dotyczące poboru wód podziemnych, stanowiąc 5</w:t>
      </w:r>
      <w:r w:rsidR="00442A31">
        <w:t>1</w:t>
      </w:r>
      <w:r>
        <w:t>% ogólnej liczby pozwoleń obowiązujących w okresie obowiązywania IIaPGW. Drugą pod względem liczby wydanych pozwoleń jest grupa pozwoleń dotyczących poboru wód powierzchniowych (</w:t>
      </w:r>
      <w:r w:rsidR="00442A31">
        <w:t>32</w:t>
      </w:r>
      <w:r>
        <w:t>%), pozostałe 1</w:t>
      </w:r>
      <w:r w:rsidR="00442A31">
        <w:t>7</w:t>
      </w:r>
      <w:r>
        <w:t>% tworzą łącznie inne rodzaje pozwoleń wskazane w tabeli powyżej oraz na poniższym wykresie</w:t>
      </w:r>
      <w:r w:rsidR="00D329D4">
        <w:t xml:space="preserve"> 13-2</w:t>
      </w:r>
      <w:r>
        <w:t>.</w:t>
      </w:r>
    </w:p>
    <w:p w14:paraId="204389D3" w14:textId="51C4DB64" w:rsidR="00E9765A" w:rsidRDefault="00D329D4" w:rsidP="00E9765A">
      <w:pPr>
        <w:jc w:val="center"/>
      </w:pPr>
      <w:r>
        <w:rPr>
          <w:noProof/>
        </w:rPr>
        <w:drawing>
          <wp:inline distT="0" distB="0" distL="0" distR="0" wp14:anchorId="08216180" wp14:editId="5767766F">
            <wp:extent cx="5204460" cy="2701290"/>
            <wp:effectExtent l="0" t="0" r="15240" b="3810"/>
            <wp:docPr id="231" name="Wykres 2">
              <a:extLst xmlns:a="http://schemas.openxmlformats.org/drawingml/2006/main">
                <a:ext uri="{FF2B5EF4-FFF2-40B4-BE49-F238E27FC236}">
                  <a16:creationId xmlns:a16="http://schemas.microsoft.com/office/drawing/2014/main" id="{7D3C4BCD-D2A9-488E-84BA-9B8ED818D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A0B19AD" w14:textId="16C4AEBB" w:rsidR="00E9765A" w:rsidRDefault="00E9765A" w:rsidP="003F4A95">
      <w:pPr>
        <w:pStyle w:val="Wykres"/>
      </w:pPr>
      <w:bookmarkStart w:id="469" w:name="_Toc66311481"/>
      <w:bookmarkStart w:id="470" w:name="_Toc68727136"/>
      <w:r>
        <w:t xml:space="preserve">Wykres </w:t>
      </w:r>
      <w:fldSimple w:instr=" STYLEREF 1 \s ">
        <w:r w:rsidR="005951CF">
          <w:rPr>
            <w:noProof/>
          </w:rPr>
          <w:t>13</w:t>
        </w:r>
      </w:fldSimple>
      <w:r w:rsidR="00EF3FD3">
        <w:noBreakHyphen/>
      </w:r>
      <w:fldSimple w:instr=" SEQ Wykres \* ARABIC \s 1 ">
        <w:r w:rsidR="005951CF">
          <w:rPr>
            <w:noProof/>
          </w:rPr>
          <w:t>2</w:t>
        </w:r>
      </w:fldSimple>
      <w:r>
        <w:tab/>
      </w:r>
      <w:r w:rsidR="000C4237">
        <w:t>U</w:t>
      </w:r>
      <w:r w:rsidRPr="002D0D68">
        <w:t xml:space="preserve">dział poszczególnych </w:t>
      </w:r>
      <w:r>
        <w:t xml:space="preserve">typów pozwoleń wodnoprawnych w ogólnej liczbie pozwoleń obowiązujących w okresie 2022-2027 </w:t>
      </w:r>
      <w:r w:rsidRPr="002D0D68">
        <w:t xml:space="preserve">na obszarze dorzecza </w:t>
      </w:r>
      <w:bookmarkEnd w:id="469"/>
      <w:r w:rsidR="00D329D4">
        <w:t>Pregoły</w:t>
      </w:r>
      <w:bookmarkEnd w:id="470"/>
    </w:p>
    <w:p w14:paraId="76E4DA43" w14:textId="57C6CF44" w:rsidR="00E9765A" w:rsidRPr="002D0D68" w:rsidRDefault="00E9765A" w:rsidP="00EB47BC">
      <w:pPr>
        <w:pStyle w:val="rdo0"/>
      </w:pPr>
      <w:r w:rsidRPr="002D0D68">
        <w:t xml:space="preserve">Źródło: </w:t>
      </w:r>
      <w:r w:rsidRPr="00EB47BC">
        <w:t>opracowanie</w:t>
      </w:r>
      <w:r w:rsidRPr="002D0D68">
        <w:t xml:space="preserve"> </w:t>
      </w:r>
      <w:r w:rsidR="00231528">
        <w:t>własne</w:t>
      </w:r>
      <w:r w:rsidRPr="002D0D68">
        <w:t xml:space="preserve"> na podstawie danych z systemu informacyjnego gospodarowania wodami PGW</w:t>
      </w:r>
      <w:r w:rsidR="00EB47BC">
        <w:t> </w:t>
      </w:r>
      <w:r w:rsidRPr="002D0D68">
        <w:t>WP</w:t>
      </w:r>
    </w:p>
    <w:p w14:paraId="36B35C25" w14:textId="75851803" w:rsidR="00D329D4" w:rsidRDefault="00D329D4" w:rsidP="003C76C5">
      <w:r>
        <w:t>Dodatkową pulę pozwoleń obowiązujących w okresie 2022-2027 stanowią pozwolenia wodnoprawne udzielone w okresie 2018-2019</w:t>
      </w:r>
      <w:r w:rsidR="00755307">
        <w:t xml:space="preserve"> (tabela 13-</w:t>
      </w:r>
      <w:r w:rsidR="005951CF">
        <w:t>9</w:t>
      </w:r>
      <w:r w:rsidR="00755307">
        <w:t>)</w:t>
      </w:r>
      <w:r>
        <w:t xml:space="preserve">. </w:t>
      </w:r>
      <w:r w:rsidRPr="002D0D68">
        <w:t xml:space="preserve">Poniżej </w:t>
      </w:r>
      <w:r>
        <w:t>zaprezentowane zostały</w:t>
      </w:r>
      <w:r w:rsidRPr="002D0D68">
        <w:t xml:space="preserve"> zestawienia </w:t>
      </w:r>
      <w:r>
        <w:t xml:space="preserve">udzielonych pozwoleń wodnoprawnych dla poszczególnych obszarów administracyjnych w obszarze dorzecza Pregoły, przygotowane na podstawie danych z systemu informacyjnego gospodarowania wodami PGW WP. </w:t>
      </w:r>
    </w:p>
    <w:p w14:paraId="19E2C7C4" w14:textId="390C4DE1" w:rsidR="00D329D4" w:rsidRDefault="00D329D4" w:rsidP="003C76C5">
      <w:r>
        <w:t xml:space="preserve">Zdecydowaną większość pozwoleń udzielonych w okresie 2018-2019 w obszarze dorzecza Pregoły stanowią pozwolenia w zakresie zrzutu ścieków do wód obejmując ponad </w:t>
      </w:r>
      <w:r w:rsidR="00755307">
        <w:t>5</w:t>
      </w:r>
      <w:r>
        <w:t>0% wszystkich wydanych pozwoleń.</w:t>
      </w:r>
    </w:p>
    <w:p w14:paraId="75367E4A" w14:textId="77777777" w:rsidR="00D329D4" w:rsidRDefault="00D329D4" w:rsidP="003C76C5">
      <w:r>
        <w:t>Proporcja udziału rodzajów udzielonych pozwoleń w okresie 2018-2019 wskazana dla obszaru dorzecza jako całości, rozkłada się w podobny sposób w poszczególnych RZGW WP. Największa liczba udzielonych pozwoleń w poszczególnych RZGW WP dotyczy zrzutu.</w:t>
      </w:r>
    </w:p>
    <w:p w14:paraId="78BDF035" w14:textId="7C09F55C" w:rsidR="00E9765A" w:rsidRPr="009B3236" w:rsidRDefault="00E9765A" w:rsidP="003F4A95">
      <w:pPr>
        <w:pStyle w:val="Tabela"/>
      </w:pPr>
      <w:bookmarkStart w:id="471" w:name="_Toc66311357"/>
      <w:bookmarkStart w:id="472" w:name="_Toc68727049"/>
      <w:r w:rsidRPr="009B3236">
        <w:t xml:space="preserve">Tabela </w:t>
      </w:r>
      <w:fldSimple w:instr=" STYLEREF 1 \s ">
        <w:r w:rsidR="005951CF">
          <w:rPr>
            <w:noProof/>
          </w:rPr>
          <w:t>13</w:t>
        </w:r>
      </w:fldSimple>
      <w:r w:rsidR="007B4050">
        <w:noBreakHyphen/>
      </w:r>
      <w:fldSimple w:instr=" SEQ Tabela \* ARABIC \s 1 ">
        <w:r w:rsidR="005951CF">
          <w:rPr>
            <w:noProof/>
          </w:rPr>
          <w:t>9</w:t>
        </w:r>
      </w:fldSimple>
      <w:r w:rsidRPr="009B3236">
        <w:tab/>
        <w:t xml:space="preserve">Zestawienie liczby pozwoleń wodnoprawnych udzielonych w okresie 2018-2019 w obszarze dorzecza </w:t>
      </w:r>
      <w:r w:rsidR="00755307">
        <w:t>Pregoły</w:t>
      </w:r>
      <w:bookmarkEnd w:id="471"/>
      <w:bookmarkEnd w:id="472"/>
    </w:p>
    <w:tbl>
      <w:tblPr>
        <w:tblStyle w:val="Tabela-Siatka"/>
        <w:tblW w:w="0" w:type="auto"/>
        <w:jc w:val="center"/>
        <w:tblLook w:val="04A0" w:firstRow="1" w:lastRow="0" w:firstColumn="1" w:lastColumn="0" w:noHBand="0" w:noVBand="1"/>
      </w:tblPr>
      <w:tblGrid>
        <w:gridCol w:w="2263"/>
        <w:gridCol w:w="1843"/>
      </w:tblGrid>
      <w:tr w:rsidR="00755307" w:rsidRPr="006F1F2E" w14:paraId="418DC44A" w14:textId="77777777" w:rsidTr="00C4673D">
        <w:trPr>
          <w:trHeight w:val="20"/>
          <w:jc w:val="center"/>
        </w:trPr>
        <w:tc>
          <w:tcPr>
            <w:tcW w:w="2263" w:type="dxa"/>
            <w:shd w:val="clear" w:color="auto" w:fill="BFBFBF" w:themeFill="background1" w:themeFillShade="BF"/>
            <w:vAlign w:val="center"/>
          </w:tcPr>
          <w:p w14:paraId="29B5201C" w14:textId="77777777" w:rsidR="00755307" w:rsidRPr="006F1F2E" w:rsidRDefault="00755307" w:rsidP="00EC7E9F">
            <w:pPr>
              <w:pStyle w:val="Tabela-tekst"/>
              <w:jc w:val="center"/>
              <w:rPr>
                <w:b/>
              </w:rPr>
            </w:pPr>
            <w:r w:rsidRPr="006F1F2E">
              <w:rPr>
                <w:b/>
              </w:rPr>
              <w:t>Rodzaj pozwolenia wodnoprawnego</w:t>
            </w:r>
          </w:p>
        </w:tc>
        <w:tc>
          <w:tcPr>
            <w:tcW w:w="1843" w:type="dxa"/>
            <w:shd w:val="clear" w:color="auto" w:fill="BFBFBF" w:themeFill="background1" w:themeFillShade="BF"/>
            <w:vAlign w:val="center"/>
          </w:tcPr>
          <w:p w14:paraId="35338083" w14:textId="57583F78" w:rsidR="00755307" w:rsidRPr="006F1F2E" w:rsidRDefault="00755307" w:rsidP="00EC7E9F">
            <w:pPr>
              <w:pStyle w:val="Tabela-tekst"/>
              <w:jc w:val="center"/>
              <w:rPr>
                <w:b/>
              </w:rPr>
            </w:pPr>
            <w:r>
              <w:rPr>
                <w:b/>
              </w:rPr>
              <w:t xml:space="preserve">RZGW </w:t>
            </w:r>
            <w:r w:rsidR="00F53455">
              <w:rPr>
                <w:b/>
              </w:rPr>
              <w:t xml:space="preserve">WP </w:t>
            </w:r>
            <w:r w:rsidRPr="006F1F2E">
              <w:rPr>
                <w:b/>
              </w:rPr>
              <w:t>Białystok</w:t>
            </w:r>
          </w:p>
        </w:tc>
      </w:tr>
      <w:tr w:rsidR="00755307" w:rsidRPr="002D0D68" w14:paraId="521FECCD" w14:textId="77777777" w:rsidTr="00C4673D">
        <w:trPr>
          <w:trHeight w:val="20"/>
          <w:jc w:val="center"/>
        </w:trPr>
        <w:tc>
          <w:tcPr>
            <w:tcW w:w="2263" w:type="dxa"/>
            <w:vAlign w:val="center"/>
          </w:tcPr>
          <w:p w14:paraId="1D4A0BE2" w14:textId="77777777" w:rsidR="00755307" w:rsidRPr="002D0D68" w:rsidRDefault="00755307" w:rsidP="00755307">
            <w:pPr>
              <w:pStyle w:val="Tabela-tekst"/>
            </w:pPr>
            <w:r w:rsidRPr="002D0D68">
              <w:t>Zrzut</w:t>
            </w:r>
          </w:p>
        </w:tc>
        <w:tc>
          <w:tcPr>
            <w:tcW w:w="1843" w:type="dxa"/>
            <w:vAlign w:val="bottom"/>
          </w:tcPr>
          <w:p w14:paraId="3CB6A1E3" w14:textId="77626926" w:rsidR="00755307" w:rsidRPr="002D0D68" w:rsidRDefault="00755307" w:rsidP="00755307">
            <w:pPr>
              <w:pStyle w:val="Tabela-tekst"/>
              <w:jc w:val="center"/>
            </w:pPr>
            <w:r w:rsidRPr="001451F4">
              <w:t>260</w:t>
            </w:r>
          </w:p>
        </w:tc>
      </w:tr>
      <w:tr w:rsidR="00755307" w:rsidRPr="002D0D68" w14:paraId="19FC9C56" w14:textId="77777777" w:rsidTr="00C4673D">
        <w:trPr>
          <w:trHeight w:val="20"/>
          <w:jc w:val="center"/>
        </w:trPr>
        <w:tc>
          <w:tcPr>
            <w:tcW w:w="2263" w:type="dxa"/>
            <w:vAlign w:val="center"/>
          </w:tcPr>
          <w:p w14:paraId="2DCC4EC3" w14:textId="77777777" w:rsidR="00755307" w:rsidRPr="002D0D68" w:rsidRDefault="00755307" w:rsidP="00755307">
            <w:pPr>
              <w:pStyle w:val="Tabela-tekst"/>
            </w:pPr>
            <w:r w:rsidRPr="002D0D68">
              <w:t>Pobór</w:t>
            </w:r>
          </w:p>
        </w:tc>
        <w:tc>
          <w:tcPr>
            <w:tcW w:w="1843" w:type="dxa"/>
            <w:vAlign w:val="bottom"/>
          </w:tcPr>
          <w:p w14:paraId="11F663F6" w14:textId="71D97BCC" w:rsidR="00755307" w:rsidRPr="002D0D68" w:rsidRDefault="00755307" w:rsidP="00755307">
            <w:pPr>
              <w:pStyle w:val="Tabela-tekst"/>
              <w:jc w:val="center"/>
            </w:pPr>
            <w:r w:rsidRPr="001451F4">
              <w:t>75</w:t>
            </w:r>
          </w:p>
        </w:tc>
      </w:tr>
      <w:tr w:rsidR="00755307" w:rsidRPr="002D0D68" w14:paraId="0E4DE518" w14:textId="77777777" w:rsidTr="00C4673D">
        <w:trPr>
          <w:trHeight w:val="20"/>
          <w:jc w:val="center"/>
        </w:trPr>
        <w:tc>
          <w:tcPr>
            <w:tcW w:w="2263" w:type="dxa"/>
            <w:vAlign w:val="center"/>
          </w:tcPr>
          <w:p w14:paraId="0B064379" w14:textId="77777777" w:rsidR="00755307" w:rsidRPr="002D0D68" w:rsidRDefault="00755307" w:rsidP="00755307">
            <w:pPr>
              <w:pStyle w:val="Tabela-tekst"/>
            </w:pPr>
            <w:r w:rsidRPr="002D0D68">
              <w:t>Retencjonowanie</w:t>
            </w:r>
          </w:p>
        </w:tc>
        <w:tc>
          <w:tcPr>
            <w:tcW w:w="1843" w:type="dxa"/>
          </w:tcPr>
          <w:p w14:paraId="0A571D3A" w14:textId="2AC1C4E2" w:rsidR="00755307" w:rsidRPr="002D0D68" w:rsidRDefault="00755307" w:rsidP="00755307">
            <w:pPr>
              <w:pStyle w:val="Tabela-tekst"/>
              <w:jc w:val="center"/>
            </w:pPr>
            <w:r w:rsidRPr="001451F4">
              <w:t>32</w:t>
            </w:r>
          </w:p>
        </w:tc>
      </w:tr>
      <w:tr w:rsidR="00755307" w:rsidRPr="002D0D68" w14:paraId="74073F85" w14:textId="77777777" w:rsidTr="00C4673D">
        <w:trPr>
          <w:trHeight w:val="20"/>
          <w:jc w:val="center"/>
        </w:trPr>
        <w:tc>
          <w:tcPr>
            <w:tcW w:w="2263" w:type="dxa"/>
            <w:vAlign w:val="center"/>
          </w:tcPr>
          <w:p w14:paraId="5D5A7E04" w14:textId="77777777" w:rsidR="00755307" w:rsidRPr="002D0D68" w:rsidRDefault="00755307" w:rsidP="00755307">
            <w:pPr>
              <w:pStyle w:val="Tabela-tekst"/>
            </w:pPr>
            <w:r w:rsidRPr="002D0D68">
              <w:t>Regulacja</w:t>
            </w:r>
          </w:p>
        </w:tc>
        <w:tc>
          <w:tcPr>
            <w:tcW w:w="1843" w:type="dxa"/>
          </w:tcPr>
          <w:p w14:paraId="73A15769" w14:textId="421C9CE9" w:rsidR="00755307" w:rsidRPr="002D0D68" w:rsidRDefault="00755307" w:rsidP="00755307">
            <w:pPr>
              <w:pStyle w:val="Tabela-tekst"/>
              <w:jc w:val="center"/>
            </w:pPr>
            <w:r w:rsidRPr="001451F4">
              <w:t>9</w:t>
            </w:r>
          </w:p>
        </w:tc>
      </w:tr>
      <w:tr w:rsidR="00EC7E9F" w:rsidRPr="002D0D68" w14:paraId="10DC0C8A" w14:textId="77777777" w:rsidTr="00C4673D">
        <w:trPr>
          <w:trHeight w:val="20"/>
          <w:jc w:val="center"/>
        </w:trPr>
        <w:tc>
          <w:tcPr>
            <w:tcW w:w="2263" w:type="dxa"/>
            <w:shd w:val="clear" w:color="auto" w:fill="BFBFBF" w:themeFill="background1" w:themeFillShade="BF"/>
            <w:vAlign w:val="center"/>
          </w:tcPr>
          <w:p w14:paraId="537276E6" w14:textId="688936C4" w:rsidR="00EC7E9F" w:rsidRPr="00EC7E9F" w:rsidRDefault="00EC7E9F" w:rsidP="00EC7E9F">
            <w:pPr>
              <w:pStyle w:val="Tabela-tekst"/>
              <w:jc w:val="center"/>
              <w:rPr>
                <w:b/>
                <w:bCs/>
              </w:rPr>
            </w:pPr>
            <w:r w:rsidRPr="00EC7E9F">
              <w:rPr>
                <w:b/>
                <w:bCs/>
              </w:rPr>
              <w:t>Ogółem</w:t>
            </w:r>
          </w:p>
        </w:tc>
        <w:tc>
          <w:tcPr>
            <w:tcW w:w="1843" w:type="dxa"/>
            <w:shd w:val="clear" w:color="auto" w:fill="BFBFBF" w:themeFill="background1" w:themeFillShade="BF"/>
            <w:vAlign w:val="center"/>
          </w:tcPr>
          <w:p w14:paraId="69482C65" w14:textId="30A4B7A2" w:rsidR="00EC7E9F" w:rsidRPr="00EC7E9F" w:rsidRDefault="00BE6839" w:rsidP="00EC7E9F">
            <w:pPr>
              <w:pStyle w:val="Tabela-tekst"/>
              <w:jc w:val="center"/>
              <w:rPr>
                <w:b/>
                <w:bCs/>
              </w:rPr>
            </w:pPr>
            <w:r>
              <w:rPr>
                <w:b/>
                <w:bCs/>
              </w:rPr>
              <w:t>376</w:t>
            </w:r>
          </w:p>
        </w:tc>
      </w:tr>
    </w:tbl>
    <w:p w14:paraId="551CC4C8" w14:textId="030329CF" w:rsidR="00E9765A" w:rsidRDefault="00E9765A" w:rsidP="005A16F7">
      <w:pPr>
        <w:pStyle w:val="rdo0"/>
      </w:pPr>
      <w:r w:rsidRPr="002D0D68">
        <w:t xml:space="preserve">Źródło: opracowanie </w:t>
      </w:r>
      <w:r w:rsidR="00231528">
        <w:t>własne</w:t>
      </w:r>
      <w:r w:rsidRPr="002D0D68">
        <w:t xml:space="preserve"> na</w:t>
      </w:r>
      <w:r w:rsidR="00755307">
        <w:t xml:space="preserve"> </w:t>
      </w:r>
      <w:r w:rsidRPr="002D0D68">
        <w:t xml:space="preserve">podstawie danych z systemu </w:t>
      </w:r>
      <w:r w:rsidRPr="005A16F7">
        <w:t>informacyjnego</w:t>
      </w:r>
      <w:r w:rsidRPr="002D0D68">
        <w:t xml:space="preserve"> gospodarowania wodami PGW</w:t>
      </w:r>
      <w:r w:rsidR="005A16F7">
        <w:t> </w:t>
      </w:r>
      <w:r w:rsidRPr="002D0D68">
        <w:t>WP</w:t>
      </w:r>
    </w:p>
    <w:p w14:paraId="3CC52AC1" w14:textId="04C3AB8E" w:rsidR="00E9765A" w:rsidRDefault="00E9765A" w:rsidP="00E9765A">
      <w:pPr>
        <w:suppressAutoHyphens/>
      </w:pPr>
      <w:r>
        <w:t xml:space="preserve">Całkowite wielkości zrzutów i poborów zarejestrowanych w obszarze dorzecza </w:t>
      </w:r>
      <w:r w:rsidR="00755307">
        <w:t>Pregoły</w:t>
      </w:r>
      <w:r>
        <w:t xml:space="preserve"> przedstawia poniższ</w:t>
      </w:r>
      <w:r w:rsidR="00755307">
        <w:t>a</w:t>
      </w:r>
      <w:r>
        <w:t xml:space="preserve"> tabel</w:t>
      </w:r>
      <w:r w:rsidR="00755307">
        <w:t>a 13-1</w:t>
      </w:r>
      <w:r w:rsidR="005951CF">
        <w:t>0</w:t>
      </w:r>
      <w:r>
        <w:t>.</w:t>
      </w:r>
    </w:p>
    <w:p w14:paraId="73060268" w14:textId="40C17E58" w:rsidR="00E9765A" w:rsidRPr="009B3236" w:rsidRDefault="00E9765A" w:rsidP="006802BB">
      <w:pPr>
        <w:pStyle w:val="Tabela"/>
      </w:pPr>
      <w:bookmarkStart w:id="473" w:name="_Toc66311358"/>
      <w:bookmarkStart w:id="474" w:name="_Toc68727050"/>
      <w:r w:rsidRPr="009B3236">
        <w:t xml:space="preserve">Tabela </w:t>
      </w:r>
      <w:fldSimple w:instr=" STYLEREF 1 \s ">
        <w:r w:rsidR="005951CF">
          <w:rPr>
            <w:noProof/>
          </w:rPr>
          <w:t>13</w:t>
        </w:r>
      </w:fldSimple>
      <w:r w:rsidR="007B4050">
        <w:noBreakHyphen/>
      </w:r>
      <w:fldSimple w:instr=" SEQ Tabela \* ARABIC \s 1 ">
        <w:r w:rsidR="005951CF">
          <w:rPr>
            <w:noProof/>
          </w:rPr>
          <w:t>10</w:t>
        </w:r>
      </w:fldSimple>
      <w:r w:rsidRPr="009B3236">
        <w:tab/>
        <w:t xml:space="preserve">Wielkość zrzutu w podziale na rodzaj zrzutu na obszarze dorzecza </w:t>
      </w:r>
      <w:bookmarkEnd w:id="473"/>
      <w:r w:rsidR="00755307">
        <w:t>Pregoły</w:t>
      </w:r>
      <w:bookmarkEnd w:id="474"/>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1346"/>
        <w:gridCol w:w="1347"/>
        <w:gridCol w:w="1346"/>
        <w:gridCol w:w="1347"/>
        <w:gridCol w:w="1346"/>
        <w:gridCol w:w="1347"/>
      </w:tblGrid>
      <w:tr w:rsidR="00E9765A" w:rsidRPr="00052C14" w14:paraId="558ED45C" w14:textId="77777777" w:rsidTr="00840CCD">
        <w:trPr>
          <w:trHeight w:val="454"/>
        </w:trPr>
        <w:tc>
          <w:tcPr>
            <w:tcW w:w="988" w:type="dxa"/>
            <w:vMerge w:val="restart"/>
            <w:shd w:val="clear" w:color="auto" w:fill="BFBFBF" w:themeFill="background1" w:themeFillShade="BF"/>
            <w:noWrap/>
            <w:vAlign w:val="center"/>
            <w:hideMark/>
          </w:tcPr>
          <w:p w14:paraId="489736E2" w14:textId="24E02FC2" w:rsidR="00E9765A" w:rsidRPr="002F3AE8" w:rsidRDefault="00AD77D9" w:rsidP="004A1B76">
            <w:pPr>
              <w:pStyle w:val="Teksttabelinaglowek"/>
              <w:rPr>
                <w:lang w:eastAsia="pl-PL"/>
              </w:rPr>
            </w:pPr>
            <w:r>
              <w:rPr>
                <w:lang w:eastAsia="pl-PL"/>
              </w:rPr>
              <w:t>Obszar d</w:t>
            </w:r>
            <w:r w:rsidR="00E9765A" w:rsidRPr="002F3AE8">
              <w:rPr>
                <w:lang w:eastAsia="pl-PL"/>
              </w:rPr>
              <w:t>orzecz</w:t>
            </w:r>
            <w:r>
              <w:rPr>
                <w:lang w:eastAsia="pl-PL"/>
              </w:rPr>
              <w:t>a</w:t>
            </w:r>
          </w:p>
        </w:tc>
        <w:tc>
          <w:tcPr>
            <w:tcW w:w="8079" w:type="dxa"/>
            <w:gridSpan w:val="6"/>
            <w:shd w:val="clear" w:color="auto" w:fill="BFBFBF" w:themeFill="background1" w:themeFillShade="BF"/>
            <w:noWrap/>
            <w:vAlign w:val="center"/>
            <w:hideMark/>
          </w:tcPr>
          <w:p w14:paraId="6C21538A" w14:textId="77777777" w:rsidR="00E9765A" w:rsidRPr="002F3AE8" w:rsidRDefault="00E9765A" w:rsidP="005A16F7">
            <w:pPr>
              <w:pStyle w:val="Teksttabelinaglowek"/>
              <w:rPr>
                <w:lang w:eastAsia="pl-PL"/>
              </w:rPr>
            </w:pPr>
            <w:r w:rsidRPr="002F3AE8">
              <w:rPr>
                <w:lang w:eastAsia="pl-PL"/>
              </w:rPr>
              <w:t>Rodzaj zrzutu</w:t>
            </w:r>
          </w:p>
        </w:tc>
      </w:tr>
      <w:tr w:rsidR="00E9765A" w:rsidRPr="00052C14" w14:paraId="2F2D2DFC" w14:textId="77777777" w:rsidTr="00EC7E9F">
        <w:trPr>
          <w:trHeight w:val="454"/>
        </w:trPr>
        <w:tc>
          <w:tcPr>
            <w:tcW w:w="988" w:type="dxa"/>
            <w:vMerge/>
            <w:shd w:val="clear" w:color="auto" w:fill="BFBFBF" w:themeFill="background1" w:themeFillShade="BF"/>
            <w:vAlign w:val="center"/>
            <w:hideMark/>
          </w:tcPr>
          <w:p w14:paraId="6375B7BE" w14:textId="77777777" w:rsidR="00E9765A" w:rsidRPr="00052C14" w:rsidRDefault="00E9765A" w:rsidP="004A1B76">
            <w:pPr>
              <w:pStyle w:val="Teksttabelinaglowek"/>
              <w:rPr>
                <w:lang w:eastAsia="pl-PL"/>
              </w:rPr>
            </w:pPr>
          </w:p>
        </w:tc>
        <w:tc>
          <w:tcPr>
            <w:tcW w:w="1346" w:type="dxa"/>
            <w:shd w:val="clear" w:color="auto" w:fill="BFBFBF" w:themeFill="background1" w:themeFillShade="BF"/>
            <w:noWrap/>
            <w:vAlign w:val="center"/>
            <w:hideMark/>
          </w:tcPr>
          <w:p w14:paraId="3616EA90" w14:textId="77777777" w:rsidR="00E9765A" w:rsidRPr="002F3AE8" w:rsidRDefault="00E9765A" w:rsidP="005A16F7">
            <w:pPr>
              <w:pStyle w:val="Teksttabelinaglowek"/>
              <w:rPr>
                <w:lang w:eastAsia="pl-PL"/>
              </w:rPr>
            </w:pPr>
            <w:r w:rsidRPr="002F3AE8">
              <w:rPr>
                <w:lang w:eastAsia="pl-PL"/>
              </w:rPr>
              <w:t>Bytowe</w:t>
            </w:r>
          </w:p>
        </w:tc>
        <w:tc>
          <w:tcPr>
            <w:tcW w:w="1347" w:type="dxa"/>
            <w:shd w:val="clear" w:color="auto" w:fill="BFBFBF" w:themeFill="background1" w:themeFillShade="BF"/>
            <w:noWrap/>
            <w:vAlign w:val="center"/>
            <w:hideMark/>
          </w:tcPr>
          <w:p w14:paraId="2831576D" w14:textId="77777777" w:rsidR="00E9765A" w:rsidRPr="002F3AE8" w:rsidRDefault="00E9765A" w:rsidP="005A16F7">
            <w:pPr>
              <w:pStyle w:val="Teksttabelinaglowek"/>
              <w:rPr>
                <w:lang w:eastAsia="pl-PL"/>
              </w:rPr>
            </w:pPr>
            <w:r w:rsidRPr="002F3AE8">
              <w:rPr>
                <w:lang w:eastAsia="pl-PL"/>
              </w:rPr>
              <w:t>Komunalne</w:t>
            </w:r>
          </w:p>
        </w:tc>
        <w:tc>
          <w:tcPr>
            <w:tcW w:w="1346" w:type="dxa"/>
            <w:shd w:val="clear" w:color="auto" w:fill="BFBFBF" w:themeFill="background1" w:themeFillShade="BF"/>
            <w:noWrap/>
            <w:vAlign w:val="center"/>
            <w:hideMark/>
          </w:tcPr>
          <w:p w14:paraId="07F3C485" w14:textId="77777777" w:rsidR="00E9765A" w:rsidRPr="002F3AE8" w:rsidRDefault="00E9765A" w:rsidP="005A16F7">
            <w:pPr>
              <w:pStyle w:val="Teksttabelinaglowek"/>
              <w:rPr>
                <w:lang w:eastAsia="pl-PL"/>
              </w:rPr>
            </w:pPr>
            <w:r w:rsidRPr="002F3AE8">
              <w:rPr>
                <w:lang w:eastAsia="pl-PL"/>
              </w:rPr>
              <w:t>Lecznicze</w:t>
            </w:r>
          </w:p>
        </w:tc>
        <w:tc>
          <w:tcPr>
            <w:tcW w:w="1347" w:type="dxa"/>
            <w:shd w:val="clear" w:color="auto" w:fill="BFBFBF" w:themeFill="background1" w:themeFillShade="BF"/>
            <w:noWrap/>
            <w:vAlign w:val="center"/>
            <w:hideMark/>
          </w:tcPr>
          <w:p w14:paraId="2DC6E694" w14:textId="77777777" w:rsidR="00E9765A" w:rsidRPr="002F3AE8" w:rsidRDefault="00E9765A" w:rsidP="005A16F7">
            <w:pPr>
              <w:pStyle w:val="Teksttabelinaglowek"/>
              <w:rPr>
                <w:lang w:eastAsia="pl-PL"/>
              </w:rPr>
            </w:pPr>
            <w:r w:rsidRPr="002F3AE8">
              <w:rPr>
                <w:lang w:eastAsia="pl-PL"/>
              </w:rPr>
              <w:t>Przemysłowe</w:t>
            </w:r>
          </w:p>
        </w:tc>
        <w:tc>
          <w:tcPr>
            <w:tcW w:w="1346" w:type="dxa"/>
            <w:shd w:val="clear" w:color="auto" w:fill="BFBFBF" w:themeFill="background1" w:themeFillShade="BF"/>
            <w:noWrap/>
            <w:vAlign w:val="center"/>
            <w:hideMark/>
          </w:tcPr>
          <w:p w14:paraId="42888173" w14:textId="77777777" w:rsidR="00E9765A" w:rsidRPr="002F3AE8" w:rsidRDefault="00E9765A" w:rsidP="005A16F7">
            <w:pPr>
              <w:pStyle w:val="Teksttabelinaglowek"/>
              <w:rPr>
                <w:lang w:eastAsia="pl-PL"/>
              </w:rPr>
            </w:pPr>
            <w:r w:rsidRPr="002F3AE8">
              <w:rPr>
                <w:lang w:eastAsia="pl-PL"/>
              </w:rPr>
              <w:t>Składowiska</w:t>
            </w:r>
          </w:p>
        </w:tc>
        <w:tc>
          <w:tcPr>
            <w:tcW w:w="1347" w:type="dxa"/>
            <w:shd w:val="clear" w:color="auto" w:fill="BFBFBF" w:themeFill="background1" w:themeFillShade="BF"/>
            <w:noWrap/>
            <w:vAlign w:val="center"/>
            <w:hideMark/>
          </w:tcPr>
          <w:p w14:paraId="09DAEFC6" w14:textId="77777777" w:rsidR="00E9765A" w:rsidRPr="002F3AE8" w:rsidRDefault="00E9765A" w:rsidP="005A16F7">
            <w:pPr>
              <w:pStyle w:val="Teksttabelinaglowek"/>
              <w:rPr>
                <w:lang w:eastAsia="pl-PL"/>
              </w:rPr>
            </w:pPr>
            <w:r w:rsidRPr="002F3AE8">
              <w:rPr>
                <w:lang w:eastAsia="pl-PL"/>
              </w:rPr>
              <w:t>Suma zrzutów</w:t>
            </w:r>
          </w:p>
        </w:tc>
      </w:tr>
      <w:tr w:rsidR="00E9765A" w:rsidRPr="00052C14" w14:paraId="3A91FBD2" w14:textId="77777777" w:rsidTr="00EC7E9F">
        <w:trPr>
          <w:trHeight w:val="454"/>
        </w:trPr>
        <w:tc>
          <w:tcPr>
            <w:tcW w:w="988" w:type="dxa"/>
            <w:vMerge/>
            <w:shd w:val="clear" w:color="auto" w:fill="BFBFBF" w:themeFill="background1" w:themeFillShade="BF"/>
            <w:vAlign w:val="center"/>
            <w:hideMark/>
          </w:tcPr>
          <w:p w14:paraId="7349F915" w14:textId="77777777" w:rsidR="00E9765A" w:rsidRPr="00052C14" w:rsidRDefault="00E9765A" w:rsidP="004A1B76">
            <w:pPr>
              <w:pStyle w:val="Teksttabelinaglowek"/>
              <w:rPr>
                <w:lang w:eastAsia="pl-PL"/>
              </w:rPr>
            </w:pPr>
          </w:p>
        </w:tc>
        <w:tc>
          <w:tcPr>
            <w:tcW w:w="8079" w:type="dxa"/>
            <w:gridSpan w:val="6"/>
            <w:shd w:val="clear" w:color="auto" w:fill="BFBFBF" w:themeFill="background1" w:themeFillShade="BF"/>
            <w:noWrap/>
            <w:vAlign w:val="center"/>
            <w:hideMark/>
          </w:tcPr>
          <w:p w14:paraId="77E580FA" w14:textId="113C0B0A" w:rsidR="00E9765A" w:rsidRPr="002F3AE8" w:rsidRDefault="00E9765A" w:rsidP="005A16F7">
            <w:pPr>
              <w:pStyle w:val="Teksttabelinaglowek"/>
              <w:rPr>
                <w:lang w:eastAsia="pl-PL"/>
              </w:rPr>
            </w:pPr>
            <w:r w:rsidRPr="002F3AE8">
              <w:rPr>
                <w:lang w:eastAsia="pl-PL"/>
              </w:rPr>
              <w:t xml:space="preserve">Wielkość zrzutu </w:t>
            </w:r>
            <w:r w:rsidR="00EC7E9F">
              <w:rPr>
                <w:lang w:eastAsia="pl-PL"/>
              </w:rPr>
              <w:t>(</w:t>
            </w:r>
            <w:r w:rsidRPr="002F3AE8">
              <w:rPr>
                <w:lang w:eastAsia="pl-PL"/>
              </w:rPr>
              <w:t>m</w:t>
            </w:r>
            <w:r w:rsidRPr="006F1F2E">
              <w:rPr>
                <w:vertAlign w:val="superscript"/>
                <w:lang w:eastAsia="pl-PL"/>
              </w:rPr>
              <w:t>3</w:t>
            </w:r>
            <w:r w:rsidRPr="002F3AE8">
              <w:rPr>
                <w:lang w:eastAsia="pl-PL"/>
              </w:rPr>
              <w:t>/rok</w:t>
            </w:r>
            <w:r w:rsidR="00EC7E9F">
              <w:rPr>
                <w:lang w:eastAsia="pl-PL"/>
              </w:rPr>
              <w:t>)</w:t>
            </w:r>
          </w:p>
        </w:tc>
      </w:tr>
      <w:tr w:rsidR="00755307" w:rsidRPr="00052C14" w14:paraId="69A34F2E" w14:textId="77777777" w:rsidTr="00840CCD">
        <w:trPr>
          <w:trHeight w:val="454"/>
        </w:trPr>
        <w:tc>
          <w:tcPr>
            <w:tcW w:w="988" w:type="dxa"/>
            <w:shd w:val="clear" w:color="auto" w:fill="auto"/>
            <w:noWrap/>
            <w:vAlign w:val="center"/>
            <w:hideMark/>
          </w:tcPr>
          <w:p w14:paraId="0D766AA7" w14:textId="28E2BCAE" w:rsidR="00755307" w:rsidRPr="00052C14" w:rsidRDefault="00755307" w:rsidP="00755307">
            <w:pPr>
              <w:pStyle w:val="Teksttabelilewy"/>
              <w:rPr>
                <w:lang w:eastAsia="pl-PL"/>
              </w:rPr>
            </w:pPr>
            <w:r>
              <w:rPr>
                <w:lang w:eastAsia="pl-PL"/>
              </w:rPr>
              <w:t>Pregoła</w:t>
            </w:r>
          </w:p>
        </w:tc>
        <w:tc>
          <w:tcPr>
            <w:tcW w:w="1346" w:type="dxa"/>
            <w:shd w:val="clear" w:color="auto" w:fill="auto"/>
            <w:noWrap/>
            <w:vAlign w:val="center"/>
            <w:hideMark/>
          </w:tcPr>
          <w:p w14:paraId="12E64776" w14:textId="6B5108BD"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976 939,2</w:t>
            </w:r>
          </w:p>
        </w:tc>
        <w:tc>
          <w:tcPr>
            <w:tcW w:w="1347" w:type="dxa"/>
            <w:shd w:val="clear" w:color="auto" w:fill="auto"/>
            <w:noWrap/>
            <w:vAlign w:val="center"/>
            <w:hideMark/>
          </w:tcPr>
          <w:p w14:paraId="27503596" w14:textId="242F9826"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25 920 471</w:t>
            </w:r>
          </w:p>
        </w:tc>
        <w:tc>
          <w:tcPr>
            <w:tcW w:w="1346" w:type="dxa"/>
            <w:shd w:val="clear" w:color="auto" w:fill="auto"/>
            <w:noWrap/>
            <w:vAlign w:val="center"/>
            <w:hideMark/>
          </w:tcPr>
          <w:p w14:paraId="4B248C6A" w14:textId="2057C4F6"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0</w:t>
            </w:r>
          </w:p>
        </w:tc>
        <w:tc>
          <w:tcPr>
            <w:tcW w:w="1347" w:type="dxa"/>
            <w:shd w:val="clear" w:color="auto" w:fill="auto"/>
            <w:noWrap/>
            <w:vAlign w:val="center"/>
            <w:hideMark/>
          </w:tcPr>
          <w:p w14:paraId="542B9EF1" w14:textId="44B83DCE"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3 314 411,8</w:t>
            </w:r>
          </w:p>
        </w:tc>
        <w:tc>
          <w:tcPr>
            <w:tcW w:w="1346" w:type="dxa"/>
            <w:shd w:val="clear" w:color="auto" w:fill="auto"/>
            <w:noWrap/>
            <w:vAlign w:val="center"/>
            <w:hideMark/>
          </w:tcPr>
          <w:p w14:paraId="287D54A0" w14:textId="72742DC0"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16 790</w:t>
            </w:r>
          </w:p>
        </w:tc>
        <w:tc>
          <w:tcPr>
            <w:tcW w:w="1347" w:type="dxa"/>
            <w:shd w:val="clear" w:color="auto" w:fill="auto"/>
            <w:noWrap/>
            <w:vAlign w:val="center"/>
            <w:hideMark/>
          </w:tcPr>
          <w:p w14:paraId="6B244621" w14:textId="62D57F55" w:rsidR="00755307" w:rsidRPr="00052C14" w:rsidRDefault="00755307" w:rsidP="005A16F7">
            <w:pPr>
              <w:pStyle w:val="Teksttabelilewy"/>
              <w:jc w:val="center"/>
              <w:rPr>
                <w:lang w:eastAsia="pl-PL"/>
              </w:rPr>
            </w:pPr>
            <w:r w:rsidRPr="009111B8">
              <w:rPr>
                <w:rFonts w:asciiTheme="minorHAnsi" w:eastAsia="Times New Roman" w:hAnsiTheme="minorHAnsi" w:cstheme="minorHAnsi"/>
                <w:szCs w:val="20"/>
                <w:lang w:eastAsia="pl-PL"/>
              </w:rPr>
              <w:t>30 228 612,03</w:t>
            </w:r>
          </w:p>
        </w:tc>
      </w:tr>
    </w:tbl>
    <w:p w14:paraId="392186D5" w14:textId="609B5FD0" w:rsidR="00E9765A" w:rsidRPr="002D0D68" w:rsidRDefault="00E9765A" w:rsidP="00E9765A">
      <w:pPr>
        <w:pStyle w:val="rdo0"/>
      </w:pPr>
      <w:r w:rsidRPr="002D0D68">
        <w:t xml:space="preserve">Źródło: opracowanie </w:t>
      </w:r>
      <w:r w:rsidR="00231528">
        <w:t>własne</w:t>
      </w:r>
      <w:r w:rsidRPr="002D0D68">
        <w:t xml:space="preserve"> na podstawie </w:t>
      </w:r>
      <w:r>
        <w:t>wyników Analizy znaczących oddziaływań - jcwp (…)</w:t>
      </w:r>
    </w:p>
    <w:p w14:paraId="563E5B2A" w14:textId="761C6489" w:rsidR="00E9765A" w:rsidRPr="00C60853" w:rsidRDefault="00E9765A" w:rsidP="00E9765A">
      <w:pPr>
        <w:spacing w:before="0" w:after="0"/>
        <w:rPr>
          <w:rFonts w:eastAsia="Times New Roman" w:cs="Calibri"/>
          <w:b/>
          <w:bCs/>
          <w:color w:val="000000"/>
          <w:lang w:eastAsia="pl-PL"/>
        </w:rPr>
      </w:pPr>
      <w:r>
        <w:t xml:space="preserve">Suma poborów powierzchniowych na obszarze dorzecza </w:t>
      </w:r>
      <w:r w:rsidR="00755307">
        <w:t xml:space="preserve">Pregoły </w:t>
      </w:r>
      <w:r>
        <w:t xml:space="preserve">wg danych bazy Identyfikacji Presji (do 2018 r.) </w:t>
      </w:r>
      <w:r w:rsidRPr="00C60853">
        <w:t xml:space="preserve">wyniosła </w:t>
      </w:r>
      <w:r w:rsidR="00755307" w:rsidRPr="009111B8">
        <w:rPr>
          <w:rFonts w:eastAsia="Times New Roman" w:cs="Calibri"/>
          <w:color w:val="000000"/>
          <w:lang w:eastAsia="pl-PL"/>
        </w:rPr>
        <w:t>152</w:t>
      </w:r>
      <w:r w:rsidR="00755307">
        <w:rPr>
          <w:rFonts w:eastAsia="Times New Roman" w:cs="Calibri"/>
          <w:color w:val="000000"/>
          <w:lang w:eastAsia="pl-PL"/>
        </w:rPr>
        <w:t xml:space="preserve"> </w:t>
      </w:r>
      <w:r w:rsidR="00755307" w:rsidRPr="009111B8">
        <w:rPr>
          <w:rFonts w:eastAsia="Times New Roman" w:cs="Calibri"/>
          <w:color w:val="000000"/>
          <w:lang w:eastAsia="pl-PL"/>
        </w:rPr>
        <w:t>74</w:t>
      </w:r>
      <w:r w:rsidR="00755307">
        <w:rPr>
          <w:rFonts w:eastAsia="Times New Roman" w:cs="Calibri"/>
          <w:color w:val="000000"/>
          <w:lang w:eastAsia="pl-PL"/>
        </w:rPr>
        <w:t xml:space="preserve"> </w:t>
      </w:r>
      <w:r w:rsidR="00755307" w:rsidRPr="009111B8">
        <w:rPr>
          <w:rFonts w:eastAsia="Times New Roman" w:cs="Calibri"/>
          <w:color w:val="000000"/>
          <w:lang w:eastAsia="pl-PL"/>
        </w:rPr>
        <w:t>106,06</w:t>
      </w:r>
      <w:r w:rsidR="00755307">
        <w:rPr>
          <w:rFonts w:eastAsia="Times New Roman" w:cs="Calibri"/>
          <w:color w:val="000000"/>
          <w:lang w:eastAsia="pl-PL"/>
        </w:rPr>
        <w:t xml:space="preserve"> </w:t>
      </w:r>
      <w:r w:rsidR="00755307" w:rsidRPr="00C60853">
        <w:t>m</w:t>
      </w:r>
      <w:r w:rsidR="00755307" w:rsidRPr="00755307">
        <w:rPr>
          <w:vertAlign w:val="superscript"/>
        </w:rPr>
        <w:t>3</w:t>
      </w:r>
      <w:r w:rsidR="00755307" w:rsidRPr="00C60853">
        <w:t>/rok</w:t>
      </w:r>
      <w:r w:rsidRPr="00C60853">
        <w:rPr>
          <w:rFonts w:asciiTheme="minorHAnsi" w:eastAsia="Times New Roman" w:hAnsiTheme="minorHAnsi" w:cstheme="minorHAnsi"/>
          <w:sz w:val="18"/>
          <w:szCs w:val="18"/>
          <w:lang w:eastAsia="pl-PL"/>
        </w:rPr>
        <w:t>.</w:t>
      </w:r>
    </w:p>
    <w:p w14:paraId="313C4688" w14:textId="2F495693" w:rsidR="00E9765A" w:rsidRDefault="00E9765A" w:rsidP="00E9765A">
      <w:pPr>
        <w:suppressAutoHyphens/>
      </w:pPr>
      <w:r>
        <w:t>Przedstawione wartości stanowią wielkości zrzutów i poborów dopuszczanych zgodnie z udzielonymi i</w:t>
      </w:r>
      <w:r w:rsidR="006128D7">
        <w:t> </w:t>
      </w:r>
      <w:r>
        <w:t>obowiązującymi pozwoleniami wodnoprawnymi, a więc maksymalne dopuszczalne wielkości, co nie jest równoznaczne z wielkościami</w:t>
      </w:r>
      <w:r w:rsidRPr="00C60853">
        <w:t xml:space="preserve"> </w:t>
      </w:r>
      <w:r>
        <w:t xml:space="preserve">rzeczywistych zrzutów i poborów. </w:t>
      </w:r>
    </w:p>
    <w:p w14:paraId="4061E091" w14:textId="52DC67C9" w:rsidR="00332A4E" w:rsidRPr="00A03AFF" w:rsidRDefault="00332A4E" w:rsidP="00B50FFD">
      <w:pPr>
        <w:pStyle w:val="Nagwek2"/>
      </w:pPr>
      <w:bookmarkStart w:id="475" w:name="_Toc68726911"/>
      <w:r w:rsidRPr="00A03AFF">
        <w:t>Informacje o zezwoleniach na wprowadzanie zanieczyszczeń bezpośrednio do wód podziemnych</w:t>
      </w:r>
      <w:bookmarkEnd w:id="475"/>
    </w:p>
    <w:p w14:paraId="7E2718C2" w14:textId="77777777" w:rsidR="00E72974" w:rsidRDefault="00E72974" w:rsidP="003C76C5">
      <w:r>
        <w:t xml:space="preserve">Zgodnie z </w:t>
      </w:r>
      <w:r w:rsidRPr="00111C81">
        <w:t xml:space="preserve">art. 318 ust. </w:t>
      </w:r>
      <w:r>
        <w:t>1</w:t>
      </w:r>
      <w:r w:rsidRPr="00111C81">
        <w:t xml:space="preserve"> pkt </w:t>
      </w:r>
      <w:r>
        <w:t>11</w:t>
      </w:r>
      <w:r w:rsidRPr="00111C81">
        <w:t xml:space="preserve"> </w:t>
      </w:r>
      <w:r>
        <w:t>ustawy pr.w. plan gospodarowania wodami na obszarze dorzecza zawiera informacje dotyczące przypadków, w których udzielono zezwolenia na wprowadzenie zanieczyszczeń bezpośrednio do wód podziemnych, rozumiane jako wprowadzenie w inny sposób niż poprzez przesiąkanie przez glebę i podglebie.</w:t>
      </w:r>
    </w:p>
    <w:p w14:paraId="3CEDC715" w14:textId="77777777" w:rsidR="00E72974" w:rsidRDefault="00E72974" w:rsidP="003C76C5">
      <w:pPr>
        <w:rPr>
          <w:rFonts w:cstheme="minorHAnsi"/>
        </w:rPr>
      </w:pPr>
      <w:r w:rsidRPr="00EF3397">
        <w:t xml:space="preserve">Zgodnie z zapisami Dyrektywy 2006/118/WE </w:t>
      </w:r>
      <w:r>
        <w:t xml:space="preserve">Parlamentu Europejskiego i Rady </w:t>
      </w:r>
      <w:r w:rsidRPr="00EF3397">
        <w:t>z dnia 12 grudnia 2006</w:t>
      </w:r>
      <w:r>
        <w:t> </w:t>
      </w:r>
      <w:r w:rsidRPr="00EF3397">
        <w:t>r.</w:t>
      </w:r>
      <w:r>
        <w:t xml:space="preserve"> </w:t>
      </w:r>
      <w:r w:rsidRPr="00EF3397">
        <w:t>w sprawie ochrony wód podziemnych przed zanieczyszczeniem i pogorszeniem ich stanu</w:t>
      </w:r>
      <w:r>
        <w:t xml:space="preserve">: </w:t>
      </w:r>
      <w:r w:rsidRPr="00EF3397">
        <w:t>"wprowadzanie zanieczyszczeń do wód podziemnych" oznacza bezpośrednie lub pośrednie wprowadzanie zanieczyszczeń do wód podziemnych spowodowane działalnością człowieka</w:t>
      </w:r>
      <w:r>
        <w:t>.</w:t>
      </w:r>
      <w:r w:rsidRPr="00EF3397">
        <w:rPr>
          <w:rFonts w:cstheme="minorHAnsi"/>
        </w:rPr>
        <w:t xml:space="preserve"> </w:t>
      </w:r>
    </w:p>
    <w:p w14:paraId="08FB4D2B" w14:textId="77777777" w:rsidR="00E72974" w:rsidRDefault="00E72974" w:rsidP="003C76C5">
      <w:r>
        <w:t xml:space="preserve">Wprowadzenie ścieków oraz </w:t>
      </w:r>
      <w:r w:rsidRPr="000E674E">
        <w:t>wód opadowych lub roztopowych, ujętych w otwarte lub zamknięte systemy kanalizacji deszczowej służące do odprowadzania opadów atmosferycznych</w:t>
      </w:r>
      <w:r>
        <w:t>, bezpośrednio do wód podziemnych jest zakazane na podstawie art. 75 pkt 1 i 75a pkt. 1 ustawy pr.w.</w:t>
      </w:r>
    </w:p>
    <w:p w14:paraId="2BCC2A9D" w14:textId="3D2FFB5B" w:rsidR="00E72974" w:rsidRPr="00682232" w:rsidRDefault="00E72974" w:rsidP="003C76C5">
      <w:pPr>
        <w:rPr>
          <w:rFonts w:cs="Calibri"/>
          <w:b/>
          <w:bCs/>
        </w:rPr>
      </w:pPr>
      <w:r>
        <w:t xml:space="preserve">W zakresie bezpośrednich zrzutów ścieków do wód podziemnych w katalogu działań krajowych znajdują się działania ciągłe związane z działaniem podstawowym (art. 324. ust.2 </w:t>
      </w:r>
      <w:r w:rsidR="00FA4331">
        <w:t xml:space="preserve">ustawy </w:t>
      </w:r>
      <w:r>
        <w:t xml:space="preserve">pr.w.): niewprowadzanie zanieczyszczeń bezpośrednio do wód podziemnych, rozumiane jako wprowadzanie w inny sposób niż przez przesiąkanie przez glebę i podglebie, z zastrzeżeniem wyjątków określonych w odrębnych przepisach, o ile nie zagrożą one osiągnięciu celów środowiskowych dla jednolitych części wód podziemnych (zgodnie z art. 76 ust. 1 pkt. 5 </w:t>
      </w:r>
      <w:r w:rsidR="00FA4331">
        <w:t xml:space="preserve">ustawy </w:t>
      </w:r>
      <w:r>
        <w:t>pr.w</w:t>
      </w:r>
      <w:r w:rsidR="00FA4331">
        <w:t>.</w:t>
      </w:r>
      <w:r>
        <w:t xml:space="preserve">). Dopuszcza się wprowadzanie wód wykorzystanych pochodzących z pomp ciepła lub wykorzystanych wód geotermalnych - do wód podziemnych). </w:t>
      </w:r>
      <w:r w:rsidRPr="00682232">
        <w:rPr>
          <w:rFonts w:cs="Calibri"/>
        </w:rPr>
        <w:t xml:space="preserve">Poprzez zanieczyszczenie </w:t>
      </w:r>
      <w:r>
        <w:rPr>
          <w:rFonts w:cs="Calibri"/>
        </w:rPr>
        <w:t>-</w:t>
      </w:r>
      <w:r w:rsidRPr="00682232">
        <w:rPr>
          <w:rFonts w:cs="Calibri"/>
        </w:rPr>
        <w:t xml:space="preserve"> rozumie się emisję w rozumieniu art. 3 pkt 4 ustawy </w:t>
      </w:r>
      <w:r>
        <w:rPr>
          <w:rFonts w:cs="Calibri"/>
        </w:rPr>
        <w:t>p.o.ś.</w:t>
      </w:r>
      <w:r w:rsidRPr="00682232">
        <w:rPr>
          <w:rFonts w:cs="Calibri"/>
        </w:rPr>
        <w:t>, która może być szkodliwa dla zdrowia ludzi lub stanu środowiska, w tym jakości ekosystemów wodnych lub ekosystemów lądowych bezpośrednio zależnych od ekosystemów wodnych, powodować szkodę w</w:t>
      </w:r>
      <w:r w:rsidR="004B017B">
        <w:rPr>
          <w:rFonts w:cs="Calibri"/>
        </w:rPr>
        <w:t> </w:t>
      </w:r>
      <w:r w:rsidRPr="00682232">
        <w:rPr>
          <w:rFonts w:cs="Calibri"/>
        </w:rPr>
        <w:t>dobrach materialnych, pogarszać walory estetyczne środowiska lub kolidować z uzasadnionymi sposobami korzystania ze środowiska, w szczególności powodować zanieczyszczenie wód powierzchniowych i wód podziemnych</w:t>
      </w:r>
      <w:r>
        <w:rPr>
          <w:rFonts w:cs="Calibri"/>
        </w:rPr>
        <w:t xml:space="preserve">. </w:t>
      </w:r>
    </w:p>
    <w:p w14:paraId="528B8128" w14:textId="77777777" w:rsidR="00E72974" w:rsidRPr="00630C30" w:rsidRDefault="00E72974" w:rsidP="00630C30">
      <w:r w:rsidRPr="00630C30">
        <w:t>Działanie podstawowe realizowane jest poprzez następujące działania z katalogu krajowego IIaPGW:</w:t>
      </w:r>
    </w:p>
    <w:p w14:paraId="4CE6B73E" w14:textId="687C0CF2" w:rsidR="00E72974" w:rsidRPr="00EC7E9F" w:rsidRDefault="00E72974" w:rsidP="00EC7E9F">
      <w:pPr>
        <w:pStyle w:val="Akapitzlist"/>
      </w:pPr>
      <w:r w:rsidRPr="00EC7E9F">
        <w:t xml:space="preserve">Stosowanie przepisów dotyczących urządzeń wodnych odpowiednio do robót w wodach oraz innych robót, które mogą być przyczyną zmiany naturalnych przepływów wód, stanu wód stojących i stanu wód podziemnych poza granicami nieruchomości gruntowej, na której są prowadzone te roboty; podstawa prawna: art. 324 ust.2. </w:t>
      </w:r>
      <w:r w:rsidR="00FA4331" w:rsidRPr="00EC7E9F">
        <w:t xml:space="preserve">ustawy </w:t>
      </w:r>
      <w:r w:rsidRPr="00EC7E9F">
        <w:t>pr.w. w związku z art. 17 ust. 1 pkt 3 lit c); podmiot odpowiedzialny: Wykonawca robót;</w:t>
      </w:r>
    </w:p>
    <w:p w14:paraId="4A10ABF3" w14:textId="3231FE28" w:rsidR="00E72974" w:rsidRPr="00EC7E9F" w:rsidRDefault="00E72974" w:rsidP="00EC7E9F">
      <w:pPr>
        <w:pStyle w:val="Akapitzlist"/>
      </w:pPr>
      <w:r w:rsidRPr="00EC7E9F">
        <w:t xml:space="preserve">Zakaz wprowadzania ścieków bezpośrednio do wód podziemnych; podstawa prawna: art. 324 ust.2. </w:t>
      </w:r>
      <w:r w:rsidR="00FA4331" w:rsidRPr="00EC7E9F">
        <w:t xml:space="preserve">ustawy </w:t>
      </w:r>
      <w:r w:rsidRPr="00EC7E9F">
        <w:t xml:space="preserve">pr.w. w związku z art. 75 pkt. 1 </w:t>
      </w:r>
      <w:r w:rsidR="00FA4331" w:rsidRPr="00EC7E9F">
        <w:t xml:space="preserve">ustawy </w:t>
      </w:r>
      <w:r w:rsidRPr="00EC7E9F">
        <w:t>pr.w.; podmiot odpowiedzialny - nieograniczony krąg podmiotów;</w:t>
      </w:r>
    </w:p>
    <w:p w14:paraId="7CA16EBA" w14:textId="79E3CD25" w:rsidR="00E72974" w:rsidRPr="00EC7E9F" w:rsidRDefault="00E72974" w:rsidP="00EC7E9F">
      <w:pPr>
        <w:pStyle w:val="Akapitzlist"/>
      </w:pPr>
      <w:r w:rsidRPr="00EC7E9F">
        <w:t xml:space="preserve">Zakaz wprowadzania wód opadowych lub roztopowych, ujętych w otwarte lub zamknięte systemy kanalizacji deszczowej służące do odprowadzania opadów atmosferycznych bezpośrednio; podstawa prawna: art. 324 ust.2. </w:t>
      </w:r>
      <w:r w:rsidR="00FA4331" w:rsidRPr="00EC7E9F">
        <w:t xml:space="preserve">ustawy </w:t>
      </w:r>
      <w:r w:rsidRPr="00EC7E9F">
        <w:t xml:space="preserve">pr.w. w związku z art. 75a pkt. 1 </w:t>
      </w:r>
      <w:r w:rsidR="00FA4331" w:rsidRPr="00EC7E9F">
        <w:t xml:space="preserve">ustawy </w:t>
      </w:r>
      <w:r w:rsidRPr="00EC7E9F">
        <w:t>pr.w.; podmiot odpowiedzialny - zarządcy otwartych lub zamkniętych systemów kanalizacji deszczowej;</w:t>
      </w:r>
    </w:p>
    <w:p w14:paraId="366C9E61" w14:textId="77777777" w:rsidR="00EC7E9F" w:rsidRDefault="00E72974" w:rsidP="00EC7E9F">
      <w:pPr>
        <w:pStyle w:val="Akapitzlist"/>
      </w:pPr>
      <w:r w:rsidRPr="00EC7E9F">
        <w:t>Umieszczenie w PGW informacji o przypadkach, w których udzielono zezwolenia na wprowadzanie zanieczyszczeń bezpośrednio do wód podziemnych, rozumiane jako wprowadzanie w inny sposób niż przez przesiąkanie przez glebę i podglebie;</w:t>
      </w:r>
    </w:p>
    <w:p w14:paraId="3327D1D7" w14:textId="391359E6" w:rsidR="0074041C" w:rsidRPr="0074041C" w:rsidRDefault="00E72974" w:rsidP="00EC7E9F">
      <w:pPr>
        <w:pStyle w:val="Akapitzlist"/>
      </w:pPr>
      <w:r w:rsidRPr="00A303E9">
        <w:t>Nałożenie obowiązku zlikwidowania nieczynnych studni położonych na terenie ochrony pośredniej ujęcia wody, jeżeli studnie te zagrażają jakości ujmowanej wody. Obowiązek ten nakłada na właściciela gruntu, w drodze decyzji, właściwy organ Wód Polskich na wniosek właściciela ujęcia wody i na jego koszt</w:t>
      </w:r>
      <w:r>
        <w:t xml:space="preserve">; podstawa prawna: art. 324 ust.2. </w:t>
      </w:r>
      <w:r w:rsidR="00FA4331">
        <w:t xml:space="preserve">ustawy </w:t>
      </w:r>
      <w:r>
        <w:t xml:space="preserve">pr.w. w związku z art. 132 </w:t>
      </w:r>
      <w:r w:rsidR="00FA4331">
        <w:t xml:space="preserve">ustawy </w:t>
      </w:r>
      <w:r>
        <w:t>pr.w.); podmiot odpowiedzialny: właściciel gruntów.</w:t>
      </w:r>
    </w:p>
    <w:p w14:paraId="6D6DC784" w14:textId="5519945D" w:rsidR="00332A4E" w:rsidRDefault="00332A4E" w:rsidP="00B50FFD">
      <w:pPr>
        <w:pStyle w:val="Nagwek2"/>
      </w:pPr>
      <w:bookmarkStart w:id="476" w:name="_Toc68726912"/>
      <w:r>
        <w:t>Podsumowanie działań podjętych w celu eliminowania stężeń substancji priorytetowych</w:t>
      </w:r>
      <w:bookmarkEnd w:id="285"/>
      <w:bookmarkEnd w:id="476"/>
    </w:p>
    <w:p w14:paraId="710AE1CA" w14:textId="73F2FB57" w:rsidR="000831EE" w:rsidRPr="00B14986" w:rsidRDefault="000831EE" w:rsidP="000831EE">
      <w:pPr>
        <w:suppressAutoHyphens/>
      </w:pPr>
      <w:r>
        <w:t xml:space="preserve">Zgodnie z art. 318 ust. 1 pkt 12 ustawy pr.w. plany gospodarowania wodami zawierają </w:t>
      </w:r>
      <w:r w:rsidRPr="00A55AE9">
        <w:t xml:space="preserve">podsumowanie działań podjętych w celu eliminowania stężeń substancji priorytetowych, określonych w przepisach wydanych na podstawie art. 114 </w:t>
      </w:r>
      <w:r w:rsidR="00FA4331">
        <w:t xml:space="preserve">ustawy </w:t>
      </w:r>
      <w:r w:rsidRPr="00A55AE9">
        <w:t>pr.w., dla których środowiskowe normy jakości zostały określone w</w:t>
      </w:r>
      <w:r w:rsidR="004B017B">
        <w:t> </w:t>
      </w:r>
      <w:r w:rsidRPr="00A55AE9">
        <w:t>faunie wodnej i florze oraz które wykazują tendencje do akumulowania się w osadach</w:t>
      </w:r>
      <w:r>
        <w:t>,</w:t>
      </w:r>
      <w:r w:rsidRPr="00A55AE9">
        <w:t xml:space="preserve"> w</w:t>
      </w:r>
      <w:r w:rsidR="00C4673D">
        <w:t> </w:t>
      </w:r>
      <w:r w:rsidRPr="00A55AE9">
        <w:t>tym informacje o wynikach tych działań oraz ich wpływie na stan wód</w:t>
      </w:r>
      <w:r>
        <w:t>.</w:t>
      </w:r>
    </w:p>
    <w:p w14:paraId="4984FFE3" w14:textId="77777777" w:rsidR="000831EE" w:rsidRPr="00C0041D" w:rsidRDefault="000831EE" w:rsidP="00B50FFD">
      <w:pPr>
        <w:pStyle w:val="Nagwek3"/>
      </w:pPr>
      <w:bookmarkStart w:id="477" w:name="_Toc68726913"/>
      <w:r w:rsidRPr="00C0041D">
        <w:t>Wdrażanie działań w celu eliminowania stężeń substancji priorytetowych</w:t>
      </w:r>
      <w:bookmarkEnd w:id="477"/>
    </w:p>
    <w:p w14:paraId="0E598AE6" w14:textId="29006C6E" w:rsidR="000831EE" w:rsidRDefault="000831EE" w:rsidP="000831EE">
      <w:pPr>
        <w:suppressAutoHyphens/>
      </w:pPr>
      <w:r>
        <w:t>Opracowana w 2016 r. aPWŚK zdefiniowała program działań podstawowych i uzupełniających. W</w:t>
      </w:r>
      <w:r w:rsidR="00DD3521">
        <w:t> </w:t>
      </w:r>
      <w:r>
        <w:t xml:space="preserve">zakresie </w:t>
      </w:r>
      <w:r w:rsidRPr="00420A6E">
        <w:t xml:space="preserve">eliminowania stężeń substancji priorytetowych </w:t>
      </w:r>
      <w:r>
        <w:t>działania podstawowe stanowią minimalne wymogi dla administracji i podmiotów korzystających ze środowiska, jakie należy spełnić w celu utrzymania wpływu presji co najmniej na tym samym poziomie i niepogarszania stanu wód. Obowiązek realizacji tych działań wynika zarówno z RDW, jak i innych postanowień UE oraz przepisów prawa krajowego. Zakres realizacji części zadań podstawowych wyodrębniono w aPGW jako grupę działań realizowanych na poziomie krajowym. Wśród tego zestawu znajduje się szereg wymagań dotyczących postępowania z substancjami priorytetowymi w celu ich eliminacji ze środowiska wodnego.</w:t>
      </w:r>
    </w:p>
    <w:p w14:paraId="1C324E75" w14:textId="759A5291" w:rsidR="000831EE" w:rsidRDefault="000831EE" w:rsidP="000831EE">
      <w:pPr>
        <w:suppressAutoHyphens/>
      </w:pPr>
      <w:r>
        <w:t xml:space="preserve">Działania związane bezpośrednio lub pośrednio z ograniczaniem emisji zanieczyszczeń priorytetowych, określone w aPWŚK w celu eliminowania stężeń substancji priorytetowych ze środowiska wodnego, wprowadzono do planów gospodarowania wodami. Najważniejsze wybrane grupy działań zestawiono w tabeli </w:t>
      </w:r>
      <w:r w:rsidR="00E46F8F">
        <w:t>13-1</w:t>
      </w:r>
      <w:r w:rsidR="005951CF">
        <w:t>1</w:t>
      </w:r>
      <w:r w:rsidR="00E46F8F">
        <w:t xml:space="preserve"> </w:t>
      </w:r>
      <w:r>
        <w:t xml:space="preserve">poniżej. </w:t>
      </w:r>
      <w:r w:rsidRPr="0061258D">
        <w:t>Pozostałe działania</w:t>
      </w:r>
      <w:r>
        <w:t xml:space="preserve"> związane z eliminacją zanieczyszczeń priorytetowych </w:t>
      </w:r>
      <w:r w:rsidRPr="0061258D">
        <w:t xml:space="preserve">zostały przypisane do konkretnych </w:t>
      </w:r>
      <w:r>
        <w:t>jcwp w ramach właściwych zestawów działań</w:t>
      </w:r>
      <w:r w:rsidR="00DD3521">
        <w:t>.</w:t>
      </w:r>
    </w:p>
    <w:p w14:paraId="50F89B1F" w14:textId="24CE5263" w:rsidR="000831EE" w:rsidRPr="00DD3521" w:rsidRDefault="00DD3521" w:rsidP="006802BB">
      <w:pPr>
        <w:pStyle w:val="Tabela"/>
      </w:pPr>
      <w:bookmarkStart w:id="478" w:name="_Toc68727051"/>
      <w:r>
        <w:t xml:space="preserve">Tabela </w:t>
      </w:r>
      <w:fldSimple w:instr=" STYLEREF 1 \s ">
        <w:r w:rsidR="005951CF">
          <w:rPr>
            <w:noProof/>
          </w:rPr>
          <w:t>13</w:t>
        </w:r>
      </w:fldSimple>
      <w:r w:rsidR="007B4050">
        <w:noBreakHyphen/>
      </w:r>
      <w:fldSimple w:instr=" SEQ Tabela \* ARABIC \s 1 ">
        <w:r w:rsidR="005951CF">
          <w:rPr>
            <w:noProof/>
          </w:rPr>
          <w:t>11</w:t>
        </w:r>
      </w:fldSimple>
      <w:r>
        <w:tab/>
      </w:r>
      <w:r w:rsidRPr="00881190">
        <w:t>Wybrane działania z Katalogu działań krajowych aPWŚK (2016), znaczące dla poprawy stanu jakościowego jcw</w:t>
      </w:r>
      <w:r>
        <w:t>p</w:t>
      </w:r>
      <w:bookmarkEnd w:id="478"/>
    </w:p>
    <w:tbl>
      <w:tblPr>
        <w:tblStyle w:val="Tabela-Siatka"/>
        <w:tblW w:w="5000" w:type="pct"/>
        <w:tblLook w:val="04A0" w:firstRow="1" w:lastRow="0" w:firstColumn="1" w:lastColumn="0" w:noHBand="0" w:noVBand="1"/>
      </w:tblPr>
      <w:tblGrid>
        <w:gridCol w:w="520"/>
        <w:gridCol w:w="6847"/>
        <w:gridCol w:w="1695"/>
      </w:tblGrid>
      <w:tr w:rsidR="000831EE" w:rsidRPr="00FB20D1" w14:paraId="2B88FC81" w14:textId="77777777" w:rsidTr="000338C0">
        <w:trPr>
          <w:trHeight w:val="454"/>
          <w:tblHeader/>
        </w:trPr>
        <w:tc>
          <w:tcPr>
            <w:tcW w:w="287" w:type="pct"/>
            <w:shd w:val="clear" w:color="auto" w:fill="BFBFBF" w:themeFill="background1" w:themeFillShade="BF"/>
            <w:vAlign w:val="center"/>
          </w:tcPr>
          <w:p w14:paraId="6C63CC13" w14:textId="77777777" w:rsidR="000831EE" w:rsidRPr="001B10C5" w:rsidRDefault="000831EE" w:rsidP="004442AF">
            <w:pPr>
              <w:pStyle w:val="Tabela-tekst"/>
              <w:jc w:val="center"/>
              <w:rPr>
                <w:b/>
                <w:bCs/>
              </w:rPr>
            </w:pPr>
            <w:r w:rsidRPr="001B10C5">
              <w:rPr>
                <w:b/>
                <w:bCs/>
              </w:rPr>
              <w:t>Lp.</w:t>
            </w:r>
          </w:p>
        </w:tc>
        <w:tc>
          <w:tcPr>
            <w:tcW w:w="3778" w:type="pct"/>
            <w:shd w:val="clear" w:color="auto" w:fill="BFBFBF" w:themeFill="background1" w:themeFillShade="BF"/>
            <w:vAlign w:val="center"/>
          </w:tcPr>
          <w:p w14:paraId="4B98F09C" w14:textId="77777777" w:rsidR="000831EE" w:rsidRPr="001B10C5" w:rsidRDefault="000831EE" w:rsidP="004442AF">
            <w:pPr>
              <w:pStyle w:val="Tabela-tekst"/>
              <w:jc w:val="center"/>
              <w:rPr>
                <w:b/>
                <w:bCs/>
              </w:rPr>
            </w:pPr>
            <w:r w:rsidRPr="001B10C5">
              <w:rPr>
                <w:b/>
                <w:bCs/>
              </w:rPr>
              <w:t>Grupy działań zdefiniowanych w aPWŚK (2016), istotnych dla redukcji emisji substancji priorytetowych</w:t>
            </w:r>
          </w:p>
        </w:tc>
        <w:tc>
          <w:tcPr>
            <w:tcW w:w="935" w:type="pct"/>
            <w:shd w:val="clear" w:color="auto" w:fill="BFBFBF" w:themeFill="background1" w:themeFillShade="BF"/>
            <w:vAlign w:val="center"/>
          </w:tcPr>
          <w:p w14:paraId="45536651" w14:textId="77777777" w:rsidR="000831EE" w:rsidRPr="001B10C5" w:rsidRDefault="000831EE" w:rsidP="004442AF">
            <w:pPr>
              <w:pStyle w:val="Tabela-tekst"/>
              <w:jc w:val="center"/>
              <w:rPr>
                <w:b/>
                <w:bCs/>
              </w:rPr>
            </w:pPr>
            <w:r w:rsidRPr="001B10C5">
              <w:rPr>
                <w:b/>
                <w:bCs/>
              </w:rPr>
              <w:t>Harmonogram realizacji</w:t>
            </w:r>
          </w:p>
        </w:tc>
      </w:tr>
      <w:tr w:rsidR="000831EE" w:rsidRPr="00FB20D1" w14:paraId="114C1CCF" w14:textId="77777777" w:rsidTr="000338C0">
        <w:trPr>
          <w:trHeight w:val="454"/>
        </w:trPr>
        <w:tc>
          <w:tcPr>
            <w:tcW w:w="5000" w:type="pct"/>
            <w:gridSpan w:val="3"/>
            <w:shd w:val="clear" w:color="auto" w:fill="D9D9D9" w:themeFill="background1" w:themeFillShade="D9"/>
            <w:vAlign w:val="center"/>
          </w:tcPr>
          <w:p w14:paraId="414BBADA" w14:textId="77777777" w:rsidR="000831EE" w:rsidRPr="00EC7E9F" w:rsidRDefault="000831EE" w:rsidP="004442AF">
            <w:pPr>
              <w:pStyle w:val="Tabela-tekst"/>
              <w:jc w:val="center"/>
            </w:pPr>
            <w:r w:rsidRPr="00EC7E9F">
              <w:t>Bezpośredni wpływ na eliminację zanieczyszczeń</w:t>
            </w:r>
          </w:p>
        </w:tc>
      </w:tr>
      <w:tr w:rsidR="000831EE" w:rsidRPr="00FB20D1" w14:paraId="18B88376" w14:textId="77777777" w:rsidTr="001B10C5">
        <w:trPr>
          <w:trHeight w:val="454"/>
        </w:trPr>
        <w:tc>
          <w:tcPr>
            <w:tcW w:w="287" w:type="pct"/>
            <w:vAlign w:val="center"/>
          </w:tcPr>
          <w:p w14:paraId="2FF9DBFC" w14:textId="77777777" w:rsidR="000831EE" w:rsidRPr="00FB20D1" w:rsidRDefault="000831EE" w:rsidP="004442AF">
            <w:pPr>
              <w:pStyle w:val="Tabela-tekst"/>
              <w:jc w:val="center"/>
            </w:pPr>
            <w:r w:rsidRPr="00FB20D1">
              <w:t>1.</w:t>
            </w:r>
          </w:p>
        </w:tc>
        <w:tc>
          <w:tcPr>
            <w:tcW w:w="3778" w:type="pct"/>
            <w:vAlign w:val="center"/>
          </w:tcPr>
          <w:p w14:paraId="1F792186" w14:textId="77777777" w:rsidR="000831EE" w:rsidRPr="00FB20D1" w:rsidRDefault="000831EE" w:rsidP="001B10C5">
            <w:pPr>
              <w:pStyle w:val="Tabela-tekst"/>
            </w:pPr>
            <w:r w:rsidRPr="00FB20D1">
              <w:t>Zakaz produkcji i stosowania substancji: aldryna, chlordan, chlordekon, dieldryna, endryna, endosulfan, heptachlor, heksachlorobenzen, mireks, toksafen, heksabromobifenyl, heksabromocyklododekan oraz DDT</w:t>
            </w:r>
          </w:p>
        </w:tc>
        <w:tc>
          <w:tcPr>
            <w:tcW w:w="935" w:type="pct"/>
            <w:vAlign w:val="center"/>
          </w:tcPr>
          <w:p w14:paraId="0507D665" w14:textId="77777777" w:rsidR="000831EE" w:rsidRPr="00FB20D1" w:rsidRDefault="000831EE" w:rsidP="004442AF">
            <w:pPr>
              <w:pStyle w:val="Tabela-tekst"/>
              <w:jc w:val="center"/>
            </w:pPr>
            <w:r w:rsidRPr="00FB20D1">
              <w:t>działanie ciągłe</w:t>
            </w:r>
          </w:p>
        </w:tc>
      </w:tr>
      <w:tr w:rsidR="000831EE" w:rsidRPr="00FB20D1" w14:paraId="6F6CB742" w14:textId="77777777" w:rsidTr="001B10C5">
        <w:trPr>
          <w:trHeight w:val="454"/>
        </w:trPr>
        <w:tc>
          <w:tcPr>
            <w:tcW w:w="287" w:type="pct"/>
            <w:vAlign w:val="center"/>
          </w:tcPr>
          <w:p w14:paraId="79980421" w14:textId="77777777" w:rsidR="000831EE" w:rsidRPr="00FB20D1" w:rsidRDefault="000831EE" w:rsidP="004442AF">
            <w:pPr>
              <w:pStyle w:val="Tabela-tekst"/>
              <w:jc w:val="center"/>
            </w:pPr>
            <w:r w:rsidRPr="00FB20D1">
              <w:t>2.</w:t>
            </w:r>
          </w:p>
        </w:tc>
        <w:tc>
          <w:tcPr>
            <w:tcW w:w="3778" w:type="pct"/>
            <w:vAlign w:val="center"/>
          </w:tcPr>
          <w:p w14:paraId="57E36404" w14:textId="77777777" w:rsidR="000831EE" w:rsidRPr="00FB20D1" w:rsidRDefault="000831EE" w:rsidP="001B10C5">
            <w:pPr>
              <w:pStyle w:val="Tabela-tekst"/>
            </w:pPr>
            <w:r w:rsidRPr="00FB20D1">
              <w:t>Obowiązki w zakresie uzyskania pozwolenia zintegrowanego dla instalacji</w:t>
            </w:r>
          </w:p>
        </w:tc>
        <w:tc>
          <w:tcPr>
            <w:tcW w:w="935" w:type="pct"/>
            <w:vAlign w:val="center"/>
          </w:tcPr>
          <w:p w14:paraId="4980DB5F" w14:textId="77777777" w:rsidR="000831EE" w:rsidRPr="00FB20D1" w:rsidRDefault="000831EE" w:rsidP="004442AF">
            <w:pPr>
              <w:pStyle w:val="Tabela-tekst"/>
              <w:jc w:val="center"/>
            </w:pPr>
            <w:r w:rsidRPr="00FB20D1">
              <w:t>działanie ciągłe</w:t>
            </w:r>
          </w:p>
        </w:tc>
      </w:tr>
      <w:tr w:rsidR="000831EE" w:rsidRPr="00FB20D1" w14:paraId="353DFE42" w14:textId="77777777" w:rsidTr="001B10C5">
        <w:trPr>
          <w:trHeight w:val="454"/>
        </w:trPr>
        <w:tc>
          <w:tcPr>
            <w:tcW w:w="287" w:type="pct"/>
            <w:vAlign w:val="center"/>
          </w:tcPr>
          <w:p w14:paraId="38BF4076" w14:textId="77777777" w:rsidR="000831EE" w:rsidRPr="00FB20D1" w:rsidRDefault="000831EE" w:rsidP="004442AF">
            <w:pPr>
              <w:pStyle w:val="Tabela-tekst"/>
              <w:jc w:val="center"/>
            </w:pPr>
            <w:r w:rsidRPr="00FB20D1">
              <w:t>3.</w:t>
            </w:r>
          </w:p>
        </w:tc>
        <w:tc>
          <w:tcPr>
            <w:tcW w:w="3778" w:type="pct"/>
            <w:vAlign w:val="center"/>
          </w:tcPr>
          <w:p w14:paraId="1C18AE7C" w14:textId="77777777" w:rsidR="000831EE" w:rsidRPr="00FB20D1" w:rsidRDefault="000831EE" w:rsidP="001B10C5">
            <w:pPr>
              <w:pStyle w:val="Tabela-tekst"/>
            </w:pPr>
            <w:r w:rsidRPr="00FB20D1">
              <w:t>Kontrola warunków odprowadzania ścieków</w:t>
            </w:r>
          </w:p>
        </w:tc>
        <w:tc>
          <w:tcPr>
            <w:tcW w:w="935" w:type="pct"/>
            <w:vAlign w:val="center"/>
          </w:tcPr>
          <w:p w14:paraId="79EA86B0" w14:textId="77777777" w:rsidR="000831EE" w:rsidRPr="00FB20D1" w:rsidRDefault="000831EE" w:rsidP="004442AF">
            <w:pPr>
              <w:pStyle w:val="Tabela-tekst"/>
              <w:jc w:val="center"/>
            </w:pPr>
            <w:r w:rsidRPr="00FB20D1">
              <w:t>działanie ciągłe</w:t>
            </w:r>
          </w:p>
        </w:tc>
      </w:tr>
      <w:tr w:rsidR="000831EE" w:rsidRPr="00FB20D1" w14:paraId="4C484C10" w14:textId="77777777" w:rsidTr="001B10C5">
        <w:trPr>
          <w:trHeight w:val="454"/>
        </w:trPr>
        <w:tc>
          <w:tcPr>
            <w:tcW w:w="287" w:type="pct"/>
            <w:vAlign w:val="center"/>
          </w:tcPr>
          <w:p w14:paraId="264FE83E" w14:textId="77777777" w:rsidR="000831EE" w:rsidRPr="00FB20D1" w:rsidRDefault="000831EE" w:rsidP="004442AF">
            <w:pPr>
              <w:pStyle w:val="Tabela-tekst"/>
              <w:jc w:val="center"/>
            </w:pPr>
            <w:r w:rsidRPr="00FB20D1">
              <w:t>4.</w:t>
            </w:r>
          </w:p>
        </w:tc>
        <w:tc>
          <w:tcPr>
            <w:tcW w:w="3778" w:type="pct"/>
            <w:vAlign w:val="center"/>
          </w:tcPr>
          <w:p w14:paraId="628D6A30" w14:textId="77777777" w:rsidR="000831EE" w:rsidRPr="00FB20D1" w:rsidRDefault="000831EE" w:rsidP="001B10C5">
            <w:pPr>
              <w:pStyle w:val="Tabela-tekst"/>
            </w:pPr>
            <w:r w:rsidRPr="00FB20D1">
              <w:t>Obowiązek uzyskania pozwolenia wodnoprawnego na wprowadzanie ścieków przemysłowych do systemów zbierania i oczyszczania ścieków komunalnych</w:t>
            </w:r>
          </w:p>
        </w:tc>
        <w:tc>
          <w:tcPr>
            <w:tcW w:w="935" w:type="pct"/>
            <w:vAlign w:val="center"/>
          </w:tcPr>
          <w:p w14:paraId="662FA135" w14:textId="77777777" w:rsidR="000831EE" w:rsidRPr="00FB20D1" w:rsidRDefault="000831EE" w:rsidP="004442AF">
            <w:pPr>
              <w:pStyle w:val="Tabela-tekst"/>
              <w:jc w:val="center"/>
              <w:rPr>
                <w:b/>
              </w:rPr>
            </w:pPr>
            <w:r w:rsidRPr="00FB20D1">
              <w:t>działanie ciągłe</w:t>
            </w:r>
          </w:p>
        </w:tc>
      </w:tr>
      <w:tr w:rsidR="000831EE" w:rsidRPr="00FB20D1" w14:paraId="2AA568DA" w14:textId="77777777" w:rsidTr="001B10C5">
        <w:trPr>
          <w:trHeight w:val="454"/>
        </w:trPr>
        <w:tc>
          <w:tcPr>
            <w:tcW w:w="287" w:type="pct"/>
            <w:vAlign w:val="center"/>
          </w:tcPr>
          <w:p w14:paraId="0C9AEB8A" w14:textId="77777777" w:rsidR="000831EE" w:rsidRPr="00FB20D1" w:rsidRDefault="000831EE" w:rsidP="004442AF">
            <w:pPr>
              <w:pStyle w:val="Tabela-tekst"/>
              <w:jc w:val="center"/>
            </w:pPr>
            <w:r w:rsidRPr="00FB20D1">
              <w:t>5.</w:t>
            </w:r>
          </w:p>
        </w:tc>
        <w:tc>
          <w:tcPr>
            <w:tcW w:w="3778" w:type="pct"/>
            <w:vAlign w:val="center"/>
          </w:tcPr>
          <w:p w14:paraId="2E4ACBED" w14:textId="77777777" w:rsidR="000831EE" w:rsidRPr="00FB20D1" w:rsidRDefault="000831EE" w:rsidP="001B10C5">
            <w:pPr>
              <w:pStyle w:val="Tabela-tekst"/>
            </w:pPr>
            <w:r w:rsidRPr="00FB20D1">
              <w:t>Kontrola dopuszczalnych mas substancji w odprowadzanych ściekach przemysłowych</w:t>
            </w:r>
          </w:p>
        </w:tc>
        <w:tc>
          <w:tcPr>
            <w:tcW w:w="935" w:type="pct"/>
            <w:vAlign w:val="center"/>
          </w:tcPr>
          <w:p w14:paraId="067DFED2" w14:textId="77777777" w:rsidR="000831EE" w:rsidRPr="00FB20D1" w:rsidRDefault="000831EE" w:rsidP="004442AF">
            <w:pPr>
              <w:pStyle w:val="Tabela-tekst"/>
              <w:jc w:val="center"/>
              <w:rPr>
                <w:b/>
              </w:rPr>
            </w:pPr>
            <w:r w:rsidRPr="00FB20D1">
              <w:t>działanie ciągłe</w:t>
            </w:r>
          </w:p>
        </w:tc>
      </w:tr>
      <w:tr w:rsidR="000831EE" w:rsidRPr="00FB20D1" w14:paraId="67E7EECD" w14:textId="77777777" w:rsidTr="001B10C5">
        <w:trPr>
          <w:trHeight w:val="454"/>
        </w:trPr>
        <w:tc>
          <w:tcPr>
            <w:tcW w:w="287" w:type="pct"/>
            <w:vAlign w:val="center"/>
          </w:tcPr>
          <w:p w14:paraId="26B42D44" w14:textId="77777777" w:rsidR="000831EE" w:rsidRPr="00FB20D1" w:rsidRDefault="000831EE" w:rsidP="004442AF">
            <w:pPr>
              <w:pStyle w:val="Tabela-tekst"/>
              <w:jc w:val="center"/>
            </w:pPr>
            <w:r w:rsidRPr="00FB20D1">
              <w:t>6.</w:t>
            </w:r>
          </w:p>
        </w:tc>
        <w:tc>
          <w:tcPr>
            <w:tcW w:w="3778" w:type="pct"/>
            <w:vAlign w:val="center"/>
          </w:tcPr>
          <w:p w14:paraId="69395AC6" w14:textId="77777777" w:rsidR="000831EE" w:rsidRPr="00FB20D1" w:rsidRDefault="000831EE" w:rsidP="001B10C5">
            <w:pPr>
              <w:pStyle w:val="Tabela-tekst"/>
            </w:pPr>
            <w:r w:rsidRPr="00FB20D1">
              <w:t>Zakaz zrzutu ścieków ze statków do wód powierzchniowych</w:t>
            </w:r>
          </w:p>
        </w:tc>
        <w:tc>
          <w:tcPr>
            <w:tcW w:w="935" w:type="pct"/>
            <w:vAlign w:val="center"/>
          </w:tcPr>
          <w:p w14:paraId="585C4C4C" w14:textId="77777777" w:rsidR="000831EE" w:rsidRPr="00FB20D1" w:rsidRDefault="000831EE" w:rsidP="004442AF">
            <w:pPr>
              <w:pStyle w:val="Tabela-tekst"/>
              <w:jc w:val="center"/>
              <w:rPr>
                <w:b/>
              </w:rPr>
            </w:pPr>
            <w:r w:rsidRPr="00FB20D1">
              <w:t>działanie ciągłe</w:t>
            </w:r>
          </w:p>
        </w:tc>
      </w:tr>
      <w:tr w:rsidR="000831EE" w:rsidRPr="00FB20D1" w14:paraId="4E09DEBF" w14:textId="77777777" w:rsidTr="001B10C5">
        <w:trPr>
          <w:trHeight w:val="454"/>
        </w:trPr>
        <w:tc>
          <w:tcPr>
            <w:tcW w:w="287" w:type="pct"/>
            <w:vAlign w:val="center"/>
          </w:tcPr>
          <w:p w14:paraId="47C11D97" w14:textId="77777777" w:rsidR="000831EE" w:rsidRPr="00FB20D1" w:rsidRDefault="000831EE" w:rsidP="004442AF">
            <w:pPr>
              <w:pStyle w:val="Tabela-tekst"/>
              <w:jc w:val="center"/>
            </w:pPr>
            <w:r w:rsidRPr="00FB20D1">
              <w:t>7.</w:t>
            </w:r>
          </w:p>
        </w:tc>
        <w:tc>
          <w:tcPr>
            <w:tcW w:w="3778" w:type="pct"/>
            <w:vAlign w:val="center"/>
          </w:tcPr>
          <w:p w14:paraId="56991201" w14:textId="77777777" w:rsidR="000831EE" w:rsidRPr="00FB20D1" w:rsidRDefault="000831EE" w:rsidP="001B10C5">
            <w:pPr>
              <w:pStyle w:val="Tabela-tekst"/>
            </w:pPr>
            <w:r w:rsidRPr="00FB20D1">
              <w:t>Obowiązek w zakresie uzyskania pozwolenia wodnoprawnego na wprowadzanie ścieków w ramach szczególnego korzystania z wód</w:t>
            </w:r>
          </w:p>
        </w:tc>
        <w:tc>
          <w:tcPr>
            <w:tcW w:w="935" w:type="pct"/>
            <w:vAlign w:val="center"/>
          </w:tcPr>
          <w:p w14:paraId="49549CA2" w14:textId="77777777" w:rsidR="000831EE" w:rsidRPr="00FB20D1" w:rsidRDefault="000831EE" w:rsidP="004442AF">
            <w:pPr>
              <w:pStyle w:val="Tabela-tekst"/>
              <w:jc w:val="center"/>
              <w:rPr>
                <w:b/>
              </w:rPr>
            </w:pPr>
            <w:r w:rsidRPr="00FB20D1">
              <w:t>działanie ciągłe</w:t>
            </w:r>
          </w:p>
        </w:tc>
      </w:tr>
      <w:tr w:rsidR="000831EE" w:rsidRPr="00FB20D1" w14:paraId="0BC021E0" w14:textId="77777777" w:rsidTr="001B10C5">
        <w:trPr>
          <w:trHeight w:val="454"/>
        </w:trPr>
        <w:tc>
          <w:tcPr>
            <w:tcW w:w="287" w:type="pct"/>
            <w:vAlign w:val="center"/>
          </w:tcPr>
          <w:p w14:paraId="6BB334CE" w14:textId="77777777" w:rsidR="000831EE" w:rsidRPr="00FB20D1" w:rsidRDefault="000831EE" w:rsidP="004442AF">
            <w:pPr>
              <w:pStyle w:val="Tabela-tekst"/>
              <w:jc w:val="center"/>
            </w:pPr>
            <w:r w:rsidRPr="00FB20D1">
              <w:t>8.</w:t>
            </w:r>
          </w:p>
        </w:tc>
        <w:tc>
          <w:tcPr>
            <w:tcW w:w="3778" w:type="pct"/>
            <w:vAlign w:val="center"/>
          </w:tcPr>
          <w:p w14:paraId="54FDA07F" w14:textId="77777777" w:rsidR="000831EE" w:rsidRPr="00FB20D1" w:rsidRDefault="000831EE" w:rsidP="001B10C5">
            <w:pPr>
              <w:pStyle w:val="Tabela-tekst"/>
            </w:pPr>
            <w:r w:rsidRPr="00FB20D1">
              <w:t>Obowiązek zapewnienia, że wartości dopuszczalne zanieczyszczeń w ściekach wprowadzanych do wód i do ziemi nie są przekroczone</w:t>
            </w:r>
          </w:p>
        </w:tc>
        <w:tc>
          <w:tcPr>
            <w:tcW w:w="935" w:type="pct"/>
            <w:vAlign w:val="center"/>
          </w:tcPr>
          <w:p w14:paraId="21030413" w14:textId="77777777" w:rsidR="000831EE" w:rsidRPr="00FB20D1" w:rsidRDefault="000831EE" w:rsidP="004442AF">
            <w:pPr>
              <w:pStyle w:val="Tabela-tekst"/>
              <w:jc w:val="center"/>
              <w:rPr>
                <w:b/>
              </w:rPr>
            </w:pPr>
            <w:r w:rsidRPr="00FB20D1">
              <w:t>działanie ciągłe</w:t>
            </w:r>
          </w:p>
        </w:tc>
      </w:tr>
      <w:tr w:rsidR="000831EE" w:rsidRPr="00FB20D1" w14:paraId="5FB3B2D4" w14:textId="77777777" w:rsidTr="001B10C5">
        <w:trPr>
          <w:trHeight w:val="454"/>
        </w:trPr>
        <w:tc>
          <w:tcPr>
            <w:tcW w:w="287" w:type="pct"/>
            <w:vAlign w:val="center"/>
          </w:tcPr>
          <w:p w14:paraId="64E04119" w14:textId="77777777" w:rsidR="000831EE" w:rsidRPr="00FB20D1" w:rsidRDefault="000831EE" w:rsidP="004442AF">
            <w:pPr>
              <w:pStyle w:val="Tabela-tekst"/>
              <w:jc w:val="center"/>
            </w:pPr>
            <w:r w:rsidRPr="00FB20D1">
              <w:t>9.</w:t>
            </w:r>
          </w:p>
        </w:tc>
        <w:tc>
          <w:tcPr>
            <w:tcW w:w="3778" w:type="pct"/>
            <w:vAlign w:val="center"/>
          </w:tcPr>
          <w:p w14:paraId="0A2E5B2A" w14:textId="77777777" w:rsidR="000831EE" w:rsidRPr="00FB20D1" w:rsidRDefault="000831EE" w:rsidP="001B10C5">
            <w:pPr>
              <w:pStyle w:val="Tabela-tekst"/>
            </w:pPr>
            <w:r w:rsidRPr="00FB20D1">
              <w:t>Kontrola dotycząca przestrzegania decyzji ustalających warunki korzystania ze środowiska oraz przestrzegania zakresu, częstotliwości i sposobu prowadzenia pomiarów wielkości emisji i jej wpływu na stan środowiska</w:t>
            </w:r>
          </w:p>
        </w:tc>
        <w:tc>
          <w:tcPr>
            <w:tcW w:w="935" w:type="pct"/>
            <w:vAlign w:val="center"/>
          </w:tcPr>
          <w:p w14:paraId="2F6C1022" w14:textId="77777777" w:rsidR="000831EE" w:rsidRPr="00FB20D1" w:rsidRDefault="000831EE" w:rsidP="004442AF">
            <w:pPr>
              <w:pStyle w:val="Tabela-tekst"/>
              <w:jc w:val="center"/>
              <w:rPr>
                <w:b/>
              </w:rPr>
            </w:pPr>
            <w:r w:rsidRPr="00FB20D1">
              <w:t>działanie ciągłe</w:t>
            </w:r>
          </w:p>
        </w:tc>
      </w:tr>
      <w:tr w:rsidR="000831EE" w:rsidRPr="00FB20D1" w14:paraId="3D0B190F" w14:textId="77777777" w:rsidTr="001B10C5">
        <w:trPr>
          <w:trHeight w:val="454"/>
        </w:trPr>
        <w:tc>
          <w:tcPr>
            <w:tcW w:w="287" w:type="pct"/>
            <w:vAlign w:val="center"/>
          </w:tcPr>
          <w:p w14:paraId="0BE05DFD" w14:textId="77777777" w:rsidR="000831EE" w:rsidRPr="00FB20D1" w:rsidRDefault="000831EE" w:rsidP="004442AF">
            <w:pPr>
              <w:pStyle w:val="Tabela-tekst"/>
              <w:jc w:val="center"/>
            </w:pPr>
            <w:r w:rsidRPr="00FB20D1">
              <w:t>10.</w:t>
            </w:r>
          </w:p>
        </w:tc>
        <w:tc>
          <w:tcPr>
            <w:tcW w:w="3778" w:type="pct"/>
            <w:vAlign w:val="center"/>
          </w:tcPr>
          <w:p w14:paraId="398266C3" w14:textId="77777777" w:rsidR="000831EE" w:rsidRPr="00FB20D1" w:rsidRDefault="000831EE" w:rsidP="001B10C5">
            <w:pPr>
              <w:pStyle w:val="Tabela-tekst"/>
            </w:pPr>
            <w:r w:rsidRPr="00FB20D1">
              <w:t>Przegląd ustaleń pozwoleń wodnoprawnych na odprowadzanie ścieków oraz realizacji tych pozwoleń co najmniej raz na 4 lata</w:t>
            </w:r>
          </w:p>
        </w:tc>
        <w:tc>
          <w:tcPr>
            <w:tcW w:w="935" w:type="pct"/>
            <w:vAlign w:val="center"/>
          </w:tcPr>
          <w:p w14:paraId="5AAD14FD" w14:textId="77777777" w:rsidR="000831EE" w:rsidRPr="00FB20D1" w:rsidRDefault="000831EE" w:rsidP="004442AF">
            <w:pPr>
              <w:pStyle w:val="Tabela-tekst"/>
              <w:jc w:val="center"/>
              <w:rPr>
                <w:b/>
              </w:rPr>
            </w:pPr>
            <w:r w:rsidRPr="00FB20D1">
              <w:t>działanie ciągłe</w:t>
            </w:r>
          </w:p>
        </w:tc>
      </w:tr>
      <w:tr w:rsidR="000831EE" w:rsidRPr="00FB20D1" w14:paraId="71FFEF5D" w14:textId="77777777" w:rsidTr="001B10C5">
        <w:trPr>
          <w:trHeight w:val="454"/>
        </w:trPr>
        <w:tc>
          <w:tcPr>
            <w:tcW w:w="5000" w:type="pct"/>
            <w:gridSpan w:val="3"/>
            <w:shd w:val="clear" w:color="auto" w:fill="D9D9D9" w:themeFill="background1" w:themeFillShade="D9"/>
            <w:vAlign w:val="center"/>
          </w:tcPr>
          <w:p w14:paraId="6DCD248C" w14:textId="77777777" w:rsidR="000831EE" w:rsidRPr="00EC7E9F" w:rsidRDefault="000831EE" w:rsidP="004442AF">
            <w:pPr>
              <w:pStyle w:val="Tabela-tekst"/>
              <w:jc w:val="center"/>
            </w:pPr>
            <w:r w:rsidRPr="00EC7E9F">
              <w:t>Pośredni wpływ na eliminację zanieczyszczeń</w:t>
            </w:r>
          </w:p>
        </w:tc>
      </w:tr>
      <w:tr w:rsidR="000831EE" w:rsidRPr="00FB20D1" w14:paraId="1CF2AE92" w14:textId="77777777" w:rsidTr="001B10C5">
        <w:trPr>
          <w:trHeight w:val="454"/>
        </w:trPr>
        <w:tc>
          <w:tcPr>
            <w:tcW w:w="287" w:type="pct"/>
            <w:vAlign w:val="center"/>
          </w:tcPr>
          <w:p w14:paraId="028EC131" w14:textId="77777777" w:rsidR="000831EE" w:rsidRPr="00FB20D1" w:rsidRDefault="000831EE" w:rsidP="004442AF">
            <w:pPr>
              <w:pStyle w:val="Tabela-tekst"/>
              <w:jc w:val="center"/>
            </w:pPr>
            <w:r w:rsidRPr="00FB20D1">
              <w:t>1.</w:t>
            </w:r>
          </w:p>
        </w:tc>
        <w:tc>
          <w:tcPr>
            <w:tcW w:w="3778" w:type="pct"/>
            <w:vAlign w:val="center"/>
          </w:tcPr>
          <w:p w14:paraId="399638C3" w14:textId="77777777" w:rsidR="000831EE" w:rsidRPr="00FB20D1" w:rsidRDefault="000831EE" w:rsidP="001B10C5">
            <w:pPr>
              <w:pStyle w:val="Tabela-tekst"/>
            </w:pPr>
            <w:r w:rsidRPr="00FB20D1">
              <w:t>Obowiązki w zakresie przeprowadzenia procedury oceny oddziaływania na środowisko lub obszar Natura2000 dla przedsięwzięć</w:t>
            </w:r>
          </w:p>
        </w:tc>
        <w:tc>
          <w:tcPr>
            <w:tcW w:w="935" w:type="pct"/>
            <w:vAlign w:val="center"/>
          </w:tcPr>
          <w:p w14:paraId="530C6104" w14:textId="77777777" w:rsidR="000831EE" w:rsidRPr="00FB20D1" w:rsidRDefault="000831EE" w:rsidP="004442AF">
            <w:pPr>
              <w:pStyle w:val="Tabela-tekst"/>
              <w:jc w:val="center"/>
            </w:pPr>
            <w:r w:rsidRPr="00FB20D1">
              <w:t>działanie ciągłe</w:t>
            </w:r>
          </w:p>
        </w:tc>
      </w:tr>
      <w:tr w:rsidR="000831EE" w:rsidRPr="00FB20D1" w14:paraId="05D10F72" w14:textId="77777777" w:rsidTr="001B10C5">
        <w:trPr>
          <w:trHeight w:val="454"/>
        </w:trPr>
        <w:tc>
          <w:tcPr>
            <w:tcW w:w="287" w:type="pct"/>
            <w:vAlign w:val="center"/>
          </w:tcPr>
          <w:p w14:paraId="251FE1E5" w14:textId="77777777" w:rsidR="000831EE" w:rsidRPr="00FB20D1" w:rsidRDefault="000831EE" w:rsidP="004442AF">
            <w:pPr>
              <w:pStyle w:val="Tabela-tekst"/>
              <w:jc w:val="center"/>
            </w:pPr>
            <w:r w:rsidRPr="00FB20D1">
              <w:t>2.</w:t>
            </w:r>
          </w:p>
        </w:tc>
        <w:tc>
          <w:tcPr>
            <w:tcW w:w="3778" w:type="pct"/>
            <w:vAlign w:val="center"/>
          </w:tcPr>
          <w:p w14:paraId="5329D346" w14:textId="77777777" w:rsidR="000831EE" w:rsidRPr="00FB20D1" w:rsidRDefault="000831EE" w:rsidP="001B10C5">
            <w:pPr>
              <w:pStyle w:val="Tabela-tekst"/>
            </w:pPr>
            <w:r w:rsidRPr="00FB20D1">
              <w:t>Obowiązki związane z zatwierdzaniem, stosowaniem i udostępnianiem informacji dotyczącej środków ochrony roślin</w:t>
            </w:r>
          </w:p>
        </w:tc>
        <w:tc>
          <w:tcPr>
            <w:tcW w:w="935" w:type="pct"/>
            <w:vAlign w:val="center"/>
          </w:tcPr>
          <w:p w14:paraId="069B1068" w14:textId="77777777" w:rsidR="000831EE" w:rsidRPr="00FB20D1" w:rsidRDefault="000831EE" w:rsidP="004442AF">
            <w:pPr>
              <w:pStyle w:val="Tabela-tekst"/>
              <w:jc w:val="center"/>
            </w:pPr>
            <w:r w:rsidRPr="00FB20D1">
              <w:t>działanie ciągłe</w:t>
            </w:r>
          </w:p>
        </w:tc>
      </w:tr>
      <w:tr w:rsidR="000831EE" w:rsidRPr="00FB20D1" w14:paraId="16254652" w14:textId="77777777" w:rsidTr="001B10C5">
        <w:trPr>
          <w:trHeight w:val="454"/>
        </w:trPr>
        <w:tc>
          <w:tcPr>
            <w:tcW w:w="287" w:type="pct"/>
            <w:vAlign w:val="center"/>
          </w:tcPr>
          <w:p w14:paraId="404A3B97" w14:textId="77777777" w:rsidR="000831EE" w:rsidRPr="00FB20D1" w:rsidRDefault="000831EE" w:rsidP="004442AF">
            <w:pPr>
              <w:pStyle w:val="Tabela-tekst"/>
              <w:jc w:val="center"/>
            </w:pPr>
            <w:r w:rsidRPr="00FB20D1">
              <w:t>3.</w:t>
            </w:r>
          </w:p>
        </w:tc>
        <w:tc>
          <w:tcPr>
            <w:tcW w:w="3778" w:type="pct"/>
            <w:vAlign w:val="center"/>
          </w:tcPr>
          <w:p w14:paraId="7ADCEC04" w14:textId="77777777" w:rsidR="000831EE" w:rsidRPr="00FB20D1" w:rsidRDefault="000831EE" w:rsidP="001B10C5">
            <w:pPr>
              <w:pStyle w:val="Tabela-tekst"/>
            </w:pPr>
            <w:r w:rsidRPr="00FB20D1">
              <w:t>Przeprowadzanie kontroli zgodności z przepisami rozporządzenia Parlamentu Europejskiego o środkach ochrony roślin</w:t>
            </w:r>
          </w:p>
        </w:tc>
        <w:tc>
          <w:tcPr>
            <w:tcW w:w="935" w:type="pct"/>
            <w:vAlign w:val="center"/>
          </w:tcPr>
          <w:p w14:paraId="08573F55" w14:textId="77777777" w:rsidR="000831EE" w:rsidRPr="00FB20D1" w:rsidRDefault="000831EE" w:rsidP="004442AF">
            <w:pPr>
              <w:pStyle w:val="Tabela-tekst"/>
              <w:jc w:val="center"/>
            </w:pPr>
            <w:r w:rsidRPr="00FB20D1">
              <w:t>działanie ciągłe</w:t>
            </w:r>
          </w:p>
        </w:tc>
      </w:tr>
      <w:tr w:rsidR="000831EE" w:rsidRPr="00FB20D1" w14:paraId="58E496C9" w14:textId="77777777" w:rsidTr="001B10C5">
        <w:trPr>
          <w:trHeight w:val="454"/>
        </w:trPr>
        <w:tc>
          <w:tcPr>
            <w:tcW w:w="287" w:type="pct"/>
            <w:vAlign w:val="center"/>
          </w:tcPr>
          <w:p w14:paraId="2F07723C" w14:textId="77777777" w:rsidR="000831EE" w:rsidRPr="00FB20D1" w:rsidRDefault="000831EE" w:rsidP="004442AF">
            <w:pPr>
              <w:pStyle w:val="Tabela-tekst"/>
              <w:jc w:val="center"/>
            </w:pPr>
            <w:r w:rsidRPr="00FB20D1">
              <w:t>4.</w:t>
            </w:r>
          </w:p>
        </w:tc>
        <w:tc>
          <w:tcPr>
            <w:tcW w:w="3778" w:type="pct"/>
            <w:vAlign w:val="center"/>
          </w:tcPr>
          <w:p w14:paraId="4BB63559" w14:textId="77777777" w:rsidR="000831EE" w:rsidRPr="00FB20D1" w:rsidRDefault="000831EE" w:rsidP="001B10C5">
            <w:pPr>
              <w:pStyle w:val="Tabela-tekst"/>
            </w:pPr>
            <w:r w:rsidRPr="00FB20D1">
              <w:t>Obowiązki związane z prowadzeniem instalacji o zwiększonym i dużym ryzyku wystąpienia awarii, a także przeciwdziałaniem poważnym awariom</w:t>
            </w:r>
          </w:p>
        </w:tc>
        <w:tc>
          <w:tcPr>
            <w:tcW w:w="935" w:type="pct"/>
            <w:vAlign w:val="center"/>
          </w:tcPr>
          <w:p w14:paraId="28297119" w14:textId="77777777" w:rsidR="000831EE" w:rsidRPr="00FB20D1" w:rsidRDefault="000831EE" w:rsidP="004442AF">
            <w:pPr>
              <w:pStyle w:val="Tabela-tekst"/>
              <w:jc w:val="center"/>
            </w:pPr>
            <w:r w:rsidRPr="00FB20D1">
              <w:t>działanie ciągłe</w:t>
            </w:r>
          </w:p>
        </w:tc>
      </w:tr>
      <w:tr w:rsidR="000831EE" w:rsidRPr="00FB20D1" w14:paraId="4A57C7D5" w14:textId="77777777" w:rsidTr="001B10C5">
        <w:trPr>
          <w:trHeight w:val="454"/>
        </w:trPr>
        <w:tc>
          <w:tcPr>
            <w:tcW w:w="287" w:type="pct"/>
            <w:vAlign w:val="center"/>
          </w:tcPr>
          <w:p w14:paraId="54797A87" w14:textId="77777777" w:rsidR="000831EE" w:rsidRPr="00FB20D1" w:rsidRDefault="000831EE" w:rsidP="004442AF">
            <w:pPr>
              <w:pStyle w:val="Tabela-tekst"/>
              <w:jc w:val="center"/>
            </w:pPr>
            <w:r w:rsidRPr="00FB20D1">
              <w:t>5.</w:t>
            </w:r>
          </w:p>
        </w:tc>
        <w:tc>
          <w:tcPr>
            <w:tcW w:w="3778" w:type="pct"/>
            <w:vAlign w:val="center"/>
          </w:tcPr>
          <w:p w14:paraId="535E8142" w14:textId="77777777" w:rsidR="000831EE" w:rsidRPr="00FB20D1" w:rsidRDefault="000831EE" w:rsidP="001B10C5">
            <w:pPr>
              <w:pStyle w:val="Tabela-tekst"/>
            </w:pPr>
            <w:r w:rsidRPr="00FB20D1">
              <w:t>Wymagania związane z planami operacyjno-ratowniczymi i bezpieczeństwem społeczeństwa</w:t>
            </w:r>
          </w:p>
        </w:tc>
        <w:tc>
          <w:tcPr>
            <w:tcW w:w="935" w:type="pct"/>
            <w:vAlign w:val="center"/>
          </w:tcPr>
          <w:p w14:paraId="6B919040" w14:textId="77777777" w:rsidR="000831EE" w:rsidRPr="00FB20D1" w:rsidRDefault="000831EE" w:rsidP="004442AF">
            <w:pPr>
              <w:pStyle w:val="Tabela-tekst"/>
              <w:jc w:val="center"/>
            </w:pPr>
            <w:r w:rsidRPr="00FB20D1">
              <w:t>działanie ciągłe</w:t>
            </w:r>
          </w:p>
        </w:tc>
      </w:tr>
      <w:tr w:rsidR="000831EE" w:rsidRPr="00FB20D1" w14:paraId="4EE13AE3" w14:textId="77777777" w:rsidTr="001B10C5">
        <w:trPr>
          <w:trHeight w:val="454"/>
        </w:trPr>
        <w:tc>
          <w:tcPr>
            <w:tcW w:w="287" w:type="pct"/>
            <w:vAlign w:val="center"/>
          </w:tcPr>
          <w:p w14:paraId="249A1577" w14:textId="77777777" w:rsidR="000831EE" w:rsidRPr="00FB20D1" w:rsidRDefault="000831EE" w:rsidP="004442AF">
            <w:pPr>
              <w:pStyle w:val="Tabela-tekst"/>
              <w:jc w:val="center"/>
            </w:pPr>
            <w:r w:rsidRPr="00FB20D1">
              <w:t>6.</w:t>
            </w:r>
          </w:p>
        </w:tc>
        <w:tc>
          <w:tcPr>
            <w:tcW w:w="3778" w:type="pct"/>
            <w:vAlign w:val="center"/>
          </w:tcPr>
          <w:p w14:paraId="46363CF6" w14:textId="77777777" w:rsidR="000831EE" w:rsidRPr="00FB20D1" w:rsidRDefault="000831EE" w:rsidP="001B10C5">
            <w:pPr>
              <w:pStyle w:val="Tabela-tekst"/>
            </w:pPr>
            <w:r w:rsidRPr="00FB20D1">
              <w:t>Realizacja KPOŚK</w:t>
            </w:r>
          </w:p>
        </w:tc>
        <w:tc>
          <w:tcPr>
            <w:tcW w:w="935" w:type="pct"/>
            <w:vAlign w:val="center"/>
          </w:tcPr>
          <w:p w14:paraId="29CD9531" w14:textId="77777777" w:rsidR="000831EE" w:rsidRPr="00FB20D1" w:rsidRDefault="000831EE" w:rsidP="004442AF">
            <w:pPr>
              <w:pStyle w:val="Tabela-tekst"/>
              <w:jc w:val="center"/>
            </w:pPr>
            <w:r w:rsidRPr="00FB20D1">
              <w:t>działanie ciągłe</w:t>
            </w:r>
          </w:p>
        </w:tc>
      </w:tr>
      <w:tr w:rsidR="000831EE" w:rsidRPr="00FB20D1" w14:paraId="7FDE12B0" w14:textId="77777777" w:rsidTr="001B10C5">
        <w:trPr>
          <w:trHeight w:val="454"/>
        </w:trPr>
        <w:tc>
          <w:tcPr>
            <w:tcW w:w="287" w:type="pct"/>
            <w:vAlign w:val="center"/>
          </w:tcPr>
          <w:p w14:paraId="319CF83F" w14:textId="77777777" w:rsidR="000831EE" w:rsidRPr="00FB20D1" w:rsidRDefault="000831EE" w:rsidP="004442AF">
            <w:pPr>
              <w:pStyle w:val="Tabela-tekst"/>
              <w:jc w:val="center"/>
            </w:pPr>
            <w:r w:rsidRPr="00FB20D1">
              <w:t>7.</w:t>
            </w:r>
          </w:p>
        </w:tc>
        <w:tc>
          <w:tcPr>
            <w:tcW w:w="3778" w:type="pct"/>
            <w:vAlign w:val="center"/>
          </w:tcPr>
          <w:p w14:paraId="6DEC644C" w14:textId="77777777" w:rsidR="000831EE" w:rsidRPr="00FB20D1" w:rsidRDefault="000831EE" w:rsidP="001B10C5">
            <w:pPr>
              <w:pStyle w:val="Tabela-tekst"/>
            </w:pPr>
            <w:r w:rsidRPr="00FB20D1">
              <w:t>Obowiązki związane ze zbieraniem, przetwarzaniem i ewidencją komunalnych osadów ściekowych</w:t>
            </w:r>
          </w:p>
        </w:tc>
        <w:tc>
          <w:tcPr>
            <w:tcW w:w="935" w:type="pct"/>
            <w:vAlign w:val="center"/>
          </w:tcPr>
          <w:p w14:paraId="20D0A887" w14:textId="77777777" w:rsidR="000831EE" w:rsidRPr="00FB20D1" w:rsidRDefault="000831EE" w:rsidP="004442AF">
            <w:pPr>
              <w:pStyle w:val="Tabela-tekst"/>
              <w:jc w:val="center"/>
            </w:pPr>
            <w:r w:rsidRPr="00FB20D1">
              <w:t>działanie ciągłe</w:t>
            </w:r>
          </w:p>
        </w:tc>
      </w:tr>
      <w:tr w:rsidR="000831EE" w:rsidRPr="00FB20D1" w14:paraId="76A33ACD" w14:textId="77777777" w:rsidTr="001B10C5">
        <w:trPr>
          <w:trHeight w:val="454"/>
        </w:trPr>
        <w:tc>
          <w:tcPr>
            <w:tcW w:w="287" w:type="pct"/>
            <w:vAlign w:val="center"/>
          </w:tcPr>
          <w:p w14:paraId="057FED5E" w14:textId="77777777" w:rsidR="000831EE" w:rsidRPr="00FB20D1" w:rsidRDefault="000831EE" w:rsidP="004442AF">
            <w:pPr>
              <w:pStyle w:val="Tabela-tekst"/>
              <w:jc w:val="center"/>
            </w:pPr>
            <w:r>
              <w:t>8.</w:t>
            </w:r>
          </w:p>
        </w:tc>
        <w:tc>
          <w:tcPr>
            <w:tcW w:w="3778" w:type="pct"/>
            <w:vAlign w:val="center"/>
          </w:tcPr>
          <w:p w14:paraId="17C1D357" w14:textId="77777777" w:rsidR="000831EE" w:rsidRPr="00FB20D1" w:rsidRDefault="000831EE" w:rsidP="001B10C5">
            <w:pPr>
              <w:pStyle w:val="Tabela-tekst"/>
            </w:pPr>
            <w:r w:rsidRPr="00FB20D1">
              <w:t>Opracowanie zbioru zasad dobrej praktyki rolniczej</w:t>
            </w:r>
            <w:r>
              <w:t xml:space="preserve"> (działanie wdraża zbiór zasad mających pośrednio wpływ na prawidłową gospodarkę środkami ochrony roślin przez rolników) </w:t>
            </w:r>
          </w:p>
        </w:tc>
        <w:tc>
          <w:tcPr>
            <w:tcW w:w="935" w:type="pct"/>
            <w:vAlign w:val="center"/>
          </w:tcPr>
          <w:p w14:paraId="01D5802F" w14:textId="77777777" w:rsidR="000831EE" w:rsidRPr="00FB20D1" w:rsidRDefault="000831EE" w:rsidP="004442AF">
            <w:pPr>
              <w:pStyle w:val="Tabela-tekst"/>
              <w:jc w:val="center"/>
            </w:pPr>
            <w:r w:rsidRPr="00FB20D1">
              <w:t>działanie ciągłe</w:t>
            </w:r>
          </w:p>
        </w:tc>
      </w:tr>
      <w:tr w:rsidR="000831EE" w:rsidRPr="00FB20D1" w14:paraId="5B35508E" w14:textId="77777777" w:rsidTr="001B10C5">
        <w:trPr>
          <w:trHeight w:val="454"/>
        </w:trPr>
        <w:tc>
          <w:tcPr>
            <w:tcW w:w="287" w:type="pct"/>
            <w:vAlign w:val="center"/>
          </w:tcPr>
          <w:p w14:paraId="6F13BF5C" w14:textId="5FEACF41" w:rsidR="000831EE" w:rsidRPr="00FB20D1" w:rsidRDefault="000831EE" w:rsidP="004442AF">
            <w:pPr>
              <w:pStyle w:val="Tabela-tekst"/>
              <w:jc w:val="center"/>
            </w:pPr>
            <w:r>
              <w:t>9.</w:t>
            </w:r>
          </w:p>
        </w:tc>
        <w:tc>
          <w:tcPr>
            <w:tcW w:w="3778" w:type="pct"/>
            <w:vAlign w:val="center"/>
          </w:tcPr>
          <w:p w14:paraId="63A12B20" w14:textId="77777777" w:rsidR="000831EE" w:rsidRPr="00FB20D1" w:rsidRDefault="000831EE" w:rsidP="001B10C5">
            <w:pPr>
              <w:pStyle w:val="Tabela-tekst"/>
            </w:pPr>
            <w:r w:rsidRPr="00FB20D1">
              <w:t>Wdrażanie działań dla obszarów szczególnie narażonych na zanieczyszczenia związkami azotu ze źródeł rolniczych</w:t>
            </w:r>
          </w:p>
        </w:tc>
        <w:tc>
          <w:tcPr>
            <w:tcW w:w="935" w:type="pct"/>
            <w:vAlign w:val="center"/>
          </w:tcPr>
          <w:p w14:paraId="39004A76" w14:textId="77777777" w:rsidR="000831EE" w:rsidRPr="00FB20D1" w:rsidRDefault="000831EE" w:rsidP="004442AF">
            <w:pPr>
              <w:pStyle w:val="Tabela-tekst"/>
              <w:jc w:val="center"/>
            </w:pPr>
            <w:r w:rsidRPr="00FB20D1">
              <w:t>co 4 lata</w:t>
            </w:r>
          </w:p>
        </w:tc>
      </w:tr>
      <w:tr w:rsidR="000831EE" w:rsidRPr="00FB20D1" w14:paraId="34B9A3B0" w14:textId="77777777" w:rsidTr="001B10C5">
        <w:trPr>
          <w:trHeight w:val="454"/>
        </w:trPr>
        <w:tc>
          <w:tcPr>
            <w:tcW w:w="287" w:type="pct"/>
            <w:vAlign w:val="center"/>
          </w:tcPr>
          <w:p w14:paraId="27604090" w14:textId="4E1DE739" w:rsidR="000831EE" w:rsidRPr="00FB20D1" w:rsidRDefault="000831EE" w:rsidP="004442AF">
            <w:pPr>
              <w:pStyle w:val="Tabela-tekst"/>
              <w:jc w:val="center"/>
            </w:pPr>
            <w:r w:rsidRPr="00FB20D1">
              <w:t>1</w:t>
            </w:r>
            <w:r>
              <w:t>0.</w:t>
            </w:r>
          </w:p>
        </w:tc>
        <w:tc>
          <w:tcPr>
            <w:tcW w:w="3778" w:type="pct"/>
            <w:vAlign w:val="center"/>
          </w:tcPr>
          <w:p w14:paraId="32999A26" w14:textId="77777777" w:rsidR="000831EE" w:rsidRPr="00FB20D1" w:rsidRDefault="000831EE" w:rsidP="001B10C5">
            <w:pPr>
              <w:pStyle w:val="Tabela-tekst"/>
            </w:pPr>
            <w:r w:rsidRPr="00FB20D1">
              <w:t>Zapewnienie środków zapobiegania lub ograniczania wprowadzaniu zanieczyszczeń do wód podziemnych</w:t>
            </w:r>
          </w:p>
        </w:tc>
        <w:tc>
          <w:tcPr>
            <w:tcW w:w="935" w:type="pct"/>
            <w:vAlign w:val="center"/>
          </w:tcPr>
          <w:p w14:paraId="49BB625F" w14:textId="77777777" w:rsidR="000831EE" w:rsidRPr="00FB20D1" w:rsidRDefault="000831EE" w:rsidP="004442AF">
            <w:pPr>
              <w:pStyle w:val="Tabela-tekst"/>
              <w:jc w:val="center"/>
            </w:pPr>
            <w:r w:rsidRPr="00FB20D1">
              <w:t>działanie ciągłe</w:t>
            </w:r>
          </w:p>
        </w:tc>
      </w:tr>
      <w:tr w:rsidR="000831EE" w:rsidRPr="00FB20D1" w14:paraId="29F350D1" w14:textId="77777777" w:rsidTr="001B10C5">
        <w:trPr>
          <w:trHeight w:val="454"/>
        </w:trPr>
        <w:tc>
          <w:tcPr>
            <w:tcW w:w="287" w:type="pct"/>
            <w:vAlign w:val="center"/>
          </w:tcPr>
          <w:p w14:paraId="50C97439" w14:textId="6C3C6426" w:rsidR="000831EE" w:rsidRPr="00FB20D1" w:rsidRDefault="000831EE" w:rsidP="004442AF">
            <w:pPr>
              <w:pStyle w:val="Tabela-tekst"/>
              <w:jc w:val="center"/>
            </w:pPr>
            <w:r w:rsidRPr="00FB20D1">
              <w:t>1</w:t>
            </w:r>
            <w:r>
              <w:t>1.</w:t>
            </w:r>
          </w:p>
        </w:tc>
        <w:tc>
          <w:tcPr>
            <w:tcW w:w="3778" w:type="pct"/>
            <w:vAlign w:val="center"/>
          </w:tcPr>
          <w:p w14:paraId="5B7C8E04" w14:textId="77777777" w:rsidR="000831EE" w:rsidRPr="00FB20D1" w:rsidRDefault="000831EE" w:rsidP="001B10C5">
            <w:pPr>
              <w:pStyle w:val="Tabela-tekst"/>
            </w:pPr>
            <w:r w:rsidRPr="00FB20D1">
              <w:t>Ewidencja zbiorników bezodpływowych i przydomowych oczyszczalni ścieków</w:t>
            </w:r>
          </w:p>
        </w:tc>
        <w:tc>
          <w:tcPr>
            <w:tcW w:w="935" w:type="pct"/>
            <w:vAlign w:val="center"/>
          </w:tcPr>
          <w:p w14:paraId="54610B17" w14:textId="77777777" w:rsidR="000831EE" w:rsidRPr="00FB20D1" w:rsidRDefault="000831EE" w:rsidP="004442AF">
            <w:pPr>
              <w:pStyle w:val="Tabela-tekst"/>
              <w:jc w:val="center"/>
            </w:pPr>
            <w:r w:rsidRPr="00FB20D1">
              <w:t>działanie ciągłe</w:t>
            </w:r>
          </w:p>
        </w:tc>
      </w:tr>
      <w:tr w:rsidR="000831EE" w:rsidRPr="00FB20D1" w14:paraId="6394E931" w14:textId="77777777" w:rsidTr="001B10C5">
        <w:trPr>
          <w:trHeight w:val="454"/>
        </w:trPr>
        <w:tc>
          <w:tcPr>
            <w:tcW w:w="287" w:type="pct"/>
            <w:vAlign w:val="center"/>
          </w:tcPr>
          <w:p w14:paraId="76702522" w14:textId="77777777" w:rsidR="000831EE" w:rsidRPr="00FB20D1" w:rsidRDefault="000831EE" w:rsidP="004442AF">
            <w:pPr>
              <w:pStyle w:val="Tabela-tekst"/>
              <w:jc w:val="center"/>
            </w:pPr>
            <w:r w:rsidRPr="00FB20D1">
              <w:t>1</w:t>
            </w:r>
            <w:r>
              <w:t>2.</w:t>
            </w:r>
          </w:p>
        </w:tc>
        <w:tc>
          <w:tcPr>
            <w:tcW w:w="3778" w:type="pct"/>
            <w:vAlign w:val="center"/>
          </w:tcPr>
          <w:p w14:paraId="474D86EE" w14:textId="77777777" w:rsidR="000831EE" w:rsidRPr="00FB20D1" w:rsidRDefault="000831EE" w:rsidP="001B10C5">
            <w:pPr>
              <w:pStyle w:val="Tabela-tekst"/>
            </w:pPr>
            <w:r w:rsidRPr="00FB20D1">
              <w:t>Ewidencja umów zawartych na odbieranie odpadów komunalnych od właścicieli nieruchomości</w:t>
            </w:r>
          </w:p>
        </w:tc>
        <w:tc>
          <w:tcPr>
            <w:tcW w:w="935" w:type="pct"/>
            <w:vAlign w:val="center"/>
          </w:tcPr>
          <w:p w14:paraId="043E42CA" w14:textId="77777777" w:rsidR="000831EE" w:rsidRPr="00FB20D1" w:rsidRDefault="000831EE" w:rsidP="004442AF">
            <w:pPr>
              <w:pStyle w:val="Tabela-tekst"/>
              <w:jc w:val="center"/>
            </w:pPr>
            <w:r w:rsidRPr="00FB20D1">
              <w:t>działanie ciągłe</w:t>
            </w:r>
          </w:p>
        </w:tc>
      </w:tr>
      <w:tr w:rsidR="000831EE" w:rsidRPr="00FB20D1" w14:paraId="6D1891B4" w14:textId="77777777" w:rsidTr="001B10C5">
        <w:trPr>
          <w:trHeight w:val="454"/>
        </w:trPr>
        <w:tc>
          <w:tcPr>
            <w:tcW w:w="287" w:type="pct"/>
            <w:vAlign w:val="center"/>
          </w:tcPr>
          <w:p w14:paraId="62C2E446" w14:textId="77777777" w:rsidR="000831EE" w:rsidRPr="00FB20D1" w:rsidRDefault="000831EE" w:rsidP="004442AF">
            <w:pPr>
              <w:pStyle w:val="Tabela-tekst"/>
              <w:jc w:val="center"/>
            </w:pPr>
            <w:r w:rsidRPr="00FB20D1">
              <w:t>1</w:t>
            </w:r>
            <w:r>
              <w:t>3.</w:t>
            </w:r>
          </w:p>
        </w:tc>
        <w:tc>
          <w:tcPr>
            <w:tcW w:w="3778" w:type="pct"/>
            <w:vAlign w:val="center"/>
          </w:tcPr>
          <w:p w14:paraId="69BC4BB6" w14:textId="77777777" w:rsidR="000831EE" w:rsidRPr="00FB20D1" w:rsidRDefault="000831EE" w:rsidP="001B10C5">
            <w:pPr>
              <w:pStyle w:val="Tabela-tekst"/>
            </w:pPr>
            <w:r w:rsidRPr="00FB20D1">
              <w:t>Obowiązek przyłączenia nieruchomości do istniejącej sieci kanalizacyjnej</w:t>
            </w:r>
          </w:p>
        </w:tc>
        <w:tc>
          <w:tcPr>
            <w:tcW w:w="935" w:type="pct"/>
            <w:vAlign w:val="center"/>
          </w:tcPr>
          <w:p w14:paraId="77B16FBD" w14:textId="77777777" w:rsidR="000831EE" w:rsidRPr="00FB20D1" w:rsidRDefault="000831EE" w:rsidP="004442AF">
            <w:pPr>
              <w:pStyle w:val="Tabela-tekst"/>
              <w:jc w:val="center"/>
            </w:pPr>
            <w:r w:rsidRPr="00FB20D1">
              <w:t>działanie ciągłe</w:t>
            </w:r>
          </w:p>
        </w:tc>
      </w:tr>
      <w:tr w:rsidR="000831EE" w:rsidRPr="00FB20D1" w14:paraId="7C2C5F28" w14:textId="77777777" w:rsidTr="001B10C5">
        <w:trPr>
          <w:trHeight w:val="454"/>
        </w:trPr>
        <w:tc>
          <w:tcPr>
            <w:tcW w:w="287" w:type="pct"/>
            <w:vAlign w:val="center"/>
          </w:tcPr>
          <w:p w14:paraId="629AA3E5" w14:textId="77777777" w:rsidR="000831EE" w:rsidRPr="00FB20D1" w:rsidRDefault="000831EE" w:rsidP="004442AF">
            <w:pPr>
              <w:pStyle w:val="Tabela-tekst"/>
              <w:jc w:val="center"/>
            </w:pPr>
            <w:r w:rsidRPr="00FB20D1">
              <w:t>1</w:t>
            </w:r>
            <w:r>
              <w:t>4.</w:t>
            </w:r>
          </w:p>
        </w:tc>
        <w:tc>
          <w:tcPr>
            <w:tcW w:w="3778" w:type="pct"/>
            <w:vAlign w:val="center"/>
          </w:tcPr>
          <w:p w14:paraId="618E6B9F" w14:textId="77777777" w:rsidR="000831EE" w:rsidRPr="00FB20D1" w:rsidRDefault="000831EE" w:rsidP="001B10C5">
            <w:pPr>
              <w:pStyle w:val="Tabela-tekst"/>
            </w:pPr>
            <w:r w:rsidRPr="00FB20D1">
              <w:t>Zakaz odprowadzania ścieków bezpośrednio do wód podziemnych</w:t>
            </w:r>
          </w:p>
        </w:tc>
        <w:tc>
          <w:tcPr>
            <w:tcW w:w="935" w:type="pct"/>
            <w:vAlign w:val="center"/>
          </w:tcPr>
          <w:p w14:paraId="2FC38E07" w14:textId="77777777" w:rsidR="000831EE" w:rsidRPr="00FB20D1" w:rsidRDefault="000831EE" w:rsidP="004442AF">
            <w:pPr>
              <w:pStyle w:val="Tabela-tekst"/>
              <w:jc w:val="center"/>
            </w:pPr>
            <w:r w:rsidRPr="00FB20D1">
              <w:t>działanie ciągłe</w:t>
            </w:r>
          </w:p>
        </w:tc>
      </w:tr>
    </w:tbl>
    <w:p w14:paraId="23A3D5F6" w14:textId="77777777" w:rsidR="00231528" w:rsidRPr="001E4D45" w:rsidRDefault="00231528" w:rsidP="00231528">
      <w:pPr>
        <w:pStyle w:val="rdo0"/>
      </w:pPr>
      <w:r w:rsidRPr="001E4D45">
        <w:rPr>
          <w:lang w:eastAsia="zh-CN"/>
        </w:rPr>
        <w:t xml:space="preserve">Źródło: opracowanie </w:t>
      </w:r>
      <w:r>
        <w:rPr>
          <w:lang w:eastAsia="zh-CN"/>
        </w:rPr>
        <w:t>własne</w:t>
      </w:r>
    </w:p>
    <w:p w14:paraId="1ABC0A70" w14:textId="77777777" w:rsidR="000831EE" w:rsidRDefault="000831EE" w:rsidP="000831EE">
      <w:pPr>
        <w:suppressAutoHyphens/>
      </w:pPr>
      <w:r>
        <w:t>D</w:t>
      </w:r>
      <w:r w:rsidRPr="00D55A01">
        <w:t xml:space="preserve">ziałania wskazane w obowiązujących przepisach prawa </w:t>
      </w:r>
      <w:r>
        <w:t>są</w:t>
      </w:r>
      <w:r w:rsidRPr="00D55A01">
        <w:t xml:space="preserve"> realizowane przez jednostki zobligowane do tego ustawowo</w:t>
      </w:r>
      <w:r>
        <w:t>, w większości</w:t>
      </w:r>
      <w:r w:rsidRPr="00D55A01">
        <w:t xml:space="preserve"> w sposób ciągły.</w:t>
      </w:r>
    </w:p>
    <w:p w14:paraId="3AE92ECC" w14:textId="77777777" w:rsidR="000831EE" w:rsidRPr="00FD5C9B" w:rsidRDefault="000831EE" w:rsidP="00AA0CAB">
      <w:pPr>
        <w:pStyle w:val="Nagwek5"/>
      </w:pPr>
      <w:r w:rsidRPr="00D55A01">
        <w:t>Środk</w:t>
      </w:r>
      <w:r>
        <w:t>i podjęte w aPGW</w:t>
      </w:r>
      <w:r w:rsidRPr="00D55A01">
        <w:t xml:space="preserve"> </w:t>
      </w:r>
      <w:r>
        <w:t xml:space="preserve">(2016) w zestawach działań aPWŚK dla jcwp </w:t>
      </w:r>
      <w:r w:rsidRPr="00D55A01">
        <w:t>w odniesieniu do substancji priorytetowych</w:t>
      </w:r>
    </w:p>
    <w:p w14:paraId="1EB52639" w14:textId="63011DCD" w:rsidR="000831EE" w:rsidRPr="00D55A01" w:rsidRDefault="000831EE" w:rsidP="000831EE">
      <w:pPr>
        <w:suppressAutoHyphens/>
      </w:pPr>
      <w:r>
        <w:t>Na poziomie zestawów dla poszczególnych jcwp działania związane m.in. ze stanem chemicznym wód dotyczyły wykonywania przeglądów pozwoleń wodnoprawnych na wprowadzanie ścieków w zakresie substancji, dla których stwierdzono przekroczenia. Zaplanowano również działania polegające na przeprowadzeniu pogłębionej analizy presji dla jcw, dla których zidentyfikowanie przyczyny przekroczeń było niemożliwe. Jako działanie ukierunkowane na ograniczanie emisji substancji priorytetowych zaproponowano weryfikację programu ochrony środowiska dla gmin w zakresie wprowadzania do atmosfery substancji z grupy WWA. Dodatkowo zaplanowano przeprowadzenie weryfikacji istniejącej sieci punktów pomiarowo-kontrolnych sieci monitoringowej z uzupełnieniem o</w:t>
      </w:r>
      <w:r w:rsidR="002B4D36">
        <w:t> </w:t>
      </w:r>
      <w:r>
        <w:t>nowe punkty pomiarowe do końca cyklu planistycznego.</w:t>
      </w:r>
    </w:p>
    <w:p w14:paraId="26881194" w14:textId="77777777" w:rsidR="000831EE" w:rsidRPr="00C0041D" w:rsidRDefault="000831EE" w:rsidP="00B50FFD">
      <w:pPr>
        <w:pStyle w:val="Nagwek3"/>
      </w:pPr>
      <w:bookmarkStart w:id="479" w:name="_Toc68726914"/>
      <w:r>
        <w:t>P</w:t>
      </w:r>
      <w:r w:rsidRPr="00C0041D">
        <w:t>ostęp we wdrażaniu działań</w:t>
      </w:r>
      <w:r>
        <w:t xml:space="preserve"> w ramach aPGW (2016)</w:t>
      </w:r>
      <w:bookmarkEnd w:id="479"/>
    </w:p>
    <w:p w14:paraId="4D172F6F" w14:textId="55A51F17" w:rsidR="000831EE" w:rsidRDefault="000831EE" w:rsidP="000831EE">
      <w:pPr>
        <w:suppressAutoHyphens/>
      </w:pPr>
      <w:r>
        <w:t>Podstawowym materiałem określającym postęp we wdrażaniu programów działań wynikających z</w:t>
      </w:r>
      <w:r w:rsidR="00AB6637">
        <w:t> </w:t>
      </w:r>
      <w:r>
        <w:t xml:space="preserve">aPWŚK (2016) jest opracowana w 2018 r. </w:t>
      </w:r>
      <w:r w:rsidR="002D526E" w:rsidRPr="003F4A95">
        <w:rPr>
          <w:i/>
          <w:iCs/>
        </w:rPr>
        <w:t>O</w:t>
      </w:r>
      <w:r w:rsidRPr="003F4A95">
        <w:rPr>
          <w:i/>
          <w:iCs/>
        </w:rPr>
        <w:t>cena postępu realizacji działań przypisanych jcwp i jcwpd, zawartych w aPWŚK</w:t>
      </w:r>
      <w:r>
        <w:t xml:space="preserve">. Podstawą dokumentu były wyniki ankietyzacji przeprowadzonej w 2018 r. wśród podmiotów odpowiedzialnych za realizację działań wynikających z aPWŚK. Zgromadzone dane umożliwiły ocenę działań, w tym w zakresie poprawy chemicznego stanu wód, </w:t>
      </w:r>
      <w:r w:rsidR="002D526E">
        <w:t>ujętych w następujących kategoriach działań</w:t>
      </w:r>
      <w:r>
        <w:t>:</w:t>
      </w:r>
    </w:p>
    <w:p w14:paraId="0D8398E8" w14:textId="77777777" w:rsidR="000831EE" w:rsidRPr="00AB6637" w:rsidRDefault="000831EE" w:rsidP="00F06393">
      <w:pPr>
        <w:pStyle w:val="Akapitzlist"/>
      </w:pPr>
      <w:r w:rsidRPr="00AB6637">
        <w:t xml:space="preserve">gospodarka komunalna, </w:t>
      </w:r>
    </w:p>
    <w:p w14:paraId="0C8DBF1F" w14:textId="77777777" w:rsidR="000831EE" w:rsidRPr="00AB6637" w:rsidRDefault="000831EE" w:rsidP="00F06393">
      <w:pPr>
        <w:pStyle w:val="Akapitzlist"/>
      </w:pPr>
      <w:r w:rsidRPr="00AB6637">
        <w:t xml:space="preserve">rolnictwo, </w:t>
      </w:r>
    </w:p>
    <w:p w14:paraId="34E9BCA3" w14:textId="77777777" w:rsidR="000831EE" w:rsidRPr="00AB6637" w:rsidRDefault="000831EE" w:rsidP="00F06393">
      <w:pPr>
        <w:pStyle w:val="Akapitzlist"/>
      </w:pPr>
      <w:r w:rsidRPr="00AB6637">
        <w:t xml:space="preserve">monitoring, </w:t>
      </w:r>
    </w:p>
    <w:p w14:paraId="05F691C9" w14:textId="77777777" w:rsidR="000831EE" w:rsidRPr="00AB6637" w:rsidRDefault="000831EE" w:rsidP="00F06393">
      <w:pPr>
        <w:pStyle w:val="Akapitzlist"/>
      </w:pPr>
      <w:r w:rsidRPr="00AB6637">
        <w:t xml:space="preserve">działania kontrolne, </w:t>
      </w:r>
    </w:p>
    <w:p w14:paraId="5F4373F4" w14:textId="77777777" w:rsidR="000831EE" w:rsidRPr="00AB6637" w:rsidRDefault="000831EE" w:rsidP="00F06393">
      <w:pPr>
        <w:pStyle w:val="Akapitzlist"/>
      </w:pPr>
      <w:r w:rsidRPr="00AB6637">
        <w:t xml:space="preserve">działania organizacyjno-prawne i edukacyjne, </w:t>
      </w:r>
    </w:p>
    <w:p w14:paraId="39C450BA" w14:textId="77777777" w:rsidR="000831EE" w:rsidRPr="00AB6637" w:rsidRDefault="000831EE" w:rsidP="00F06393">
      <w:pPr>
        <w:pStyle w:val="Akapitzlist"/>
      </w:pPr>
      <w:r w:rsidRPr="00AB6637">
        <w:t>rekultywacja.</w:t>
      </w:r>
    </w:p>
    <w:p w14:paraId="3B59B76D" w14:textId="72A4E0EF" w:rsidR="000831EE" w:rsidRPr="001552F0" w:rsidRDefault="002D526E" w:rsidP="000831EE">
      <w:pPr>
        <w:suppressAutoHyphens/>
      </w:pPr>
      <w:r>
        <w:t>Analiza p</w:t>
      </w:r>
      <w:r w:rsidR="000831EE">
        <w:t>ostęp</w:t>
      </w:r>
      <w:r>
        <w:t>u</w:t>
      </w:r>
      <w:r w:rsidR="000831EE">
        <w:t xml:space="preserve"> realizacji działań zaplanowanych w aPWŚK w pierwszej połowie cyklu wdrażania aPGW </w:t>
      </w:r>
      <w:r w:rsidR="00CD165E">
        <w:t xml:space="preserve">wskazywała na </w:t>
      </w:r>
      <w:r w:rsidR="000831EE">
        <w:t>rozpoczęcie wdrażania zaplanowanych prac. Istotnymi kwestiami podnoszonymi w</w:t>
      </w:r>
      <w:r w:rsidR="00C4673D">
        <w:t> </w:t>
      </w:r>
      <w:r w:rsidR="000831EE">
        <w:t xml:space="preserve">ocenie postępu realizacji działań, związanymi z jakością wód były m.in.: niewielki stopień wdrożenia </w:t>
      </w:r>
      <w:r w:rsidR="003B55FA">
        <w:t xml:space="preserve">gminnych </w:t>
      </w:r>
      <w:r w:rsidR="000831EE">
        <w:t xml:space="preserve">działań </w:t>
      </w:r>
      <w:r w:rsidR="003B55FA">
        <w:t xml:space="preserve">inwestycyjnych </w:t>
      </w:r>
      <w:r w:rsidR="000831EE">
        <w:t>z</w:t>
      </w:r>
      <w:r w:rsidR="00AB6637">
        <w:t> </w:t>
      </w:r>
      <w:r w:rsidR="000831EE">
        <w:t>zakresu porządkowania gospodarki komunalnej poza aglomeracjami oraz zaburzony system wykonywania przeglądów pozwoleń wodnoprawnych w</w:t>
      </w:r>
      <w:r w:rsidR="00C4673D">
        <w:t> </w:t>
      </w:r>
      <w:r w:rsidR="000831EE">
        <w:t>związku ze zmianą ustawy pr.w. Wykonana ocena pierwszej połowy cyklu planistycznego wskazała ogólny postęp, ale zdecydowanie mniejszy, niż zakładano w aPWŚK.</w:t>
      </w:r>
    </w:p>
    <w:p w14:paraId="7BDEB1DA" w14:textId="1A5C20AA" w:rsidR="000831EE" w:rsidRDefault="000831EE" w:rsidP="000831EE">
      <w:pPr>
        <w:suppressAutoHyphens/>
      </w:pPr>
      <w:r>
        <w:t xml:space="preserve">Drugim szczegółowym źródłem danych w zakresie realizacji działań w kontekście </w:t>
      </w:r>
      <w:r w:rsidRPr="009C5889">
        <w:t>eliminowania substancji priorytetowych</w:t>
      </w:r>
      <w:r>
        <w:t xml:space="preserve"> są sprawozdania z realizacji działań przedkładane przez podmioty zobowiązane do ich realizacji. Na potrzeby IIaPGW dokonano analizy sprawozdań określających status wdrażania działań</w:t>
      </w:r>
      <w:r w:rsidR="00BC01E4">
        <w:t xml:space="preserve"> w okresie lat 2018-2019</w:t>
      </w:r>
      <w:r>
        <w:t xml:space="preserve">. </w:t>
      </w:r>
      <w:bookmarkStart w:id="480" w:name="_Hlk64925635"/>
    </w:p>
    <w:bookmarkEnd w:id="480"/>
    <w:p w14:paraId="7A48020F" w14:textId="1B1B5CDD" w:rsidR="000831EE" w:rsidRDefault="000831EE" w:rsidP="000831EE">
      <w:pPr>
        <w:suppressAutoHyphens/>
      </w:pPr>
      <w:r>
        <w:t>Cykl planistyczny aPGW w zakresie działań mających na celu eliminację substancji priorytetowych obejmował przede wszystkim działania mające oszacować</w:t>
      </w:r>
      <w:r w:rsidDel="00A55AE9">
        <w:t xml:space="preserve"> </w:t>
      </w:r>
      <w:r>
        <w:t>i zlokalizować występowanie presji w</w:t>
      </w:r>
      <w:r w:rsidR="00471792">
        <w:t> </w:t>
      </w:r>
      <w:r>
        <w:t>częściach wód. W okresie tym zmieniły się wymagania w zakresie monitoringu substancji priorytetowych oraz wprowadzono ocenę stanu chemicznego z uwzględnieniem substancji w biocie. Uzyskane w okresie 2016-2019 wyniki monitoringu środowiska wskazują istotny wpływ na ocenę stanu chemicznego jcwp</w:t>
      </w:r>
      <w:r w:rsidR="00BC01E4">
        <w:t xml:space="preserve"> rozproszonych zanieczyszczeń obszarowych pochodzenia antropogenicznego</w:t>
      </w:r>
      <w:r>
        <w:t xml:space="preserve">. Decydujący wpływ na stan chemiczny jcwp mają produkty spalania paliw, które powodują większość przekroczeń zarówno w wodzie, jak i biocie. Opracowana na potrzeby IIaPGW dokumentacja </w:t>
      </w:r>
      <w:r w:rsidRPr="00DE2176">
        <w:rPr>
          <w:i/>
          <w:iCs/>
        </w:rPr>
        <w:t xml:space="preserve">Analiza </w:t>
      </w:r>
      <w:r>
        <w:rPr>
          <w:i/>
          <w:iCs/>
        </w:rPr>
        <w:t>znaczących oddziaływań - jcwp</w:t>
      </w:r>
      <w:r w:rsidRPr="00DE2176">
        <w:rPr>
          <w:i/>
          <w:iCs/>
        </w:rPr>
        <w:t xml:space="preserve"> (…)</w:t>
      </w:r>
      <w:r>
        <w:t xml:space="preserve"> umożliwiła oszacowanie występowania presji obszarowych i ich wpływu na stan jcwp. </w:t>
      </w:r>
    </w:p>
    <w:p w14:paraId="3783F3BC" w14:textId="73736333" w:rsidR="000831EE" w:rsidRDefault="000831EE" w:rsidP="000831EE">
      <w:pPr>
        <w:suppressAutoHyphens/>
      </w:pPr>
      <w:r>
        <w:t>Działania w zakresie jakości wód przyjęte w aPGW, ukierunkowane były głównie na redukcję zanieczyszczeń organicznych i biogennych pochodzenia komunalnego</w:t>
      </w:r>
      <w:r w:rsidR="00B94444">
        <w:t xml:space="preserve"> oraz rolniczego</w:t>
      </w:r>
      <w:r>
        <w:t xml:space="preserve">. </w:t>
      </w:r>
      <w:r w:rsidR="00B94444">
        <w:t xml:space="preserve">Te działania były również głównym elementem i celem krajowych oraz międzynarodowych programów finansujących inwestycje w dziedzinie gospodarki wodno-ściekowej. </w:t>
      </w:r>
      <w:r>
        <w:t>Dzięki bardzo szerokiemu spektrum działań zarówno technicznych, jak i nietechnicznych skutkowały również poprawą stanu chemicznego wód. Zanieczyszczenia te generowane są w wielu obszarach aktywności człowieka, tak więc wprowadzenie działań ograniczających zrzut ścieków nieoczyszczonych lub redukcję spływu zanieczyszczeń obszarowych z terenów rolnych, daje w efekcie pośrednio pozytywny wpływ na ograniczenie emisji substancji priorytetowych.</w:t>
      </w:r>
    </w:p>
    <w:p w14:paraId="5C2A378E" w14:textId="6A1C1267" w:rsidR="000831EE" w:rsidRDefault="000831EE" w:rsidP="000831EE">
      <w:pPr>
        <w:suppressAutoHyphens/>
      </w:pPr>
      <w:r>
        <w:t>Na potrzeby oceny realizacji działań ukierunkowanych na jakość wód</w:t>
      </w:r>
      <w:r w:rsidR="00B94444">
        <w:t xml:space="preserve"> powierzchniowych</w:t>
      </w:r>
      <w:r>
        <w:t xml:space="preserve">, w tym pośrednio lub bezpośrednio na stan chemiczny, przeanalizowano sprawozdania ze statusami realizacji działań za lata 2018-2019 i </w:t>
      </w:r>
      <w:r w:rsidR="00B94444">
        <w:t xml:space="preserve">przeanalizowano </w:t>
      </w:r>
      <w:r>
        <w:t xml:space="preserve">następujące </w:t>
      </w:r>
      <w:r w:rsidR="00B94444">
        <w:t>grupy presji</w:t>
      </w:r>
      <w:r>
        <w:t>:</w:t>
      </w:r>
    </w:p>
    <w:p w14:paraId="1AE3D3D9" w14:textId="77777777" w:rsidR="000831EE" w:rsidRPr="00676DFC" w:rsidRDefault="000831EE" w:rsidP="00F06393">
      <w:pPr>
        <w:pStyle w:val="Akapitzlist"/>
      </w:pPr>
      <w:r w:rsidRPr="00676DFC">
        <w:t>gospodarka komunalna i przemysł,</w:t>
      </w:r>
    </w:p>
    <w:p w14:paraId="3142DAE3" w14:textId="2155FC52" w:rsidR="000831EE" w:rsidRPr="00676DFC" w:rsidRDefault="000831EE" w:rsidP="00F06393">
      <w:pPr>
        <w:pStyle w:val="Akapitzlist"/>
      </w:pPr>
      <w:r w:rsidRPr="00676DFC">
        <w:t>nierozpoznana presja</w:t>
      </w:r>
      <w:r w:rsidR="00B94444">
        <w:t>,</w:t>
      </w:r>
      <w:r w:rsidRPr="00676DFC">
        <w:t xml:space="preserve"> zlewnie niemonitorowane,</w:t>
      </w:r>
      <w:r w:rsidR="00B94444">
        <w:t xml:space="preserve"> depozycja atmosferyczna</w:t>
      </w:r>
    </w:p>
    <w:p w14:paraId="6CD41300" w14:textId="77777777" w:rsidR="000831EE" w:rsidRPr="00676DFC" w:rsidRDefault="000831EE" w:rsidP="00F06393">
      <w:pPr>
        <w:pStyle w:val="Akapitzlist"/>
      </w:pPr>
      <w:r w:rsidRPr="00676DFC">
        <w:t>rolnictwo,</w:t>
      </w:r>
    </w:p>
    <w:p w14:paraId="0A77D455" w14:textId="7D95C36B" w:rsidR="000831EE" w:rsidRPr="00676DFC" w:rsidRDefault="000831EE" w:rsidP="00F06393">
      <w:pPr>
        <w:pStyle w:val="Akapitzlist"/>
      </w:pPr>
      <w:r w:rsidRPr="00676DFC">
        <w:t>programy rekultywacji</w:t>
      </w:r>
      <w:r w:rsidR="00B94444">
        <w:t xml:space="preserve"> zbiorników wodnych</w:t>
      </w:r>
      <w:r w:rsidRPr="00676DFC">
        <w:t>.</w:t>
      </w:r>
    </w:p>
    <w:p w14:paraId="3219842A" w14:textId="77777777" w:rsidR="000831EE" w:rsidRDefault="000831EE" w:rsidP="000831EE">
      <w:pPr>
        <w:suppressAutoHyphens/>
      </w:pPr>
      <w:r>
        <w:t>Są to zarówno działania techniczne, jak i nietechniczne związane z jakością wód:</w:t>
      </w:r>
    </w:p>
    <w:p w14:paraId="17F01D72" w14:textId="77777777" w:rsidR="000831EE" w:rsidRDefault="000831EE" w:rsidP="00AA3506">
      <w:pPr>
        <w:pStyle w:val="Akapitzlist"/>
        <w:numPr>
          <w:ilvl w:val="0"/>
          <w:numId w:val="11"/>
        </w:numPr>
        <w:ind w:left="364"/>
      </w:pPr>
      <w:r>
        <w:t>G</w:t>
      </w:r>
      <w:r w:rsidRPr="001A195B">
        <w:t>ospodarka komunalna</w:t>
      </w:r>
      <w:r>
        <w:t>:</w:t>
      </w:r>
    </w:p>
    <w:p w14:paraId="71A65E40" w14:textId="77777777" w:rsidR="000831EE" w:rsidRDefault="000831EE" w:rsidP="00AA3506">
      <w:pPr>
        <w:pStyle w:val="Akapitzlist"/>
        <w:numPr>
          <w:ilvl w:val="0"/>
          <w:numId w:val="12"/>
        </w:numPr>
      </w:pPr>
      <w:r>
        <w:t>budowa i rozbudowa sieci kanalizacyjnych,</w:t>
      </w:r>
    </w:p>
    <w:p w14:paraId="167AB42A" w14:textId="77777777" w:rsidR="000831EE" w:rsidRDefault="000831EE" w:rsidP="00AA3506">
      <w:pPr>
        <w:pStyle w:val="Akapitzlist"/>
        <w:numPr>
          <w:ilvl w:val="0"/>
          <w:numId w:val="12"/>
        </w:numPr>
      </w:pPr>
      <w:r>
        <w:t>budowa, modernizacja, rozbudowa oczyszczalni ścieków,</w:t>
      </w:r>
    </w:p>
    <w:p w14:paraId="7C5E6CEC" w14:textId="77777777" w:rsidR="000831EE" w:rsidRDefault="000831EE" w:rsidP="00AA3506">
      <w:pPr>
        <w:pStyle w:val="Akapitzlist"/>
        <w:numPr>
          <w:ilvl w:val="0"/>
          <w:numId w:val="12"/>
        </w:numPr>
      </w:pPr>
      <w:r>
        <w:t>likwidacja oczyszczalni ścieków,</w:t>
      </w:r>
    </w:p>
    <w:p w14:paraId="4D858661" w14:textId="77777777" w:rsidR="000831EE" w:rsidRDefault="000831EE" w:rsidP="00AA3506">
      <w:pPr>
        <w:pStyle w:val="Akapitzlist"/>
        <w:numPr>
          <w:ilvl w:val="0"/>
          <w:numId w:val="12"/>
        </w:numPr>
      </w:pPr>
      <w:r>
        <w:t>budowa indywidualnych systemów oczyszczania ścieków,</w:t>
      </w:r>
    </w:p>
    <w:p w14:paraId="16811FC4" w14:textId="77777777" w:rsidR="000831EE" w:rsidRDefault="000831EE" w:rsidP="00AA3506">
      <w:pPr>
        <w:pStyle w:val="Akapitzlist"/>
        <w:numPr>
          <w:ilvl w:val="0"/>
          <w:numId w:val="12"/>
        </w:numPr>
      </w:pPr>
      <w:r>
        <w:t>budowa nowych zbiorników bezodpływowych oraz remont istniejących,</w:t>
      </w:r>
    </w:p>
    <w:p w14:paraId="72AC6496" w14:textId="77777777" w:rsidR="000831EE" w:rsidRDefault="000831EE" w:rsidP="00AA3506">
      <w:pPr>
        <w:pStyle w:val="Akapitzlist"/>
        <w:numPr>
          <w:ilvl w:val="0"/>
          <w:numId w:val="12"/>
        </w:numPr>
      </w:pPr>
      <w:r>
        <w:t>ewidencja zbiorników bezodpływowych,</w:t>
      </w:r>
    </w:p>
    <w:p w14:paraId="5A9BCC25" w14:textId="77777777" w:rsidR="000831EE" w:rsidRDefault="000831EE" w:rsidP="00AA3506">
      <w:pPr>
        <w:pStyle w:val="Akapitzlist"/>
        <w:numPr>
          <w:ilvl w:val="0"/>
          <w:numId w:val="12"/>
        </w:numPr>
      </w:pPr>
      <w:r>
        <w:t>regularny wywóz nieczystości płynnych,</w:t>
      </w:r>
    </w:p>
    <w:p w14:paraId="25F398CF" w14:textId="77777777" w:rsidR="000831EE" w:rsidRDefault="000831EE" w:rsidP="00AA3506">
      <w:pPr>
        <w:pStyle w:val="Akapitzlist"/>
        <w:numPr>
          <w:ilvl w:val="0"/>
          <w:numId w:val="12"/>
        </w:numPr>
      </w:pPr>
      <w:r>
        <w:t>opracowanie sprawozdań kwartalnych o ilości i rodzaju nieczystości ciekłych odebranych z obszaru gminy wraz ze wskazaniem stacji zlewnej,</w:t>
      </w:r>
    </w:p>
    <w:p w14:paraId="0D3A1039" w14:textId="77777777" w:rsidR="000831EE" w:rsidRDefault="000831EE" w:rsidP="00AA3506">
      <w:pPr>
        <w:pStyle w:val="Akapitzlist"/>
        <w:numPr>
          <w:ilvl w:val="0"/>
          <w:numId w:val="12"/>
        </w:numPr>
      </w:pPr>
      <w:r>
        <w:t>opracowanie wykazu stacji zlewnych,</w:t>
      </w:r>
    </w:p>
    <w:p w14:paraId="078D1814" w14:textId="77777777" w:rsidR="000831EE" w:rsidRDefault="000831EE" w:rsidP="00AA3506">
      <w:pPr>
        <w:pStyle w:val="Akapitzlist"/>
        <w:numPr>
          <w:ilvl w:val="0"/>
          <w:numId w:val="12"/>
        </w:numPr>
      </w:pPr>
      <w:r w:rsidRPr="003C6E20">
        <w:t>budowa nowych zbiorników bezodpływowych oraz remont istniejących</w:t>
      </w:r>
      <w:r>
        <w:t>.</w:t>
      </w:r>
    </w:p>
    <w:p w14:paraId="4AE161AD" w14:textId="77777777" w:rsidR="000831EE" w:rsidRDefault="000831EE" w:rsidP="00AA3506">
      <w:pPr>
        <w:pStyle w:val="Akapitzlist"/>
        <w:numPr>
          <w:ilvl w:val="0"/>
          <w:numId w:val="11"/>
        </w:numPr>
        <w:ind w:left="392"/>
      </w:pPr>
      <w:r>
        <w:t>R</w:t>
      </w:r>
      <w:r w:rsidRPr="001A195B">
        <w:t>olnictwo</w:t>
      </w:r>
      <w:r>
        <w:t>:</w:t>
      </w:r>
    </w:p>
    <w:p w14:paraId="436CFC58" w14:textId="77777777" w:rsidR="000831EE" w:rsidRDefault="000831EE" w:rsidP="00AA3506">
      <w:pPr>
        <w:pStyle w:val="Akapitzlist"/>
        <w:numPr>
          <w:ilvl w:val="0"/>
          <w:numId w:val="12"/>
        </w:numPr>
      </w:pPr>
      <w:r>
        <w:t xml:space="preserve">objęcie obszaru szczególnie narażonego na zanieczyszczenia związkami azotu ze źródeł rolniczych </w:t>
      </w:r>
      <w:r w:rsidRPr="00A55AE9">
        <w:t>programem działań mających na celu ograniczenie odpływu azotu ze źródeł rolniczych</w:t>
      </w:r>
      <w:r>
        <w:t>,</w:t>
      </w:r>
    </w:p>
    <w:p w14:paraId="47199548" w14:textId="77777777" w:rsidR="000831EE" w:rsidRDefault="000831EE" w:rsidP="00AA3506">
      <w:pPr>
        <w:pStyle w:val="Akapitzlist"/>
        <w:numPr>
          <w:ilvl w:val="0"/>
          <w:numId w:val="12"/>
        </w:numPr>
      </w:pPr>
      <w:r w:rsidRPr="003C6E20">
        <w:t>realizacja programu działań mającego na celu ograniczenie odpływu azotu ze źródeł rolniczych</w:t>
      </w:r>
      <w:r>
        <w:t>.</w:t>
      </w:r>
    </w:p>
    <w:p w14:paraId="3B80D8C7" w14:textId="77777777" w:rsidR="000831EE" w:rsidRDefault="000831EE" w:rsidP="00AA3506">
      <w:pPr>
        <w:pStyle w:val="Akapitzlist"/>
        <w:numPr>
          <w:ilvl w:val="0"/>
          <w:numId w:val="11"/>
        </w:numPr>
        <w:ind w:left="392"/>
      </w:pPr>
      <w:r>
        <w:t>K</w:t>
      </w:r>
      <w:r w:rsidRPr="001A195B">
        <w:t>ontrole w zakresie gromadzenia i oczyszczania ścieków</w:t>
      </w:r>
      <w:r>
        <w:t>:</w:t>
      </w:r>
    </w:p>
    <w:p w14:paraId="59091A2A" w14:textId="16FA12D9" w:rsidR="000831EE" w:rsidRDefault="000831EE" w:rsidP="00AA3506">
      <w:pPr>
        <w:pStyle w:val="Akapitzlist"/>
        <w:numPr>
          <w:ilvl w:val="0"/>
          <w:numId w:val="12"/>
        </w:numPr>
      </w:pPr>
      <w:r>
        <w:t>kontrola postępowania w zakresie gromadzenia ścieków przez użytkowników prywatnych i</w:t>
      </w:r>
      <w:r w:rsidR="00C4673D">
        <w:t> </w:t>
      </w:r>
      <w:r>
        <w:t>przedsiębiorców oraz oczyszczania ścieków przez użytkowników prywatnych z częstotliwością co najmniej raz na 3 lata,</w:t>
      </w:r>
    </w:p>
    <w:p w14:paraId="4D3DAF39" w14:textId="4A582CC6" w:rsidR="000831EE" w:rsidRDefault="000831EE" w:rsidP="00AA3506">
      <w:pPr>
        <w:pStyle w:val="Akapitzlist"/>
        <w:numPr>
          <w:ilvl w:val="0"/>
          <w:numId w:val="12"/>
        </w:numPr>
      </w:pPr>
      <w:r>
        <w:t>kontrola rolniczego gospodarowania przez użytkowników prywatnych i przedsiębiorstwa z</w:t>
      </w:r>
      <w:r w:rsidR="00C4673D">
        <w:t> </w:t>
      </w:r>
      <w:r>
        <w:t>częstotliwością raz w roku,</w:t>
      </w:r>
    </w:p>
    <w:p w14:paraId="5278021C" w14:textId="15591102" w:rsidR="000831EE" w:rsidRDefault="000831EE" w:rsidP="00AA3506">
      <w:pPr>
        <w:pStyle w:val="Akapitzlist"/>
        <w:numPr>
          <w:ilvl w:val="0"/>
          <w:numId w:val="12"/>
        </w:numPr>
      </w:pPr>
      <w:r>
        <w:t>kontrola postępowania w zakresie oczyszczania ścieków przez przedsiębiorstwa z</w:t>
      </w:r>
      <w:r w:rsidR="00C4673D">
        <w:t> </w:t>
      </w:r>
      <w:r>
        <w:t>częstotliwością raz na 3 lata,</w:t>
      </w:r>
    </w:p>
    <w:p w14:paraId="60F5D54B" w14:textId="12068185" w:rsidR="000831EE" w:rsidRDefault="000831EE" w:rsidP="00AA3506">
      <w:pPr>
        <w:pStyle w:val="Akapitzlist"/>
        <w:numPr>
          <w:ilvl w:val="0"/>
          <w:numId w:val="12"/>
        </w:numPr>
      </w:pPr>
      <w:r w:rsidRPr="003C6E20">
        <w:t>kontrola postępowania w zakresie gromadzenia ścieków przez użytkowników prywatnych i</w:t>
      </w:r>
      <w:r w:rsidR="00C4673D">
        <w:t> </w:t>
      </w:r>
      <w:r w:rsidRPr="003C6E20">
        <w:t>przedsiębiorców oraz oczyszczania ścieków przez użytkowników prywatnych z częstotliwością co najmniej raz na 3 lata</w:t>
      </w:r>
      <w:r>
        <w:t>.</w:t>
      </w:r>
    </w:p>
    <w:p w14:paraId="52049861" w14:textId="77777777" w:rsidR="000831EE" w:rsidRDefault="000831EE" w:rsidP="00AA3506">
      <w:pPr>
        <w:pStyle w:val="Akapitzlist"/>
        <w:numPr>
          <w:ilvl w:val="0"/>
          <w:numId w:val="11"/>
        </w:numPr>
        <w:ind w:left="378"/>
      </w:pPr>
      <w:r>
        <w:t>M</w:t>
      </w:r>
      <w:r w:rsidRPr="001A195B">
        <w:t>onitoring badawczy</w:t>
      </w:r>
      <w:r>
        <w:t xml:space="preserve"> wód:</w:t>
      </w:r>
    </w:p>
    <w:p w14:paraId="15569DED" w14:textId="77777777" w:rsidR="000831EE" w:rsidRDefault="000831EE" w:rsidP="00AA3506">
      <w:pPr>
        <w:pStyle w:val="Akapitzlist"/>
        <w:numPr>
          <w:ilvl w:val="0"/>
          <w:numId w:val="12"/>
        </w:numPr>
      </w:pPr>
      <w:r w:rsidRPr="0044795B">
        <w:t>monitoring badawczy wód</w:t>
      </w:r>
      <w:r>
        <w:t>.</w:t>
      </w:r>
    </w:p>
    <w:p w14:paraId="36F55B06" w14:textId="77777777" w:rsidR="000831EE" w:rsidRDefault="000831EE" w:rsidP="00AA3506">
      <w:pPr>
        <w:pStyle w:val="Akapitzlist"/>
        <w:numPr>
          <w:ilvl w:val="0"/>
          <w:numId w:val="11"/>
        </w:numPr>
        <w:ind w:left="284"/>
      </w:pPr>
      <w:r>
        <w:t>D</w:t>
      </w:r>
      <w:r w:rsidRPr="001A195B">
        <w:t>ziałania nietechniczne</w:t>
      </w:r>
      <w:r>
        <w:t xml:space="preserve"> w zakresie przeciwdziałania zanieczyszczeniu wód:</w:t>
      </w:r>
    </w:p>
    <w:p w14:paraId="7DB1CB6B" w14:textId="77777777" w:rsidR="000831EE" w:rsidRDefault="000831EE" w:rsidP="00AA3506">
      <w:pPr>
        <w:pStyle w:val="Akapitzlist"/>
        <w:numPr>
          <w:ilvl w:val="0"/>
          <w:numId w:val="12"/>
        </w:numPr>
      </w:pPr>
      <w:r>
        <w:t>objęcie nadzorem sanitarnym wody w kąpielisku i wykonanie oceny jakości wody,</w:t>
      </w:r>
    </w:p>
    <w:p w14:paraId="28D5CAB3" w14:textId="77777777" w:rsidR="000831EE" w:rsidRDefault="000831EE" w:rsidP="00AA3506">
      <w:pPr>
        <w:pStyle w:val="Akapitzlist"/>
        <w:numPr>
          <w:ilvl w:val="0"/>
          <w:numId w:val="12"/>
        </w:numPr>
      </w:pPr>
      <w:r>
        <w:t>opracowanie dokumentacji na potrzeby ustanowienia obszaru ochronnego zbiornika wód śródlądowych,</w:t>
      </w:r>
    </w:p>
    <w:p w14:paraId="2CCDEE33" w14:textId="45D086D2" w:rsidR="000831EE" w:rsidRDefault="000831EE" w:rsidP="00AA3506">
      <w:pPr>
        <w:pStyle w:val="Akapitzlist"/>
        <w:numPr>
          <w:ilvl w:val="0"/>
          <w:numId w:val="12"/>
        </w:numPr>
      </w:pPr>
      <w:r w:rsidRPr="003C6E20">
        <w:t>opracowanie oceny jakości wody wykorzystywanej do zaopatrzenia ludności w wodę przeznaczoną do spożycia</w:t>
      </w:r>
      <w:r>
        <w:t xml:space="preserve"> </w:t>
      </w:r>
      <w:r w:rsidR="00442AB7">
        <w:t>-</w:t>
      </w:r>
      <w:r>
        <w:t xml:space="preserve"> </w:t>
      </w:r>
      <w:r w:rsidRPr="003C6E20">
        <w:t>opracowanie oceny obszarowej jakości wody</w:t>
      </w:r>
      <w:r>
        <w:t>,</w:t>
      </w:r>
    </w:p>
    <w:p w14:paraId="7337E4B4" w14:textId="77777777" w:rsidR="000831EE" w:rsidRDefault="000831EE" w:rsidP="00AA3506">
      <w:pPr>
        <w:pStyle w:val="Akapitzlist"/>
        <w:numPr>
          <w:ilvl w:val="0"/>
          <w:numId w:val="12"/>
        </w:numPr>
      </w:pPr>
      <w:r w:rsidRPr="003C6E20">
        <w:t>przegląd pozwoleń wodnoprawnych</w:t>
      </w:r>
      <w:r>
        <w:t>,</w:t>
      </w:r>
    </w:p>
    <w:p w14:paraId="424DC6D9" w14:textId="77777777" w:rsidR="000831EE" w:rsidRDefault="000831EE" w:rsidP="00AA3506">
      <w:pPr>
        <w:pStyle w:val="Akapitzlist"/>
        <w:numPr>
          <w:ilvl w:val="0"/>
          <w:numId w:val="12"/>
        </w:numPr>
      </w:pPr>
      <w:r w:rsidRPr="003C6E20">
        <w:t>przeprowadzenie pogłębionej analizy presji w celu ustalenia przyczyn nieosiągnięcia dobrego stanu wód</w:t>
      </w:r>
      <w:r>
        <w:t>,</w:t>
      </w:r>
    </w:p>
    <w:p w14:paraId="3CD25D9B" w14:textId="77777777" w:rsidR="000831EE" w:rsidRDefault="000831EE" w:rsidP="00AA3506">
      <w:pPr>
        <w:pStyle w:val="Akapitzlist"/>
        <w:numPr>
          <w:ilvl w:val="0"/>
          <w:numId w:val="12"/>
        </w:numPr>
      </w:pPr>
      <w:r w:rsidRPr="003C6E20">
        <w:t>weryfikacja ryzyka nieosiągnięcia celów środowiskowych</w:t>
      </w:r>
      <w:r>
        <w:t>,</w:t>
      </w:r>
    </w:p>
    <w:p w14:paraId="6D5DD6ED" w14:textId="77777777" w:rsidR="000831EE" w:rsidRDefault="000831EE" w:rsidP="00AA3506">
      <w:pPr>
        <w:pStyle w:val="Akapitzlist"/>
        <w:numPr>
          <w:ilvl w:val="0"/>
          <w:numId w:val="12"/>
        </w:numPr>
      </w:pPr>
      <w:r w:rsidRPr="003C6E20">
        <w:t>weryfikacja warunków korzystania z wód zlewni</w:t>
      </w:r>
      <w:r>
        <w:t>,</w:t>
      </w:r>
    </w:p>
    <w:p w14:paraId="440B3736" w14:textId="77777777" w:rsidR="000831EE" w:rsidRDefault="000831EE" w:rsidP="00AA3506">
      <w:pPr>
        <w:pStyle w:val="Akapitzlist"/>
        <w:numPr>
          <w:ilvl w:val="0"/>
          <w:numId w:val="12"/>
        </w:numPr>
      </w:pPr>
      <w:r w:rsidRPr="003C6E20">
        <w:t xml:space="preserve">przeprowadzenie weryfikacji </w:t>
      </w:r>
      <w:r>
        <w:t>p</w:t>
      </w:r>
      <w:r w:rsidRPr="003C6E20">
        <w:t>rogramu ochrony środowiska dla gminy w zakresie ograniczania emisji do atmosfery wielopierścieniowych węglowodorów aromatycznych</w:t>
      </w:r>
      <w:r>
        <w:t>.</w:t>
      </w:r>
    </w:p>
    <w:p w14:paraId="7D51E8DB" w14:textId="77777777" w:rsidR="000831EE" w:rsidRDefault="000831EE" w:rsidP="00AA3506">
      <w:pPr>
        <w:pStyle w:val="Akapitzlist"/>
        <w:numPr>
          <w:ilvl w:val="0"/>
          <w:numId w:val="11"/>
        </w:numPr>
        <w:ind w:left="364"/>
      </w:pPr>
      <w:r>
        <w:t xml:space="preserve">Działania w zakresie </w:t>
      </w:r>
      <w:r w:rsidRPr="001A195B">
        <w:t>rekultywacji</w:t>
      </w:r>
      <w:r>
        <w:t xml:space="preserve"> jezior:</w:t>
      </w:r>
    </w:p>
    <w:p w14:paraId="4A5F1C62" w14:textId="77777777" w:rsidR="000831EE" w:rsidRDefault="000831EE" w:rsidP="00AA3506">
      <w:pPr>
        <w:pStyle w:val="Akapitzlist"/>
        <w:numPr>
          <w:ilvl w:val="0"/>
          <w:numId w:val="12"/>
        </w:numPr>
      </w:pPr>
      <w:r w:rsidRPr="003C6E20">
        <w:t>monitoring operacyjny efektów działań rekultywacyjnych</w:t>
      </w:r>
      <w:r>
        <w:t>.</w:t>
      </w:r>
    </w:p>
    <w:p w14:paraId="3DD0BB23" w14:textId="77777777" w:rsidR="000831EE" w:rsidRDefault="000831EE" w:rsidP="000831EE">
      <w:pPr>
        <w:suppressAutoHyphens/>
      </w:pPr>
      <w:r>
        <w:t>Status działania został określony poprzez ocenę stanu realizacji z podziałem na następujące kategorie:</w:t>
      </w:r>
    </w:p>
    <w:p w14:paraId="0BA7F7E6" w14:textId="4A2758DF" w:rsidR="000831EE" w:rsidRDefault="000831EE" w:rsidP="00AA3506">
      <w:pPr>
        <w:pStyle w:val="Akapitzlist"/>
        <w:numPr>
          <w:ilvl w:val="0"/>
          <w:numId w:val="12"/>
        </w:numPr>
      </w:pPr>
      <w:r>
        <w:t xml:space="preserve">działanie ciągłe </w:t>
      </w:r>
      <w:r w:rsidR="00442AB7">
        <w:t>-</w:t>
      </w:r>
      <w:r>
        <w:t xml:space="preserve"> zaplanowane do realizacji w sposób ciągły w całym cyklu, a realizacja takiego działania wpływa pozytywnie na ograniczenie emisji substancji priorytetowych;</w:t>
      </w:r>
    </w:p>
    <w:p w14:paraId="45DDDF49" w14:textId="43B162BC" w:rsidR="000831EE" w:rsidRDefault="000831EE" w:rsidP="00AA3506">
      <w:pPr>
        <w:pStyle w:val="Akapitzlist"/>
        <w:numPr>
          <w:ilvl w:val="0"/>
          <w:numId w:val="12"/>
        </w:numPr>
      </w:pPr>
      <w:r>
        <w:t xml:space="preserve">zakończone </w:t>
      </w:r>
      <w:r w:rsidR="00442AB7">
        <w:t>-</w:t>
      </w:r>
      <w:r>
        <w:t xml:space="preserve"> realizacja działania jest zakończona i została uwzględniona w ocenie stopnia wdrożenia działań;</w:t>
      </w:r>
    </w:p>
    <w:p w14:paraId="6BCBDE37" w14:textId="4675134E" w:rsidR="000831EE" w:rsidRDefault="000831EE" w:rsidP="00AA3506">
      <w:pPr>
        <w:pStyle w:val="Akapitzlist"/>
        <w:numPr>
          <w:ilvl w:val="0"/>
          <w:numId w:val="12"/>
        </w:numPr>
      </w:pPr>
      <w:r>
        <w:t xml:space="preserve">niezrealizowane lub nierozpoczęte </w:t>
      </w:r>
      <w:r w:rsidR="00442AB7">
        <w:t>-</w:t>
      </w:r>
      <w:r>
        <w:t xml:space="preserve"> wskazano w sprawozdaniach brak realizacji i nie uwzględniono ich w ocenie skuteczności;</w:t>
      </w:r>
    </w:p>
    <w:p w14:paraId="0718D700" w14:textId="03354D0C" w:rsidR="000831EE" w:rsidRDefault="000831EE" w:rsidP="00AA3506">
      <w:pPr>
        <w:pStyle w:val="Akapitzlist"/>
        <w:numPr>
          <w:ilvl w:val="0"/>
          <w:numId w:val="12"/>
        </w:numPr>
      </w:pPr>
      <w:r>
        <w:t>działanie w trakcie realizacji, którego skutek wprowadzenia będzie możliwy do oceny w</w:t>
      </w:r>
      <w:r w:rsidR="00C4673D">
        <w:t> </w:t>
      </w:r>
      <w:r>
        <w:t>kolejnym cyklu planistycznym.</w:t>
      </w:r>
    </w:p>
    <w:p w14:paraId="5EFCC795" w14:textId="77777777" w:rsidR="000831EE" w:rsidRDefault="000831EE" w:rsidP="000831EE">
      <w:pPr>
        <w:suppressAutoHyphens/>
      </w:pPr>
      <w:r>
        <w:t>Odrzucono tym samym działania: niezrealizowane, nierozpoczęte oraz takie, dla których jest zbyt mało danych umożliwiających określenie stanu realizacji.</w:t>
      </w:r>
    </w:p>
    <w:p w14:paraId="0F7BE4A9" w14:textId="219ED349" w:rsidR="003523BB" w:rsidRDefault="000831EE" w:rsidP="000831EE">
      <w:pPr>
        <w:suppressAutoHyphens/>
      </w:pPr>
      <w:r>
        <w:t xml:space="preserve">Wyodrębnienie działań mogących w sposób bezpośredni lub pośredni oddziaływać na emisje substancji priorytetowych do wód pozwoliło na otrzymanie wykazu zaawansowanych i zrealizowanych </w:t>
      </w:r>
      <w:r w:rsidRPr="00E46F8F">
        <w:t xml:space="preserve">działań, których ilość w skali kraju i obszaru dorzecza Pregoły kształtuje się w sposób przedstawiony </w:t>
      </w:r>
      <w:r w:rsidR="0040727E">
        <w:t xml:space="preserve">odpowiednio </w:t>
      </w:r>
      <w:r w:rsidRPr="00E46F8F">
        <w:t>w</w:t>
      </w:r>
      <w:r w:rsidR="00B24E2D">
        <w:t> </w:t>
      </w:r>
      <w:r w:rsidRPr="00E46F8F">
        <w:t>tabel</w:t>
      </w:r>
      <w:r w:rsidR="00E46F8F" w:rsidRPr="00E46F8F">
        <w:t>ach</w:t>
      </w:r>
      <w:r w:rsidR="00AE0B97" w:rsidRPr="00E46F8F">
        <w:t xml:space="preserve"> 13-</w:t>
      </w:r>
      <w:r w:rsidR="004A1B76" w:rsidRPr="00E46F8F">
        <w:t>1</w:t>
      </w:r>
      <w:r w:rsidR="005951CF">
        <w:t>2</w:t>
      </w:r>
      <w:r w:rsidR="00E46F8F" w:rsidRPr="00E46F8F">
        <w:t xml:space="preserve"> i 13-1</w:t>
      </w:r>
      <w:r w:rsidR="005951CF">
        <w:t>3</w:t>
      </w:r>
      <w:r w:rsidRPr="00E46F8F">
        <w:t>.</w:t>
      </w:r>
    </w:p>
    <w:p w14:paraId="5C7AAEB8" w14:textId="23388413" w:rsidR="000831EE" w:rsidRPr="003523BB" w:rsidRDefault="00AB6637" w:rsidP="006802BB">
      <w:pPr>
        <w:pStyle w:val="Tabela"/>
      </w:pPr>
      <w:bookmarkStart w:id="481" w:name="_Toc68727052"/>
      <w:r>
        <w:t xml:space="preserve">Tabela </w:t>
      </w:r>
      <w:fldSimple w:instr=" STYLEREF 1 \s ">
        <w:r w:rsidR="005951CF">
          <w:rPr>
            <w:noProof/>
          </w:rPr>
          <w:t>13</w:t>
        </w:r>
      </w:fldSimple>
      <w:r w:rsidR="007B4050">
        <w:noBreakHyphen/>
      </w:r>
      <w:fldSimple w:instr=" SEQ Tabela \* ARABIC \s 1 ">
        <w:r w:rsidR="005951CF">
          <w:rPr>
            <w:noProof/>
          </w:rPr>
          <w:t>12</w:t>
        </w:r>
      </w:fldSimple>
      <w:r w:rsidR="003523BB">
        <w:tab/>
      </w:r>
      <w:r w:rsidR="003523BB" w:rsidRPr="00D06A1F">
        <w:t xml:space="preserve">Podsumowanie liczby </w:t>
      </w:r>
      <w:r w:rsidR="003523BB" w:rsidRPr="00FA2541">
        <w:t>działań zrealizowanych i zaawansowanych w realizacji</w:t>
      </w:r>
      <w:r w:rsidR="003523BB">
        <w:t>,</w:t>
      </w:r>
      <w:r w:rsidR="003523BB" w:rsidRPr="00D06A1F">
        <w:t xml:space="preserve"> mających znaczenie dla poprawy stanu jakościowego jcwp </w:t>
      </w:r>
      <w:r w:rsidR="00442AB7">
        <w:t>-</w:t>
      </w:r>
      <w:r w:rsidR="003523BB" w:rsidRPr="00D06A1F">
        <w:t xml:space="preserve"> wszystkie obszary dorzeczy i kategorie wód</w:t>
      </w:r>
      <w:bookmarkEnd w:id="4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4"/>
        <w:gridCol w:w="3413"/>
        <w:gridCol w:w="848"/>
        <w:gridCol w:w="848"/>
        <w:gridCol w:w="848"/>
        <w:gridCol w:w="848"/>
        <w:gridCol w:w="848"/>
        <w:gridCol w:w="845"/>
      </w:tblGrid>
      <w:tr w:rsidR="000831EE" w:rsidRPr="001B10C5" w14:paraId="1C33441A" w14:textId="77777777" w:rsidTr="00231528">
        <w:trPr>
          <w:trHeight w:val="397"/>
          <w:tblHeader/>
        </w:trPr>
        <w:tc>
          <w:tcPr>
            <w:tcW w:w="311" w:type="pct"/>
            <w:vMerge w:val="restart"/>
            <w:shd w:val="clear" w:color="auto" w:fill="BFBFBF" w:themeFill="background1" w:themeFillShade="BF"/>
            <w:noWrap/>
            <w:vAlign w:val="center"/>
            <w:hideMark/>
          </w:tcPr>
          <w:p w14:paraId="698DC154" w14:textId="77777777" w:rsidR="000831EE" w:rsidRPr="001B10C5" w:rsidRDefault="000831EE" w:rsidP="001B10C5">
            <w:pPr>
              <w:pStyle w:val="Tabela-tekst"/>
              <w:rPr>
                <w:b/>
                <w:bCs/>
              </w:rPr>
            </w:pPr>
            <w:r w:rsidRPr="001B10C5">
              <w:rPr>
                <w:b/>
                <w:bCs/>
              </w:rPr>
              <w:t>Lp.</w:t>
            </w:r>
          </w:p>
        </w:tc>
        <w:tc>
          <w:tcPr>
            <w:tcW w:w="1883" w:type="pct"/>
            <w:vMerge w:val="restart"/>
            <w:shd w:val="clear" w:color="auto" w:fill="BFBFBF" w:themeFill="background1" w:themeFillShade="BF"/>
            <w:vAlign w:val="center"/>
          </w:tcPr>
          <w:p w14:paraId="7E3E9059" w14:textId="77777777" w:rsidR="000831EE" w:rsidRPr="001B10C5" w:rsidRDefault="000831EE" w:rsidP="00EC7E9F">
            <w:pPr>
              <w:pStyle w:val="Tabela-tekst"/>
              <w:jc w:val="center"/>
              <w:rPr>
                <w:b/>
                <w:bCs/>
              </w:rPr>
            </w:pPr>
            <w:r w:rsidRPr="001B10C5">
              <w:rPr>
                <w:b/>
                <w:bCs/>
              </w:rPr>
              <w:t>Kategoria działań</w:t>
            </w:r>
          </w:p>
        </w:tc>
        <w:tc>
          <w:tcPr>
            <w:tcW w:w="2806" w:type="pct"/>
            <w:gridSpan w:val="6"/>
            <w:shd w:val="clear" w:color="auto" w:fill="BFBFBF" w:themeFill="background1" w:themeFillShade="BF"/>
            <w:noWrap/>
            <w:vAlign w:val="center"/>
            <w:hideMark/>
          </w:tcPr>
          <w:p w14:paraId="4134A88F" w14:textId="77777777" w:rsidR="000831EE" w:rsidRPr="001B10C5" w:rsidRDefault="000831EE" w:rsidP="008C5A42">
            <w:pPr>
              <w:pStyle w:val="Tabela-tekst"/>
              <w:jc w:val="center"/>
              <w:rPr>
                <w:b/>
                <w:bCs/>
              </w:rPr>
            </w:pPr>
            <w:r w:rsidRPr="001B10C5">
              <w:rPr>
                <w:b/>
                <w:bCs/>
              </w:rPr>
              <w:t>Kategoria wód</w:t>
            </w:r>
          </w:p>
        </w:tc>
      </w:tr>
      <w:tr w:rsidR="000831EE" w:rsidRPr="001B10C5" w14:paraId="0C432B15" w14:textId="77777777" w:rsidTr="00231528">
        <w:trPr>
          <w:trHeight w:val="397"/>
          <w:tblHeader/>
        </w:trPr>
        <w:tc>
          <w:tcPr>
            <w:tcW w:w="311" w:type="pct"/>
            <w:vMerge/>
            <w:shd w:val="clear" w:color="auto" w:fill="BFBFBF" w:themeFill="background1" w:themeFillShade="BF"/>
            <w:noWrap/>
            <w:vAlign w:val="center"/>
            <w:hideMark/>
          </w:tcPr>
          <w:p w14:paraId="75C85E3A" w14:textId="77777777" w:rsidR="000831EE" w:rsidRPr="001B10C5" w:rsidRDefault="000831EE" w:rsidP="001B10C5">
            <w:pPr>
              <w:pStyle w:val="Tabela-tekst"/>
              <w:rPr>
                <w:b/>
                <w:bCs/>
              </w:rPr>
            </w:pPr>
          </w:p>
        </w:tc>
        <w:tc>
          <w:tcPr>
            <w:tcW w:w="1883" w:type="pct"/>
            <w:vMerge/>
            <w:shd w:val="clear" w:color="auto" w:fill="BFBFBF" w:themeFill="background1" w:themeFillShade="BF"/>
            <w:noWrap/>
            <w:vAlign w:val="center"/>
            <w:hideMark/>
          </w:tcPr>
          <w:p w14:paraId="22D3CD89" w14:textId="77777777" w:rsidR="000831EE" w:rsidRPr="001B10C5" w:rsidRDefault="000831EE" w:rsidP="001B10C5">
            <w:pPr>
              <w:pStyle w:val="Tabela-tekst"/>
              <w:rPr>
                <w:b/>
                <w:bCs/>
              </w:rPr>
            </w:pPr>
          </w:p>
        </w:tc>
        <w:tc>
          <w:tcPr>
            <w:tcW w:w="936" w:type="pct"/>
            <w:gridSpan w:val="2"/>
            <w:shd w:val="clear" w:color="auto" w:fill="BFBFBF" w:themeFill="background1" w:themeFillShade="BF"/>
            <w:noWrap/>
            <w:vAlign w:val="center"/>
            <w:hideMark/>
          </w:tcPr>
          <w:p w14:paraId="3280BAFD" w14:textId="214A5745" w:rsidR="000831EE" w:rsidRPr="001B10C5" w:rsidRDefault="00EC7E9F" w:rsidP="008C5A42">
            <w:pPr>
              <w:pStyle w:val="Tabela-tekst"/>
              <w:jc w:val="center"/>
              <w:rPr>
                <w:b/>
                <w:bCs/>
              </w:rPr>
            </w:pPr>
            <w:r>
              <w:rPr>
                <w:b/>
                <w:bCs/>
              </w:rPr>
              <w:t>jcwp RW</w:t>
            </w:r>
          </w:p>
        </w:tc>
        <w:tc>
          <w:tcPr>
            <w:tcW w:w="936" w:type="pct"/>
            <w:gridSpan w:val="2"/>
            <w:shd w:val="clear" w:color="auto" w:fill="BFBFBF" w:themeFill="background1" w:themeFillShade="BF"/>
            <w:noWrap/>
            <w:vAlign w:val="center"/>
            <w:hideMark/>
          </w:tcPr>
          <w:p w14:paraId="0F925AEC" w14:textId="3AA64DD8" w:rsidR="000831EE" w:rsidRPr="001B10C5" w:rsidRDefault="00EC7E9F" w:rsidP="008C5A42">
            <w:pPr>
              <w:pStyle w:val="Tabela-tekst"/>
              <w:jc w:val="center"/>
              <w:rPr>
                <w:b/>
                <w:bCs/>
              </w:rPr>
            </w:pPr>
            <w:r>
              <w:rPr>
                <w:b/>
                <w:bCs/>
              </w:rPr>
              <w:t>jcwp LW</w:t>
            </w:r>
          </w:p>
        </w:tc>
        <w:tc>
          <w:tcPr>
            <w:tcW w:w="934" w:type="pct"/>
            <w:gridSpan w:val="2"/>
            <w:shd w:val="clear" w:color="auto" w:fill="BFBFBF" w:themeFill="background1" w:themeFillShade="BF"/>
            <w:noWrap/>
            <w:vAlign w:val="center"/>
            <w:hideMark/>
          </w:tcPr>
          <w:p w14:paraId="7CB6CF7F" w14:textId="0443CFE1" w:rsidR="000831EE" w:rsidRPr="001B10C5" w:rsidRDefault="00EC7E9F" w:rsidP="008C5A42">
            <w:pPr>
              <w:pStyle w:val="Tabela-tekst"/>
              <w:jc w:val="center"/>
              <w:rPr>
                <w:b/>
                <w:bCs/>
              </w:rPr>
            </w:pPr>
            <w:r>
              <w:rPr>
                <w:b/>
                <w:bCs/>
              </w:rPr>
              <w:t>jcwp TW i CW</w:t>
            </w:r>
          </w:p>
        </w:tc>
      </w:tr>
      <w:tr w:rsidR="000831EE" w:rsidRPr="001B10C5" w14:paraId="4E946E96" w14:textId="77777777" w:rsidTr="00231528">
        <w:trPr>
          <w:trHeight w:val="397"/>
        </w:trPr>
        <w:tc>
          <w:tcPr>
            <w:tcW w:w="311" w:type="pct"/>
            <w:shd w:val="clear" w:color="auto" w:fill="auto"/>
            <w:noWrap/>
            <w:vAlign w:val="center"/>
            <w:hideMark/>
          </w:tcPr>
          <w:p w14:paraId="07D8867F" w14:textId="77777777" w:rsidR="000831EE" w:rsidRPr="001B10C5" w:rsidRDefault="000831EE" w:rsidP="001B10C5">
            <w:pPr>
              <w:pStyle w:val="Tabela-tekst"/>
            </w:pPr>
            <w:r w:rsidRPr="001B10C5">
              <w:t>1.</w:t>
            </w:r>
          </w:p>
        </w:tc>
        <w:tc>
          <w:tcPr>
            <w:tcW w:w="1883" w:type="pct"/>
            <w:shd w:val="clear" w:color="auto" w:fill="auto"/>
            <w:vAlign w:val="center"/>
            <w:hideMark/>
          </w:tcPr>
          <w:p w14:paraId="18AC5CA7" w14:textId="7BBA58AA" w:rsidR="000831EE" w:rsidRPr="001B10C5" w:rsidRDefault="000831EE" w:rsidP="001B10C5">
            <w:pPr>
              <w:pStyle w:val="Tabela-tekst"/>
            </w:pPr>
            <w:r w:rsidRPr="001B10C5">
              <w:t xml:space="preserve">Gospodarka komunalna </w:t>
            </w:r>
            <w:r w:rsidR="00442AB7" w:rsidRPr="001B10C5">
              <w:t>-</w:t>
            </w:r>
            <w:r w:rsidRPr="001B10C5">
              <w:t xml:space="preserve"> budowa/modernizacja oczyszczalni ścieków, budowa kanalizacji, wywóz nieczystości</w:t>
            </w:r>
          </w:p>
        </w:tc>
        <w:tc>
          <w:tcPr>
            <w:tcW w:w="468" w:type="pct"/>
            <w:shd w:val="clear" w:color="auto" w:fill="auto"/>
            <w:noWrap/>
            <w:vAlign w:val="center"/>
            <w:hideMark/>
          </w:tcPr>
          <w:p w14:paraId="276B3415" w14:textId="77777777" w:rsidR="000831EE" w:rsidRPr="001B10C5" w:rsidRDefault="000831EE" w:rsidP="008C5A42">
            <w:pPr>
              <w:pStyle w:val="Tabela-tekst"/>
              <w:jc w:val="center"/>
            </w:pPr>
            <w:r w:rsidRPr="001B10C5">
              <w:t>10 994</w:t>
            </w:r>
          </w:p>
        </w:tc>
        <w:tc>
          <w:tcPr>
            <w:tcW w:w="468" w:type="pct"/>
            <w:shd w:val="clear" w:color="auto" w:fill="auto"/>
            <w:noWrap/>
            <w:vAlign w:val="center"/>
            <w:hideMark/>
          </w:tcPr>
          <w:p w14:paraId="56B9D30F" w14:textId="52A376F3" w:rsidR="000831EE" w:rsidRPr="001B10C5" w:rsidRDefault="000831EE" w:rsidP="008C5A42">
            <w:pPr>
              <w:pStyle w:val="Tabela-tekst"/>
              <w:jc w:val="center"/>
            </w:pPr>
            <w:r w:rsidRPr="001B10C5">
              <w:t>69,</w:t>
            </w:r>
            <w:r w:rsidR="00BE6839">
              <w:t>28</w:t>
            </w:r>
            <w:r w:rsidRPr="001B10C5">
              <w:t>%</w:t>
            </w:r>
          </w:p>
        </w:tc>
        <w:tc>
          <w:tcPr>
            <w:tcW w:w="468" w:type="pct"/>
            <w:shd w:val="clear" w:color="auto" w:fill="auto"/>
            <w:noWrap/>
            <w:vAlign w:val="center"/>
            <w:hideMark/>
          </w:tcPr>
          <w:p w14:paraId="31E2C097" w14:textId="77777777" w:rsidR="000831EE" w:rsidRPr="001B10C5" w:rsidRDefault="000831EE" w:rsidP="008C5A42">
            <w:pPr>
              <w:pStyle w:val="Tabela-tekst"/>
              <w:jc w:val="center"/>
            </w:pPr>
            <w:r w:rsidRPr="001B10C5">
              <w:t>170</w:t>
            </w:r>
          </w:p>
        </w:tc>
        <w:tc>
          <w:tcPr>
            <w:tcW w:w="468" w:type="pct"/>
            <w:shd w:val="clear" w:color="auto" w:fill="auto"/>
            <w:noWrap/>
            <w:vAlign w:val="center"/>
            <w:hideMark/>
          </w:tcPr>
          <w:p w14:paraId="63032809" w14:textId="6876B079" w:rsidR="000831EE" w:rsidRPr="001B10C5" w:rsidRDefault="000831EE" w:rsidP="008C5A42">
            <w:pPr>
              <w:pStyle w:val="Tabela-tekst"/>
              <w:jc w:val="center"/>
            </w:pPr>
            <w:r w:rsidRPr="001B10C5">
              <w:t>15,8</w:t>
            </w:r>
            <w:r w:rsidR="00BE6839">
              <w:t>4</w:t>
            </w:r>
            <w:r w:rsidRPr="001B10C5">
              <w:t>%</w:t>
            </w:r>
          </w:p>
        </w:tc>
        <w:tc>
          <w:tcPr>
            <w:tcW w:w="468" w:type="pct"/>
            <w:shd w:val="clear" w:color="auto" w:fill="auto"/>
            <w:noWrap/>
            <w:vAlign w:val="center"/>
            <w:hideMark/>
          </w:tcPr>
          <w:p w14:paraId="0B23D08B" w14:textId="77777777" w:rsidR="000831EE" w:rsidRPr="001B10C5" w:rsidRDefault="000831EE" w:rsidP="008C5A42">
            <w:pPr>
              <w:pStyle w:val="Tabela-tekst"/>
              <w:jc w:val="center"/>
            </w:pPr>
            <w:r w:rsidRPr="001B10C5">
              <w:t>94</w:t>
            </w:r>
          </w:p>
        </w:tc>
        <w:tc>
          <w:tcPr>
            <w:tcW w:w="466" w:type="pct"/>
            <w:shd w:val="clear" w:color="auto" w:fill="auto"/>
            <w:noWrap/>
            <w:vAlign w:val="center"/>
            <w:hideMark/>
          </w:tcPr>
          <w:p w14:paraId="78040DDA" w14:textId="162476EA" w:rsidR="000831EE" w:rsidRPr="001B10C5" w:rsidRDefault="000831EE" w:rsidP="008C5A42">
            <w:pPr>
              <w:pStyle w:val="Tabela-tekst"/>
              <w:jc w:val="center"/>
            </w:pPr>
            <w:r w:rsidRPr="001B10C5">
              <w:t>61,8</w:t>
            </w:r>
            <w:r w:rsidR="00BE6839">
              <w:t>4</w:t>
            </w:r>
            <w:r w:rsidRPr="001B10C5">
              <w:t>%</w:t>
            </w:r>
          </w:p>
        </w:tc>
      </w:tr>
      <w:tr w:rsidR="000831EE" w:rsidRPr="001B10C5" w14:paraId="203370F0" w14:textId="77777777" w:rsidTr="00231528">
        <w:trPr>
          <w:trHeight w:val="397"/>
        </w:trPr>
        <w:tc>
          <w:tcPr>
            <w:tcW w:w="311" w:type="pct"/>
            <w:shd w:val="clear" w:color="auto" w:fill="auto"/>
            <w:noWrap/>
            <w:vAlign w:val="center"/>
            <w:hideMark/>
          </w:tcPr>
          <w:p w14:paraId="2F635D37" w14:textId="77777777" w:rsidR="000831EE" w:rsidRPr="001B10C5" w:rsidRDefault="000831EE" w:rsidP="001B10C5">
            <w:pPr>
              <w:pStyle w:val="Tabela-tekst"/>
            </w:pPr>
            <w:r w:rsidRPr="001B10C5">
              <w:t>2.</w:t>
            </w:r>
          </w:p>
        </w:tc>
        <w:tc>
          <w:tcPr>
            <w:tcW w:w="1883" w:type="pct"/>
            <w:shd w:val="clear" w:color="auto" w:fill="auto"/>
            <w:vAlign w:val="center"/>
            <w:hideMark/>
          </w:tcPr>
          <w:p w14:paraId="11FBCFF7" w14:textId="0E68BC1E" w:rsidR="000831EE" w:rsidRPr="001B10C5" w:rsidRDefault="000831EE" w:rsidP="001B10C5">
            <w:pPr>
              <w:pStyle w:val="Tabela-tekst"/>
            </w:pPr>
            <w:r w:rsidRPr="001B10C5">
              <w:t xml:space="preserve">Rolnictwo </w:t>
            </w:r>
            <w:r w:rsidR="00442AB7" w:rsidRPr="001B10C5">
              <w:t>-</w:t>
            </w:r>
            <w:r w:rsidRPr="001B10C5">
              <w:t xml:space="preserve"> program ograniczenia odpływu azotu, kontrola zarybiania</w:t>
            </w:r>
          </w:p>
        </w:tc>
        <w:tc>
          <w:tcPr>
            <w:tcW w:w="468" w:type="pct"/>
            <w:shd w:val="clear" w:color="auto" w:fill="auto"/>
            <w:noWrap/>
            <w:vAlign w:val="center"/>
            <w:hideMark/>
          </w:tcPr>
          <w:p w14:paraId="0465E710" w14:textId="77777777" w:rsidR="000831EE" w:rsidRPr="001B10C5" w:rsidRDefault="000831EE" w:rsidP="008C5A42">
            <w:pPr>
              <w:pStyle w:val="Tabela-tekst"/>
              <w:jc w:val="center"/>
            </w:pPr>
            <w:r w:rsidRPr="001B10C5">
              <w:t>1544</w:t>
            </w:r>
          </w:p>
        </w:tc>
        <w:tc>
          <w:tcPr>
            <w:tcW w:w="468" w:type="pct"/>
            <w:shd w:val="clear" w:color="auto" w:fill="auto"/>
            <w:noWrap/>
            <w:vAlign w:val="center"/>
            <w:hideMark/>
          </w:tcPr>
          <w:p w14:paraId="545E0A5B" w14:textId="47004052" w:rsidR="000831EE" w:rsidRPr="001B10C5" w:rsidRDefault="000831EE" w:rsidP="008C5A42">
            <w:pPr>
              <w:pStyle w:val="Tabela-tekst"/>
              <w:jc w:val="center"/>
            </w:pPr>
            <w:r w:rsidRPr="001B10C5">
              <w:t>9,7</w:t>
            </w:r>
            <w:r w:rsidR="00BE6839">
              <w:t>3</w:t>
            </w:r>
            <w:r w:rsidRPr="001B10C5">
              <w:t>%</w:t>
            </w:r>
          </w:p>
        </w:tc>
        <w:tc>
          <w:tcPr>
            <w:tcW w:w="468" w:type="pct"/>
            <w:shd w:val="clear" w:color="auto" w:fill="auto"/>
            <w:noWrap/>
            <w:vAlign w:val="center"/>
            <w:hideMark/>
          </w:tcPr>
          <w:p w14:paraId="36C03215" w14:textId="77777777" w:rsidR="000831EE" w:rsidRPr="001B10C5" w:rsidRDefault="000831EE" w:rsidP="008C5A42">
            <w:pPr>
              <w:pStyle w:val="Tabela-tekst"/>
              <w:jc w:val="center"/>
            </w:pPr>
            <w:r w:rsidRPr="001B10C5">
              <w:t>48</w:t>
            </w:r>
          </w:p>
        </w:tc>
        <w:tc>
          <w:tcPr>
            <w:tcW w:w="468" w:type="pct"/>
            <w:shd w:val="clear" w:color="auto" w:fill="auto"/>
            <w:noWrap/>
            <w:vAlign w:val="center"/>
            <w:hideMark/>
          </w:tcPr>
          <w:p w14:paraId="064E0E1F" w14:textId="64173572" w:rsidR="000831EE" w:rsidRPr="001B10C5" w:rsidRDefault="000831EE" w:rsidP="008C5A42">
            <w:pPr>
              <w:pStyle w:val="Tabela-tekst"/>
              <w:jc w:val="center"/>
            </w:pPr>
            <w:r w:rsidRPr="001B10C5">
              <w:t>4,</w:t>
            </w:r>
            <w:r w:rsidR="00BE6839">
              <w:t>47</w:t>
            </w:r>
            <w:r w:rsidRPr="001B10C5">
              <w:t>%</w:t>
            </w:r>
          </w:p>
        </w:tc>
        <w:tc>
          <w:tcPr>
            <w:tcW w:w="468" w:type="pct"/>
            <w:shd w:val="clear" w:color="auto" w:fill="auto"/>
            <w:noWrap/>
            <w:vAlign w:val="center"/>
            <w:hideMark/>
          </w:tcPr>
          <w:p w14:paraId="7B808177" w14:textId="77777777" w:rsidR="000831EE" w:rsidRPr="001B10C5" w:rsidRDefault="000831EE" w:rsidP="008C5A42">
            <w:pPr>
              <w:pStyle w:val="Tabela-tekst"/>
              <w:jc w:val="center"/>
            </w:pPr>
            <w:r w:rsidRPr="001B10C5">
              <w:t>6</w:t>
            </w:r>
          </w:p>
        </w:tc>
        <w:tc>
          <w:tcPr>
            <w:tcW w:w="466" w:type="pct"/>
            <w:shd w:val="clear" w:color="auto" w:fill="auto"/>
            <w:noWrap/>
            <w:vAlign w:val="center"/>
            <w:hideMark/>
          </w:tcPr>
          <w:p w14:paraId="0BF3BA01" w14:textId="6C3D6425" w:rsidR="000831EE" w:rsidRPr="001B10C5" w:rsidRDefault="000831EE" w:rsidP="008C5A42">
            <w:pPr>
              <w:pStyle w:val="Tabela-tekst"/>
              <w:jc w:val="center"/>
            </w:pPr>
            <w:r w:rsidRPr="001B10C5">
              <w:t>3,9</w:t>
            </w:r>
            <w:r w:rsidR="00BE6839">
              <w:t>5</w:t>
            </w:r>
            <w:r w:rsidRPr="001B10C5">
              <w:t>%</w:t>
            </w:r>
          </w:p>
        </w:tc>
      </w:tr>
      <w:tr w:rsidR="000831EE" w:rsidRPr="001B10C5" w14:paraId="44C86F3B" w14:textId="77777777" w:rsidTr="00231528">
        <w:trPr>
          <w:trHeight w:val="397"/>
        </w:trPr>
        <w:tc>
          <w:tcPr>
            <w:tcW w:w="311" w:type="pct"/>
            <w:shd w:val="clear" w:color="auto" w:fill="auto"/>
            <w:noWrap/>
            <w:vAlign w:val="center"/>
            <w:hideMark/>
          </w:tcPr>
          <w:p w14:paraId="70805FFB" w14:textId="77777777" w:rsidR="000831EE" w:rsidRPr="001B10C5" w:rsidRDefault="000831EE" w:rsidP="001B10C5">
            <w:pPr>
              <w:pStyle w:val="Tabela-tekst"/>
            </w:pPr>
            <w:r w:rsidRPr="001B10C5">
              <w:t>3.</w:t>
            </w:r>
          </w:p>
        </w:tc>
        <w:tc>
          <w:tcPr>
            <w:tcW w:w="1883" w:type="pct"/>
            <w:shd w:val="clear" w:color="auto" w:fill="auto"/>
            <w:vAlign w:val="center"/>
            <w:hideMark/>
          </w:tcPr>
          <w:p w14:paraId="07EF1440" w14:textId="65C80F4B" w:rsidR="000831EE" w:rsidRPr="001B10C5" w:rsidRDefault="000831EE" w:rsidP="001B10C5">
            <w:pPr>
              <w:pStyle w:val="Tabela-tekst"/>
            </w:pPr>
            <w:r w:rsidRPr="001B10C5">
              <w:t xml:space="preserve">Gospodarka komunalna/przemysł </w:t>
            </w:r>
            <w:r w:rsidR="00442AB7" w:rsidRPr="001B10C5">
              <w:t>-</w:t>
            </w:r>
            <w:r w:rsidRPr="001B10C5">
              <w:t xml:space="preserve"> kontrole w zakresie gromadzenia i oczyszczania ścieków</w:t>
            </w:r>
          </w:p>
        </w:tc>
        <w:tc>
          <w:tcPr>
            <w:tcW w:w="468" w:type="pct"/>
            <w:shd w:val="clear" w:color="auto" w:fill="auto"/>
            <w:noWrap/>
            <w:vAlign w:val="center"/>
            <w:hideMark/>
          </w:tcPr>
          <w:p w14:paraId="79E89CA9" w14:textId="77777777" w:rsidR="000831EE" w:rsidRPr="001B10C5" w:rsidRDefault="000831EE" w:rsidP="008C5A42">
            <w:pPr>
              <w:pStyle w:val="Tabela-tekst"/>
              <w:jc w:val="center"/>
            </w:pPr>
            <w:r w:rsidRPr="001B10C5">
              <w:t>2533</w:t>
            </w:r>
          </w:p>
        </w:tc>
        <w:tc>
          <w:tcPr>
            <w:tcW w:w="468" w:type="pct"/>
            <w:shd w:val="clear" w:color="auto" w:fill="auto"/>
            <w:noWrap/>
            <w:vAlign w:val="center"/>
            <w:hideMark/>
          </w:tcPr>
          <w:p w14:paraId="6BCEEF2F" w14:textId="2D873439" w:rsidR="000831EE" w:rsidRPr="001B10C5" w:rsidRDefault="00BE6839" w:rsidP="008C5A42">
            <w:pPr>
              <w:pStyle w:val="Tabela-tekst"/>
              <w:jc w:val="center"/>
            </w:pPr>
            <w:r w:rsidRPr="001B10C5">
              <w:t>1</w:t>
            </w:r>
            <w:r>
              <w:t>5</w:t>
            </w:r>
            <w:r w:rsidR="000831EE" w:rsidRPr="001B10C5">
              <w:t>,</w:t>
            </w:r>
            <w:r>
              <w:t>96</w:t>
            </w:r>
            <w:r w:rsidR="000831EE" w:rsidRPr="001B10C5">
              <w:t>%</w:t>
            </w:r>
          </w:p>
        </w:tc>
        <w:tc>
          <w:tcPr>
            <w:tcW w:w="468" w:type="pct"/>
            <w:shd w:val="clear" w:color="auto" w:fill="auto"/>
            <w:noWrap/>
            <w:vAlign w:val="center"/>
            <w:hideMark/>
          </w:tcPr>
          <w:p w14:paraId="7CBADE93" w14:textId="77777777" w:rsidR="000831EE" w:rsidRPr="001B10C5" w:rsidRDefault="000831EE" w:rsidP="008C5A42">
            <w:pPr>
              <w:pStyle w:val="Tabela-tekst"/>
              <w:jc w:val="center"/>
            </w:pPr>
            <w:r w:rsidRPr="001B10C5">
              <w:t>795</w:t>
            </w:r>
          </w:p>
        </w:tc>
        <w:tc>
          <w:tcPr>
            <w:tcW w:w="468" w:type="pct"/>
            <w:shd w:val="clear" w:color="auto" w:fill="auto"/>
            <w:noWrap/>
            <w:vAlign w:val="center"/>
            <w:hideMark/>
          </w:tcPr>
          <w:p w14:paraId="27F99B06" w14:textId="36EB2A80" w:rsidR="000831EE" w:rsidRPr="001B10C5" w:rsidRDefault="000831EE" w:rsidP="008C5A42">
            <w:pPr>
              <w:pStyle w:val="Tabela-tekst"/>
              <w:jc w:val="center"/>
            </w:pPr>
            <w:r w:rsidRPr="001B10C5">
              <w:t>74,</w:t>
            </w:r>
            <w:r w:rsidR="00BE6839">
              <w:t>09</w:t>
            </w:r>
            <w:r w:rsidRPr="001B10C5">
              <w:t>%</w:t>
            </w:r>
          </w:p>
        </w:tc>
        <w:tc>
          <w:tcPr>
            <w:tcW w:w="468" w:type="pct"/>
            <w:shd w:val="clear" w:color="auto" w:fill="auto"/>
            <w:noWrap/>
            <w:vAlign w:val="center"/>
            <w:hideMark/>
          </w:tcPr>
          <w:p w14:paraId="2DBD0521" w14:textId="77777777" w:rsidR="000831EE" w:rsidRPr="001B10C5" w:rsidRDefault="000831EE" w:rsidP="008C5A42">
            <w:pPr>
              <w:pStyle w:val="Tabela-tekst"/>
              <w:jc w:val="center"/>
            </w:pPr>
            <w:r w:rsidRPr="001B10C5">
              <w:t>0</w:t>
            </w:r>
          </w:p>
        </w:tc>
        <w:tc>
          <w:tcPr>
            <w:tcW w:w="466" w:type="pct"/>
            <w:shd w:val="clear" w:color="auto" w:fill="auto"/>
            <w:noWrap/>
            <w:vAlign w:val="center"/>
            <w:hideMark/>
          </w:tcPr>
          <w:p w14:paraId="477A958F" w14:textId="472B616E" w:rsidR="000831EE" w:rsidRPr="001B10C5" w:rsidRDefault="000831EE" w:rsidP="008C5A42">
            <w:pPr>
              <w:pStyle w:val="Tabela-tekst"/>
              <w:jc w:val="center"/>
            </w:pPr>
            <w:r w:rsidRPr="001B10C5">
              <w:t>0,0</w:t>
            </w:r>
            <w:r w:rsidR="00BE6839">
              <w:t>0</w:t>
            </w:r>
            <w:r w:rsidRPr="001B10C5">
              <w:t>%</w:t>
            </w:r>
          </w:p>
        </w:tc>
      </w:tr>
      <w:tr w:rsidR="000831EE" w:rsidRPr="001B10C5" w14:paraId="7102A601" w14:textId="77777777" w:rsidTr="00231528">
        <w:trPr>
          <w:trHeight w:val="397"/>
        </w:trPr>
        <w:tc>
          <w:tcPr>
            <w:tcW w:w="311" w:type="pct"/>
            <w:shd w:val="clear" w:color="auto" w:fill="auto"/>
            <w:noWrap/>
            <w:vAlign w:val="center"/>
            <w:hideMark/>
          </w:tcPr>
          <w:p w14:paraId="586013EE" w14:textId="77777777" w:rsidR="000831EE" w:rsidRPr="001B10C5" w:rsidRDefault="000831EE" w:rsidP="001B10C5">
            <w:pPr>
              <w:pStyle w:val="Tabela-tekst"/>
            </w:pPr>
            <w:r w:rsidRPr="001B10C5">
              <w:t>4.</w:t>
            </w:r>
          </w:p>
        </w:tc>
        <w:tc>
          <w:tcPr>
            <w:tcW w:w="1883" w:type="pct"/>
            <w:shd w:val="clear" w:color="auto" w:fill="auto"/>
            <w:vAlign w:val="center"/>
            <w:hideMark/>
          </w:tcPr>
          <w:p w14:paraId="78E98812" w14:textId="5812F51D" w:rsidR="000831EE" w:rsidRPr="001B10C5" w:rsidRDefault="000831EE" w:rsidP="001B10C5">
            <w:pPr>
              <w:pStyle w:val="Tabela-tekst"/>
            </w:pPr>
            <w:r w:rsidRPr="001B10C5">
              <w:t xml:space="preserve">Nierozpoznana presja/zlewnia niemonitorowana </w:t>
            </w:r>
            <w:r w:rsidR="00442AB7" w:rsidRPr="001B10C5">
              <w:t>-</w:t>
            </w:r>
            <w:r w:rsidRPr="001B10C5">
              <w:t xml:space="preserve"> monitoring badawczy</w:t>
            </w:r>
          </w:p>
        </w:tc>
        <w:tc>
          <w:tcPr>
            <w:tcW w:w="468" w:type="pct"/>
            <w:shd w:val="clear" w:color="auto" w:fill="auto"/>
            <w:noWrap/>
            <w:vAlign w:val="center"/>
            <w:hideMark/>
          </w:tcPr>
          <w:p w14:paraId="321608FC" w14:textId="77777777" w:rsidR="000831EE" w:rsidRPr="001B10C5" w:rsidRDefault="000831EE" w:rsidP="008C5A42">
            <w:pPr>
              <w:pStyle w:val="Tabela-tekst"/>
              <w:jc w:val="center"/>
            </w:pPr>
            <w:r w:rsidRPr="001B10C5">
              <w:t>77</w:t>
            </w:r>
          </w:p>
        </w:tc>
        <w:tc>
          <w:tcPr>
            <w:tcW w:w="468" w:type="pct"/>
            <w:shd w:val="clear" w:color="auto" w:fill="auto"/>
            <w:noWrap/>
            <w:vAlign w:val="center"/>
            <w:hideMark/>
          </w:tcPr>
          <w:p w14:paraId="12637B80" w14:textId="76CA4863" w:rsidR="000831EE" w:rsidRPr="001B10C5" w:rsidRDefault="000831EE" w:rsidP="008C5A42">
            <w:pPr>
              <w:pStyle w:val="Tabela-tekst"/>
              <w:jc w:val="center"/>
            </w:pPr>
            <w:r w:rsidRPr="001B10C5">
              <w:t>0,</w:t>
            </w:r>
            <w:r w:rsidR="00BE6839">
              <w:t>49</w:t>
            </w:r>
            <w:r w:rsidRPr="001B10C5">
              <w:t>%</w:t>
            </w:r>
          </w:p>
        </w:tc>
        <w:tc>
          <w:tcPr>
            <w:tcW w:w="468" w:type="pct"/>
            <w:shd w:val="clear" w:color="auto" w:fill="auto"/>
            <w:noWrap/>
            <w:vAlign w:val="center"/>
            <w:hideMark/>
          </w:tcPr>
          <w:p w14:paraId="0D8589B6" w14:textId="77777777" w:rsidR="000831EE" w:rsidRPr="001B10C5" w:rsidRDefault="000831EE" w:rsidP="008C5A42">
            <w:pPr>
              <w:pStyle w:val="Tabela-tekst"/>
              <w:jc w:val="center"/>
            </w:pPr>
            <w:r w:rsidRPr="001B10C5">
              <w:t>4</w:t>
            </w:r>
          </w:p>
        </w:tc>
        <w:tc>
          <w:tcPr>
            <w:tcW w:w="468" w:type="pct"/>
            <w:shd w:val="clear" w:color="auto" w:fill="auto"/>
            <w:noWrap/>
            <w:vAlign w:val="center"/>
            <w:hideMark/>
          </w:tcPr>
          <w:p w14:paraId="5700C509" w14:textId="494800A4" w:rsidR="000831EE" w:rsidRPr="001B10C5" w:rsidRDefault="000831EE" w:rsidP="008C5A42">
            <w:pPr>
              <w:pStyle w:val="Tabela-tekst"/>
              <w:jc w:val="center"/>
            </w:pPr>
            <w:r w:rsidRPr="001B10C5">
              <w:t>0,</w:t>
            </w:r>
            <w:r w:rsidR="00BE6839">
              <w:t>37</w:t>
            </w:r>
            <w:r w:rsidRPr="001B10C5">
              <w:t>%</w:t>
            </w:r>
          </w:p>
        </w:tc>
        <w:tc>
          <w:tcPr>
            <w:tcW w:w="468" w:type="pct"/>
            <w:shd w:val="clear" w:color="auto" w:fill="auto"/>
            <w:noWrap/>
            <w:vAlign w:val="center"/>
            <w:hideMark/>
          </w:tcPr>
          <w:p w14:paraId="5393D3C5" w14:textId="77777777" w:rsidR="000831EE" w:rsidRPr="001B10C5" w:rsidRDefault="000831EE" w:rsidP="008C5A42">
            <w:pPr>
              <w:pStyle w:val="Tabela-tekst"/>
              <w:jc w:val="center"/>
            </w:pPr>
            <w:r w:rsidRPr="001B10C5">
              <w:t>37</w:t>
            </w:r>
          </w:p>
        </w:tc>
        <w:tc>
          <w:tcPr>
            <w:tcW w:w="466" w:type="pct"/>
            <w:shd w:val="clear" w:color="auto" w:fill="auto"/>
            <w:noWrap/>
            <w:vAlign w:val="center"/>
            <w:hideMark/>
          </w:tcPr>
          <w:p w14:paraId="692FFCD0" w14:textId="2B9A9DA6" w:rsidR="000831EE" w:rsidRPr="001B10C5" w:rsidRDefault="000831EE" w:rsidP="008C5A42">
            <w:pPr>
              <w:pStyle w:val="Tabela-tekst"/>
              <w:jc w:val="center"/>
            </w:pPr>
            <w:r w:rsidRPr="001B10C5">
              <w:t>24,3</w:t>
            </w:r>
            <w:r w:rsidR="00BE6839">
              <w:t>4</w:t>
            </w:r>
            <w:r w:rsidRPr="001B10C5">
              <w:t>%</w:t>
            </w:r>
          </w:p>
        </w:tc>
      </w:tr>
      <w:tr w:rsidR="000831EE" w:rsidRPr="001B10C5" w14:paraId="0DC64DDA" w14:textId="77777777" w:rsidTr="00231528">
        <w:trPr>
          <w:trHeight w:val="397"/>
        </w:trPr>
        <w:tc>
          <w:tcPr>
            <w:tcW w:w="311" w:type="pct"/>
            <w:shd w:val="clear" w:color="auto" w:fill="auto"/>
            <w:noWrap/>
            <w:vAlign w:val="center"/>
            <w:hideMark/>
          </w:tcPr>
          <w:p w14:paraId="0DA76A87" w14:textId="77777777" w:rsidR="000831EE" w:rsidRPr="001B10C5" w:rsidRDefault="000831EE" w:rsidP="001B10C5">
            <w:pPr>
              <w:pStyle w:val="Tabela-tekst"/>
            </w:pPr>
            <w:r w:rsidRPr="001B10C5">
              <w:t>5.</w:t>
            </w:r>
          </w:p>
        </w:tc>
        <w:tc>
          <w:tcPr>
            <w:tcW w:w="1883" w:type="pct"/>
            <w:shd w:val="clear" w:color="auto" w:fill="auto"/>
            <w:vAlign w:val="center"/>
            <w:hideMark/>
          </w:tcPr>
          <w:p w14:paraId="6AAE81C0" w14:textId="724130BD" w:rsidR="000831EE" w:rsidRPr="001B10C5" w:rsidRDefault="000831EE" w:rsidP="001B10C5">
            <w:pPr>
              <w:pStyle w:val="Tabela-tekst"/>
            </w:pPr>
            <w:r w:rsidRPr="001B10C5">
              <w:t xml:space="preserve">Odpływ zanieczyszczeń </w:t>
            </w:r>
            <w:r w:rsidR="00442AB7" w:rsidRPr="001B10C5">
              <w:t>-</w:t>
            </w:r>
            <w:r w:rsidRPr="001B10C5">
              <w:t xml:space="preserve"> działania nietechniczne: przeglądy pozwoleń, warunki korzystania z wód, weryfikacja POŚ</w:t>
            </w:r>
          </w:p>
        </w:tc>
        <w:tc>
          <w:tcPr>
            <w:tcW w:w="468" w:type="pct"/>
            <w:shd w:val="clear" w:color="auto" w:fill="auto"/>
            <w:noWrap/>
            <w:vAlign w:val="center"/>
            <w:hideMark/>
          </w:tcPr>
          <w:p w14:paraId="43B4923E" w14:textId="77777777" w:rsidR="000831EE" w:rsidRPr="001B10C5" w:rsidRDefault="000831EE" w:rsidP="008C5A42">
            <w:pPr>
              <w:pStyle w:val="Tabela-tekst"/>
              <w:jc w:val="center"/>
            </w:pPr>
            <w:r w:rsidRPr="001B10C5">
              <w:t>720</w:t>
            </w:r>
          </w:p>
        </w:tc>
        <w:tc>
          <w:tcPr>
            <w:tcW w:w="468" w:type="pct"/>
            <w:shd w:val="clear" w:color="auto" w:fill="auto"/>
            <w:noWrap/>
            <w:vAlign w:val="center"/>
            <w:hideMark/>
          </w:tcPr>
          <w:p w14:paraId="015B3928" w14:textId="32AF6F8A" w:rsidR="000831EE" w:rsidRPr="001B10C5" w:rsidRDefault="000831EE" w:rsidP="008C5A42">
            <w:pPr>
              <w:pStyle w:val="Tabela-tekst"/>
              <w:jc w:val="center"/>
            </w:pPr>
            <w:r w:rsidRPr="001B10C5">
              <w:t>4,5</w:t>
            </w:r>
            <w:r w:rsidR="00BE6839">
              <w:t>4</w:t>
            </w:r>
            <w:r w:rsidRPr="001B10C5">
              <w:t>%</w:t>
            </w:r>
          </w:p>
        </w:tc>
        <w:tc>
          <w:tcPr>
            <w:tcW w:w="468" w:type="pct"/>
            <w:shd w:val="clear" w:color="auto" w:fill="auto"/>
            <w:noWrap/>
            <w:vAlign w:val="center"/>
            <w:hideMark/>
          </w:tcPr>
          <w:p w14:paraId="23AC64D6" w14:textId="77777777" w:rsidR="000831EE" w:rsidRPr="001B10C5" w:rsidRDefault="000831EE" w:rsidP="008C5A42">
            <w:pPr>
              <w:pStyle w:val="Tabela-tekst"/>
              <w:jc w:val="center"/>
            </w:pPr>
            <w:r w:rsidRPr="001B10C5">
              <w:t>50</w:t>
            </w:r>
          </w:p>
        </w:tc>
        <w:tc>
          <w:tcPr>
            <w:tcW w:w="468" w:type="pct"/>
            <w:shd w:val="clear" w:color="auto" w:fill="auto"/>
            <w:noWrap/>
            <w:vAlign w:val="center"/>
            <w:hideMark/>
          </w:tcPr>
          <w:p w14:paraId="27A52D27" w14:textId="6A4D6506" w:rsidR="000831EE" w:rsidRPr="001B10C5" w:rsidRDefault="000831EE" w:rsidP="008C5A42">
            <w:pPr>
              <w:pStyle w:val="Tabela-tekst"/>
              <w:jc w:val="center"/>
            </w:pPr>
            <w:r w:rsidRPr="001B10C5">
              <w:t>4,</w:t>
            </w:r>
            <w:r w:rsidR="00BE6839">
              <w:t>66</w:t>
            </w:r>
            <w:r w:rsidRPr="001B10C5">
              <w:t>%</w:t>
            </w:r>
          </w:p>
        </w:tc>
        <w:tc>
          <w:tcPr>
            <w:tcW w:w="468" w:type="pct"/>
            <w:shd w:val="clear" w:color="auto" w:fill="auto"/>
            <w:noWrap/>
            <w:vAlign w:val="center"/>
            <w:hideMark/>
          </w:tcPr>
          <w:p w14:paraId="06C1F41F" w14:textId="77777777" w:rsidR="000831EE" w:rsidRPr="001B10C5" w:rsidRDefault="000831EE" w:rsidP="008C5A42">
            <w:pPr>
              <w:pStyle w:val="Tabela-tekst"/>
              <w:jc w:val="center"/>
            </w:pPr>
            <w:r w:rsidRPr="001B10C5">
              <w:t>15</w:t>
            </w:r>
          </w:p>
        </w:tc>
        <w:tc>
          <w:tcPr>
            <w:tcW w:w="466" w:type="pct"/>
            <w:shd w:val="clear" w:color="auto" w:fill="auto"/>
            <w:noWrap/>
            <w:vAlign w:val="center"/>
            <w:hideMark/>
          </w:tcPr>
          <w:p w14:paraId="59BEF4E8" w14:textId="36298207" w:rsidR="000831EE" w:rsidRPr="001B10C5" w:rsidRDefault="000831EE" w:rsidP="008C5A42">
            <w:pPr>
              <w:pStyle w:val="Tabela-tekst"/>
              <w:jc w:val="center"/>
            </w:pPr>
            <w:r w:rsidRPr="001B10C5">
              <w:t>9,</w:t>
            </w:r>
            <w:r w:rsidR="00BE6839">
              <w:t>87</w:t>
            </w:r>
            <w:r w:rsidRPr="001B10C5">
              <w:t>%</w:t>
            </w:r>
          </w:p>
        </w:tc>
      </w:tr>
      <w:tr w:rsidR="000831EE" w:rsidRPr="001B10C5" w14:paraId="1B14EAB0" w14:textId="77777777" w:rsidTr="00231528">
        <w:trPr>
          <w:trHeight w:val="397"/>
        </w:trPr>
        <w:tc>
          <w:tcPr>
            <w:tcW w:w="311" w:type="pct"/>
            <w:shd w:val="clear" w:color="auto" w:fill="auto"/>
            <w:noWrap/>
            <w:vAlign w:val="center"/>
            <w:hideMark/>
          </w:tcPr>
          <w:p w14:paraId="0BA54CA9" w14:textId="77777777" w:rsidR="000831EE" w:rsidRPr="001B10C5" w:rsidRDefault="000831EE" w:rsidP="001B10C5">
            <w:pPr>
              <w:pStyle w:val="Tabela-tekst"/>
            </w:pPr>
            <w:r w:rsidRPr="001B10C5">
              <w:t>6.</w:t>
            </w:r>
          </w:p>
        </w:tc>
        <w:tc>
          <w:tcPr>
            <w:tcW w:w="1883" w:type="pct"/>
            <w:shd w:val="clear" w:color="auto" w:fill="auto"/>
            <w:vAlign w:val="center"/>
            <w:hideMark/>
          </w:tcPr>
          <w:p w14:paraId="5F7AA62A" w14:textId="77777777" w:rsidR="000831EE" w:rsidRPr="001B10C5" w:rsidRDefault="000831EE" w:rsidP="001B10C5">
            <w:pPr>
              <w:pStyle w:val="Tabela-tekst"/>
            </w:pPr>
            <w:r w:rsidRPr="001B10C5">
              <w:t>Program rekultywacji</w:t>
            </w:r>
          </w:p>
        </w:tc>
        <w:tc>
          <w:tcPr>
            <w:tcW w:w="468" w:type="pct"/>
            <w:shd w:val="clear" w:color="auto" w:fill="auto"/>
            <w:noWrap/>
            <w:vAlign w:val="center"/>
            <w:hideMark/>
          </w:tcPr>
          <w:p w14:paraId="7F4590FD" w14:textId="77777777" w:rsidR="000831EE" w:rsidRPr="001B10C5" w:rsidRDefault="000831EE" w:rsidP="008C5A42">
            <w:pPr>
              <w:pStyle w:val="Tabela-tekst"/>
              <w:jc w:val="center"/>
            </w:pPr>
            <w:r w:rsidRPr="001B10C5">
              <w:t>0</w:t>
            </w:r>
          </w:p>
        </w:tc>
        <w:tc>
          <w:tcPr>
            <w:tcW w:w="468" w:type="pct"/>
            <w:shd w:val="clear" w:color="auto" w:fill="auto"/>
            <w:noWrap/>
            <w:vAlign w:val="center"/>
            <w:hideMark/>
          </w:tcPr>
          <w:p w14:paraId="2AD84428" w14:textId="2594D000" w:rsidR="000831EE" w:rsidRPr="001B10C5" w:rsidRDefault="000831EE" w:rsidP="008C5A42">
            <w:pPr>
              <w:pStyle w:val="Tabela-tekst"/>
              <w:jc w:val="center"/>
            </w:pPr>
            <w:r w:rsidRPr="001B10C5">
              <w:t>0,0</w:t>
            </w:r>
            <w:r w:rsidR="00BE6839">
              <w:t>0</w:t>
            </w:r>
            <w:r w:rsidRPr="001B10C5">
              <w:t>%</w:t>
            </w:r>
          </w:p>
        </w:tc>
        <w:tc>
          <w:tcPr>
            <w:tcW w:w="468" w:type="pct"/>
            <w:shd w:val="clear" w:color="auto" w:fill="auto"/>
            <w:noWrap/>
            <w:vAlign w:val="center"/>
            <w:hideMark/>
          </w:tcPr>
          <w:p w14:paraId="45BB6AF4" w14:textId="77777777" w:rsidR="000831EE" w:rsidRPr="001B10C5" w:rsidRDefault="000831EE" w:rsidP="008C5A42">
            <w:pPr>
              <w:pStyle w:val="Tabela-tekst"/>
              <w:jc w:val="center"/>
            </w:pPr>
            <w:r w:rsidRPr="001B10C5">
              <w:t>6</w:t>
            </w:r>
          </w:p>
        </w:tc>
        <w:tc>
          <w:tcPr>
            <w:tcW w:w="468" w:type="pct"/>
            <w:shd w:val="clear" w:color="auto" w:fill="auto"/>
            <w:noWrap/>
            <w:vAlign w:val="center"/>
            <w:hideMark/>
          </w:tcPr>
          <w:p w14:paraId="4202E3DD" w14:textId="716E2121" w:rsidR="000831EE" w:rsidRPr="001B10C5" w:rsidRDefault="000831EE" w:rsidP="008C5A42">
            <w:pPr>
              <w:pStyle w:val="Tabela-tekst"/>
              <w:jc w:val="center"/>
            </w:pPr>
            <w:r w:rsidRPr="001B10C5">
              <w:t>0,</w:t>
            </w:r>
            <w:r w:rsidR="00BE6839">
              <w:t>56</w:t>
            </w:r>
            <w:r w:rsidRPr="001B10C5">
              <w:t>%</w:t>
            </w:r>
          </w:p>
        </w:tc>
        <w:tc>
          <w:tcPr>
            <w:tcW w:w="468" w:type="pct"/>
            <w:shd w:val="clear" w:color="auto" w:fill="auto"/>
            <w:noWrap/>
            <w:vAlign w:val="center"/>
            <w:hideMark/>
          </w:tcPr>
          <w:p w14:paraId="03EC6B3B" w14:textId="77777777" w:rsidR="000831EE" w:rsidRPr="001B10C5" w:rsidRDefault="000831EE" w:rsidP="008C5A42">
            <w:pPr>
              <w:pStyle w:val="Tabela-tekst"/>
              <w:jc w:val="center"/>
            </w:pPr>
            <w:r w:rsidRPr="001B10C5">
              <w:t>0</w:t>
            </w:r>
          </w:p>
        </w:tc>
        <w:tc>
          <w:tcPr>
            <w:tcW w:w="466" w:type="pct"/>
            <w:shd w:val="clear" w:color="auto" w:fill="auto"/>
            <w:noWrap/>
            <w:vAlign w:val="center"/>
            <w:hideMark/>
          </w:tcPr>
          <w:p w14:paraId="1FDA7706" w14:textId="66FEBA1A" w:rsidR="000831EE" w:rsidRPr="001B10C5" w:rsidRDefault="000831EE" w:rsidP="008C5A42">
            <w:pPr>
              <w:pStyle w:val="Tabela-tekst"/>
              <w:jc w:val="center"/>
            </w:pPr>
            <w:r w:rsidRPr="001B10C5">
              <w:t>0,0</w:t>
            </w:r>
            <w:r w:rsidR="00BE6839">
              <w:t>0</w:t>
            </w:r>
            <w:r w:rsidRPr="001B10C5">
              <w:t>%</w:t>
            </w:r>
          </w:p>
        </w:tc>
      </w:tr>
      <w:tr w:rsidR="00A16503" w:rsidRPr="001B10C5" w14:paraId="7D387E4A" w14:textId="77777777" w:rsidTr="00EC7E9F">
        <w:trPr>
          <w:trHeight w:val="397"/>
        </w:trPr>
        <w:tc>
          <w:tcPr>
            <w:tcW w:w="2194" w:type="pct"/>
            <w:gridSpan w:val="2"/>
            <w:shd w:val="clear" w:color="auto" w:fill="BFBFBF" w:themeFill="background1" w:themeFillShade="BF"/>
            <w:noWrap/>
            <w:vAlign w:val="center"/>
            <w:hideMark/>
          </w:tcPr>
          <w:p w14:paraId="106528A3" w14:textId="77777777" w:rsidR="00A16503" w:rsidRPr="002C1BA1" w:rsidRDefault="00A16503" w:rsidP="001B10C5">
            <w:pPr>
              <w:pStyle w:val="Tabela-tekst"/>
              <w:rPr>
                <w:b/>
                <w:bCs/>
              </w:rPr>
            </w:pPr>
            <w:r w:rsidRPr="002C1BA1">
              <w:rPr>
                <w:b/>
                <w:bCs/>
              </w:rPr>
              <w:t>Suma:</w:t>
            </w:r>
          </w:p>
        </w:tc>
        <w:tc>
          <w:tcPr>
            <w:tcW w:w="468" w:type="pct"/>
            <w:shd w:val="clear" w:color="auto" w:fill="BFBFBF" w:themeFill="background1" w:themeFillShade="BF"/>
            <w:noWrap/>
            <w:vAlign w:val="center"/>
            <w:hideMark/>
          </w:tcPr>
          <w:p w14:paraId="13D4BE7F" w14:textId="77777777" w:rsidR="00A16503" w:rsidRPr="002C1BA1" w:rsidRDefault="00A16503" w:rsidP="008C5A42">
            <w:pPr>
              <w:pStyle w:val="Tabela-tekst"/>
              <w:jc w:val="center"/>
              <w:rPr>
                <w:b/>
                <w:bCs/>
              </w:rPr>
            </w:pPr>
            <w:r w:rsidRPr="002C1BA1">
              <w:rPr>
                <w:b/>
                <w:bCs/>
              </w:rPr>
              <w:t>15 868</w:t>
            </w:r>
          </w:p>
        </w:tc>
        <w:tc>
          <w:tcPr>
            <w:tcW w:w="468" w:type="pct"/>
            <w:shd w:val="clear" w:color="auto" w:fill="BFBFBF" w:themeFill="background1" w:themeFillShade="BF"/>
            <w:noWrap/>
            <w:vAlign w:val="center"/>
            <w:hideMark/>
          </w:tcPr>
          <w:p w14:paraId="639CDA56" w14:textId="77777777" w:rsidR="00A16503" w:rsidRPr="002C1BA1" w:rsidRDefault="00A16503" w:rsidP="008C5A42">
            <w:pPr>
              <w:pStyle w:val="Tabela-tekst"/>
              <w:jc w:val="center"/>
              <w:rPr>
                <w:b/>
                <w:bCs/>
              </w:rPr>
            </w:pPr>
            <w:r w:rsidRPr="002C1BA1">
              <w:rPr>
                <w:b/>
                <w:bCs/>
              </w:rPr>
              <w:t>100,00%</w:t>
            </w:r>
          </w:p>
        </w:tc>
        <w:tc>
          <w:tcPr>
            <w:tcW w:w="468" w:type="pct"/>
            <w:shd w:val="clear" w:color="auto" w:fill="BFBFBF" w:themeFill="background1" w:themeFillShade="BF"/>
            <w:noWrap/>
            <w:vAlign w:val="center"/>
            <w:hideMark/>
          </w:tcPr>
          <w:p w14:paraId="13710B08" w14:textId="77777777" w:rsidR="00A16503" w:rsidRPr="002C1BA1" w:rsidRDefault="00A16503" w:rsidP="008C5A42">
            <w:pPr>
              <w:pStyle w:val="Tabela-tekst"/>
              <w:jc w:val="center"/>
              <w:rPr>
                <w:b/>
                <w:bCs/>
              </w:rPr>
            </w:pPr>
            <w:r w:rsidRPr="002C1BA1">
              <w:rPr>
                <w:b/>
                <w:bCs/>
              </w:rPr>
              <w:t>1073</w:t>
            </w:r>
          </w:p>
        </w:tc>
        <w:tc>
          <w:tcPr>
            <w:tcW w:w="468" w:type="pct"/>
            <w:shd w:val="clear" w:color="auto" w:fill="BFBFBF" w:themeFill="background1" w:themeFillShade="BF"/>
            <w:noWrap/>
            <w:vAlign w:val="center"/>
            <w:hideMark/>
          </w:tcPr>
          <w:p w14:paraId="72C0FA0F" w14:textId="64E68ED9" w:rsidR="00A16503" w:rsidRPr="002C1BA1" w:rsidRDefault="00A16503" w:rsidP="008C5A42">
            <w:pPr>
              <w:pStyle w:val="Tabela-tekst"/>
              <w:jc w:val="center"/>
              <w:rPr>
                <w:b/>
                <w:bCs/>
              </w:rPr>
            </w:pPr>
            <w:r w:rsidRPr="002C1BA1">
              <w:rPr>
                <w:b/>
                <w:bCs/>
              </w:rPr>
              <w:t>100,0</w:t>
            </w:r>
            <w:r w:rsidR="00BE6839">
              <w:rPr>
                <w:b/>
                <w:bCs/>
              </w:rPr>
              <w:t>0</w:t>
            </w:r>
            <w:r w:rsidRPr="002C1BA1">
              <w:rPr>
                <w:b/>
                <w:bCs/>
              </w:rPr>
              <w:t>%</w:t>
            </w:r>
          </w:p>
        </w:tc>
        <w:tc>
          <w:tcPr>
            <w:tcW w:w="468" w:type="pct"/>
            <w:shd w:val="clear" w:color="auto" w:fill="BFBFBF" w:themeFill="background1" w:themeFillShade="BF"/>
            <w:noWrap/>
            <w:vAlign w:val="center"/>
            <w:hideMark/>
          </w:tcPr>
          <w:p w14:paraId="70460E94" w14:textId="77777777" w:rsidR="00A16503" w:rsidRPr="002C1BA1" w:rsidRDefault="00A16503" w:rsidP="008C5A42">
            <w:pPr>
              <w:pStyle w:val="Tabela-tekst"/>
              <w:jc w:val="center"/>
              <w:rPr>
                <w:b/>
                <w:bCs/>
              </w:rPr>
            </w:pPr>
            <w:r w:rsidRPr="002C1BA1">
              <w:rPr>
                <w:b/>
                <w:bCs/>
              </w:rPr>
              <w:t>152</w:t>
            </w:r>
          </w:p>
        </w:tc>
        <w:tc>
          <w:tcPr>
            <w:tcW w:w="466" w:type="pct"/>
            <w:shd w:val="clear" w:color="auto" w:fill="BFBFBF" w:themeFill="background1" w:themeFillShade="BF"/>
            <w:noWrap/>
            <w:vAlign w:val="center"/>
            <w:hideMark/>
          </w:tcPr>
          <w:p w14:paraId="4AAA2ACB" w14:textId="469C8FF0" w:rsidR="00A16503" w:rsidRPr="002C1BA1" w:rsidRDefault="00A16503" w:rsidP="008C5A42">
            <w:pPr>
              <w:pStyle w:val="Tabela-tekst"/>
              <w:jc w:val="center"/>
              <w:rPr>
                <w:b/>
                <w:bCs/>
              </w:rPr>
            </w:pPr>
            <w:r w:rsidRPr="002C1BA1">
              <w:rPr>
                <w:b/>
                <w:bCs/>
              </w:rPr>
              <w:t>100,0</w:t>
            </w:r>
            <w:r w:rsidR="00BE6839">
              <w:rPr>
                <w:b/>
                <w:bCs/>
              </w:rPr>
              <w:t>0</w:t>
            </w:r>
            <w:r w:rsidRPr="002C1BA1">
              <w:rPr>
                <w:b/>
                <w:bCs/>
              </w:rPr>
              <w:t>%</w:t>
            </w:r>
          </w:p>
        </w:tc>
      </w:tr>
    </w:tbl>
    <w:p w14:paraId="5F540818" w14:textId="77777777" w:rsidR="00231528" w:rsidRPr="001E4D45" w:rsidRDefault="00231528" w:rsidP="00231528">
      <w:pPr>
        <w:pStyle w:val="rdo0"/>
      </w:pPr>
      <w:r w:rsidRPr="001E4D45">
        <w:rPr>
          <w:lang w:eastAsia="zh-CN"/>
        </w:rPr>
        <w:t xml:space="preserve">Źródło: opracowanie </w:t>
      </w:r>
      <w:r>
        <w:rPr>
          <w:lang w:eastAsia="zh-CN"/>
        </w:rPr>
        <w:t>własne</w:t>
      </w:r>
    </w:p>
    <w:p w14:paraId="21E5F835" w14:textId="07D6EC5F" w:rsidR="000831EE" w:rsidRPr="00B75A5C" w:rsidRDefault="00B75A5C" w:rsidP="006802BB">
      <w:pPr>
        <w:pStyle w:val="Tabela"/>
      </w:pPr>
      <w:bookmarkStart w:id="482" w:name="_Toc68727053"/>
      <w:r>
        <w:t xml:space="preserve">Tabela </w:t>
      </w:r>
      <w:fldSimple w:instr=" STYLEREF 1 \s ">
        <w:r w:rsidR="005951CF">
          <w:rPr>
            <w:noProof/>
          </w:rPr>
          <w:t>13</w:t>
        </w:r>
      </w:fldSimple>
      <w:r w:rsidR="007B4050">
        <w:noBreakHyphen/>
      </w:r>
      <w:fldSimple w:instr=" SEQ Tabela \* ARABIC \s 1 ">
        <w:r w:rsidR="005951CF">
          <w:rPr>
            <w:noProof/>
          </w:rPr>
          <w:t>13</w:t>
        </w:r>
      </w:fldSimple>
      <w:r>
        <w:tab/>
      </w:r>
      <w:r w:rsidRPr="00D06A1F">
        <w:t xml:space="preserve">Podsumowanie liczby </w:t>
      </w:r>
      <w:r w:rsidRPr="00FA2541">
        <w:t>działań zrealizowanych i zaawansowanych w realizacji</w:t>
      </w:r>
      <w:r>
        <w:t>,</w:t>
      </w:r>
      <w:r w:rsidRPr="00D06A1F">
        <w:t xml:space="preserve"> mających znaczenie dla poprawy stanu jakościowego jcwp </w:t>
      </w:r>
      <w:r w:rsidR="00442AB7">
        <w:t>-</w:t>
      </w:r>
      <w:r w:rsidRPr="00D06A1F">
        <w:t xml:space="preserve"> obszar dorzecza </w:t>
      </w:r>
      <w:r>
        <w:t>Pregoły</w:t>
      </w:r>
      <w:bookmarkEnd w:id="4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
        <w:gridCol w:w="3868"/>
        <w:gridCol w:w="1167"/>
        <w:gridCol w:w="1167"/>
        <w:gridCol w:w="1167"/>
        <w:gridCol w:w="1169"/>
      </w:tblGrid>
      <w:tr w:rsidR="001424A1" w:rsidRPr="00B130C8" w14:paraId="1E40316E" w14:textId="77777777" w:rsidTr="00B851AF">
        <w:trPr>
          <w:trHeight w:val="397"/>
          <w:jc w:val="center"/>
        </w:trPr>
        <w:tc>
          <w:tcPr>
            <w:tcW w:w="289" w:type="pct"/>
            <w:vMerge w:val="restart"/>
            <w:shd w:val="clear" w:color="auto" w:fill="BFBFBF" w:themeFill="background1" w:themeFillShade="BF"/>
            <w:noWrap/>
            <w:vAlign w:val="center"/>
            <w:hideMark/>
          </w:tcPr>
          <w:p w14:paraId="0E6FBC0F" w14:textId="77777777" w:rsidR="001424A1" w:rsidRPr="00A16503" w:rsidRDefault="001424A1" w:rsidP="00A16503">
            <w:pPr>
              <w:pStyle w:val="Tabela-tekst"/>
              <w:rPr>
                <w:rFonts w:ascii="Times New Roman" w:hAnsi="Times New Roman"/>
                <w:b/>
                <w:bCs/>
              </w:rPr>
            </w:pPr>
            <w:r w:rsidRPr="00A16503">
              <w:rPr>
                <w:b/>
                <w:bCs/>
              </w:rPr>
              <w:t>Lp</w:t>
            </w:r>
            <w:r w:rsidRPr="00A16503">
              <w:rPr>
                <w:rFonts w:ascii="Times New Roman" w:hAnsi="Times New Roman"/>
                <w:b/>
                <w:bCs/>
              </w:rPr>
              <w:t>.</w:t>
            </w:r>
          </w:p>
        </w:tc>
        <w:tc>
          <w:tcPr>
            <w:tcW w:w="2134" w:type="pct"/>
            <w:vMerge w:val="restart"/>
            <w:shd w:val="clear" w:color="auto" w:fill="BFBFBF" w:themeFill="background1" w:themeFillShade="BF"/>
            <w:vAlign w:val="center"/>
          </w:tcPr>
          <w:p w14:paraId="6F8E44C4" w14:textId="77777777" w:rsidR="001424A1" w:rsidRPr="00A16503" w:rsidRDefault="001424A1" w:rsidP="00D228EB">
            <w:pPr>
              <w:pStyle w:val="Tabela-tekst"/>
              <w:jc w:val="center"/>
              <w:rPr>
                <w:b/>
                <w:bCs/>
              </w:rPr>
            </w:pPr>
            <w:r w:rsidRPr="00A16503">
              <w:rPr>
                <w:b/>
                <w:bCs/>
              </w:rPr>
              <w:t>Kategoria działań</w:t>
            </w:r>
          </w:p>
        </w:tc>
        <w:tc>
          <w:tcPr>
            <w:tcW w:w="2577" w:type="pct"/>
            <w:gridSpan w:val="4"/>
            <w:shd w:val="clear" w:color="auto" w:fill="BFBFBF" w:themeFill="background1" w:themeFillShade="BF"/>
            <w:noWrap/>
            <w:vAlign w:val="center"/>
            <w:hideMark/>
          </w:tcPr>
          <w:p w14:paraId="3FF111AF" w14:textId="77777777" w:rsidR="001424A1" w:rsidRPr="00A16503" w:rsidRDefault="001424A1" w:rsidP="004F2F12">
            <w:pPr>
              <w:pStyle w:val="Tabela-tekst"/>
              <w:jc w:val="center"/>
              <w:rPr>
                <w:b/>
                <w:bCs/>
              </w:rPr>
            </w:pPr>
            <w:r w:rsidRPr="00A16503">
              <w:rPr>
                <w:b/>
                <w:bCs/>
              </w:rPr>
              <w:t>Kategoria wód</w:t>
            </w:r>
          </w:p>
        </w:tc>
      </w:tr>
      <w:tr w:rsidR="007F5500" w:rsidRPr="00B130C8" w14:paraId="304D29DA" w14:textId="77777777" w:rsidTr="00B851AF">
        <w:trPr>
          <w:trHeight w:val="397"/>
          <w:jc w:val="center"/>
        </w:trPr>
        <w:tc>
          <w:tcPr>
            <w:tcW w:w="289" w:type="pct"/>
            <w:vMerge/>
            <w:shd w:val="clear" w:color="auto" w:fill="BFBFBF" w:themeFill="background1" w:themeFillShade="BF"/>
            <w:noWrap/>
            <w:vAlign w:val="center"/>
            <w:hideMark/>
          </w:tcPr>
          <w:p w14:paraId="1FB50E0C" w14:textId="77777777" w:rsidR="007F5500" w:rsidRPr="00A16503" w:rsidRDefault="007F5500" w:rsidP="00A16503">
            <w:pPr>
              <w:pStyle w:val="Tabela-tekst"/>
              <w:rPr>
                <w:rFonts w:ascii="Times New Roman" w:hAnsi="Times New Roman"/>
                <w:b/>
                <w:bCs/>
              </w:rPr>
            </w:pPr>
          </w:p>
        </w:tc>
        <w:tc>
          <w:tcPr>
            <w:tcW w:w="2134" w:type="pct"/>
            <w:vMerge/>
            <w:shd w:val="clear" w:color="auto" w:fill="BFBFBF" w:themeFill="background1" w:themeFillShade="BF"/>
            <w:noWrap/>
            <w:vAlign w:val="center"/>
            <w:hideMark/>
          </w:tcPr>
          <w:p w14:paraId="7FE8A7F7" w14:textId="77777777" w:rsidR="007F5500" w:rsidRPr="00A16503" w:rsidRDefault="007F5500" w:rsidP="00A16503">
            <w:pPr>
              <w:pStyle w:val="Tabela-tekst"/>
              <w:rPr>
                <w:b/>
                <w:bCs/>
              </w:rPr>
            </w:pPr>
          </w:p>
        </w:tc>
        <w:tc>
          <w:tcPr>
            <w:tcW w:w="1288" w:type="pct"/>
            <w:gridSpan w:val="2"/>
            <w:shd w:val="clear" w:color="auto" w:fill="BFBFBF" w:themeFill="background1" w:themeFillShade="BF"/>
            <w:noWrap/>
            <w:vAlign w:val="center"/>
            <w:hideMark/>
          </w:tcPr>
          <w:p w14:paraId="1B80A51F" w14:textId="7F328C47" w:rsidR="007F5500" w:rsidRPr="00A16503" w:rsidRDefault="00D228EB" w:rsidP="004F2F12">
            <w:pPr>
              <w:pStyle w:val="Tabela-tekst"/>
              <w:jc w:val="center"/>
              <w:rPr>
                <w:b/>
                <w:bCs/>
              </w:rPr>
            </w:pPr>
            <w:r>
              <w:rPr>
                <w:b/>
                <w:bCs/>
              </w:rPr>
              <w:t>jcwp RW</w:t>
            </w:r>
          </w:p>
        </w:tc>
        <w:tc>
          <w:tcPr>
            <w:tcW w:w="1289" w:type="pct"/>
            <w:gridSpan w:val="2"/>
            <w:shd w:val="clear" w:color="auto" w:fill="BFBFBF" w:themeFill="background1" w:themeFillShade="BF"/>
            <w:vAlign w:val="center"/>
          </w:tcPr>
          <w:p w14:paraId="314B4970" w14:textId="4D6E4F1E" w:rsidR="007F5500" w:rsidRPr="00A16503" w:rsidRDefault="00D228EB" w:rsidP="004F2F12">
            <w:pPr>
              <w:pStyle w:val="Tabela-tekst"/>
              <w:jc w:val="center"/>
              <w:rPr>
                <w:b/>
                <w:bCs/>
              </w:rPr>
            </w:pPr>
            <w:r>
              <w:rPr>
                <w:b/>
                <w:bCs/>
              </w:rPr>
              <w:t>jcwp LW</w:t>
            </w:r>
          </w:p>
        </w:tc>
      </w:tr>
      <w:tr w:rsidR="00EA4A93" w:rsidRPr="00B130C8" w14:paraId="18DD0519" w14:textId="77777777" w:rsidTr="00231528">
        <w:trPr>
          <w:trHeight w:val="397"/>
          <w:jc w:val="center"/>
        </w:trPr>
        <w:tc>
          <w:tcPr>
            <w:tcW w:w="289" w:type="pct"/>
            <w:shd w:val="clear" w:color="auto" w:fill="auto"/>
            <w:noWrap/>
            <w:vAlign w:val="center"/>
            <w:hideMark/>
          </w:tcPr>
          <w:p w14:paraId="1B4B53B5" w14:textId="3F8E7B66" w:rsidR="000831EE" w:rsidRPr="00145F8D" w:rsidRDefault="000831EE" w:rsidP="00A16503">
            <w:pPr>
              <w:pStyle w:val="Tabela-tekst"/>
            </w:pPr>
            <w:r w:rsidRPr="00145F8D">
              <w:t>1</w:t>
            </w:r>
            <w:r w:rsidR="008C5A42">
              <w:t>.</w:t>
            </w:r>
          </w:p>
        </w:tc>
        <w:tc>
          <w:tcPr>
            <w:tcW w:w="2134" w:type="pct"/>
            <w:shd w:val="clear" w:color="auto" w:fill="auto"/>
            <w:vAlign w:val="center"/>
            <w:hideMark/>
          </w:tcPr>
          <w:p w14:paraId="33D7137B" w14:textId="77777777" w:rsidR="000831EE" w:rsidRPr="00D50440" w:rsidRDefault="000831EE" w:rsidP="00A16503">
            <w:pPr>
              <w:pStyle w:val="Tabela-tekst"/>
              <w:rPr>
                <w:sz w:val="18"/>
                <w:szCs w:val="18"/>
              </w:rPr>
            </w:pPr>
            <w:r w:rsidRPr="00D50440">
              <w:rPr>
                <w:sz w:val="18"/>
                <w:szCs w:val="18"/>
              </w:rPr>
              <w:t>Gospodarka komunalna - budowa/modernizacja oczyszczalni ścieków, budowa kanalizacji, wywóz nieczystości</w:t>
            </w:r>
          </w:p>
        </w:tc>
        <w:tc>
          <w:tcPr>
            <w:tcW w:w="644" w:type="pct"/>
            <w:shd w:val="clear" w:color="auto" w:fill="auto"/>
            <w:noWrap/>
            <w:vAlign w:val="center"/>
            <w:hideMark/>
          </w:tcPr>
          <w:p w14:paraId="5D132F85" w14:textId="77777777" w:rsidR="000831EE" w:rsidRPr="00D50440" w:rsidRDefault="000831EE" w:rsidP="004F2F12">
            <w:pPr>
              <w:pStyle w:val="Tabela-tekst"/>
              <w:jc w:val="center"/>
            </w:pPr>
            <w:r w:rsidRPr="00D50440">
              <w:t>329</w:t>
            </w:r>
          </w:p>
        </w:tc>
        <w:tc>
          <w:tcPr>
            <w:tcW w:w="644" w:type="pct"/>
            <w:shd w:val="clear" w:color="auto" w:fill="auto"/>
            <w:noWrap/>
            <w:vAlign w:val="center"/>
            <w:hideMark/>
          </w:tcPr>
          <w:p w14:paraId="4412F95A" w14:textId="248CD5DC" w:rsidR="000831EE" w:rsidRPr="00D50440" w:rsidRDefault="000831EE" w:rsidP="004F2F12">
            <w:pPr>
              <w:pStyle w:val="Tabela-tekst"/>
              <w:jc w:val="center"/>
            </w:pPr>
            <w:r w:rsidRPr="00D50440">
              <w:t>84,1</w:t>
            </w:r>
            <w:r w:rsidR="00BE6839">
              <w:t>4</w:t>
            </w:r>
            <w:r w:rsidR="007F5500">
              <w:t>%</w:t>
            </w:r>
          </w:p>
        </w:tc>
        <w:tc>
          <w:tcPr>
            <w:tcW w:w="644" w:type="pct"/>
            <w:vAlign w:val="center"/>
          </w:tcPr>
          <w:p w14:paraId="26F4CB16" w14:textId="77777777" w:rsidR="000831EE" w:rsidRPr="00D50440" w:rsidRDefault="000831EE" w:rsidP="004F2F12">
            <w:pPr>
              <w:pStyle w:val="Tabela-tekst"/>
              <w:jc w:val="center"/>
            </w:pPr>
            <w:r w:rsidRPr="00D50440">
              <w:t>18</w:t>
            </w:r>
          </w:p>
        </w:tc>
        <w:tc>
          <w:tcPr>
            <w:tcW w:w="645" w:type="pct"/>
            <w:vAlign w:val="center"/>
          </w:tcPr>
          <w:p w14:paraId="181FD938" w14:textId="2A6AFEC7" w:rsidR="000831EE" w:rsidRPr="00D50440" w:rsidRDefault="000831EE" w:rsidP="004F2F12">
            <w:pPr>
              <w:pStyle w:val="Tabela-tekst"/>
              <w:jc w:val="center"/>
            </w:pPr>
            <w:r w:rsidRPr="00D50440">
              <w:t>19,</w:t>
            </w:r>
            <w:r w:rsidR="00BE6839">
              <w:t>57</w:t>
            </w:r>
            <w:r w:rsidR="007F5500">
              <w:t>%</w:t>
            </w:r>
          </w:p>
        </w:tc>
      </w:tr>
      <w:tr w:rsidR="00EA4A93" w:rsidRPr="00B130C8" w14:paraId="229C1B3D" w14:textId="77777777" w:rsidTr="00231528">
        <w:trPr>
          <w:trHeight w:val="397"/>
          <w:jc w:val="center"/>
        </w:trPr>
        <w:tc>
          <w:tcPr>
            <w:tcW w:w="289" w:type="pct"/>
            <w:shd w:val="clear" w:color="auto" w:fill="auto"/>
            <w:noWrap/>
            <w:vAlign w:val="center"/>
            <w:hideMark/>
          </w:tcPr>
          <w:p w14:paraId="72195C0E" w14:textId="5820C561" w:rsidR="000831EE" w:rsidRPr="00145F8D" w:rsidRDefault="000831EE" w:rsidP="00A16503">
            <w:pPr>
              <w:pStyle w:val="Tabela-tekst"/>
            </w:pPr>
            <w:r w:rsidRPr="00145F8D">
              <w:t>2</w:t>
            </w:r>
            <w:r w:rsidR="008C5A42">
              <w:t>.</w:t>
            </w:r>
          </w:p>
        </w:tc>
        <w:tc>
          <w:tcPr>
            <w:tcW w:w="2134" w:type="pct"/>
            <w:shd w:val="clear" w:color="auto" w:fill="auto"/>
            <w:vAlign w:val="center"/>
            <w:hideMark/>
          </w:tcPr>
          <w:p w14:paraId="51ED8C55" w14:textId="77777777" w:rsidR="000831EE" w:rsidRPr="00D50440" w:rsidRDefault="000831EE" w:rsidP="00A16503">
            <w:pPr>
              <w:pStyle w:val="Tabela-tekst"/>
              <w:rPr>
                <w:sz w:val="18"/>
                <w:szCs w:val="18"/>
              </w:rPr>
            </w:pPr>
            <w:r w:rsidRPr="00D50440">
              <w:rPr>
                <w:sz w:val="18"/>
                <w:szCs w:val="18"/>
              </w:rPr>
              <w:t>Rolnictwo - program ograniczenia odpływu azotu, kontrola zarybiania</w:t>
            </w:r>
          </w:p>
        </w:tc>
        <w:tc>
          <w:tcPr>
            <w:tcW w:w="644" w:type="pct"/>
            <w:shd w:val="clear" w:color="auto" w:fill="auto"/>
            <w:noWrap/>
            <w:vAlign w:val="center"/>
          </w:tcPr>
          <w:p w14:paraId="212D6D7A" w14:textId="77777777" w:rsidR="000831EE" w:rsidRPr="00D50440" w:rsidRDefault="000831EE" w:rsidP="004F2F12">
            <w:pPr>
              <w:pStyle w:val="Tabela-tekst"/>
              <w:jc w:val="center"/>
            </w:pPr>
            <w:r w:rsidRPr="00D50440">
              <w:t>25</w:t>
            </w:r>
          </w:p>
        </w:tc>
        <w:tc>
          <w:tcPr>
            <w:tcW w:w="644" w:type="pct"/>
            <w:shd w:val="clear" w:color="auto" w:fill="auto"/>
            <w:noWrap/>
            <w:vAlign w:val="center"/>
          </w:tcPr>
          <w:p w14:paraId="66CD9791" w14:textId="65BCE16C" w:rsidR="000831EE" w:rsidRPr="00D50440" w:rsidRDefault="000831EE" w:rsidP="004F2F12">
            <w:pPr>
              <w:pStyle w:val="Tabela-tekst"/>
              <w:jc w:val="center"/>
            </w:pPr>
            <w:r w:rsidRPr="00D50440">
              <w:t>6,</w:t>
            </w:r>
            <w:r w:rsidR="00BE6839">
              <w:t>39</w:t>
            </w:r>
            <w:r w:rsidR="007F5500">
              <w:t>%</w:t>
            </w:r>
          </w:p>
        </w:tc>
        <w:tc>
          <w:tcPr>
            <w:tcW w:w="644" w:type="pct"/>
            <w:vAlign w:val="center"/>
          </w:tcPr>
          <w:p w14:paraId="783C82FE" w14:textId="77777777" w:rsidR="000831EE" w:rsidRPr="00D50440" w:rsidRDefault="000831EE" w:rsidP="004F2F12">
            <w:pPr>
              <w:pStyle w:val="Tabela-tekst"/>
              <w:jc w:val="center"/>
            </w:pPr>
            <w:r w:rsidRPr="00D50440">
              <w:t>-</w:t>
            </w:r>
          </w:p>
        </w:tc>
        <w:tc>
          <w:tcPr>
            <w:tcW w:w="645" w:type="pct"/>
            <w:vAlign w:val="center"/>
          </w:tcPr>
          <w:p w14:paraId="447A4B00" w14:textId="77777777" w:rsidR="000831EE" w:rsidRPr="00D50440" w:rsidRDefault="000831EE" w:rsidP="004F2F12">
            <w:pPr>
              <w:pStyle w:val="Tabela-tekst"/>
              <w:jc w:val="center"/>
            </w:pPr>
            <w:r w:rsidRPr="00D50440">
              <w:t>-</w:t>
            </w:r>
          </w:p>
        </w:tc>
      </w:tr>
      <w:tr w:rsidR="00EA4A93" w:rsidRPr="00B130C8" w14:paraId="0724977A" w14:textId="77777777" w:rsidTr="00231528">
        <w:trPr>
          <w:trHeight w:val="397"/>
          <w:jc w:val="center"/>
        </w:trPr>
        <w:tc>
          <w:tcPr>
            <w:tcW w:w="289" w:type="pct"/>
            <w:shd w:val="clear" w:color="auto" w:fill="auto"/>
            <w:noWrap/>
            <w:vAlign w:val="center"/>
            <w:hideMark/>
          </w:tcPr>
          <w:p w14:paraId="59CDBDA3" w14:textId="7C410575" w:rsidR="000831EE" w:rsidRPr="00145F8D" w:rsidRDefault="000831EE" w:rsidP="00A16503">
            <w:pPr>
              <w:pStyle w:val="Tabela-tekst"/>
            </w:pPr>
            <w:r w:rsidRPr="00145F8D">
              <w:t>3</w:t>
            </w:r>
            <w:r w:rsidR="008C5A42">
              <w:t>.</w:t>
            </w:r>
          </w:p>
        </w:tc>
        <w:tc>
          <w:tcPr>
            <w:tcW w:w="2134" w:type="pct"/>
            <w:shd w:val="clear" w:color="auto" w:fill="auto"/>
            <w:vAlign w:val="center"/>
            <w:hideMark/>
          </w:tcPr>
          <w:p w14:paraId="44F1052F" w14:textId="77777777" w:rsidR="000831EE" w:rsidRPr="00D50440" w:rsidRDefault="000831EE" w:rsidP="00A16503">
            <w:pPr>
              <w:pStyle w:val="Tabela-tekst"/>
              <w:rPr>
                <w:sz w:val="18"/>
                <w:szCs w:val="18"/>
              </w:rPr>
            </w:pPr>
            <w:r w:rsidRPr="00D50440">
              <w:rPr>
                <w:sz w:val="18"/>
                <w:szCs w:val="18"/>
              </w:rPr>
              <w:t>Gospodarka komunalna / przemysł - kontrole w zakresie gromadzenia i oczyszczania ścieków</w:t>
            </w:r>
          </w:p>
        </w:tc>
        <w:tc>
          <w:tcPr>
            <w:tcW w:w="644" w:type="pct"/>
            <w:shd w:val="clear" w:color="auto" w:fill="auto"/>
            <w:noWrap/>
            <w:vAlign w:val="center"/>
            <w:hideMark/>
          </w:tcPr>
          <w:p w14:paraId="6D60B649" w14:textId="77777777" w:rsidR="000831EE" w:rsidRPr="00D50440" w:rsidRDefault="000831EE" w:rsidP="004F2F12">
            <w:pPr>
              <w:pStyle w:val="Tabela-tekst"/>
              <w:jc w:val="center"/>
            </w:pPr>
            <w:r w:rsidRPr="00D50440">
              <w:t>22</w:t>
            </w:r>
          </w:p>
        </w:tc>
        <w:tc>
          <w:tcPr>
            <w:tcW w:w="644" w:type="pct"/>
            <w:shd w:val="clear" w:color="auto" w:fill="auto"/>
            <w:noWrap/>
            <w:vAlign w:val="center"/>
            <w:hideMark/>
          </w:tcPr>
          <w:p w14:paraId="323E0309" w14:textId="527459DD" w:rsidR="000831EE" w:rsidRPr="00D50440" w:rsidRDefault="000831EE" w:rsidP="004F2F12">
            <w:pPr>
              <w:pStyle w:val="Tabela-tekst"/>
              <w:jc w:val="center"/>
            </w:pPr>
            <w:r w:rsidRPr="00D50440">
              <w:t>5,6</w:t>
            </w:r>
            <w:r w:rsidR="00BE6839">
              <w:t>3</w:t>
            </w:r>
            <w:r w:rsidR="007F5500">
              <w:t>%</w:t>
            </w:r>
          </w:p>
        </w:tc>
        <w:tc>
          <w:tcPr>
            <w:tcW w:w="644" w:type="pct"/>
            <w:vAlign w:val="center"/>
          </w:tcPr>
          <w:p w14:paraId="10073522" w14:textId="77777777" w:rsidR="000831EE" w:rsidRPr="00D50440" w:rsidRDefault="000831EE" w:rsidP="004F2F12">
            <w:pPr>
              <w:pStyle w:val="Tabela-tekst"/>
              <w:jc w:val="center"/>
            </w:pPr>
            <w:r w:rsidRPr="00D50440">
              <w:t>70</w:t>
            </w:r>
          </w:p>
        </w:tc>
        <w:tc>
          <w:tcPr>
            <w:tcW w:w="645" w:type="pct"/>
            <w:vAlign w:val="center"/>
          </w:tcPr>
          <w:p w14:paraId="7F8E0A0D" w14:textId="1A20D0DE" w:rsidR="000831EE" w:rsidRPr="00D50440" w:rsidRDefault="000831EE" w:rsidP="004F2F12">
            <w:pPr>
              <w:pStyle w:val="Tabela-tekst"/>
              <w:jc w:val="center"/>
            </w:pPr>
            <w:r w:rsidRPr="00D50440">
              <w:t>76,</w:t>
            </w:r>
            <w:r w:rsidR="00BE6839">
              <w:t>09</w:t>
            </w:r>
            <w:r w:rsidR="007F5500">
              <w:t>%</w:t>
            </w:r>
          </w:p>
        </w:tc>
      </w:tr>
      <w:tr w:rsidR="00EA4A93" w:rsidRPr="00B130C8" w14:paraId="188F3F64" w14:textId="77777777" w:rsidTr="00231528">
        <w:trPr>
          <w:trHeight w:val="397"/>
          <w:jc w:val="center"/>
        </w:trPr>
        <w:tc>
          <w:tcPr>
            <w:tcW w:w="289" w:type="pct"/>
            <w:shd w:val="clear" w:color="auto" w:fill="auto"/>
            <w:noWrap/>
            <w:vAlign w:val="center"/>
            <w:hideMark/>
          </w:tcPr>
          <w:p w14:paraId="21D3D573" w14:textId="657B56EF" w:rsidR="000831EE" w:rsidRPr="00145F8D" w:rsidRDefault="000831EE" w:rsidP="00A16503">
            <w:pPr>
              <w:pStyle w:val="Tabela-tekst"/>
            </w:pPr>
            <w:r w:rsidRPr="00145F8D">
              <w:t>4</w:t>
            </w:r>
            <w:r w:rsidR="008C5A42">
              <w:t>.</w:t>
            </w:r>
          </w:p>
        </w:tc>
        <w:tc>
          <w:tcPr>
            <w:tcW w:w="2134" w:type="pct"/>
            <w:shd w:val="clear" w:color="auto" w:fill="auto"/>
            <w:vAlign w:val="center"/>
            <w:hideMark/>
          </w:tcPr>
          <w:p w14:paraId="56B0641C" w14:textId="77777777" w:rsidR="000831EE" w:rsidRPr="00D50440" w:rsidRDefault="000831EE" w:rsidP="00A16503">
            <w:pPr>
              <w:pStyle w:val="Tabela-tekst"/>
              <w:rPr>
                <w:sz w:val="18"/>
                <w:szCs w:val="18"/>
              </w:rPr>
            </w:pPr>
            <w:r w:rsidRPr="00D50440">
              <w:rPr>
                <w:sz w:val="18"/>
                <w:szCs w:val="18"/>
              </w:rPr>
              <w:t>Nierozpoznana presja / zlewnia niemonitorowana - monitoring badawczy</w:t>
            </w:r>
          </w:p>
        </w:tc>
        <w:tc>
          <w:tcPr>
            <w:tcW w:w="644" w:type="pct"/>
            <w:shd w:val="clear" w:color="auto" w:fill="auto"/>
            <w:noWrap/>
            <w:vAlign w:val="center"/>
          </w:tcPr>
          <w:p w14:paraId="47FD5D03" w14:textId="77777777" w:rsidR="000831EE" w:rsidRPr="00D50440" w:rsidRDefault="000831EE" w:rsidP="004F2F12">
            <w:pPr>
              <w:pStyle w:val="Tabela-tekst"/>
              <w:jc w:val="center"/>
            </w:pPr>
            <w:r w:rsidRPr="00D50440">
              <w:t>-</w:t>
            </w:r>
          </w:p>
        </w:tc>
        <w:tc>
          <w:tcPr>
            <w:tcW w:w="644" w:type="pct"/>
            <w:shd w:val="clear" w:color="auto" w:fill="auto"/>
            <w:noWrap/>
            <w:vAlign w:val="center"/>
          </w:tcPr>
          <w:p w14:paraId="5DE629EF" w14:textId="77777777" w:rsidR="000831EE" w:rsidRPr="00D50440" w:rsidRDefault="000831EE" w:rsidP="004F2F12">
            <w:pPr>
              <w:pStyle w:val="Tabela-tekst"/>
              <w:jc w:val="center"/>
            </w:pPr>
            <w:r w:rsidRPr="00D50440">
              <w:t>-</w:t>
            </w:r>
          </w:p>
        </w:tc>
        <w:tc>
          <w:tcPr>
            <w:tcW w:w="644" w:type="pct"/>
            <w:vAlign w:val="center"/>
          </w:tcPr>
          <w:p w14:paraId="61E39A9A" w14:textId="77777777" w:rsidR="000831EE" w:rsidRPr="00D50440" w:rsidRDefault="000831EE" w:rsidP="004F2F12">
            <w:pPr>
              <w:pStyle w:val="Tabela-tekst"/>
              <w:jc w:val="center"/>
            </w:pPr>
            <w:r w:rsidRPr="00D50440">
              <w:t>1</w:t>
            </w:r>
          </w:p>
        </w:tc>
        <w:tc>
          <w:tcPr>
            <w:tcW w:w="645" w:type="pct"/>
            <w:vAlign w:val="center"/>
          </w:tcPr>
          <w:p w14:paraId="73AEEB8C" w14:textId="77F985F3" w:rsidR="000831EE" w:rsidRPr="00D50440" w:rsidRDefault="000831EE" w:rsidP="004F2F12">
            <w:pPr>
              <w:pStyle w:val="Tabela-tekst"/>
              <w:jc w:val="center"/>
            </w:pPr>
            <w:r w:rsidRPr="00D50440">
              <w:t>1,</w:t>
            </w:r>
            <w:r w:rsidR="00BE6839">
              <w:t>09</w:t>
            </w:r>
            <w:r w:rsidR="007F5500">
              <w:t>%</w:t>
            </w:r>
          </w:p>
        </w:tc>
      </w:tr>
      <w:tr w:rsidR="00EA4A93" w:rsidRPr="00B130C8" w14:paraId="4BC8A831" w14:textId="77777777" w:rsidTr="00231528">
        <w:trPr>
          <w:trHeight w:val="397"/>
          <w:jc w:val="center"/>
        </w:trPr>
        <w:tc>
          <w:tcPr>
            <w:tcW w:w="289" w:type="pct"/>
            <w:shd w:val="clear" w:color="auto" w:fill="auto"/>
            <w:noWrap/>
            <w:vAlign w:val="center"/>
            <w:hideMark/>
          </w:tcPr>
          <w:p w14:paraId="4A7F9799" w14:textId="47C2EB5C" w:rsidR="000831EE" w:rsidRPr="00145F8D" w:rsidRDefault="000831EE" w:rsidP="00A16503">
            <w:pPr>
              <w:pStyle w:val="Tabela-tekst"/>
            </w:pPr>
            <w:r>
              <w:t>5</w:t>
            </w:r>
            <w:r w:rsidR="008C5A42">
              <w:t>.</w:t>
            </w:r>
          </w:p>
        </w:tc>
        <w:tc>
          <w:tcPr>
            <w:tcW w:w="2134" w:type="pct"/>
            <w:shd w:val="clear" w:color="auto" w:fill="auto"/>
            <w:vAlign w:val="center"/>
            <w:hideMark/>
          </w:tcPr>
          <w:p w14:paraId="1BE7B23C" w14:textId="77777777" w:rsidR="000831EE" w:rsidRPr="00D50440" w:rsidRDefault="000831EE" w:rsidP="00A16503">
            <w:pPr>
              <w:pStyle w:val="Tabela-tekst"/>
              <w:rPr>
                <w:sz w:val="18"/>
                <w:szCs w:val="18"/>
              </w:rPr>
            </w:pPr>
            <w:r w:rsidRPr="00D50440">
              <w:rPr>
                <w:sz w:val="18"/>
                <w:szCs w:val="18"/>
              </w:rPr>
              <w:t>Odpływ zanieczyszczeń - działania nietechniczne: przeglądy pozwoleń, warunki korzystania z wód, weryfikacja POŚ</w:t>
            </w:r>
          </w:p>
        </w:tc>
        <w:tc>
          <w:tcPr>
            <w:tcW w:w="644" w:type="pct"/>
            <w:shd w:val="clear" w:color="auto" w:fill="auto"/>
            <w:noWrap/>
            <w:vAlign w:val="center"/>
            <w:hideMark/>
          </w:tcPr>
          <w:p w14:paraId="22AD5F9F" w14:textId="77777777" w:rsidR="000831EE" w:rsidRPr="00D50440" w:rsidRDefault="000831EE" w:rsidP="004F2F12">
            <w:pPr>
              <w:pStyle w:val="Tabela-tekst"/>
              <w:jc w:val="center"/>
            </w:pPr>
            <w:r w:rsidRPr="00D50440">
              <w:t>15</w:t>
            </w:r>
          </w:p>
        </w:tc>
        <w:tc>
          <w:tcPr>
            <w:tcW w:w="644" w:type="pct"/>
            <w:shd w:val="clear" w:color="auto" w:fill="auto"/>
            <w:noWrap/>
            <w:vAlign w:val="center"/>
          </w:tcPr>
          <w:p w14:paraId="703A1699" w14:textId="66067C5C" w:rsidR="000831EE" w:rsidRPr="00D50440" w:rsidRDefault="000831EE" w:rsidP="004F2F12">
            <w:pPr>
              <w:pStyle w:val="Tabela-tekst"/>
              <w:jc w:val="center"/>
            </w:pPr>
            <w:r w:rsidRPr="00D50440">
              <w:t>3,8</w:t>
            </w:r>
            <w:r w:rsidR="00BE6839">
              <w:t>4</w:t>
            </w:r>
            <w:r w:rsidR="007F5500">
              <w:t>%</w:t>
            </w:r>
          </w:p>
        </w:tc>
        <w:tc>
          <w:tcPr>
            <w:tcW w:w="644" w:type="pct"/>
            <w:vAlign w:val="center"/>
          </w:tcPr>
          <w:p w14:paraId="7F81E27D" w14:textId="77777777" w:rsidR="000831EE" w:rsidRPr="00D50440" w:rsidRDefault="000831EE" w:rsidP="004F2F12">
            <w:pPr>
              <w:pStyle w:val="Tabela-tekst"/>
              <w:jc w:val="center"/>
            </w:pPr>
            <w:r w:rsidRPr="00D50440">
              <w:t>3</w:t>
            </w:r>
          </w:p>
        </w:tc>
        <w:tc>
          <w:tcPr>
            <w:tcW w:w="645" w:type="pct"/>
            <w:vAlign w:val="center"/>
          </w:tcPr>
          <w:p w14:paraId="34DADFCE" w14:textId="3A94A90C" w:rsidR="000831EE" w:rsidRPr="00D50440" w:rsidRDefault="000831EE" w:rsidP="004F2F12">
            <w:pPr>
              <w:pStyle w:val="Tabela-tekst"/>
              <w:jc w:val="center"/>
            </w:pPr>
            <w:r w:rsidRPr="00D50440">
              <w:t>3,</w:t>
            </w:r>
            <w:r w:rsidR="00BE6839">
              <w:t>26</w:t>
            </w:r>
            <w:r w:rsidR="007F5500">
              <w:t>%</w:t>
            </w:r>
          </w:p>
        </w:tc>
      </w:tr>
      <w:tr w:rsidR="00EA4A93" w:rsidRPr="00B130C8" w14:paraId="5CD37D29" w14:textId="77777777" w:rsidTr="00231528">
        <w:trPr>
          <w:trHeight w:val="397"/>
          <w:jc w:val="center"/>
        </w:trPr>
        <w:tc>
          <w:tcPr>
            <w:tcW w:w="289" w:type="pct"/>
            <w:shd w:val="clear" w:color="auto" w:fill="auto"/>
            <w:noWrap/>
            <w:vAlign w:val="center"/>
            <w:hideMark/>
          </w:tcPr>
          <w:p w14:paraId="6BE94F24" w14:textId="1BCC0EC7" w:rsidR="000831EE" w:rsidRPr="00145F8D" w:rsidRDefault="000831EE" w:rsidP="00A16503">
            <w:pPr>
              <w:pStyle w:val="Tabela-tekst"/>
            </w:pPr>
            <w:r>
              <w:t>6</w:t>
            </w:r>
            <w:r w:rsidR="008C5A42">
              <w:t>.</w:t>
            </w:r>
          </w:p>
        </w:tc>
        <w:tc>
          <w:tcPr>
            <w:tcW w:w="2134" w:type="pct"/>
            <w:shd w:val="clear" w:color="auto" w:fill="auto"/>
            <w:vAlign w:val="center"/>
            <w:hideMark/>
          </w:tcPr>
          <w:p w14:paraId="708E1521" w14:textId="77777777" w:rsidR="000831EE" w:rsidRPr="00D50440" w:rsidRDefault="000831EE" w:rsidP="00A16503">
            <w:pPr>
              <w:pStyle w:val="Tabela-tekst"/>
              <w:rPr>
                <w:sz w:val="18"/>
                <w:szCs w:val="18"/>
              </w:rPr>
            </w:pPr>
            <w:r w:rsidRPr="00D50440">
              <w:rPr>
                <w:sz w:val="18"/>
                <w:szCs w:val="18"/>
              </w:rPr>
              <w:t>Program rekultywacji</w:t>
            </w:r>
          </w:p>
        </w:tc>
        <w:tc>
          <w:tcPr>
            <w:tcW w:w="644" w:type="pct"/>
            <w:shd w:val="clear" w:color="auto" w:fill="auto"/>
            <w:noWrap/>
            <w:vAlign w:val="center"/>
          </w:tcPr>
          <w:p w14:paraId="15CD9956" w14:textId="77777777" w:rsidR="000831EE" w:rsidRPr="00D50440" w:rsidRDefault="000831EE" w:rsidP="004F2F12">
            <w:pPr>
              <w:pStyle w:val="Tabela-tekst"/>
              <w:jc w:val="center"/>
            </w:pPr>
            <w:r w:rsidRPr="00D50440">
              <w:t>-</w:t>
            </w:r>
          </w:p>
        </w:tc>
        <w:tc>
          <w:tcPr>
            <w:tcW w:w="644" w:type="pct"/>
            <w:shd w:val="clear" w:color="auto" w:fill="auto"/>
            <w:noWrap/>
            <w:vAlign w:val="center"/>
          </w:tcPr>
          <w:p w14:paraId="0B8045F2" w14:textId="77777777" w:rsidR="000831EE" w:rsidRPr="00D50440" w:rsidRDefault="000831EE" w:rsidP="004F2F12">
            <w:pPr>
              <w:pStyle w:val="Tabela-tekst"/>
              <w:jc w:val="center"/>
            </w:pPr>
            <w:r w:rsidRPr="00D50440">
              <w:t>-</w:t>
            </w:r>
          </w:p>
        </w:tc>
        <w:tc>
          <w:tcPr>
            <w:tcW w:w="644" w:type="pct"/>
            <w:vAlign w:val="center"/>
          </w:tcPr>
          <w:p w14:paraId="53081640" w14:textId="77777777" w:rsidR="000831EE" w:rsidRPr="00D50440" w:rsidRDefault="000831EE" w:rsidP="004F2F12">
            <w:pPr>
              <w:pStyle w:val="Tabela-tekst"/>
              <w:jc w:val="center"/>
            </w:pPr>
            <w:r w:rsidRPr="00D50440">
              <w:t>-</w:t>
            </w:r>
          </w:p>
        </w:tc>
        <w:tc>
          <w:tcPr>
            <w:tcW w:w="645" w:type="pct"/>
            <w:vAlign w:val="center"/>
          </w:tcPr>
          <w:p w14:paraId="784A7E12" w14:textId="77777777" w:rsidR="000831EE" w:rsidRPr="00D50440" w:rsidRDefault="000831EE" w:rsidP="004F2F12">
            <w:pPr>
              <w:pStyle w:val="Tabela-tekst"/>
              <w:jc w:val="center"/>
            </w:pPr>
            <w:r w:rsidRPr="00D50440">
              <w:t>-</w:t>
            </w:r>
          </w:p>
        </w:tc>
      </w:tr>
      <w:tr w:rsidR="00EA4A93" w:rsidRPr="00B130C8" w14:paraId="495211C3" w14:textId="77777777" w:rsidTr="00231528">
        <w:trPr>
          <w:trHeight w:val="397"/>
          <w:jc w:val="center"/>
        </w:trPr>
        <w:tc>
          <w:tcPr>
            <w:tcW w:w="2423" w:type="pct"/>
            <w:gridSpan w:val="2"/>
            <w:shd w:val="clear" w:color="auto" w:fill="auto"/>
            <w:noWrap/>
            <w:vAlign w:val="center"/>
            <w:hideMark/>
          </w:tcPr>
          <w:p w14:paraId="0E04C759" w14:textId="77777777" w:rsidR="00A16503" w:rsidRPr="00C02E2D" w:rsidRDefault="00A16503" w:rsidP="00A16503">
            <w:pPr>
              <w:pStyle w:val="Tabela-tekst"/>
              <w:rPr>
                <w:b/>
                <w:bCs/>
              </w:rPr>
            </w:pPr>
            <w:r w:rsidRPr="00C02E2D">
              <w:rPr>
                <w:b/>
                <w:bCs/>
              </w:rPr>
              <w:t>Suma:</w:t>
            </w:r>
          </w:p>
        </w:tc>
        <w:tc>
          <w:tcPr>
            <w:tcW w:w="644" w:type="pct"/>
            <w:shd w:val="clear" w:color="auto" w:fill="auto"/>
            <w:noWrap/>
            <w:vAlign w:val="center"/>
            <w:hideMark/>
          </w:tcPr>
          <w:p w14:paraId="6860570E" w14:textId="77777777" w:rsidR="00A16503" w:rsidRPr="00C02E2D" w:rsidRDefault="00A16503" w:rsidP="004F2F12">
            <w:pPr>
              <w:pStyle w:val="Tabela-tekst"/>
              <w:jc w:val="center"/>
              <w:rPr>
                <w:b/>
                <w:bCs/>
              </w:rPr>
            </w:pPr>
            <w:r w:rsidRPr="00C02E2D">
              <w:rPr>
                <w:b/>
                <w:bCs/>
              </w:rPr>
              <w:t>391</w:t>
            </w:r>
          </w:p>
        </w:tc>
        <w:tc>
          <w:tcPr>
            <w:tcW w:w="644" w:type="pct"/>
            <w:shd w:val="clear" w:color="auto" w:fill="auto"/>
            <w:noWrap/>
            <w:vAlign w:val="center"/>
            <w:hideMark/>
          </w:tcPr>
          <w:p w14:paraId="52F896FE" w14:textId="38F1515D" w:rsidR="00A16503" w:rsidRPr="00C02E2D" w:rsidRDefault="00A16503" w:rsidP="004F2F12">
            <w:pPr>
              <w:pStyle w:val="Tabela-tekst"/>
              <w:jc w:val="center"/>
              <w:rPr>
                <w:b/>
                <w:bCs/>
              </w:rPr>
            </w:pPr>
            <w:r w:rsidRPr="00C02E2D">
              <w:rPr>
                <w:b/>
                <w:bCs/>
              </w:rPr>
              <w:t>100,0</w:t>
            </w:r>
            <w:r w:rsidR="00BE6839">
              <w:rPr>
                <w:b/>
                <w:bCs/>
              </w:rPr>
              <w:t>0</w:t>
            </w:r>
            <w:r w:rsidRPr="00C02E2D">
              <w:rPr>
                <w:b/>
                <w:bCs/>
              </w:rPr>
              <w:t>%</w:t>
            </w:r>
          </w:p>
        </w:tc>
        <w:tc>
          <w:tcPr>
            <w:tcW w:w="644" w:type="pct"/>
            <w:vAlign w:val="center"/>
          </w:tcPr>
          <w:p w14:paraId="25C55F1F" w14:textId="77777777" w:rsidR="00A16503" w:rsidRPr="00C02E2D" w:rsidRDefault="00A16503" w:rsidP="004F2F12">
            <w:pPr>
              <w:pStyle w:val="Tabela-tekst"/>
              <w:jc w:val="center"/>
              <w:rPr>
                <w:b/>
                <w:bCs/>
              </w:rPr>
            </w:pPr>
            <w:r w:rsidRPr="00C02E2D">
              <w:rPr>
                <w:b/>
                <w:bCs/>
              </w:rPr>
              <w:t>92</w:t>
            </w:r>
          </w:p>
        </w:tc>
        <w:tc>
          <w:tcPr>
            <w:tcW w:w="645" w:type="pct"/>
            <w:vAlign w:val="center"/>
          </w:tcPr>
          <w:p w14:paraId="1FDF01BA" w14:textId="0A16FE67" w:rsidR="00A16503" w:rsidRPr="00C02E2D" w:rsidRDefault="00A16503" w:rsidP="004F2F12">
            <w:pPr>
              <w:pStyle w:val="Tabela-tekst"/>
              <w:jc w:val="center"/>
              <w:rPr>
                <w:b/>
                <w:bCs/>
              </w:rPr>
            </w:pPr>
            <w:r w:rsidRPr="00C02E2D">
              <w:rPr>
                <w:b/>
                <w:bCs/>
              </w:rPr>
              <w:t>100,0</w:t>
            </w:r>
            <w:r w:rsidR="00BE6839">
              <w:rPr>
                <w:b/>
                <w:bCs/>
              </w:rPr>
              <w:t>0</w:t>
            </w:r>
            <w:r w:rsidRPr="00C02E2D">
              <w:rPr>
                <w:b/>
                <w:bCs/>
              </w:rPr>
              <w:t>%</w:t>
            </w:r>
          </w:p>
        </w:tc>
      </w:tr>
    </w:tbl>
    <w:p w14:paraId="121D0519" w14:textId="2CA44A70" w:rsidR="000831EE" w:rsidRDefault="00231528" w:rsidP="00231528">
      <w:pPr>
        <w:pStyle w:val="rdo0"/>
      </w:pPr>
      <w:r w:rsidRPr="001E4D45">
        <w:rPr>
          <w:lang w:eastAsia="zh-CN"/>
        </w:rPr>
        <w:t xml:space="preserve">Źródło: opracowanie </w:t>
      </w:r>
      <w:r>
        <w:rPr>
          <w:lang w:eastAsia="zh-CN"/>
        </w:rPr>
        <w:t>własne</w:t>
      </w:r>
      <w:r w:rsidR="000831EE">
        <w:br w:type="page"/>
      </w:r>
    </w:p>
    <w:p w14:paraId="7E594727" w14:textId="77777777" w:rsidR="000831EE" w:rsidRPr="00C0041D" w:rsidRDefault="000831EE" w:rsidP="00B50FFD">
      <w:pPr>
        <w:pStyle w:val="Nagwek3"/>
      </w:pPr>
      <w:bookmarkStart w:id="483" w:name="_Toc68726915"/>
      <w:r>
        <w:t>Ocena</w:t>
      </w:r>
      <w:r w:rsidRPr="00C0041D">
        <w:t xml:space="preserve"> skuteczności zrealizowanych działań</w:t>
      </w:r>
      <w:r>
        <w:t xml:space="preserve"> w ramach aPGW</w:t>
      </w:r>
      <w:bookmarkEnd w:id="483"/>
    </w:p>
    <w:p w14:paraId="420B906A" w14:textId="77777777" w:rsidR="000831EE" w:rsidRDefault="000831EE" w:rsidP="000831EE">
      <w:pPr>
        <w:suppressAutoHyphens/>
      </w:pPr>
      <w:r>
        <w:t xml:space="preserve">Weryfikacja i porównanie stanu chemicznego wód na początku oraz na końcu cyklu aPGW umożliwiło opracowanie oceny efektywności wprowadzonych działań. W analizie skuteczności wdrożonych działań w ramach aPGW uwzględniono grupy zrealizowanych działań mogących w sposób bezpośredni i pośredni wpłynąć na stan chemiczny wód. </w:t>
      </w:r>
    </w:p>
    <w:p w14:paraId="50B0060D" w14:textId="77777777" w:rsidR="000831EE" w:rsidRDefault="000831EE" w:rsidP="000831EE">
      <w:pPr>
        <w:suppressAutoHyphens/>
      </w:pPr>
      <w:r>
        <w:t>Analizę wykonano zgodnie z przyjętymi w metodyce opracowania IIaPGW założeniami do statystycznej oceny skuteczności działań w cyklu planistycznym. Przyjęte warunki dla oceny redukcji zanieczyszczeń:</w:t>
      </w:r>
    </w:p>
    <w:p w14:paraId="0BE50EDF" w14:textId="7323AE36" w:rsidR="000831EE" w:rsidRPr="00D228EB" w:rsidRDefault="000831EE" w:rsidP="00D228EB">
      <w:pPr>
        <w:pStyle w:val="Akapitzlist"/>
      </w:pPr>
      <w:r w:rsidRPr="00D228EB">
        <w:t xml:space="preserve">dla zestawu oznaczeń w monitoringu określa się </w:t>
      </w:r>
      <w:r w:rsidR="00B94444" w:rsidRPr="00D228EB">
        <w:t>liczbę przypadków stwierdzonej istotnej redukcji stężenia</w:t>
      </w:r>
      <w:r w:rsidRPr="00D228EB">
        <w:t xml:space="preserve">, liczonych jako procentowa redukcja w odniesieniu do wartości bazowej </w:t>
      </w:r>
      <w:r w:rsidR="007C6681" w:rsidRPr="00D228EB">
        <w:t xml:space="preserve">przyjętej jako </w:t>
      </w:r>
      <w:r w:rsidRPr="00D228EB">
        <w:t>najbardziej aktualny pomiar z okresu 2010-2015);</w:t>
      </w:r>
    </w:p>
    <w:p w14:paraId="6D7834EF" w14:textId="10A886EA" w:rsidR="000831EE" w:rsidRPr="00D228EB" w:rsidRDefault="000831EE" w:rsidP="00D228EB">
      <w:pPr>
        <w:pStyle w:val="Akapitzlist"/>
      </w:pPr>
      <w:r w:rsidRPr="00D228EB">
        <w:t xml:space="preserve">uwzględnia się wyłącznie przypadki, dla których możliwe było wyznaczenie redukcji </w:t>
      </w:r>
      <w:r w:rsidR="00442AB7" w:rsidRPr="00D228EB">
        <w:t>-</w:t>
      </w:r>
      <w:r w:rsidRPr="00D228EB">
        <w:t xml:space="preserve"> musi być liczbowa wartość bazowa i min. 1 wartość z cyklu (przy czym wartość poniżej granicy oznaczalności traktuje się jako maksymalną oczekiwaną redukcję (100%));</w:t>
      </w:r>
    </w:p>
    <w:p w14:paraId="3793B04F" w14:textId="77777777" w:rsidR="000831EE" w:rsidRPr="00676DFC" w:rsidRDefault="000831EE" w:rsidP="00D228EB">
      <w:pPr>
        <w:pStyle w:val="Akapitzlist"/>
      </w:pPr>
      <w:r w:rsidRPr="00D228EB">
        <w:t>dla każdego jcwp ocenia się odsetek oznaczeń z</w:t>
      </w:r>
      <w:r w:rsidRPr="00676DFC">
        <w:t xml:space="preserve"> redukcją stężenia.</w:t>
      </w:r>
    </w:p>
    <w:p w14:paraId="37DF875D" w14:textId="792FE980" w:rsidR="000831EE" w:rsidRDefault="000831EE" w:rsidP="000831EE">
      <w:pPr>
        <w:suppressAutoHyphens/>
      </w:pPr>
      <w:r>
        <w:t>Wyniki analizy skuteczności działań i oceny redukcji stężeń substancji priorytetowych przedstawiono w tabelach</w:t>
      </w:r>
      <w:r w:rsidR="00E46F8F">
        <w:t xml:space="preserve"> (od 13-1</w:t>
      </w:r>
      <w:r w:rsidR="009D0A01">
        <w:t>4</w:t>
      </w:r>
      <w:r w:rsidR="00E46F8F">
        <w:t xml:space="preserve"> do 13-1</w:t>
      </w:r>
      <w:r w:rsidR="009D0A01">
        <w:t>7</w:t>
      </w:r>
      <w:r w:rsidR="00E46F8F">
        <w:t>)</w:t>
      </w:r>
      <w:r>
        <w:t xml:space="preserve">, w podziale na jcwp </w:t>
      </w:r>
      <w:r w:rsidR="00E879CE">
        <w:t>RW</w:t>
      </w:r>
      <w:r>
        <w:t xml:space="preserve"> i jcwp </w:t>
      </w:r>
      <w:r w:rsidR="00E879CE">
        <w:t>LW</w:t>
      </w:r>
      <w:r>
        <w:t xml:space="preserve"> - dla obszaru całego kraju wraz informacją poniżej dla skuteczności </w:t>
      </w:r>
      <w:r w:rsidR="00215474" w:rsidRPr="001E4D45">
        <w:rPr>
          <w:rFonts w:cs="Lucida Grande"/>
        </w:rPr>
        <w:t xml:space="preserve">w </w:t>
      </w:r>
      <w:r w:rsidR="00215474">
        <w:rPr>
          <w:rFonts w:cs="Lucida Grande"/>
        </w:rPr>
        <w:t xml:space="preserve">obszarze </w:t>
      </w:r>
      <w:r w:rsidR="00215474" w:rsidRPr="001E4D45">
        <w:rPr>
          <w:rFonts w:cs="Lucida Grande"/>
        </w:rPr>
        <w:t>dorzecz</w:t>
      </w:r>
      <w:r w:rsidR="00215474">
        <w:rPr>
          <w:rFonts w:cs="Lucida Grande"/>
        </w:rPr>
        <w:t>a</w:t>
      </w:r>
      <w:r w:rsidR="00215474" w:rsidRPr="001E4D45">
        <w:rPr>
          <w:rFonts w:cs="Lucida Grande"/>
        </w:rPr>
        <w:t xml:space="preserve"> </w:t>
      </w:r>
      <w:r>
        <w:t>Pregoły.</w:t>
      </w:r>
    </w:p>
    <w:p w14:paraId="0A7A7FF7" w14:textId="6A5080A5" w:rsidR="000831EE" w:rsidRPr="00B75A5C" w:rsidRDefault="00B75A5C" w:rsidP="006802BB">
      <w:pPr>
        <w:pStyle w:val="Tabela"/>
      </w:pPr>
      <w:bookmarkStart w:id="484" w:name="_Toc68727054"/>
      <w:r>
        <w:t xml:space="preserve">Tabela </w:t>
      </w:r>
      <w:fldSimple w:instr=" STYLEREF 1 \s ">
        <w:r w:rsidR="009D0A01">
          <w:rPr>
            <w:noProof/>
          </w:rPr>
          <w:t>13</w:t>
        </w:r>
      </w:fldSimple>
      <w:r w:rsidR="007B4050">
        <w:noBreakHyphen/>
      </w:r>
      <w:fldSimple w:instr=" SEQ Tabela \* ARABIC \s 1 ">
        <w:r w:rsidR="009D0A01">
          <w:rPr>
            <w:noProof/>
          </w:rPr>
          <w:t>14</w:t>
        </w:r>
      </w:fldSimple>
      <w:r>
        <w:tab/>
      </w:r>
      <w:r w:rsidRPr="00D06A1F">
        <w:t xml:space="preserve">Skuteczność działań dla kategorii jcwp </w:t>
      </w:r>
      <w:r>
        <w:t>rzecznych</w:t>
      </w:r>
      <w:r w:rsidRPr="00D06A1F">
        <w:t xml:space="preserve"> w zakresie oceny substancji priorytetowych w</w:t>
      </w:r>
      <w:r w:rsidR="00C4673D">
        <w:t> </w:t>
      </w:r>
      <w:r w:rsidRPr="00D06A1F">
        <w:t xml:space="preserve">wodzie </w:t>
      </w:r>
      <w:r w:rsidR="00442AB7">
        <w:t>-</w:t>
      </w:r>
      <w:r w:rsidRPr="00D06A1F">
        <w:t xml:space="preserve"> </w:t>
      </w:r>
      <w:r>
        <w:t xml:space="preserve">analiza statystyczna obejmująca </w:t>
      </w:r>
      <w:r w:rsidRPr="00D06A1F">
        <w:t>wszystkie obszary dorzeczy</w:t>
      </w:r>
      <w:bookmarkEnd w:id="4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8"/>
        <w:gridCol w:w="710"/>
        <w:gridCol w:w="850"/>
        <w:gridCol w:w="710"/>
        <w:gridCol w:w="854"/>
        <w:gridCol w:w="1820"/>
      </w:tblGrid>
      <w:tr w:rsidR="00A16503" w:rsidRPr="00D94617" w14:paraId="4C3FF8A3" w14:textId="77777777" w:rsidTr="00C4673D">
        <w:trPr>
          <w:trHeight w:val="340"/>
          <w:tblHeader/>
        </w:trPr>
        <w:tc>
          <w:tcPr>
            <w:tcW w:w="2272" w:type="pct"/>
            <w:shd w:val="clear" w:color="auto" w:fill="BFBFBF" w:themeFill="background1" w:themeFillShade="BF"/>
            <w:noWrap/>
            <w:vAlign w:val="center"/>
          </w:tcPr>
          <w:p w14:paraId="188BEA2B" w14:textId="77777777" w:rsidR="000831EE" w:rsidRPr="00A16503" w:rsidRDefault="000831EE" w:rsidP="00D228EB">
            <w:pPr>
              <w:pStyle w:val="Tabela-tekst"/>
              <w:jc w:val="center"/>
              <w:rPr>
                <w:b/>
                <w:bCs/>
              </w:rPr>
            </w:pPr>
            <w:r w:rsidRPr="00A16503">
              <w:rPr>
                <w:b/>
                <w:bCs/>
              </w:rPr>
              <w:t>Ocena skuteczności działań w jcwp RW</w:t>
            </w:r>
          </w:p>
        </w:tc>
        <w:tc>
          <w:tcPr>
            <w:tcW w:w="861" w:type="pct"/>
            <w:gridSpan w:val="2"/>
            <w:shd w:val="clear" w:color="auto" w:fill="BFBFBF" w:themeFill="background1" w:themeFillShade="BF"/>
            <w:noWrap/>
            <w:vAlign w:val="center"/>
          </w:tcPr>
          <w:p w14:paraId="4AA33961" w14:textId="77777777" w:rsidR="000831EE" w:rsidRPr="00A16503" w:rsidRDefault="000831EE" w:rsidP="007265DB">
            <w:pPr>
              <w:pStyle w:val="Tabela-tekst"/>
              <w:jc w:val="center"/>
              <w:rPr>
                <w:b/>
                <w:bCs/>
              </w:rPr>
            </w:pPr>
            <w:r w:rsidRPr="00A16503">
              <w:rPr>
                <w:b/>
                <w:bCs/>
              </w:rPr>
              <w:t>Liczba jcwp</w:t>
            </w:r>
          </w:p>
        </w:tc>
        <w:tc>
          <w:tcPr>
            <w:tcW w:w="863" w:type="pct"/>
            <w:gridSpan w:val="2"/>
            <w:shd w:val="clear" w:color="auto" w:fill="BFBFBF" w:themeFill="background1" w:themeFillShade="BF"/>
            <w:vAlign w:val="center"/>
          </w:tcPr>
          <w:p w14:paraId="72DD1C32" w14:textId="6603C1FF" w:rsidR="000831EE" w:rsidRPr="00A16503" w:rsidRDefault="000831EE" w:rsidP="007265DB">
            <w:pPr>
              <w:pStyle w:val="Tabela-tekst"/>
              <w:jc w:val="center"/>
              <w:rPr>
                <w:b/>
                <w:bCs/>
              </w:rPr>
            </w:pPr>
            <w:r w:rsidRPr="00A16503">
              <w:rPr>
                <w:b/>
                <w:bCs/>
              </w:rPr>
              <w:t>Udział w liczbie jcwp</w:t>
            </w:r>
            <w:r w:rsidR="00D3191A">
              <w:rPr>
                <w:b/>
                <w:bCs/>
              </w:rPr>
              <w:t xml:space="preserve"> (%)</w:t>
            </w:r>
          </w:p>
        </w:tc>
        <w:tc>
          <w:tcPr>
            <w:tcW w:w="1004" w:type="pct"/>
            <w:shd w:val="clear" w:color="auto" w:fill="BFBFBF" w:themeFill="background1" w:themeFillShade="BF"/>
            <w:vAlign w:val="center"/>
          </w:tcPr>
          <w:p w14:paraId="278FA1D4" w14:textId="77777777" w:rsidR="000831EE" w:rsidRPr="00A16503" w:rsidRDefault="000831EE" w:rsidP="007265DB">
            <w:pPr>
              <w:pStyle w:val="Tabela-tekst"/>
              <w:jc w:val="center"/>
              <w:rPr>
                <w:b/>
                <w:bCs/>
              </w:rPr>
            </w:pPr>
            <w:r w:rsidRPr="00A16503">
              <w:rPr>
                <w:b/>
                <w:bCs/>
              </w:rPr>
              <w:t>Uwagi</w:t>
            </w:r>
          </w:p>
        </w:tc>
      </w:tr>
      <w:tr w:rsidR="00A16503" w:rsidRPr="00D94617" w14:paraId="2745BCBA" w14:textId="77777777" w:rsidTr="00C4673D">
        <w:trPr>
          <w:trHeight w:val="340"/>
        </w:trPr>
        <w:tc>
          <w:tcPr>
            <w:tcW w:w="2272" w:type="pct"/>
            <w:shd w:val="clear" w:color="auto" w:fill="auto"/>
            <w:noWrap/>
            <w:vAlign w:val="center"/>
          </w:tcPr>
          <w:p w14:paraId="4D326F03" w14:textId="77777777" w:rsidR="000831EE" w:rsidRPr="000B6C3D" w:rsidRDefault="000831EE" w:rsidP="00A16503">
            <w:pPr>
              <w:pStyle w:val="Tabela-tekst"/>
            </w:pPr>
            <w:r w:rsidRPr="000B6C3D">
              <w:t>Liczba jcwp ze realizowanym lub zrealizowanym min</w:t>
            </w:r>
            <w:r>
              <w:t>.</w:t>
            </w:r>
            <w:r w:rsidRPr="000B6C3D">
              <w:t xml:space="preserve"> 1 zestawem działań ciągłych</w:t>
            </w:r>
          </w:p>
        </w:tc>
        <w:tc>
          <w:tcPr>
            <w:tcW w:w="861" w:type="pct"/>
            <w:gridSpan w:val="2"/>
            <w:shd w:val="clear" w:color="auto" w:fill="auto"/>
            <w:noWrap/>
            <w:vAlign w:val="center"/>
          </w:tcPr>
          <w:p w14:paraId="22D9B237" w14:textId="77777777" w:rsidR="000831EE" w:rsidRPr="000B6C3D" w:rsidRDefault="000831EE" w:rsidP="007265DB">
            <w:pPr>
              <w:pStyle w:val="Tabela-tekst"/>
              <w:jc w:val="center"/>
            </w:pPr>
            <w:r w:rsidRPr="000B6C3D">
              <w:t>3310</w:t>
            </w:r>
          </w:p>
        </w:tc>
        <w:tc>
          <w:tcPr>
            <w:tcW w:w="863" w:type="pct"/>
            <w:gridSpan w:val="2"/>
            <w:vAlign w:val="center"/>
          </w:tcPr>
          <w:p w14:paraId="14969F95" w14:textId="39362E3A" w:rsidR="000831EE" w:rsidRPr="000B6C3D" w:rsidRDefault="000831EE" w:rsidP="007265DB">
            <w:pPr>
              <w:pStyle w:val="Tabela-tekst"/>
              <w:jc w:val="center"/>
            </w:pPr>
            <w:r>
              <w:t>72,2</w:t>
            </w:r>
          </w:p>
        </w:tc>
        <w:tc>
          <w:tcPr>
            <w:tcW w:w="1004" w:type="pct"/>
            <w:vAlign w:val="center"/>
          </w:tcPr>
          <w:p w14:paraId="7174C20F" w14:textId="77777777" w:rsidR="000831EE" w:rsidRPr="000B6C3D" w:rsidRDefault="000831EE" w:rsidP="007265DB">
            <w:pPr>
              <w:pStyle w:val="Tabela-tekst"/>
              <w:jc w:val="center"/>
            </w:pPr>
            <w:r w:rsidRPr="000B6C3D">
              <w:t>-</w:t>
            </w:r>
          </w:p>
        </w:tc>
      </w:tr>
      <w:tr w:rsidR="00A16503" w:rsidRPr="00D94617" w14:paraId="1C222FC7" w14:textId="77777777" w:rsidTr="00C4673D">
        <w:trPr>
          <w:trHeight w:val="340"/>
        </w:trPr>
        <w:tc>
          <w:tcPr>
            <w:tcW w:w="2272" w:type="pct"/>
            <w:shd w:val="clear" w:color="auto" w:fill="auto"/>
            <w:noWrap/>
            <w:vAlign w:val="center"/>
            <w:hideMark/>
          </w:tcPr>
          <w:p w14:paraId="3965E80A" w14:textId="77777777" w:rsidR="000831EE" w:rsidRPr="000B6C3D" w:rsidRDefault="000831EE" w:rsidP="00A16503">
            <w:pPr>
              <w:pStyle w:val="Tabela-tekst"/>
            </w:pPr>
            <w:r w:rsidRPr="000B6C3D">
              <w:t>Liczba jcwp ze zrealizowanym min. 1 działaniem jednorazowym</w:t>
            </w:r>
          </w:p>
        </w:tc>
        <w:tc>
          <w:tcPr>
            <w:tcW w:w="861" w:type="pct"/>
            <w:gridSpan w:val="2"/>
            <w:shd w:val="clear" w:color="auto" w:fill="auto"/>
            <w:noWrap/>
            <w:vAlign w:val="center"/>
            <w:hideMark/>
          </w:tcPr>
          <w:p w14:paraId="15839184" w14:textId="77777777" w:rsidR="000831EE" w:rsidRPr="000B6C3D" w:rsidRDefault="000831EE" w:rsidP="007265DB">
            <w:pPr>
              <w:pStyle w:val="Tabela-tekst"/>
              <w:jc w:val="center"/>
            </w:pPr>
            <w:r w:rsidRPr="000B6C3D">
              <w:t>733</w:t>
            </w:r>
          </w:p>
        </w:tc>
        <w:tc>
          <w:tcPr>
            <w:tcW w:w="863" w:type="pct"/>
            <w:gridSpan w:val="2"/>
            <w:vAlign w:val="center"/>
          </w:tcPr>
          <w:p w14:paraId="73722C2C" w14:textId="6E9831B2" w:rsidR="000831EE" w:rsidRPr="000B6C3D" w:rsidRDefault="000831EE" w:rsidP="007265DB">
            <w:pPr>
              <w:pStyle w:val="Tabela-tekst"/>
              <w:jc w:val="center"/>
            </w:pPr>
            <w:r>
              <w:t>16,0</w:t>
            </w:r>
          </w:p>
        </w:tc>
        <w:tc>
          <w:tcPr>
            <w:tcW w:w="1004" w:type="pct"/>
            <w:vAlign w:val="center"/>
          </w:tcPr>
          <w:p w14:paraId="7E158F2A" w14:textId="77777777" w:rsidR="000831EE" w:rsidRPr="000B6C3D" w:rsidRDefault="000831EE" w:rsidP="007265DB">
            <w:pPr>
              <w:pStyle w:val="Tabela-tekst"/>
              <w:jc w:val="center"/>
            </w:pPr>
            <w:r w:rsidRPr="000B6C3D">
              <w:t>-</w:t>
            </w:r>
          </w:p>
        </w:tc>
      </w:tr>
      <w:tr w:rsidR="00A16503" w:rsidRPr="00D94617" w14:paraId="11780DF5" w14:textId="77777777" w:rsidTr="00C4673D">
        <w:trPr>
          <w:trHeight w:val="340"/>
        </w:trPr>
        <w:tc>
          <w:tcPr>
            <w:tcW w:w="2272" w:type="pct"/>
            <w:shd w:val="clear" w:color="auto" w:fill="auto"/>
            <w:noWrap/>
            <w:vAlign w:val="center"/>
            <w:hideMark/>
          </w:tcPr>
          <w:p w14:paraId="668F9FF6" w14:textId="77777777" w:rsidR="000831EE" w:rsidRPr="000B6C3D" w:rsidRDefault="000831EE" w:rsidP="00A16503">
            <w:pPr>
              <w:pStyle w:val="Tabela-tekst"/>
            </w:pPr>
            <w:r w:rsidRPr="000B6C3D">
              <w:t xml:space="preserve">Liczba ocen jcwp z wynikami umożliwiającymi uwzględnienie w ocenie skuteczności </w:t>
            </w:r>
          </w:p>
        </w:tc>
        <w:tc>
          <w:tcPr>
            <w:tcW w:w="861" w:type="pct"/>
            <w:gridSpan w:val="2"/>
            <w:shd w:val="clear" w:color="auto" w:fill="auto"/>
            <w:noWrap/>
            <w:vAlign w:val="center"/>
            <w:hideMark/>
          </w:tcPr>
          <w:p w14:paraId="2EF882D3" w14:textId="77777777" w:rsidR="000831EE" w:rsidRPr="000B6C3D" w:rsidRDefault="000831EE" w:rsidP="007265DB">
            <w:pPr>
              <w:pStyle w:val="Tabela-tekst"/>
              <w:jc w:val="center"/>
            </w:pPr>
            <w:r w:rsidRPr="000B6C3D">
              <w:t>609</w:t>
            </w:r>
          </w:p>
        </w:tc>
        <w:tc>
          <w:tcPr>
            <w:tcW w:w="863" w:type="pct"/>
            <w:gridSpan w:val="2"/>
            <w:vAlign w:val="center"/>
          </w:tcPr>
          <w:p w14:paraId="0EBFA60E" w14:textId="5FB77691" w:rsidR="000831EE" w:rsidRPr="000B6C3D" w:rsidRDefault="000831EE" w:rsidP="007265DB">
            <w:pPr>
              <w:pStyle w:val="Tabela-tekst"/>
              <w:jc w:val="center"/>
            </w:pPr>
            <w:r w:rsidRPr="000B6C3D">
              <w:t>1</w:t>
            </w:r>
            <w:r>
              <w:t>3,2</w:t>
            </w:r>
          </w:p>
        </w:tc>
        <w:tc>
          <w:tcPr>
            <w:tcW w:w="1004" w:type="pct"/>
            <w:vAlign w:val="center"/>
          </w:tcPr>
          <w:p w14:paraId="695232E9" w14:textId="77777777" w:rsidR="000831EE" w:rsidRPr="000B6C3D" w:rsidRDefault="000831EE" w:rsidP="007265DB">
            <w:pPr>
              <w:pStyle w:val="Tabela-tekst"/>
              <w:jc w:val="center"/>
            </w:pPr>
            <w:r>
              <w:t>-</w:t>
            </w:r>
          </w:p>
        </w:tc>
      </w:tr>
      <w:tr w:rsidR="00A16503" w:rsidRPr="00D94617" w14:paraId="78949281" w14:textId="77777777" w:rsidTr="00C4673D">
        <w:trPr>
          <w:trHeight w:val="340"/>
        </w:trPr>
        <w:tc>
          <w:tcPr>
            <w:tcW w:w="2272" w:type="pct"/>
            <w:shd w:val="clear" w:color="auto" w:fill="D9D9D9" w:themeFill="background1" w:themeFillShade="D9"/>
            <w:noWrap/>
            <w:vAlign w:val="center"/>
          </w:tcPr>
          <w:p w14:paraId="45BC2667" w14:textId="77777777" w:rsidR="000831EE" w:rsidRPr="000B6C3D" w:rsidRDefault="000831EE" w:rsidP="00A16503">
            <w:pPr>
              <w:pStyle w:val="Tabela-tekst"/>
            </w:pPr>
            <w:r>
              <w:t>S</w:t>
            </w:r>
            <w:r w:rsidRPr="000B6C3D">
              <w:t>kuteczność redukcji stężeń</w:t>
            </w:r>
            <w:r>
              <w:t xml:space="preserve"> oceniana</w:t>
            </w:r>
            <w:r w:rsidRPr="000B6C3D">
              <w:t xml:space="preserve"> jako odsetek wykonanych oznaczeń</w:t>
            </w:r>
            <w:r>
              <w:t>,</w:t>
            </w:r>
            <w:r w:rsidRPr="000B6C3D">
              <w:t xml:space="preserve"> dla których uzyskano redukcję stężenia</w:t>
            </w:r>
          </w:p>
        </w:tc>
        <w:tc>
          <w:tcPr>
            <w:tcW w:w="861" w:type="pct"/>
            <w:gridSpan w:val="2"/>
            <w:shd w:val="clear" w:color="auto" w:fill="D9D9D9" w:themeFill="background1" w:themeFillShade="D9"/>
            <w:noWrap/>
            <w:vAlign w:val="center"/>
          </w:tcPr>
          <w:p w14:paraId="5E1A124F" w14:textId="77777777" w:rsidR="000831EE" w:rsidRPr="000B6C3D" w:rsidRDefault="000831EE" w:rsidP="007265DB">
            <w:pPr>
              <w:pStyle w:val="Tabela-tekst"/>
              <w:jc w:val="center"/>
            </w:pPr>
            <w:r>
              <w:t>P</w:t>
            </w:r>
            <w:r w:rsidRPr="000B6C3D">
              <w:t>owyżej 50% oznaczeń</w:t>
            </w:r>
          </w:p>
        </w:tc>
        <w:tc>
          <w:tcPr>
            <w:tcW w:w="863" w:type="pct"/>
            <w:gridSpan w:val="2"/>
            <w:shd w:val="clear" w:color="auto" w:fill="D9D9D9" w:themeFill="background1" w:themeFillShade="D9"/>
            <w:vAlign w:val="center"/>
          </w:tcPr>
          <w:p w14:paraId="293D5930" w14:textId="77777777" w:rsidR="000831EE" w:rsidRPr="000B6C3D" w:rsidRDefault="000831EE" w:rsidP="007265DB">
            <w:pPr>
              <w:pStyle w:val="Tabela-tekst"/>
              <w:jc w:val="center"/>
            </w:pPr>
            <w:r>
              <w:t>P</w:t>
            </w:r>
            <w:r w:rsidRPr="000B6C3D">
              <w:t>owyżej 85% oznaczeń</w:t>
            </w:r>
          </w:p>
        </w:tc>
        <w:tc>
          <w:tcPr>
            <w:tcW w:w="1004" w:type="pct"/>
            <w:shd w:val="clear" w:color="auto" w:fill="D9D9D9" w:themeFill="background1" w:themeFillShade="D9"/>
            <w:vAlign w:val="center"/>
          </w:tcPr>
          <w:p w14:paraId="31933CE9" w14:textId="77777777" w:rsidR="000831EE" w:rsidRPr="000B6C3D" w:rsidRDefault="000831EE" w:rsidP="007265DB">
            <w:pPr>
              <w:pStyle w:val="Tabela-tekst"/>
              <w:jc w:val="center"/>
            </w:pPr>
            <w:r w:rsidRPr="000B6C3D">
              <w:t>Uwagi</w:t>
            </w:r>
          </w:p>
        </w:tc>
      </w:tr>
      <w:tr w:rsidR="00A16503" w:rsidRPr="00D94617" w14:paraId="6C1C6EFD" w14:textId="77777777" w:rsidTr="00C4673D">
        <w:trPr>
          <w:trHeight w:val="340"/>
        </w:trPr>
        <w:tc>
          <w:tcPr>
            <w:tcW w:w="2272" w:type="pct"/>
            <w:shd w:val="clear" w:color="auto" w:fill="auto"/>
            <w:noWrap/>
            <w:vAlign w:val="center"/>
            <w:hideMark/>
          </w:tcPr>
          <w:p w14:paraId="76C55339" w14:textId="77777777" w:rsidR="000831EE" w:rsidRPr="000B6C3D" w:rsidRDefault="000831EE" w:rsidP="00A16503">
            <w:pPr>
              <w:pStyle w:val="Tabela-tekst"/>
            </w:pPr>
            <w:r w:rsidRPr="000B6C3D">
              <w:t>Liczba jcwp</w:t>
            </w:r>
            <w:r>
              <w:t>,</w:t>
            </w:r>
            <w:r w:rsidRPr="000B6C3D">
              <w:t xml:space="preserve"> w których redukcja stężenia występuje w powyżej 50% oznaczeń (za istotne przyjęto pomiary o redukcji poniżej 20%)</w:t>
            </w:r>
          </w:p>
        </w:tc>
        <w:tc>
          <w:tcPr>
            <w:tcW w:w="392" w:type="pct"/>
            <w:shd w:val="clear" w:color="auto" w:fill="auto"/>
            <w:noWrap/>
            <w:vAlign w:val="center"/>
            <w:hideMark/>
          </w:tcPr>
          <w:p w14:paraId="0B16B55C" w14:textId="77777777" w:rsidR="000831EE" w:rsidRPr="000B6C3D" w:rsidRDefault="000831EE" w:rsidP="007265DB">
            <w:pPr>
              <w:pStyle w:val="Tabela-tekst"/>
              <w:jc w:val="center"/>
            </w:pPr>
            <w:r w:rsidRPr="000B6C3D">
              <w:t>573</w:t>
            </w:r>
          </w:p>
        </w:tc>
        <w:tc>
          <w:tcPr>
            <w:tcW w:w="469" w:type="pct"/>
            <w:shd w:val="clear" w:color="auto" w:fill="auto"/>
            <w:noWrap/>
            <w:vAlign w:val="center"/>
            <w:hideMark/>
          </w:tcPr>
          <w:p w14:paraId="01384372" w14:textId="77777777" w:rsidR="000831EE" w:rsidRPr="000B6C3D" w:rsidRDefault="000831EE" w:rsidP="007265DB">
            <w:pPr>
              <w:pStyle w:val="Tabela-tekst"/>
              <w:jc w:val="center"/>
            </w:pPr>
            <w:r w:rsidRPr="000B6C3D">
              <w:t>94,1%</w:t>
            </w:r>
          </w:p>
        </w:tc>
        <w:tc>
          <w:tcPr>
            <w:tcW w:w="392" w:type="pct"/>
            <w:vAlign w:val="center"/>
          </w:tcPr>
          <w:p w14:paraId="668028A8" w14:textId="77777777" w:rsidR="000831EE" w:rsidRPr="000B6C3D" w:rsidRDefault="000831EE" w:rsidP="007265DB">
            <w:pPr>
              <w:pStyle w:val="Tabela-tekst"/>
              <w:jc w:val="center"/>
            </w:pPr>
            <w:r w:rsidRPr="000B6C3D">
              <w:t>400</w:t>
            </w:r>
          </w:p>
        </w:tc>
        <w:tc>
          <w:tcPr>
            <w:tcW w:w="471" w:type="pct"/>
            <w:vAlign w:val="center"/>
          </w:tcPr>
          <w:p w14:paraId="5DA4905E" w14:textId="77777777" w:rsidR="000831EE" w:rsidRPr="000B6C3D" w:rsidRDefault="000831EE" w:rsidP="007265DB">
            <w:pPr>
              <w:pStyle w:val="Tabela-tekst"/>
              <w:jc w:val="center"/>
            </w:pPr>
            <w:r w:rsidRPr="000B6C3D">
              <w:t>65,7%</w:t>
            </w:r>
          </w:p>
        </w:tc>
        <w:tc>
          <w:tcPr>
            <w:tcW w:w="1004" w:type="pct"/>
            <w:vAlign w:val="center"/>
          </w:tcPr>
          <w:p w14:paraId="0D435B91" w14:textId="77777777" w:rsidR="000831EE" w:rsidRPr="000B6C3D" w:rsidRDefault="000831EE" w:rsidP="007265DB">
            <w:pPr>
              <w:pStyle w:val="Tabela-tekst"/>
              <w:jc w:val="center"/>
            </w:pPr>
            <w:r>
              <w:t>proc.</w:t>
            </w:r>
            <w:r w:rsidRPr="000B6C3D">
              <w:t xml:space="preserve"> wykonanych ocen</w:t>
            </w:r>
          </w:p>
        </w:tc>
      </w:tr>
      <w:tr w:rsidR="00A16503" w:rsidRPr="00D94617" w14:paraId="3339130C" w14:textId="77777777" w:rsidTr="00C4673D">
        <w:trPr>
          <w:trHeight w:val="340"/>
        </w:trPr>
        <w:tc>
          <w:tcPr>
            <w:tcW w:w="2272" w:type="pct"/>
            <w:shd w:val="clear" w:color="auto" w:fill="auto"/>
            <w:noWrap/>
            <w:vAlign w:val="center"/>
            <w:hideMark/>
          </w:tcPr>
          <w:p w14:paraId="19DACB49" w14:textId="77777777" w:rsidR="000831EE" w:rsidRPr="000B6C3D" w:rsidRDefault="000831EE" w:rsidP="00A16503">
            <w:pPr>
              <w:pStyle w:val="Tabela-tekst"/>
            </w:pPr>
            <w:r w:rsidRPr="000B6C3D">
              <w:t xml:space="preserve">Liczba jcwp, </w:t>
            </w:r>
            <w:r>
              <w:t>w których</w:t>
            </w:r>
            <w:r w:rsidRPr="000B6C3D">
              <w:t xml:space="preserve"> nie stwierdz</w:t>
            </w:r>
            <w:r>
              <w:t>ono</w:t>
            </w:r>
            <w:r w:rsidRPr="000B6C3D">
              <w:t xml:space="preserve"> przekroczeń </w:t>
            </w:r>
            <w:r>
              <w:t xml:space="preserve">powyżej </w:t>
            </w:r>
            <w:r w:rsidRPr="000B6C3D">
              <w:t>50% wartości odchylenia od normy (kryterium przyjęte dla oceny skuteczności działań)</w:t>
            </w:r>
          </w:p>
        </w:tc>
        <w:tc>
          <w:tcPr>
            <w:tcW w:w="392" w:type="pct"/>
            <w:shd w:val="clear" w:color="auto" w:fill="auto"/>
            <w:noWrap/>
            <w:vAlign w:val="center"/>
            <w:hideMark/>
          </w:tcPr>
          <w:p w14:paraId="79B56E3B" w14:textId="77777777" w:rsidR="000831EE" w:rsidRPr="000B6C3D" w:rsidRDefault="000831EE" w:rsidP="007265DB">
            <w:pPr>
              <w:pStyle w:val="Tabela-tekst"/>
              <w:jc w:val="center"/>
            </w:pPr>
            <w:r w:rsidRPr="000B6C3D">
              <w:t>170</w:t>
            </w:r>
          </w:p>
        </w:tc>
        <w:tc>
          <w:tcPr>
            <w:tcW w:w="469" w:type="pct"/>
            <w:shd w:val="clear" w:color="auto" w:fill="auto"/>
            <w:noWrap/>
            <w:vAlign w:val="center"/>
            <w:hideMark/>
          </w:tcPr>
          <w:p w14:paraId="4052CEE9" w14:textId="77777777" w:rsidR="000831EE" w:rsidRPr="000B6C3D" w:rsidRDefault="000831EE" w:rsidP="007265DB">
            <w:pPr>
              <w:pStyle w:val="Tabela-tekst"/>
              <w:jc w:val="center"/>
            </w:pPr>
            <w:r w:rsidRPr="000B6C3D">
              <w:t>29,7%</w:t>
            </w:r>
          </w:p>
        </w:tc>
        <w:tc>
          <w:tcPr>
            <w:tcW w:w="392" w:type="pct"/>
            <w:vAlign w:val="center"/>
          </w:tcPr>
          <w:p w14:paraId="43D895B0" w14:textId="77777777" w:rsidR="000831EE" w:rsidRPr="000B6C3D" w:rsidRDefault="000831EE" w:rsidP="007265DB">
            <w:pPr>
              <w:pStyle w:val="Tabela-tekst"/>
              <w:jc w:val="center"/>
            </w:pPr>
            <w:r w:rsidRPr="000B6C3D">
              <w:t>170</w:t>
            </w:r>
          </w:p>
        </w:tc>
        <w:tc>
          <w:tcPr>
            <w:tcW w:w="471" w:type="pct"/>
            <w:vAlign w:val="center"/>
          </w:tcPr>
          <w:p w14:paraId="66F360FE" w14:textId="77777777" w:rsidR="000831EE" w:rsidRPr="000B6C3D" w:rsidRDefault="000831EE" w:rsidP="007265DB">
            <w:pPr>
              <w:pStyle w:val="Tabela-tekst"/>
              <w:jc w:val="center"/>
            </w:pPr>
            <w:r w:rsidRPr="000B6C3D">
              <w:t>42,5%</w:t>
            </w:r>
          </w:p>
        </w:tc>
        <w:tc>
          <w:tcPr>
            <w:tcW w:w="1004" w:type="pct"/>
            <w:vAlign w:val="center"/>
          </w:tcPr>
          <w:p w14:paraId="21DCEB3C" w14:textId="77777777" w:rsidR="000831EE" w:rsidRPr="000B6C3D" w:rsidRDefault="000831EE" w:rsidP="007265DB">
            <w:pPr>
              <w:pStyle w:val="Tabela-tekst"/>
              <w:jc w:val="center"/>
            </w:pPr>
            <w:r>
              <w:t>proc.</w:t>
            </w:r>
            <w:r w:rsidRPr="000B6C3D">
              <w:t xml:space="preserve"> ocen o wymaganej redukcji</w:t>
            </w:r>
          </w:p>
        </w:tc>
      </w:tr>
      <w:tr w:rsidR="00A16503" w:rsidRPr="00D94617" w14:paraId="5BE81B74" w14:textId="77777777" w:rsidTr="00C4673D">
        <w:trPr>
          <w:trHeight w:val="340"/>
        </w:trPr>
        <w:tc>
          <w:tcPr>
            <w:tcW w:w="2272" w:type="pct"/>
            <w:shd w:val="clear" w:color="auto" w:fill="auto"/>
            <w:noWrap/>
            <w:vAlign w:val="center"/>
            <w:hideMark/>
          </w:tcPr>
          <w:p w14:paraId="2F9C7A51" w14:textId="77777777" w:rsidR="000831EE" w:rsidRPr="000B6C3D" w:rsidRDefault="000831EE" w:rsidP="00A16503">
            <w:pPr>
              <w:pStyle w:val="Tabela-tekst"/>
            </w:pPr>
            <w:r w:rsidRPr="000B6C3D">
              <w:t xml:space="preserve">Liczba jcwp, </w:t>
            </w:r>
            <w:r>
              <w:t>w których</w:t>
            </w:r>
            <w:r w:rsidRPr="000B6C3D">
              <w:t xml:space="preserve"> stosowano działania i uzyskano skuteczność redukcji dla liczby oznaczeń</w:t>
            </w:r>
          </w:p>
        </w:tc>
        <w:tc>
          <w:tcPr>
            <w:tcW w:w="392" w:type="pct"/>
            <w:shd w:val="clear" w:color="auto" w:fill="auto"/>
            <w:noWrap/>
            <w:vAlign w:val="center"/>
            <w:hideMark/>
          </w:tcPr>
          <w:p w14:paraId="210D4FCB" w14:textId="77777777" w:rsidR="000831EE" w:rsidRPr="000B6C3D" w:rsidRDefault="000831EE" w:rsidP="007265DB">
            <w:pPr>
              <w:pStyle w:val="Tabela-tekst"/>
              <w:jc w:val="center"/>
            </w:pPr>
            <w:r w:rsidRPr="000B6C3D">
              <w:t>571</w:t>
            </w:r>
          </w:p>
        </w:tc>
        <w:tc>
          <w:tcPr>
            <w:tcW w:w="469" w:type="pct"/>
            <w:shd w:val="clear" w:color="auto" w:fill="auto"/>
            <w:noWrap/>
            <w:vAlign w:val="center"/>
            <w:hideMark/>
          </w:tcPr>
          <w:p w14:paraId="16BAD479" w14:textId="77777777" w:rsidR="000831EE" w:rsidRPr="000B6C3D" w:rsidRDefault="000831EE" w:rsidP="007265DB">
            <w:pPr>
              <w:pStyle w:val="Tabela-tekst"/>
              <w:jc w:val="center"/>
            </w:pPr>
            <w:r w:rsidRPr="000B6C3D">
              <w:t>99,7%</w:t>
            </w:r>
          </w:p>
        </w:tc>
        <w:tc>
          <w:tcPr>
            <w:tcW w:w="392" w:type="pct"/>
            <w:vAlign w:val="center"/>
          </w:tcPr>
          <w:p w14:paraId="1875E280" w14:textId="77777777" w:rsidR="000831EE" w:rsidRPr="000B6C3D" w:rsidRDefault="000831EE" w:rsidP="007265DB">
            <w:pPr>
              <w:pStyle w:val="Tabela-tekst"/>
              <w:jc w:val="center"/>
            </w:pPr>
            <w:r w:rsidRPr="000B6C3D">
              <w:t>398</w:t>
            </w:r>
          </w:p>
        </w:tc>
        <w:tc>
          <w:tcPr>
            <w:tcW w:w="471" w:type="pct"/>
            <w:vAlign w:val="center"/>
          </w:tcPr>
          <w:p w14:paraId="7D7F1958" w14:textId="77777777" w:rsidR="000831EE" w:rsidRPr="000B6C3D" w:rsidRDefault="000831EE" w:rsidP="007265DB">
            <w:pPr>
              <w:pStyle w:val="Tabela-tekst"/>
              <w:jc w:val="center"/>
            </w:pPr>
            <w:r w:rsidRPr="000B6C3D">
              <w:t>99,5%</w:t>
            </w:r>
          </w:p>
        </w:tc>
        <w:tc>
          <w:tcPr>
            <w:tcW w:w="1004" w:type="pct"/>
            <w:vAlign w:val="center"/>
          </w:tcPr>
          <w:p w14:paraId="0FFC44CD" w14:textId="77777777" w:rsidR="000831EE" w:rsidRPr="000B6C3D" w:rsidRDefault="000831EE" w:rsidP="007265DB">
            <w:pPr>
              <w:pStyle w:val="Tabela-tekst"/>
              <w:jc w:val="center"/>
            </w:pPr>
            <w:r>
              <w:t>proc.</w:t>
            </w:r>
            <w:r w:rsidRPr="000B6C3D">
              <w:t xml:space="preserve"> ocen o wymaganej redukcji z działaniami</w:t>
            </w:r>
          </w:p>
        </w:tc>
      </w:tr>
      <w:tr w:rsidR="00A16503" w:rsidRPr="00D94617" w14:paraId="594B1952" w14:textId="77777777" w:rsidTr="00C4673D">
        <w:trPr>
          <w:trHeight w:val="340"/>
        </w:trPr>
        <w:tc>
          <w:tcPr>
            <w:tcW w:w="2272" w:type="pct"/>
            <w:shd w:val="clear" w:color="auto" w:fill="auto"/>
            <w:noWrap/>
            <w:vAlign w:val="center"/>
            <w:hideMark/>
          </w:tcPr>
          <w:p w14:paraId="727206B5" w14:textId="77777777" w:rsidR="000831EE" w:rsidRPr="000B6C3D" w:rsidRDefault="000831EE" w:rsidP="00A16503">
            <w:pPr>
              <w:pStyle w:val="Tabela-tekst"/>
            </w:pPr>
            <w:r w:rsidRPr="000B6C3D">
              <w:t>Liczba działań dających założoną skuteczność redukcji dla liczby oznaczeń i ma</w:t>
            </w:r>
            <w:r>
              <w:t>ks</w:t>
            </w:r>
            <w:r w:rsidRPr="000B6C3D">
              <w:t>. przekroczenie dla pojedynczego oznaczenia do 50%</w:t>
            </w:r>
          </w:p>
        </w:tc>
        <w:tc>
          <w:tcPr>
            <w:tcW w:w="392" w:type="pct"/>
            <w:shd w:val="clear" w:color="auto" w:fill="auto"/>
            <w:noWrap/>
            <w:vAlign w:val="center"/>
            <w:hideMark/>
          </w:tcPr>
          <w:p w14:paraId="1B78383B" w14:textId="77777777" w:rsidR="000831EE" w:rsidRPr="000B6C3D" w:rsidRDefault="000831EE" w:rsidP="00A16503">
            <w:pPr>
              <w:pStyle w:val="Tabela-tekst"/>
            </w:pPr>
            <w:r w:rsidRPr="000B6C3D">
              <w:t>147</w:t>
            </w:r>
          </w:p>
        </w:tc>
        <w:tc>
          <w:tcPr>
            <w:tcW w:w="469" w:type="pct"/>
            <w:shd w:val="clear" w:color="auto" w:fill="auto"/>
            <w:noWrap/>
            <w:vAlign w:val="center"/>
            <w:hideMark/>
          </w:tcPr>
          <w:p w14:paraId="6E11E741" w14:textId="77777777" w:rsidR="000831EE" w:rsidRPr="000B6C3D" w:rsidRDefault="000831EE" w:rsidP="00A16503">
            <w:pPr>
              <w:pStyle w:val="Tabela-tekst"/>
            </w:pPr>
            <w:r w:rsidRPr="000B6C3D">
              <w:t>25,7%</w:t>
            </w:r>
          </w:p>
        </w:tc>
        <w:tc>
          <w:tcPr>
            <w:tcW w:w="392" w:type="pct"/>
            <w:vAlign w:val="center"/>
          </w:tcPr>
          <w:p w14:paraId="3FE18ED1" w14:textId="77777777" w:rsidR="000831EE" w:rsidRPr="000B6C3D" w:rsidRDefault="000831EE" w:rsidP="00A16503">
            <w:pPr>
              <w:pStyle w:val="Tabela-tekst"/>
            </w:pPr>
            <w:r w:rsidRPr="000B6C3D">
              <w:t>130</w:t>
            </w:r>
          </w:p>
        </w:tc>
        <w:tc>
          <w:tcPr>
            <w:tcW w:w="471" w:type="pct"/>
            <w:vAlign w:val="center"/>
          </w:tcPr>
          <w:p w14:paraId="4B30B879" w14:textId="77777777" w:rsidR="000831EE" w:rsidRPr="000B6C3D" w:rsidRDefault="000831EE" w:rsidP="00A16503">
            <w:pPr>
              <w:pStyle w:val="Tabela-tekst"/>
            </w:pPr>
            <w:r w:rsidRPr="000B6C3D">
              <w:t>32,7%</w:t>
            </w:r>
          </w:p>
        </w:tc>
        <w:tc>
          <w:tcPr>
            <w:tcW w:w="1004" w:type="pct"/>
            <w:vAlign w:val="center"/>
          </w:tcPr>
          <w:p w14:paraId="2721DDEA" w14:textId="77777777" w:rsidR="000831EE" w:rsidRPr="000B6C3D" w:rsidRDefault="000831EE" w:rsidP="00A16503">
            <w:pPr>
              <w:pStyle w:val="Tabela-tekst"/>
            </w:pPr>
            <w:r>
              <w:t>proc.</w:t>
            </w:r>
            <w:r w:rsidRPr="000B6C3D">
              <w:t xml:space="preserve"> ocen jw.</w:t>
            </w:r>
            <w:r>
              <w:t>,</w:t>
            </w:r>
            <w:r w:rsidRPr="000B6C3D">
              <w:t xml:space="preserve"> gdzie przekroczenia były niższe </w:t>
            </w:r>
            <w:r>
              <w:t>niż</w:t>
            </w:r>
            <w:r w:rsidRPr="000B6C3D">
              <w:t xml:space="preserve"> 50%</w:t>
            </w:r>
          </w:p>
        </w:tc>
      </w:tr>
    </w:tbl>
    <w:p w14:paraId="35C876F7" w14:textId="77777777" w:rsidR="00231528" w:rsidRPr="001E4D45" w:rsidRDefault="00231528" w:rsidP="00231528">
      <w:pPr>
        <w:pStyle w:val="rdo0"/>
      </w:pPr>
      <w:r w:rsidRPr="001E4D45">
        <w:rPr>
          <w:lang w:eastAsia="zh-CN"/>
        </w:rPr>
        <w:t xml:space="preserve">Źródło: opracowanie </w:t>
      </w:r>
      <w:r>
        <w:rPr>
          <w:lang w:eastAsia="zh-CN"/>
        </w:rPr>
        <w:t>własne</w:t>
      </w:r>
    </w:p>
    <w:p w14:paraId="5DCC213B" w14:textId="523D6E81" w:rsidR="000831EE" w:rsidRPr="00B75A5C" w:rsidRDefault="00B75A5C" w:rsidP="006802BB">
      <w:pPr>
        <w:pStyle w:val="Tabela"/>
      </w:pPr>
      <w:bookmarkStart w:id="485" w:name="_Toc68727055"/>
      <w:r>
        <w:t xml:space="preserve">Tabela </w:t>
      </w:r>
      <w:fldSimple w:instr=" STYLEREF 1 \s ">
        <w:r w:rsidR="009D0A01">
          <w:rPr>
            <w:noProof/>
          </w:rPr>
          <w:t>13</w:t>
        </w:r>
      </w:fldSimple>
      <w:r w:rsidR="007B4050">
        <w:noBreakHyphen/>
      </w:r>
      <w:fldSimple w:instr=" SEQ Tabela \* ARABIC \s 1 ">
        <w:r w:rsidR="009D0A01">
          <w:rPr>
            <w:noProof/>
          </w:rPr>
          <w:t>15</w:t>
        </w:r>
      </w:fldSimple>
      <w:r>
        <w:tab/>
      </w:r>
      <w:r w:rsidRPr="00D06A1F">
        <w:t xml:space="preserve">Skuteczność działań dla kategorii jcwp </w:t>
      </w:r>
      <w:r>
        <w:t>jeziornych</w:t>
      </w:r>
      <w:r w:rsidRPr="00D06A1F">
        <w:t xml:space="preserve"> w zakresie oceny substancji priorytetowych w wodzie </w:t>
      </w:r>
      <w:r w:rsidR="00442AB7">
        <w:t>-</w:t>
      </w:r>
      <w:r w:rsidRPr="00D06A1F">
        <w:t xml:space="preserve"> </w:t>
      </w:r>
      <w:r>
        <w:t xml:space="preserve">analiza statystyczna obejmująca </w:t>
      </w:r>
      <w:r w:rsidRPr="00D06A1F">
        <w:t>wszystkie obszary dorzeczy</w:t>
      </w:r>
      <w:bookmarkEnd w:id="4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9"/>
        <w:gridCol w:w="707"/>
        <w:gridCol w:w="855"/>
        <w:gridCol w:w="707"/>
        <w:gridCol w:w="854"/>
        <w:gridCol w:w="1820"/>
      </w:tblGrid>
      <w:tr w:rsidR="0088060C" w:rsidRPr="00D94617" w14:paraId="3508273B" w14:textId="77777777" w:rsidTr="00C80744">
        <w:trPr>
          <w:trHeight w:val="454"/>
        </w:trPr>
        <w:tc>
          <w:tcPr>
            <w:tcW w:w="2273" w:type="pct"/>
            <w:shd w:val="clear" w:color="auto" w:fill="BFBFBF" w:themeFill="background1" w:themeFillShade="BF"/>
            <w:noWrap/>
            <w:vAlign w:val="center"/>
          </w:tcPr>
          <w:p w14:paraId="7B23CC04" w14:textId="77777777" w:rsidR="0088060C" w:rsidRPr="00C80744" w:rsidRDefault="0088060C" w:rsidP="00D228EB">
            <w:pPr>
              <w:pStyle w:val="Tabela-tekst"/>
              <w:jc w:val="center"/>
              <w:rPr>
                <w:b/>
                <w:bCs/>
              </w:rPr>
            </w:pPr>
            <w:r w:rsidRPr="00C80744">
              <w:rPr>
                <w:b/>
                <w:bCs/>
              </w:rPr>
              <w:t>Ocena skuteczności działań w jcwp LW</w:t>
            </w:r>
          </w:p>
        </w:tc>
        <w:tc>
          <w:tcPr>
            <w:tcW w:w="862" w:type="pct"/>
            <w:gridSpan w:val="2"/>
            <w:shd w:val="clear" w:color="auto" w:fill="BFBFBF" w:themeFill="background1" w:themeFillShade="BF"/>
            <w:noWrap/>
            <w:vAlign w:val="center"/>
          </w:tcPr>
          <w:p w14:paraId="2756B1C3" w14:textId="77777777" w:rsidR="0088060C" w:rsidRPr="00C80744" w:rsidRDefault="0088060C" w:rsidP="0088060C">
            <w:pPr>
              <w:pStyle w:val="Tabela-tekst"/>
              <w:jc w:val="center"/>
              <w:rPr>
                <w:b/>
                <w:bCs/>
              </w:rPr>
            </w:pPr>
            <w:r w:rsidRPr="00C80744">
              <w:rPr>
                <w:b/>
                <w:bCs/>
              </w:rPr>
              <w:t>Liczba jcwp</w:t>
            </w:r>
          </w:p>
        </w:tc>
        <w:tc>
          <w:tcPr>
            <w:tcW w:w="861" w:type="pct"/>
            <w:gridSpan w:val="2"/>
            <w:shd w:val="clear" w:color="auto" w:fill="BFBFBF" w:themeFill="background1" w:themeFillShade="BF"/>
            <w:vAlign w:val="center"/>
          </w:tcPr>
          <w:p w14:paraId="43EE4681" w14:textId="0273F3A1" w:rsidR="0088060C" w:rsidRPr="00C80744" w:rsidRDefault="0088060C" w:rsidP="0088060C">
            <w:pPr>
              <w:pStyle w:val="Tabela-tekst"/>
              <w:jc w:val="center"/>
              <w:rPr>
                <w:b/>
                <w:bCs/>
              </w:rPr>
            </w:pPr>
            <w:r w:rsidRPr="00A16503">
              <w:rPr>
                <w:b/>
                <w:bCs/>
              </w:rPr>
              <w:t>Udział w liczbie jcwp</w:t>
            </w:r>
            <w:r>
              <w:rPr>
                <w:b/>
                <w:bCs/>
              </w:rPr>
              <w:t xml:space="preserve"> (%)</w:t>
            </w:r>
          </w:p>
        </w:tc>
        <w:tc>
          <w:tcPr>
            <w:tcW w:w="1004" w:type="pct"/>
            <w:shd w:val="clear" w:color="auto" w:fill="BFBFBF" w:themeFill="background1" w:themeFillShade="BF"/>
            <w:vAlign w:val="center"/>
          </w:tcPr>
          <w:p w14:paraId="27139357" w14:textId="77777777" w:rsidR="0088060C" w:rsidRPr="00C80744" w:rsidRDefault="0088060C" w:rsidP="0088060C">
            <w:pPr>
              <w:pStyle w:val="Tabela-tekst"/>
              <w:jc w:val="center"/>
              <w:rPr>
                <w:b/>
                <w:bCs/>
              </w:rPr>
            </w:pPr>
            <w:r w:rsidRPr="00C80744">
              <w:rPr>
                <w:b/>
                <w:bCs/>
              </w:rPr>
              <w:t>Uwagi</w:t>
            </w:r>
          </w:p>
        </w:tc>
      </w:tr>
      <w:tr w:rsidR="000831EE" w:rsidRPr="00D94617" w14:paraId="2C71C298" w14:textId="77777777" w:rsidTr="00C80744">
        <w:trPr>
          <w:trHeight w:val="454"/>
        </w:trPr>
        <w:tc>
          <w:tcPr>
            <w:tcW w:w="2273" w:type="pct"/>
            <w:shd w:val="clear" w:color="auto" w:fill="auto"/>
            <w:noWrap/>
            <w:vAlign w:val="center"/>
          </w:tcPr>
          <w:p w14:paraId="14D5C5DF" w14:textId="77777777" w:rsidR="000831EE" w:rsidRPr="000B6C3D" w:rsidRDefault="000831EE" w:rsidP="00C80744">
            <w:pPr>
              <w:pStyle w:val="Tabela-tekst"/>
            </w:pPr>
            <w:r w:rsidRPr="000B6C3D">
              <w:t>Liczba jcwp ze realizowanym lub zrealizowanym min</w:t>
            </w:r>
            <w:r>
              <w:t>.</w:t>
            </w:r>
            <w:r w:rsidRPr="000B6C3D">
              <w:t xml:space="preserve"> 1 zestawem działań ciągłych</w:t>
            </w:r>
          </w:p>
        </w:tc>
        <w:tc>
          <w:tcPr>
            <w:tcW w:w="862" w:type="pct"/>
            <w:gridSpan w:val="2"/>
            <w:shd w:val="clear" w:color="auto" w:fill="auto"/>
            <w:noWrap/>
            <w:vAlign w:val="center"/>
          </w:tcPr>
          <w:p w14:paraId="6814C1C5" w14:textId="77777777" w:rsidR="000831EE" w:rsidRPr="000B6C3D" w:rsidRDefault="000831EE" w:rsidP="0088060C">
            <w:pPr>
              <w:pStyle w:val="Tabela-tekst"/>
              <w:jc w:val="center"/>
            </w:pPr>
            <w:r w:rsidRPr="000B6C3D">
              <w:t>686</w:t>
            </w:r>
          </w:p>
        </w:tc>
        <w:tc>
          <w:tcPr>
            <w:tcW w:w="861" w:type="pct"/>
            <w:gridSpan w:val="2"/>
            <w:vAlign w:val="center"/>
          </w:tcPr>
          <w:p w14:paraId="7F5A8086" w14:textId="29019A18" w:rsidR="000831EE" w:rsidRPr="000B6C3D" w:rsidRDefault="000831EE" w:rsidP="0088060C">
            <w:pPr>
              <w:pStyle w:val="Tabela-tekst"/>
              <w:jc w:val="center"/>
            </w:pPr>
            <w:r>
              <w:t>65,7</w:t>
            </w:r>
          </w:p>
        </w:tc>
        <w:tc>
          <w:tcPr>
            <w:tcW w:w="1004" w:type="pct"/>
            <w:vAlign w:val="center"/>
          </w:tcPr>
          <w:p w14:paraId="4E018C57" w14:textId="77777777" w:rsidR="000831EE" w:rsidRPr="000B6C3D" w:rsidRDefault="000831EE" w:rsidP="0088060C">
            <w:pPr>
              <w:pStyle w:val="Tabela-tekst"/>
              <w:jc w:val="center"/>
            </w:pPr>
            <w:r w:rsidRPr="000B6C3D">
              <w:t>-</w:t>
            </w:r>
          </w:p>
        </w:tc>
      </w:tr>
      <w:tr w:rsidR="000831EE" w:rsidRPr="00D94617" w14:paraId="7D84E39C" w14:textId="77777777" w:rsidTr="00C80744">
        <w:trPr>
          <w:trHeight w:val="454"/>
        </w:trPr>
        <w:tc>
          <w:tcPr>
            <w:tcW w:w="2273" w:type="pct"/>
            <w:shd w:val="clear" w:color="auto" w:fill="auto"/>
            <w:noWrap/>
            <w:vAlign w:val="center"/>
            <w:hideMark/>
          </w:tcPr>
          <w:p w14:paraId="234304A8" w14:textId="77777777" w:rsidR="000831EE" w:rsidRPr="000B6C3D" w:rsidRDefault="000831EE" w:rsidP="00C80744">
            <w:pPr>
              <w:pStyle w:val="Tabela-tekst"/>
            </w:pPr>
            <w:r w:rsidRPr="000B6C3D">
              <w:t>Liczba jcwp ze zrealizowanym min. 1 działaniem jednorazowym</w:t>
            </w:r>
          </w:p>
        </w:tc>
        <w:tc>
          <w:tcPr>
            <w:tcW w:w="862" w:type="pct"/>
            <w:gridSpan w:val="2"/>
            <w:shd w:val="clear" w:color="auto" w:fill="auto"/>
            <w:noWrap/>
            <w:vAlign w:val="center"/>
            <w:hideMark/>
          </w:tcPr>
          <w:p w14:paraId="5D1666CA" w14:textId="77777777" w:rsidR="000831EE" w:rsidRPr="000B6C3D" w:rsidRDefault="000831EE" w:rsidP="0088060C">
            <w:pPr>
              <w:pStyle w:val="Tabela-tekst"/>
              <w:jc w:val="center"/>
            </w:pPr>
            <w:r w:rsidRPr="000B6C3D">
              <w:t>14</w:t>
            </w:r>
          </w:p>
        </w:tc>
        <w:tc>
          <w:tcPr>
            <w:tcW w:w="861" w:type="pct"/>
            <w:gridSpan w:val="2"/>
            <w:vAlign w:val="center"/>
          </w:tcPr>
          <w:p w14:paraId="3F723158" w14:textId="3D815C05" w:rsidR="000831EE" w:rsidRPr="000B6C3D" w:rsidRDefault="000831EE" w:rsidP="0088060C">
            <w:pPr>
              <w:pStyle w:val="Tabela-tekst"/>
              <w:jc w:val="center"/>
            </w:pPr>
            <w:r>
              <w:t>1,3</w:t>
            </w:r>
          </w:p>
        </w:tc>
        <w:tc>
          <w:tcPr>
            <w:tcW w:w="1004" w:type="pct"/>
            <w:vAlign w:val="center"/>
          </w:tcPr>
          <w:p w14:paraId="1ADBCE45" w14:textId="77777777" w:rsidR="000831EE" w:rsidRPr="000B6C3D" w:rsidRDefault="000831EE" w:rsidP="0088060C">
            <w:pPr>
              <w:pStyle w:val="Tabela-tekst"/>
              <w:jc w:val="center"/>
            </w:pPr>
            <w:r w:rsidRPr="000B6C3D">
              <w:t>-</w:t>
            </w:r>
          </w:p>
        </w:tc>
      </w:tr>
      <w:tr w:rsidR="000831EE" w:rsidRPr="00D94617" w14:paraId="19B35AF3" w14:textId="77777777" w:rsidTr="00C80744">
        <w:trPr>
          <w:trHeight w:val="454"/>
        </w:trPr>
        <w:tc>
          <w:tcPr>
            <w:tcW w:w="2273" w:type="pct"/>
            <w:shd w:val="clear" w:color="auto" w:fill="auto"/>
            <w:noWrap/>
            <w:vAlign w:val="center"/>
            <w:hideMark/>
          </w:tcPr>
          <w:p w14:paraId="6E1CE0DD" w14:textId="77777777" w:rsidR="000831EE" w:rsidRPr="000B6C3D" w:rsidRDefault="000831EE" w:rsidP="00C80744">
            <w:pPr>
              <w:pStyle w:val="Tabela-tekst"/>
            </w:pPr>
            <w:r w:rsidRPr="000B6C3D">
              <w:t xml:space="preserve">Liczba ocen jcwp z wynikami umożliwiającymi uwzględnienie w ocenie skuteczności </w:t>
            </w:r>
          </w:p>
        </w:tc>
        <w:tc>
          <w:tcPr>
            <w:tcW w:w="862" w:type="pct"/>
            <w:gridSpan w:val="2"/>
            <w:shd w:val="clear" w:color="auto" w:fill="auto"/>
            <w:noWrap/>
            <w:vAlign w:val="center"/>
            <w:hideMark/>
          </w:tcPr>
          <w:p w14:paraId="64EB6E9A" w14:textId="77777777" w:rsidR="000831EE" w:rsidRPr="000B6C3D" w:rsidRDefault="000831EE" w:rsidP="0088060C">
            <w:pPr>
              <w:pStyle w:val="Tabela-tekst"/>
              <w:jc w:val="center"/>
            </w:pPr>
            <w:r w:rsidRPr="000B6C3D">
              <w:t>202</w:t>
            </w:r>
          </w:p>
        </w:tc>
        <w:tc>
          <w:tcPr>
            <w:tcW w:w="861" w:type="pct"/>
            <w:gridSpan w:val="2"/>
            <w:vAlign w:val="center"/>
          </w:tcPr>
          <w:p w14:paraId="36FEEE93" w14:textId="26B3EDDE" w:rsidR="000831EE" w:rsidRPr="000B6C3D" w:rsidRDefault="000831EE" w:rsidP="0088060C">
            <w:pPr>
              <w:pStyle w:val="Tabela-tekst"/>
              <w:jc w:val="center"/>
            </w:pPr>
            <w:r>
              <w:t>1</w:t>
            </w:r>
            <w:r w:rsidRPr="000B6C3D">
              <w:t>9,3</w:t>
            </w:r>
          </w:p>
        </w:tc>
        <w:tc>
          <w:tcPr>
            <w:tcW w:w="1004" w:type="pct"/>
            <w:vAlign w:val="center"/>
          </w:tcPr>
          <w:p w14:paraId="6D135511" w14:textId="77777777" w:rsidR="000831EE" w:rsidRPr="000B6C3D" w:rsidRDefault="000831EE" w:rsidP="0088060C">
            <w:pPr>
              <w:pStyle w:val="Tabela-tekst"/>
              <w:jc w:val="center"/>
            </w:pPr>
            <w:r>
              <w:t>-</w:t>
            </w:r>
          </w:p>
        </w:tc>
      </w:tr>
      <w:tr w:rsidR="000831EE" w:rsidRPr="00D94617" w14:paraId="5A160057" w14:textId="77777777" w:rsidTr="00C80744">
        <w:trPr>
          <w:trHeight w:val="454"/>
        </w:trPr>
        <w:tc>
          <w:tcPr>
            <w:tcW w:w="2273" w:type="pct"/>
            <w:shd w:val="clear" w:color="auto" w:fill="D9D9D9" w:themeFill="background1" w:themeFillShade="D9"/>
            <w:noWrap/>
            <w:vAlign w:val="center"/>
          </w:tcPr>
          <w:p w14:paraId="10B4D3CD" w14:textId="77777777" w:rsidR="000831EE" w:rsidRPr="000B6C3D" w:rsidRDefault="000831EE" w:rsidP="00C80744">
            <w:pPr>
              <w:pStyle w:val="Tabela-tekst"/>
            </w:pPr>
            <w:r>
              <w:t>S</w:t>
            </w:r>
            <w:r w:rsidRPr="000B6C3D">
              <w:t>kuteczność redukcji stężeń</w:t>
            </w:r>
            <w:r>
              <w:t xml:space="preserve"> oceniana</w:t>
            </w:r>
            <w:r w:rsidRPr="000B6C3D">
              <w:t xml:space="preserve"> jako odsetek wykonanych oznaczeń</w:t>
            </w:r>
            <w:r>
              <w:t>,</w:t>
            </w:r>
            <w:r w:rsidRPr="000B6C3D">
              <w:t xml:space="preserve"> dla których uzyskano redukcję stężenia</w:t>
            </w:r>
          </w:p>
        </w:tc>
        <w:tc>
          <w:tcPr>
            <w:tcW w:w="862" w:type="pct"/>
            <w:gridSpan w:val="2"/>
            <w:shd w:val="clear" w:color="auto" w:fill="D9D9D9" w:themeFill="background1" w:themeFillShade="D9"/>
            <w:noWrap/>
            <w:vAlign w:val="center"/>
          </w:tcPr>
          <w:p w14:paraId="042E29CE" w14:textId="77777777" w:rsidR="000831EE" w:rsidRPr="000B6C3D" w:rsidRDefault="000831EE" w:rsidP="0005040A">
            <w:pPr>
              <w:pStyle w:val="Tabela-tekst"/>
              <w:jc w:val="center"/>
            </w:pPr>
            <w:r>
              <w:t>C</w:t>
            </w:r>
            <w:r w:rsidRPr="000B6C3D">
              <w:t>o najmniej 50% oznaczeń</w:t>
            </w:r>
          </w:p>
        </w:tc>
        <w:tc>
          <w:tcPr>
            <w:tcW w:w="861" w:type="pct"/>
            <w:gridSpan w:val="2"/>
            <w:shd w:val="clear" w:color="auto" w:fill="D9D9D9" w:themeFill="background1" w:themeFillShade="D9"/>
            <w:vAlign w:val="center"/>
          </w:tcPr>
          <w:p w14:paraId="7A067E80" w14:textId="77777777" w:rsidR="000831EE" w:rsidRPr="000B6C3D" w:rsidRDefault="000831EE" w:rsidP="0005040A">
            <w:pPr>
              <w:pStyle w:val="Tabela-tekst"/>
              <w:jc w:val="center"/>
            </w:pPr>
            <w:r>
              <w:t>C</w:t>
            </w:r>
            <w:r w:rsidRPr="000B6C3D">
              <w:t>o najmniej 85% oznaczeń</w:t>
            </w:r>
          </w:p>
        </w:tc>
        <w:tc>
          <w:tcPr>
            <w:tcW w:w="1004" w:type="pct"/>
            <w:shd w:val="clear" w:color="auto" w:fill="D9D9D9" w:themeFill="background1" w:themeFillShade="D9"/>
            <w:vAlign w:val="center"/>
          </w:tcPr>
          <w:p w14:paraId="662FFD51" w14:textId="77777777" w:rsidR="000831EE" w:rsidRPr="000B6C3D" w:rsidRDefault="000831EE" w:rsidP="0005040A">
            <w:pPr>
              <w:pStyle w:val="Tabela-tekst"/>
              <w:jc w:val="center"/>
            </w:pPr>
            <w:r w:rsidRPr="000B6C3D">
              <w:t>Uwagi</w:t>
            </w:r>
          </w:p>
        </w:tc>
      </w:tr>
      <w:tr w:rsidR="00C80744" w:rsidRPr="00D94617" w14:paraId="0F1A1E3A" w14:textId="77777777" w:rsidTr="00C80744">
        <w:trPr>
          <w:trHeight w:val="454"/>
        </w:trPr>
        <w:tc>
          <w:tcPr>
            <w:tcW w:w="2273" w:type="pct"/>
            <w:shd w:val="clear" w:color="auto" w:fill="auto"/>
            <w:noWrap/>
            <w:vAlign w:val="center"/>
            <w:hideMark/>
          </w:tcPr>
          <w:p w14:paraId="1917E35F" w14:textId="77777777" w:rsidR="000831EE" w:rsidRPr="000B6C3D" w:rsidRDefault="000831EE" w:rsidP="00C80744">
            <w:pPr>
              <w:pStyle w:val="Tabela-tekst"/>
            </w:pPr>
            <w:r w:rsidRPr="000B6C3D">
              <w:t>Liczba jcwp</w:t>
            </w:r>
            <w:r>
              <w:t>,</w:t>
            </w:r>
            <w:r w:rsidRPr="000B6C3D">
              <w:t xml:space="preserve"> w których redukcja stężenia występuje w powyżej 50% oznaczeń (za istotne przyjęto pomiary o redukcji poniżej 20%)</w:t>
            </w:r>
          </w:p>
        </w:tc>
        <w:tc>
          <w:tcPr>
            <w:tcW w:w="390" w:type="pct"/>
            <w:shd w:val="clear" w:color="auto" w:fill="auto"/>
            <w:noWrap/>
            <w:vAlign w:val="center"/>
            <w:hideMark/>
          </w:tcPr>
          <w:p w14:paraId="447A7E37" w14:textId="77777777" w:rsidR="000831EE" w:rsidRPr="000B6C3D" w:rsidRDefault="000831EE" w:rsidP="0005040A">
            <w:pPr>
              <w:pStyle w:val="Tabela-tekst"/>
              <w:jc w:val="center"/>
            </w:pPr>
            <w:r w:rsidRPr="000B6C3D">
              <w:t>176</w:t>
            </w:r>
          </w:p>
        </w:tc>
        <w:tc>
          <w:tcPr>
            <w:tcW w:w="472" w:type="pct"/>
            <w:shd w:val="clear" w:color="auto" w:fill="auto"/>
            <w:noWrap/>
            <w:vAlign w:val="center"/>
            <w:hideMark/>
          </w:tcPr>
          <w:p w14:paraId="2A48E17E" w14:textId="77777777" w:rsidR="000831EE" w:rsidRPr="000B6C3D" w:rsidRDefault="000831EE" w:rsidP="0005040A">
            <w:pPr>
              <w:pStyle w:val="Tabela-tekst"/>
              <w:jc w:val="center"/>
            </w:pPr>
            <w:r w:rsidRPr="000B6C3D">
              <w:t>87,1%</w:t>
            </w:r>
          </w:p>
        </w:tc>
        <w:tc>
          <w:tcPr>
            <w:tcW w:w="390" w:type="pct"/>
            <w:vAlign w:val="center"/>
          </w:tcPr>
          <w:p w14:paraId="48FF6CA0" w14:textId="77777777" w:rsidR="000831EE" w:rsidRPr="000B6C3D" w:rsidRDefault="000831EE" w:rsidP="0005040A">
            <w:pPr>
              <w:pStyle w:val="Tabela-tekst"/>
              <w:jc w:val="center"/>
            </w:pPr>
            <w:r w:rsidRPr="000B6C3D">
              <w:t>142</w:t>
            </w:r>
          </w:p>
        </w:tc>
        <w:tc>
          <w:tcPr>
            <w:tcW w:w="471" w:type="pct"/>
            <w:vAlign w:val="center"/>
          </w:tcPr>
          <w:p w14:paraId="09F70567" w14:textId="77777777" w:rsidR="000831EE" w:rsidRPr="000B6C3D" w:rsidRDefault="000831EE" w:rsidP="0005040A">
            <w:pPr>
              <w:pStyle w:val="Tabela-tekst"/>
              <w:jc w:val="center"/>
            </w:pPr>
            <w:r w:rsidRPr="000B6C3D">
              <w:t>70,3%</w:t>
            </w:r>
          </w:p>
        </w:tc>
        <w:tc>
          <w:tcPr>
            <w:tcW w:w="1004" w:type="pct"/>
            <w:vAlign w:val="center"/>
          </w:tcPr>
          <w:p w14:paraId="6496FAA3" w14:textId="77777777" w:rsidR="000831EE" w:rsidRPr="000B6C3D" w:rsidRDefault="000831EE" w:rsidP="0005040A">
            <w:pPr>
              <w:pStyle w:val="Tabela-tekst"/>
              <w:jc w:val="center"/>
            </w:pPr>
            <w:r>
              <w:t>proc.</w:t>
            </w:r>
            <w:r w:rsidRPr="000B6C3D">
              <w:t xml:space="preserve"> wykonanych ocen</w:t>
            </w:r>
          </w:p>
        </w:tc>
      </w:tr>
      <w:tr w:rsidR="00C80744" w:rsidRPr="00D94617" w14:paraId="324AD7FD" w14:textId="77777777" w:rsidTr="00C80744">
        <w:trPr>
          <w:trHeight w:val="454"/>
        </w:trPr>
        <w:tc>
          <w:tcPr>
            <w:tcW w:w="2273" w:type="pct"/>
            <w:shd w:val="clear" w:color="auto" w:fill="auto"/>
            <w:noWrap/>
            <w:vAlign w:val="center"/>
            <w:hideMark/>
          </w:tcPr>
          <w:p w14:paraId="780656D5" w14:textId="77777777" w:rsidR="000831EE" w:rsidRPr="000B6C3D" w:rsidRDefault="000831EE" w:rsidP="00C80744">
            <w:pPr>
              <w:pStyle w:val="Tabela-tekst"/>
            </w:pPr>
            <w:r w:rsidRPr="000B6C3D">
              <w:t xml:space="preserve">Liczba jcwp, </w:t>
            </w:r>
            <w:r>
              <w:t>w których</w:t>
            </w:r>
            <w:r w:rsidRPr="000B6C3D">
              <w:t xml:space="preserve"> nie stwierdza się przekroczeń </w:t>
            </w:r>
            <w:r>
              <w:t xml:space="preserve">powyżej </w:t>
            </w:r>
            <w:r w:rsidRPr="000B6C3D">
              <w:t>50% wartości odchylenia od normy (kryterium przyjęte dla oceny skuteczności działań)</w:t>
            </w:r>
          </w:p>
        </w:tc>
        <w:tc>
          <w:tcPr>
            <w:tcW w:w="390" w:type="pct"/>
            <w:shd w:val="clear" w:color="auto" w:fill="auto"/>
            <w:noWrap/>
            <w:vAlign w:val="center"/>
            <w:hideMark/>
          </w:tcPr>
          <w:p w14:paraId="263E1953" w14:textId="77777777" w:rsidR="000831EE" w:rsidRPr="000B6C3D" w:rsidRDefault="000831EE" w:rsidP="0005040A">
            <w:pPr>
              <w:pStyle w:val="Tabela-tekst"/>
              <w:jc w:val="center"/>
            </w:pPr>
            <w:r w:rsidRPr="000B6C3D">
              <w:t>95</w:t>
            </w:r>
          </w:p>
        </w:tc>
        <w:tc>
          <w:tcPr>
            <w:tcW w:w="472" w:type="pct"/>
            <w:shd w:val="clear" w:color="auto" w:fill="auto"/>
            <w:noWrap/>
            <w:vAlign w:val="center"/>
            <w:hideMark/>
          </w:tcPr>
          <w:p w14:paraId="375E4704" w14:textId="77777777" w:rsidR="000831EE" w:rsidRPr="000B6C3D" w:rsidRDefault="000831EE" w:rsidP="0005040A">
            <w:pPr>
              <w:pStyle w:val="Tabela-tekst"/>
              <w:jc w:val="center"/>
            </w:pPr>
            <w:r w:rsidRPr="000B6C3D">
              <w:t>54,0%</w:t>
            </w:r>
          </w:p>
        </w:tc>
        <w:tc>
          <w:tcPr>
            <w:tcW w:w="390" w:type="pct"/>
            <w:vAlign w:val="center"/>
          </w:tcPr>
          <w:p w14:paraId="36D73155" w14:textId="77777777" w:rsidR="000831EE" w:rsidRPr="000B6C3D" w:rsidRDefault="000831EE" w:rsidP="0005040A">
            <w:pPr>
              <w:pStyle w:val="Tabela-tekst"/>
              <w:jc w:val="center"/>
            </w:pPr>
            <w:r w:rsidRPr="000B6C3D">
              <w:t>95</w:t>
            </w:r>
          </w:p>
        </w:tc>
        <w:tc>
          <w:tcPr>
            <w:tcW w:w="471" w:type="pct"/>
            <w:vAlign w:val="center"/>
          </w:tcPr>
          <w:p w14:paraId="788C4B4A" w14:textId="77777777" w:rsidR="000831EE" w:rsidRPr="000B6C3D" w:rsidRDefault="000831EE" w:rsidP="0005040A">
            <w:pPr>
              <w:pStyle w:val="Tabela-tekst"/>
              <w:jc w:val="center"/>
            </w:pPr>
            <w:r w:rsidRPr="000B6C3D">
              <w:t>66,9%</w:t>
            </w:r>
          </w:p>
        </w:tc>
        <w:tc>
          <w:tcPr>
            <w:tcW w:w="1004" w:type="pct"/>
            <w:vAlign w:val="center"/>
          </w:tcPr>
          <w:p w14:paraId="393145AD" w14:textId="77777777" w:rsidR="000831EE" w:rsidRPr="000B6C3D" w:rsidRDefault="000831EE" w:rsidP="0005040A">
            <w:pPr>
              <w:pStyle w:val="Tabela-tekst"/>
              <w:jc w:val="center"/>
            </w:pPr>
            <w:r>
              <w:t>proc.</w:t>
            </w:r>
            <w:r w:rsidRPr="000B6C3D">
              <w:t xml:space="preserve"> ocen o wymaganej redukcji</w:t>
            </w:r>
          </w:p>
        </w:tc>
      </w:tr>
      <w:tr w:rsidR="00C80744" w:rsidRPr="00D94617" w14:paraId="4D82B9E7" w14:textId="77777777" w:rsidTr="00C80744">
        <w:trPr>
          <w:trHeight w:val="454"/>
        </w:trPr>
        <w:tc>
          <w:tcPr>
            <w:tcW w:w="2273" w:type="pct"/>
            <w:shd w:val="clear" w:color="auto" w:fill="auto"/>
            <w:noWrap/>
            <w:vAlign w:val="center"/>
            <w:hideMark/>
          </w:tcPr>
          <w:p w14:paraId="7C4CCC17" w14:textId="77777777" w:rsidR="000831EE" w:rsidRPr="000B6C3D" w:rsidRDefault="000831EE" w:rsidP="00C80744">
            <w:pPr>
              <w:pStyle w:val="Tabela-tekst"/>
            </w:pPr>
            <w:r w:rsidRPr="000B6C3D">
              <w:t xml:space="preserve">Liczba jcwp, </w:t>
            </w:r>
            <w:r>
              <w:t>w których</w:t>
            </w:r>
            <w:r w:rsidRPr="000B6C3D">
              <w:t xml:space="preserve"> stosowano działania i uzyskano skuteczność redukcji dla liczby oznaczeń</w:t>
            </w:r>
          </w:p>
        </w:tc>
        <w:tc>
          <w:tcPr>
            <w:tcW w:w="390" w:type="pct"/>
            <w:shd w:val="clear" w:color="auto" w:fill="auto"/>
            <w:noWrap/>
            <w:vAlign w:val="center"/>
            <w:hideMark/>
          </w:tcPr>
          <w:p w14:paraId="293E7DA0" w14:textId="77777777" w:rsidR="000831EE" w:rsidRPr="000B6C3D" w:rsidRDefault="000831EE" w:rsidP="0005040A">
            <w:pPr>
              <w:pStyle w:val="Tabela-tekst"/>
              <w:jc w:val="center"/>
            </w:pPr>
            <w:r w:rsidRPr="000B6C3D">
              <w:t>107</w:t>
            </w:r>
          </w:p>
        </w:tc>
        <w:tc>
          <w:tcPr>
            <w:tcW w:w="472" w:type="pct"/>
            <w:shd w:val="clear" w:color="auto" w:fill="auto"/>
            <w:noWrap/>
            <w:vAlign w:val="center"/>
            <w:hideMark/>
          </w:tcPr>
          <w:p w14:paraId="5D6632EC" w14:textId="77777777" w:rsidR="000831EE" w:rsidRPr="000B6C3D" w:rsidRDefault="000831EE" w:rsidP="0005040A">
            <w:pPr>
              <w:pStyle w:val="Tabela-tekst"/>
              <w:jc w:val="center"/>
            </w:pPr>
            <w:r w:rsidRPr="000B6C3D">
              <w:t>60,8%</w:t>
            </w:r>
          </w:p>
        </w:tc>
        <w:tc>
          <w:tcPr>
            <w:tcW w:w="390" w:type="pct"/>
            <w:vAlign w:val="center"/>
          </w:tcPr>
          <w:p w14:paraId="34BC72BC" w14:textId="77777777" w:rsidR="000831EE" w:rsidRPr="000B6C3D" w:rsidRDefault="000831EE" w:rsidP="0005040A">
            <w:pPr>
              <w:pStyle w:val="Tabela-tekst"/>
              <w:jc w:val="center"/>
            </w:pPr>
            <w:r w:rsidRPr="000B6C3D">
              <w:t>91</w:t>
            </w:r>
          </w:p>
        </w:tc>
        <w:tc>
          <w:tcPr>
            <w:tcW w:w="471" w:type="pct"/>
            <w:vAlign w:val="center"/>
          </w:tcPr>
          <w:p w14:paraId="3C8A5876" w14:textId="77777777" w:rsidR="000831EE" w:rsidRPr="000B6C3D" w:rsidRDefault="000831EE" w:rsidP="0005040A">
            <w:pPr>
              <w:pStyle w:val="Tabela-tekst"/>
              <w:jc w:val="center"/>
            </w:pPr>
            <w:r w:rsidRPr="000B6C3D">
              <w:t>64,1%</w:t>
            </w:r>
          </w:p>
        </w:tc>
        <w:tc>
          <w:tcPr>
            <w:tcW w:w="1004" w:type="pct"/>
            <w:vAlign w:val="center"/>
          </w:tcPr>
          <w:p w14:paraId="22706941" w14:textId="77777777" w:rsidR="000831EE" w:rsidRPr="000B6C3D" w:rsidRDefault="000831EE" w:rsidP="0005040A">
            <w:pPr>
              <w:pStyle w:val="Tabela-tekst"/>
              <w:jc w:val="center"/>
            </w:pPr>
            <w:r>
              <w:t>proc.</w:t>
            </w:r>
            <w:r w:rsidRPr="000B6C3D">
              <w:t xml:space="preserve"> ocen o wymaganej redukcji z działaniami</w:t>
            </w:r>
          </w:p>
        </w:tc>
      </w:tr>
      <w:tr w:rsidR="00C80744" w:rsidRPr="00D94617" w14:paraId="5D8452FD" w14:textId="77777777" w:rsidTr="00C80744">
        <w:trPr>
          <w:trHeight w:val="454"/>
        </w:trPr>
        <w:tc>
          <w:tcPr>
            <w:tcW w:w="2273" w:type="pct"/>
            <w:shd w:val="clear" w:color="auto" w:fill="auto"/>
            <w:noWrap/>
            <w:vAlign w:val="center"/>
            <w:hideMark/>
          </w:tcPr>
          <w:p w14:paraId="2B22C436" w14:textId="77777777" w:rsidR="000831EE" w:rsidRPr="000B6C3D" w:rsidRDefault="000831EE" w:rsidP="00C80744">
            <w:pPr>
              <w:pStyle w:val="Tabela-tekst"/>
            </w:pPr>
            <w:r w:rsidRPr="000B6C3D">
              <w:t>Liczba działań dających założoną skuteczność redukcji dla liczby oznaczeń i ma</w:t>
            </w:r>
            <w:r>
              <w:t>ks</w:t>
            </w:r>
            <w:r w:rsidRPr="000B6C3D">
              <w:t>. przekroczenie dla pojedynczego oznaczenia do 50%</w:t>
            </w:r>
          </w:p>
        </w:tc>
        <w:tc>
          <w:tcPr>
            <w:tcW w:w="390" w:type="pct"/>
            <w:shd w:val="clear" w:color="auto" w:fill="auto"/>
            <w:noWrap/>
            <w:vAlign w:val="center"/>
            <w:hideMark/>
          </w:tcPr>
          <w:p w14:paraId="6FCE17AB" w14:textId="77777777" w:rsidR="000831EE" w:rsidRPr="000B6C3D" w:rsidRDefault="000831EE" w:rsidP="0005040A">
            <w:pPr>
              <w:pStyle w:val="Tabela-tekst"/>
              <w:jc w:val="center"/>
            </w:pPr>
            <w:r w:rsidRPr="000B6C3D">
              <w:t>60</w:t>
            </w:r>
          </w:p>
        </w:tc>
        <w:tc>
          <w:tcPr>
            <w:tcW w:w="472" w:type="pct"/>
            <w:shd w:val="clear" w:color="auto" w:fill="auto"/>
            <w:noWrap/>
            <w:vAlign w:val="center"/>
            <w:hideMark/>
          </w:tcPr>
          <w:p w14:paraId="506EE2F9" w14:textId="77777777" w:rsidR="000831EE" w:rsidRPr="000B6C3D" w:rsidRDefault="000831EE" w:rsidP="0005040A">
            <w:pPr>
              <w:pStyle w:val="Tabela-tekst"/>
              <w:jc w:val="center"/>
            </w:pPr>
            <w:r w:rsidRPr="000B6C3D">
              <w:t>56,1%</w:t>
            </w:r>
          </w:p>
        </w:tc>
        <w:tc>
          <w:tcPr>
            <w:tcW w:w="390" w:type="pct"/>
            <w:vAlign w:val="center"/>
          </w:tcPr>
          <w:p w14:paraId="49063B01" w14:textId="77777777" w:rsidR="000831EE" w:rsidRPr="000B6C3D" w:rsidRDefault="000831EE" w:rsidP="0005040A">
            <w:pPr>
              <w:pStyle w:val="Tabela-tekst"/>
              <w:jc w:val="center"/>
            </w:pPr>
            <w:r w:rsidRPr="000B6C3D">
              <w:t>60</w:t>
            </w:r>
          </w:p>
        </w:tc>
        <w:tc>
          <w:tcPr>
            <w:tcW w:w="471" w:type="pct"/>
            <w:vAlign w:val="center"/>
          </w:tcPr>
          <w:p w14:paraId="0F127952" w14:textId="77777777" w:rsidR="000831EE" w:rsidRPr="000B6C3D" w:rsidRDefault="000831EE" w:rsidP="0005040A">
            <w:pPr>
              <w:pStyle w:val="Tabela-tekst"/>
              <w:jc w:val="center"/>
            </w:pPr>
            <w:r w:rsidRPr="000B6C3D">
              <w:t>65,9%</w:t>
            </w:r>
          </w:p>
        </w:tc>
        <w:tc>
          <w:tcPr>
            <w:tcW w:w="1004" w:type="pct"/>
            <w:vAlign w:val="center"/>
          </w:tcPr>
          <w:p w14:paraId="52C4FE1A" w14:textId="18480958" w:rsidR="000831EE" w:rsidRPr="000B6C3D" w:rsidRDefault="000831EE" w:rsidP="0005040A">
            <w:pPr>
              <w:pStyle w:val="Tabela-tekst"/>
              <w:jc w:val="center"/>
            </w:pPr>
            <w:r>
              <w:t>proc.</w:t>
            </w:r>
            <w:r w:rsidRPr="000B6C3D">
              <w:t xml:space="preserve"> ocen jw.</w:t>
            </w:r>
            <w:r>
              <w:t>,</w:t>
            </w:r>
            <w:r w:rsidRPr="000B6C3D">
              <w:t xml:space="preserve"> gdzie przekroczenia były</w:t>
            </w:r>
          </w:p>
          <w:p w14:paraId="6A5517F0" w14:textId="77777777" w:rsidR="000831EE" w:rsidRPr="000B6C3D" w:rsidRDefault="000831EE" w:rsidP="0005040A">
            <w:pPr>
              <w:pStyle w:val="Tabela-tekst"/>
              <w:jc w:val="center"/>
            </w:pPr>
            <w:r w:rsidRPr="000B6C3D">
              <w:t xml:space="preserve">niższe </w:t>
            </w:r>
            <w:r>
              <w:t>niż</w:t>
            </w:r>
            <w:r w:rsidRPr="000B6C3D">
              <w:t xml:space="preserve"> 50%</w:t>
            </w:r>
          </w:p>
        </w:tc>
      </w:tr>
    </w:tbl>
    <w:p w14:paraId="6688B81F" w14:textId="77777777" w:rsidR="00231528" w:rsidRPr="001E4D45" w:rsidRDefault="00231528" w:rsidP="00231528">
      <w:pPr>
        <w:pStyle w:val="rdo0"/>
      </w:pPr>
      <w:r w:rsidRPr="001E4D45">
        <w:rPr>
          <w:lang w:eastAsia="zh-CN"/>
        </w:rPr>
        <w:t xml:space="preserve">Źródło: opracowanie </w:t>
      </w:r>
      <w:r>
        <w:rPr>
          <w:lang w:eastAsia="zh-CN"/>
        </w:rPr>
        <w:t>własne</w:t>
      </w:r>
    </w:p>
    <w:p w14:paraId="565A7564" w14:textId="2E24578A" w:rsidR="00B851AF" w:rsidRDefault="000831EE" w:rsidP="000831EE">
      <w:pPr>
        <w:suppressAutoHyphens/>
      </w:pPr>
      <w:r>
        <w:t>Przedstawione obliczenia skuteczności wprowadzania działań, odniesione do całego obszaru kraju, wykonane dla 13% jcwp rzecznych i 19% jcwp jeziornych - wskazują, że w badanych jcwp uzyskuje się wysoki odsetek oznaczeń z redukcją stężenia. Jednocześnie zauważa się znaczący udział jcwp, w</w:t>
      </w:r>
      <w:r w:rsidR="00665B07">
        <w:t> </w:t>
      </w:r>
      <w:r>
        <w:t xml:space="preserve">których nie stwierdza się przekroczeń stężenia powyżej 50%, co jest przyjętym w opracowaniu </w:t>
      </w:r>
      <w:r w:rsidRPr="00DD76D4">
        <w:rPr>
          <w:i/>
          <w:iCs/>
        </w:rPr>
        <w:t xml:space="preserve">Analiza znaczących oddziaływań </w:t>
      </w:r>
      <w:r w:rsidR="00442AB7">
        <w:rPr>
          <w:i/>
          <w:iCs/>
        </w:rPr>
        <w:t>-</w:t>
      </w:r>
      <w:r w:rsidRPr="00DD76D4">
        <w:rPr>
          <w:i/>
          <w:iCs/>
        </w:rPr>
        <w:t xml:space="preserve"> jcwp (…)</w:t>
      </w:r>
      <w:r>
        <w:t xml:space="preserve"> granicznym kryterium wystąpienia presji znaczącej.</w:t>
      </w:r>
    </w:p>
    <w:p w14:paraId="433F17CF" w14:textId="77777777" w:rsidR="00B851AF" w:rsidRDefault="00B851AF">
      <w:pPr>
        <w:spacing w:before="0" w:after="0"/>
        <w:jc w:val="left"/>
      </w:pPr>
      <w:r>
        <w:br w:type="page"/>
      </w:r>
    </w:p>
    <w:p w14:paraId="4487C2D6" w14:textId="7C15A224" w:rsidR="000831EE" w:rsidRPr="00B75A5C" w:rsidRDefault="00B75A5C" w:rsidP="006802BB">
      <w:pPr>
        <w:pStyle w:val="Tabela"/>
      </w:pPr>
      <w:bookmarkStart w:id="486" w:name="_Toc68727056"/>
      <w:r>
        <w:t xml:space="preserve">Tabela </w:t>
      </w:r>
      <w:fldSimple w:instr=" STYLEREF 1 \s ">
        <w:r w:rsidR="009D0A01">
          <w:rPr>
            <w:noProof/>
          </w:rPr>
          <w:t>13</w:t>
        </w:r>
      </w:fldSimple>
      <w:r w:rsidR="007B4050">
        <w:noBreakHyphen/>
      </w:r>
      <w:fldSimple w:instr=" SEQ Tabela \* ARABIC \s 1 ">
        <w:r w:rsidR="009D0A01">
          <w:rPr>
            <w:noProof/>
          </w:rPr>
          <w:t>16</w:t>
        </w:r>
      </w:fldSimple>
      <w:r>
        <w:tab/>
      </w:r>
      <w:r w:rsidRPr="00D06A1F">
        <w:t xml:space="preserve">Skuteczność działań dla kategorii jcwp </w:t>
      </w:r>
      <w:r w:rsidR="00532B7E">
        <w:t>RW</w:t>
      </w:r>
      <w:r w:rsidRPr="00D06A1F">
        <w:t xml:space="preserve"> w zakresie oceny substancji priorytetowych w wodzie </w:t>
      </w:r>
      <w:r w:rsidR="00442AB7">
        <w:t>-</w:t>
      </w:r>
      <w:r w:rsidRPr="00D06A1F">
        <w:t xml:space="preserve"> </w:t>
      </w:r>
      <w:r>
        <w:t xml:space="preserve">analiza statystyczna obejmująca </w:t>
      </w:r>
      <w:r w:rsidRPr="00D06A1F">
        <w:t>obszar dorzecz</w:t>
      </w:r>
      <w:r>
        <w:t>a Pregoły</w:t>
      </w:r>
      <w:bookmarkEnd w:id="486"/>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744"/>
        <w:gridCol w:w="744"/>
        <w:gridCol w:w="744"/>
        <w:gridCol w:w="745"/>
        <w:gridCol w:w="1842"/>
      </w:tblGrid>
      <w:tr w:rsidR="00D77361" w:rsidRPr="00D94617" w14:paraId="7318C9E6" w14:textId="77777777" w:rsidTr="000338C0">
        <w:trPr>
          <w:trHeight w:val="454"/>
        </w:trPr>
        <w:tc>
          <w:tcPr>
            <w:tcW w:w="4248" w:type="dxa"/>
            <w:shd w:val="clear" w:color="auto" w:fill="BFBFBF" w:themeFill="background1" w:themeFillShade="BF"/>
            <w:noWrap/>
            <w:vAlign w:val="center"/>
          </w:tcPr>
          <w:p w14:paraId="274A5540" w14:textId="77777777" w:rsidR="00D77361" w:rsidRPr="00C80744" w:rsidRDefault="00D77361" w:rsidP="00D228EB">
            <w:pPr>
              <w:pStyle w:val="Tabela-tekst"/>
              <w:keepNext/>
              <w:jc w:val="center"/>
              <w:rPr>
                <w:b/>
                <w:bCs/>
              </w:rPr>
            </w:pPr>
            <w:r w:rsidRPr="00C80744">
              <w:rPr>
                <w:b/>
                <w:bCs/>
              </w:rPr>
              <w:t>Ocena skuteczności działań w jcwp RW</w:t>
            </w:r>
          </w:p>
        </w:tc>
        <w:tc>
          <w:tcPr>
            <w:tcW w:w="1488" w:type="dxa"/>
            <w:gridSpan w:val="2"/>
            <w:shd w:val="clear" w:color="auto" w:fill="BFBFBF" w:themeFill="background1" w:themeFillShade="BF"/>
            <w:noWrap/>
            <w:vAlign w:val="center"/>
          </w:tcPr>
          <w:p w14:paraId="69B532FE" w14:textId="77777777" w:rsidR="00D77361" w:rsidRPr="00C80744" w:rsidRDefault="00D77361" w:rsidP="00D77361">
            <w:pPr>
              <w:pStyle w:val="Tabela-tekst"/>
              <w:keepNext/>
              <w:jc w:val="center"/>
              <w:rPr>
                <w:b/>
                <w:bCs/>
              </w:rPr>
            </w:pPr>
            <w:r w:rsidRPr="00C80744">
              <w:rPr>
                <w:b/>
                <w:bCs/>
              </w:rPr>
              <w:t>Liczba jcwp</w:t>
            </w:r>
          </w:p>
        </w:tc>
        <w:tc>
          <w:tcPr>
            <w:tcW w:w="1489" w:type="dxa"/>
            <w:gridSpan w:val="2"/>
            <w:shd w:val="clear" w:color="auto" w:fill="BFBFBF" w:themeFill="background1" w:themeFillShade="BF"/>
            <w:vAlign w:val="center"/>
          </w:tcPr>
          <w:p w14:paraId="677223B2" w14:textId="67E8CF38" w:rsidR="00D77361" w:rsidRPr="00C80744" w:rsidRDefault="00D77361" w:rsidP="00D77361">
            <w:pPr>
              <w:pStyle w:val="Tabela-tekst"/>
              <w:keepNext/>
              <w:jc w:val="center"/>
              <w:rPr>
                <w:b/>
                <w:bCs/>
              </w:rPr>
            </w:pPr>
            <w:r w:rsidRPr="00A16503">
              <w:rPr>
                <w:b/>
                <w:bCs/>
              </w:rPr>
              <w:t>Udział w liczbie jcwp</w:t>
            </w:r>
            <w:r>
              <w:rPr>
                <w:b/>
                <w:bCs/>
              </w:rPr>
              <w:t xml:space="preserve"> (%)</w:t>
            </w:r>
          </w:p>
        </w:tc>
        <w:tc>
          <w:tcPr>
            <w:tcW w:w="1842" w:type="dxa"/>
            <w:shd w:val="clear" w:color="auto" w:fill="BFBFBF" w:themeFill="background1" w:themeFillShade="BF"/>
            <w:vAlign w:val="center"/>
          </w:tcPr>
          <w:p w14:paraId="20D0534F" w14:textId="77777777" w:rsidR="00D77361" w:rsidRPr="00C80744" w:rsidRDefault="00D77361" w:rsidP="00D77361">
            <w:pPr>
              <w:pStyle w:val="Tabela-tekst"/>
              <w:keepNext/>
              <w:jc w:val="center"/>
              <w:rPr>
                <w:b/>
                <w:bCs/>
              </w:rPr>
            </w:pPr>
            <w:r w:rsidRPr="00C80744">
              <w:rPr>
                <w:b/>
                <w:bCs/>
              </w:rPr>
              <w:t>Uwagi</w:t>
            </w:r>
          </w:p>
        </w:tc>
      </w:tr>
      <w:tr w:rsidR="000831EE" w:rsidRPr="00D94617" w14:paraId="3ABD46CA" w14:textId="77777777" w:rsidTr="00D77361">
        <w:trPr>
          <w:trHeight w:val="454"/>
        </w:trPr>
        <w:tc>
          <w:tcPr>
            <w:tcW w:w="4248" w:type="dxa"/>
            <w:shd w:val="clear" w:color="auto" w:fill="auto"/>
            <w:noWrap/>
            <w:vAlign w:val="center"/>
          </w:tcPr>
          <w:p w14:paraId="19067258" w14:textId="77777777" w:rsidR="000831EE" w:rsidRPr="000B6C3D" w:rsidRDefault="000831EE" w:rsidP="00C80744">
            <w:pPr>
              <w:pStyle w:val="Tabela-tekst"/>
            </w:pPr>
            <w:r w:rsidRPr="000B6C3D">
              <w:t>Liczba jcwp ze realizowanym lub zrealizowanym min</w:t>
            </w:r>
            <w:r>
              <w:t>.</w:t>
            </w:r>
            <w:r w:rsidRPr="000B6C3D">
              <w:t xml:space="preserve"> 1 zestawem działań ciągłych</w:t>
            </w:r>
          </w:p>
        </w:tc>
        <w:tc>
          <w:tcPr>
            <w:tcW w:w="1488" w:type="dxa"/>
            <w:gridSpan w:val="2"/>
            <w:shd w:val="clear" w:color="auto" w:fill="auto"/>
            <w:noWrap/>
            <w:vAlign w:val="center"/>
          </w:tcPr>
          <w:p w14:paraId="275D6220" w14:textId="77777777" w:rsidR="000831EE" w:rsidRPr="000B6C3D" w:rsidRDefault="000831EE" w:rsidP="00D77361">
            <w:pPr>
              <w:pStyle w:val="Tabela-tekst"/>
              <w:jc w:val="center"/>
            </w:pPr>
            <w:r>
              <w:t>62</w:t>
            </w:r>
          </w:p>
        </w:tc>
        <w:tc>
          <w:tcPr>
            <w:tcW w:w="1489" w:type="dxa"/>
            <w:gridSpan w:val="2"/>
            <w:vAlign w:val="center"/>
          </w:tcPr>
          <w:p w14:paraId="448A3C64" w14:textId="41C8D818" w:rsidR="000831EE" w:rsidRPr="000B6C3D" w:rsidRDefault="000831EE" w:rsidP="00D77361">
            <w:pPr>
              <w:pStyle w:val="Tabela-tekst"/>
              <w:jc w:val="center"/>
            </w:pPr>
            <w:r>
              <w:t>51,7</w:t>
            </w:r>
          </w:p>
        </w:tc>
        <w:tc>
          <w:tcPr>
            <w:tcW w:w="1842" w:type="dxa"/>
            <w:vAlign w:val="center"/>
          </w:tcPr>
          <w:p w14:paraId="063BAF35" w14:textId="77777777" w:rsidR="000831EE" w:rsidRPr="000B6C3D" w:rsidRDefault="000831EE" w:rsidP="00D77361">
            <w:pPr>
              <w:pStyle w:val="Tabela-tekst"/>
              <w:jc w:val="center"/>
            </w:pPr>
            <w:r w:rsidRPr="000B6C3D">
              <w:t>-</w:t>
            </w:r>
          </w:p>
        </w:tc>
      </w:tr>
      <w:tr w:rsidR="000831EE" w:rsidRPr="00D94617" w14:paraId="67DD4930" w14:textId="77777777" w:rsidTr="00D77361">
        <w:trPr>
          <w:trHeight w:val="454"/>
        </w:trPr>
        <w:tc>
          <w:tcPr>
            <w:tcW w:w="4248" w:type="dxa"/>
            <w:shd w:val="clear" w:color="auto" w:fill="auto"/>
            <w:noWrap/>
            <w:vAlign w:val="center"/>
            <w:hideMark/>
          </w:tcPr>
          <w:p w14:paraId="0A51989D" w14:textId="77777777" w:rsidR="000831EE" w:rsidRPr="000B6C3D" w:rsidRDefault="000831EE" w:rsidP="00C80744">
            <w:pPr>
              <w:pStyle w:val="Tabela-tekst"/>
            </w:pPr>
            <w:r w:rsidRPr="000B6C3D">
              <w:t>Liczba jcwp ze zrealizowanym min. 1 działaniem jednorazowym</w:t>
            </w:r>
          </w:p>
        </w:tc>
        <w:tc>
          <w:tcPr>
            <w:tcW w:w="1488" w:type="dxa"/>
            <w:gridSpan w:val="2"/>
            <w:shd w:val="clear" w:color="auto" w:fill="auto"/>
            <w:noWrap/>
            <w:vAlign w:val="center"/>
            <w:hideMark/>
          </w:tcPr>
          <w:p w14:paraId="775881B8" w14:textId="77777777" w:rsidR="000831EE" w:rsidRPr="000B6C3D" w:rsidRDefault="000831EE" w:rsidP="00D77361">
            <w:pPr>
              <w:pStyle w:val="Tabela-tekst"/>
              <w:jc w:val="center"/>
            </w:pPr>
            <w:r>
              <w:t>13</w:t>
            </w:r>
          </w:p>
        </w:tc>
        <w:tc>
          <w:tcPr>
            <w:tcW w:w="1489" w:type="dxa"/>
            <w:gridSpan w:val="2"/>
            <w:vAlign w:val="center"/>
          </w:tcPr>
          <w:p w14:paraId="19756303" w14:textId="5116F2A6" w:rsidR="000831EE" w:rsidRPr="000B6C3D" w:rsidRDefault="000831EE" w:rsidP="00D77361">
            <w:pPr>
              <w:pStyle w:val="Tabela-tekst"/>
              <w:jc w:val="center"/>
            </w:pPr>
            <w:r>
              <w:t>10,8</w:t>
            </w:r>
          </w:p>
        </w:tc>
        <w:tc>
          <w:tcPr>
            <w:tcW w:w="1842" w:type="dxa"/>
            <w:vAlign w:val="center"/>
          </w:tcPr>
          <w:p w14:paraId="4764249C" w14:textId="77777777" w:rsidR="000831EE" w:rsidRPr="000B6C3D" w:rsidRDefault="000831EE" w:rsidP="00D77361">
            <w:pPr>
              <w:pStyle w:val="Tabela-tekst"/>
              <w:jc w:val="center"/>
            </w:pPr>
            <w:r w:rsidRPr="000B6C3D">
              <w:t>-</w:t>
            </w:r>
          </w:p>
        </w:tc>
      </w:tr>
      <w:tr w:rsidR="000831EE" w:rsidRPr="00D94617" w14:paraId="169349ED" w14:textId="77777777" w:rsidTr="00D77361">
        <w:trPr>
          <w:trHeight w:val="454"/>
        </w:trPr>
        <w:tc>
          <w:tcPr>
            <w:tcW w:w="4248" w:type="dxa"/>
            <w:shd w:val="clear" w:color="auto" w:fill="auto"/>
            <w:noWrap/>
            <w:vAlign w:val="center"/>
            <w:hideMark/>
          </w:tcPr>
          <w:p w14:paraId="2F4DB272" w14:textId="77777777" w:rsidR="000831EE" w:rsidRPr="000B6C3D" w:rsidRDefault="000831EE" w:rsidP="00C80744">
            <w:pPr>
              <w:pStyle w:val="Tabela-tekst"/>
            </w:pPr>
            <w:r w:rsidRPr="000B6C3D">
              <w:t xml:space="preserve">Liczba ocen jcwp z wynikami umożliwiającymi uwzględnienie w ocenie skuteczności </w:t>
            </w:r>
          </w:p>
        </w:tc>
        <w:tc>
          <w:tcPr>
            <w:tcW w:w="1488" w:type="dxa"/>
            <w:gridSpan w:val="2"/>
            <w:shd w:val="clear" w:color="auto" w:fill="auto"/>
            <w:noWrap/>
            <w:vAlign w:val="center"/>
            <w:hideMark/>
          </w:tcPr>
          <w:p w14:paraId="52C38A7E" w14:textId="77777777" w:rsidR="000831EE" w:rsidRPr="000B6C3D" w:rsidRDefault="000831EE" w:rsidP="00D77361">
            <w:pPr>
              <w:pStyle w:val="Tabela-tekst"/>
              <w:jc w:val="center"/>
            </w:pPr>
            <w:r>
              <w:t>6</w:t>
            </w:r>
          </w:p>
        </w:tc>
        <w:tc>
          <w:tcPr>
            <w:tcW w:w="1489" w:type="dxa"/>
            <w:gridSpan w:val="2"/>
            <w:vAlign w:val="center"/>
          </w:tcPr>
          <w:p w14:paraId="32A4DDC3" w14:textId="7867B3A7" w:rsidR="000831EE" w:rsidRPr="000B6C3D" w:rsidRDefault="000831EE" w:rsidP="00D77361">
            <w:pPr>
              <w:pStyle w:val="Tabela-tekst"/>
              <w:jc w:val="center"/>
            </w:pPr>
            <w:r>
              <w:t>5,0</w:t>
            </w:r>
          </w:p>
        </w:tc>
        <w:tc>
          <w:tcPr>
            <w:tcW w:w="1842" w:type="dxa"/>
            <w:vAlign w:val="center"/>
          </w:tcPr>
          <w:p w14:paraId="79DC6172" w14:textId="77777777" w:rsidR="000831EE" w:rsidRPr="000B6C3D" w:rsidRDefault="000831EE" w:rsidP="00D77361">
            <w:pPr>
              <w:pStyle w:val="Tabela-tekst"/>
              <w:jc w:val="center"/>
            </w:pPr>
            <w:r>
              <w:t>-</w:t>
            </w:r>
          </w:p>
        </w:tc>
      </w:tr>
      <w:tr w:rsidR="000831EE" w:rsidRPr="00D94617" w14:paraId="7219FF7F" w14:textId="77777777" w:rsidTr="00D77361">
        <w:trPr>
          <w:trHeight w:val="454"/>
        </w:trPr>
        <w:tc>
          <w:tcPr>
            <w:tcW w:w="4248" w:type="dxa"/>
            <w:shd w:val="clear" w:color="auto" w:fill="D9D9D9" w:themeFill="background1" w:themeFillShade="D9"/>
            <w:noWrap/>
            <w:vAlign w:val="center"/>
          </w:tcPr>
          <w:p w14:paraId="2B87D826" w14:textId="77777777" w:rsidR="000831EE" w:rsidRPr="000B6C3D" w:rsidRDefault="000831EE" w:rsidP="00C80744">
            <w:pPr>
              <w:pStyle w:val="Tabela-tekst"/>
            </w:pPr>
            <w:r>
              <w:t>S</w:t>
            </w:r>
            <w:r w:rsidRPr="000B6C3D">
              <w:t>kuteczność redukcji stężeń</w:t>
            </w:r>
            <w:r>
              <w:t xml:space="preserve"> oceniana</w:t>
            </w:r>
            <w:r w:rsidRPr="000B6C3D">
              <w:t xml:space="preserve"> jako odsetek wykonanych oznaczeń</w:t>
            </w:r>
            <w:r>
              <w:t>,</w:t>
            </w:r>
            <w:r w:rsidRPr="000B6C3D">
              <w:t xml:space="preserve"> dla których uzyskano redukcję stężenia</w:t>
            </w:r>
          </w:p>
        </w:tc>
        <w:tc>
          <w:tcPr>
            <w:tcW w:w="1488" w:type="dxa"/>
            <w:gridSpan w:val="2"/>
            <w:shd w:val="clear" w:color="auto" w:fill="D9D9D9" w:themeFill="background1" w:themeFillShade="D9"/>
            <w:noWrap/>
            <w:vAlign w:val="center"/>
          </w:tcPr>
          <w:p w14:paraId="157BF57C" w14:textId="77777777" w:rsidR="000831EE" w:rsidRPr="000B6C3D" w:rsidRDefault="000831EE" w:rsidP="00D77361">
            <w:pPr>
              <w:pStyle w:val="Tabela-tekst"/>
              <w:jc w:val="center"/>
            </w:pPr>
            <w:r>
              <w:t>P</w:t>
            </w:r>
            <w:r w:rsidRPr="000B6C3D">
              <w:t>owyżej 50% oznaczeń</w:t>
            </w:r>
          </w:p>
        </w:tc>
        <w:tc>
          <w:tcPr>
            <w:tcW w:w="1489" w:type="dxa"/>
            <w:gridSpan w:val="2"/>
            <w:shd w:val="clear" w:color="auto" w:fill="D9D9D9" w:themeFill="background1" w:themeFillShade="D9"/>
            <w:vAlign w:val="center"/>
          </w:tcPr>
          <w:p w14:paraId="4F855B0E" w14:textId="77777777" w:rsidR="000831EE" w:rsidRPr="000B6C3D" w:rsidRDefault="000831EE" w:rsidP="00D77361">
            <w:pPr>
              <w:pStyle w:val="Tabela-tekst"/>
              <w:jc w:val="center"/>
            </w:pPr>
            <w:r>
              <w:t>P</w:t>
            </w:r>
            <w:r w:rsidRPr="000B6C3D">
              <w:t>owyżej 85% oznaczeń</w:t>
            </w:r>
          </w:p>
        </w:tc>
        <w:tc>
          <w:tcPr>
            <w:tcW w:w="1842" w:type="dxa"/>
            <w:shd w:val="clear" w:color="auto" w:fill="D9D9D9" w:themeFill="background1" w:themeFillShade="D9"/>
            <w:vAlign w:val="center"/>
          </w:tcPr>
          <w:p w14:paraId="4A030D17" w14:textId="77777777" w:rsidR="000831EE" w:rsidRPr="000B6C3D" w:rsidRDefault="000831EE" w:rsidP="00D77361">
            <w:pPr>
              <w:pStyle w:val="Tabela-tekst"/>
              <w:jc w:val="center"/>
            </w:pPr>
            <w:r w:rsidRPr="000B6C3D">
              <w:t>Uwagi</w:t>
            </w:r>
          </w:p>
        </w:tc>
      </w:tr>
      <w:tr w:rsidR="000831EE" w:rsidRPr="00D94617" w14:paraId="20D2382B" w14:textId="77777777" w:rsidTr="00D77361">
        <w:trPr>
          <w:trHeight w:val="454"/>
        </w:trPr>
        <w:tc>
          <w:tcPr>
            <w:tcW w:w="4248" w:type="dxa"/>
            <w:shd w:val="clear" w:color="auto" w:fill="auto"/>
            <w:noWrap/>
            <w:vAlign w:val="center"/>
            <w:hideMark/>
          </w:tcPr>
          <w:p w14:paraId="6A6BAAAA" w14:textId="77777777" w:rsidR="000831EE" w:rsidRPr="000B6C3D" w:rsidRDefault="000831EE" w:rsidP="00C80744">
            <w:pPr>
              <w:pStyle w:val="Tabela-tekst"/>
            </w:pPr>
            <w:r w:rsidRPr="000B6C3D">
              <w:t>Liczba jcwp</w:t>
            </w:r>
            <w:r>
              <w:t>,</w:t>
            </w:r>
            <w:r w:rsidRPr="000B6C3D">
              <w:t xml:space="preserve"> w których redukcja stężenia występuje w powyżej 50% oznaczeń (za istotne przyjęto pomiary o redukcji poniżej 20%)</w:t>
            </w:r>
          </w:p>
        </w:tc>
        <w:tc>
          <w:tcPr>
            <w:tcW w:w="744" w:type="dxa"/>
            <w:shd w:val="clear" w:color="auto" w:fill="auto"/>
            <w:noWrap/>
            <w:vAlign w:val="center"/>
          </w:tcPr>
          <w:p w14:paraId="3F7F1B97" w14:textId="77777777" w:rsidR="000831EE" w:rsidRPr="000B6C3D" w:rsidRDefault="000831EE" w:rsidP="00D77361">
            <w:pPr>
              <w:pStyle w:val="Tabela-tekst"/>
              <w:jc w:val="center"/>
            </w:pPr>
            <w:r>
              <w:t>4</w:t>
            </w:r>
          </w:p>
        </w:tc>
        <w:tc>
          <w:tcPr>
            <w:tcW w:w="744" w:type="dxa"/>
            <w:shd w:val="clear" w:color="auto" w:fill="auto"/>
            <w:noWrap/>
            <w:vAlign w:val="center"/>
          </w:tcPr>
          <w:p w14:paraId="0A5255E9" w14:textId="77777777" w:rsidR="000831EE" w:rsidRPr="000B6C3D" w:rsidRDefault="000831EE" w:rsidP="00D77361">
            <w:pPr>
              <w:pStyle w:val="Tabela-tekst"/>
              <w:jc w:val="center"/>
            </w:pPr>
            <w:r>
              <w:t>66,7%</w:t>
            </w:r>
          </w:p>
        </w:tc>
        <w:tc>
          <w:tcPr>
            <w:tcW w:w="744" w:type="dxa"/>
            <w:vAlign w:val="center"/>
          </w:tcPr>
          <w:p w14:paraId="13B68E42" w14:textId="77777777" w:rsidR="000831EE" w:rsidRPr="00BC0C26" w:rsidRDefault="000831EE" w:rsidP="00D77361">
            <w:pPr>
              <w:pStyle w:val="Tabela-tekst"/>
              <w:jc w:val="center"/>
            </w:pPr>
            <w:r>
              <w:t>2</w:t>
            </w:r>
          </w:p>
        </w:tc>
        <w:tc>
          <w:tcPr>
            <w:tcW w:w="745" w:type="dxa"/>
            <w:vAlign w:val="center"/>
          </w:tcPr>
          <w:p w14:paraId="5D7C3FCF" w14:textId="77777777" w:rsidR="000831EE" w:rsidRPr="00BC0C26" w:rsidRDefault="000831EE" w:rsidP="00D77361">
            <w:pPr>
              <w:pStyle w:val="Tabela-tekst"/>
              <w:jc w:val="center"/>
            </w:pPr>
            <w:r>
              <w:t>33,3</w:t>
            </w:r>
            <w:r w:rsidRPr="00BC0C26">
              <w:t>%</w:t>
            </w:r>
          </w:p>
        </w:tc>
        <w:tc>
          <w:tcPr>
            <w:tcW w:w="1842" w:type="dxa"/>
            <w:vAlign w:val="center"/>
          </w:tcPr>
          <w:p w14:paraId="02A8CD22" w14:textId="77777777" w:rsidR="000831EE" w:rsidRPr="000B6C3D" w:rsidRDefault="000831EE" w:rsidP="00D77361">
            <w:pPr>
              <w:pStyle w:val="Tabela-tekst"/>
              <w:jc w:val="center"/>
            </w:pPr>
            <w:r>
              <w:t>proc.</w:t>
            </w:r>
            <w:r w:rsidRPr="000B6C3D">
              <w:t xml:space="preserve"> wykonanych ocen</w:t>
            </w:r>
          </w:p>
        </w:tc>
      </w:tr>
      <w:tr w:rsidR="000831EE" w:rsidRPr="00D94617" w14:paraId="11B65326" w14:textId="77777777" w:rsidTr="00D77361">
        <w:trPr>
          <w:trHeight w:val="454"/>
        </w:trPr>
        <w:tc>
          <w:tcPr>
            <w:tcW w:w="4248" w:type="dxa"/>
            <w:shd w:val="clear" w:color="auto" w:fill="auto"/>
            <w:noWrap/>
            <w:vAlign w:val="center"/>
            <w:hideMark/>
          </w:tcPr>
          <w:p w14:paraId="3BC1808C" w14:textId="77777777" w:rsidR="000831EE" w:rsidRPr="000B6C3D" w:rsidRDefault="000831EE" w:rsidP="00C80744">
            <w:pPr>
              <w:pStyle w:val="Tabela-tekst"/>
            </w:pPr>
            <w:r w:rsidRPr="000B6C3D">
              <w:t xml:space="preserve">Liczba jcwp, </w:t>
            </w:r>
            <w:r>
              <w:t>w których</w:t>
            </w:r>
            <w:r w:rsidRPr="000B6C3D">
              <w:t xml:space="preserve"> nie stwierdz</w:t>
            </w:r>
            <w:r>
              <w:t>ono</w:t>
            </w:r>
            <w:r w:rsidRPr="000B6C3D">
              <w:t xml:space="preserve"> przekroczeń </w:t>
            </w:r>
            <w:r>
              <w:t xml:space="preserve">powyżej </w:t>
            </w:r>
            <w:r w:rsidRPr="000B6C3D">
              <w:t>50% wartości odchylenia od normy (kryterium przyjęte dla oceny skuteczności działań)</w:t>
            </w:r>
          </w:p>
        </w:tc>
        <w:tc>
          <w:tcPr>
            <w:tcW w:w="744" w:type="dxa"/>
            <w:shd w:val="clear" w:color="auto" w:fill="auto"/>
            <w:noWrap/>
            <w:vAlign w:val="center"/>
          </w:tcPr>
          <w:p w14:paraId="096D4AD0" w14:textId="77777777" w:rsidR="000831EE" w:rsidRPr="000B6C3D" w:rsidRDefault="000831EE" w:rsidP="00D77361">
            <w:pPr>
              <w:pStyle w:val="Tabela-tekst"/>
              <w:jc w:val="center"/>
            </w:pPr>
            <w:r>
              <w:t>2</w:t>
            </w:r>
          </w:p>
        </w:tc>
        <w:tc>
          <w:tcPr>
            <w:tcW w:w="744" w:type="dxa"/>
            <w:shd w:val="clear" w:color="auto" w:fill="auto"/>
            <w:noWrap/>
            <w:vAlign w:val="center"/>
          </w:tcPr>
          <w:p w14:paraId="40DBB9C5" w14:textId="77777777" w:rsidR="000831EE" w:rsidRPr="000B6C3D" w:rsidRDefault="000831EE" w:rsidP="00D77361">
            <w:pPr>
              <w:pStyle w:val="Tabela-tekst"/>
              <w:jc w:val="center"/>
            </w:pPr>
            <w:r>
              <w:t>50,0%</w:t>
            </w:r>
          </w:p>
        </w:tc>
        <w:tc>
          <w:tcPr>
            <w:tcW w:w="744" w:type="dxa"/>
            <w:vAlign w:val="center"/>
          </w:tcPr>
          <w:p w14:paraId="48729AD9" w14:textId="77777777" w:rsidR="000831EE" w:rsidRPr="00BC0C26" w:rsidRDefault="000831EE" w:rsidP="00D77361">
            <w:pPr>
              <w:pStyle w:val="Tabela-tekst"/>
              <w:jc w:val="center"/>
            </w:pPr>
            <w:r>
              <w:t>2</w:t>
            </w:r>
          </w:p>
        </w:tc>
        <w:tc>
          <w:tcPr>
            <w:tcW w:w="745" w:type="dxa"/>
            <w:vAlign w:val="center"/>
          </w:tcPr>
          <w:p w14:paraId="6FAB6054" w14:textId="77777777" w:rsidR="000831EE" w:rsidRPr="00BC0C26" w:rsidRDefault="000831EE" w:rsidP="00D77361">
            <w:pPr>
              <w:pStyle w:val="Tabela-tekst"/>
              <w:jc w:val="center"/>
            </w:pPr>
            <w:r>
              <w:t>100</w:t>
            </w:r>
            <w:r w:rsidRPr="00BC0C26">
              <w:t>%</w:t>
            </w:r>
          </w:p>
        </w:tc>
        <w:tc>
          <w:tcPr>
            <w:tcW w:w="1842" w:type="dxa"/>
            <w:vAlign w:val="center"/>
          </w:tcPr>
          <w:p w14:paraId="1C9B6D21" w14:textId="77777777" w:rsidR="000831EE" w:rsidRPr="000B6C3D" w:rsidRDefault="000831EE" w:rsidP="00D77361">
            <w:pPr>
              <w:pStyle w:val="Tabela-tekst"/>
              <w:jc w:val="center"/>
            </w:pPr>
            <w:r>
              <w:t>proc.</w:t>
            </w:r>
            <w:r w:rsidRPr="000B6C3D">
              <w:t xml:space="preserve"> ocen o wymaganej redukcji</w:t>
            </w:r>
          </w:p>
        </w:tc>
      </w:tr>
      <w:tr w:rsidR="000831EE" w:rsidRPr="00D94617" w14:paraId="429074F2" w14:textId="77777777" w:rsidTr="00D77361">
        <w:trPr>
          <w:trHeight w:val="454"/>
        </w:trPr>
        <w:tc>
          <w:tcPr>
            <w:tcW w:w="4248" w:type="dxa"/>
            <w:shd w:val="clear" w:color="auto" w:fill="auto"/>
            <w:noWrap/>
            <w:vAlign w:val="center"/>
            <w:hideMark/>
          </w:tcPr>
          <w:p w14:paraId="1AA08936" w14:textId="77777777" w:rsidR="000831EE" w:rsidRPr="000B6C3D" w:rsidRDefault="000831EE" w:rsidP="00C80744">
            <w:pPr>
              <w:pStyle w:val="Tabela-tekst"/>
            </w:pPr>
            <w:r w:rsidRPr="000B6C3D">
              <w:t xml:space="preserve">Liczba jcwp, </w:t>
            </w:r>
            <w:r>
              <w:t>w których</w:t>
            </w:r>
            <w:r w:rsidRPr="000B6C3D">
              <w:t xml:space="preserve"> stosowano działania i uzyskano skuteczność redukcji dla liczby oznaczeń</w:t>
            </w:r>
          </w:p>
        </w:tc>
        <w:tc>
          <w:tcPr>
            <w:tcW w:w="744" w:type="dxa"/>
            <w:shd w:val="clear" w:color="auto" w:fill="auto"/>
            <w:noWrap/>
            <w:vAlign w:val="center"/>
          </w:tcPr>
          <w:p w14:paraId="1BBC9D22" w14:textId="77777777" w:rsidR="000831EE" w:rsidRPr="000B6C3D" w:rsidRDefault="000831EE" w:rsidP="00D77361">
            <w:pPr>
              <w:pStyle w:val="Tabela-tekst"/>
              <w:jc w:val="center"/>
            </w:pPr>
            <w:r>
              <w:t>4</w:t>
            </w:r>
          </w:p>
        </w:tc>
        <w:tc>
          <w:tcPr>
            <w:tcW w:w="744" w:type="dxa"/>
            <w:shd w:val="clear" w:color="auto" w:fill="auto"/>
            <w:noWrap/>
            <w:vAlign w:val="center"/>
          </w:tcPr>
          <w:p w14:paraId="2DE4E3E4" w14:textId="77777777" w:rsidR="000831EE" w:rsidRPr="000B6C3D" w:rsidRDefault="000831EE" w:rsidP="00D77361">
            <w:pPr>
              <w:pStyle w:val="Tabela-tekst"/>
              <w:jc w:val="center"/>
            </w:pPr>
            <w:r>
              <w:t>66,7%</w:t>
            </w:r>
          </w:p>
        </w:tc>
        <w:tc>
          <w:tcPr>
            <w:tcW w:w="744" w:type="dxa"/>
            <w:vAlign w:val="center"/>
          </w:tcPr>
          <w:p w14:paraId="410760B1" w14:textId="77777777" w:rsidR="000831EE" w:rsidRPr="00BC0C26" w:rsidRDefault="000831EE" w:rsidP="00D77361">
            <w:pPr>
              <w:pStyle w:val="Tabela-tekst"/>
              <w:jc w:val="center"/>
            </w:pPr>
            <w:r>
              <w:t>2</w:t>
            </w:r>
          </w:p>
        </w:tc>
        <w:tc>
          <w:tcPr>
            <w:tcW w:w="745" w:type="dxa"/>
            <w:vAlign w:val="center"/>
          </w:tcPr>
          <w:p w14:paraId="53154F59" w14:textId="77777777" w:rsidR="000831EE" w:rsidRPr="00BC0C26" w:rsidRDefault="000831EE" w:rsidP="00D77361">
            <w:pPr>
              <w:pStyle w:val="Tabela-tekst"/>
              <w:jc w:val="center"/>
            </w:pPr>
            <w:r>
              <w:t>100</w:t>
            </w:r>
            <w:r w:rsidRPr="00BC0C26">
              <w:t>%</w:t>
            </w:r>
          </w:p>
        </w:tc>
        <w:tc>
          <w:tcPr>
            <w:tcW w:w="1842" w:type="dxa"/>
            <w:vAlign w:val="center"/>
          </w:tcPr>
          <w:p w14:paraId="7391FC7E" w14:textId="77777777" w:rsidR="000831EE" w:rsidRPr="000B6C3D" w:rsidRDefault="000831EE" w:rsidP="00D77361">
            <w:pPr>
              <w:pStyle w:val="Tabela-tekst"/>
              <w:jc w:val="center"/>
            </w:pPr>
            <w:r>
              <w:t>proc.</w:t>
            </w:r>
            <w:r w:rsidRPr="000B6C3D">
              <w:t xml:space="preserve"> ocen o wymaganej redukcji z działaniami</w:t>
            </w:r>
          </w:p>
        </w:tc>
      </w:tr>
      <w:tr w:rsidR="000831EE" w:rsidRPr="00D94617" w14:paraId="2D6B2AC4" w14:textId="77777777" w:rsidTr="00D77361">
        <w:trPr>
          <w:trHeight w:val="454"/>
        </w:trPr>
        <w:tc>
          <w:tcPr>
            <w:tcW w:w="4248" w:type="dxa"/>
            <w:shd w:val="clear" w:color="auto" w:fill="auto"/>
            <w:noWrap/>
            <w:vAlign w:val="center"/>
            <w:hideMark/>
          </w:tcPr>
          <w:p w14:paraId="3AE33577" w14:textId="77777777" w:rsidR="000831EE" w:rsidRPr="000B6C3D" w:rsidRDefault="000831EE" w:rsidP="00C80744">
            <w:pPr>
              <w:pStyle w:val="Tabela-tekst"/>
            </w:pPr>
            <w:r w:rsidRPr="000B6C3D">
              <w:t>Liczba działań dających założoną skuteczność redukcji dla liczby oznaczeń i ma</w:t>
            </w:r>
            <w:r>
              <w:t>ks</w:t>
            </w:r>
            <w:r w:rsidRPr="000B6C3D">
              <w:t>. przekroczenie dla pojedynczego oznaczenia do 50%</w:t>
            </w:r>
          </w:p>
        </w:tc>
        <w:tc>
          <w:tcPr>
            <w:tcW w:w="744" w:type="dxa"/>
            <w:shd w:val="clear" w:color="auto" w:fill="auto"/>
            <w:noWrap/>
            <w:vAlign w:val="center"/>
          </w:tcPr>
          <w:p w14:paraId="3986EFFF" w14:textId="77777777" w:rsidR="000831EE" w:rsidRPr="000B6C3D" w:rsidRDefault="000831EE" w:rsidP="00D77361">
            <w:pPr>
              <w:pStyle w:val="Tabela-tekst"/>
              <w:jc w:val="center"/>
            </w:pPr>
            <w:r>
              <w:t>0</w:t>
            </w:r>
          </w:p>
        </w:tc>
        <w:tc>
          <w:tcPr>
            <w:tcW w:w="744" w:type="dxa"/>
            <w:shd w:val="clear" w:color="auto" w:fill="auto"/>
            <w:noWrap/>
            <w:vAlign w:val="center"/>
          </w:tcPr>
          <w:p w14:paraId="08B1D458" w14:textId="77777777" w:rsidR="000831EE" w:rsidRPr="000B6C3D" w:rsidRDefault="000831EE" w:rsidP="00D77361">
            <w:pPr>
              <w:pStyle w:val="Tabela-tekst"/>
              <w:jc w:val="center"/>
            </w:pPr>
            <w:r>
              <w:t>0</w:t>
            </w:r>
          </w:p>
        </w:tc>
        <w:tc>
          <w:tcPr>
            <w:tcW w:w="744" w:type="dxa"/>
            <w:vAlign w:val="center"/>
          </w:tcPr>
          <w:p w14:paraId="292BEB1E" w14:textId="77777777" w:rsidR="000831EE" w:rsidRPr="00BC0C26" w:rsidRDefault="000831EE" w:rsidP="00D77361">
            <w:pPr>
              <w:pStyle w:val="Tabela-tekst"/>
              <w:jc w:val="center"/>
            </w:pPr>
            <w:r>
              <w:t>0</w:t>
            </w:r>
          </w:p>
        </w:tc>
        <w:tc>
          <w:tcPr>
            <w:tcW w:w="745" w:type="dxa"/>
            <w:vAlign w:val="center"/>
          </w:tcPr>
          <w:p w14:paraId="14E7ABC0" w14:textId="77777777" w:rsidR="000831EE" w:rsidRPr="00BC0C26" w:rsidRDefault="000831EE" w:rsidP="00D77361">
            <w:pPr>
              <w:pStyle w:val="Tabela-tekst"/>
              <w:jc w:val="center"/>
            </w:pPr>
            <w:r>
              <w:t>0</w:t>
            </w:r>
          </w:p>
        </w:tc>
        <w:tc>
          <w:tcPr>
            <w:tcW w:w="1842" w:type="dxa"/>
            <w:vAlign w:val="center"/>
          </w:tcPr>
          <w:p w14:paraId="16B4B407" w14:textId="77777777" w:rsidR="000831EE" w:rsidRPr="000B6C3D" w:rsidRDefault="000831EE" w:rsidP="00D77361">
            <w:pPr>
              <w:pStyle w:val="Tabela-tekst"/>
              <w:jc w:val="center"/>
            </w:pPr>
            <w:r>
              <w:t>proc.</w:t>
            </w:r>
            <w:r w:rsidRPr="000B6C3D">
              <w:t xml:space="preserve"> ocen jw.</w:t>
            </w:r>
            <w:r>
              <w:t>,</w:t>
            </w:r>
            <w:r w:rsidRPr="000B6C3D">
              <w:t xml:space="preserve"> gdzie przekroczenia były niższe </w:t>
            </w:r>
            <w:r>
              <w:t>niż</w:t>
            </w:r>
            <w:r w:rsidRPr="000B6C3D">
              <w:t xml:space="preserve"> 50%</w:t>
            </w:r>
          </w:p>
        </w:tc>
      </w:tr>
    </w:tbl>
    <w:p w14:paraId="260C67A9" w14:textId="77777777" w:rsidR="00231528" w:rsidRPr="001E4D45" w:rsidRDefault="00231528" w:rsidP="00231528">
      <w:pPr>
        <w:pStyle w:val="rdo0"/>
      </w:pPr>
      <w:r w:rsidRPr="001E4D45">
        <w:rPr>
          <w:lang w:eastAsia="zh-CN"/>
        </w:rPr>
        <w:t xml:space="preserve">Źródło: opracowanie </w:t>
      </w:r>
      <w:r>
        <w:rPr>
          <w:lang w:eastAsia="zh-CN"/>
        </w:rPr>
        <w:t>własne</w:t>
      </w:r>
    </w:p>
    <w:p w14:paraId="025C09F4" w14:textId="5C430D53" w:rsidR="000831EE" w:rsidRPr="003C3C03" w:rsidRDefault="003C3C03" w:rsidP="006802BB">
      <w:pPr>
        <w:pStyle w:val="Tabela"/>
      </w:pPr>
      <w:bookmarkStart w:id="487" w:name="_Toc68727057"/>
      <w:r>
        <w:t xml:space="preserve">Tabela </w:t>
      </w:r>
      <w:fldSimple w:instr=" STYLEREF 1 \s ">
        <w:r w:rsidR="009D0A01">
          <w:rPr>
            <w:noProof/>
          </w:rPr>
          <w:t>13</w:t>
        </w:r>
      </w:fldSimple>
      <w:r w:rsidR="007B4050">
        <w:noBreakHyphen/>
      </w:r>
      <w:fldSimple w:instr=" SEQ Tabela \* ARABIC \s 1 ">
        <w:r w:rsidR="009D0A01">
          <w:rPr>
            <w:noProof/>
          </w:rPr>
          <w:t>17</w:t>
        </w:r>
      </w:fldSimple>
      <w:r>
        <w:tab/>
      </w:r>
      <w:r w:rsidRPr="00D06A1F">
        <w:t xml:space="preserve">Skuteczność działań dla kategorii jcwp </w:t>
      </w:r>
      <w:r w:rsidR="00E879CE">
        <w:t>LW</w:t>
      </w:r>
      <w:r w:rsidRPr="00D06A1F">
        <w:t xml:space="preserve"> w zakresie oceny substancji priorytetowych w</w:t>
      </w:r>
      <w:r w:rsidR="0030438B">
        <w:t> </w:t>
      </w:r>
      <w:r w:rsidRPr="00D06A1F">
        <w:t xml:space="preserve">wodzie </w:t>
      </w:r>
      <w:r w:rsidR="00442AB7">
        <w:t>-</w:t>
      </w:r>
      <w:r w:rsidRPr="00D06A1F">
        <w:t xml:space="preserve"> </w:t>
      </w:r>
      <w:r>
        <w:t xml:space="preserve">analiza statystyczna obejmująca </w:t>
      </w:r>
      <w:r w:rsidRPr="00D06A1F">
        <w:t>obszar dorzecz</w:t>
      </w:r>
      <w:r>
        <w:t>a Pregoły</w:t>
      </w:r>
      <w:bookmarkEnd w:id="48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739"/>
        <w:gridCol w:w="739"/>
        <w:gridCol w:w="739"/>
        <w:gridCol w:w="739"/>
        <w:gridCol w:w="1863"/>
      </w:tblGrid>
      <w:tr w:rsidR="00D77361" w:rsidRPr="00D94617" w14:paraId="4789B017" w14:textId="77777777" w:rsidTr="00B16BD9">
        <w:trPr>
          <w:trHeight w:val="454"/>
          <w:tblHeader/>
        </w:trPr>
        <w:tc>
          <w:tcPr>
            <w:tcW w:w="4248" w:type="dxa"/>
            <w:shd w:val="clear" w:color="auto" w:fill="BFBFBF" w:themeFill="background1" w:themeFillShade="BF"/>
            <w:noWrap/>
            <w:vAlign w:val="center"/>
          </w:tcPr>
          <w:p w14:paraId="1FF687FF" w14:textId="77777777" w:rsidR="00D77361" w:rsidRPr="00C80744" w:rsidRDefault="00D77361" w:rsidP="00D228EB">
            <w:pPr>
              <w:pStyle w:val="Tabela-tekst"/>
              <w:jc w:val="center"/>
              <w:rPr>
                <w:b/>
                <w:bCs/>
              </w:rPr>
            </w:pPr>
            <w:r w:rsidRPr="00C80744">
              <w:rPr>
                <w:b/>
                <w:bCs/>
              </w:rPr>
              <w:t>Ocena skuteczności działań w jcwp LW</w:t>
            </w:r>
          </w:p>
        </w:tc>
        <w:tc>
          <w:tcPr>
            <w:tcW w:w="1478" w:type="dxa"/>
            <w:gridSpan w:val="2"/>
            <w:shd w:val="clear" w:color="auto" w:fill="BFBFBF" w:themeFill="background1" w:themeFillShade="BF"/>
            <w:noWrap/>
            <w:vAlign w:val="center"/>
          </w:tcPr>
          <w:p w14:paraId="4FCBF783" w14:textId="77777777" w:rsidR="00D77361" w:rsidRPr="00C80744" w:rsidRDefault="00D77361" w:rsidP="00F737EB">
            <w:pPr>
              <w:pStyle w:val="Tabela-tekst"/>
              <w:jc w:val="center"/>
              <w:rPr>
                <w:b/>
                <w:bCs/>
              </w:rPr>
            </w:pPr>
            <w:r w:rsidRPr="00C80744">
              <w:rPr>
                <w:b/>
                <w:bCs/>
              </w:rPr>
              <w:t>Liczba jcwp</w:t>
            </w:r>
          </w:p>
        </w:tc>
        <w:tc>
          <w:tcPr>
            <w:tcW w:w="1478" w:type="dxa"/>
            <w:gridSpan w:val="2"/>
            <w:shd w:val="clear" w:color="auto" w:fill="BFBFBF" w:themeFill="background1" w:themeFillShade="BF"/>
            <w:vAlign w:val="center"/>
          </w:tcPr>
          <w:p w14:paraId="5EE33E12" w14:textId="3A820F6F" w:rsidR="00D77361" w:rsidRPr="00C80744" w:rsidRDefault="00D77361" w:rsidP="00F737EB">
            <w:pPr>
              <w:pStyle w:val="Tabela-tekst"/>
              <w:jc w:val="center"/>
              <w:rPr>
                <w:b/>
                <w:bCs/>
              </w:rPr>
            </w:pPr>
            <w:r w:rsidRPr="00A16503">
              <w:rPr>
                <w:b/>
                <w:bCs/>
              </w:rPr>
              <w:t>Udział w liczbie jcwp</w:t>
            </w:r>
            <w:r>
              <w:rPr>
                <w:b/>
                <w:bCs/>
              </w:rPr>
              <w:t xml:space="preserve"> (%)</w:t>
            </w:r>
          </w:p>
        </w:tc>
        <w:tc>
          <w:tcPr>
            <w:tcW w:w="1863" w:type="dxa"/>
            <w:shd w:val="clear" w:color="auto" w:fill="BFBFBF" w:themeFill="background1" w:themeFillShade="BF"/>
            <w:vAlign w:val="center"/>
          </w:tcPr>
          <w:p w14:paraId="4ED11E71" w14:textId="77777777" w:rsidR="00D77361" w:rsidRPr="00C80744" w:rsidRDefault="00D77361" w:rsidP="00F737EB">
            <w:pPr>
              <w:pStyle w:val="Tabela-tekst"/>
              <w:jc w:val="center"/>
              <w:rPr>
                <w:b/>
                <w:bCs/>
              </w:rPr>
            </w:pPr>
            <w:r w:rsidRPr="00C80744">
              <w:rPr>
                <w:b/>
                <w:bCs/>
              </w:rPr>
              <w:t>Uwagi</w:t>
            </w:r>
          </w:p>
        </w:tc>
      </w:tr>
      <w:tr w:rsidR="000831EE" w:rsidRPr="00D94617" w14:paraId="7D9E7C95" w14:textId="77777777" w:rsidTr="00F737EB">
        <w:trPr>
          <w:trHeight w:val="454"/>
        </w:trPr>
        <w:tc>
          <w:tcPr>
            <w:tcW w:w="4248" w:type="dxa"/>
            <w:shd w:val="clear" w:color="auto" w:fill="auto"/>
            <w:noWrap/>
            <w:vAlign w:val="center"/>
          </w:tcPr>
          <w:p w14:paraId="0835306F" w14:textId="77777777" w:rsidR="000831EE" w:rsidRPr="000B6C3D" w:rsidRDefault="000831EE" w:rsidP="00C80744">
            <w:pPr>
              <w:pStyle w:val="Tabela-tekst"/>
            </w:pPr>
            <w:r w:rsidRPr="000B6C3D">
              <w:t>Liczba jcwp ze realizowanym lub zrealizowanym min</w:t>
            </w:r>
            <w:r>
              <w:t>.</w:t>
            </w:r>
            <w:r w:rsidRPr="000B6C3D">
              <w:t xml:space="preserve"> 1 zestawem działań ciągłych</w:t>
            </w:r>
          </w:p>
        </w:tc>
        <w:tc>
          <w:tcPr>
            <w:tcW w:w="1478" w:type="dxa"/>
            <w:gridSpan w:val="2"/>
            <w:shd w:val="clear" w:color="auto" w:fill="auto"/>
            <w:noWrap/>
            <w:vAlign w:val="center"/>
          </w:tcPr>
          <w:p w14:paraId="7B8FD023" w14:textId="77777777" w:rsidR="000831EE" w:rsidRPr="000B6C3D" w:rsidRDefault="000831EE" w:rsidP="00F737EB">
            <w:pPr>
              <w:pStyle w:val="Tabela-tekst"/>
              <w:jc w:val="center"/>
            </w:pPr>
            <w:r>
              <w:t>67</w:t>
            </w:r>
          </w:p>
        </w:tc>
        <w:tc>
          <w:tcPr>
            <w:tcW w:w="1478" w:type="dxa"/>
            <w:gridSpan w:val="2"/>
            <w:vAlign w:val="center"/>
          </w:tcPr>
          <w:p w14:paraId="5730C94C" w14:textId="77777777" w:rsidR="000831EE" w:rsidRPr="000B6C3D" w:rsidRDefault="000831EE" w:rsidP="00F737EB">
            <w:pPr>
              <w:pStyle w:val="Tabela-tekst"/>
              <w:jc w:val="center"/>
            </w:pPr>
            <w:r>
              <w:t>66,3%</w:t>
            </w:r>
          </w:p>
        </w:tc>
        <w:tc>
          <w:tcPr>
            <w:tcW w:w="1863" w:type="dxa"/>
            <w:vAlign w:val="center"/>
          </w:tcPr>
          <w:p w14:paraId="05A748BF" w14:textId="77777777" w:rsidR="000831EE" w:rsidRPr="000B6C3D" w:rsidRDefault="000831EE" w:rsidP="00F737EB">
            <w:pPr>
              <w:pStyle w:val="Tabela-tekst"/>
              <w:jc w:val="center"/>
            </w:pPr>
            <w:r w:rsidRPr="000B6C3D">
              <w:t>-</w:t>
            </w:r>
          </w:p>
        </w:tc>
      </w:tr>
      <w:tr w:rsidR="000831EE" w:rsidRPr="00D94617" w14:paraId="2F0052A8" w14:textId="77777777" w:rsidTr="00F737EB">
        <w:trPr>
          <w:trHeight w:val="454"/>
        </w:trPr>
        <w:tc>
          <w:tcPr>
            <w:tcW w:w="4248" w:type="dxa"/>
            <w:shd w:val="clear" w:color="auto" w:fill="auto"/>
            <w:noWrap/>
            <w:vAlign w:val="center"/>
            <w:hideMark/>
          </w:tcPr>
          <w:p w14:paraId="441E5EFC" w14:textId="77777777" w:rsidR="000831EE" w:rsidRPr="000B6C3D" w:rsidRDefault="000831EE" w:rsidP="00C80744">
            <w:pPr>
              <w:pStyle w:val="Tabela-tekst"/>
            </w:pPr>
            <w:r w:rsidRPr="000B6C3D">
              <w:t>Liczba jcwp ze zrealizowanym min. 1 działaniem jednorazowym</w:t>
            </w:r>
          </w:p>
        </w:tc>
        <w:tc>
          <w:tcPr>
            <w:tcW w:w="1478" w:type="dxa"/>
            <w:gridSpan w:val="2"/>
            <w:shd w:val="clear" w:color="auto" w:fill="auto"/>
            <w:noWrap/>
            <w:vAlign w:val="center"/>
          </w:tcPr>
          <w:p w14:paraId="5C2EB0F4" w14:textId="77777777" w:rsidR="000831EE" w:rsidRPr="000B6C3D" w:rsidRDefault="000831EE" w:rsidP="00F737EB">
            <w:pPr>
              <w:pStyle w:val="Tabela-tekst"/>
              <w:jc w:val="center"/>
            </w:pPr>
            <w:r>
              <w:t>2</w:t>
            </w:r>
          </w:p>
        </w:tc>
        <w:tc>
          <w:tcPr>
            <w:tcW w:w="1478" w:type="dxa"/>
            <w:gridSpan w:val="2"/>
            <w:vAlign w:val="center"/>
          </w:tcPr>
          <w:p w14:paraId="06475E74" w14:textId="77777777" w:rsidR="000831EE" w:rsidRPr="000B6C3D" w:rsidRDefault="000831EE" w:rsidP="00F737EB">
            <w:pPr>
              <w:pStyle w:val="Tabela-tekst"/>
              <w:jc w:val="center"/>
            </w:pPr>
            <w:r>
              <w:t>2,0%</w:t>
            </w:r>
          </w:p>
        </w:tc>
        <w:tc>
          <w:tcPr>
            <w:tcW w:w="1863" w:type="dxa"/>
            <w:vAlign w:val="center"/>
          </w:tcPr>
          <w:p w14:paraId="7AFF4B7F" w14:textId="77777777" w:rsidR="000831EE" w:rsidRPr="000B6C3D" w:rsidRDefault="000831EE" w:rsidP="00F737EB">
            <w:pPr>
              <w:pStyle w:val="Tabela-tekst"/>
              <w:jc w:val="center"/>
            </w:pPr>
            <w:r w:rsidRPr="000B6C3D">
              <w:t>-</w:t>
            </w:r>
          </w:p>
        </w:tc>
      </w:tr>
      <w:tr w:rsidR="000831EE" w:rsidRPr="00D94617" w14:paraId="6AB70A28" w14:textId="77777777" w:rsidTr="00F737EB">
        <w:trPr>
          <w:trHeight w:val="454"/>
        </w:trPr>
        <w:tc>
          <w:tcPr>
            <w:tcW w:w="4248" w:type="dxa"/>
            <w:shd w:val="clear" w:color="auto" w:fill="auto"/>
            <w:noWrap/>
            <w:vAlign w:val="center"/>
            <w:hideMark/>
          </w:tcPr>
          <w:p w14:paraId="3A6FB2E6" w14:textId="77777777" w:rsidR="000831EE" w:rsidRPr="000B6C3D" w:rsidRDefault="000831EE" w:rsidP="00C80744">
            <w:pPr>
              <w:pStyle w:val="Tabela-tekst"/>
            </w:pPr>
            <w:r w:rsidRPr="000B6C3D">
              <w:t xml:space="preserve">Liczba ocen jcwp z wynikami umożliwiającymi uwzględnienie w ocenie skuteczności </w:t>
            </w:r>
          </w:p>
        </w:tc>
        <w:tc>
          <w:tcPr>
            <w:tcW w:w="1478" w:type="dxa"/>
            <w:gridSpan w:val="2"/>
            <w:shd w:val="clear" w:color="auto" w:fill="auto"/>
            <w:noWrap/>
            <w:vAlign w:val="center"/>
          </w:tcPr>
          <w:p w14:paraId="6A2F0069" w14:textId="77777777" w:rsidR="000831EE" w:rsidRPr="000B6C3D" w:rsidRDefault="000831EE" w:rsidP="00F737EB">
            <w:pPr>
              <w:pStyle w:val="Tabela-tekst"/>
              <w:jc w:val="center"/>
            </w:pPr>
            <w:r>
              <w:t>15</w:t>
            </w:r>
          </w:p>
        </w:tc>
        <w:tc>
          <w:tcPr>
            <w:tcW w:w="1478" w:type="dxa"/>
            <w:gridSpan w:val="2"/>
            <w:vAlign w:val="center"/>
          </w:tcPr>
          <w:p w14:paraId="282FBAB3" w14:textId="77777777" w:rsidR="000831EE" w:rsidRPr="000B6C3D" w:rsidRDefault="000831EE" w:rsidP="00F737EB">
            <w:pPr>
              <w:pStyle w:val="Tabela-tekst"/>
              <w:jc w:val="center"/>
            </w:pPr>
            <w:r>
              <w:t>14,8%</w:t>
            </w:r>
          </w:p>
        </w:tc>
        <w:tc>
          <w:tcPr>
            <w:tcW w:w="1863" w:type="dxa"/>
            <w:vAlign w:val="center"/>
          </w:tcPr>
          <w:p w14:paraId="4A1A36D9" w14:textId="77777777" w:rsidR="000831EE" w:rsidRPr="000B6C3D" w:rsidRDefault="000831EE" w:rsidP="00F737EB">
            <w:pPr>
              <w:pStyle w:val="Tabela-tekst"/>
              <w:jc w:val="center"/>
            </w:pPr>
            <w:r>
              <w:t>-</w:t>
            </w:r>
          </w:p>
        </w:tc>
      </w:tr>
      <w:tr w:rsidR="000831EE" w:rsidRPr="00D94617" w14:paraId="5B213B66" w14:textId="77777777" w:rsidTr="00F737EB">
        <w:trPr>
          <w:trHeight w:val="454"/>
        </w:trPr>
        <w:tc>
          <w:tcPr>
            <w:tcW w:w="4248" w:type="dxa"/>
            <w:shd w:val="clear" w:color="auto" w:fill="D9D9D9" w:themeFill="background1" w:themeFillShade="D9"/>
            <w:noWrap/>
            <w:vAlign w:val="center"/>
          </w:tcPr>
          <w:p w14:paraId="0B0D8CE2" w14:textId="77777777" w:rsidR="000831EE" w:rsidRPr="000B6C3D" w:rsidRDefault="000831EE" w:rsidP="00C80744">
            <w:pPr>
              <w:pStyle w:val="Tabela-tekst"/>
            </w:pPr>
            <w:r>
              <w:t>S</w:t>
            </w:r>
            <w:r w:rsidRPr="000B6C3D">
              <w:t>kuteczność redukcji stężeń</w:t>
            </w:r>
            <w:r>
              <w:t xml:space="preserve"> oceniana</w:t>
            </w:r>
            <w:r w:rsidRPr="000B6C3D">
              <w:t xml:space="preserve"> jako odsetek wykonanych oznaczeń</w:t>
            </w:r>
            <w:r>
              <w:t>,</w:t>
            </w:r>
            <w:r w:rsidRPr="000B6C3D">
              <w:t xml:space="preserve"> dla których uzyskano redukcję stężenia</w:t>
            </w:r>
          </w:p>
        </w:tc>
        <w:tc>
          <w:tcPr>
            <w:tcW w:w="1478" w:type="dxa"/>
            <w:gridSpan w:val="2"/>
            <w:shd w:val="clear" w:color="auto" w:fill="D9D9D9" w:themeFill="background1" w:themeFillShade="D9"/>
            <w:noWrap/>
            <w:vAlign w:val="center"/>
          </w:tcPr>
          <w:p w14:paraId="21E2603E" w14:textId="77777777" w:rsidR="000831EE" w:rsidRPr="000B6C3D" w:rsidRDefault="000831EE" w:rsidP="00F737EB">
            <w:pPr>
              <w:pStyle w:val="Tabela-tekst"/>
              <w:jc w:val="center"/>
            </w:pPr>
            <w:r>
              <w:t>C</w:t>
            </w:r>
            <w:r w:rsidRPr="000B6C3D">
              <w:t>o najmniej 50% oznaczeń</w:t>
            </w:r>
          </w:p>
        </w:tc>
        <w:tc>
          <w:tcPr>
            <w:tcW w:w="1478" w:type="dxa"/>
            <w:gridSpan w:val="2"/>
            <w:shd w:val="clear" w:color="auto" w:fill="D9D9D9" w:themeFill="background1" w:themeFillShade="D9"/>
            <w:vAlign w:val="center"/>
          </w:tcPr>
          <w:p w14:paraId="0492EF76" w14:textId="77777777" w:rsidR="000831EE" w:rsidRPr="000B6C3D" w:rsidRDefault="000831EE" w:rsidP="00F737EB">
            <w:pPr>
              <w:pStyle w:val="Tabela-tekst"/>
              <w:jc w:val="center"/>
            </w:pPr>
            <w:r>
              <w:t>C</w:t>
            </w:r>
            <w:r w:rsidRPr="000B6C3D">
              <w:t>o najmniej 85% oznaczeń</w:t>
            </w:r>
          </w:p>
        </w:tc>
        <w:tc>
          <w:tcPr>
            <w:tcW w:w="1863" w:type="dxa"/>
            <w:shd w:val="clear" w:color="auto" w:fill="D9D9D9" w:themeFill="background1" w:themeFillShade="D9"/>
            <w:vAlign w:val="center"/>
          </w:tcPr>
          <w:p w14:paraId="13F9398B" w14:textId="77777777" w:rsidR="000831EE" w:rsidRPr="000B6C3D" w:rsidRDefault="000831EE" w:rsidP="00F737EB">
            <w:pPr>
              <w:pStyle w:val="Tabela-tekst"/>
              <w:jc w:val="center"/>
            </w:pPr>
            <w:r w:rsidRPr="000B6C3D">
              <w:t>Uwagi</w:t>
            </w:r>
          </w:p>
        </w:tc>
      </w:tr>
      <w:tr w:rsidR="000831EE" w:rsidRPr="00D94617" w14:paraId="4AB1D572" w14:textId="77777777" w:rsidTr="00F737EB">
        <w:trPr>
          <w:trHeight w:val="454"/>
        </w:trPr>
        <w:tc>
          <w:tcPr>
            <w:tcW w:w="4248" w:type="dxa"/>
            <w:shd w:val="clear" w:color="auto" w:fill="auto"/>
            <w:noWrap/>
            <w:vAlign w:val="center"/>
            <w:hideMark/>
          </w:tcPr>
          <w:p w14:paraId="24F090D9" w14:textId="77777777" w:rsidR="000831EE" w:rsidRPr="000B6C3D" w:rsidRDefault="000831EE" w:rsidP="00C80744">
            <w:pPr>
              <w:pStyle w:val="Tabela-tekst"/>
            </w:pPr>
            <w:r w:rsidRPr="000B6C3D">
              <w:t>Liczba jcwp</w:t>
            </w:r>
            <w:r>
              <w:t>,</w:t>
            </w:r>
            <w:r w:rsidRPr="000B6C3D">
              <w:t xml:space="preserve"> w których redukcja stężenia występuje w powyżej 50% oznaczeń (za istotne przyjęto pomiary o redukcji poniżej 20%)</w:t>
            </w:r>
          </w:p>
        </w:tc>
        <w:tc>
          <w:tcPr>
            <w:tcW w:w="739" w:type="dxa"/>
            <w:shd w:val="clear" w:color="auto" w:fill="auto"/>
            <w:noWrap/>
            <w:vAlign w:val="center"/>
          </w:tcPr>
          <w:p w14:paraId="3BF191AD" w14:textId="77777777" w:rsidR="000831EE" w:rsidRPr="000B6C3D" w:rsidRDefault="000831EE" w:rsidP="00F737EB">
            <w:pPr>
              <w:pStyle w:val="Tabela-tekst"/>
              <w:jc w:val="center"/>
            </w:pPr>
            <w:r>
              <w:t>9</w:t>
            </w:r>
          </w:p>
        </w:tc>
        <w:tc>
          <w:tcPr>
            <w:tcW w:w="739" w:type="dxa"/>
            <w:shd w:val="clear" w:color="auto" w:fill="auto"/>
            <w:noWrap/>
            <w:vAlign w:val="center"/>
          </w:tcPr>
          <w:p w14:paraId="3D6E6035" w14:textId="77777777" w:rsidR="000831EE" w:rsidRPr="000B6C3D" w:rsidRDefault="000831EE" w:rsidP="00F737EB">
            <w:pPr>
              <w:pStyle w:val="Tabela-tekst"/>
              <w:jc w:val="center"/>
            </w:pPr>
            <w:r>
              <w:t>60,0%</w:t>
            </w:r>
          </w:p>
        </w:tc>
        <w:tc>
          <w:tcPr>
            <w:tcW w:w="739" w:type="dxa"/>
            <w:vAlign w:val="center"/>
          </w:tcPr>
          <w:p w14:paraId="4E6D9A3C" w14:textId="77777777" w:rsidR="000831EE" w:rsidRPr="00BC0C26" w:rsidRDefault="000831EE" w:rsidP="00F737EB">
            <w:pPr>
              <w:pStyle w:val="Tabela-tekst"/>
              <w:jc w:val="center"/>
            </w:pPr>
            <w:r>
              <w:t>9</w:t>
            </w:r>
          </w:p>
        </w:tc>
        <w:tc>
          <w:tcPr>
            <w:tcW w:w="739" w:type="dxa"/>
            <w:vAlign w:val="center"/>
          </w:tcPr>
          <w:p w14:paraId="5DC2C67D" w14:textId="77777777" w:rsidR="000831EE" w:rsidRPr="00BC0C26" w:rsidRDefault="000831EE" w:rsidP="00F737EB">
            <w:pPr>
              <w:pStyle w:val="Tabela-tekst"/>
              <w:jc w:val="center"/>
            </w:pPr>
            <w:r>
              <w:t>60,0</w:t>
            </w:r>
            <w:r w:rsidRPr="00BC0C26">
              <w:t>%</w:t>
            </w:r>
          </w:p>
        </w:tc>
        <w:tc>
          <w:tcPr>
            <w:tcW w:w="1863" w:type="dxa"/>
            <w:vAlign w:val="center"/>
          </w:tcPr>
          <w:p w14:paraId="14458952" w14:textId="77777777" w:rsidR="000831EE" w:rsidRPr="000B6C3D" w:rsidRDefault="000831EE" w:rsidP="00F737EB">
            <w:pPr>
              <w:pStyle w:val="Tabela-tekst"/>
              <w:jc w:val="center"/>
            </w:pPr>
            <w:r>
              <w:t>proc.</w:t>
            </w:r>
            <w:r w:rsidRPr="000B6C3D">
              <w:t xml:space="preserve"> wykonanych ocen</w:t>
            </w:r>
          </w:p>
        </w:tc>
      </w:tr>
      <w:tr w:rsidR="000831EE" w:rsidRPr="00D94617" w14:paraId="6B25054C" w14:textId="77777777" w:rsidTr="00F737EB">
        <w:trPr>
          <w:trHeight w:val="454"/>
        </w:trPr>
        <w:tc>
          <w:tcPr>
            <w:tcW w:w="4248" w:type="dxa"/>
            <w:shd w:val="clear" w:color="auto" w:fill="auto"/>
            <w:noWrap/>
            <w:vAlign w:val="center"/>
            <w:hideMark/>
          </w:tcPr>
          <w:p w14:paraId="23565B45" w14:textId="77777777" w:rsidR="000831EE" w:rsidRPr="000B6C3D" w:rsidRDefault="000831EE" w:rsidP="00C80744">
            <w:pPr>
              <w:pStyle w:val="Tabela-tekst"/>
            </w:pPr>
            <w:r w:rsidRPr="000B6C3D">
              <w:t xml:space="preserve">Liczba jcwp, </w:t>
            </w:r>
            <w:r>
              <w:t>w których</w:t>
            </w:r>
            <w:r w:rsidRPr="000B6C3D">
              <w:t xml:space="preserve"> nie stwierdza się przekroczeń </w:t>
            </w:r>
            <w:r>
              <w:t xml:space="preserve">powyżej </w:t>
            </w:r>
            <w:r w:rsidRPr="000B6C3D">
              <w:t>50% wartości odchylenia od normy (kryterium przyjęte dla oceny skuteczności działań)</w:t>
            </w:r>
          </w:p>
        </w:tc>
        <w:tc>
          <w:tcPr>
            <w:tcW w:w="739" w:type="dxa"/>
            <w:shd w:val="clear" w:color="auto" w:fill="auto"/>
            <w:noWrap/>
            <w:vAlign w:val="center"/>
          </w:tcPr>
          <w:p w14:paraId="42F82C46" w14:textId="77777777" w:rsidR="000831EE" w:rsidRPr="000B6C3D" w:rsidRDefault="000831EE" w:rsidP="00F737EB">
            <w:pPr>
              <w:pStyle w:val="Tabela-tekst"/>
              <w:jc w:val="center"/>
            </w:pPr>
            <w:r>
              <w:t>4</w:t>
            </w:r>
          </w:p>
        </w:tc>
        <w:tc>
          <w:tcPr>
            <w:tcW w:w="739" w:type="dxa"/>
            <w:shd w:val="clear" w:color="auto" w:fill="auto"/>
            <w:noWrap/>
            <w:vAlign w:val="center"/>
          </w:tcPr>
          <w:p w14:paraId="45C75AD6" w14:textId="77777777" w:rsidR="000831EE" w:rsidRPr="000B6C3D" w:rsidRDefault="000831EE" w:rsidP="00F737EB">
            <w:pPr>
              <w:pStyle w:val="Tabela-tekst"/>
              <w:jc w:val="center"/>
            </w:pPr>
            <w:r>
              <w:t>44,4%</w:t>
            </w:r>
          </w:p>
        </w:tc>
        <w:tc>
          <w:tcPr>
            <w:tcW w:w="739" w:type="dxa"/>
            <w:vAlign w:val="center"/>
          </w:tcPr>
          <w:p w14:paraId="0BF4A2AE" w14:textId="77777777" w:rsidR="000831EE" w:rsidRPr="00BC0C26" w:rsidRDefault="000831EE" w:rsidP="00F737EB">
            <w:pPr>
              <w:pStyle w:val="Tabela-tekst"/>
              <w:jc w:val="center"/>
            </w:pPr>
            <w:r>
              <w:t>4</w:t>
            </w:r>
          </w:p>
        </w:tc>
        <w:tc>
          <w:tcPr>
            <w:tcW w:w="739" w:type="dxa"/>
            <w:vAlign w:val="center"/>
          </w:tcPr>
          <w:p w14:paraId="4311A602" w14:textId="77777777" w:rsidR="000831EE" w:rsidRPr="00BC0C26" w:rsidRDefault="000831EE" w:rsidP="00F737EB">
            <w:pPr>
              <w:pStyle w:val="Tabela-tekst"/>
              <w:jc w:val="center"/>
            </w:pPr>
            <w:r>
              <w:t>44,4%</w:t>
            </w:r>
          </w:p>
        </w:tc>
        <w:tc>
          <w:tcPr>
            <w:tcW w:w="1863" w:type="dxa"/>
            <w:vAlign w:val="center"/>
          </w:tcPr>
          <w:p w14:paraId="171A686E" w14:textId="77777777" w:rsidR="000831EE" w:rsidRPr="000B6C3D" w:rsidRDefault="000831EE" w:rsidP="00F737EB">
            <w:pPr>
              <w:pStyle w:val="Tabela-tekst"/>
              <w:jc w:val="center"/>
            </w:pPr>
            <w:r>
              <w:t>proc.</w:t>
            </w:r>
            <w:r w:rsidRPr="000B6C3D">
              <w:t xml:space="preserve"> ocen o wymaganej redukcji</w:t>
            </w:r>
          </w:p>
        </w:tc>
      </w:tr>
      <w:tr w:rsidR="000831EE" w:rsidRPr="00D94617" w14:paraId="3B0E4346" w14:textId="77777777" w:rsidTr="00F737EB">
        <w:trPr>
          <w:trHeight w:val="454"/>
        </w:trPr>
        <w:tc>
          <w:tcPr>
            <w:tcW w:w="4248" w:type="dxa"/>
            <w:shd w:val="clear" w:color="auto" w:fill="auto"/>
            <w:noWrap/>
            <w:vAlign w:val="center"/>
            <w:hideMark/>
          </w:tcPr>
          <w:p w14:paraId="06491D70" w14:textId="77777777" w:rsidR="000831EE" w:rsidRPr="000B6C3D" w:rsidRDefault="000831EE" w:rsidP="00C80744">
            <w:pPr>
              <w:pStyle w:val="Tabela-tekst"/>
            </w:pPr>
            <w:r w:rsidRPr="000B6C3D">
              <w:t xml:space="preserve">Liczba jcwp, </w:t>
            </w:r>
            <w:r>
              <w:t>w których</w:t>
            </w:r>
            <w:r w:rsidRPr="000B6C3D">
              <w:t xml:space="preserve"> stosowano działania i uzyskano skuteczność redukcji dla liczby oznaczeń</w:t>
            </w:r>
          </w:p>
        </w:tc>
        <w:tc>
          <w:tcPr>
            <w:tcW w:w="739" w:type="dxa"/>
            <w:shd w:val="clear" w:color="auto" w:fill="auto"/>
            <w:noWrap/>
            <w:vAlign w:val="center"/>
          </w:tcPr>
          <w:p w14:paraId="3DFB09A9" w14:textId="77777777" w:rsidR="000831EE" w:rsidRPr="000B6C3D" w:rsidRDefault="000831EE" w:rsidP="00F737EB">
            <w:pPr>
              <w:pStyle w:val="Tabela-tekst"/>
              <w:jc w:val="center"/>
            </w:pPr>
            <w:r>
              <w:t>7</w:t>
            </w:r>
          </w:p>
        </w:tc>
        <w:tc>
          <w:tcPr>
            <w:tcW w:w="739" w:type="dxa"/>
            <w:shd w:val="clear" w:color="auto" w:fill="auto"/>
            <w:noWrap/>
            <w:vAlign w:val="center"/>
          </w:tcPr>
          <w:p w14:paraId="62AE662B" w14:textId="77777777" w:rsidR="000831EE" w:rsidRPr="000B6C3D" w:rsidRDefault="000831EE" w:rsidP="00F737EB">
            <w:pPr>
              <w:pStyle w:val="Tabela-tekst"/>
              <w:jc w:val="center"/>
            </w:pPr>
            <w:r>
              <w:t>77,8%</w:t>
            </w:r>
          </w:p>
        </w:tc>
        <w:tc>
          <w:tcPr>
            <w:tcW w:w="739" w:type="dxa"/>
            <w:vAlign w:val="center"/>
          </w:tcPr>
          <w:p w14:paraId="57926E4A" w14:textId="77777777" w:rsidR="000831EE" w:rsidRPr="00BC0C26" w:rsidRDefault="000831EE" w:rsidP="00F737EB">
            <w:pPr>
              <w:pStyle w:val="Tabela-tekst"/>
              <w:jc w:val="center"/>
            </w:pPr>
            <w:r>
              <w:t>7</w:t>
            </w:r>
          </w:p>
        </w:tc>
        <w:tc>
          <w:tcPr>
            <w:tcW w:w="739" w:type="dxa"/>
            <w:vAlign w:val="center"/>
          </w:tcPr>
          <w:p w14:paraId="279DF197" w14:textId="77777777" w:rsidR="000831EE" w:rsidRPr="00BC0C26" w:rsidRDefault="000831EE" w:rsidP="00F737EB">
            <w:pPr>
              <w:pStyle w:val="Tabela-tekst"/>
              <w:jc w:val="center"/>
            </w:pPr>
            <w:r>
              <w:t>77,8</w:t>
            </w:r>
            <w:r w:rsidRPr="00BC0C26">
              <w:t>%</w:t>
            </w:r>
          </w:p>
        </w:tc>
        <w:tc>
          <w:tcPr>
            <w:tcW w:w="1863" w:type="dxa"/>
            <w:vAlign w:val="center"/>
          </w:tcPr>
          <w:p w14:paraId="7149E620" w14:textId="77777777" w:rsidR="000831EE" w:rsidRPr="000B6C3D" w:rsidRDefault="000831EE" w:rsidP="00F737EB">
            <w:pPr>
              <w:pStyle w:val="Tabela-tekst"/>
              <w:jc w:val="center"/>
            </w:pPr>
            <w:r>
              <w:t>proc.</w:t>
            </w:r>
            <w:r w:rsidRPr="000B6C3D">
              <w:t xml:space="preserve"> ocen o wymaganej redukcji z działaniami</w:t>
            </w:r>
          </w:p>
        </w:tc>
      </w:tr>
      <w:tr w:rsidR="000831EE" w:rsidRPr="00D94617" w14:paraId="05754B75" w14:textId="77777777" w:rsidTr="00F737EB">
        <w:trPr>
          <w:trHeight w:val="454"/>
        </w:trPr>
        <w:tc>
          <w:tcPr>
            <w:tcW w:w="4248" w:type="dxa"/>
            <w:shd w:val="clear" w:color="auto" w:fill="auto"/>
            <w:noWrap/>
            <w:vAlign w:val="center"/>
            <w:hideMark/>
          </w:tcPr>
          <w:p w14:paraId="2D37B2C4" w14:textId="77777777" w:rsidR="000831EE" w:rsidRPr="000B6C3D" w:rsidRDefault="000831EE" w:rsidP="00C80744">
            <w:pPr>
              <w:pStyle w:val="Tabela-tekst"/>
            </w:pPr>
            <w:r w:rsidRPr="000B6C3D">
              <w:t>Liczba działań dających założoną skuteczność redukcji dla liczby oznaczeń i ma</w:t>
            </w:r>
            <w:r>
              <w:t>ks</w:t>
            </w:r>
            <w:r w:rsidRPr="000B6C3D">
              <w:t>. przekroczenie dla pojedynczego oznaczenia do 50%</w:t>
            </w:r>
          </w:p>
        </w:tc>
        <w:tc>
          <w:tcPr>
            <w:tcW w:w="739" w:type="dxa"/>
            <w:shd w:val="clear" w:color="auto" w:fill="auto"/>
            <w:noWrap/>
            <w:vAlign w:val="center"/>
          </w:tcPr>
          <w:p w14:paraId="4CD1D6FA" w14:textId="77777777" w:rsidR="000831EE" w:rsidRPr="000B6C3D" w:rsidRDefault="000831EE" w:rsidP="00F737EB">
            <w:pPr>
              <w:pStyle w:val="Tabela-tekst"/>
              <w:jc w:val="center"/>
            </w:pPr>
            <w:r>
              <w:t>3</w:t>
            </w:r>
          </w:p>
        </w:tc>
        <w:tc>
          <w:tcPr>
            <w:tcW w:w="739" w:type="dxa"/>
            <w:shd w:val="clear" w:color="auto" w:fill="auto"/>
            <w:noWrap/>
            <w:vAlign w:val="center"/>
          </w:tcPr>
          <w:p w14:paraId="2931237E" w14:textId="77777777" w:rsidR="000831EE" w:rsidRPr="000B6C3D" w:rsidRDefault="000831EE" w:rsidP="00F737EB">
            <w:pPr>
              <w:pStyle w:val="Tabela-tekst"/>
              <w:jc w:val="center"/>
            </w:pPr>
            <w:r>
              <w:t>42,9%</w:t>
            </w:r>
          </w:p>
        </w:tc>
        <w:tc>
          <w:tcPr>
            <w:tcW w:w="739" w:type="dxa"/>
            <w:vAlign w:val="center"/>
          </w:tcPr>
          <w:p w14:paraId="5D2B571D" w14:textId="77777777" w:rsidR="000831EE" w:rsidRPr="00BC0C26" w:rsidRDefault="000831EE" w:rsidP="00F737EB">
            <w:pPr>
              <w:pStyle w:val="Tabela-tekst"/>
              <w:jc w:val="center"/>
            </w:pPr>
            <w:r>
              <w:t>3</w:t>
            </w:r>
          </w:p>
        </w:tc>
        <w:tc>
          <w:tcPr>
            <w:tcW w:w="739" w:type="dxa"/>
            <w:vAlign w:val="center"/>
          </w:tcPr>
          <w:p w14:paraId="62B9D22B" w14:textId="77777777" w:rsidR="000831EE" w:rsidRPr="00BC0C26" w:rsidRDefault="000831EE" w:rsidP="00F737EB">
            <w:pPr>
              <w:pStyle w:val="Tabela-tekst"/>
              <w:jc w:val="center"/>
            </w:pPr>
            <w:r>
              <w:t>42,9%</w:t>
            </w:r>
          </w:p>
        </w:tc>
        <w:tc>
          <w:tcPr>
            <w:tcW w:w="1863" w:type="dxa"/>
            <w:vAlign w:val="center"/>
          </w:tcPr>
          <w:p w14:paraId="0DC0A546" w14:textId="1BFC42D9" w:rsidR="000831EE" w:rsidRPr="000B6C3D" w:rsidRDefault="000831EE" w:rsidP="00F737EB">
            <w:pPr>
              <w:pStyle w:val="Tabela-tekst"/>
              <w:jc w:val="center"/>
            </w:pPr>
            <w:r>
              <w:t>proc.</w:t>
            </w:r>
            <w:r w:rsidRPr="000B6C3D">
              <w:t xml:space="preserve"> ocen jw.</w:t>
            </w:r>
            <w:r>
              <w:t>,</w:t>
            </w:r>
            <w:r w:rsidRPr="000B6C3D">
              <w:t xml:space="preserve"> gdzie przekroczenia były</w:t>
            </w:r>
          </w:p>
          <w:p w14:paraId="32912641" w14:textId="77777777" w:rsidR="000831EE" w:rsidRPr="000B6C3D" w:rsidRDefault="000831EE" w:rsidP="00F737EB">
            <w:pPr>
              <w:pStyle w:val="Tabela-tekst"/>
              <w:jc w:val="center"/>
            </w:pPr>
            <w:r w:rsidRPr="000B6C3D">
              <w:t xml:space="preserve">niższe </w:t>
            </w:r>
            <w:r>
              <w:t>niż</w:t>
            </w:r>
            <w:r w:rsidRPr="000B6C3D">
              <w:t xml:space="preserve"> 50%</w:t>
            </w:r>
          </w:p>
        </w:tc>
      </w:tr>
    </w:tbl>
    <w:p w14:paraId="44F19589" w14:textId="77777777" w:rsidR="00231528" w:rsidRPr="001E4D45" w:rsidRDefault="00231528" w:rsidP="00231528">
      <w:pPr>
        <w:pStyle w:val="rdo0"/>
      </w:pPr>
      <w:r w:rsidRPr="001E4D45">
        <w:rPr>
          <w:lang w:eastAsia="zh-CN"/>
        </w:rPr>
        <w:t xml:space="preserve">Źródło: opracowanie </w:t>
      </w:r>
      <w:r>
        <w:rPr>
          <w:lang w:eastAsia="zh-CN"/>
        </w:rPr>
        <w:t>własne</w:t>
      </w:r>
    </w:p>
    <w:p w14:paraId="3EE620A8" w14:textId="3C3701AD" w:rsidR="000831EE" w:rsidRDefault="000831EE" w:rsidP="000831EE">
      <w:pPr>
        <w:suppressAutoHyphens/>
      </w:pPr>
      <w:r>
        <w:t xml:space="preserve">Skuteczność działań dla dorzecza </w:t>
      </w:r>
      <w:r w:rsidR="00D81B2F">
        <w:t>Pregoły</w:t>
      </w:r>
      <w:r>
        <w:t xml:space="preserve"> odnosi się do obliczeń wykonanych dla ok. 5% jcwp rzecznych i 15% jcwp jeziornych, uzyskując podobnie, jak w skali kraju, znaczny odsetek oznaczeń z redukcją stężenia substancji priorytetowych, w tym istotny udział jcwp, gdzie przekroczenia stężenia substancji wynoszą do 50%, tj. granicznego kryterium wystąpienia presji znaczącej.</w:t>
      </w:r>
    </w:p>
    <w:p w14:paraId="445434A4" w14:textId="33CC9EF1" w:rsidR="000831EE" w:rsidRDefault="000831EE" w:rsidP="000831EE">
      <w:pPr>
        <w:suppressAutoHyphens/>
      </w:pPr>
      <w:r>
        <w:t xml:space="preserve">Działania zrealizowane </w:t>
      </w:r>
      <w:r w:rsidR="00215474" w:rsidRPr="001E4D45">
        <w:rPr>
          <w:rFonts w:cs="Lucida Grande"/>
        </w:rPr>
        <w:t xml:space="preserve">w </w:t>
      </w:r>
      <w:r w:rsidR="00215474">
        <w:rPr>
          <w:rFonts w:cs="Lucida Grande"/>
        </w:rPr>
        <w:t xml:space="preserve">obszarze </w:t>
      </w:r>
      <w:r w:rsidR="00215474" w:rsidRPr="001E4D45">
        <w:rPr>
          <w:rFonts w:cs="Lucida Grande"/>
        </w:rPr>
        <w:t>dorzecz</w:t>
      </w:r>
      <w:r w:rsidR="00215474">
        <w:rPr>
          <w:rFonts w:cs="Lucida Grande"/>
        </w:rPr>
        <w:t>a</w:t>
      </w:r>
      <w:r w:rsidR="00215474" w:rsidRPr="001E4D45">
        <w:rPr>
          <w:rFonts w:cs="Lucida Grande"/>
        </w:rPr>
        <w:t xml:space="preserve"> </w:t>
      </w:r>
      <w:r>
        <w:t>Pregoły obejmują 75% jcwp rzecznych (6 na 8 jcwp). Ocena skuteczności na podstawie badań monitoringowych możliwa była dla 2 jcwp, w których zrealizowano działania, wskazując na redukcję stężeń w ponad 85% liczby wykonanych oznaczeń substancji priorytetowych.</w:t>
      </w:r>
    </w:p>
    <w:p w14:paraId="6D745B61" w14:textId="77777777" w:rsidR="000831EE" w:rsidRPr="00C0041D" w:rsidRDefault="000831EE" w:rsidP="00B50FFD">
      <w:pPr>
        <w:pStyle w:val="Nagwek3"/>
      </w:pPr>
      <w:bookmarkStart w:id="488" w:name="_Toc68726916"/>
      <w:r w:rsidRPr="00C0041D">
        <w:t>Działania</w:t>
      </w:r>
      <w:r>
        <w:t xml:space="preserve"> </w:t>
      </w:r>
      <w:r w:rsidRPr="000718CC">
        <w:t>służące eliminacji stężeń substancji priorytetowych</w:t>
      </w:r>
      <w:r w:rsidRPr="00C0041D">
        <w:t xml:space="preserve"> w ramach </w:t>
      </w:r>
      <w:r>
        <w:t>II</w:t>
      </w:r>
      <w:r w:rsidRPr="00C0041D">
        <w:t>aPGW</w:t>
      </w:r>
      <w:bookmarkEnd w:id="488"/>
    </w:p>
    <w:p w14:paraId="23E29658" w14:textId="264DBF17" w:rsidR="000831EE" w:rsidRDefault="000831EE" w:rsidP="000831EE">
      <w:pPr>
        <w:suppressAutoHyphens/>
      </w:pPr>
      <w:r>
        <w:t xml:space="preserve">Planowane w IIaPGW działania służące eliminacji stężeń substancji priorytetowych ze środowiska wodnego </w:t>
      </w:r>
      <w:r w:rsidR="007C6681">
        <w:t>obejmują zarówno</w:t>
      </w:r>
      <w:r>
        <w:t xml:space="preserve"> </w:t>
      </w:r>
      <w:r w:rsidR="007C6681">
        <w:t xml:space="preserve">działania o charakterze krajowym </w:t>
      </w:r>
      <w:r>
        <w:t>z aPGW</w:t>
      </w:r>
      <w:r w:rsidR="008F2512">
        <w:t xml:space="preserve"> i odniesione do aktualnych wymagań przepisów, jak również działania nowe, których obowiązek realizacji wynika z nowych regulacji prawnych</w:t>
      </w:r>
      <w:r>
        <w:t>.</w:t>
      </w:r>
    </w:p>
    <w:p w14:paraId="46AE7C6B" w14:textId="0FA88CBB" w:rsidR="000831EE" w:rsidRDefault="000831EE" w:rsidP="000831EE">
      <w:pPr>
        <w:suppressAutoHyphens/>
      </w:pPr>
      <w:r>
        <w:t xml:space="preserve">Zbiór regulacji prawnych jest podstawą działań dla </w:t>
      </w:r>
      <w:r w:rsidR="008F2512">
        <w:t>eliminacji emisji substancji priorytetowych do środowiska</w:t>
      </w:r>
      <w:r>
        <w:t>. Zobowiązania narzucone na podmioty i organy administracyjne tworzą system umożliwiający w cyklu planistycznym redukcję uwalniania zanieczyszczeń.</w:t>
      </w:r>
    </w:p>
    <w:p w14:paraId="0075E75E" w14:textId="6BAC41F4" w:rsidR="008F2512" w:rsidRDefault="000831EE" w:rsidP="008F2512">
      <w:pPr>
        <w:suppressAutoHyphens/>
      </w:pPr>
      <w:r>
        <w:t>Zestaw działań tworzących katalog krajowy zawiera zaktualizowany wykaz obowiązków wraz z</w:t>
      </w:r>
      <w:r w:rsidR="003C3C03">
        <w:t> </w:t>
      </w:r>
      <w:r>
        <w:t>odniesieniem do aktualnej podstawy prawnej w przepisach krajowych oraz EU. Działania prolongowane dające możliwość eliminacji substancji priorytetowych stanowią w katalogu działań krajowych liczną grupę</w:t>
      </w:r>
      <w:r w:rsidR="008F2512">
        <w:t>,</w:t>
      </w:r>
      <w:r>
        <w:t xml:space="preserve"> </w:t>
      </w:r>
      <w:r w:rsidR="008F2512">
        <w:t xml:space="preserve">obejmującą około </w:t>
      </w:r>
      <w:r w:rsidR="00E72298">
        <w:t>55</w:t>
      </w:r>
      <w:r w:rsidR="008F2512">
        <w:t>% wszystkich działań w katalogu krajowym</w:t>
      </w:r>
      <w:r>
        <w:t xml:space="preserve">. Poza zbiorem działań z poprzedniego cyklu </w:t>
      </w:r>
      <w:r w:rsidR="008F2512">
        <w:t>wskazanych do prolongaty, uzupełniono</w:t>
      </w:r>
      <w:r>
        <w:t xml:space="preserve"> listę </w:t>
      </w:r>
    </w:p>
    <w:p w14:paraId="3DBC44AC" w14:textId="77777777" w:rsidR="008F2512" w:rsidRDefault="008F2512" w:rsidP="008F2512">
      <w:pPr>
        <w:suppressAutoHyphens/>
      </w:pPr>
      <w:r>
        <w:t>działań ogólnokrajowych o inne obowiązujące wymagania wynikające z przepisów - opisane w katalogu krajowym jako działania nowe. Wśród nich wyróżnia się m.in.:</w:t>
      </w:r>
    </w:p>
    <w:p w14:paraId="7AA34C3A" w14:textId="77777777" w:rsidR="008F2512" w:rsidRPr="00D228EB" w:rsidRDefault="008F2512" w:rsidP="00D228EB">
      <w:pPr>
        <w:pStyle w:val="Akapitzlist"/>
      </w:pPr>
      <w:r w:rsidRPr="00D228EB">
        <w:t>obowiązki podmiotów i organów w ramach procedury oceny wodnoprawnej;</w:t>
      </w:r>
    </w:p>
    <w:p w14:paraId="65B053CA" w14:textId="77777777" w:rsidR="008F2512" w:rsidRPr="00D228EB" w:rsidRDefault="008F2512" w:rsidP="00D228EB">
      <w:pPr>
        <w:pStyle w:val="Akapitzlist"/>
      </w:pPr>
      <w:r w:rsidRPr="00D228EB">
        <w:t>przeglądy pozwoleń wodnoprawnych, dla wód zagrożonych nieosiągnięciem celów środowiskowych;</w:t>
      </w:r>
    </w:p>
    <w:p w14:paraId="388B5D00" w14:textId="77777777" w:rsidR="008F2512" w:rsidRPr="00D228EB" w:rsidRDefault="008F2512" w:rsidP="00D228EB">
      <w:pPr>
        <w:pStyle w:val="Akapitzlist"/>
      </w:pPr>
      <w:r w:rsidRPr="00D228EB">
        <w:t>wymagania odnośnie substancji zanieczyszczających, które mogą być odprowadzane w ściekach przemysłowych;</w:t>
      </w:r>
    </w:p>
    <w:p w14:paraId="557BA310" w14:textId="77777777" w:rsidR="008F2512" w:rsidRPr="00D228EB" w:rsidRDefault="008F2512" w:rsidP="00D228EB">
      <w:pPr>
        <w:pStyle w:val="Akapitzlist"/>
      </w:pPr>
      <w:r w:rsidRPr="00D228EB">
        <w:t xml:space="preserve">wymagania w zakresie odprowadzania wód opadowych; </w:t>
      </w:r>
    </w:p>
    <w:p w14:paraId="032B8365" w14:textId="77777777" w:rsidR="008F2512" w:rsidRPr="00D228EB" w:rsidRDefault="008F2512" w:rsidP="00D228EB">
      <w:pPr>
        <w:pStyle w:val="Akapitzlist"/>
      </w:pPr>
      <w:r w:rsidRPr="00D228EB">
        <w:t>analizę warunków realizacji pozwoleń zintegrowanych, w tym weryfikacja wdrożenia konkluzji BAT;</w:t>
      </w:r>
    </w:p>
    <w:p w14:paraId="375C605B" w14:textId="77777777" w:rsidR="008F2512" w:rsidRPr="00D228EB" w:rsidRDefault="008F2512" w:rsidP="00D228EB">
      <w:pPr>
        <w:pStyle w:val="Akapitzlist"/>
      </w:pPr>
      <w:r w:rsidRPr="00D228EB">
        <w:t>zobowiązanie prowadzącego instalację do sporządzenia i przedłożenia przeglądu ekologicznego;</w:t>
      </w:r>
    </w:p>
    <w:p w14:paraId="6DE95268" w14:textId="77777777" w:rsidR="008F2512" w:rsidRPr="00D228EB" w:rsidRDefault="008F2512" w:rsidP="00D228EB">
      <w:pPr>
        <w:pStyle w:val="Akapitzlist"/>
      </w:pPr>
      <w:r w:rsidRPr="00D228EB">
        <w:t xml:space="preserve">kontrole pozwoleń i naruszeń w zakresie gospodarowania odpadami; </w:t>
      </w:r>
    </w:p>
    <w:p w14:paraId="2B0B5E56" w14:textId="77777777" w:rsidR="008F2512" w:rsidRPr="00D228EB" w:rsidRDefault="008F2512" w:rsidP="00D228EB">
      <w:pPr>
        <w:pStyle w:val="Akapitzlist"/>
      </w:pPr>
      <w:r w:rsidRPr="00D228EB">
        <w:t>realizację zadań systemowych gospodarki odpadami zawartych w planach gospodarki odpadami;</w:t>
      </w:r>
    </w:p>
    <w:p w14:paraId="6E2EDB23" w14:textId="77777777" w:rsidR="008F2512" w:rsidRPr="00D228EB" w:rsidRDefault="008F2512" w:rsidP="00D228EB">
      <w:pPr>
        <w:pStyle w:val="Akapitzlist"/>
      </w:pPr>
      <w:r w:rsidRPr="00D228EB">
        <w:t xml:space="preserve">opracowanie analiz ryzyka dla ujęć wody; </w:t>
      </w:r>
    </w:p>
    <w:p w14:paraId="1699BC03" w14:textId="77777777" w:rsidR="008F2512" w:rsidRPr="00D228EB" w:rsidRDefault="008F2512" w:rsidP="00D228EB">
      <w:pPr>
        <w:pStyle w:val="Akapitzlist"/>
      </w:pPr>
      <w:r w:rsidRPr="00D228EB">
        <w:t>wymagania związane z ustanawianiem stref ochrony ujęć wód;</w:t>
      </w:r>
    </w:p>
    <w:p w14:paraId="22CE80F4" w14:textId="77777777" w:rsidR="008F2512" w:rsidRPr="00D228EB" w:rsidRDefault="008F2512" w:rsidP="00D228EB">
      <w:pPr>
        <w:pStyle w:val="Akapitzlist"/>
      </w:pPr>
      <w:r w:rsidRPr="00D228EB">
        <w:t xml:space="preserve">wymagania i ograniczenia wynikające z funkcjonowania obszarów ochronnych zbiorników wód śródlądowych; </w:t>
      </w:r>
    </w:p>
    <w:p w14:paraId="6735DD84" w14:textId="77777777" w:rsidR="008F2512" w:rsidRPr="00D228EB" w:rsidRDefault="008F2512" w:rsidP="00D228EB">
      <w:pPr>
        <w:pStyle w:val="Akapitzlist"/>
      </w:pPr>
      <w:r w:rsidRPr="00D228EB">
        <w:t>wymagania związane z wyznaczaniem oraz przeglądami obszarów i granic aglomeracji kanalizacyjnych.</w:t>
      </w:r>
    </w:p>
    <w:p w14:paraId="7CAC561A" w14:textId="12989DA2" w:rsidR="008F2512" w:rsidRDefault="008F2512" w:rsidP="000831EE">
      <w:pPr>
        <w:suppressAutoHyphens/>
      </w:pPr>
      <w:r>
        <w:t xml:space="preserve">Kompletny katalog działań krajowych, prolongowanych i nowych w IIaPGW, ze szczegółowym opisem działania, , a także wskazaniem jednostki odpowiedzialnej za realizację oraz harmonogramem realizacji - stanowi załącznik nr </w:t>
      </w:r>
      <w:r w:rsidR="009E1FEB">
        <w:t>7</w:t>
      </w:r>
      <w:r w:rsidRPr="00BE6839">
        <w:t>.1.</w:t>
      </w:r>
    </w:p>
    <w:p w14:paraId="2409248D" w14:textId="0ADC04AC" w:rsidR="000831EE" w:rsidRDefault="000831EE" w:rsidP="000831EE">
      <w:pPr>
        <w:suppressAutoHyphens/>
      </w:pPr>
      <w:r>
        <w:t>Zestawy działań dla jcwp w IIaPGW zawierają grupy nowych działań ukierunkowanych na poprawę jakości wód. Obejmują one zarówno działania wspólne dla presji fizykochemicznych i chemicznych, jak i działania ukierunkowane na poprawę chemicznego stanu wód. Poza działaniami zaprogramowanymi wyłącznie na redukcję presji chemicznych uwzględniają również działania skumulowane, dla których efekt poprawy elementów jakościowych stanu wód jest ściśle powiązany z likwidacją innych presji, w</w:t>
      </w:r>
      <w:r w:rsidR="00FD3977">
        <w:t> </w:t>
      </w:r>
      <w:r>
        <w:t>tym hydromorfologicznych i ilościowych, głównie powiązanych z retencją.</w:t>
      </w:r>
    </w:p>
    <w:p w14:paraId="11E04868" w14:textId="4BCEA796" w:rsidR="0074041C" w:rsidRDefault="000831EE" w:rsidP="00A16503">
      <w:pPr>
        <w:suppressAutoHyphens/>
      </w:pPr>
      <w:r>
        <w:t xml:space="preserve">Propozycje działań uzupełniających i rozszerzających zakres realizowanych w ramach aPGW, ukierunkowanych na stwierdzone presje chemiczne, zestawiono w katalogach działań, gdzie wyspecyfikowano zakres każdego z proponowanych działań wraz z </w:t>
      </w:r>
      <w:r w:rsidR="001363F5">
        <w:t xml:space="preserve">prognozowaną </w:t>
      </w:r>
      <w:r>
        <w:t xml:space="preserve">oceną </w:t>
      </w:r>
      <w:r w:rsidR="001363F5">
        <w:t>wpływu</w:t>
      </w:r>
      <w:r>
        <w:t xml:space="preserve"> na chemiczne presje w środowisku.</w:t>
      </w:r>
    </w:p>
    <w:p w14:paraId="2C492A1B" w14:textId="7FEAB77C" w:rsidR="00332A4E" w:rsidRDefault="00332A4E" w:rsidP="00B50FFD">
      <w:pPr>
        <w:pStyle w:val="Nagwek2"/>
      </w:pPr>
      <w:bookmarkStart w:id="489" w:name="_Toc51050096"/>
      <w:bookmarkStart w:id="490" w:name="_Toc68726917"/>
      <w:r>
        <w:t>Podsumowanie działań podjętych w celu zapobieżenia skutkom zanieczyszczeń niedających się przewidzieć lub łagodzenia tych skutków</w:t>
      </w:r>
      <w:bookmarkEnd w:id="489"/>
      <w:bookmarkEnd w:id="490"/>
    </w:p>
    <w:p w14:paraId="6ABE0417" w14:textId="77777777" w:rsidR="00D41676" w:rsidRPr="00D228EB" w:rsidRDefault="00D41676" w:rsidP="00AA0CAB">
      <w:pPr>
        <w:pStyle w:val="Nagwek5"/>
      </w:pPr>
      <w:r w:rsidRPr="00D228EB">
        <w:rPr>
          <w:rStyle w:val="Pogrubienie"/>
          <w:rFonts w:ascii="Calibri" w:hAnsi="Calibri"/>
          <w:b/>
        </w:rPr>
        <w:t>Działania wynikające z realizacji ogólnych wymagań prawnych</w:t>
      </w:r>
    </w:p>
    <w:p w14:paraId="16AFD64D" w14:textId="77777777" w:rsidR="00D41676" w:rsidRPr="00E20F30" w:rsidRDefault="00D41676" w:rsidP="00D41676">
      <w:pPr>
        <w:suppressAutoHyphens/>
        <w:rPr>
          <w:rFonts w:asciiTheme="minorHAnsi" w:hAnsiTheme="minorHAnsi" w:cstheme="minorHAnsi"/>
        </w:rPr>
      </w:pPr>
      <w:r>
        <w:rPr>
          <w:rFonts w:asciiTheme="minorHAnsi" w:hAnsiTheme="minorHAnsi" w:cstheme="minorHAnsi"/>
        </w:rPr>
        <w:t>Problematyka o</w:t>
      </w:r>
      <w:r w:rsidRPr="00E20F30">
        <w:rPr>
          <w:rFonts w:asciiTheme="minorHAnsi" w:hAnsiTheme="minorHAnsi" w:cstheme="minorHAnsi"/>
        </w:rPr>
        <w:t>chron</w:t>
      </w:r>
      <w:r>
        <w:rPr>
          <w:rFonts w:asciiTheme="minorHAnsi" w:hAnsiTheme="minorHAnsi" w:cstheme="minorHAnsi"/>
        </w:rPr>
        <w:t>y</w:t>
      </w:r>
      <w:r w:rsidRPr="00E20F30">
        <w:rPr>
          <w:rFonts w:asciiTheme="minorHAnsi" w:hAnsiTheme="minorHAnsi" w:cstheme="minorHAnsi"/>
        </w:rPr>
        <w:t xml:space="preserve"> przed skutkami niedających się przewidzieć zanieczyszczeń obejmuje system procedur w zakresie działań chroniących przed poważną awarią. Oznacza to zarówno zapobieganie zdarzeniom mogącym powodować awarię, jak i ograniczanie jej skutków dla ludzi i środowiska. Awarie kwalifikowane zgodnie z przepisami p.o.ś., jako zdarzenia poważne to te obejmujące w szczególności emisję, pożar lub eksplozję i dotyczące procesu przemysłowego, magazynowania lub transportu niebezpiecznych substancji, prowadzące w efekcie do zagrożenia życia i zdrowia ludzi lub skażenia środowiska.</w:t>
      </w:r>
    </w:p>
    <w:p w14:paraId="72BD09AF" w14:textId="77777777" w:rsidR="00D41676" w:rsidRDefault="00D41676" w:rsidP="00D41676">
      <w:pPr>
        <w:suppressAutoHyphens/>
        <w:rPr>
          <w:rFonts w:asciiTheme="minorHAnsi" w:hAnsiTheme="minorHAnsi" w:cstheme="minorHAnsi"/>
        </w:rPr>
      </w:pPr>
      <w:r w:rsidRPr="00E20F30">
        <w:rPr>
          <w:rFonts w:asciiTheme="minorHAnsi" w:hAnsiTheme="minorHAnsi" w:cstheme="minorHAnsi"/>
        </w:rPr>
        <w:t>Przepisy mające na celu identyfikację skutków awarii i ochronę przed nimi wynikają z implementacji do prawa krajowego wymagań określonych w</w:t>
      </w:r>
      <w:r>
        <w:rPr>
          <w:rFonts w:asciiTheme="minorHAnsi" w:hAnsiTheme="minorHAnsi" w:cstheme="minorHAnsi"/>
        </w:rPr>
        <w:t xml:space="preserve"> przepisach UE:</w:t>
      </w:r>
    </w:p>
    <w:p w14:paraId="592963E0" w14:textId="00F20A63" w:rsidR="00D41676" w:rsidRPr="00D228EB" w:rsidRDefault="00D41676" w:rsidP="00D228EB">
      <w:pPr>
        <w:pStyle w:val="Akapitzlist"/>
      </w:pPr>
      <w:r w:rsidRPr="00D228EB">
        <w:t>Dyrektywy Rady 96/82/WE z dnia 9 grudnia 1996r. w sprawie kontroli niebezpieczeństwa poważnych awarii związanych z substancjami niebezpiecznymi. (</w:t>
      </w:r>
      <w:r w:rsidR="004C44A8">
        <w:t xml:space="preserve"> </w:t>
      </w:r>
      <w:r w:rsidRPr="00D228EB">
        <w:t xml:space="preserve">Dz.U. L 10 z 14.1.1997) </w:t>
      </w:r>
      <w:r w:rsidR="00442AB7" w:rsidRPr="00D228EB">
        <w:t>-</w:t>
      </w:r>
      <w:r w:rsidRPr="00D228EB">
        <w:t xml:space="preserve"> tzw. Dyrektywa SEVESO II;</w:t>
      </w:r>
    </w:p>
    <w:p w14:paraId="23E97865" w14:textId="6FCAB44D" w:rsidR="00D41676" w:rsidRPr="00D228EB" w:rsidRDefault="00D41676" w:rsidP="00D228EB">
      <w:pPr>
        <w:pStyle w:val="Akapitzlist"/>
      </w:pPr>
      <w:r w:rsidRPr="00D228EB">
        <w:t>Dyrektywy 2003/105/WE Parlamentu Europejskiego i Rady z dnia 16 grudnia 2003 r. zmieniająca dyrektywę Rady 96/82/WE w sprawie kontroli niebezpieczeństwa poważnych awarii związanych z substancjami niebezpiecznymi (Dz.U.UE.L.2003.345.97 z 31.12.2003);</w:t>
      </w:r>
    </w:p>
    <w:p w14:paraId="4EBC835F" w14:textId="755D1A0C" w:rsidR="00D41676" w:rsidRPr="00D228EB" w:rsidRDefault="00D41676" w:rsidP="00D228EB">
      <w:pPr>
        <w:pStyle w:val="Akapitzlist"/>
      </w:pPr>
      <w:r w:rsidRPr="00D228EB">
        <w:t>Dyrektywy Parlamentu Europejskiego i Rady 2012/18/UE z dnia 4 lipca 2012 r. w sprawie kontroli zagrożeń poważnymi awariami związanymi z substancjami niebezpiecznymi, zmieniająca, a</w:t>
      </w:r>
      <w:r w:rsidR="00C4673D">
        <w:t> </w:t>
      </w:r>
      <w:r w:rsidRPr="00D228EB">
        <w:t>następnie uchylająca dyrektywę Rady 96/82/WE (Dz.U. UE. L 197 z</w:t>
      </w:r>
      <w:r w:rsidR="00FD3977" w:rsidRPr="00D228EB">
        <w:t> </w:t>
      </w:r>
      <w:r w:rsidRPr="00D228EB">
        <w:t>24.07.2012) - tzw. Dyrektywa SEVESO III;</w:t>
      </w:r>
    </w:p>
    <w:p w14:paraId="3108B4B2" w14:textId="68164314" w:rsidR="00D41676" w:rsidRPr="00720278" w:rsidRDefault="00D41676" w:rsidP="00D41676">
      <w:pPr>
        <w:suppressAutoHyphens/>
        <w:rPr>
          <w:rFonts w:asciiTheme="minorHAnsi" w:hAnsiTheme="minorHAnsi" w:cstheme="minorHAnsi"/>
        </w:rPr>
      </w:pPr>
      <w:r>
        <w:rPr>
          <w:rFonts w:asciiTheme="minorHAnsi" w:hAnsiTheme="minorHAnsi" w:cstheme="minorHAnsi"/>
        </w:rPr>
        <w:t>Państwa</w:t>
      </w:r>
      <w:r w:rsidRPr="00720278">
        <w:rPr>
          <w:rFonts w:asciiTheme="minorHAnsi" w:hAnsiTheme="minorHAnsi" w:cstheme="minorHAnsi"/>
        </w:rPr>
        <w:t xml:space="preserve"> UE m</w:t>
      </w:r>
      <w:r>
        <w:rPr>
          <w:rFonts w:asciiTheme="minorHAnsi" w:hAnsiTheme="minorHAnsi" w:cstheme="minorHAnsi"/>
        </w:rPr>
        <w:t>ają obowiązek</w:t>
      </w:r>
      <w:r w:rsidRPr="00720278">
        <w:rPr>
          <w:rFonts w:asciiTheme="minorHAnsi" w:hAnsiTheme="minorHAnsi" w:cstheme="minorHAnsi"/>
        </w:rPr>
        <w:t xml:space="preserve"> zapewni</w:t>
      </w:r>
      <w:r>
        <w:rPr>
          <w:rFonts w:asciiTheme="minorHAnsi" w:hAnsiTheme="minorHAnsi" w:cstheme="minorHAnsi"/>
        </w:rPr>
        <w:t>enia</w:t>
      </w:r>
      <w:r w:rsidRPr="00720278">
        <w:rPr>
          <w:rFonts w:asciiTheme="minorHAnsi" w:hAnsiTheme="minorHAnsi" w:cstheme="minorHAnsi"/>
        </w:rPr>
        <w:t xml:space="preserve"> wdrożeni</w:t>
      </w:r>
      <w:r>
        <w:rPr>
          <w:rFonts w:asciiTheme="minorHAnsi" w:hAnsiTheme="minorHAnsi" w:cstheme="minorHAnsi"/>
        </w:rPr>
        <w:t>a</w:t>
      </w:r>
      <w:r w:rsidRPr="00720278">
        <w:rPr>
          <w:rFonts w:asciiTheme="minorHAnsi" w:hAnsiTheme="minorHAnsi" w:cstheme="minorHAnsi"/>
        </w:rPr>
        <w:t xml:space="preserve"> środków w celu usuwania skutków awarii </w:t>
      </w:r>
      <w:r>
        <w:rPr>
          <w:rFonts w:asciiTheme="minorHAnsi" w:hAnsiTheme="minorHAnsi" w:cstheme="minorHAnsi"/>
        </w:rPr>
        <w:t>w</w:t>
      </w:r>
      <w:r w:rsidR="00C4673D">
        <w:rPr>
          <w:rFonts w:asciiTheme="minorHAnsi" w:hAnsiTheme="minorHAnsi" w:cstheme="minorHAnsi"/>
        </w:rPr>
        <w:t> </w:t>
      </w:r>
      <w:r>
        <w:rPr>
          <w:rFonts w:asciiTheme="minorHAnsi" w:hAnsiTheme="minorHAnsi" w:cstheme="minorHAnsi"/>
        </w:rPr>
        <w:t xml:space="preserve">zasięgu oddziaływania funkcjonowania </w:t>
      </w:r>
      <w:r w:rsidRPr="00720278">
        <w:rPr>
          <w:rFonts w:asciiTheme="minorHAnsi" w:hAnsiTheme="minorHAnsi" w:cstheme="minorHAnsi"/>
        </w:rPr>
        <w:t>instalacji przemysłowych, gdzie przechowywane są znaczne ilości niebezpiecznych substancji.</w:t>
      </w:r>
      <w:r>
        <w:rPr>
          <w:rFonts w:asciiTheme="minorHAnsi" w:hAnsiTheme="minorHAnsi" w:cstheme="minorHAnsi"/>
        </w:rPr>
        <w:t xml:space="preserve"> Zobowiązano tym samym zakłady do </w:t>
      </w:r>
      <w:r w:rsidRPr="00720278">
        <w:rPr>
          <w:rFonts w:asciiTheme="minorHAnsi" w:hAnsiTheme="minorHAnsi" w:cstheme="minorHAnsi"/>
        </w:rPr>
        <w:t>informowa</w:t>
      </w:r>
      <w:r>
        <w:rPr>
          <w:rFonts w:asciiTheme="minorHAnsi" w:hAnsiTheme="minorHAnsi" w:cstheme="minorHAnsi"/>
        </w:rPr>
        <w:t xml:space="preserve">nia o </w:t>
      </w:r>
      <w:r w:rsidRPr="00720278">
        <w:rPr>
          <w:rFonts w:asciiTheme="minorHAnsi" w:hAnsiTheme="minorHAnsi" w:cstheme="minorHAnsi"/>
        </w:rPr>
        <w:t>naraż</w:t>
      </w:r>
      <w:r>
        <w:rPr>
          <w:rFonts w:asciiTheme="minorHAnsi" w:hAnsiTheme="minorHAnsi" w:cstheme="minorHAnsi"/>
        </w:rPr>
        <w:t xml:space="preserve">eniu </w:t>
      </w:r>
      <w:r w:rsidRPr="00720278">
        <w:rPr>
          <w:rFonts w:asciiTheme="minorHAnsi" w:hAnsiTheme="minorHAnsi" w:cstheme="minorHAnsi"/>
        </w:rPr>
        <w:t>na skutki awarii</w:t>
      </w:r>
      <w:r>
        <w:rPr>
          <w:rFonts w:asciiTheme="minorHAnsi" w:hAnsiTheme="minorHAnsi" w:cstheme="minorHAnsi"/>
        </w:rPr>
        <w:t xml:space="preserve"> oraz ustanowienia </w:t>
      </w:r>
      <w:r w:rsidRPr="00720278">
        <w:rPr>
          <w:rFonts w:asciiTheme="minorHAnsi" w:hAnsiTheme="minorHAnsi" w:cstheme="minorHAnsi"/>
        </w:rPr>
        <w:t>system</w:t>
      </w:r>
      <w:r>
        <w:rPr>
          <w:rFonts w:asciiTheme="minorHAnsi" w:hAnsiTheme="minorHAnsi" w:cstheme="minorHAnsi"/>
        </w:rPr>
        <w:t>ów</w:t>
      </w:r>
      <w:r w:rsidRPr="00720278">
        <w:rPr>
          <w:rFonts w:asciiTheme="minorHAnsi" w:hAnsiTheme="minorHAnsi" w:cstheme="minorHAnsi"/>
        </w:rPr>
        <w:t xml:space="preserve"> zarządzania bezpieczeństwem</w:t>
      </w:r>
      <w:r>
        <w:rPr>
          <w:rFonts w:asciiTheme="minorHAnsi" w:hAnsiTheme="minorHAnsi" w:cstheme="minorHAnsi"/>
        </w:rPr>
        <w:t xml:space="preserve">. </w:t>
      </w:r>
    </w:p>
    <w:p w14:paraId="0CBAA3D4" w14:textId="77777777" w:rsidR="00D41676" w:rsidRPr="00D228EB" w:rsidRDefault="00D41676" w:rsidP="00AA0CAB">
      <w:pPr>
        <w:pStyle w:val="Nagwek5"/>
        <w:rPr>
          <w:rStyle w:val="Pogrubienie"/>
          <w:rFonts w:ascii="Calibri" w:hAnsi="Calibri"/>
          <w:b/>
        </w:rPr>
      </w:pPr>
      <w:r w:rsidRPr="00D228EB">
        <w:rPr>
          <w:rStyle w:val="Pogrubienie"/>
          <w:rFonts w:ascii="Calibri" w:hAnsi="Calibri"/>
          <w:b/>
        </w:rPr>
        <w:t>Funkcjonowanie systemu przeciwdziałania poważnym awariom przemysłowym</w:t>
      </w:r>
    </w:p>
    <w:p w14:paraId="77FB7D55" w14:textId="44B0EB57" w:rsidR="00D41676" w:rsidRDefault="00D41676" w:rsidP="00D41676">
      <w:pPr>
        <w:suppressAutoHyphens/>
        <w:rPr>
          <w:rFonts w:asciiTheme="minorHAnsi" w:hAnsiTheme="minorHAnsi" w:cstheme="minorHAnsi"/>
        </w:rPr>
      </w:pPr>
      <w:r>
        <w:rPr>
          <w:rFonts w:asciiTheme="minorHAnsi" w:hAnsiTheme="minorHAnsi" w:cstheme="minorHAnsi"/>
        </w:rPr>
        <w:t>U</w:t>
      </w:r>
      <w:r w:rsidRPr="00702A62">
        <w:rPr>
          <w:rFonts w:asciiTheme="minorHAnsi" w:hAnsiTheme="minorHAnsi" w:cstheme="minorHAnsi"/>
        </w:rPr>
        <w:t>stanowi</w:t>
      </w:r>
      <w:r>
        <w:rPr>
          <w:rFonts w:asciiTheme="minorHAnsi" w:hAnsiTheme="minorHAnsi" w:cstheme="minorHAnsi"/>
        </w:rPr>
        <w:t>enie</w:t>
      </w:r>
      <w:r w:rsidRPr="00702A62">
        <w:rPr>
          <w:rFonts w:asciiTheme="minorHAnsi" w:hAnsiTheme="minorHAnsi" w:cstheme="minorHAnsi"/>
        </w:rPr>
        <w:t xml:space="preserve"> </w:t>
      </w:r>
      <w:r>
        <w:rPr>
          <w:rFonts w:asciiTheme="minorHAnsi" w:hAnsiTheme="minorHAnsi" w:cstheme="minorHAnsi"/>
        </w:rPr>
        <w:t xml:space="preserve">krajowego </w:t>
      </w:r>
      <w:r w:rsidRPr="00702A62">
        <w:rPr>
          <w:rFonts w:asciiTheme="minorHAnsi" w:hAnsiTheme="minorHAnsi" w:cstheme="minorHAnsi"/>
        </w:rPr>
        <w:t>system</w:t>
      </w:r>
      <w:r>
        <w:rPr>
          <w:rFonts w:asciiTheme="minorHAnsi" w:hAnsiTheme="minorHAnsi" w:cstheme="minorHAnsi"/>
        </w:rPr>
        <w:t>u</w:t>
      </w:r>
      <w:r w:rsidRPr="00702A62">
        <w:rPr>
          <w:rFonts w:asciiTheme="minorHAnsi" w:hAnsiTheme="minorHAnsi" w:cstheme="minorHAnsi"/>
        </w:rPr>
        <w:t xml:space="preserve"> przeciwdziałania poważnym awariom przemysłowym </w:t>
      </w:r>
      <w:r>
        <w:rPr>
          <w:rFonts w:asciiTheme="minorHAnsi" w:hAnsiTheme="minorHAnsi" w:cstheme="minorHAnsi"/>
        </w:rPr>
        <w:t xml:space="preserve">wprowadzono </w:t>
      </w:r>
      <w:r w:rsidRPr="00702A62">
        <w:rPr>
          <w:rFonts w:asciiTheme="minorHAnsi" w:hAnsiTheme="minorHAnsi" w:cstheme="minorHAnsi"/>
        </w:rPr>
        <w:t>w latach 2001</w:t>
      </w:r>
      <w:r>
        <w:rPr>
          <w:rFonts w:asciiTheme="minorHAnsi" w:hAnsiTheme="minorHAnsi" w:cstheme="minorHAnsi"/>
        </w:rPr>
        <w:t>-</w:t>
      </w:r>
      <w:r w:rsidRPr="00702A62">
        <w:rPr>
          <w:rFonts w:asciiTheme="minorHAnsi" w:hAnsiTheme="minorHAnsi" w:cstheme="minorHAnsi"/>
        </w:rPr>
        <w:t xml:space="preserve">2003 </w:t>
      </w:r>
      <w:r>
        <w:rPr>
          <w:rFonts w:asciiTheme="minorHAnsi" w:hAnsiTheme="minorHAnsi" w:cstheme="minorHAnsi"/>
        </w:rPr>
        <w:t xml:space="preserve">przepisami </w:t>
      </w:r>
      <w:r w:rsidRPr="00702A62">
        <w:rPr>
          <w:rFonts w:asciiTheme="minorHAnsi" w:hAnsiTheme="minorHAnsi" w:cstheme="minorHAnsi"/>
        </w:rPr>
        <w:t>ustaw</w:t>
      </w:r>
      <w:r>
        <w:rPr>
          <w:rFonts w:asciiTheme="minorHAnsi" w:hAnsiTheme="minorHAnsi" w:cstheme="minorHAnsi"/>
        </w:rPr>
        <w:t>y</w:t>
      </w:r>
      <w:r w:rsidRPr="00702A62">
        <w:rPr>
          <w:rFonts w:asciiTheme="minorHAnsi" w:hAnsiTheme="minorHAnsi" w:cstheme="minorHAnsi"/>
        </w:rPr>
        <w:t xml:space="preserve"> </w:t>
      </w:r>
      <w:r>
        <w:rPr>
          <w:rFonts w:asciiTheme="minorHAnsi" w:hAnsiTheme="minorHAnsi" w:cstheme="minorHAnsi"/>
        </w:rPr>
        <w:t>p.o.ś. P</w:t>
      </w:r>
      <w:r w:rsidRPr="00702A62">
        <w:rPr>
          <w:rFonts w:asciiTheme="minorHAnsi" w:hAnsiTheme="minorHAnsi" w:cstheme="minorHAnsi"/>
        </w:rPr>
        <w:t>odstawą polskich regulacji prawnych</w:t>
      </w:r>
      <w:r>
        <w:rPr>
          <w:rFonts w:asciiTheme="minorHAnsi" w:hAnsiTheme="minorHAnsi" w:cstheme="minorHAnsi"/>
        </w:rPr>
        <w:t xml:space="preserve"> były</w:t>
      </w:r>
      <w:r w:rsidRPr="00702A62">
        <w:rPr>
          <w:rFonts w:asciiTheme="minorHAnsi" w:hAnsiTheme="minorHAnsi" w:cstheme="minorHAnsi"/>
        </w:rPr>
        <w:t xml:space="preserve"> </w:t>
      </w:r>
      <w:r>
        <w:rPr>
          <w:rFonts w:asciiTheme="minorHAnsi" w:hAnsiTheme="minorHAnsi" w:cstheme="minorHAnsi"/>
        </w:rPr>
        <w:t>p</w:t>
      </w:r>
      <w:r w:rsidRPr="00702A62">
        <w:rPr>
          <w:rFonts w:asciiTheme="minorHAnsi" w:hAnsiTheme="minorHAnsi" w:cstheme="minorHAnsi"/>
        </w:rPr>
        <w:t xml:space="preserve">rzepisy Dyrektywy </w:t>
      </w:r>
      <w:r>
        <w:rPr>
          <w:rFonts w:asciiTheme="minorHAnsi" w:hAnsiTheme="minorHAnsi" w:cstheme="minorHAnsi"/>
        </w:rPr>
        <w:t xml:space="preserve">SEVESO II i następnie SEVESO III. </w:t>
      </w:r>
      <w:r w:rsidRPr="00D52CAD">
        <w:rPr>
          <w:rFonts w:asciiTheme="minorHAnsi" w:hAnsiTheme="minorHAnsi" w:cstheme="minorHAnsi"/>
        </w:rPr>
        <w:t>Dyrektywa ta m</w:t>
      </w:r>
      <w:r>
        <w:rPr>
          <w:rFonts w:asciiTheme="minorHAnsi" w:hAnsiTheme="minorHAnsi" w:cstheme="minorHAnsi"/>
        </w:rPr>
        <w:t>i</w:t>
      </w:r>
      <w:r w:rsidRPr="00D52CAD">
        <w:rPr>
          <w:rFonts w:asciiTheme="minorHAnsi" w:hAnsiTheme="minorHAnsi" w:cstheme="minorHAnsi"/>
        </w:rPr>
        <w:t>a</w:t>
      </w:r>
      <w:r>
        <w:rPr>
          <w:rFonts w:asciiTheme="minorHAnsi" w:hAnsiTheme="minorHAnsi" w:cstheme="minorHAnsi"/>
        </w:rPr>
        <w:t>ła</w:t>
      </w:r>
      <w:r w:rsidRPr="00D52CAD">
        <w:rPr>
          <w:rFonts w:asciiTheme="minorHAnsi" w:hAnsiTheme="minorHAnsi" w:cstheme="minorHAnsi"/>
        </w:rPr>
        <w:t xml:space="preserve"> na celu zapewnienie wysokiego poziomu ochrony ludzi i środowiska, poprzez wdrożenie odpowiednich systemów i procedur służących zarządzaniu i kontroli zagrożeń związanych z substancjami niebezpiecznymi.</w:t>
      </w:r>
      <w:r>
        <w:rPr>
          <w:rFonts w:asciiTheme="minorHAnsi" w:hAnsiTheme="minorHAnsi" w:cstheme="minorHAnsi"/>
        </w:rPr>
        <w:t xml:space="preserve"> Dyrektywa SEVESO III</w:t>
      </w:r>
      <w:r w:rsidRPr="00D52CAD">
        <w:rPr>
          <w:rFonts w:asciiTheme="minorHAnsi" w:hAnsiTheme="minorHAnsi" w:cstheme="minorHAnsi"/>
        </w:rPr>
        <w:t xml:space="preserve"> </w:t>
      </w:r>
      <w:r>
        <w:rPr>
          <w:rFonts w:asciiTheme="minorHAnsi" w:hAnsiTheme="minorHAnsi" w:cstheme="minorHAnsi"/>
        </w:rPr>
        <w:t>wprowadziła</w:t>
      </w:r>
      <w:r w:rsidRPr="00D52CAD">
        <w:rPr>
          <w:rFonts w:asciiTheme="minorHAnsi" w:hAnsiTheme="minorHAnsi" w:cstheme="minorHAnsi"/>
        </w:rPr>
        <w:t xml:space="preserve"> now</w:t>
      </w:r>
      <w:r>
        <w:rPr>
          <w:rFonts w:asciiTheme="minorHAnsi" w:hAnsiTheme="minorHAnsi" w:cstheme="minorHAnsi"/>
        </w:rPr>
        <w:t>y</w:t>
      </w:r>
      <w:r w:rsidRPr="00D52CAD">
        <w:rPr>
          <w:rFonts w:asciiTheme="minorHAnsi" w:hAnsiTheme="minorHAnsi" w:cstheme="minorHAnsi"/>
        </w:rPr>
        <w:t xml:space="preserve"> system </w:t>
      </w:r>
      <w:r w:rsidRPr="00BD1E7E">
        <w:rPr>
          <w:rFonts w:asciiTheme="minorHAnsi" w:hAnsiTheme="minorHAnsi" w:cstheme="minorHAnsi"/>
        </w:rPr>
        <w:t>klasyfikacji, oznakowania i pakowania</w:t>
      </w:r>
      <w:r>
        <w:rPr>
          <w:rFonts w:asciiTheme="minorHAnsi" w:hAnsiTheme="minorHAnsi" w:cstheme="minorHAnsi"/>
        </w:rPr>
        <w:t xml:space="preserve"> chemikaliów</w:t>
      </w:r>
      <w:r w:rsidRPr="00D52CAD">
        <w:rPr>
          <w:rFonts w:asciiTheme="minorHAnsi" w:hAnsiTheme="minorHAnsi" w:cstheme="minorHAnsi"/>
        </w:rPr>
        <w:t>, zasady dostępu społeczeństwa do informacji</w:t>
      </w:r>
      <w:r>
        <w:rPr>
          <w:rFonts w:asciiTheme="minorHAnsi" w:hAnsiTheme="minorHAnsi" w:cstheme="minorHAnsi"/>
        </w:rPr>
        <w:t xml:space="preserve"> </w:t>
      </w:r>
      <w:r w:rsidRPr="00743FB0">
        <w:rPr>
          <w:rFonts w:asciiTheme="minorHAnsi" w:hAnsiTheme="minorHAnsi" w:cstheme="minorHAnsi"/>
        </w:rPr>
        <w:t>o właściwym postępowaniu w przypadku awarii prowadzącej do skażenia</w:t>
      </w:r>
      <w:r w:rsidRPr="00D52CAD">
        <w:rPr>
          <w:rFonts w:asciiTheme="minorHAnsi" w:hAnsiTheme="minorHAnsi" w:cstheme="minorHAnsi"/>
        </w:rPr>
        <w:t xml:space="preserve"> i jego udziału w procesie decyzyjnym, a także wzmocnienie zasad prowadzenia kontroli.</w:t>
      </w:r>
      <w:r>
        <w:rPr>
          <w:rFonts w:asciiTheme="minorHAnsi" w:hAnsiTheme="minorHAnsi" w:cstheme="minorHAnsi"/>
        </w:rPr>
        <w:t xml:space="preserve"> </w:t>
      </w:r>
    </w:p>
    <w:p w14:paraId="0604263C" w14:textId="77777777" w:rsidR="00D41676" w:rsidRPr="00D52CAD" w:rsidRDefault="00D41676" w:rsidP="00D41676">
      <w:pPr>
        <w:suppressAutoHyphens/>
        <w:rPr>
          <w:rFonts w:asciiTheme="minorHAnsi" w:hAnsiTheme="minorHAnsi" w:cstheme="minorHAnsi"/>
        </w:rPr>
      </w:pPr>
      <w:r w:rsidRPr="00D52CAD">
        <w:rPr>
          <w:rFonts w:asciiTheme="minorHAnsi" w:hAnsiTheme="minorHAnsi" w:cstheme="minorHAnsi"/>
        </w:rPr>
        <w:t>Dyrektywa</w:t>
      </w:r>
      <w:r>
        <w:rPr>
          <w:rFonts w:asciiTheme="minorHAnsi" w:hAnsiTheme="minorHAnsi" w:cstheme="minorHAnsi"/>
        </w:rPr>
        <w:t xml:space="preserve"> </w:t>
      </w:r>
      <w:r w:rsidRPr="00743FB0">
        <w:rPr>
          <w:rFonts w:asciiTheme="minorHAnsi" w:hAnsiTheme="minorHAnsi" w:cstheme="minorHAnsi"/>
        </w:rPr>
        <w:t>SEVESO III</w:t>
      </w:r>
      <w:r w:rsidRPr="00D52CAD">
        <w:rPr>
          <w:rFonts w:asciiTheme="minorHAnsi" w:hAnsiTheme="minorHAnsi" w:cstheme="minorHAnsi"/>
        </w:rPr>
        <w:t xml:space="preserve"> klasyfikuje zakłady przemysłowe według poziomu ryzyka wystąpienia w nich awarii przemysłowej</w:t>
      </w:r>
      <w:r>
        <w:rPr>
          <w:rFonts w:asciiTheme="minorHAnsi" w:hAnsiTheme="minorHAnsi" w:cstheme="minorHAnsi"/>
        </w:rPr>
        <w:t xml:space="preserve">, </w:t>
      </w:r>
      <w:r w:rsidRPr="00D52CAD">
        <w:rPr>
          <w:rFonts w:asciiTheme="minorHAnsi" w:hAnsiTheme="minorHAnsi" w:cstheme="minorHAnsi"/>
        </w:rPr>
        <w:t>dzielą</w:t>
      </w:r>
      <w:r>
        <w:rPr>
          <w:rFonts w:asciiTheme="minorHAnsi" w:hAnsiTheme="minorHAnsi" w:cstheme="minorHAnsi"/>
        </w:rPr>
        <w:t xml:space="preserve">c jednostki </w:t>
      </w:r>
      <w:r w:rsidRPr="00D52CAD">
        <w:rPr>
          <w:rFonts w:asciiTheme="minorHAnsi" w:hAnsiTheme="minorHAnsi" w:cstheme="minorHAnsi"/>
        </w:rPr>
        <w:t>na:</w:t>
      </w:r>
    </w:p>
    <w:p w14:paraId="683B851D" w14:textId="77777777" w:rsidR="00D41676" w:rsidRPr="00676DFC" w:rsidRDefault="00D41676" w:rsidP="00F06393">
      <w:pPr>
        <w:pStyle w:val="Akapitzlist"/>
      </w:pPr>
      <w:r w:rsidRPr="00676DFC">
        <w:t>zakłady o podwyższonym ryzyku wystąpienia awarii,</w:t>
      </w:r>
    </w:p>
    <w:p w14:paraId="4E6EA803" w14:textId="77777777" w:rsidR="00D41676" w:rsidRPr="00676DFC" w:rsidRDefault="00D41676" w:rsidP="00F06393">
      <w:pPr>
        <w:pStyle w:val="Akapitzlist"/>
      </w:pPr>
      <w:r w:rsidRPr="00676DFC">
        <w:t>zakłady o wysokim ryzyku wystąpienia awarii przemysłowej.</w:t>
      </w:r>
    </w:p>
    <w:p w14:paraId="06306C4F" w14:textId="2EE6F27E" w:rsidR="00D41676" w:rsidRDefault="00D41676" w:rsidP="00D41676">
      <w:pPr>
        <w:suppressAutoHyphens/>
        <w:rPr>
          <w:rFonts w:asciiTheme="minorHAnsi" w:hAnsiTheme="minorHAnsi" w:cstheme="minorHAnsi"/>
        </w:rPr>
      </w:pPr>
      <w:r w:rsidRPr="00D52CAD">
        <w:rPr>
          <w:rFonts w:asciiTheme="minorHAnsi" w:hAnsiTheme="minorHAnsi" w:cstheme="minorHAnsi"/>
        </w:rPr>
        <w:t xml:space="preserve">Na powyższe grupy nakłada </w:t>
      </w:r>
      <w:r>
        <w:rPr>
          <w:rFonts w:asciiTheme="minorHAnsi" w:hAnsiTheme="minorHAnsi" w:cstheme="minorHAnsi"/>
        </w:rPr>
        <w:t xml:space="preserve">się </w:t>
      </w:r>
      <w:r w:rsidRPr="00D52CAD">
        <w:rPr>
          <w:rFonts w:asciiTheme="minorHAnsi" w:hAnsiTheme="minorHAnsi" w:cstheme="minorHAnsi"/>
        </w:rPr>
        <w:t xml:space="preserve">różne rodzaje obowiązków operacyjnych i sprawozdawczych. </w:t>
      </w:r>
      <w:r>
        <w:rPr>
          <w:rFonts w:asciiTheme="minorHAnsi" w:hAnsiTheme="minorHAnsi" w:cstheme="minorHAnsi"/>
        </w:rPr>
        <w:t>Od</w:t>
      </w:r>
      <w:r w:rsidR="00C4673D">
        <w:rPr>
          <w:rFonts w:asciiTheme="minorHAnsi" w:hAnsiTheme="minorHAnsi" w:cstheme="minorHAnsi"/>
        </w:rPr>
        <w:t> </w:t>
      </w:r>
      <w:r>
        <w:rPr>
          <w:rFonts w:asciiTheme="minorHAnsi" w:hAnsiTheme="minorHAnsi" w:cstheme="minorHAnsi"/>
        </w:rPr>
        <w:t>z</w:t>
      </w:r>
      <w:r w:rsidRPr="00D52CAD">
        <w:rPr>
          <w:rFonts w:asciiTheme="minorHAnsi" w:hAnsiTheme="minorHAnsi" w:cstheme="minorHAnsi"/>
        </w:rPr>
        <w:t>akład</w:t>
      </w:r>
      <w:r>
        <w:rPr>
          <w:rFonts w:asciiTheme="minorHAnsi" w:hAnsiTheme="minorHAnsi" w:cstheme="minorHAnsi"/>
        </w:rPr>
        <w:t>ów</w:t>
      </w:r>
      <w:r w:rsidRPr="00D52CAD">
        <w:rPr>
          <w:rFonts w:asciiTheme="minorHAnsi" w:hAnsiTheme="minorHAnsi" w:cstheme="minorHAnsi"/>
        </w:rPr>
        <w:t xml:space="preserve"> o podwyższonym ryzyku </w:t>
      </w:r>
      <w:r>
        <w:rPr>
          <w:rFonts w:asciiTheme="minorHAnsi" w:hAnsiTheme="minorHAnsi" w:cstheme="minorHAnsi"/>
        </w:rPr>
        <w:t>wymaga się</w:t>
      </w:r>
      <w:r w:rsidRPr="00D52CAD">
        <w:rPr>
          <w:rFonts w:asciiTheme="minorHAnsi" w:hAnsiTheme="minorHAnsi" w:cstheme="minorHAnsi"/>
        </w:rPr>
        <w:t xml:space="preserve"> dokona</w:t>
      </w:r>
      <w:r>
        <w:rPr>
          <w:rFonts w:asciiTheme="minorHAnsi" w:hAnsiTheme="minorHAnsi" w:cstheme="minorHAnsi"/>
        </w:rPr>
        <w:t>nia</w:t>
      </w:r>
      <w:r w:rsidRPr="00D52CAD">
        <w:rPr>
          <w:rFonts w:asciiTheme="minorHAnsi" w:hAnsiTheme="minorHAnsi" w:cstheme="minorHAnsi"/>
        </w:rPr>
        <w:t xml:space="preserve"> zgłoszenia o prowadzonej działalności do</w:t>
      </w:r>
      <w:r w:rsidR="00C4673D">
        <w:rPr>
          <w:rFonts w:asciiTheme="minorHAnsi" w:hAnsiTheme="minorHAnsi" w:cstheme="minorHAnsi"/>
        </w:rPr>
        <w:t> </w:t>
      </w:r>
      <w:r w:rsidRPr="00D52CAD">
        <w:rPr>
          <w:rFonts w:asciiTheme="minorHAnsi" w:hAnsiTheme="minorHAnsi" w:cstheme="minorHAnsi"/>
        </w:rPr>
        <w:t xml:space="preserve">odpowiedniego organu </w:t>
      </w:r>
      <w:r>
        <w:rPr>
          <w:rFonts w:asciiTheme="minorHAnsi" w:hAnsiTheme="minorHAnsi" w:cstheme="minorHAnsi"/>
        </w:rPr>
        <w:t>Państwowej</w:t>
      </w:r>
      <w:r w:rsidRPr="00D52CAD">
        <w:rPr>
          <w:rFonts w:asciiTheme="minorHAnsi" w:hAnsiTheme="minorHAnsi" w:cstheme="minorHAnsi"/>
        </w:rPr>
        <w:t xml:space="preserve"> Straży Pożarnej</w:t>
      </w:r>
      <w:r>
        <w:rPr>
          <w:rFonts w:asciiTheme="minorHAnsi" w:hAnsiTheme="minorHAnsi" w:cstheme="minorHAnsi"/>
        </w:rPr>
        <w:t>. Zakłady te</w:t>
      </w:r>
      <w:r w:rsidRPr="00D52CAD">
        <w:rPr>
          <w:rFonts w:asciiTheme="minorHAnsi" w:hAnsiTheme="minorHAnsi" w:cstheme="minorHAnsi"/>
        </w:rPr>
        <w:t xml:space="preserve"> muszą</w:t>
      </w:r>
      <w:r>
        <w:rPr>
          <w:rFonts w:asciiTheme="minorHAnsi" w:hAnsiTheme="minorHAnsi" w:cstheme="minorHAnsi"/>
        </w:rPr>
        <w:t xml:space="preserve"> </w:t>
      </w:r>
      <w:r w:rsidRPr="00D52CAD">
        <w:rPr>
          <w:rFonts w:asciiTheme="minorHAnsi" w:hAnsiTheme="minorHAnsi" w:cstheme="minorHAnsi"/>
        </w:rPr>
        <w:t xml:space="preserve">stworzyć i wdrożyć politykę zapobiegania poważnym awariom. </w:t>
      </w:r>
      <w:r>
        <w:rPr>
          <w:rFonts w:asciiTheme="minorHAnsi" w:hAnsiTheme="minorHAnsi" w:cstheme="minorHAnsi"/>
        </w:rPr>
        <w:t>Natomiast z</w:t>
      </w:r>
      <w:r w:rsidRPr="00D52CAD">
        <w:rPr>
          <w:rFonts w:asciiTheme="minorHAnsi" w:hAnsiTheme="minorHAnsi" w:cstheme="minorHAnsi"/>
        </w:rPr>
        <w:t>akład o wysokim ryzyku ma</w:t>
      </w:r>
      <w:r>
        <w:rPr>
          <w:rFonts w:asciiTheme="minorHAnsi" w:hAnsiTheme="minorHAnsi" w:cstheme="minorHAnsi"/>
        </w:rPr>
        <w:t>ją dodatkowo</w:t>
      </w:r>
      <w:r w:rsidRPr="00D52CAD">
        <w:rPr>
          <w:rFonts w:asciiTheme="minorHAnsi" w:hAnsiTheme="minorHAnsi" w:cstheme="minorHAnsi"/>
        </w:rPr>
        <w:t xml:space="preserve"> obowiązek przygotowywania raportu o niebezpieczeństwie i planów operacyjno</w:t>
      </w:r>
      <w:r w:rsidR="00442AB7">
        <w:rPr>
          <w:rFonts w:asciiTheme="minorHAnsi" w:hAnsiTheme="minorHAnsi" w:cstheme="minorHAnsi"/>
        </w:rPr>
        <w:t>-</w:t>
      </w:r>
      <w:r w:rsidRPr="00D52CAD">
        <w:rPr>
          <w:rFonts w:asciiTheme="minorHAnsi" w:hAnsiTheme="minorHAnsi" w:cstheme="minorHAnsi"/>
        </w:rPr>
        <w:t>ratowniczych.</w:t>
      </w:r>
      <w:r>
        <w:rPr>
          <w:rFonts w:asciiTheme="minorHAnsi" w:hAnsiTheme="minorHAnsi" w:cstheme="minorHAnsi"/>
        </w:rPr>
        <w:t xml:space="preserve"> </w:t>
      </w:r>
      <w:r w:rsidRPr="00D52CAD">
        <w:rPr>
          <w:rFonts w:asciiTheme="minorHAnsi" w:hAnsiTheme="minorHAnsi" w:cstheme="minorHAnsi"/>
        </w:rPr>
        <w:t xml:space="preserve">Dyrektywa </w:t>
      </w:r>
      <w:r>
        <w:rPr>
          <w:rFonts w:asciiTheme="minorHAnsi" w:hAnsiTheme="minorHAnsi" w:cstheme="minorHAnsi"/>
        </w:rPr>
        <w:t xml:space="preserve">SEVESO </w:t>
      </w:r>
      <w:r w:rsidRPr="00D52CAD">
        <w:rPr>
          <w:rFonts w:asciiTheme="minorHAnsi" w:hAnsiTheme="minorHAnsi" w:cstheme="minorHAnsi"/>
        </w:rPr>
        <w:t>III na</w:t>
      </w:r>
      <w:r>
        <w:rPr>
          <w:rFonts w:asciiTheme="minorHAnsi" w:hAnsiTheme="minorHAnsi" w:cstheme="minorHAnsi"/>
        </w:rPr>
        <w:t>łożyła</w:t>
      </w:r>
      <w:r w:rsidRPr="00D52CAD">
        <w:rPr>
          <w:rFonts w:asciiTheme="minorHAnsi" w:hAnsiTheme="minorHAnsi" w:cstheme="minorHAnsi"/>
        </w:rPr>
        <w:t xml:space="preserve"> </w:t>
      </w:r>
      <w:r>
        <w:rPr>
          <w:rFonts w:asciiTheme="minorHAnsi" w:hAnsiTheme="minorHAnsi" w:cstheme="minorHAnsi"/>
        </w:rPr>
        <w:t xml:space="preserve">także </w:t>
      </w:r>
      <w:r w:rsidRPr="00D52CAD">
        <w:rPr>
          <w:rFonts w:asciiTheme="minorHAnsi" w:hAnsiTheme="minorHAnsi" w:cstheme="minorHAnsi"/>
        </w:rPr>
        <w:t xml:space="preserve">obowiązek informacyjny na państwa członkowskie UE i zakłady funkcjonujące na terenie tych krajów. </w:t>
      </w:r>
      <w:r>
        <w:rPr>
          <w:rFonts w:asciiTheme="minorHAnsi" w:hAnsiTheme="minorHAnsi" w:cstheme="minorHAnsi"/>
        </w:rPr>
        <w:t>K</w:t>
      </w:r>
      <w:r w:rsidRPr="00D52CAD">
        <w:rPr>
          <w:rFonts w:asciiTheme="minorHAnsi" w:hAnsiTheme="minorHAnsi" w:cstheme="minorHAnsi"/>
        </w:rPr>
        <w:t>ażd</w:t>
      </w:r>
      <w:r>
        <w:rPr>
          <w:rFonts w:asciiTheme="minorHAnsi" w:hAnsiTheme="minorHAnsi" w:cstheme="minorHAnsi"/>
        </w:rPr>
        <w:t>y</w:t>
      </w:r>
      <w:r w:rsidRPr="00D52CAD">
        <w:rPr>
          <w:rFonts w:asciiTheme="minorHAnsi" w:hAnsiTheme="minorHAnsi" w:cstheme="minorHAnsi"/>
        </w:rPr>
        <w:t xml:space="preserve"> </w:t>
      </w:r>
      <w:r>
        <w:rPr>
          <w:rFonts w:asciiTheme="minorHAnsi" w:hAnsiTheme="minorHAnsi" w:cstheme="minorHAnsi"/>
        </w:rPr>
        <w:t>kraj na terenie UE</w:t>
      </w:r>
      <w:r w:rsidRPr="00D52CAD">
        <w:rPr>
          <w:rFonts w:asciiTheme="minorHAnsi" w:hAnsiTheme="minorHAnsi" w:cstheme="minorHAnsi"/>
        </w:rPr>
        <w:t xml:space="preserve"> musi inform</w:t>
      </w:r>
      <w:r>
        <w:rPr>
          <w:rFonts w:asciiTheme="minorHAnsi" w:hAnsiTheme="minorHAnsi" w:cstheme="minorHAnsi"/>
        </w:rPr>
        <w:t>ować</w:t>
      </w:r>
      <w:r w:rsidRPr="00D52CAD">
        <w:rPr>
          <w:rFonts w:asciiTheme="minorHAnsi" w:hAnsiTheme="minorHAnsi" w:cstheme="minorHAnsi"/>
        </w:rPr>
        <w:t xml:space="preserve"> o właściwym postępowaniu w</w:t>
      </w:r>
      <w:r w:rsidR="00565D73">
        <w:rPr>
          <w:rFonts w:asciiTheme="minorHAnsi" w:hAnsiTheme="minorHAnsi" w:cstheme="minorHAnsi"/>
        </w:rPr>
        <w:t> </w:t>
      </w:r>
      <w:r w:rsidRPr="00D52CAD">
        <w:rPr>
          <w:rFonts w:asciiTheme="minorHAnsi" w:hAnsiTheme="minorHAnsi" w:cstheme="minorHAnsi"/>
        </w:rPr>
        <w:t>przypadku awarii prowadzącej do skażenia</w:t>
      </w:r>
      <w:r>
        <w:rPr>
          <w:rFonts w:asciiTheme="minorHAnsi" w:hAnsiTheme="minorHAnsi" w:cstheme="minorHAnsi"/>
        </w:rPr>
        <w:t xml:space="preserve"> środowiska</w:t>
      </w:r>
      <w:r w:rsidRPr="00D52CAD">
        <w:rPr>
          <w:rFonts w:asciiTheme="minorHAnsi" w:hAnsiTheme="minorHAnsi" w:cstheme="minorHAnsi"/>
        </w:rPr>
        <w:t xml:space="preserve">. </w:t>
      </w:r>
    </w:p>
    <w:p w14:paraId="0AB7D7C9" w14:textId="77777777" w:rsidR="00D41676" w:rsidRPr="004512E4" w:rsidRDefault="00D41676" w:rsidP="00D41676">
      <w:pPr>
        <w:suppressAutoHyphens/>
        <w:rPr>
          <w:rFonts w:asciiTheme="minorHAnsi" w:hAnsiTheme="minorHAnsi" w:cstheme="minorHAnsi"/>
        </w:rPr>
      </w:pPr>
      <w:bookmarkStart w:id="491" w:name="_Hlk64937963"/>
      <w:r>
        <w:rPr>
          <w:rFonts w:asciiTheme="minorHAnsi" w:hAnsiTheme="minorHAnsi" w:cstheme="minorHAnsi"/>
        </w:rPr>
        <w:t>W</w:t>
      </w:r>
      <w:r w:rsidRPr="004512E4">
        <w:rPr>
          <w:rFonts w:asciiTheme="minorHAnsi" w:hAnsiTheme="minorHAnsi" w:cstheme="minorHAnsi"/>
        </w:rPr>
        <w:t xml:space="preserve"> sprawie kontroli niebezpieczeństwa poważnymi awariami, a także zapobiegania i łagodzenia ich skutków, </w:t>
      </w:r>
      <w:r>
        <w:rPr>
          <w:rFonts w:asciiTheme="minorHAnsi" w:hAnsiTheme="minorHAnsi" w:cstheme="minorHAnsi"/>
        </w:rPr>
        <w:t xml:space="preserve">funkcjonuje w strukturach UE </w:t>
      </w:r>
      <w:r w:rsidRPr="004512E4">
        <w:rPr>
          <w:rFonts w:asciiTheme="minorHAnsi" w:hAnsiTheme="minorHAnsi" w:cstheme="minorHAnsi"/>
        </w:rPr>
        <w:t xml:space="preserve">Biuro ds. Zagrożeń Poważnymi Awariami (ang. </w:t>
      </w:r>
      <w:r w:rsidRPr="00C4673D">
        <w:rPr>
          <w:rFonts w:asciiTheme="minorHAnsi" w:hAnsiTheme="minorHAnsi" w:cstheme="minorHAnsi"/>
          <w:i/>
          <w:iCs/>
        </w:rPr>
        <w:t>Major Accident Hazard Bureau</w:t>
      </w:r>
      <w:r w:rsidRPr="004512E4">
        <w:rPr>
          <w:rFonts w:asciiTheme="minorHAnsi" w:hAnsiTheme="minorHAnsi" w:cstheme="minorHAnsi"/>
        </w:rPr>
        <w:t xml:space="preserve"> - MAHB)</w:t>
      </w:r>
      <w:r>
        <w:rPr>
          <w:rFonts w:asciiTheme="minorHAnsi" w:hAnsiTheme="minorHAnsi" w:cstheme="minorHAnsi"/>
        </w:rPr>
        <w:t xml:space="preserve"> Dyrekcji Generalnej</w:t>
      </w:r>
      <w:r w:rsidRPr="004512E4">
        <w:rPr>
          <w:rFonts w:asciiTheme="minorHAnsi" w:hAnsiTheme="minorHAnsi" w:cstheme="minorHAnsi"/>
        </w:rPr>
        <w:t xml:space="preserve"> ds. Środowiska. MAHB jest jednostką w ramach Instytutu Wspólnego Centrum Badawczego Ochrony i Bezpieczeństwa Obywateli</w:t>
      </w:r>
      <w:r>
        <w:rPr>
          <w:rFonts w:asciiTheme="minorHAnsi" w:hAnsiTheme="minorHAnsi" w:cstheme="minorHAnsi"/>
        </w:rPr>
        <w:t xml:space="preserve">, do której </w:t>
      </w:r>
      <w:r w:rsidRPr="004512E4">
        <w:rPr>
          <w:rFonts w:asciiTheme="minorHAnsi" w:hAnsiTheme="minorHAnsi" w:cstheme="minorHAnsi"/>
        </w:rPr>
        <w:t>zadań należy:</w:t>
      </w:r>
    </w:p>
    <w:p w14:paraId="49DDFFA1" w14:textId="77777777" w:rsidR="00D41676" w:rsidRPr="00F906F3" w:rsidRDefault="00D41676" w:rsidP="00F06393">
      <w:pPr>
        <w:pStyle w:val="Akapitzlist"/>
        <w:rPr>
          <w:lang w:val="en-GB"/>
        </w:rPr>
      </w:pPr>
      <w:r w:rsidRPr="00676DFC">
        <w:t xml:space="preserve">zarządzanie systemem zgłaszania poważnych awarii (ang. </w:t>
      </w:r>
      <w:r w:rsidRPr="00F906F3">
        <w:rPr>
          <w:lang w:val="en-GB"/>
        </w:rPr>
        <w:t xml:space="preserve">Major - Accident Reporting System (MARS); </w:t>
      </w:r>
    </w:p>
    <w:p w14:paraId="64A49383" w14:textId="77777777" w:rsidR="00D41676" w:rsidRPr="00676DFC" w:rsidRDefault="00D41676" w:rsidP="00F06393">
      <w:pPr>
        <w:pStyle w:val="Akapitzlist"/>
      </w:pPr>
      <w:r w:rsidRPr="00676DFC">
        <w:t xml:space="preserve">udzielanie naukowego, technicznego i administracyjnego wsparcia Technicznym Grupom Roboczym (ang. Technical Working Group - TWG); </w:t>
      </w:r>
    </w:p>
    <w:p w14:paraId="18BBE222" w14:textId="77777777" w:rsidR="00D41676" w:rsidRPr="00676DFC" w:rsidRDefault="00D41676" w:rsidP="00F06393">
      <w:pPr>
        <w:pStyle w:val="Akapitzlist"/>
      </w:pPr>
      <w:r w:rsidRPr="00676DFC">
        <w:t>zarządzanie Wspólnotowym Centrum Dokumentacji Zagrożeń Przemysłowych (ang. Community Documentation Centre on Industrial Risks (CDCIR).</w:t>
      </w:r>
    </w:p>
    <w:p w14:paraId="547CE3AD" w14:textId="4C91339E" w:rsidR="00D41676" w:rsidRPr="00EC1EF6" w:rsidRDefault="00D41676" w:rsidP="00D41676">
      <w:pPr>
        <w:suppressAutoHyphens/>
        <w:rPr>
          <w:rFonts w:asciiTheme="minorHAnsi" w:hAnsiTheme="minorHAnsi" w:cstheme="minorHAnsi"/>
        </w:rPr>
      </w:pPr>
      <w:bookmarkStart w:id="492" w:name="_Hlk64937411"/>
      <w:bookmarkEnd w:id="491"/>
      <w:r w:rsidRPr="003E51C4">
        <w:rPr>
          <w:rFonts w:asciiTheme="minorHAnsi" w:hAnsiTheme="minorHAnsi" w:cstheme="minorHAnsi"/>
        </w:rPr>
        <w:t>Na aktualny stan regulacji prawnych Polski dotyczących przeciwdziałania poważnym awariom przemysłowym składają się także przepisy</w:t>
      </w:r>
      <w:r>
        <w:rPr>
          <w:rFonts w:asciiTheme="minorHAnsi" w:hAnsiTheme="minorHAnsi" w:cstheme="minorHAnsi"/>
        </w:rPr>
        <w:t xml:space="preserve"> </w:t>
      </w:r>
      <w:r w:rsidRPr="00EC1EF6">
        <w:rPr>
          <w:rFonts w:asciiTheme="minorHAnsi" w:hAnsiTheme="minorHAnsi" w:cstheme="minorHAnsi"/>
        </w:rPr>
        <w:t>Konwencj</w:t>
      </w:r>
      <w:r>
        <w:rPr>
          <w:rFonts w:asciiTheme="minorHAnsi" w:hAnsiTheme="minorHAnsi" w:cstheme="minorHAnsi"/>
        </w:rPr>
        <w:t>i</w:t>
      </w:r>
      <w:r w:rsidRPr="00EC1EF6">
        <w:rPr>
          <w:rFonts w:asciiTheme="minorHAnsi" w:hAnsiTheme="minorHAnsi" w:cstheme="minorHAnsi"/>
        </w:rPr>
        <w:t xml:space="preserve"> o ochronie środowiska morskiego obszaru Morza Bałtyckiego, sporządzon</w:t>
      </w:r>
      <w:r>
        <w:rPr>
          <w:rFonts w:asciiTheme="minorHAnsi" w:hAnsiTheme="minorHAnsi" w:cstheme="minorHAnsi"/>
        </w:rPr>
        <w:t>ej</w:t>
      </w:r>
      <w:r w:rsidRPr="00EC1EF6">
        <w:rPr>
          <w:rFonts w:asciiTheme="minorHAnsi" w:hAnsiTheme="minorHAnsi" w:cstheme="minorHAnsi"/>
        </w:rPr>
        <w:t xml:space="preserve"> w Helsinkach dnia 9 kwietnia 1992 r.</w:t>
      </w:r>
      <w:r>
        <w:rPr>
          <w:rFonts w:asciiTheme="minorHAnsi" w:hAnsiTheme="minorHAnsi" w:cstheme="minorHAnsi"/>
        </w:rPr>
        <w:t xml:space="preserve"> (</w:t>
      </w:r>
      <w:r w:rsidRPr="00EC1EF6">
        <w:rPr>
          <w:rFonts w:asciiTheme="minorHAnsi" w:hAnsiTheme="minorHAnsi" w:cstheme="minorHAnsi"/>
        </w:rPr>
        <w:t>Dz.U. 2000 nr 28 poz. 346</w:t>
      </w:r>
      <w:r>
        <w:rPr>
          <w:rFonts w:asciiTheme="minorHAnsi" w:hAnsiTheme="minorHAnsi" w:cstheme="minorHAnsi"/>
        </w:rPr>
        <w:t>). J</w:t>
      </w:r>
      <w:r w:rsidRPr="004512E4">
        <w:rPr>
          <w:rFonts w:asciiTheme="minorHAnsi" w:hAnsiTheme="minorHAnsi" w:cstheme="minorHAnsi"/>
        </w:rPr>
        <w:t xml:space="preserve">ako strona Konwencji, </w:t>
      </w:r>
      <w:r>
        <w:rPr>
          <w:rFonts w:asciiTheme="minorHAnsi" w:hAnsiTheme="minorHAnsi" w:cstheme="minorHAnsi"/>
        </w:rPr>
        <w:t xml:space="preserve">Polska jest </w:t>
      </w:r>
      <w:r w:rsidRPr="004512E4">
        <w:rPr>
          <w:rFonts w:asciiTheme="minorHAnsi" w:hAnsiTheme="minorHAnsi" w:cstheme="minorHAnsi"/>
        </w:rPr>
        <w:t xml:space="preserve">zobowiązana do stosowania środków w celu zapobiegania i eliminowania zanieczyszczenia Bałtyku. </w:t>
      </w:r>
    </w:p>
    <w:bookmarkEnd w:id="492"/>
    <w:p w14:paraId="2411EEE6" w14:textId="77777777" w:rsidR="00D41676" w:rsidRPr="00B119FC" w:rsidRDefault="00D41676" w:rsidP="00D41676">
      <w:pPr>
        <w:suppressAutoHyphens/>
        <w:rPr>
          <w:rFonts w:asciiTheme="minorHAnsi" w:hAnsiTheme="minorHAnsi" w:cstheme="minorHAnsi"/>
        </w:rPr>
      </w:pPr>
      <w:r w:rsidRPr="00B119FC">
        <w:rPr>
          <w:rFonts w:asciiTheme="minorHAnsi" w:hAnsiTheme="minorHAnsi" w:cstheme="minorHAnsi"/>
        </w:rPr>
        <w:t>Krajowe przepisy regulują bezpieczeństwo w zakresie skutków awarii i zanieczyszczeń na kilku poziomach, obejmujących:</w:t>
      </w:r>
    </w:p>
    <w:p w14:paraId="5F06BB1B" w14:textId="77777777" w:rsidR="00D41676" w:rsidRPr="00676DFC" w:rsidRDefault="00D41676" w:rsidP="00F06393">
      <w:pPr>
        <w:pStyle w:val="Akapitzlist"/>
      </w:pPr>
      <w:r w:rsidRPr="00676DFC">
        <w:t>przeciwdziałanie awariom i ich skutkom,</w:t>
      </w:r>
    </w:p>
    <w:p w14:paraId="2044D493" w14:textId="77777777" w:rsidR="00D41676" w:rsidRPr="00676DFC" w:rsidRDefault="00D41676" w:rsidP="00F06393">
      <w:pPr>
        <w:pStyle w:val="Akapitzlist"/>
      </w:pPr>
      <w:r w:rsidRPr="00676DFC">
        <w:t>warunki funkcjonowania instalacji przemysłowych,</w:t>
      </w:r>
    </w:p>
    <w:p w14:paraId="0B9BD61C" w14:textId="77777777" w:rsidR="00D41676" w:rsidRPr="00676DFC" w:rsidRDefault="00D41676" w:rsidP="00F06393">
      <w:pPr>
        <w:pStyle w:val="Akapitzlist"/>
      </w:pPr>
      <w:r w:rsidRPr="00676DFC">
        <w:t>systemy ostrzegania i przeciwdziałania skutkom awarii,</w:t>
      </w:r>
    </w:p>
    <w:p w14:paraId="7471A751" w14:textId="77777777" w:rsidR="00D41676" w:rsidRPr="00676DFC" w:rsidRDefault="00D41676" w:rsidP="00F06393">
      <w:pPr>
        <w:pStyle w:val="Akapitzlist"/>
      </w:pPr>
      <w:r w:rsidRPr="00676DFC">
        <w:t>planowanie przestrzenne w zakresie bezpieczeństwa ludności i środowiska.</w:t>
      </w:r>
    </w:p>
    <w:p w14:paraId="472CC2A4" w14:textId="770E5B08" w:rsidR="00D41676" w:rsidRDefault="00D41676" w:rsidP="00D41676">
      <w:pPr>
        <w:suppressAutoHyphens/>
        <w:rPr>
          <w:rFonts w:asciiTheme="minorHAnsi" w:hAnsiTheme="minorHAnsi" w:cstheme="minorHAnsi"/>
        </w:rPr>
      </w:pPr>
      <w:r>
        <w:rPr>
          <w:rFonts w:asciiTheme="minorHAnsi" w:hAnsiTheme="minorHAnsi" w:cstheme="minorHAnsi"/>
        </w:rPr>
        <w:t>Zasadnicze grupy działań wraz określeniem podstawy</w:t>
      </w:r>
      <w:r w:rsidRPr="00B119FC">
        <w:rPr>
          <w:rFonts w:asciiTheme="minorHAnsi" w:hAnsiTheme="minorHAnsi" w:cstheme="minorHAnsi"/>
        </w:rPr>
        <w:t xml:space="preserve"> prawn</w:t>
      </w:r>
      <w:r>
        <w:rPr>
          <w:rFonts w:asciiTheme="minorHAnsi" w:hAnsiTheme="minorHAnsi" w:cstheme="minorHAnsi"/>
        </w:rPr>
        <w:t xml:space="preserve">ej </w:t>
      </w:r>
      <w:r w:rsidRPr="00B119FC">
        <w:rPr>
          <w:rFonts w:asciiTheme="minorHAnsi" w:hAnsiTheme="minorHAnsi" w:cstheme="minorHAnsi"/>
        </w:rPr>
        <w:t>oraz kompetencji służ</w:t>
      </w:r>
      <w:r>
        <w:rPr>
          <w:rFonts w:asciiTheme="minorHAnsi" w:hAnsiTheme="minorHAnsi" w:cstheme="minorHAnsi"/>
        </w:rPr>
        <w:t>b,</w:t>
      </w:r>
      <w:r w:rsidRPr="00B119FC">
        <w:rPr>
          <w:rFonts w:asciiTheme="minorHAnsi" w:hAnsiTheme="minorHAnsi" w:cstheme="minorHAnsi"/>
        </w:rPr>
        <w:t xml:space="preserve"> organów administracji</w:t>
      </w:r>
      <w:r>
        <w:rPr>
          <w:rFonts w:asciiTheme="minorHAnsi" w:hAnsiTheme="minorHAnsi" w:cstheme="minorHAnsi"/>
        </w:rPr>
        <w:t xml:space="preserve"> </w:t>
      </w:r>
      <w:r w:rsidRPr="00E46F8F">
        <w:rPr>
          <w:rFonts w:asciiTheme="minorHAnsi" w:hAnsiTheme="minorHAnsi" w:cstheme="minorHAnsi"/>
        </w:rPr>
        <w:t xml:space="preserve">i podmiotów prowadzących zakład/instalację </w:t>
      </w:r>
      <w:r w:rsidR="00442AB7" w:rsidRPr="00E46F8F">
        <w:rPr>
          <w:rFonts w:asciiTheme="minorHAnsi" w:hAnsiTheme="minorHAnsi" w:cstheme="minorHAnsi"/>
        </w:rPr>
        <w:t>-</w:t>
      </w:r>
      <w:r w:rsidRPr="00E46F8F">
        <w:rPr>
          <w:rFonts w:asciiTheme="minorHAnsi" w:hAnsiTheme="minorHAnsi" w:cstheme="minorHAnsi"/>
        </w:rPr>
        <w:t xml:space="preserve"> zestawione zostały w tabeli poniżej (tabela</w:t>
      </w:r>
      <w:r w:rsidR="004A1B76" w:rsidRPr="00E46F8F">
        <w:rPr>
          <w:rFonts w:asciiTheme="minorHAnsi" w:hAnsiTheme="minorHAnsi" w:cstheme="minorHAnsi"/>
        </w:rPr>
        <w:t xml:space="preserve"> 13-</w:t>
      </w:r>
      <w:r w:rsidR="00C37694">
        <w:rPr>
          <w:rFonts w:asciiTheme="minorHAnsi" w:hAnsiTheme="minorHAnsi" w:cstheme="minorHAnsi"/>
        </w:rPr>
        <w:t>1</w:t>
      </w:r>
      <w:r w:rsidR="009D0A01">
        <w:rPr>
          <w:rFonts w:asciiTheme="minorHAnsi" w:hAnsiTheme="minorHAnsi" w:cstheme="minorHAnsi"/>
        </w:rPr>
        <w:t>8</w:t>
      </w:r>
      <w:r w:rsidRPr="00E46F8F">
        <w:rPr>
          <w:rFonts w:asciiTheme="minorHAnsi" w:hAnsiTheme="minorHAnsi" w:cstheme="minorHAnsi"/>
        </w:rPr>
        <w:t>).</w:t>
      </w:r>
    </w:p>
    <w:p w14:paraId="715BC8EE" w14:textId="5542850F" w:rsidR="00442AB7" w:rsidRDefault="00442AB7" w:rsidP="006802BB">
      <w:pPr>
        <w:pStyle w:val="Tabela"/>
      </w:pPr>
      <w:bookmarkStart w:id="493" w:name="_Toc68727058"/>
      <w:r>
        <w:t xml:space="preserve">Tabela </w:t>
      </w:r>
      <w:fldSimple w:instr=" STYLEREF 1 \s ">
        <w:r w:rsidR="009D0A01">
          <w:rPr>
            <w:noProof/>
          </w:rPr>
          <w:t>13</w:t>
        </w:r>
      </w:fldSimple>
      <w:r w:rsidR="007B4050">
        <w:noBreakHyphen/>
      </w:r>
      <w:fldSimple w:instr=" SEQ Tabela \* ARABIC \s 1 ">
        <w:r w:rsidR="009D0A01">
          <w:rPr>
            <w:noProof/>
          </w:rPr>
          <w:t>18</w:t>
        </w:r>
      </w:fldSimple>
      <w:r>
        <w:tab/>
      </w:r>
      <w:r w:rsidRPr="00B119FC">
        <w:t>Zakres obowiązków w celu przeciwdziałania skutkom zanieczyszczeń wraz ze wskazaniem podmiotu odpowiedzialnego i podstawy prawnej działania</w:t>
      </w:r>
      <w:bookmarkEnd w:id="4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
        <w:gridCol w:w="2795"/>
        <w:gridCol w:w="2468"/>
        <w:gridCol w:w="2476"/>
        <w:gridCol w:w="928"/>
      </w:tblGrid>
      <w:tr w:rsidR="00D41676" w:rsidRPr="00B119FC" w14:paraId="65899CF2" w14:textId="77777777" w:rsidTr="00231528">
        <w:trPr>
          <w:trHeight w:val="454"/>
          <w:tblHeader/>
        </w:trPr>
        <w:tc>
          <w:tcPr>
            <w:tcW w:w="218" w:type="pct"/>
            <w:shd w:val="clear" w:color="auto" w:fill="BFBFBF" w:themeFill="background1" w:themeFillShade="BF"/>
            <w:vAlign w:val="center"/>
            <w:hideMark/>
          </w:tcPr>
          <w:p w14:paraId="74C25631" w14:textId="77777777" w:rsidR="00D41676" w:rsidRPr="00A16503" w:rsidRDefault="00D41676" w:rsidP="00D92B0B">
            <w:pPr>
              <w:pStyle w:val="Tabela-tekst"/>
              <w:jc w:val="center"/>
              <w:rPr>
                <w:b/>
                <w:bCs/>
              </w:rPr>
            </w:pPr>
            <w:r w:rsidRPr="00A16503">
              <w:rPr>
                <w:b/>
                <w:bCs/>
              </w:rPr>
              <w:t>Lp.</w:t>
            </w:r>
          </w:p>
        </w:tc>
        <w:tc>
          <w:tcPr>
            <w:tcW w:w="1542" w:type="pct"/>
            <w:shd w:val="clear" w:color="auto" w:fill="BFBFBF" w:themeFill="background1" w:themeFillShade="BF"/>
            <w:vAlign w:val="center"/>
            <w:hideMark/>
          </w:tcPr>
          <w:p w14:paraId="5E717C4D" w14:textId="77777777" w:rsidR="00D41676" w:rsidRPr="00A16503" w:rsidRDefault="00D41676" w:rsidP="00B16BD9">
            <w:pPr>
              <w:pStyle w:val="Tabela-tekst"/>
              <w:jc w:val="center"/>
              <w:rPr>
                <w:b/>
                <w:bCs/>
              </w:rPr>
            </w:pPr>
            <w:r w:rsidRPr="00A16503">
              <w:rPr>
                <w:b/>
                <w:bCs/>
              </w:rPr>
              <w:t>Zakres działania</w:t>
            </w:r>
          </w:p>
        </w:tc>
        <w:tc>
          <w:tcPr>
            <w:tcW w:w="1362" w:type="pct"/>
            <w:shd w:val="clear" w:color="auto" w:fill="BFBFBF" w:themeFill="background1" w:themeFillShade="BF"/>
            <w:vAlign w:val="center"/>
          </w:tcPr>
          <w:p w14:paraId="42BA8265" w14:textId="77777777" w:rsidR="00D41676" w:rsidRPr="00A16503" w:rsidRDefault="00D41676" w:rsidP="00D92B0B">
            <w:pPr>
              <w:pStyle w:val="Tabela-tekst"/>
              <w:jc w:val="center"/>
              <w:rPr>
                <w:b/>
                <w:bCs/>
              </w:rPr>
            </w:pPr>
            <w:r w:rsidRPr="00A16503">
              <w:rPr>
                <w:b/>
                <w:bCs/>
              </w:rPr>
              <w:t>Podmiot/organ/służby odpowiedzialne</w:t>
            </w:r>
          </w:p>
        </w:tc>
        <w:tc>
          <w:tcPr>
            <w:tcW w:w="1366" w:type="pct"/>
            <w:shd w:val="clear" w:color="auto" w:fill="BFBFBF" w:themeFill="background1" w:themeFillShade="BF"/>
            <w:vAlign w:val="center"/>
            <w:hideMark/>
          </w:tcPr>
          <w:p w14:paraId="0829302A" w14:textId="77777777" w:rsidR="00D41676" w:rsidRPr="00A16503" w:rsidRDefault="00D41676" w:rsidP="00D92B0B">
            <w:pPr>
              <w:pStyle w:val="Tabela-tekst"/>
              <w:jc w:val="center"/>
              <w:rPr>
                <w:b/>
                <w:bCs/>
              </w:rPr>
            </w:pPr>
            <w:r w:rsidRPr="00A16503">
              <w:rPr>
                <w:b/>
                <w:bCs/>
              </w:rPr>
              <w:t>Podstawa prawna</w:t>
            </w:r>
          </w:p>
        </w:tc>
        <w:tc>
          <w:tcPr>
            <w:tcW w:w="512" w:type="pct"/>
            <w:shd w:val="clear" w:color="auto" w:fill="BFBFBF" w:themeFill="background1" w:themeFillShade="BF"/>
            <w:vAlign w:val="center"/>
          </w:tcPr>
          <w:p w14:paraId="2F297C12" w14:textId="77777777" w:rsidR="00D41676" w:rsidRPr="00A16503" w:rsidRDefault="00D41676" w:rsidP="00D92B0B">
            <w:pPr>
              <w:pStyle w:val="Tabela-tekst"/>
              <w:jc w:val="center"/>
              <w:rPr>
                <w:b/>
                <w:bCs/>
              </w:rPr>
            </w:pPr>
            <w:r w:rsidRPr="00A16503">
              <w:rPr>
                <w:b/>
                <w:bCs/>
              </w:rPr>
              <w:t>Artykuł</w:t>
            </w:r>
          </w:p>
        </w:tc>
      </w:tr>
      <w:tr w:rsidR="00D41676" w:rsidRPr="00B119FC" w14:paraId="5A5C44CE" w14:textId="77777777" w:rsidTr="00231528">
        <w:trPr>
          <w:trHeight w:val="454"/>
        </w:trPr>
        <w:tc>
          <w:tcPr>
            <w:tcW w:w="218" w:type="pct"/>
            <w:shd w:val="clear" w:color="auto" w:fill="auto"/>
            <w:vAlign w:val="center"/>
          </w:tcPr>
          <w:p w14:paraId="6B56EB05" w14:textId="16CD621D" w:rsidR="00D41676" w:rsidRPr="00962F67" w:rsidRDefault="00D41676" w:rsidP="00D92B0B">
            <w:pPr>
              <w:pStyle w:val="Tabela-tekst"/>
              <w:jc w:val="center"/>
            </w:pPr>
            <w:r w:rsidRPr="00962F67">
              <w:t>1</w:t>
            </w:r>
            <w:r w:rsidR="0030438B">
              <w:t>.</w:t>
            </w:r>
          </w:p>
        </w:tc>
        <w:tc>
          <w:tcPr>
            <w:tcW w:w="1542" w:type="pct"/>
            <w:shd w:val="clear" w:color="auto" w:fill="auto"/>
            <w:vAlign w:val="center"/>
          </w:tcPr>
          <w:p w14:paraId="0083095E" w14:textId="77777777" w:rsidR="00D41676" w:rsidRPr="00962F67" w:rsidRDefault="00D41676" w:rsidP="00A16503">
            <w:pPr>
              <w:pStyle w:val="Tabela-tekst"/>
            </w:pPr>
            <w:r w:rsidRPr="00962F67">
              <w:t xml:space="preserve">Realizacja zadań w sprawach: </w:t>
            </w:r>
          </w:p>
          <w:p w14:paraId="3E0B1A04" w14:textId="77777777" w:rsidR="00D41676" w:rsidRPr="00962F67" w:rsidRDefault="00D41676" w:rsidP="00A16503">
            <w:pPr>
              <w:pStyle w:val="Tabela-tekst"/>
            </w:pPr>
            <w:r w:rsidRPr="00962F67">
              <w:t xml:space="preserve">przeciwdziałania poważnym awariom, </w:t>
            </w:r>
          </w:p>
          <w:p w14:paraId="4AF1CE24" w14:textId="77777777" w:rsidR="00D41676" w:rsidRPr="00962F67" w:rsidRDefault="00D41676" w:rsidP="00A16503">
            <w:pPr>
              <w:pStyle w:val="Tabela-tekst"/>
            </w:pPr>
            <w:r w:rsidRPr="00962F67">
              <w:t>transgranicznych skutków awarii przemysłowych,</w:t>
            </w:r>
          </w:p>
          <w:p w14:paraId="397E1358" w14:textId="77777777" w:rsidR="00D41676" w:rsidRPr="00962F67" w:rsidRDefault="00D41676" w:rsidP="00A16503">
            <w:pPr>
              <w:pStyle w:val="Tabela-tekst"/>
            </w:pPr>
            <w:r w:rsidRPr="00962F67">
              <w:t>awaryjnych zanieczyszczeń wód granicznych</w:t>
            </w:r>
          </w:p>
        </w:tc>
        <w:tc>
          <w:tcPr>
            <w:tcW w:w="1362" w:type="pct"/>
            <w:vAlign w:val="center"/>
          </w:tcPr>
          <w:p w14:paraId="34B8EFC3" w14:textId="77777777" w:rsidR="00D41676" w:rsidRPr="00962F67" w:rsidRDefault="00D41676" w:rsidP="00D92B0B">
            <w:pPr>
              <w:pStyle w:val="Tabela-tekst"/>
              <w:jc w:val="center"/>
            </w:pPr>
            <w:r w:rsidRPr="00962F67">
              <w:t>Główny Inspektor Ochrony Środowiska</w:t>
            </w:r>
          </w:p>
        </w:tc>
        <w:tc>
          <w:tcPr>
            <w:tcW w:w="1366" w:type="pct"/>
            <w:shd w:val="clear" w:color="auto" w:fill="auto"/>
            <w:vAlign w:val="center"/>
          </w:tcPr>
          <w:p w14:paraId="35D2C8AF"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7269A7EE" w14:textId="77777777" w:rsidR="00D41676" w:rsidRPr="00962F67" w:rsidRDefault="00D41676" w:rsidP="00D92B0B">
            <w:pPr>
              <w:pStyle w:val="Tabela-tekst"/>
              <w:jc w:val="center"/>
            </w:pPr>
            <w:r w:rsidRPr="00962F67">
              <w:t>art. 271b</w:t>
            </w:r>
          </w:p>
        </w:tc>
      </w:tr>
      <w:tr w:rsidR="00D41676" w:rsidRPr="00B119FC" w14:paraId="615328E8" w14:textId="77777777" w:rsidTr="00231528">
        <w:trPr>
          <w:trHeight w:val="454"/>
        </w:trPr>
        <w:tc>
          <w:tcPr>
            <w:tcW w:w="218" w:type="pct"/>
            <w:shd w:val="clear" w:color="auto" w:fill="auto"/>
            <w:vAlign w:val="center"/>
          </w:tcPr>
          <w:p w14:paraId="20C869AE" w14:textId="60399DB2" w:rsidR="00D41676" w:rsidRPr="00962F67" w:rsidRDefault="00D41676" w:rsidP="00D92B0B">
            <w:pPr>
              <w:pStyle w:val="Tabela-tekst"/>
              <w:jc w:val="center"/>
            </w:pPr>
            <w:r w:rsidRPr="00962F67">
              <w:t>2</w:t>
            </w:r>
            <w:r w:rsidR="0030438B">
              <w:t>.</w:t>
            </w:r>
          </w:p>
        </w:tc>
        <w:tc>
          <w:tcPr>
            <w:tcW w:w="1542" w:type="pct"/>
            <w:shd w:val="clear" w:color="auto" w:fill="auto"/>
            <w:vAlign w:val="center"/>
          </w:tcPr>
          <w:p w14:paraId="438AFFB1" w14:textId="77777777" w:rsidR="00D41676" w:rsidRPr="00962F67" w:rsidRDefault="00D41676" w:rsidP="00A16503">
            <w:pPr>
              <w:pStyle w:val="Tabela-tekst"/>
            </w:pPr>
            <w:r w:rsidRPr="00962F67">
              <w:t>Obowiązek zgłoszenia zakładu o zwiększonym ryzyku lub o dużym ryzyku właściwemu komendantowi wojewódzkiemu Państwowej Straży Pożarnej</w:t>
            </w:r>
          </w:p>
        </w:tc>
        <w:tc>
          <w:tcPr>
            <w:tcW w:w="1362" w:type="pct"/>
            <w:vAlign w:val="center"/>
          </w:tcPr>
          <w:p w14:paraId="46800E14" w14:textId="77777777" w:rsidR="00D41676" w:rsidRPr="00962F67" w:rsidRDefault="00D41676" w:rsidP="00D92B0B">
            <w:pPr>
              <w:pStyle w:val="Tabela-tekst"/>
              <w:jc w:val="center"/>
            </w:pPr>
            <w:r w:rsidRPr="00962F67">
              <w:t>prowadzący zakład/instalację</w:t>
            </w:r>
          </w:p>
        </w:tc>
        <w:tc>
          <w:tcPr>
            <w:tcW w:w="1366" w:type="pct"/>
            <w:shd w:val="clear" w:color="auto" w:fill="auto"/>
            <w:vAlign w:val="center"/>
          </w:tcPr>
          <w:p w14:paraId="39A8FADE"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22ACFC2E" w14:textId="77777777" w:rsidR="00D41676" w:rsidRPr="00962F67" w:rsidRDefault="00D41676" w:rsidP="00D92B0B">
            <w:pPr>
              <w:pStyle w:val="Tabela-tekst"/>
              <w:jc w:val="center"/>
            </w:pPr>
            <w:r w:rsidRPr="00962F67">
              <w:t>art. 250</w:t>
            </w:r>
          </w:p>
        </w:tc>
      </w:tr>
      <w:tr w:rsidR="00D41676" w:rsidRPr="00B119FC" w14:paraId="1163DAAB" w14:textId="77777777" w:rsidTr="00231528">
        <w:trPr>
          <w:trHeight w:val="454"/>
        </w:trPr>
        <w:tc>
          <w:tcPr>
            <w:tcW w:w="218" w:type="pct"/>
            <w:shd w:val="clear" w:color="auto" w:fill="auto"/>
            <w:vAlign w:val="center"/>
          </w:tcPr>
          <w:p w14:paraId="4E552EF6" w14:textId="1D63981F" w:rsidR="00D41676" w:rsidRPr="00962F67" w:rsidRDefault="00D41676" w:rsidP="00D92B0B">
            <w:pPr>
              <w:pStyle w:val="Tabela-tekst"/>
              <w:jc w:val="center"/>
            </w:pPr>
            <w:r w:rsidRPr="00962F67">
              <w:t>3</w:t>
            </w:r>
            <w:r w:rsidR="0030438B">
              <w:t>.</w:t>
            </w:r>
          </w:p>
        </w:tc>
        <w:tc>
          <w:tcPr>
            <w:tcW w:w="1542" w:type="pct"/>
            <w:shd w:val="clear" w:color="auto" w:fill="auto"/>
            <w:vAlign w:val="center"/>
            <w:hideMark/>
          </w:tcPr>
          <w:p w14:paraId="34F775AD" w14:textId="77777777" w:rsidR="00D41676" w:rsidRPr="00962F67" w:rsidRDefault="00D41676" w:rsidP="00A16503">
            <w:pPr>
              <w:pStyle w:val="Tabela-tekst"/>
            </w:pPr>
            <w:r w:rsidRPr="00962F67">
              <w:t>Sporządzanie i wdrażanie dokumentów precyzujących politykę przeciwdziałania poważnym awariom</w:t>
            </w:r>
          </w:p>
        </w:tc>
        <w:tc>
          <w:tcPr>
            <w:tcW w:w="1362" w:type="pct"/>
            <w:vAlign w:val="center"/>
          </w:tcPr>
          <w:p w14:paraId="146A2D51" w14:textId="77777777" w:rsidR="00D41676" w:rsidRPr="00962F67" w:rsidRDefault="00D41676" w:rsidP="00D92B0B">
            <w:pPr>
              <w:pStyle w:val="Tabela-tekst"/>
              <w:jc w:val="center"/>
            </w:pPr>
            <w:r w:rsidRPr="00962F67">
              <w:t>prowadzący zakład/instalację</w:t>
            </w:r>
          </w:p>
        </w:tc>
        <w:tc>
          <w:tcPr>
            <w:tcW w:w="1366" w:type="pct"/>
            <w:shd w:val="clear" w:color="auto" w:fill="auto"/>
            <w:vAlign w:val="center"/>
            <w:hideMark/>
          </w:tcPr>
          <w:p w14:paraId="48592A22"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1FB22C8D" w14:textId="77777777" w:rsidR="00D41676" w:rsidRPr="00962F67" w:rsidRDefault="00D41676" w:rsidP="00D92B0B">
            <w:pPr>
              <w:pStyle w:val="Tabela-tekst"/>
              <w:jc w:val="center"/>
            </w:pPr>
            <w:r w:rsidRPr="00962F67">
              <w:t>art. 251 art. 252</w:t>
            </w:r>
          </w:p>
        </w:tc>
      </w:tr>
      <w:tr w:rsidR="00D41676" w:rsidRPr="00B119FC" w14:paraId="7AEAAE44" w14:textId="77777777" w:rsidTr="00231528">
        <w:trPr>
          <w:trHeight w:val="454"/>
        </w:trPr>
        <w:tc>
          <w:tcPr>
            <w:tcW w:w="218" w:type="pct"/>
            <w:shd w:val="clear" w:color="auto" w:fill="auto"/>
            <w:vAlign w:val="center"/>
          </w:tcPr>
          <w:p w14:paraId="3EC88380" w14:textId="10CFAAAA" w:rsidR="00D41676" w:rsidRPr="00962F67" w:rsidRDefault="00D41676" w:rsidP="00D92B0B">
            <w:pPr>
              <w:pStyle w:val="Tabela-tekst"/>
              <w:jc w:val="center"/>
            </w:pPr>
            <w:r w:rsidRPr="00962F67">
              <w:t>4</w:t>
            </w:r>
            <w:r w:rsidR="0030438B">
              <w:t>.</w:t>
            </w:r>
          </w:p>
        </w:tc>
        <w:tc>
          <w:tcPr>
            <w:tcW w:w="1542" w:type="pct"/>
            <w:shd w:val="clear" w:color="auto" w:fill="auto"/>
            <w:vAlign w:val="center"/>
            <w:hideMark/>
          </w:tcPr>
          <w:p w14:paraId="2D6993E0" w14:textId="77777777" w:rsidR="00D41676" w:rsidRPr="00962F67" w:rsidRDefault="00D41676" w:rsidP="00A16503">
            <w:pPr>
              <w:pStyle w:val="Tabela-tekst"/>
            </w:pPr>
            <w:r w:rsidRPr="00962F67">
              <w:t>Zapobieganie efektowi domina (zwiększeniu prawdopodobieństwa wystąpienia awarii przemysłowej lub pogłębianiu jej skutków)</w:t>
            </w:r>
          </w:p>
        </w:tc>
        <w:tc>
          <w:tcPr>
            <w:tcW w:w="1362" w:type="pct"/>
            <w:vAlign w:val="center"/>
          </w:tcPr>
          <w:p w14:paraId="465AD210" w14:textId="77777777" w:rsidR="00D41676" w:rsidRPr="00962F67" w:rsidRDefault="00D41676" w:rsidP="00D92B0B">
            <w:pPr>
              <w:pStyle w:val="Tabela-tekst"/>
              <w:jc w:val="center"/>
            </w:pPr>
            <w:r w:rsidRPr="00962F67">
              <w:t>właściwy komendant wojewódzki Państwowej Straży Pożarnej (wg informacji podanych przez prowadzących zakład)</w:t>
            </w:r>
          </w:p>
        </w:tc>
        <w:tc>
          <w:tcPr>
            <w:tcW w:w="1366" w:type="pct"/>
            <w:shd w:val="clear" w:color="auto" w:fill="auto"/>
            <w:vAlign w:val="center"/>
            <w:hideMark/>
          </w:tcPr>
          <w:p w14:paraId="253999EA"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2DD26147" w14:textId="77777777" w:rsidR="00D41676" w:rsidRPr="00962F67" w:rsidRDefault="00D41676" w:rsidP="00D92B0B">
            <w:pPr>
              <w:pStyle w:val="Tabela-tekst"/>
              <w:jc w:val="center"/>
            </w:pPr>
            <w:r w:rsidRPr="00962F67">
              <w:t>art. 264d</w:t>
            </w:r>
          </w:p>
        </w:tc>
      </w:tr>
      <w:tr w:rsidR="00D41676" w:rsidRPr="00B119FC" w14:paraId="24CDDFF4" w14:textId="77777777" w:rsidTr="00231528">
        <w:trPr>
          <w:trHeight w:val="454"/>
        </w:trPr>
        <w:tc>
          <w:tcPr>
            <w:tcW w:w="218" w:type="pct"/>
            <w:shd w:val="clear" w:color="auto" w:fill="auto"/>
            <w:vAlign w:val="center"/>
          </w:tcPr>
          <w:p w14:paraId="182C5FDD" w14:textId="09D30797" w:rsidR="00D41676" w:rsidRPr="00962F67" w:rsidRDefault="00D41676" w:rsidP="00D92B0B">
            <w:pPr>
              <w:pStyle w:val="Tabela-tekst"/>
              <w:jc w:val="center"/>
            </w:pPr>
            <w:r w:rsidRPr="00962F67">
              <w:t>5</w:t>
            </w:r>
            <w:r w:rsidR="0030438B">
              <w:t>.</w:t>
            </w:r>
          </w:p>
        </w:tc>
        <w:tc>
          <w:tcPr>
            <w:tcW w:w="1542" w:type="pct"/>
            <w:shd w:val="clear" w:color="auto" w:fill="auto"/>
            <w:vAlign w:val="center"/>
            <w:hideMark/>
          </w:tcPr>
          <w:p w14:paraId="7966702E" w14:textId="77777777" w:rsidR="00D41676" w:rsidRPr="00962F67" w:rsidRDefault="00D41676" w:rsidP="00A16503">
            <w:pPr>
              <w:pStyle w:val="Tabela-tekst"/>
            </w:pPr>
            <w:r w:rsidRPr="00962F67">
              <w:t>Składanie sprawozdań o bezpieczeństwie</w:t>
            </w:r>
          </w:p>
        </w:tc>
        <w:tc>
          <w:tcPr>
            <w:tcW w:w="1362" w:type="pct"/>
            <w:vAlign w:val="center"/>
          </w:tcPr>
          <w:p w14:paraId="69EA9F2D" w14:textId="77777777" w:rsidR="00D41676" w:rsidRPr="00962F67" w:rsidRDefault="00D41676" w:rsidP="00D92B0B">
            <w:pPr>
              <w:pStyle w:val="Tabela-tekst"/>
              <w:jc w:val="center"/>
            </w:pPr>
            <w:r w:rsidRPr="00962F67">
              <w:t>prowadzący zakład/instalację</w:t>
            </w:r>
          </w:p>
        </w:tc>
        <w:tc>
          <w:tcPr>
            <w:tcW w:w="1366" w:type="pct"/>
            <w:shd w:val="clear" w:color="auto" w:fill="auto"/>
            <w:vAlign w:val="center"/>
            <w:hideMark/>
          </w:tcPr>
          <w:p w14:paraId="68E974F6"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5F38E59F" w14:textId="77777777" w:rsidR="00D41676" w:rsidRPr="00962F67" w:rsidRDefault="00D41676" w:rsidP="00D92B0B">
            <w:pPr>
              <w:pStyle w:val="Tabela-tekst"/>
              <w:jc w:val="center"/>
            </w:pPr>
            <w:r w:rsidRPr="00962F67">
              <w:t>art. 253 art. 254 art. 256</w:t>
            </w:r>
          </w:p>
        </w:tc>
      </w:tr>
      <w:tr w:rsidR="00D41676" w:rsidRPr="00B119FC" w14:paraId="0E426811" w14:textId="77777777" w:rsidTr="00231528">
        <w:trPr>
          <w:trHeight w:val="454"/>
        </w:trPr>
        <w:tc>
          <w:tcPr>
            <w:tcW w:w="218" w:type="pct"/>
            <w:shd w:val="clear" w:color="auto" w:fill="auto"/>
            <w:vAlign w:val="center"/>
          </w:tcPr>
          <w:p w14:paraId="0915494B" w14:textId="7FD6D86F" w:rsidR="00D41676" w:rsidRPr="00962F67" w:rsidRDefault="00D41676" w:rsidP="00D92B0B">
            <w:pPr>
              <w:pStyle w:val="Tabela-tekst"/>
              <w:jc w:val="center"/>
            </w:pPr>
            <w:r w:rsidRPr="00962F67">
              <w:t>6</w:t>
            </w:r>
            <w:r w:rsidR="0030438B">
              <w:t>.</w:t>
            </w:r>
          </w:p>
        </w:tc>
        <w:tc>
          <w:tcPr>
            <w:tcW w:w="1542" w:type="pct"/>
            <w:shd w:val="clear" w:color="auto" w:fill="auto"/>
            <w:vAlign w:val="center"/>
            <w:hideMark/>
          </w:tcPr>
          <w:p w14:paraId="10A977D3" w14:textId="77777777" w:rsidR="00D41676" w:rsidRPr="00962F67" w:rsidRDefault="00D41676" w:rsidP="00A16503">
            <w:pPr>
              <w:pStyle w:val="Tabela-tekst"/>
            </w:pPr>
            <w:r w:rsidRPr="00962F67">
              <w:t>Sporządzanie wewnętrznych planów operacyjno-ratowniczych</w:t>
            </w:r>
          </w:p>
        </w:tc>
        <w:tc>
          <w:tcPr>
            <w:tcW w:w="1362" w:type="pct"/>
            <w:vAlign w:val="center"/>
          </w:tcPr>
          <w:p w14:paraId="50668842" w14:textId="77777777" w:rsidR="00D41676" w:rsidRPr="00962F67" w:rsidRDefault="00D41676" w:rsidP="00D92B0B">
            <w:pPr>
              <w:pStyle w:val="Tabela-tekst"/>
              <w:jc w:val="center"/>
            </w:pPr>
            <w:r w:rsidRPr="00962F67">
              <w:t>prowadzący zakład/instalację</w:t>
            </w:r>
          </w:p>
        </w:tc>
        <w:tc>
          <w:tcPr>
            <w:tcW w:w="1366" w:type="pct"/>
            <w:shd w:val="clear" w:color="auto" w:fill="auto"/>
            <w:vAlign w:val="center"/>
            <w:hideMark/>
          </w:tcPr>
          <w:p w14:paraId="08862512"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1D48D5E5" w14:textId="77777777" w:rsidR="00D41676" w:rsidRPr="00962F67" w:rsidRDefault="00D41676" w:rsidP="00D92B0B">
            <w:pPr>
              <w:pStyle w:val="Tabela-tekst"/>
              <w:jc w:val="center"/>
            </w:pPr>
            <w:r w:rsidRPr="00962F67">
              <w:t>art. 260 art. 261</w:t>
            </w:r>
          </w:p>
        </w:tc>
      </w:tr>
      <w:tr w:rsidR="00D41676" w:rsidRPr="00B119FC" w14:paraId="7B58EAE2" w14:textId="77777777" w:rsidTr="00231528">
        <w:trPr>
          <w:trHeight w:val="454"/>
        </w:trPr>
        <w:tc>
          <w:tcPr>
            <w:tcW w:w="218" w:type="pct"/>
            <w:shd w:val="clear" w:color="auto" w:fill="auto"/>
            <w:vAlign w:val="center"/>
          </w:tcPr>
          <w:p w14:paraId="249F1EA8" w14:textId="703A1D72" w:rsidR="00D41676" w:rsidRPr="00962F67" w:rsidRDefault="00D41676" w:rsidP="00D92B0B">
            <w:pPr>
              <w:pStyle w:val="Tabela-tekst"/>
              <w:jc w:val="center"/>
            </w:pPr>
            <w:r w:rsidRPr="00962F67">
              <w:t>7</w:t>
            </w:r>
            <w:r w:rsidR="0030438B">
              <w:t>.</w:t>
            </w:r>
          </w:p>
        </w:tc>
        <w:tc>
          <w:tcPr>
            <w:tcW w:w="1542" w:type="pct"/>
            <w:shd w:val="clear" w:color="auto" w:fill="auto"/>
            <w:vAlign w:val="center"/>
            <w:hideMark/>
          </w:tcPr>
          <w:p w14:paraId="0767DBA4" w14:textId="77777777" w:rsidR="00D41676" w:rsidRPr="00962F67" w:rsidRDefault="00D41676" w:rsidP="00A16503">
            <w:pPr>
              <w:pStyle w:val="Tabela-tekst"/>
            </w:pPr>
            <w:r w:rsidRPr="00962F67">
              <w:t>Sporządzanie zewnętrznych planów operacyjno-ratowniczych</w:t>
            </w:r>
          </w:p>
        </w:tc>
        <w:tc>
          <w:tcPr>
            <w:tcW w:w="1362" w:type="pct"/>
            <w:vAlign w:val="center"/>
          </w:tcPr>
          <w:p w14:paraId="3661D66E" w14:textId="77777777" w:rsidR="00D41676" w:rsidRPr="00962F67" w:rsidRDefault="00D41676" w:rsidP="00D92B0B">
            <w:pPr>
              <w:pStyle w:val="Tabela-tekst"/>
              <w:jc w:val="center"/>
            </w:pPr>
            <w:r w:rsidRPr="00962F67">
              <w:t>właściwy komendant wojewódzki Państwowej Straży Pożarnej (wg informacji przedstawionych przez prowadzącego zakład o dużym ryzyku)</w:t>
            </w:r>
          </w:p>
        </w:tc>
        <w:tc>
          <w:tcPr>
            <w:tcW w:w="1366" w:type="pct"/>
            <w:shd w:val="clear" w:color="auto" w:fill="auto"/>
            <w:vAlign w:val="center"/>
            <w:hideMark/>
          </w:tcPr>
          <w:p w14:paraId="626C081C" w14:textId="77777777" w:rsidR="00D41676" w:rsidRPr="00962F67" w:rsidRDefault="00D41676" w:rsidP="00D92B0B">
            <w:pPr>
              <w:pStyle w:val="Tabela-tekst"/>
              <w:jc w:val="center"/>
            </w:pPr>
            <w:r w:rsidRPr="00962F67">
              <w:t>Ustawa z dnia 27 kwietnia 2001 r. Prawo ochrony środowiska (tj. Dz.U. z 2020 r. poz. 1219)</w:t>
            </w:r>
          </w:p>
        </w:tc>
        <w:tc>
          <w:tcPr>
            <w:tcW w:w="512" w:type="pct"/>
            <w:vAlign w:val="center"/>
          </w:tcPr>
          <w:p w14:paraId="65800551" w14:textId="77777777" w:rsidR="00D41676" w:rsidRPr="00962F67" w:rsidRDefault="00D41676" w:rsidP="00D92B0B">
            <w:pPr>
              <w:pStyle w:val="Tabela-tekst"/>
              <w:jc w:val="center"/>
            </w:pPr>
            <w:r w:rsidRPr="00962F67">
              <w:t>art. 260 art. 265</w:t>
            </w:r>
          </w:p>
        </w:tc>
      </w:tr>
      <w:tr w:rsidR="00D41676" w:rsidRPr="00B119FC" w14:paraId="616127E3" w14:textId="77777777" w:rsidTr="00231528">
        <w:trPr>
          <w:trHeight w:val="454"/>
        </w:trPr>
        <w:tc>
          <w:tcPr>
            <w:tcW w:w="218" w:type="pct"/>
            <w:shd w:val="clear" w:color="auto" w:fill="auto"/>
            <w:vAlign w:val="center"/>
          </w:tcPr>
          <w:p w14:paraId="1D37E6FA" w14:textId="008899D3" w:rsidR="00D41676" w:rsidRPr="00962F67" w:rsidRDefault="00D41676" w:rsidP="00D92B0B">
            <w:pPr>
              <w:pStyle w:val="Tabela-tekst"/>
              <w:jc w:val="center"/>
            </w:pPr>
            <w:r w:rsidRPr="00962F67">
              <w:t>8</w:t>
            </w:r>
            <w:r w:rsidR="0030438B">
              <w:t>.</w:t>
            </w:r>
          </w:p>
        </w:tc>
        <w:tc>
          <w:tcPr>
            <w:tcW w:w="1542" w:type="pct"/>
            <w:shd w:val="clear" w:color="auto" w:fill="auto"/>
            <w:vAlign w:val="center"/>
            <w:hideMark/>
          </w:tcPr>
          <w:p w14:paraId="04A4B680" w14:textId="2F02B1D4" w:rsidR="00D41676" w:rsidRPr="00962F67" w:rsidRDefault="00D41676" w:rsidP="00A16503">
            <w:pPr>
              <w:pStyle w:val="Tabela-tekst"/>
            </w:pPr>
            <w:r w:rsidRPr="00962F67">
              <w:t xml:space="preserve">Obowiązki informacyjne względem społeczeństwa </w:t>
            </w:r>
            <w:r w:rsidR="00442AB7">
              <w:t>-</w:t>
            </w:r>
            <w:r w:rsidRPr="00962F67">
              <w:t xml:space="preserve"> Państwowa Straż Pożarna</w:t>
            </w:r>
          </w:p>
        </w:tc>
        <w:tc>
          <w:tcPr>
            <w:tcW w:w="1362" w:type="pct"/>
            <w:vAlign w:val="center"/>
          </w:tcPr>
          <w:p w14:paraId="3DFA1063" w14:textId="77777777" w:rsidR="00D41676" w:rsidRPr="00962F67" w:rsidRDefault="00D41676" w:rsidP="00D92B0B">
            <w:pPr>
              <w:pStyle w:val="Tabela-tekst"/>
              <w:jc w:val="center"/>
            </w:pPr>
            <w:r w:rsidRPr="00962F67">
              <w:t>właściwe organy Państwowej Straży Pożarnej</w:t>
            </w:r>
          </w:p>
        </w:tc>
        <w:tc>
          <w:tcPr>
            <w:tcW w:w="1366" w:type="pct"/>
            <w:shd w:val="clear" w:color="auto" w:fill="auto"/>
            <w:vAlign w:val="center"/>
            <w:hideMark/>
          </w:tcPr>
          <w:p w14:paraId="3D536F2C"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44DCB038" w14:textId="77777777" w:rsidR="00D41676" w:rsidRPr="00962F67" w:rsidRDefault="00D41676" w:rsidP="00D92B0B">
            <w:pPr>
              <w:pStyle w:val="Tabela-tekst"/>
              <w:jc w:val="center"/>
            </w:pPr>
            <w:r w:rsidRPr="00962F67">
              <w:t>art. 267</w:t>
            </w:r>
          </w:p>
        </w:tc>
      </w:tr>
      <w:tr w:rsidR="00D41676" w:rsidRPr="00B119FC" w14:paraId="5184BACB" w14:textId="77777777" w:rsidTr="00231528">
        <w:trPr>
          <w:trHeight w:val="454"/>
        </w:trPr>
        <w:tc>
          <w:tcPr>
            <w:tcW w:w="218" w:type="pct"/>
            <w:shd w:val="clear" w:color="auto" w:fill="auto"/>
            <w:vAlign w:val="center"/>
          </w:tcPr>
          <w:p w14:paraId="67441D9B" w14:textId="1381ED6D" w:rsidR="00D41676" w:rsidRPr="00962F67" w:rsidRDefault="00D41676" w:rsidP="00D92B0B">
            <w:pPr>
              <w:pStyle w:val="Tabela-tekst"/>
              <w:jc w:val="center"/>
            </w:pPr>
            <w:r w:rsidRPr="00962F67">
              <w:t>9</w:t>
            </w:r>
            <w:r w:rsidR="0030438B">
              <w:t>.</w:t>
            </w:r>
          </w:p>
        </w:tc>
        <w:tc>
          <w:tcPr>
            <w:tcW w:w="1542" w:type="pct"/>
            <w:shd w:val="clear" w:color="auto" w:fill="auto"/>
            <w:vAlign w:val="center"/>
            <w:hideMark/>
          </w:tcPr>
          <w:p w14:paraId="3B30C3F6" w14:textId="77777777" w:rsidR="00D41676" w:rsidRPr="00962F67" w:rsidRDefault="00D41676" w:rsidP="00A16503">
            <w:pPr>
              <w:pStyle w:val="Tabela-tekst"/>
            </w:pPr>
            <w:r w:rsidRPr="00962F67">
              <w:t>Obowiązki kontrolno-rozpoznawcze</w:t>
            </w:r>
          </w:p>
        </w:tc>
        <w:tc>
          <w:tcPr>
            <w:tcW w:w="1362" w:type="pct"/>
            <w:vAlign w:val="center"/>
          </w:tcPr>
          <w:p w14:paraId="58DA897C" w14:textId="77777777" w:rsidR="00D41676" w:rsidRPr="00962F67" w:rsidRDefault="00D41676" w:rsidP="00D92B0B">
            <w:pPr>
              <w:pStyle w:val="Tabela-tekst"/>
              <w:jc w:val="center"/>
            </w:pPr>
            <w:r w:rsidRPr="00962F67">
              <w:t>komendant powiatowy lub przy udziale komendanta wojewódzkiego Państwowej Straży Pożarnej</w:t>
            </w:r>
          </w:p>
        </w:tc>
        <w:tc>
          <w:tcPr>
            <w:tcW w:w="1366" w:type="pct"/>
            <w:shd w:val="clear" w:color="auto" w:fill="auto"/>
            <w:vAlign w:val="center"/>
            <w:hideMark/>
          </w:tcPr>
          <w:p w14:paraId="52D94113" w14:textId="0B9BF920" w:rsidR="00D41676" w:rsidRPr="00962F67" w:rsidRDefault="00D41676" w:rsidP="00D92B0B">
            <w:pPr>
              <w:pStyle w:val="Tabela-tekst"/>
              <w:jc w:val="center"/>
            </w:pPr>
            <w:r w:rsidRPr="00962F67">
              <w:t>Ustawa z dnia 27 kwietnia 2001 r. Prawo ochrony środowiska</w:t>
            </w:r>
          </w:p>
          <w:p w14:paraId="73A2465F" w14:textId="77777777" w:rsidR="00D41676" w:rsidRPr="00962F67" w:rsidRDefault="00D41676" w:rsidP="00D92B0B">
            <w:pPr>
              <w:pStyle w:val="Tabela-tekst"/>
              <w:jc w:val="center"/>
            </w:pPr>
            <w:r w:rsidRPr="00962F67">
              <w:t>(tj. Dz.U. z 2020 r. poz. 1219 z późn. zm.)</w:t>
            </w:r>
          </w:p>
        </w:tc>
        <w:tc>
          <w:tcPr>
            <w:tcW w:w="512" w:type="pct"/>
            <w:vAlign w:val="center"/>
          </w:tcPr>
          <w:p w14:paraId="3372ADDD" w14:textId="77777777" w:rsidR="00D41676" w:rsidRPr="00962F67" w:rsidRDefault="00D41676" w:rsidP="00D92B0B">
            <w:pPr>
              <w:pStyle w:val="Tabela-tekst"/>
              <w:jc w:val="center"/>
            </w:pPr>
            <w:r w:rsidRPr="00962F67">
              <w:t>art. 269</w:t>
            </w:r>
          </w:p>
        </w:tc>
      </w:tr>
      <w:tr w:rsidR="00D41676" w:rsidRPr="00B119FC" w14:paraId="6E7A168B" w14:textId="77777777" w:rsidTr="00231528">
        <w:trPr>
          <w:trHeight w:val="454"/>
        </w:trPr>
        <w:tc>
          <w:tcPr>
            <w:tcW w:w="218" w:type="pct"/>
            <w:shd w:val="clear" w:color="auto" w:fill="auto"/>
            <w:vAlign w:val="center"/>
          </w:tcPr>
          <w:p w14:paraId="6BFEF0D5" w14:textId="7A7E23CB" w:rsidR="00D41676" w:rsidRPr="00962F67" w:rsidRDefault="00D41676" w:rsidP="00D92B0B">
            <w:pPr>
              <w:pStyle w:val="Tabela-tekst"/>
              <w:jc w:val="center"/>
            </w:pPr>
            <w:r w:rsidRPr="00962F67">
              <w:t>10</w:t>
            </w:r>
            <w:r w:rsidR="0030438B">
              <w:t>.</w:t>
            </w:r>
          </w:p>
        </w:tc>
        <w:tc>
          <w:tcPr>
            <w:tcW w:w="1542" w:type="pct"/>
            <w:shd w:val="clear" w:color="auto" w:fill="auto"/>
            <w:vAlign w:val="center"/>
            <w:hideMark/>
          </w:tcPr>
          <w:p w14:paraId="2E6A1B95" w14:textId="77777777" w:rsidR="00D41676" w:rsidRPr="00962F67" w:rsidRDefault="00D41676" w:rsidP="00A16503">
            <w:pPr>
              <w:pStyle w:val="Tabela-tekst"/>
            </w:pPr>
            <w:r w:rsidRPr="00962F67">
              <w:t>Obowiązki informacyjne w razie wystąpienia awarii</w:t>
            </w:r>
          </w:p>
        </w:tc>
        <w:tc>
          <w:tcPr>
            <w:tcW w:w="1362" w:type="pct"/>
            <w:vAlign w:val="center"/>
          </w:tcPr>
          <w:p w14:paraId="37B0F4E0" w14:textId="77777777" w:rsidR="00D41676" w:rsidRPr="00962F67" w:rsidRDefault="00D41676" w:rsidP="00D92B0B">
            <w:pPr>
              <w:pStyle w:val="Tabela-tekst"/>
              <w:jc w:val="center"/>
            </w:pPr>
            <w:r w:rsidRPr="00962F67">
              <w:t>prowadzący zakład/instalację</w:t>
            </w:r>
          </w:p>
        </w:tc>
        <w:tc>
          <w:tcPr>
            <w:tcW w:w="1366" w:type="pct"/>
            <w:shd w:val="clear" w:color="auto" w:fill="auto"/>
            <w:vAlign w:val="center"/>
            <w:hideMark/>
          </w:tcPr>
          <w:p w14:paraId="1AAF15BC" w14:textId="77777777" w:rsidR="00D41676" w:rsidRPr="00962F67" w:rsidRDefault="00D41676" w:rsidP="00D92B0B">
            <w:pPr>
              <w:pStyle w:val="Tabela-tekst"/>
              <w:jc w:val="center"/>
            </w:pPr>
            <w:r w:rsidRPr="00962F67">
              <w:t>Ustawa z dnia 27 kwietnia 2001 r. Prawo ochrony środowiska (tj. Dz.U. z 2020 r. poz. 1219 z późn. zm.)</w:t>
            </w:r>
          </w:p>
        </w:tc>
        <w:tc>
          <w:tcPr>
            <w:tcW w:w="512" w:type="pct"/>
            <w:vAlign w:val="center"/>
          </w:tcPr>
          <w:p w14:paraId="49E19767" w14:textId="77777777" w:rsidR="00D41676" w:rsidRPr="00962F67" w:rsidRDefault="00D41676" w:rsidP="00D92B0B">
            <w:pPr>
              <w:pStyle w:val="Tabela-tekst"/>
              <w:jc w:val="center"/>
            </w:pPr>
            <w:r w:rsidRPr="00962F67">
              <w:t>art. 264</w:t>
            </w:r>
          </w:p>
        </w:tc>
      </w:tr>
      <w:tr w:rsidR="00D41676" w:rsidRPr="00B119FC" w14:paraId="5CC46BC4" w14:textId="77777777" w:rsidTr="00231528">
        <w:trPr>
          <w:trHeight w:val="454"/>
        </w:trPr>
        <w:tc>
          <w:tcPr>
            <w:tcW w:w="218" w:type="pct"/>
            <w:shd w:val="clear" w:color="auto" w:fill="auto"/>
            <w:vAlign w:val="center"/>
          </w:tcPr>
          <w:p w14:paraId="5CBFC150" w14:textId="77777777" w:rsidR="00D41676" w:rsidRPr="00962F67" w:rsidRDefault="00D41676" w:rsidP="00D92B0B">
            <w:pPr>
              <w:pStyle w:val="Tabela-tekst"/>
              <w:jc w:val="center"/>
            </w:pPr>
            <w:r w:rsidRPr="00962F67">
              <w:t>11</w:t>
            </w:r>
          </w:p>
        </w:tc>
        <w:tc>
          <w:tcPr>
            <w:tcW w:w="1542" w:type="pct"/>
            <w:shd w:val="clear" w:color="auto" w:fill="auto"/>
            <w:vAlign w:val="center"/>
            <w:hideMark/>
          </w:tcPr>
          <w:p w14:paraId="43680CC7" w14:textId="77777777" w:rsidR="00D41676" w:rsidRPr="00962F67" w:rsidRDefault="00D41676" w:rsidP="00A16503">
            <w:pPr>
              <w:pStyle w:val="Tabela-tekst"/>
            </w:pPr>
            <w:r w:rsidRPr="00962F67">
              <w:t>Uwzględnienie problematyki awarii przemysłowych w aktach planowania przestrzennego</w:t>
            </w:r>
          </w:p>
        </w:tc>
        <w:tc>
          <w:tcPr>
            <w:tcW w:w="1362" w:type="pct"/>
            <w:vAlign w:val="center"/>
          </w:tcPr>
          <w:p w14:paraId="09BF0BA8" w14:textId="77777777" w:rsidR="00D41676" w:rsidRPr="00962F67" w:rsidRDefault="00D41676" w:rsidP="00D92B0B">
            <w:pPr>
              <w:pStyle w:val="Tabela-tekst"/>
              <w:jc w:val="center"/>
            </w:pPr>
            <w:r w:rsidRPr="00962F67">
              <w:t>wójt, burmistrz lub prezydent miasta</w:t>
            </w:r>
          </w:p>
        </w:tc>
        <w:tc>
          <w:tcPr>
            <w:tcW w:w="1366" w:type="pct"/>
            <w:shd w:val="clear" w:color="auto" w:fill="auto"/>
            <w:vAlign w:val="center"/>
            <w:hideMark/>
          </w:tcPr>
          <w:p w14:paraId="012EEBF3" w14:textId="77777777" w:rsidR="00D41676" w:rsidRPr="00962F67" w:rsidRDefault="00D41676" w:rsidP="00D92B0B">
            <w:pPr>
              <w:pStyle w:val="Tabela-tekst"/>
              <w:jc w:val="center"/>
            </w:pPr>
            <w:r w:rsidRPr="00962F67">
              <w:t>Ustawa z dnia 27 marca 2003 r. o planowaniu i zagospodarowaniu przestrzennym (tj. Dz.U. z 2020 r. poz. 293 z późn. zm.)</w:t>
            </w:r>
          </w:p>
        </w:tc>
        <w:tc>
          <w:tcPr>
            <w:tcW w:w="512" w:type="pct"/>
            <w:vAlign w:val="center"/>
          </w:tcPr>
          <w:p w14:paraId="001E7A6F" w14:textId="77777777" w:rsidR="00D41676" w:rsidRPr="00962F67" w:rsidRDefault="00D41676" w:rsidP="00D92B0B">
            <w:pPr>
              <w:pStyle w:val="Tabela-tekst"/>
              <w:jc w:val="center"/>
            </w:pPr>
            <w:r w:rsidRPr="00962F67">
              <w:t>art. 1</w:t>
            </w:r>
          </w:p>
          <w:p w14:paraId="2C4BADCC" w14:textId="77777777" w:rsidR="00D41676" w:rsidRPr="00962F67" w:rsidRDefault="00D41676" w:rsidP="00D92B0B">
            <w:pPr>
              <w:pStyle w:val="Tabela-tekst"/>
              <w:jc w:val="center"/>
            </w:pPr>
            <w:r w:rsidRPr="00962F67">
              <w:t>art. 10</w:t>
            </w:r>
          </w:p>
          <w:p w14:paraId="6E57364C" w14:textId="77777777" w:rsidR="00D41676" w:rsidRPr="00962F67" w:rsidRDefault="00D41676" w:rsidP="00D92B0B">
            <w:pPr>
              <w:pStyle w:val="Tabela-tekst"/>
              <w:jc w:val="center"/>
            </w:pPr>
            <w:r w:rsidRPr="00962F67">
              <w:t>art. 11</w:t>
            </w:r>
          </w:p>
          <w:p w14:paraId="22CAE51E" w14:textId="77777777" w:rsidR="00D41676" w:rsidRPr="00962F67" w:rsidRDefault="00D41676" w:rsidP="00D92B0B">
            <w:pPr>
              <w:pStyle w:val="Tabela-tekst"/>
              <w:jc w:val="center"/>
            </w:pPr>
            <w:r w:rsidRPr="00962F67">
              <w:t>art. 17</w:t>
            </w:r>
          </w:p>
        </w:tc>
      </w:tr>
    </w:tbl>
    <w:p w14:paraId="03028C21" w14:textId="77777777" w:rsidR="00231528" w:rsidRPr="001E4D45" w:rsidRDefault="00231528" w:rsidP="00231528">
      <w:pPr>
        <w:pStyle w:val="rdo0"/>
      </w:pPr>
      <w:r w:rsidRPr="001E4D45">
        <w:rPr>
          <w:lang w:eastAsia="zh-CN"/>
        </w:rPr>
        <w:t xml:space="preserve">Źródło: opracowanie </w:t>
      </w:r>
      <w:r>
        <w:rPr>
          <w:lang w:eastAsia="zh-CN"/>
        </w:rPr>
        <w:t>własne</w:t>
      </w:r>
    </w:p>
    <w:p w14:paraId="6D294342" w14:textId="573F1489" w:rsidR="00D41676" w:rsidRDefault="00D41676" w:rsidP="00D41676">
      <w:pPr>
        <w:suppressAutoHyphens/>
        <w:rPr>
          <w:rFonts w:asciiTheme="minorHAnsi" w:hAnsiTheme="minorHAnsi" w:cstheme="minorHAnsi"/>
        </w:rPr>
      </w:pPr>
      <w:r>
        <w:rPr>
          <w:rFonts w:asciiTheme="minorHAnsi" w:hAnsiTheme="minorHAnsi" w:cstheme="minorHAnsi"/>
        </w:rPr>
        <w:t xml:space="preserve">Przepisy wykonawcze ustawy p.o.ś. określające szczegółowe wymagania dla realizacji obowiązków </w:t>
      </w:r>
      <w:r w:rsidRPr="00B119FC">
        <w:rPr>
          <w:rFonts w:asciiTheme="minorHAnsi" w:hAnsiTheme="minorHAnsi" w:cstheme="minorHAnsi"/>
        </w:rPr>
        <w:t xml:space="preserve">w zakresie </w:t>
      </w:r>
      <w:r>
        <w:rPr>
          <w:rFonts w:asciiTheme="minorHAnsi" w:hAnsiTheme="minorHAnsi" w:cstheme="minorHAnsi"/>
        </w:rPr>
        <w:t xml:space="preserve">przeciwdziałania </w:t>
      </w:r>
      <w:r w:rsidRPr="00B119FC">
        <w:rPr>
          <w:rFonts w:asciiTheme="minorHAnsi" w:hAnsiTheme="minorHAnsi" w:cstheme="minorHAnsi"/>
        </w:rPr>
        <w:t>skutk</w:t>
      </w:r>
      <w:r>
        <w:rPr>
          <w:rFonts w:asciiTheme="minorHAnsi" w:hAnsiTheme="minorHAnsi" w:cstheme="minorHAnsi"/>
        </w:rPr>
        <w:t>om</w:t>
      </w:r>
      <w:r w:rsidRPr="00B119FC">
        <w:rPr>
          <w:rFonts w:asciiTheme="minorHAnsi" w:hAnsiTheme="minorHAnsi" w:cstheme="minorHAnsi"/>
        </w:rPr>
        <w:t xml:space="preserve"> awarii i zanieczyszczeń</w:t>
      </w:r>
      <w:r>
        <w:rPr>
          <w:rFonts w:asciiTheme="minorHAnsi" w:hAnsiTheme="minorHAnsi" w:cstheme="minorHAnsi"/>
        </w:rPr>
        <w:t xml:space="preserve"> </w:t>
      </w:r>
      <w:r w:rsidR="00442AB7">
        <w:rPr>
          <w:rFonts w:asciiTheme="minorHAnsi" w:hAnsiTheme="minorHAnsi" w:cstheme="minorHAnsi"/>
        </w:rPr>
        <w:t>-</w:t>
      </w:r>
      <w:r>
        <w:rPr>
          <w:rFonts w:asciiTheme="minorHAnsi" w:hAnsiTheme="minorHAnsi" w:cstheme="minorHAnsi"/>
        </w:rPr>
        <w:t xml:space="preserve"> zawarte są w przepisach:</w:t>
      </w:r>
    </w:p>
    <w:p w14:paraId="63062958" w14:textId="6CF18B76" w:rsidR="00D41676" w:rsidRPr="00676DFC" w:rsidRDefault="00D41676" w:rsidP="00F06393">
      <w:pPr>
        <w:pStyle w:val="Akapitzlist"/>
      </w:pPr>
      <w:r w:rsidRPr="00676DFC">
        <w:t xml:space="preserve">Rozporządzenia Ministra Rozwoju z dnia 29 stycznia 2016 r. w sprawie rodzajów i ilości znajdujących się w zakładzie substancji niebezpiecznych, decydujących o zaliczeniu zakładu do zakładu o zwiększonym lub dużym ryzyku wystąpienia poważnej awarii przemysłowej </w:t>
      </w:r>
      <w:r w:rsidR="00C4673D">
        <w:br/>
      </w:r>
      <w:r w:rsidRPr="00676DFC">
        <w:t>(Dz.U. z 2016r. poz. 138);</w:t>
      </w:r>
    </w:p>
    <w:p w14:paraId="7E6D043C" w14:textId="4C120AD4" w:rsidR="00D41676" w:rsidRPr="00676DFC" w:rsidRDefault="00D41676" w:rsidP="00F06393">
      <w:pPr>
        <w:pStyle w:val="Akapitzlist"/>
      </w:pPr>
      <w:r w:rsidRPr="00676DFC">
        <w:t>Rozporządzenia Ministra Rozwoju z dnia 23 lutego 2016 r. w sprawie raportu o bezpieczeństwie zakładu o dużym ryzyku (Dz.U. z 2016r. poz. 287);</w:t>
      </w:r>
    </w:p>
    <w:p w14:paraId="374867E2" w14:textId="11F92261" w:rsidR="00D41676" w:rsidRPr="00676DFC" w:rsidRDefault="00D41676" w:rsidP="00F06393">
      <w:pPr>
        <w:pStyle w:val="Akapitzlist"/>
      </w:pPr>
      <w:r w:rsidRPr="00676DFC">
        <w:t>Rozporządzenia Ministra Spraw Wewnętrznych i Administracji z dnia 8 czerwca 2016 r. w</w:t>
      </w:r>
      <w:r w:rsidR="00C4673D">
        <w:t> </w:t>
      </w:r>
      <w:r w:rsidRPr="00676DFC">
        <w:t>sprawie wymagań, jakim powinny odpowiadać plany operacyjno-ratownicze (Dz.U. z 2016r.</w:t>
      </w:r>
      <w:r w:rsidR="00A565BC" w:rsidRPr="00676DFC">
        <w:t xml:space="preserve"> </w:t>
      </w:r>
      <w:r w:rsidRPr="00676DFC">
        <w:t>poz. 821);</w:t>
      </w:r>
    </w:p>
    <w:p w14:paraId="6FC62D21" w14:textId="1A2F5112" w:rsidR="00D41676" w:rsidRPr="00676DFC" w:rsidRDefault="00D41676" w:rsidP="00F06393">
      <w:pPr>
        <w:pStyle w:val="Akapitzlist"/>
      </w:pPr>
      <w:r w:rsidRPr="00676DFC">
        <w:t>Rozporządzenia Ministra Spraw Wewnętrznych i Administracji z dnia 2 grudnia 2015 r. w sprawie szczegółowego zakresu informacji wymaganych do podania do publicznej wiadomości przez właściwe organy Państwowej Straży Pożarnej (Dz.U. z 2015r. poz. 2145);</w:t>
      </w:r>
    </w:p>
    <w:p w14:paraId="20BE37A3" w14:textId="1DA8A8C6" w:rsidR="00D41676" w:rsidRPr="00676DFC" w:rsidRDefault="00D41676" w:rsidP="00F06393">
      <w:pPr>
        <w:pStyle w:val="Akapitzlist"/>
      </w:pPr>
      <w:r w:rsidRPr="00676DFC">
        <w:t>Rozporządzenia Ministra Środowiska z dnia 30 grudnia 2002 r. w sprawie poważnych awarii objętych obowiązkiem zgłoszenia do Głównego Inspektora Ochrony Środowiska (Dz.U. z 2003</w:t>
      </w:r>
      <w:r w:rsidR="00C4673D">
        <w:t> </w:t>
      </w:r>
      <w:r w:rsidRPr="00676DFC">
        <w:t>r.</w:t>
      </w:r>
      <w:r w:rsidR="00A565BC" w:rsidRPr="00676DFC">
        <w:t xml:space="preserve"> </w:t>
      </w:r>
      <w:r w:rsidRPr="00676DFC">
        <w:t>Nr 5 poz. 58);</w:t>
      </w:r>
    </w:p>
    <w:p w14:paraId="3C692A61" w14:textId="6C4AAD34" w:rsidR="00D41676" w:rsidRPr="00676DFC" w:rsidRDefault="00D41676" w:rsidP="00F06393">
      <w:pPr>
        <w:pStyle w:val="Akapitzlist"/>
      </w:pPr>
      <w:r w:rsidRPr="00676DFC">
        <w:t>Rozporządzenia Ministra Środowiska z dnia 18 maja 2016 r. zmieniające rozporządzenie w</w:t>
      </w:r>
      <w:r w:rsidR="00C4673D">
        <w:t> </w:t>
      </w:r>
      <w:r w:rsidRPr="00676DFC">
        <w:t>sprawie poważnych awarii objętych obowiązkiem zgłoszenia do Głównego Inspektora Ochrony Środowiska (Dz.U. z 2016r. poz. 799).</w:t>
      </w:r>
    </w:p>
    <w:p w14:paraId="69C50A6A" w14:textId="4CC01081" w:rsidR="00D41676" w:rsidRDefault="00D41676" w:rsidP="00D41676">
      <w:pPr>
        <w:suppressAutoHyphens/>
        <w:rPr>
          <w:rFonts w:asciiTheme="minorHAnsi" w:hAnsiTheme="minorHAnsi" w:cstheme="minorHAnsi"/>
        </w:rPr>
      </w:pPr>
      <w:r>
        <w:rPr>
          <w:rFonts w:asciiTheme="minorHAnsi" w:hAnsiTheme="minorHAnsi" w:cstheme="minorHAnsi"/>
        </w:rPr>
        <w:t>Obowiązki organów straży pożarnej, wynikające z u</w:t>
      </w:r>
      <w:r w:rsidRPr="001757D5">
        <w:rPr>
          <w:rFonts w:asciiTheme="minorHAnsi" w:hAnsiTheme="minorHAnsi" w:cstheme="minorHAnsi"/>
        </w:rPr>
        <w:t>staw</w:t>
      </w:r>
      <w:r>
        <w:rPr>
          <w:rFonts w:asciiTheme="minorHAnsi" w:hAnsiTheme="minorHAnsi" w:cstheme="minorHAnsi"/>
        </w:rPr>
        <w:t>y</w:t>
      </w:r>
      <w:r w:rsidRPr="001757D5">
        <w:rPr>
          <w:rFonts w:asciiTheme="minorHAnsi" w:hAnsiTheme="minorHAnsi" w:cstheme="minorHAnsi"/>
        </w:rPr>
        <w:t xml:space="preserve"> z dnia 24 sierpnia 1991 r. o Państwowej Straży Pożarnej</w:t>
      </w:r>
      <w:r>
        <w:rPr>
          <w:rFonts w:asciiTheme="minorHAnsi" w:hAnsiTheme="minorHAnsi" w:cstheme="minorHAnsi"/>
        </w:rPr>
        <w:t xml:space="preserve"> (</w:t>
      </w:r>
      <w:r w:rsidRPr="00B747B2">
        <w:rPr>
          <w:rFonts w:asciiTheme="minorHAnsi" w:hAnsiTheme="minorHAnsi" w:cstheme="minorHAnsi"/>
        </w:rPr>
        <w:t>Dz.U. z 2020 r. poz. 1123 z późn. zm.</w:t>
      </w:r>
      <w:r>
        <w:rPr>
          <w:rFonts w:asciiTheme="minorHAnsi" w:hAnsiTheme="minorHAnsi" w:cstheme="minorHAnsi"/>
        </w:rPr>
        <w:t xml:space="preserve">) </w:t>
      </w:r>
      <w:r w:rsidR="00442AB7">
        <w:rPr>
          <w:rFonts w:asciiTheme="minorHAnsi" w:hAnsiTheme="minorHAnsi" w:cstheme="minorHAnsi"/>
        </w:rPr>
        <w:t>-</w:t>
      </w:r>
      <w:r>
        <w:rPr>
          <w:rFonts w:asciiTheme="minorHAnsi" w:hAnsiTheme="minorHAnsi" w:cstheme="minorHAnsi"/>
        </w:rPr>
        <w:t xml:space="preserve"> precyzuje </w:t>
      </w:r>
      <w:r w:rsidRPr="00B9269E">
        <w:rPr>
          <w:rFonts w:asciiTheme="minorHAnsi" w:hAnsiTheme="minorHAnsi" w:cstheme="minorHAnsi"/>
        </w:rPr>
        <w:t>Rozporządzenie Ministra Spraw Wewnętrznych i Administracji z dnia 24 października 2005 r. w sprawie czynności kontrolno-rozpoznawczych przeprowadzanych przez Państwową Straż Pożarną (Dz.U. 2005 nr 225 poz. 1934)</w:t>
      </w:r>
      <w:r>
        <w:rPr>
          <w:rFonts w:asciiTheme="minorHAnsi" w:hAnsiTheme="minorHAnsi" w:cstheme="minorHAnsi"/>
        </w:rPr>
        <w:t>.</w:t>
      </w:r>
    </w:p>
    <w:p w14:paraId="472D75CD"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Zgodnie z art. 267 ust. 1 p.o.ś. właściwe organy Państwowej Straży Pożarnej na swoich stronach podmiotowych w Biuletynie Informacji Publicznej udostępniają:</w:t>
      </w:r>
    </w:p>
    <w:p w14:paraId="360D0587" w14:textId="77777777" w:rsidR="00D41676" w:rsidRPr="00676DFC" w:rsidRDefault="00D41676" w:rsidP="00F06393">
      <w:pPr>
        <w:pStyle w:val="Akapitzlist"/>
      </w:pPr>
      <w:r w:rsidRPr="00676DFC">
        <w:t>informacje o zatwierdzonych raportach o bezpieczeństwie lub ich zmianach;</w:t>
      </w:r>
    </w:p>
    <w:p w14:paraId="2C99CD88" w14:textId="77777777" w:rsidR="00D41676" w:rsidRPr="00676DFC" w:rsidRDefault="00D41676" w:rsidP="00F06393">
      <w:pPr>
        <w:pStyle w:val="Akapitzlist"/>
      </w:pPr>
      <w:r w:rsidRPr="00676DFC">
        <w:t>informacje o przyjętych zewnętrznych planach operacyjno-ratowniczych lub ich zmianach;</w:t>
      </w:r>
    </w:p>
    <w:p w14:paraId="236EAACE" w14:textId="77777777" w:rsidR="00D41676" w:rsidRPr="00676DFC" w:rsidRDefault="00D41676" w:rsidP="00F06393">
      <w:pPr>
        <w:pStyle w:val="Akapitzlist"/>
      </w:pPr>
      <w:r w:rsidRPr="00676DFC">
        <w:t>informacje o przedłożonych zgłoszeniach zakładów, o których mowa w art. 250 ust. 1 p.o.ś.;</w:t>
      </w:r>
    </w:p>
    <w:p w14:paraId="679B76DA" w14:textId="77777777" w:rsidR="00D41676" w:rsidRPr="00676DFC" w:rsidRDefault="00D41676" w:rsidP="00F06393">
      <w:pPr>
        <w:pStyle w:val="Akapitzlist"/>
      </w:pPr>
      <w:r w:rsidRPr="00676DFC">
        <w:t>informacje o pozytywnie zaopiniowanych programach zapobiegania poważnym awariom;</w:t>
      </w:r>
    </w:p>
    <w:p w14:paraId="522B771D" w14:textId="77777777" w:rsidR="00D41676" w:rsidRPr="00676DFC" w:rsidRDefault="00D41676" w:rsidP="00F06393">
      <w:pPr>
        <w:pStyle w:val="Akapitzlist"/>
      </w:pPr>
      <w:r w:rsidRPr="00676DFC">
        <w:t>informacje o kontrolach planowych w terenie;</w:t>
      </w:r>
    </w:p>
    <w:p w14:paraId="68857F48" w14:textId="41AED83C" w:rsidR="00D41676" w:rsidRPr="00676DFC" w:rsidRDefault="00D41676" w:rsidP="00F06393">
      <w:pPr>
        <w:pStyle w:val="Akapitzlist"/>
      </w:pPr>
      <w:r w:rsidRPr="00676DFC">
        <w:t xml:space="preserve">informacje o możliwości udziału społeczeństwa w postępowaniu, którego przedmiotem jest sporządzenie zewnętrznego planu operacyjno-ratowniczego </w:t>
      </w:r>
      <w:r w:rsidR="00442AB7" w:rsidRPr="00676DFC">
        <w:t>-</w:t>
      </w:r>
      <w:r w:rsidRPr="00676DFC">
        <w:t xml:space="preserve"> na 30 dni przed jego przyjęciem;</w:t>
      </w:r>
    </w:p>
    <w:p w14:paraId="6470CEA3" w14:textId="77777777" w:rsidR="00D41676" w:rsidRPr="00676DFC" w:rsidRDefault="00D41676" w:rsidP="00F06393">
      <w:pPr>
        <w:pStyle w:val="Akapitzlist"/>
      </w:pPr>
      <w:r w:rsidRPr="00676DFC">
        <w:t>informacje o decyzjach wydanych na podstawie art. 267a ust. 2 oraz art. 264d ust. 1 p.o.ś.;</w:t>
      </w:r>
    </w:p>
    <w:p w14:paraId="56B4291E" w14:textId="77777777" w:rsidR="00D41676" w:rsidRPr="00676DFC" w:rsidRDefault="00D41676" w:rsidP="00F06393">
      <w:pPr>
        <w:pStyle w:val="Akapitzlist"/>
      </w:pPr>
      <w:r w:rsidRPr="00676DFC">
        <w:t>instrukcje postępowania mieszkańców na wypadek wystąpienia awarii;</w:t>
      </w:r>
    </w:p>
    <w:p w14:paraId="589A3EEF" w14:textId="77777777" w:rsidR="00D41676" w:rsidRPr="00676DFC" w:rsidRDefault="00D41676" w:rsidP="00F06393">
      <w:pPr>
        <w:pStyle w:val="Akapitzlist"/>
      </w:pPr>
      <w:r w:rsidRPr="00676DFC">
        <w:t>informacje o zamieszczeniu w publicznie dostępnym wykazie, aktualizowanym corocznie, wykazu substancji niebezpiecznych znajdujących się w zakładach o dużym ryzyku;</w:t>
      </w:r>
    </w:p>
    <w:p w14:paraId="306D4B44" w14:textId="77777777" w:rsidR="00D41676" w:rsidRPr="00676DFC" w:rsidRDefault="00D41676" w:rsidP="00F06393">
      <w:pPr>
        <w:pStyle w:val="Akapitzlist"/>
      </w:pPr>
      <w:r w:rsidRPr="00676DFC">
        <w:t>uzasadnienie odstąpienia od sporządzenia zewnętrznego planu operacyjno-ratowniczego.</w:t>
      </w:r>
    </w:p>
    <w:p w14:paraId="6BED2D84"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Poważne awarie zgłasza się do centrów zarządzania kryzysowego, do których kontakty podane są do publicznej wiadomości na stronie internetowej Rządowego Centrum Bezpieczeństwa.</w:t>
      </w:r>
    </w:p>
    <w:p w14:paraId="04F81B8A" w14:textId="7D510DD1"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 xml:space="preserve">Realizacja założeń zewnętrznego planu operacyjno-ratowniczego, w razie zagrożenia awarią przemysłową lub jej wystąpienia, jest niezwłocznie wdrażana przez komendanta wojewódzkiego Państwowej Straży Pożarnej </w:t>
      </w:r>
      <w:r w:rsidR="00442AB7">
        <w:rPr>
          <w:rFonts w:asciiTheme="minorHAnsi" w:hAnsiTheme="minorHAnsi" w:cstheme="minorHAnsi"/>
        </w:rPr>
        <w:t>-</w:t>
      </w:r>
      <w:r w:rsidRPr="00E20F30">
        <w:rPr>
          <w:rFonts w:asciiTheme="minorHAnsi" w:hAnsiTheme="minorHAnsi" w:cstheme="minorHAnsi"/>
        </w:rPr>
        <w:t xml:space="preserve"> zgodnie z art. 266 ust. 1 p.o.ś.</w:t>
      </w:r>
    </w:p>
    <w:p w14:paraId="3D4536E7"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W przypadku zagrożenia o charakterze transgranicznym procedura określona w art. 270 p.o.ś. przewiduje następujący tryb przekazywania informacji:</w:t>
      </w:r>
    </w:p>
    <w:p w14:paraId="2358177B" w14:textId="4365BB1A" w:rsidR="00D41676" w:rsidRPr="00676DFC" w:rsidRDefault="00D41676" w:rsidP="00F06393">
      <w:pPr>
        <w:pStyle w:val="Akapitzlist"/>
      </w:pPr>
      <w:r w:rsidRPr="00676DFC">
        <w:t>komendant wojewódzki Państwowej Straży Pożarnej, który na podstawie informacji otrzymanych od prowadzącego zakład o dużym ryzyku stwierdzi, że możliwe skutki awarii przemysłowej mogą mieć zasięg transgraniczny, niezwłocznie przekaże ministrowi właściwemu do spraw klimatu, za pośrednictwem Komendanta Głównego Państwowej Straży Pożarnej, istotne dla sprawy informacje, a w szczególności raport o bezpieczeństwie oraz wewnętrzny i</w:t>
      </w:r>
      <w:r w:rsidR="00C4673D">
        <w:t> </w:t>
      </w:r>
      <w:r w:rsidRPr="00676DFC">
        <w:t>zewnętrzny plan operacyjno-ratowniczy;</w:t>
      </w:r>
    </w:p>
    <w:p w14:paraId="0589A22E" w14:textId="0BBEFA18" w:rsidR="00D41676" w:rsidRPr="00676DFC" w:rsidRDefault="00D41676" w:rsidP="00F06393">
      <w:pPr>
        <w:pStyle w:val="Akapitzlist"/>
      </w:pPr>
      <w:r w:rsidRPr="00676DFC">
        <w:t>minister właściwy do spraw klimatu po uzyskaniu informacji niezwłocznie zawiadamia państwo, na którego terytorium mogą wystąpić skutki awarii przemysłowej, o lokalizacji zakładu o dużym ryzyku. Do zawiadomienia dołącza się informację dotyczącą raportu o</w:t>
      </w:r>
      <w:r w:rsidR="00BA0F59">
        <w:t> </w:t>
      </w:r>
      <w:r w:rsidRPr="00676DFC">
        <w:t>bezpieczeństwie oraz zewnętrzny plan operacyjno-ratowniczy w części dotyczącej zagrożeń transgranicznych;</w:t>
      </w:r>
    </w:p>
    <w:p w14:paraId="0C1F5FAF" w14:textId="77777777" w:rsidR="00D41676" w:rsidRPr="00676DFC" w:rsidRDefault="00D41676" w:rsidP="00F06393">
      <w:pPr>
        <w:pStyle w:val="Akapitzlist"/>
      </w:pPr>
      <w:r w:rsidRPr="00676DFC">
        <w:t>minister właściwy do spraw klimatu po uzyskaniu informacji od Komendanta Głównego Państwowej Straży Pożarnej o wystąpieniu awarii przemysłowej na terytorium Rzeczypospolitej Polskiej niezwłocznie zawiadamia państwo, na którego terytorium mogą wystąpić skutki tej awarii, i przekazuje wszystkie istotne dla sprawy informacje.</w:t>
      </w:r>
    </w:p>
    <w:p w14:paraId="2AA66D0E" w14:textId="3CF83DAA" w:rsidR="00D41676" w:rsidRPr="00E46F8F" w:rsidRDefault="00D41676" w:rsidP="00676DFC">
      <w:r w:rsidRPr="00E20F30">
        <w:t xml:space="preserve">Zgodnie z art. 271b p.o.ś. GIOŚ jest organem właściwym do realizacji zadań ministra właściwego do spraw klimatu w sprawach: przeciwdziałania poważnym awariom, transgranicznych skutków awarii przemysłowych oraz awaryjnych zanieczyszczeń wód granicznych. Kwestie kompetencji w zakresie zapobiegania poważnym awariom, które mogą być następstwem określonych działań przemysłowych oraz ograniczania ich skutków dla zdrowia ludzi i środowiska, określają przepisy Dyrektywy Parlamentu Europejskiego i Rady 2012/18/UE z dnia 4 lipca 2012 r. w sprawie kontroli zagrożeń poważnymi awariami związanymi z substancjami niebezpiecznymi, zmieniającej, a następnie uchylającej dyrektywę Rady 96/82/WE (Dz.Urz. UE L 197 z 24 lipca 2012 r., s. 1), oraz Konwencji w sprawie transgranicznych skutków awarii przemysłowych (Dz.U. z 2004 r. nr 129 poz. 1352). </w:t>
      </w:r>
      <w:bookmarkStart w:id="494" w:name="_Hlk64937674"/>
      <w:r w:rsidRPr="004512E4">
        <w:t xml:space="preserve">Główny Inspektor Ochrony Środowiska jest </w:t>
      </w:r>
      <w:r>
        <w:t xml:space="preserve">również </w:t>
      </w:r>
      <w:r w:rsidRPr="00E46F8F">
        <w:t>organem kompetentnym do współpracy z Biurem ds. Zagrożeń Poważnymi Awariami Komisji Europejskiej.</w:t>
      </w:r>
      <w:bookmarkEnd w:id="494"/>
    </w:p>
    <w:p w14:paraId="4DB27991" w14:textId="1A6277CE" w:rsidR="00D41676" w:rsidRPr="00E20F30" w:rsidRDefault="00D41676" w:rsidP="00676DFC">
      <w:pPr>
        <w:rPr>
          <w:rFonts w:asciiTheme="minorHAnsi" w:hAnsiTheme="minorHAnsi" w:cstheme="minorHAnsi"/>
        </w:rPr>
      </w:pPr>
      <w:r w:rsidRPr="00E46F8F">
        <w:rPr>
          <w:rFonts w:asciiTheme="minorHAnsi" w:hAnsiTheme="minorHAnsi" w:cstheme="minorHAnsi"/>
        </w:rPr>
        <w:t>Zadania Inspekcji Ochrony Środowiska w zakresie przeci</w:t>
      </w:r>
      <w:r w:rsidRPr="00E20F30">
        <w:rPr>
          <w:rFonts w:asciiTheme="minorHAnsi" w:hAnsiTheme="minorHAnsi" w:cstheme="minorHAnsi"/>
        </w:rPr>
        <w:t>wdziałania poważnym awariom określa Ustawa z dnia 20 lipca 1991 r. o Inspekcji Ochrony Środowiska (Dz.U. z 2020 r. poz. 995 z późn. zm.). Należą do nich:</w:t>
      </w:r>
    </w:p>
    <w:p w14:paraId="52EE9474" w14:textId="77777777" w:rsidR="00D41676" w:rsidRPr="00676DFC" w:rsidRDefault="00D41676" w:rsidP="00F06393">
      <w:pPr>
        <w:pStyle w:val="Akapitzlist"/>
      </w:pPr>
      <w:r w:rsidRPr="00676DFC">
        <w:t>kontrola podmiotów, których działalność może stanowić przyczynę powstania poważnej awarii;</w:t>
      </w:r>
    </w:p>
    <w:p w14:paraId="25C20BBF" w14:textId="77777777" w:rsidR="00D41676" w:rsidRPr="00676DFC" w:rsidRDefault="00D41676" w:rsidP="00F06393">
      <w:pPr>
        <w:pStyle w:val="Akapitzlist"/>
      </w:pPr>
      <w:r w:rsidRPr="00676DFC">
        <w:t>badanie przyczyn powstawania oraz sposobów likwidacji skutków poważnych awarii dla środowiska;</w:t>
      </w:r>
    </w:p>
    <w:p w14:paraId="20495D8E" w14:textId="77777777" w:rsidR="00D41676" w:rsidRPr="00676DFC" w:rsidRDefault="00D41676" w:rsidP="00F06393">
      <w:pPr>
        <w:pStyle w:val="Akapitzlist"/>
      </w:pPr>
      <w:r w:rsidRPr="00676DFC">
        <w:t>prowadzenie rejestru zakładów, których działalność może być przyczyną wystąpienia poważnej awarii, w tym zakładów o zwiększonym ryzyku wystąpienia awarii i o dużym ryzyku wystąpienia awarii w rozumieniu przepisów o ochronie środowiska;</w:t>
      </w:r>
    </w:p>
    <w:p w14:paraId="3996C8C8" w14:textId="77777777" w:rsidR="00D41676" w:rsidRPr="00676DFC" w:rsidRDefault="00D41676" w:rsidP="00F06393">
      <w:pPr>
        <w:pStyle w:val="Akapitzlist"/>
      </w:pPr>
      <w:r w:rsidRPr="00676DFC">
        <w:t>prowadzenie rejestru poważnych awarii.</w:t>
      </w:r>
    </w:p>
    <w:p w14:paraId="68A18356"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Inspekcja Ochrony Środowiska współdziała w zwalczaniu poważnej awarii z organami właściwymi do jej prowadzenia oraz sprawuje nadzór nad usuwaniem skutków tej awarii.</w:t>
      </w:r>
    </w:p>
    <w:p w14:paraId="68434CAF" w14:textId="16C6CD1E" w:rsidR="00D41676" w:rsidRPr="00E20F30" w:rsidRDefault="00D41676" w:rsidP="00D41676">
      <w:pPr>
        <w:rPr>
          <w:rFonts w:asciiTheme="minorHAnsi" w:hAnsiTheme="minorHAnsi" w:cstheme="minorHAnsi"/>
        </w:rPr>
      </w:pPr>
      <w:r w:rsidRPr="00E20F30">
        <w:rPr>
          <w:rFonts w:asciiTheme="minorHAnsi" w:hAnsiTheme="minorHAnsi" w:cstheme="minorHAnsi"/>
        </w:rPr>
        <w:t>Poza regulacjami dotyczącymi funkcjonowania systemu bezpieczeństwo w aspekcie skutków awarii i</w:t>
      </w:r>
      <w:r w:rsidR="00BA0F59">
        <w:rPr>
          <w:rFonts w:asciiTheme="minorHAnsi" w:hAnsiTheme="minorHAnsi" w:cstheme="minorHAnsi"/>
        </w:rPr>
        <w:t> </w:t>
      </w:r>
      <w:r w:rsidRPr="00E20F30">
        <w:rPr>
          <w:rFonts w:asciiTheme="minorHAnsi" w:hAnsiTheme="minorHAnsi" w:cstheme="minorHAnsi"/>
        </w:rPr>
        <w:t>zanieczyszczeń, przepisy dają organom administracji możliwości kontroli podmiotów w zakresie przestrzegania warunków ustalonych w decyzjach. Narzędzia kontrolne obejmują procedury, takie jak:</w:t>
      </w:r>
    </w:p>
    <w:p w14:paraId="78E1D001" w14:textId="79A0BF3A" w:rsidR="00D41676" w:rsidRPr="00676DFC" w:rsidRDefault="00D41676" w:rsidP="00F06393">
      <w:pPr>
        <w:pStyle w:val="Akapitzlist"/>
      </w:pPr>
      <w:bookmarkStart w:id="495" w:name="_Hlk65396955"/>
      <w:r w:rsidRPr="00676DFC">
        <w:t xml:space="preserve">przeglądy ekologiczne instalacji </w:t>
      </w:r>
      <w:r w:rsidR="00442AB7" w:rsidRPr="00676DFC">
        <w:t>-</w:t>
      </w:r>
      <w:r w:rsidRPr="00676DFC">
        <w:t xml:space="preserve"> zgodnie z przepisami p.o.ś. organ ochrony środowiska może w</w:t>
      </w:r>
      <w:r w:rsidR="00C4673D">
        <w:t> </w:t>
      </w:r>
      <w:r w:rsidRPr="00676DFC">
        <w:t>drodze decyzji zobowiązać podmiot prowadzący instalację (podmiot korzystający ze środowiska) do sporządzenia i przedłożenia przeglądu ekologicznego w razie okoliczności wskazujących na możliwość negatywnego oddziaływania instalacji na środowisko; przegląd jest opinią specjalistyczną, którą sporządza podmiot prowadzący instalację i może m.in. ona służyć wyjaśnieniu, czy należy podjąć działania w celu zmniejszenia lub całkowitej eliminacji negatywnego oddziaływania instalacji.</w:t>
      </w:r>
    </w:p>
    <w:p w14:paraId="09F5AEED" w14:textId="1A137E15" w:rsidR="00D41676" w:rsidRPr="00676DFC" w:rsidRDefault="00D41676" w:rsidP="00F06393">
      <w:pPr>
        <w:pStyle w:val="Akapitzlist"/>
      </w:pPr>
      <w:r w:rsidRPr="00676DFC">
        <w:t xml:space="preserve">kontrole gospodarowania wodami </w:t>
      </w:r>
      <w:r w:rsidR="00442AB7" w:rsidRPr="00676DFC">
        <w:t>-</w:t>
      </w:r>
      <w:r w:rsidRPr="00676DFC">
        <w:t xml:space="preserve"> dotyczą m.in. kontroli przestrzegania warunków ustalonych w decyzjach wydanych na podstawie ustawy p.w., ale też przestrzegania warunków ustalonych w pozwoleniach zintegrowanych wydanych </w:t>
      </w:r>
      <w:bookmarkEnd w:id="495"/>
      <w:r w:rsidRPr="00676DFC">
        <w:t>na podstawie p.o.ś.; kontrole obejmują również weryfikację przestrzegania nałożonych na właścicieli gruntów obowiązków oraz ograniczeń. Organ kontrolny wzywa zakład do usunięcia w określonym terminie zaniedbań w zakresie gospodarki wodnej, a jeżeli te nie zostaną usunięte w</w:t>
      </w:r>
      <w:r w:rsidR="00BA0F59">
        <w:t> </w:t>
      </w:r>
      <w:r w:rsidRPr="00676DFC">
        <w:t>określonym terminie i nadal utrzymuje się stan zagrażający życiu lub zdrowiu, wydaje się decyzję o wstrzymaniu działalności zakładu lub jego części do czasu usunięcia zaniedbań.</w:t>
      </w:r>
    </w:p>
    <w:p w14:paraId="3144779D" w14:textId="66812F65" w:rsidR="00D41676" w:rsidRPr="00D228EB" w:rsidRDefault="00D41676" w:rsidP="00AA0CAB">
      <w:pPr>
        <w:pStyle w:val="Nagwek5"/>
      </w:pPr>
      <w:r w:rsidRPr="00D228EB">
        <w:rPr>
          <w:rStyle w:val="Pogrubienie"/>
          <w:rFonts w:ascii="Calibri" w:hAnsi="Calibri"/>
          <w:b/>
        </w:rPr>
        <w:t>Wykaz awarii prowadzony przez GIOŚ</w:t>
      </w:r>
    </w:p>
    <w:p w14:paraId="2AADA0BF"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Informacje o przestrzennym występowaniu incydentów lub zdarzeń o znamionach poważnej awarii są gromadzone w rejestrze prowadzonym przez GIOŚ. Wykaz ten wyszczególnia rodzaje awarii według miejsca wystąpienia zdarzenia:</w:t>
      </w:r>
    </w:p>
    <w:p w14:paraId="61FC89A4" w14:textId="77777777" w:rsidR="00D41676" w:rsidRPr="00676DFC" w:rsidRDefault="00D41676" w:rsidP="00F06393">
      <w:pPr>
        <w:pStyle w:val="Akapitzlist"/>
      </w:pPr>
      <w:r w:rsidRPr="00676DFC">
        <w:t>zdarzenia na terenie zakładów i instalacji: zakład, stacja trafo, transport rurociągowy;</w:t>
      </w:r>
    </w:p>
    <w:p w14:paraId="303932A5" w14:textId="77777777" w:rsidR="00D41676" w:rsidRPr="00676DFC" w:rsidRDefault="00D41676" w:rsidP="00F06393">
      <w:pPr>
        <w:pStyle w:val="Akapitzlist"/>
      </w:pPr>
      <w:r w:rsidRPr="00676DFC">
        <w:t>zdarzenia komunikacyjne: transport morski, transport kolejowy, transport drogowy;</w:t>
      </w:r>
    </w:p>
    <w:p w14:paraId="1D58A428" w14:textId="77777777" w:rsidR="00D41676" w:rsidRPr="00676DFC" w:rsidRDefault="00D41676" w:rsidP="00F06393">
      <w:pPr>
        <w:pStyle w:val="Akapitzlist"/>
      </w:pPr>
      <w:r w:rsidRPr="00676DFC">
        <w:t>pozostałe zdarzenia: inne.</w:t>
      </w:r>
    </w:p>
    <w:p w14:paraId="6C9E5F8E" w14:textId="77777777" w:rsidR="00D41676" w:rsidRPr="00E20F30" w:rsidRDefault="00D41676" w:rsidP="00D41676">
      <w:pPr>
        <w:suppressAutoHyphens/>
        <w:rPr>
          <w:rFonts w:asciiTheme="minorHAnsi" w:hAnsiTheme="minorHAnsi" w:cstheme="minorHAnsi"/>
          <w:color w:val="000000" w:themeColor="text1"/>
        </w:rPr>
      </w:pPr>
      <w:r w:rsidRPr="00BB6A51">
        <w:rPr>
          <w:rFonts w:asciiTheme="minorHAnsi" w:hAnsiTheme="minorHAnsi" w:cstheme="minorHAnsi"/>
          <w:color w:val="000000" w:themeColor="text1"/>
        </w:rPr>
        <w:t xml:space="preserve">W skali całego kraju rejestr obejmuje w okresie 2016-2019 łącznie 204 zdarzenia, z czego 62% dotyczy awarii stanowiących potencjalne lub rzeczywiste zagrożenie dla wód. Spośród wszystkich awarii stwierdza się w 88 przypadkach (43%) rzeczywiste zagrożenie w wyniku uwolnienia do środowiska, poprzez rozlanie niebezpiecznej substancji na powierzchni terenu z infiltracją do gruntu, bądź spływ do wód. </w:t>
      </w:r>
      <w:r w:rsidRPr="00C23A4B">
        <w:rPr>
          <w:rFonts w:asciiTheme="minorHAnsi" w:hAnsiTheme="minorHAnsi" w:cstheme="minorHAnsi"/>
          <w:color w:val="000000" w:themeColor="text1"/>
        </w:rPr>
        <w:t xml:space="preserve">Dla </w:t>
      </w:r>
      <w:r>
        <w:rPr>
          <w:rFonts w:asciiTheme="minorHAnsi" w:hAnsiTheme="minorHAnsi" w:cstheme="minorHAnsi"/>
          <w:color w:val="000000" w:themeColor="text1"/>
        </w:rPr>
        <w:t xml:space="preserve">obszaru </w:t>
      </w:r>
      <w:r w:rsidRPr="00C23A4B">
        <w:rPr>
          <w:rFonts w:asciiTheme="minorHAnsi" w:hAnsiTheme="minorHAnsi" w:cstheme="minorHAnsi"/>
          <w:color w:val="000000" w:themeColor="text1"/>
        </w:rPr>
        <w:t xml:space="preserve">dorzecza </w:t>
      </w:r>
      <w:r>
        <w:rPr>
          <w:rFonts w:asciiTheme="minorHAnsi" w:hAnsiTheme="minorHAnsi" w:cstheme="minorHAnsi"/>
          <w:color w:val="000000" w:themeColor="text1"/>
        </w:rPr>
        <w:t>Pregoły</w:t>
      </w:r>
      <w:r w:rsidRPr="00C23A4B">
        <w:rPr>
          <w:rFonts w:asciiTheme="minorHAnsi" w:hAnsiTheme="minorHAnsi" w:cstheme="minorHAnsi"/>
          <w:color w:val="000000" w:themeColor="text1"/>
        </w:rPr>
        <w:t xml:space="preserve"> sprawozdano w ocenianym okresie </w:t>
      </w:r>
      <w:r>
        <w:rPr>
          <w:rFonts w:asciiTheme="minorHAnsi" w:hAnsiTheme="minorHAnsi" w:cstheme="minorHAnsi"/>
          <w:color w:val="000000" w:themeColor="text1"/>
        </w:rPr>
        <w:t xml:space="preserve">2 zdarzenia </w:t>
      </w:r>
      <w:r w:rsidRPr="00E20F30">
        <w:rPr>
          <w:rFonts w:asciiTheme="minorHAnsi" w:hAnsiTheme="minorHAnsi" w:cstheme="minorHAnsi"/>
        </w:rPr>
        <w:t>o znamionach poważnej awarii</w:t>
      </w:r>
      <w:r>
        <w:rPr>
          <w:rFonts w:asciiTheme="minorHAnsi" w:hAnsiTheme="minorHAnsi" w:cstheme="minorHAnsi"/>
          <w:color w:val="000000" w:themeColor="text1"/>
        </w:rPr>
        <w:t xml:space="preserve">, z czego 1 stwarzające zagrożenie dla wód. Wypadki wystąpiły w województwie warmińsko-mazurskim i miały miejsce na terenie zakładów. </w:t>
      </w:r>
    </w:p>
    <w:p w14:paraId="21120B3D" w14:textId="77777777" w:rsidR="00D41676" w:rsidRPr="006213C3" w:rsidRDefault="00D41676" w:rsidP="00AA0CAB">
      <w:pPr>
        <w:pStyle w:val="Nagwek5"/>
        <w:rPr>
          <w:rStyle w:val="Pogrubienie"/>
          <w:rFonts w:ascii="Calibri" w:hAnsi="Calibri"/>
          <w:b/>
        </w:rPr>
      </w:pPr>
      <w:r w:rsidRPr="006213C3">
        <w:rPr>
          <w:rStyle w:val="Pogrubienie"/>
          <w:rFonts w:ascii="Calibri" w:hAnsi="Calibri"/>
          <w:b/>
        </w:rPr>
        <w:t>Informacje o planowanych w IIaPGW działaniach zapobiegających skutkom niedających się przewidzieć zanieczyszczeń lub łagodzących te skutki z odniesieniem do działań podjętych w tym zakresie w aPGW</w:t>
      </w:r>
    </w:p>
    <w:p w14:paraId="4C45DEA7" w14:textId="77777777" w:rsidR="00D41676" w:rsidRPr="006213C3" w:rsidRDefault="00D41676" w:rsidP="00C73C9B">
      <w:pPr>
        <w:rPr>
          <w:rFonts w:asciiTheme="minorHAnsi" w:hAnsiTheme="minorHAnsi" w:cstheme="minorHAnsi"/>
          <w:b/>
          <w:bCs/>
          <w:i/>
          <w:iCs/>
        </w:rPr>
      </w:pPr>
      <w:r w:rsidRPr="006213C3">
        <w:rPr>
          <w:rStyle w:val="Pogrubienie"/>
          <w:b w:val="0"/>
          <w:bCs/>
          <w:i/>
          <w:iCs/>
        </w:rPr>
        <w:t>Działania podjęte w aPGW</w:t>
      </w:r>
    </w:p>
    <w:p w14:paraId="2F7B8F0D" w14:textId="77777777"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Starania podjęte w celu zapobieżenia skutkom niedających się przewidzieć zanieczyszczeń lub łagodzenia tych skutków obejmują działania na poziomie krajowym w ramach aPWŚK, prolongowane do nowego cyklu IIaPGW. Są to działania:</w:t>
      </w:r>
    </w:p>
    <w:p w14:paraId="322BAC28" w14:textId="18CCE035" w:rsidR="00D41676" w:rsidRPr="008956B0" w:rsidRDefault="00D41676" w:rsidP="00F06393">
      <w:pPr>
        <w:pStyle w:val="Akapitzlist"/>
      </w:pPr>
      <w:r w:rsidRPr="00676DFC">
        <w:t xml:space="preserve">bezpośrednio związane z przeciwdziałaniem skutkom zanieczyszczeń i wynikające z przepisów dotyczących przeciwdziałania i postępowania w przypadku poważnych awarii - zakres obowiązków wraz ze wskazaniem podmiotu odpowiedzialnego i podstawy prawnej działania </w:t>
      </w:r>
      <w:r w:rsidRPr="008956B0">
        <w:t xml:space="preserve">przedstawiono </w:t>
      </w:r>
      <w:r w:rsidRPr="00170636">
        <w:t>wyżej w tabeli 1</w:t>
      </w:r>
      <w:r w:rsidR="004A1B76" w:rsidRPr="00170636">
        <w:t>3-</w:t>
      </w:r>
      <w:r w:rsidR="00170636" w:rsidRPr="00170636">
        <w:t>1</w:t>
      </w:r>
      <w:r w:rsidR="00815A8B">
        <w:t>8</w:t>
      </w:r>
      <w:r w:rsidRPr="008956B0">
        <w:t xml:space="preserve">. </w:t>
      </w:r>
    </w:p>
    <w:p w14:paraId="50784A7B" w14:textId="1FE220FD" w:rsidR="00D41676" w:rsidRPr="008956B0" w:rsidRDefault="00D41676" w:rsidP="00F06393">
      <w:pPr>
        <w:pStyle w:val="Akapitzlist"/>
      </w:pPr>
      <w:r w:rsidRPr="008956B0">
        <w:t xml:space="preserve">pośrednio powiązane z przeciwdziałaniem skutkom zanieczyszczeń i wynikające z koniecznych do przeprowadzenia ocen, analiz i warunków realizacji inwestycji na etapie uzyskiwania decyzji o środowiskowych uwarunkowaniach realizacji inwestycji oraz pozwoleń emisyjnych czy też wyników kontroli podmiotów </w:t>
      </w:r>
      <w:r w:rsidR="00442AB7" w:rsidRPr="008956B0">
        <w:t>-</w:t>
      </w:r>
      <w:r w:rsidRPr="008956B0">
        <w:t xml:space="preserve"> wyszczególnione poniżej w tabeli</w:t>
      </w:r>
      <w:r w:rsidR="008D1D15">
        <w:t xml:space="preserve"> </w:t>
      </w:r>
      <w:r w:rsidR="004A1B76" w:rsidRPr="008956B0">
        <w:t>13-</w:t>
      </w:r>
      <w:r w:rsidR="009D0A01">
        <w:t>19</w:t>
      </w:r>
      <w:r w:rsidRPr="008956B0">
        <w:t xml:space="preserve">. </w:t>
      </w:r>
    </w:p>
    <w:p w14:paraId="6161E732" w14:textId="58F0224F" w:rsidR="00442AB7" w:rsidRDefault="00442AB7" w:rsidP="00C4673D">
      <w:pPr>
        <w:pStyle w:val="Tabela"/>
        <w:tabs>
          <w:tab w:val="clear" w:pos="1134"/>
        </w:tabs>
        <w:ind w:left="1276" w:hanging="1276"/>
      </w:pPr>
      <w:bookmarkStart w:id="496" w:name="_Hlk65399436"/>
      <w:bookmarkStart w:id="497" w:name="_Toc68727059"/>
      <w:r>
        <w:t xml:space="preserve">Tabela </w:t>
      </w:r>
      <w:fldSimple w:instr=" STYLEREF 1 \s ">
        <w:r w:rsidR="009D0A01">
          <w:rPr>
            <w:noProof/>
          </w:rPr>
          <w:t>13</w:t>
        </w:r>
      </w:fldSimple>
      <w:r w:rsidR="007B4050">
        <w:noBreakHyphen/>
      </w:r>
      <w:fldSimple w:instr=" SEQ Tabela \* ARABIC \s 1 ">
        <w:r w:rsidR="009D0A01">
          <w:rPr>
            <w:noProof/>
          </w:rPr>
          <w:t>19</w:t>
        </w:r>
      </w:fldSimple>
      <w:r>
        <w:tab/>
      </w:r>
      <w:r w:rsidRPr="00E20F30">
        <w:t xml:space="preserve">Działania pośrednio związane z przeciwdziałaniem skutkom zanieczyszczeń </w:t>
      </w:r>
      <w:r>
        <w:t>-</w:t>
      </w:r>
      <w:r w:rsidRPr="00E20F30">
        <w:t xml:space="preserve"> wynikające z</w:t>
      </w:r>
      <w:r w:rsidR="00C4673D">
        <w:t> </w:t>
      </w:r>
      <w:r w:rsidRPr="00E20F30">
        <w:t>powiązanych przepisów</w:t>
      </w:r>
      <w:bookmarkEnd w:id="4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
        <w:gridCol w:w="3657"/>
        <w:gridCol w:w="1477"/>
        <w:gridCol w:w="3533"/>
      </w:tblGrid>
      <w:tr w:rsidR="00D41676" w:rsidRPr="00E20F30" w14:paraId="48490017" w14:textId="77777777" w:rsidTr="003F4A95">
        <w:trPr>
          <w:trHeight w:val="454"/>
          <w:tblHeader/>
        </w:trPr>
        <w:tc>
          <w:tcPr>
            <w:tcW w:w="218" w:type="pct"/>
            <w:shd w:val="clear" w:color="auto" w:fill="BFBFBF" w:themeFill="background1" w:themeFillShade="BF"/>
            <w:noWrap/>
            <w:vAlign w:val="center"/>
            <w:hideMark/>
          </w:tcPr>
          <w:p w14:paraId="3564BEB1" w14:textId="77777777" w:rsidR="00D41676" w:rsidRPr="00A16503" w:rsidRDefault="00D41676" w:rsidP="00F97BAF">
            <w:pPr>
              <w:pStyle w:val="Tabela-tekst"/>
              <w:jc w:val="center"/>
              <w:rPr>
                <w:b/>
                <w:bCs/>
              </w:rPr>
            </w:pPr>
            <w:r w:rsidRPr="00A16503">
              <w:rPr>
                <w:b/>
                <w:bCs/>
              </w:rPr>
              <w:t>Lp.</w:t>
            </w:r>
          </w:p>
        </w:tc>
        <w:tc>
          <w:tcPr>
            <w:tcW w:w="2018" w:type="pct"/>
            <w:shd w:val="clear" w:color="auto" w:fill="BFBFBF" w:themeFill="background1" w:themeFillShade="BF"/>
            <w:noWrap/>
            <w:vAlign w:val="center"/>
            <w:hideMark/>
          </w:tcPr>
          <w:p w14:paraId="74F45C8C" w14:textId="77777777" w:rsidR="00D41676" w:rsidRPr="00A16503" w:rsidRDefault="00D41676" w:rsidP="00B16BD9">
            <w:pPr>
              <w:pStyle w:val="Tabela-tekst"/>
              <w:jc w:val="center"/>
              <w:rPr>
                <w:b/>
                <w:bCs/>
              </w:rPr>
            </w:pPr>
            <w:r w:rsidRPr="00A16503">
              <w:rPr>
                <w:b/>
                <w:bCs/>
              </w:rPr>
              <w:t>Nazwa działania</w:t>
            </w:r>
          </w:p>
        </w:tc>
        <w:tc>
          <w:tcPr>
            <w:tcW w:w="815" w:type="pct"/>
            <w:shd w:val="clear" w:color="auto" w:fill="BFBFBF" w:themeFill="background1" w:themeFillShade="BF"/>
            <w:vAlign w:val="center"/>
          </w:tcPr>
          <w:p w14:paraId="5D8F554D" w14:textId="77777777" w:rsidR="00D41676" w:rsidRPr="00A16503" w:rsidRDefault="00D41676" w:rsidP="00F97BAF">
            <w:pPr>
              <w:pStyle w:val="Tabela-tekst"/>
              <w:jc w:val="center"/>
              <w:rPr>
                <w:b/>
                <w:bCs/>
                <w:color w:val="000000" w:themeColor="text1"/>
              </w:rPr>
            </w:pPr>
            <w:r w:rsidRPr="00A16503">
              <w:rPr>
                <w:b/>
                <w:bCs/>
                <w:color w:val="000000" w:themeColor="text1"/>
              </w:rPr>
              <w:t>Zweryfikowana podstawa prawna (IIaPGW)</w:t>
            </w:r>
          </w:p>
        </w:tc>
        <w:tc>
          <w:tcPr>
            <w:tcW w:w="1949" w:type="pct"/>
            <w:shd w:val="clear" w:color="auto" w:fill="BFBFBF" w:themeFill="background1" w:themeFillShade="BF"/>
            <w:noWrap/>
            <w:vAlign w:val="center"/>
            <w:hideMark/>
          </w:tcPr>
          <w:p w14:paraId="5EC86148" w14:textId="77777777" w:rsidR="00D41676" w:rsidRPr="00A16503" w:rsidRDefault="00D41676" w:rsidP="00F97BAF">
            <w:pPr>
              <w:pStyle w:val="Tabela-tekst"/>
              <w:jc w:val="center"/>
              <w:rPr>
                <w:b/>
                <w:bCs/>
              </w:rPr>
            </w:pPr>
            <w:r w:rsidRPr="00A16503">
              <w:rPr>
                <w:b/>
                <w:bCs/>
                <w:color w:val="000000" w:themeColor="text1"/>
              </w:rPr>
              <w:t xml:space="preserve">Zweryfikowany podmiot odpowiedzialny </w:t>
            </w:r>
            <w:r w:rsidRPr="00A16503">
              <w:rPr>
                <w:b/>
                <w:bCs/>
                <w:color w:val="000000" w:themeColor="text1"/>
              </w:rPr>
              <w:br/>
              <w:t>za realizację (IIaPGW)</w:t>
            </w:r>
          </w:p>
        </w:tc>
      </w:tr>
      <w:tr w:rsidR="00D41676" w:rsidRPr="00E20F30" w14:paraId="58281254" w14:textId="77777777" w:rsidTr="003F4A95">
        <w:trPr>
          <w:trHeight w:val="454"/>
        </w:trPr>
        <w:tc>
          <w:tcPr>
            <w:tcW w:w="218" w:type="pct"/>
            <w:shd w:val="clear" w:color="auto" w:fill="auto"/>
            <w:vAlign w:val="center"/>
            <w:hideMark/>
          </w:tcPr>
          <w:p w14:paraId="339552A4" w14:textId="20A512E4" w:rsidR="00D41676" w:rsidRPr="00E20F30" w:rsidRDefault="00D41676" w:rsidP="00F97BAF">
            <w:pPr>
              <w:pStyle w:val="Tabela-tekst"/>
              <w:jc w:val="center"/>
            </w:pPr>
            <w:r w:rsidRPr="00E20F30">
              <w:t>1</w:t>
            </w:r>
            <w:r w:rsidR="0030438B">
              <w:t>.</w:t>
            </w:r>
          </w:p>
        </w:tc>
        <w:tc>
          <w:tcPr>
            <w:tcW w:w="2018" w:type="pct"/>
            <w:shd w:val="clear" w:color="auto" w:fill="auto"/>
            <w:vAlign w:val="center"/>
          </w:tcPr>
          <w:p w14:paraId="029020B8" w14:textId="77777777" w:rsidR="00D41676" w:rsidRPr="00E20F30" w:rsidRDefault="00D41676" w:rsidP="00A16503">
            <w:pPr>
              <w:pStyle w:val="Tabela-tekst"/>
            </w:pPr>
            <w:r>
              <w:t>Kontrola gospodarowania wodami w zakresie uprawnień danych na podstawie ustawy pr.w.</w:t>
            </w:r>
          </w:p>
        </w:tc>
        <w:tc>
          <w:tcPr>
            <w:tcW w:w="815" w:type="pct"/>
            <w:vAlign w:val="center"/>
          </w:tcPr>
          <w:p w14:paraId="6E43DCBA" w14:textId="7AE4C5A5" w:rsidR="00D41676" w:rsidRPr="00E20F30" w:rsidRDefault="00D41676" w:rsidP="00F97BAF">
            <w:pPr>
              <w:pStyle w:val="Tabela-tekst"/>
              <w:jc w:val="center"/>
            </w:pPr>
            <w:r>
              <w:t xml:space="preserve">art.334 </w:t>
            </w:r>
            <w:r w:rsidR="00442AB7">
              <w:t>-</w:t>
            </w:r>
            <w:r>
              <w:t xml:space="preserve"> art.348 </w:t>
            </w:r>
            <w:r w:rsidR="0037667E">
              <w:t xml:space="preserve">ustawy </w:t>
            </w:r>
            <w:r>
              <w:t>pr.w.</w:t>
            </w:r>
          </w:p>
        </w:tc>
        <w:tc>
          <w:tcPr>
            <w:tcW w:w="1949" w:type="pct"/>
            <w:shd w:val="clear" w:color="auto" w:fill="auto"/>
            <w:vAlign w:val="center"/>
          </w:tcPr>
          <w:p w14:paraId="3C77BA04" w14:textId="32747193" w:rsidR="00D41676" w:rsidRPr="00E20F30" w:rsidRDefault="00D41676" w:rsidP="00F97BAF">
            <w:pPr>
              <w:pStyle w:val="Tabela-tekst"/>
              <w:jc w:val="center"/>
            </w:pPr>
            <w:r>
              <w:t xml:space="preserve">właściwy organ PGW WP, urząd morski, </w:t>
            </w:r>
            <w:r w:rsidRPr="00E20F30">
              <w:t>Inspekcja Ochrony Środowiska</w:t>
            </w:r>
          </w:p>
        </w:tc>
      </w:tr>
      <w:tr w:rsidR="00D41676" w:rsidRPr="00E20F30" w14:paraId="37CD28FA" w14:textId="77777777" w:rsidTr="003F4A95">
        <w:trPr>
          <w:trHeight w:val="454"/>
        </w:trPr>
        <w:tc>
          <w:tcPr>
            <w:tcW w:w="218" w:type="pct"/>
            <w:shd w:val="clear" w:color="auto" w:fill="auto"/>
            <w:vAlign w:val="center"/>
          </w:tcPr>
          <w:p w14:paraId="1454096B" w14:textId="77D270FE" w:rsidR="00D41676" w:rsidRPr="00E20F30" w:rsidRDefault="00D41676" w:rsidP="00F97BAF">
            <w:pPr>
              <w:pStyle w:val="Tabela-tekst"/>
              <w:jc w:val="center"/>
            </w:pPr>
            <w:r>
              <w:t>2</w:t>
            </w:r>
            <w:r w:rsidR="0030438B">
              <w:t>.</w:t>
            </w:r>
          </w:p>
        </w:tc>
        <w:tc>
          <w:tcPr>
            <w:tcW w:w="2018" w:type="pct"/>
            <w:shd w:val="clear" w:color="auto" w:fill="auto"/>
            <w:vAlign w:val="center"/>
          </w:tcPr>
          <w:p w14:paraId="76FA0CBC" w14:textId="77777777" w:rsidR="00D41676" w:rsidRDefault="00D41676" w:rsidP="00A16503">
            <w:pPr>
              <w:pStyle w:val="Tabela-tekst"/>
            </w:pPr>
            <w:r w:rsidRPr="009B68B7">
              <w:t>Dodatkowy przegląd pozwoleń wodnoprawnych, jeżeli wyniki monitoringu wód lub innych danych wskazują, że jest zagrożone osiągnięcie celów środowiskowych</w:t>
            </w:r>
          </w:p>
        </w:tc>
        <w:tc>
          <w:tcPr>
            <w:tcW w:w="815" w:type="pct"/>
            <w:vAlign w:val="center"/>
          </w:tcPr>
          <w:p w14:paraId="71C77158" w14:textId="701363FA" w:rsidR="00D41676" w:rsidRDefault="00D41676" w:rsidP="00F97BAF">
            <w:pPr>
              <w:pStyle w:val="Tabela-tekst"/>
              <w:jc w:val="center"/>
            </w:pPr>
            <w:r>
              <w:t xml:space="preserve">art.325 </w:t>
            </w:r>
            <w:r w:rsidR="0037667E">
              <w:t xml:space="preserve">ustawy </w:t>
            </w:r>
            <w:r>
              <w:t>pr.w.</w:t>
            </w:r>
          </w:p>
        </w:tc>
        <w:tc>
          <w:tcPr>
            <w:tcW w:w="1949" w:type="pct"/>
            <w:shd w:val="clear" w:color="auto" w:fill="auto"/>
            <w:vAlign w:val="center"/>
          </w:tcPr>
          <w:p w14:paraId="0B543049" w14:textId="77777777" w:rsidR="00D41676" w:rsidRDefault="00D41676" w:rsidP="00F97BAF">
            <w:pPr>
              <w:pStyle w:val="Tabela-tekst"/>
              <w:jc w:val="center"/>
            </w:pPr>
            <w:r>
              <w:t>właściwy organ PGW WP</w:t>
            </w:r>
          </w:p>
        </w:tc>
      </w:tr>
      <w:tr w:rsidR="00D41676" w:rsidRPr="00E20F30" w14:paraId="2711E9E2" w14:textId="77777777" w:rsidTr="003F4A95">
        <w:trPr>
          <w:trHeight w:val="454"/>
        </w:trPr>
        <w:tc>
          <w:tcPr>
            <w:tcW w:w="218" w:type="pct"/>
            <w:shd w:val="clear" w:color="auto" w:fill="auto"/>
            <w:vAlign w:val="center"/>
          </w:tcPr>
          <w:p w14:paraId="54A9CB19" w14:textId="5F45BB01" w:rsidR="00D41676" w:rsidRPr="00E20F30" w:rsidRDefault="00D41676" w:rsidP="00F97BAF">
            <w:pPr>
              <w:pStyle w:val="Tabela-tekst"/>
              <w:jc w:val="center"/>
            </w:pPr>
            <w:r>
              <w:t>3</w:t>
            </w:r>
            <w:r w:rsidR="0030438B">
              <w:t>.</w:t>
            </w:r>
          </w:p>
        </w:tc>
        <w:tc>
          <w:tcPr>
            <w:tcW w:w="2018" w:type="pct"/>
            <w:shd w:val="clear" w:color="auto" w:fill="auto"/>
            <w:vAlign w:val="center"/>
          </w:tcPr>
          <w:p w14:paraId="10E1547A" w14:textId="77777777" w:rsidR="00D41676" w:rsidRPr="00E20F30" w:rsidRDefault="00D41676" w:rsidP="00A16503">
            <w:pPr>
              <w:pStyle w:val="Tabela-tekst"/>
            </w:pPr>
            <w:r w:rsidRPr="00E20F30">
              <w:t>Kontrola dotycząca przestrzegania decyzji ustalających warunki korzystania ze środowiska oraz przestrzegania zakresu, częstotliwości i sposobu prowadzenia pomiarów wielkości emisji i jej wpływu na stan środowiska</w:t>
            </w:r>
          </w:p>
        </w:tc>
        <w:tc>
          <w:tcPr>
            <w:tcW w:w="815" w:type="pct"/>
            <w:vAlign w:val="center"/>
          </w:tcPr>
          <w:p w14:paraId="2F72905B" w14:textId="44B92364" w:rsidR="00D41676" w:rsidRPr="0037667E" w:rsidRDefault="00D41676" w:rsidP="00F97BAF">
            <w:pPr>
              <w:pStyle w:val="Tabela-tekst"/>
              <w:jc w:val="center"/>
            </w:pPr>
            <w:r w:rsidRPr="0037667E">
              <w:t>art. 2 ust. 1 pkt 1 lit. b u</w:t>
            </w:r>
            <w:r w:rsidR="0037667E" w:rsidRPr="0037667E">
              <w:t xml:space="preserve">stawy </w:t>
            </w:r>
            <w:r w:rsidRPr="0037667E">
              <w:t>i.o.ś.</w:t>
            </w:r>
          </w:p>
        </w:tc>
        <w:tc>
          <w:tcPr>
            <w:tcW w:w="1949" w:type="pct"/>
            <w:shd w:val="clear" w:color="auto" w:fill="auto"/>
            <w:vAlign w:val="center"/>
          </w:tcPr>
          <w:p w14:paraId="5918CA33" w14:textId="77777777" w:rsidR="00D41676" w:rsidRPr="00E20F30" w:rsidRDefault="00D41676" w:rsidP="00F97BAF">
            <w:pPr>
              <w:pStyle w:val="Tabela-tekst"/>
              <w:jc w:val="center"/>
            </w:pPr>
            <w:r w:rsidRPr="00E20F30">
              <w:t>Inspekcja Ochrony Środowiska</w:t>
            </w:r>
          </w:p>
        </w:tc>
      </w:tr>
      <w:tr w:rsidR="00D41676" w:rsidRPr="00E20F30" w14:paraId="724CE525" w14:textId="77777777" w:rsidTr="003F4A95">
        <w:trPr>
          <w:trHeight w:val="454"/>
        </w:trPr>
        <w:tc>
          <w:tcPr>
            <w:tcW w:w="218" w:type="pct"/>
            <w:shd w:val="clear" w:color="auto" w:fill="auto"/>
            <w:vAlign w:val="center"/>
          </w:tcPr>
          <w:p w14:paraId="75465765" w14:textId="11240396" w:rsidR="00D41676" w:rsidRPr="00E20F30" w:rsidRDefault="00D41676" w:rsidP="00F97BAF">
            <w:pPr>
              <w:pStyle w:val="Tabela-tekst"/>
              <w:jc w:val="center"/>
            </w:pPr>
            <w:r>
              <w:t>4</w:t>
            </w:r>
            <w:r w:rsidR="0030438B">
              <w:t>.</w:t>
            </w:r>
          </w:p>
        </w:tc>
        <w:tc>
          <w:tcPr>
            <w:tcW w:w="2018" w:type="pct"/>
            <w:shd w:val="clear" w:color="auto" w:fill="auto"/>
            <w:vAlign w:val="center"/>
          </w:tcPr>
          <w:p w14:paraId="2693A4CB" w14:textId="77777777" w:rsidR="00D41676" w:rsidRPr="00E20F30" w:rsidRDefault="00D41676" w:rsidP="00A16503">
            <w:pPr>
              <w:pStyle w:val="Tabela-tekst"/>
            </w:pPr>
            <w:r>
              <w:t>Z</w:t>
            </w:r>
            <w:r w:rsidRPr="002061CC">
              <w:t>obowiąza</w:t>
            </w:r>
            <w:r>
              <w:t>nie</w:t>
            </w:r>
            <w:r w:rsidRPr="002061CC">
              <w:t xml:space="preserve"> prowadząc</w:t>
            </w:r>
            <w:r>
              <w:t>ego</w:t>
            </w:r>
            <w:r w:rsidRPr="002061CC">
              <w:t xml:space="preserve"> instalację do sporządzenia i przedłożenia przeglądu ekologicznego</w:t>
            </w:r>
          </w:p>
        </w:tc>
        <w:tc>
          <w:tcPr>
            <w:tcW w:w="815" w:type="pct"/>
            <w:vAlign w:val="center"/>
          </w:tcPr>
          <w:p w14:paraId="0925D731" w14:textId="665C3ABD" w:rsidR="00D41676" w:rsidRPr="00E20F30" w:rsidRDefault="00D41676" w:rsidP="00F97BAF">
            <w:pPr>
              <w:pStyle w:val="Tabela-tekst"/>
              <w:jc w:val="center"/>
            </w:pPr>
            <w:r>
              <w:t xml:space="preserve">art. 237 </w:t>
            </w:r>
            <w:r w:rsidR="00C258DB">
              <w:t xml:space="preserve">ustawy </w:t>
            </w:r>
            <w:r>
              <w:t>p.o.ś.</w:t>
            </w:r>
          </w:p>
        </w:tc>
        <w:tc>
          <w:tcPr>
            <w:tcW w:w="1949" w:type="pct"/>
            <w:shd w:val="clear" w:color="auto" w:fill="auto"/>
            <w:vAlign w:val="center"/>
          </w:tcPr>
          <w:p w14:paraId="0BBD254E" w14:textId="77777777" w:rsidR="00D41676" w:rsidRPr="00E20F30" w:rsidRDefault="00D41676" w:rsidP="00F97BAF">
            <w:pPr>
              <w:pStyle w:val="Tabela-tekst"/>
              <w:jc w:val="center"/>
            </w:pPr>
            <w:r>
              <w:t xml:space="preserve">właściwy </w:t>
            </w:r>
            <w:r w:rsidRPr="00797D76">
              <w:t>organ</w:t>
            </w:r>
            <w:r>
              <w:t xml:space="preserve"> ochrony środowiska</w:t>
            </w:r>
          </w:p>
        </w:tc>
      </w:tr>
      <w:tr w:rsidR="00D41676" w:rsidRPr="00E20F30" w14:paraId="4E827C09" w14:textId="77777777" w:rsidTr="003F4A95">
        <w:trPr>
          <w:trHeight w:val="454"/>
        </w:trPr>
        <w:tc>
          <w:tcPr>
            <w:tcW w:w="218" w:type="pct"/>
            <w:shd w:val="clear" w:color="auto" w:fill="auto"/>
            <w:vAlign w:val="center"/>
            <w:hideMark/>
          </w:tcPr>
          <w:p w14:paraId="13431F2C" w14:textId="5A764233" w:rsidR="00D41676" w:rsidRPr="00E20F30" w:rsidRDefault="004C44A8" w:rsidP="00F97BAF">
            <w:pPr>
              <w:pStyle w:val="Tabela-tekst"/>
              <w:jc w:val="center"/>
            </w:pPr>
            <w:r>
              <w:t>5</w:t>
            </w:r>
            <w:r w:rsidR="0030438B">
              <w:t>.</w:t>
            </w:r>
          </w:p>
        </w:tc>
        <w:tc>
          <w:tcPr>
            <w:tcW w:w="2018" w:type="pct"/>
            <w:shd w:val="clear" w:color="auto" w:fill="auto"/>
            <w:vAlign w:val="center"/>
            <w:hideMark/>
          </w:tcPr>
          <w:p w14:paraId="110F9761" w14:textId="77777777" w:rsidR="00D41676" w:rsidRPr="00E20F30" w:rsidRDefault="00D41676" w:rsidP="00A16503">
            <w:pPr>
              <w:pStyle w:val="Tabela-tekst"/>
            </w:pPr>
            <w:r w:rsidRPr="00E20F30">
              <w:t>Obowiązek przeprowadzenia procedury oceny oddziaływania na środowisko dla przedsięwzięcia mogącego zawsze znacząco oddziaływać na środowisko</w:t>
            </w:r>
          </w:p>
        </w:tc>
        <w:tc>
          <w:tcPr>
            <w:tcW w:w="815" w:type="pct"/>
            <w:vAlign w:val="center"/>
          </w:tcPr>
          <w:p w14:paraId="1E2F2727" w14:textId="01670BA9" w:rsidR="00D41676" w:rsidRPr="00E20F30" w:rsidRDefault="00D41676" w:rsidP="00F97BAF">
            <w:pPr>
              <w:pStyle w:val="Tabela-tekst"/>
              <w:jc w:val="center"/>
            </w:pPr>
            <w:r w:rsidRPr="00E20F30">
              <w:t xml:space="preserve">art. 59 ust. 1 pkt 1 ustawy </w:t>
            </w:r>
            <w:r w:rsidR="007B0BDC">
              <w:t>u.i</w:t>
            </w:r>
            <w:r w:rsidRPr="00E20F30">
              <w:t>.o.ś.</w:t>
            </w:r>
          </w:p>
        </w:tc>
        <w:tc>
          <w:tcPr>
            <w:tcW w:w="1949" w:type="pct"/>
            <w:shd w:val="clear" w:color="auto" w:fill="auto"/>
            <w:vAlign w:val="center"/>
            <w:hideMark/>
          </w:tcPr>
          <w:p w14:paraId="11FDBE84" w14:textId="77777777" w:rsidR="00D41676" w:rsidRPr="00E20F30" w:rsidRDefault="00D41676" w:rsidP="00F97BAF">
            <w:pPr>
              <w:pStyle w:val="Tabela-tekst"/>
              <w:jc w:val="center"/>
            </w:pPr>
            <w:r w:rsidRPr="00E20F30">
              <w:t>inwestor</w:t>
            </w:r>
          </w:p>
        </w:tc>
      </w:tr>
      <w:tr w:rsidR="00D41676" w:rsidRPr="00E20F30" w14:paraId="5B822877" w14:textId="77777777" w:rsidTr="003F4A95">
        <w:trPr>
          <w:trHeight w:val="454"/>
        </w:trPr>
        <w:tc>
          <w:tcPr>
            <w:tcW w:w="218" w:type="pct"/>
            <w:shd w:val="clear" w:color="auto" w:fill="auto"/>
            <w:vAlign w:val="center"/>
            <w:hideMark/>
          </w:tcPr>
          <w:p w14:paraId="7EDD33F1" w14:textId="05D67F43" w:rsidR="00D41676" w:rsidRPr="00E20F30" w:rsidRDefault="004C44A8" w:rsidP="00F97BAF">
            <w:pPr>
              <w:pStyle w:val="Tabela-tekst"/>
              <w:jc w:val="center"/>
            </w:pPr>
            <w:r>
              <w:t>6</w:t>
            </w:r>
            <w:r w:rsidR="0030438B">
              <w:t>.</w:t>
            </w:r>
          </w:p>
        </w:tc>
        <w:tc>
          <w:tcPr>
            <w:tcW w:w="2018" w:type="pct"/>
            <w:shd w:val="clear" w:color="auto" w:fill="auto"/>
            <w:vAlign w:val="center"/>
            <w:hideMark/>
          </w:tcPr>
          <w:p w14:paraId="071E9A1E" w14:textId="77777777" w:rsidR="00D41676" w:rsidRPr="00E20F30" w:rsidRDefault="00D41676" w:rsidP="00A16503">
            <w:pPr>
              <w:pStyle w:val="Tabela-tekst"/>
            </w:pPr>
            <w:r w:rsidRPr="00E20F30">
              <w:t>Obowiązek przeprowadzenia procedury oceny oddziaływania na środowisko dla przedsięwzięcia mogącego potencjalnie znacząco oddziaływać na środowisko, zależnie od postanowienia organu właściwego do wydania decyzji o środowiskowych uwarunkowaniach</w:t>
            </w:r>
          </w:p>
        </w:tc>
        <w:tc>
          <w:tcPr>
            <w:tcW w:w="815" w:type="pct"/>
            <w:vAlign w:val="center"/>
          </w:tcPr>
          <w:p w14:paraId="3C0B243A" w14:textId="07080A8E" w:rsidR="00D41676" w:rsidRPr="00E20F30" w:rsidRDefault="00D41676" w:rsidP="00F97BAF">
            <w:pPr>
              <w:pStyle w:val="Tabela-tekst"/>
              <w:jc w:val="center"/>
            </w:pPr>
            <w:r w:rsidRPr="00E20F30">
              <w:t xml:space="preserve">art. 59 ust. 1 pkt 2 ustawy </w:t>
            </w:r>
            <w:r w:rsidR="007B0BDC">
              <w:t>u.i</w:t>
            </w:r>
            <w:r w:rsidRPr="00E20F30">
              <w:t>.o.ś.</w:t>
            </w:r>
          </w:p>
        </w:tc>
        <w:tc>
          <w:tcPr>
            <w:tcW w:w="1949" w:type="pct"/>
            <w:shd w:val="clear" w:color="auto" w:fill="auto"/>
            <w:vAlign w:val="center"/>
            <w:hideMark/>
          </w:tcPr>
          <w:p w14:paraId="127988CF" w14:textId="77777777" w:rsidR="00D41676" w:rsidRPr="00E20F30" w:rsidRDefault="00D41676" w:rsidP="00F97BAF">
            <w:pPr>
              <w:pStyle w:val="Tabela-tekst"/>
              <w:jc w:val="center"/>
            </w:pPr>
            <w:r w:rsidRPr="00E20F30">
              <w:t>inwestor</w:t>
            </w:r>
          </w:p>
        </w:tc>
      </w:tr>
      <w:tr w:rsidR="00D41676" w:rsidRPr="00E20F30" w14:paraId="30F46F70" w14:textId="77777777" w:rsidTr="003F4A95">
        <w:trPr>
          <w:trHeight w:val="454"/>
        </w:trPr>
        <w:tc>
          <w:tcPr>
            <w:tcW w:w="218" w:type="pct"/>
            <w:shd w:val="clear" w:color="auto" w:fill="auto"/>
            <w:vAlign w:val="center"/>
            <w:hideMark/>
          </w:tcPr>
          <w:p w14:paraId="2B575112" w14:textId="10DCF3ED" w:rsidR="00D41676" w:rsidRPr="00E20F30" w:rsidRDefault="004C44A8" w:rsidP="00F97BAF">
            <w:pPr>
              <w:pStyle w:val="Tabela-tekst"/>
              <w:jc w:val="center"/>
            </w:pPr>
            <w:r>
              <w:t>7</w:t>
            </w:r>
            <w:r w:rsidR="0030438B">
              <w:t>.</w:t>
            </w:r>
          </w:p>
        </w:tc>
        <w:tc>
          <w:tcPr>
            <w:tcW w:w="2018" w:type="pct"/>
            <w:shd w:val="clear" w:color="auto" w:fill="auto"/>
            <w:vAlign w:val="center"/>
            <w:hideMark/>
          </w:tcPr>
          <w:p w14:paraId="4FCDF256" w14:textId="77777777" w:rsidR="00D41676" w:rsidRPr="00E20F30" w:rsidRDefault="00D41676" w:rsidP="00A16503">
            <w:pPr>
              <w:pStyle w:val="Tabela-tekst"/>
            </w:pPr>
            <w:r w:rsidRPr="00E20F30">
              <w:t>Obowiązek przeprowadzenia procedury oceny oddziaływania na obszar Natura 2000 dla przedsięwzięcia mogącego znacząco oddziaływać na obszar Natura 2000, innego niż mogące znacząco oddziaływać na środowisko</w:t>
            </w:r>
          </w:p>
        </w:tc>
        <w:tc>
          <w:tcPr>
            <w:tcW w:w="815" w:type="pct"/>
            <w:vAlign w:val="center"/>
          </w:tcPr>
          <w:p w14:paraId="2AD69C12" w14:textId="3BEC0B4F" w:rsidR="00D41676" w:rsidRPr="00E20F30" w:rsidRDefault="00D41676" w:rsidP="00F97BAF">
            <w:pPr>
              <w:pStyle w:val="Tabela-tekst"/>
              <w:jc w:val="center"/>
            </w:pPr>
            <w:r w:rsidRPr="00E20F30">
              <w:t>art. 59 ust. 2 pkt 1</w:t>
            </w:r>
            <w:r w:rsidR="00A565BC">
              <w:t xml:space="preserve"> </w:t>
            </w:r>
            <w:r w:rsidRPr="00E20F30">
              <w:t xml:space="preserve">ustawy </w:t>
            </w:r>
            <w:r w:rsidR="007B0BDC">
              <w:t>u.i</w:t>
            </w:r>
            <w:r w:rsidRPr="00E20F30">
              <w:t>.o.ś.</w:t>
            </w:r>
          </w:p>
        </w:tc>
        <w:tc>
          <w:tcPr>
            <w:tcW w:w="1949" w:type="pct"/>
            <w:shd w:val="clear" w:color="auto" w:fill="auto"/>
            <w:vAlign w:val="center"/>
            <w:hideMark/>
          </w:tcPr>
          <w:p w14:paraId="062E1551" w14:textId="77777777" w:rsidR="00D41676" w:rsidRPr="00E20F30" w:rsidRDefault="00D41676" w:rsidP="00F97BAF">
            <w:pPr>
              <w:pStyle w:val="Tabela-tekst"/>
              <w:jc w:val="center"/>
            </w:pPr>
            <w:r w:rsidRPr="00E20F30">
              <w:t>inwestor</w:t>
            </w:r>
          </w:p>
        </w:tc>
      </w:tr>
      <w:tr w:rsidR="00D41676" w:rsidRPr="00E20F30" w14:paraId="689B1194" w14:textId="77777777" w:rsidTr="003F4A95">
        <w:trPr>
          <w:trHeight w:val="454"/>
        </w:trPr>
        <w:tc>
          <w:tcPr>
            <w:tcW w:w="218" w:type="pct"/>
            <w:shd w:val="clear" w:color="auto" w:fill="auto"/>
            <w:vAlign w:val="center"/>
            <w:hideMark/>
          </w:tcPr>
          <w:p w14:paraId="2C63D935" w14:textId="078682A0" w:rsidR="00D41676" w:rsidRPr="00E20F30" w:rsidRDefault="004C44A8" w:rsidP="00F97BAF">
            <w:pPr>
              <w:pStyle w:val="Tabela-tekst"/>
              <w:jc w:val="center"/>
            </w:pPr>
            <w:r>
              <w:t>8</w:t>
            </w:r>
            <w:r w:rsidR="0030438B">
              <w:t>.</w:t>
            </w:r>
          </w:p>
        </w:tc>
        <w:tc>
          <w:tcPr>
            <w:tcW w:w="2018" w:type="pct"/>
            <w:shd w:val="clear" w:color="auto" w:fill="auto"/>
            <w:vAlign w:val="center"/>
            <w:hideMark/>
          </w:tcPr>
          <w:p w14:paraId="0D907E9A" w14:textId="77777777" w:rsidR="00D41676" w:rsidRPr="00E20F30" w:rsidRDefault="00D41676" w:rsidP="00A16503">
            <w:pPr>
              <w:pStyle w:val="Tabela-tekst"/>
            </w:pPr>
            <w:r w:rsidRPr="00E20F30">
              <w:t>Obowiązek przeprowadzenia procedury oceny oddziaływania na obszar Natura 2000 dla przedsięwzięcia wskazanego przez organ (przedsięwzięcia innego niż przedsięwzięcie mogące znacząco oddziaływać na środowisko, niezwiązanego bezpośrednio z ochroną obszaru Natura 2000 lub niewynikającego z tej ochrony)</w:t>
            </w:r>
          </w:p>
        </w:tc>
        <w:tc>
          <w:tcPr>
            <w:tcW w:w="815" w:type="pct"/>
            <w:vAlign w:val="center"/>
          </w:tcPr>
          <w:p w14:paraId="7B55A432" w14:textId="54687C89" w:rsidR="00D41676" w:rsidRPr="00E20F30" w:rsidRDefault="00D41676" w:rsidP="00F97BAF">
            <w:pPr>
              <w:pStyle w:val="Tabela-tekst"/>
              <w:jc w:val="center"/>
            </w:pPr>
            <w:r w:rsidRPr="00E20F30">
              <w:t xml:space="preserve">art. 59 ust. 2 pkt 2 ustawy </w:t>
            </w:r>
            <w:r w:rsidR="00725DCB">
              <w:t>u.i.</w:t>
            </w:r>
            <w:r w:rsidRPr="00E20F30">
              <w:t xml:space="preserve">o.ś. </w:t>
            </w:r>
            <w:r w:rsidR="00725DCB">
              <w:t>w</w:t>
            </w:r>
            <w:r w:rsidRPr="00E20F30">
              <w:t xml:space="preserve"> zw</w:t>
            </w:r>
            <w:r w:rsidR="00725DCB">
              <w:t>iązku</w:t>
            </w:r>
            <w:r w:rsidRPr="00E20F30">
              <w:t xml:space="preserve"> z art. 96 ust. 1 i 3 i art. 97 ust. 1 ustawy </w:t>
            </w:r>
            <w:r w:rsidR="007B0BDC">
              <w:t>u.i</w:t>
            </w:r>
            <w:r w:rsidRPr="00E20F30">
              <w:t>.o.ś.</w:t>
            </w:r>
          </w:p>
        </w:tc>
        <w:tc>
          <w:tcPr>
            <w:tcW w:w="1949" w:type="pct"/>
            <w:shd w:val="clear" w:color="auto" w:fill="auto"/>
            <w:vAlign w:val="center"/>
            <w:hideMark/>
          </w:tcPr>
          <w:p w14:paraId="1F891298" w14:textId="77777777" w:rsidR="00D41676" w:rsidRPr="00E20F30" w:rsidRDefault="00D41676" w:rsidP="00F97BAF">
            <w:pPr>
              <w:pStyle w:val="Tabela-tekst"/>
              <w:jc w:val="center"/>
            </w:pPr>
            <w:r w:rsidRPr="00E20F30">
              <w:t>inwestor</w:t>
            </w:r>
          </w:p>
        </w:tc>
      </w:tr>
      <w:tr w:rsidR="00D41676" w:rsidRPr="00E20F30" w14:paraId="1402F9C8" w14:textId="77777777" w:rsidTr="003F4A95">
        <w:trPr>
          <w:trHeight w:val="454"/>
        </w:trPr>
        <w:tc>
          <w:tcPr>
            <w:tcW w:w="218" w:type="pct"/>
            <w:shd w:val="clear" w:color="auto" w:fill="auto"/>
            <w:vAlign w:val="center"/>
            <w:hideMark/>
          </w:tcPr>
          <w:p w14:paraId="1FFE5C18" w14:textId="1B67CB64" w:rsidR="00D41676" w:rsidRPr="00E20F30" w:rsidRDefault="004C44A8" w:rsidP="00F97BAF">
            <w:pPr>
              <w:pStyle w:val="Tabela-tekst"/>
              <w:jc w:val="center"/>
            </w:pPr>
            <w:r>
              <w:t>9</w:t>
            </w:r>
            <w:r w:rsidR="0030438B">
              <w:t>.</w:t>
            </w:r>
          </w:p>
        </w:tc>
        <w:tc>
          <w:tcPr>
            <w:tcW w:w="2018" w:type="pct"/>
            <w:shd w:val="clear" w:color="auto" w:fill="auto"/>
            <w:vAlign w:val="center"/>
            <w:hideMark/>
          </w:tcPr>
          <w:p w14:paraId="7C1FCBD3" w14:textId="77777777" w:rsidR="00D41676" w:rsidRPr="00E20F30" w:rsidRDefault="00D41676" w:rsidP="00A16503">
            <w:pPr>
              <w:pStyle w:val="Tabela-tekst"/>
            </w:pPr>
            <w:r w:rsidRPr="00E20F30">
              <w:t>Obowiązek przeprowadzenia transgranicznej oceny oddziaływania na środowisko dla przedsięwzięć, dla których stwierdzono możliwość znaczącego transgranicznego oddziaływania na środowisko</w:t>
            </w:r>
          </w:p>
        </w:tc>
        <w:tc>
          <w:tcPr>
            <w:tcW w:w="815" w:type="pct"/>
            <w:vAlign w:val="center"/>
          </w:tcPr>
          <w:p w14:paraId="6ADB45F3" w14:textId="08C90431" w:rsidR="00D41676" w:rsidRPr="00E20F30" w:rsidRDefault="00D41676" w:rsidP="00F97BAF">
            <w:pPr>
              <w:pStyle w:val="Tabela-tekst"/>
              <w:jc w:val="center"/>
            </w:pPr>
            <w:r w:rsidRPr="00E20F30">
              <w:t>art. 104 ust. 1</w:t>
            </w:r>
            <w:r w:rsidR="00A565BC">
              <w:t xml:space="preserve"> </w:t>
            </w:r>
            <w:r w:rsidRPr="00E20F30">
              <w:t xml:space="preserve">pkt 1 ustawy </w:t>
            </w:r>
            <w:r w:rsidR="007B0BDC">
              <w:t>u.i</w:t>
            </w:r>
            <w:r w:rsidRPr="00E20F30">
              <w:t>.o.ś.</w:t>
            </w:r>
          </w:p>
        </w:tc>
        <w:tc>
          <w:tcPr>
            <w:tcW w:w="1949" w:type="pct"/>
            <w:shd w:val="clear" w:color="auto" w:fill="auto"/>
            <w:vAlign w:val="center"/>
            <w:hideMark/>
          </w:tcPr>
          <w:p w14:paraId="7917757B" w14:textId="77777777" w:rsidR="00D41676" w:rsidRPr="00E20F30" w:rsidRDefault="00D41676" w:rsidP="00F97BAF">
            <w:pPr>
              <w:pStyle w:val="Tabela-tekst"/>
              <w:jc w:val="center"/>
            </w:pPr>
            <w:r w:rsidRPr="00E20F30">
              <w:t>inwestor</w:t>
            </w:r>
          </w:p>
        </w:tc>
      </w:tr>
      <w:tr w:rsidR="00D41676" w:rsidRPr="00E20F30" w14:paraId="16E6F50D" w14:textId="77777777" w:rsidTr="003F4A95">
        <w:trPr>
          <w:trHeight w:val="454"/>
        </w:trPr>
        <w:tc>
          <w:tcPr>
            <w:tcW w:w="218" w:type="pct"/>
            <w:shd w:val="clear" w:color="auto" w:fill="auto"/>
            <w:vAlign w:val="center"/>
            <w:hideMark/>
          </w:tcPr>
          <w:p w14:paraId="51351824" w14:textId="77F2776B" w:rsidR="00D41676" w:rsidRPr="00E20F30" w:rsidRDefault="00D41676" w:rsidP="00F97BAF">
            <w:pPr>
              <w:pStyle w:val="Tabela-tekst"/>
              <w:jc w:val="center"/>
            </w:pPr>
            <w:r w:rsidRPr="00E20F30">
              <w:t>1</w:t>
            </w:r>
            <w:r w:rsidR="004C44A8">
              <w:t>0</w:t>
            </w:r>
            <w:r w:rsidR="0030438B">
              <w:t>.</w:t>
            </w:r>
          </w:p>
        </w:tc>
        <w:tc>
          <w:tcPr>
            <w:tcW w:w="2018" w:type="pct"/>
            <w:shd w:val="clear" w:color="auto" w:fill="auto"/>
            <w:vAlign w:val="center"/>
            <w:hideMark/>
          </w:tcPr>
          <w:p w14:paraId="7CEBF68A" w14:textId="77777777" w:rsidR="00D41676" w:rsidRPr="00E20F30" w:rsidRDefault="00D41676" w:rsidP="00A16503">
            <w:pPr>
              <w:pStyle w:val="Tabela-tekst"/>
            </w:pPr>
            <w:r w:rsidRPr="00E20F30">
              <w:t>Obowiązek uzyskania pozwoleń zintegrowanych dla instalacji</w:t>
            </w:r>
          </w:p>
        </w:tc>
        <w:tc>
          <w:tcPr>
            <w:tcW w:w="815" w:type="pct"/>
            <w:vAlign w:val="center"/>
          </w:tcPr>
          <w:p w14:paraId="035E07B2" w14:textId="7D3E8421" w:rsidR="00D41676" w:rsidRPr="00E20F30" w:rsidRDefault="00D41676" w:rsidP="00F97BAF">
            <w:pPr>
              <w:pStyle w:val="Tabela-tekst"/>
              <w:jc w:val="center"/>
            </w:pPr>
            <w:r w:rsidRPr="00E20F30">
              <w:t>art. 201-204</w:t>
            </w:r>
            <w:r w:rsidR="00A565BC">
              <w:t xml:space="preserve"> </w:t>
            </w:r>
            <w:r w:rsidRPr="00E20F30">
              <w:t>ustawy p.o.ś.</w:t>
            </w:r>
          </w:p>
        </w:tc>
        <w:tc>
          <w:tcPr>
            <w:tcW w:w="1949" w:type="pct"/>
            <w:shd w:val="clear" w:color="auto" w:fill="auto"/>
            <w:vAlign w:val="center"/>
            <w:hideMark/>
          </w:tcPr>
          <w:p w14:paraId="4959D902" w14:textId="77777777" w:rsidR="00D41676" w:rsidRPr="00E20F30" w:rsidRDefault="00D41676" w:rsidP="00F97BAF">
            <w:pPr>
              <w:pStyle w:val="Tabela-tekst"/>
              <w:jc w:val="center"/>
            </w:pPr>
            <w:r w:rsidRPr="00E20F30">
              <w:t>prowadzący instalację</w:t>
            </w:r>
          </w:p>
        </w:tc>
      </w:tr>
      <w:tr w:rsidR="00D41676" w:rsidRPr="00E20F30" w14:paraId="64BE9961" w14:textId="77777777" w:rsidTr="003F4A95">
        <w:trPr>
          <w:trHeight w:val="454"/>
        </w:trPr>
        <w:tc>
          <w:tcPr>
            <w:tcW w:w="218" w:type="pct"/>
            <w:shd w:val="clear" w:color="auto" w:fill="auto"/>
            <w:vAlign w:val="center"/>
          </w:tcPr>
          <w:p w14:paraId="3553A69A" w14:textId="2BDC37A3" w:rsidR="00D41676" w:rsidRPr="00E20F30" w:rsidRDefault="00D41676" w:rsidP="00F97BAF">
            <w:pPr>
              <w:pStyle w:val="Tabela-tekst"/>
              <w:jc w:val="center"/>
            </w:pPr>
            <w:r>
              <w:t>1</w:t>
            </w:r>
            <w:r w:rsidR="004C44A8">
              <w:t>1</w:t>
            </w:r>
            <w:r w:rsidR="0030438B">
              <w:t>.</w:t>
            </w:r>
          </w:p>
        </w:tc>
        <w:tc>
          <w:tcPr>
            <w:tcW w:w="2018" w:type="pct"/>
            <w:shd w:val="clear" w:color="auto" w:fill="auto"/>
            <w:vAlign w:val="center"/>
          </w:tcPr>
          <w:p w14:paraId="652B223B" w14:textId="77777777" w:rsidR="00D41676" w:rsidRPr="00E20F30" w:rsidRDefault="00D41676" w:rsidP="00A16503">
            <w:pPr>
              <w:pStyle w:val="Tabela-tekst"/>
            </w:pPr>
            <w:r w:rsidRPr="00785973">
              <w:t>Weryfikacja odstępstw od granicznych wielkości emisyjnych w pozwoleniu zintegrowanym przez organ właściwy do wydania pozwolenia</w:t>
            </w:r>
          </w:p>
        </w:tc>
        <w:tc>
          <w:tcPr>
            <w:tcW w:w="815" w:type="pct"/>
            <w:vAlign w:val="center"/>
          </w:tcPr>
          <w:p w14:paraId="42CD2BCB" w14:textId="10008C32" w:rsidR="00D41676" w:rsidRPr="00E20F30" w:rsidRDefault="00D41676" w:rsidP="00F97BAF">
            <w:pPr>
              <w:pStyle w:val="Tabela-tekst"/>
              <w:jc w:val="center"/>
            </w:pPr>
            <w:r w:rsidRPr="00E20F30">
              <w:t>art. 21</w:t>
            </w:r>
            <w:r>
              <w:t>5</w:t>
            </w:r>
            <w:r w:rsidRPr="00E20F30">
              <w:t>-2</w:t>
            </w:r>
            <w:r>
              <w:t>16</w:t>
            </w:r>
            <w:r w:rsidR="00A565BC">
              <w:t xml:space="preserve"> </w:t>
            </w:r>
            <w:r w:rsidR="00C258DB">
              <w:t xml:space="preserve">ustawy </w:t>
            </w:r>
            <w:r w:rsidRPr="00E20F30">
              <w:t>p.o.ś.</w:t>
            </w:r>
          </w:p>
        </w:tc>
        <w:tc>
          <w:tcPr>
            <w:tcW w:w="1949" w:type="pct"/>
            <w:shd w:val="clear" w:color="auto" w:fill="auto"/>
            <w:vAlign w:val="center"/>
          </w:tcPr>
          <w:p w14:paraId="5415D5F9" w14:textId="77777777" w:rsidR="00D41676" w:rsidRPr="00E20F30" w:rsidRDefault="00D41676" w:rsidP="00F97BAF">
            <w:pPr>
              <w:pStyle w:val="Tabela-tekst"/>
              <w:jc w:val="center"/>
            </w:pPr>
            <w:r w:rsidRPr="00797D76">
              <w:t>organ wydający decyzję</w:t>
            </w:r>
          </w:p>
        </w:tc>
      </w:tr>
      <w:tr w:rsidR="00D41676" w:rsidRPr="00E20F30" w14:paraId="23165DBF" w14:textId="77777777" w:rsidTr="003F4A95">
        <w:trPr>
          <w:trHeight w:val="454"/>
        </w:trPr>
        <w:tc>
          <w:tcPr>
            <w:tcW w:w="218" w:type="pct"/>
            <w:shd w:val="clear" w:color="auto" w:fill="auto"/>
            <w:vAlign w:val="center"/>
          </w:tcPr>
          <w:p w14:paraId="7F0F1BF7" w14:textId="3A4F341E" w:rsidR="00D41676" w:rsidRPr="00E20F30" w:rsidRDefault="00D41676" w:rsidP="00F97BAF">
            <w:pPr>
              <w:pStyle w:val="Tabela-tekst"/>
              <w:jc w:val="center"/>
            </w:pPr>
            <w:r>
              <w:t>1</w:t>
            </w:r>
            <w:r w:rsidR="004C44A8">
              <w:t>2</w:t>
            </w:r>
            <w:r w:rsidR="0030438B">
              <w:t>.</w:t>
            </w:r>
          </w:p>
        </w:tc>
        <w:tc>
          <w:tcPr>
            <w:tcW w:w="2018" w:type="pct"/>
            <w:shd w:val="clear" w:color="auto" w:fill="auto"/>
            <w:vAlign w:val="center"/>
          </w:tcPr>
          <w:p w14:paraId="01B0CAFF" w14:textId="77777777" w:rsidR="00D41676" w:rsidRPr="00785973" w:rsidRDefault="00D41676" w:rsidP="00A16503">
            <w:pPr>
              <w:pStyle w:val="Tabela-tekst"/>
            </w:pPr>
            <w:r w:rsidRPr="00785973">
              <w:t>Analiza warunków pozwolenia zintegrowanego oraz weryfikacja spełni</w:t>
            </w:r>
            <w:r>
              <w:t>e</w:t>
            </w:r>
            <w:r w:rsidRPr="00785973">
              <w:t>nia konkluzji BAT odnoszących się do danej instalacji,</w:t>
            </w:r>
          </w:p>
        </w:tc>
        <w:tc>
          <w:tcPr>
            <w:tcW w:w="815" w:type="pct"/>
            <w:vAlign w:val="center"/>
          </w:tcPr>
          <w:p w14:paraId="76683A47" w14:textId="1B2A9984" w:rsidR="00D41676" w:rsidRPr="00E20F30" w:rsidRDefault="00D41676" w:rsidP="00F97BAF">
            <w:pPr>
              <w:pStyle w:val="Tabela-tekst"/>
              <w:jc w:val="center"/>
            </w:pPr>
            <w:r w:rsidRPr="00E20F30">
              <w:t>art. 21</w:t>
            </w:r>
            <w:r>
              <w:t>5</w:t>
            </w:r>
            <w:r w:rsidRPr="00E20F30">
              <w:t>-2</w:t>
            </w:r>
            <w:r>
              <w:t>16</w:t>
            </w:r>
            <w:r w:rsidR="00A565BC">
              <w:t xml:space="preserve"> </w:t>
            </w:r>
            <w:r w:rsidR="00C258DB">
              <w:t xml:space="preserve">ustawy </w:t>
            </w:r>
            <w:r w:rsidRPr="00E20F30">
              <w:t>p.o.ś.</w:t>
            </w:r>
          </w:p>
        </w:tc>
        <w:tc>
          <w:tcPr>
            <w:tcW w:w="1949" w:type="pct"/>
            <w:shd w:val="clear" w:color="auto" w:fill="auto"/>
            <w:vAlign w:val="center"/>
          </w:tcPr>
          <w:p w14:paraId="1790A4FE" w14:textId="77777777" w:rsidR="00D41676" w:rsidRPr="00E20F30" w:rsidRDefault="00D41676" w:rsidP="00F97BAF">
            <w:pPr>
              <w:pStyle w:val="Tabela-tekst"/>
              <w:jc w:val="center"/>
            </w:pPr>
            <w:r w:rsidRPr="00797D76">
              <w:t>organ wydający decyzję</w:t>
            </w:r>
          </w:p>
        </w:tc>
      </w:tr>
      <w:tr w:rsidR="00D41676" w:rsidRPr="00E20F30" w14:paraId="45F11A45" w14:textId="77777777" w:rsidTr="003F4A95">
        <w:trPr>
          <w:trHeight w:val="454"/>
        </w:trPr>
        <w:tc>
          <w:tcPr>
            <w:tcW w:w="218" w:type="pct"/>
            <w:shd w:val="clear" w:color="auto" w:fill="auto"/>
            <w:vAlign w:val="center"/>
          </w:tcPr>
          <w:p w14:paraId="2C172814" w14:textId="0B8F3CD1" w:rsidR="00D41676" w:rsidRPr="00E20F30" w:rsidRDefault="00D41676" w:rsidP="00F97BAF">
            <w:pPr>
              <w:pStyle w:val="Tabela-tekst"/>
              <w:jc w:val="center"/>
            </w:pPr>
            <w:r>
              <w:t>1</w:t>
            </w:r>
            <w:r w:rsidR="004C44A8">
              <w:t>3</w:t>
            </w:r>
            <w:r w:rsidR="0030438B">
              <w:t>.</w:t>
            </w:r>
          </w:p>
        </w:tc>
        <w:tc>
          <w:tcPr>
            <w:tcW w:w="2018" w:type="pct"/>
            <w:shd w:val="clear" w:color="auto" w:fill="auto"/>
            <w:vAlign w:val="center"/>
          </w:tcPr>
          <w:p w14:paraId="0F6949E1" w14:textId="77777777" w:rsidR="00D41676" w:rsidRPr="00785973" w:rsidRDefault="00D41676" w:rsidP="00A16503">
            <w:pPr>
              <w:pStyle w:val="Tabela-tekst"/>
            </w:pPr>
            <w:r w:rsidRPr="00785973">
              <w:t>Kontrola dotycząca pozwoleń i naruszeń w zakresie gospodarowania odpadami lub działalności w zakresie prowadzenia składowiska odpadów</w:t>
            </w:r>
          </w:p>
        </w:tc>
        <w:tc>
          <w:tcPr>
            <w:tcW w:w="815" w:type="pct"/>
            <w:vAlign w:val="center"/>
          </w:tcPr>
          <w:p w14:paraId="55440292" w14:textId="5F8B7E4F" w:rsidR="00D41676" w:rsidRPr="00D805A0" w:rsidRDefault="00D41676" w:rsidP="00F97BAF">
            <w:pPr>
              <w:pStyle w:val="Tabela-tekst"/>
              <w:jc w:val="center"/>
            </w:pPr>
            <w:r w:rsidRPr="00D805A0">
              <w:t xml:space="preserve">art. 41a, art. 72, art. 146, art. 197 </w:t>
            </w:r>
            <w:r w:rsidR="00D805A0" w:rsidRPr="00D805A0">
              <w:t xml:space="preserve">ustawy </w:t>
            </w:r>
            <w:r w:rsidR="007B0BDC" w:rsidRPr="00D805A0">
              <w:t>i</w:t>
            </w:r>
            <w:r w:rsidRPr="00D805A0">
              <w:t>.o.</w:t>
            </w:r>
            <w:r w:rsidR="007B0BDC" w:rsidRPr="00D805A0">
              <w:t>ś</w:t>
            </w:r>
            <w:r w:rsidRPr="00D805A0">
              <w:t>.</w:t>
            </w:r>
          </w:p>
        </w:tc>
        <w:tc>
          <w:tcPr>
            <w:tcW w:w="1949" w:type="pct"/>
            <w:shd w:val="clear" w:color="auto" w:fill="auto"/>
            <w:vAlign w:val="center"/>
          </w:tcPr>
          <w:p w14:paraId="2D237FF8" w14:textId="77777777" w:rsidR="00D41676" w:rsidRPr="00E20F30" w:rsidRDefault="00D41676" w:rsidP="00F97BAF">
            <w:pPr>
              <w:pStyle w:val="Tabela-tekst"/>
              <w:jc w:val="center"/>
            </w:pPr>
            <w:r w:rsidRPr="00E20F30">
              <w:t>Inspekcja Ochrony Środowiska</w:t>
            </w:r>
          </w:p>
        </w:tc>
      </w:tr>
      <w:tr w:rsidR="00D41676" w:rsidRPr="00E20F30" w14:paraId="10245915" w14:textId="77777777" w:rsidTr="003F4A95">
        <w:trPr>
          <w:trHeight w:val="454"/>
        </w:trPr>
        <w:tc>
          <w:tcPr>
            <w:tcW w:w="218" w:type="pct"/>
            <w:shd w:val="clear" w:color="auto" w:fill="auto"/>
            <w:vAlign w:val="center"/>
          </w:tcPr>
          <w:p w14:paraId="4D89A65A" w14:textId="111CD035" w:rsidR="00D41676" w:rsidRPr="00E20F30" w:rsidRDefault="00D41676" w:rsidP="00F97BAF">
            <w:pPr>
              <w:pStyle w:val="Tabela-tekst"/>
              <w:jc w:val="center"/>
            </w:pPr>
            <w:r>
              <w:t>1</w:t>
            </w:r>
            <w:r w:rsidR="004C44A8">
              <w:t>4</w:t>
            </w:r>
            <w:r w:rsidR="0030438B">
              <w:t>.</w:t>
            </w:r>
          </w:p>
        </w:tc>
        <w:tc>
          <w:tcPr>
            <w:tcW w:w="2018" w:type="pct"/>
            <w:shd w:val="clear" w:color="auto" w:fill="auto"/>
            <w:vAlign w:val="center"/>
          </w:tcPr>
          <w:p w14:paraId="34BFAA01" w14:textId="77777777" w:rsidR="00D41676" w:rsidRPr="00785973" w:rsidRDefault="00D41676" w:rsidP="00A16503">
            <w:pPr>
              <w:pStyle w:val="Tabela-tekst"/>
            </w:pPr>
            <w:r w:rsidRPr="009C3DEA">
              <w:t>Obowiązek uzyskania oceny wodnoprawnej dla inwestycji i działań mogących wpłynąć na możliwość osiągnięcia celów środowiskowych</w:t>
            </w:r>
          </w:p>
        </w:tc>
        <w:tc>
          <w:tcPr>
            <w:tcW w:w="815" w:type="pct"/>
            <w:vAlign w:val="center"/>
          </w:tcPr>
          <w:p w14:paraId="37E9C400" w14:textId="176E9082" w:rsidR="00D41676" w:rsidRDefault="00D41676" w:rsidP="00F97BAF">
            <w:pPr>
              <w:pStyle w:val="Tabela-tekst"/>
              <w:jc w:val="center"/>
            </w:pPr>
            <w:r>
              <w:t xml:space="preserve">art. 425 </w:t>
            </w:r>
            <w:r w:rsidR="00442AB7">
              <w:t>-</w:t>
            </w:r>
            <w:r>
              <w:t xml:space="preserve"> art. 438 </w:t>
            </w:r>
            <w:r w:rsidR="007B0BDC">
              <w:t xml:space="preserve">ustawy </w:t>
            </w:r>
            <w:r>
              <w:t>pr.w.</w:t>
            </w:r>
          </w:p>
        </w:tc>
        <w:tc>
          <w:tcPr>
            <w:tcW w:w="1949" w:type="pct"/>
            <w:shd w:val="clear" w:color="auto" w:fill="auto"/>
            <w:vAlign w:val="center"/>
          </w:tcPr>
          <w:p w14:paraId="1E111376" w14:textId="77777777" w:rsidR="00D41676" w:rsidRPr="00E20F30" w:rsidRDefault="00D41676" w:rsidP="00F97BAF">
            <w:pPr>
              <w:pStyle w:val="Tabela-tekst"/>
              <w:jc w:val="center"/>
            </w:pPr>
            <w:r w:rsidRPr="00797D76">
              <w:t>organ wydający decyzję</w:t>
            </w:r>
          </w:p>
        </w:tc>
      </w:tr>
      <w:tr w:rsidR="00D41676" w:rsidRPr="00E20F30" w14:paraId="0A835DD4" w14:textId="77777777" w:rsidTr="003F4A95">
        <w:trPr>
          <w:trHeight w:val="454"/>
        </w:trPr>
        <w:tc>
          <w:tcPr>
            <w:tcW w:w="218" w:type="pct"/>
            <w:shd w:val="clear" w:color="auto" w:fill="auto"/>
            <w:vAlign w:val="center"/>
          </w:tcPr>
          <w:p w14:paraId="5D7A2B7B" w14:textId="196C3029" w:rsidR="00D41676" w:rsidRPr="00E20F30" w:rsidRDefault="00D41676" w:rsidP="00F97BAF">
            <w:pPr>
              <w:pStyle w:val="Tabela-tekst"/>
              <w:jc w:val="center"/>
            </w:pPr>
            <w:r>
              <w:t>1</w:t>
            </w:r>
            <w:r w:rsidR="004C44A8">
              <w:t>5</w:t>
            </w:r>
            <w:r w:rsidR="0030438B">
              <w:t>.</w:t>
            </w:r>
          </w:p>
        </w:tc>
        <w:tc>
          <w:tcPr>
            <w:tcW w:w="2018" w:type="pct"/>
            <w:shd w:val="clear" w:color="auto" w:fill="auto"/>
            <w:vAlign w:val="center"/>
          </w:tcPr>
          <w:p w14:paraId="32E2F802" w14:textId="77777777" w:rsidR="00D41676" w:rsidRPr="009C3DEA" w:rsidRDefault="00D41676" w:rsidP="00A16503">
            <w:pPr>
              <w:pStyle w:val="Tabela-tekst"/>
            </w:pPr>
            <w:r w:rsidRPr="009B68B7">
              <w:t>Uzgadnianie i opiniowanie w toku postępowań o wydanie decyzji o środowiskowych uwarunkowaniach przez organ właściwy w sprawach ocen wodnoprawnych</w:t>
            </w:r>
          </w:p>
        </w:tc>
        <w:tc>
          <w:tcPr>
            <w:tcW w:w="815" w:type="pct"/>
            <w:vAlign w:val="center"/>
          </w:tcPr>
          <w:p w14:paraId="485134E6" w14:textId="54C03708" w:rsidR="00D41676" w:rsidRDefault="00D41676" w:rsidP="00F97BAF">
            <w:pPr>
              <w:pStyle w:val="Tabela-tekst"/>
              <w:jc w:val="center"/>
            </w:pPr>
            <w:r>
              <w:t xml:space="preserve">art. 428 </w:t>
            </w:r>
            <w:r w:rsidR="007B0BDC">
              <w:t xml:space="preserve">ustawy </w:t>
            </w:r>
            <w:r>
              <w:t>pr.w.</w:t>
            </w:r>
          </w:p>
        </w:tc>
        <w:tc>
          <w:tcPr>
            <w:tcW w:w="1949" w:type="pct"/>
            <w:shd w:val="clear" w:color="auto" w:fill="auto"/>
            <w:vAlign w:val="center"/>
          </w:tcPr>
          <w:p w14:paraId="6E674307" w14:textId="77777777" w:rsidR="00D41676" w:rsidRPr="00797D76" w:rsidRDefault="00D41676" w:rsidP="00F97BAF">
            <w:pPr>
              <w:pStyle w:val="Tabela-tekst"/>
              <w:jc w:val="center"/>
            </w:pPr>
            <w:r w:rsidRPr="00797D76">
              <w:t>organ wydający decyzję</w:t>
            </w:r>
          </w:p>
        </w:tc>
      </w:tr>
      <w:tr w:rsidR="00D41676" w:rsidRPr="00E20F30" w14:paraId="660FBF00" w14:textId="77777777" w:rsidTr="003F4A95">
        <w:trPr>
          <w:trHeight w:val="454"/>
        </w:trPr>
        <w:tc>
          <w:tcPr>
            <w:tcW w:w="218" w:type="pct"/>
            <w:shd w:val="clear" w:color="auto" w:fill="auto"/>
            <w:vAlign w:val="center"/>
          </w:tcPr>
          <w:p w14:paraId="6CB35246" w14:textId="6680637E" w:rsidR="00D41676" w:rsidRPr="00E20F30" w:rsidRDefault="00D41676" w:rsidP="00F97BAF">
            <w:pPr>
              <w:pStyle w:val="Tabela-tekst"/>
              <w:jc w:val="center"/>
            </w:pPr>
            <w:r>
              <w:t>1</w:t>
            </w:r>
            <w:r w:rsidR="004C44A8">
              <w:t>6</w:t>
            </w:r>
            <w:r w:rsidR="0030438B">
              <w:t>.</w:t>
            </w:r>
          </w:p>
        </w:tc>
        <w:tc>
          <w:tcPr>
            <w:tcW w:w="2018" w:type="pct"/>
            <w:shd w:val="clear" w:color="auto" w:fill="auto"/>
            <w:vAlign w:val="center"/>
          </w:tcPr>
          <w:p w14:paraId="3668337A" w14:textId="77777777" w:rsidR="00D41676" w:rsidRPr="00785973" w:rsidRDefault="00D41676" w:rsidP="00A16503">
            <w:pPr>
              <w:pStyle w:val="Tabela-tekst"/>
            </w:pPr>
            <w:r w:rsidRPr="00E20F30">
              <w:t>Obowiązek uzyskania pozwolenia wodnoprawnego na usługę wodną obejmującą wprowadzanie ścieków do wód lub do ziemi, a także wprowadzanie ścieków do urządzeń wodnych</w:t>
            </w:r>
          </w:p>
        </w:tc>
        <w:tc>
          <w:tcPr>
            <w:tcW w:w="815" w:type="pct"/>
            <w:vAlign w:val="center"/>
          </w:tcPr>
          <w:p w14:paraId="568BA676" w14:textId="5EA09856" w:rsidR="00D41676" w:rsidRDefault="00D41676" w:rsidP="00F97BAF">
            <w:pPr>
              <w:pStyle w:val="Tabela-tekst"/>
              <w:jc w:val="center"/>
            </w:pPr>
            <w:r w:rsidRPr="00E20F30">
              <w:t xml:space="preserve">art. 389 pkt 1 oraz art. 35 ust. 3 pkt. 5 </w:t>
            </w:r>
            <w:r w:rsidR="007B0BDC">
              <w:t xml:space="preserve">ustawy </w:t>
            </w:r>
            <w:r w:rsidRPr="00E20F30">
              <w:t>pr.w.</w:t>
            </w:r>
          </w:p>
        </w:tc>
        <w:tc>
          <w:tcPr>
            <w:tcW w:w="1949" w:type="pct"/>
            <w:shd w:val="clear" w:color="auto" w:fill="auto"/>
            <w:vAlign w:val="center"/>
          </w:tcPr>
          <w:p w14:paraId="467DE039" w14:textId="77777777" w:rsidR="00D41676" w:rsidRPr="00E20F30" w:rsidRDefault="00D41676" w:rsidP="00F97BAF">
            <w:pPr>
              <w:pStyle w:val="Tabela-tekst"/>
              <w:jc w:val="center"/>
            </w:pPr>
            <w:r w:rsidRPr="00E20F30">
              <w:t>podmiot wprowadzający ścieki</w:t>
            </w:r>
          </w:p>
        </w:tc>
      </w:tr>
      <w:tr w:rsidR="00D41676" w:rsidRPr="00E20F30" w14:paraId="23E4638A" w14:textId="77777777" w:rsidTr="003F4A95">
        <w:trPr>
          <w:trHeight w:val="454"/>
        </w:trPr>
        <w:tc>
          <w:tcPr>
            <w:tcW w:w="218" w:type="pct"/>
            <w:shd w:val="clear" w:color="auto" w:fill="auto"/>
            <w:vAlign w:val="center"/>
          </w:tcPr>
          <w:p w14:paraId="051F4A1B" w14:textId="6675C75E" w:rsidR="00D41676" w:rsidRPr="00E20F30" w:rsidRDefault="00D41676" w:rsidP="00F97BAF">
            <w:pPr>
              <w:pStyle w:val="Tabela-tekst"/>
              <w:jc w:val="center"/>
            </w:pPr>
            <w:r>
              <w:t>1</w:t>
            </w:r>
            <w:r w:rsidR="004C44A8">
              <w:t>7</w:t>
            </w:r>
            <w:r w:rsidR="0030438B">
              <w:t>.</w:t>
            </w:r>
          </w:p>
        </w:tc>
        <w:tc>
          <w:tcPr>
            <w:tcW w:w="2018" w:type="pct"/>
            <w:shd w:val="clear" w:color="auto" w:fill="auto"/>
            <w:vAlign w:val="center"/>
          </w:tcPr>
          <w:p w14:paraId="1C6A9EE4" w14:textId="77777777" w:rsidR="00D41676" w:rsidRPr="00785973" w:rsidRDefault="00D41676" w:rsidP="00A16503">
            <w:pPr>
              <w:pStyle w:val="Tabela-tekst"/>
            </w:pPr>
            <w:r w:rsidRPr="00E20F30">
              <w:t>Kontrola dotycząca przestrzegania decyzji ustalających warunki korzystania ze środowiska oraz przestrzegania zakresu, częstotliwości i sposobu prowadzenia pomiarów wielkości emisji i jej wpływu na stan środowiska</w:t>
            </w:r>
          </w:p>
        </w:tc>
        <w:tc>
          <w:tcPr>
            <w:tcW w:w="815" w:type="pct"/>
            <w:vAlign w:val="center"/>
          </w:tcPr>
          <w:p w14:paraId="415E4354" w14:textId="560AB96F" w:rsidR="00D41676" w:rsidRPr="007B0BDC" w:rsidRDefault="00D41676" w:rsidP="00F97BAF">
            <w:pPr>
              <w:pStyle w:val="Tabela-tekst"/>
              <w:jc w:val="center"/>
            </w:pPr>
            <w:r w:rsidRPr="007B0BDC">
              <w:t>art. 2 ust. 1 pkt 1 lit. b u</w:t>
            </w:r>
            <w:r w:rsidR="007B0BDC" w:rsidRPr="007B0BDC">
              <w:t xml:space="preserve">stawy </w:t>
            </w:r>
            <w:r w:rsidRPr="007B0BDC">
              <w:t>i.o.ś.</w:t>
            </w:r>
          </w:p>
        </w:tc>
        <w:tc>
          <w:tcPr>
            <w:tcW w:w="1949" w:type="pct"/>
            <w:shd w:val="clear" w:color="auto" w:fill="auto"/>
            <w:vAlign w:val="center"/>
          </w:tcPr>
          <w:p w14:paraId="5849D7B0" w14:textId="77777777" w:rsidR="00D41676" w:rsidRPr="00E20F30" w:rsidRDefault="00D41676" w:rsidP="00F97BAF">
            <w:pPr>
              <w:pStyle w:val="Tabela-tekst"/>
              <w:jc w:val="center"/>
            </w:pPr>
            <w:r w:rsidRPr="00E20F30">
              <w:t>Inspekcja Ochrony Środowiska</w:t>
            </w:r>
          </w:p>
        </w:tc>
      </w:tr>
      <w:tr w:rsidR="00D41676" w:rsidRPr="00E20F30" w14:paraId="085BDE1C" w14:textId="77777777" w:rsidTr="003F4A95">
        <w:trPr>
          <w:trHeight w:val="454"/>
        </w:trPr>
        <w:tc>
          <w:tcPr>
            <w:tcW w:w="218" w:type="pct"/>
            <w:shd w:val="clear" w:color="auto" w:fill="auto"/>
            <w:vAlign w:val="center"/>
          </w:tcPr>
          <w:p w14:paraId="0BCB6E7E" w14:textId="4F6E3EE2" w:rsidR="00D41676" w:rsidRPr="00E20F30" w:rsidRDefault="00D41676" w:rsidP="00F97BAF">
            <w:pPr>
              <w:pStyle w:val="Tabela-tekst"/>
              <w:jc w:val="center"/>
            </w:pPr>
            <w:r>
              <w:t>1</w:t>
            </w:r>
            <w:r w:rsidR="004C44A8">
              <w:t>8</w:t>
            </w:r>
            <w:r w:rsidR="0030438B">
              <w:t>.</w:t>
            </w:r>
          </w:p>
        </w:tc>
        <w:tc>
          <w:tcPr>
            <w:tcW w:w="2018" w:type="pct"/>
            <w:shd w:val="clear" w:color="auto" w:fill="auto"/>
            <w:vAlign w:val="center"/>
          </w:tcPr>
          <w:p w14:paraId="165A8495" w14:textId="536F46DB" w:rsidR="00D41676" w:rsidRPr="00785973" w:rsidRDefault="00D41676" w:rsidP="00A16503">
            <w:pPr>
              <w:pStyle w:val="Tabela-tekst"/>
            </w:pPr>
            <w:r w:rsidRPr="00E20F30">
              <w:t>Przegląd pozwoleń wodnoprawnych na odprowadzanie ścieków oraz realizacji tych pozwoleń co najmniej raz na 4 lata</w:t>
            </w:r>
          </w:p>
        </w:tc>
        <w:tc>
          <w:tcPr>
            <w:tcW w:w="815" w:type="pct"/>
            <w:vAlign w:val="center"/>
          </w:tcPr>
          <w:p w14:paraId="09FF51DC" w14:textId="49782F35" w:rsidR="00D41676" w:rsidRPr="00F13CB6" w:rsidRDefault="00D41676" w:rsidP="00F13CB6">
            <w:pPr>
              <w:pStyle w:val="Tabela-tekst"/>
              <w:jc w:val="center"/>
              <w:rPr>
                <w:sz w:val="18"/>
                <w:szCs w:val="18"/>
              </w:rPr>
            </w:pPr>
            <w:r w:rsidRPr="00E20F30">
              <w:t xml:space="preserve">art. 416 ust. 1 </w:t>
            </w:r>
            <w:r w:rsidR="007B0BDC">
              <w:t xml:space="preserve">ustawy </w:t>
            </w:r>
            <w:r w:rsidRPr="00E20F30">
              <w:t>pr.w.</w:t>
            </w:r>
          </w:p>
        </w:tc>
        <w:tc>
          <w:tcPr>
            <w:tcW w:w="1949" w:type="pct"/>
            <w:shd w:val="clear" w:color="auto" w:fill="auto"/>
            <w:vAlign w:val="center"/>
          </w:tcPr>
          <w:p w14:paraId="22F411CE" w14:textId="78227729" w:rsidR="00D41676" w:rsidRPr="00E20F30" w:rsidRDefault="00D41676" w:rsidP="00F97BAF">
            <w:pPr>
              <w:pStyle w:val="Tabela-tekst"/>
              <w:jc w:val="center"/>
            </w:pPr>
            <w:r w:rsidRPr="00E20F30">
              <w:t>właściwy organ PGW</w:t>
            </w:r>
            <w:r w:rsidR="001B1731">
              <w:t xml:space="preserve"> </w:t>
            </w:r>
            <w:r w:rsidRPr="00E20F30">
              <w:t>WP</w:t>
            </w:r>
          </w:p>
        </w:tc>
      </w:tr>
      <w:tr w:rsidR="00D41676" w:rsidRPr="00E20F30" w14:paraId="3560A06E" w14:textId="77777777" w:rsidTr="003F4A95">
        <w:trPr>
          <w:trHeight w:val="454"/>
        </w:trPr>
        <w:tc>
          <w:tcPr>
            <w:tcW w:w="218" w:type="pct"/>
            <w:shd w:val="clear" w:color="auto" w:fill="auto"/>
            <w:vAlign w:val="center"/>
          </w:tcPr>
          <w:p w14:paraId="47649C95" w14:textId="6EFE28D5" w:rsidR="00D41676" w:rsidRPr="00E20F30" w:rsidRDefault="004C44A8" w:rsidP="00F97BAF">
            <w:pPr>
              <w:pStyle w:val="Tabela-tekst"/>
              <w:jc w:val="center"/>
            </w:pPr>
            <w:r>
              <w:t>19</w:t>
            </w:r>
            <w:r w:rsidR="0030438B">
              <w:t>.</w:t>
            </w:r>
          </w:p>
        </w:tc>
        <w:tc>
          <w:tcPr>
            <w:tcW w:w="2018" w:type="pct"/>
            <w:shd w:val="clear" w:color="auto" w:fill="auto"/>
            <w:vAlign w:val="center"/>
          </w:tcPr>
          <w:p w14:paraId="79D7D3BF" w14:textId="77777777" w:rsidR="00D41676" w:rsidRPr="00785973" w:rsidRDefault="00D41676" w:rsidP="00A16503">
            <w:pPr>
              <w:pStyle w:val="Tabela-tekst"/>
            </w:pPr>
            <w:r w:rsidRPr="00E20F30">
              <w:t>Obowiązek zapewnienia, że wartości dopuszczalne zanieczyszczeń w ściekach wprowadzanych do wód i do ziemi nie są przekroczone</w:t>
            </w:r>
          </w:p>
        </w:tc>
        <w:tc>
          <w:tcPr>
            <w:tcW w:w="815" w:type="pct"/>
            <w:vAlign w:val="center"/>
          </w:tcPr>
          <w:p w14:paraId="136E73BF" w14:textId="0C92DFE8" w:rsidR="00D41676" w:rsidRPr="00F13CB6" w:rsidRDefault="00D41676" w:rsidP="00F13CB6">
            <w:pPr>
              <w:pStyle w:val="Tabela-tekst"/>
              <w:jc w:val="center"/>
              <w:rPr>
                <w:sz w:val="18"/>
                <w:szCs w:val="18"/>
              </w:rPr>
            </w:pPr>
            <w:r w:rsidRPr="00E20F30">
              <w:t>r.s.sz.ś.w</w:t>
            </w:r>
          </w:p>
        </w:tc>
        <w:tc>
          <w:tcPr>
            <w:tcW w:w="1949" w:type="pct"/>
            <w:shd w:val="clear" w:color="auto" w:fill="auto"/>
            <w:vAlign w:val="center"/>
          </w:tcPr>
          <w:p w14:paraId="0F5B1C7D" w14:textId="77777777" w:rsidR="00D41676" w:rsidRPr="00E20F30" w:rsidRDefault="00D41676" w:rsidP="00F97BAF">
            <w:pPr>
              <w:pStyle w:val="Tabela-tekst"/>
              <w:jc w:val="center"/>
            </w:pPr>
            <w:r w:rsidRPr="00E20F30">
              <w:t>podmiot wprowadzający ścieki</w:t>
            </w:r>
          </w:p>
        </w:tc>
      </w:tr>
      <w:tr w:rsidR="00D41676" w:rsidRPr="00E20F30" w14:paraId="106923FA" w14:textId="77777777" w:rsidTr="003F4A95">
        <w:trPr>
          <w:trHeight w:val="454"/>
        </w:trPr>
        <w:tc>
          <w:tcPr>
            <w:tcW w:w="218" w:type="pct"/>
            <w:shd w:val="clear" w:color="auto" w:fill="auto"/>
            <w:vAlign w:val="center"/>
            <w:hideMark/>
          </w:tcPr>
          <w:p w14:paraId="56F77E91" w14:textId="27715516" w:rsidR="00D41676" w:rsidRPr="00E20F30" w:rsidRDefault="00D41676" w:rsidP="00F97BAF">
            <w:pPr>
              <w:pStyle w:val="Tabela-tekst"/>
              <w:jc w:val="center"/>
            </w:pPr>
            <w:r>
              <w:t>2</w:t>
            </w:r>
            <w:r w:rsidR="004C44A8">
              <w:t>0</w:t>
            </w:r>
            <w:r w:rsidR="0030438B">
              <w:t>.</w:t>
            </w:r>
          </w:p>
        </w:tc>
        <w:tc>
          <w:tcPr>
            <w:tcW w:w="2018" w:type="pct"/>
            <w:shd w:val="clear" w:color="auto" w:fill="auto"/>
            <w:vAlign w:val="center"/>
            <w:hideMark/>
          </w:tcPr>
          <w:p w14:paraId="6FBF5C03" w14:textId="77777777" w:rsidR="00D41676" w:rsidRPr="00E20F30" w:rsidRDefault="00D41676" w:rsidP="00A16503">
            <w:pPr>
              <w:pStyle w:val="Tabela-tekst"/>
            </w:pPr>
            <w:r w:rsidRPr="00E20F30">
              <w:t>Kontrola dopuszczalnych mas substancji w odprowadzanych ściekach przemysłowych</w:t>
            </w:r>
          </w:p>
        </w:tc>
        <w:tc>
          <w:tcPr>
            <w:tcW w:w="815" w:type="pct"/>
            <w:vAlign w:val="center"/>
          </w:tcPr>
          <w:p w14:paraId="1B39C90B" w14:textId="6D00AD51" w:rsidR="00D41676" w:rsidRPr="00E20F30" w:rsidRDefault="00D41676" w:rsidP="00F97BAF">
            <w:pPr>
              <w:pStyle w:val="Tabela-tekst"/>
              <w:jc w:val="center"/>
            </w:pPr>
            <w:r w:rsidRPr="00E20F30">
              <w:t xml:space="preserve">art. 99, art. 335 </w:t>
            </w:r>
            <w:r w:rsidR="007B0BDC">
              <w:t xml:space="preserve">ustawy </w:t>
            </w:r>
            <w:r w:rsidRPr="00E20F30">
              <w:t>pr.w.</w:t>
            </w:r>
          </w:p>
        </w:tc>
        <w:tc>
          <w:tcPr>
            <w:tcW w:w="1949" w:type="pct"/>
            <w:shd w:val="clear" w:color="auto" w:fill="auto"/>
            <w:vAlign w:val="center"/>
            <w:hideMark/>
          </w:tcPr>
          <w:p w14:paraId="12E2587B" w14:textId="77777777" w:rsidR="00D41676" w:rsidRPr="00E20F30" w:rsidRDefault="00D41676" w:rsidP="00F97BAF">
            <w:pPr>
              <w:pStyle w:val="Tabela-tekst"/>
              <w:jc w:val="center"/>
            </w:pPr>
            <w:r w:rsidRPr="00E20F30">
              <w:t>Inspekcja Ochrony Środowiska</w:t>
            </w:r>
          </w:p>
        </w:tc>
      </w:tr>
      <w:tr w:rsidR="00D41676" w:rsidRPr="00E20F30" w14:paraId="6A48FA39" w14:textId="77777777" w:rsidTr="003F4A95">
        <w:trPr>
          <w:trHeight w:val="454"/>
        </w:trPr>
        <w:tc>
          <w:tcPr>
            <w:tcW w:w="218" w:type="pct"/>
            <w:shd w:val="clear" w:color="auto" w:fill="auto"/>
            <w:vAlign w:val="center"/>
            <w:hideMark/>
          </w:tcPr>
          <w:p w14:paraId="2C95F7A0" w14:textId="41DA0170" w:rsidR="00D41676" w:rsidRPr="00E20F30" w:rsidRDefault="00D41676" w:rsidP="00F97BAF">
            <w:pPr>
              <w:pStyle w:val="Tabela-tekst"/>
              <w:jc w:val="center"/>
            </w:pPr>
            <w:r>
              <w:t>2</w:t>
            </w:r>
            <w:r w:rsidR="004C44A8">
              <w:t>1</w:t>
            </w:r>
            <w:r w:rsidR="0030438B">
              <w:t>.</w:t>
            </w:r>
          </w:p>
        </w:tc>
        <w:tc>
          <w:tcPr>
            <w:tcW w:w="2018" w:type="pct"/>
            <w:shd w:val="clear" w:color="auto" w:fill="auto"/>
            <w:vAlign w:val="center"/>
            <w:hideMark/>
          </w:tcPr>
          <w:p w14:paraId="10498BBF" w14:textId="77777777" w:rsidR="00D41676" w:rsidRPr="00E20F30" w:rsidRDefault="00D41676" w:rsidP="00A16503">
            <w:pPr>
              <w:pStyle w:val="Tabela-tekst"/>
            </w:pPr>
            <w:r w:rsidRPr="00E20F30">
              <w:t>Kontrola jakości wody pitnej</w:t>
            </w:r>
          </w:p>
        </w:tc>
        <w:tc>
          <w:tcPr>
            <w:tcW w:w="815" w:type="pct"/>
            <w:vAlign w:val="center"/>
          </w:tcPr>
          <w:p w14:paraId="65975E82" w14:textId="5F48E884" w:rsidR="00D41676" w:rsidRPr="00E20F30" w:rsidRDefault="00D41676" w:rsidP="00725DCB">
            <w:pPr>
              <w:pStyle w:val="Tabela-tekst"/>
              <w:jc w:val="center"/>
            </w:pPr>
            <w:r w:rsidRPr="00E20F30">
              <w:t xml:space="preserve">art.5. ust.1a </w:t>
            </w:r>
            <w:r w:rsidRPr="00725DCB">
              <w:t xml:space="preserve">u.z.z.w.o.ś, art. 4 ust. 1 pkt </w:t>
            </w:r>
            <w:r w:rsidR="00725DCB">
              <w:t xml:space="preserve">1 </w:t>
            </w:r>
            <w:r w:rsidRPr="00725DCB">
              <w:t>u</w:t>
            </w:r>
            <w:r w:rsidR="00725DCB">
              <w:t>stawy i.o.ś.</w:t>
            </w:r>
            <w:r w:rsidRPr="00725DCB">
              <w:t>, §6 r.j.w.p.s</w:t>
            </w:r>
          </w:p>
        </w:tc>
        <w:tc>
          <w:tcPr>
            <w:tcW w:w="1949" w:type="pct"/>
            <w:shd w:val="clear" w:color="auto" w:fill="auto"/>
            <w:vAlign w:val="center"/>
            <w:hideMark/>
          </w:tcPr>
          <w:p w14:paraId="7B1185DA" w14:textId="77777777" w:rsidR="00D41676" w:rsidRPr="00E20F30" w:rsidRDefault="00D41676" w:rsidP="00F97BAF">
            <w:pPr>
              <w:pStyle w:val="Tabela-tekst"/>
              <w:jc w:val="center"/>
            </w:pPr>
            <w:r w:rsidRPr="00E20F30">
              <w:t>właściwy organ Państwowej Inspekcji Sanitarnej</w:t>
            </w:r>
          </w:p>
        </w:tc>
      </w:tr>
      <w:tr w:rsidR="00D41676" w:rsidRPr="00E20F30" w14:paraId="50BDB96E" w14:textId="77777777" w:rsidTr="003F4A95">
        <w:trPr>
          <w:trHeight w:val="454"/>
        </w:trPr>
        <w:tc>
          <w:tcPr>
            <w:tcW w:w="218" w:type="pct"/>
            <w:shd w:val="clear" w:color="auto" w:fill="auto"/>
            <w:vAlign w:val="center"/>
            <w:hideMark/>
          </w:tcPr>
          <w:p w14:paraId="0CB44AA1" w14:textId="6375F45C" w:rsidR="00D41676" w:rsidRPr="00E20F30" w:rsidRDefault="00D41676" w:rsidP="00F97BAF">
            <w:pPr>
              <w:pStyle w:val="Tabela-tekst"/>
              <w:jc w:val="center"/>
            </w:pPr>
            <w:r>
              <w:t>2</w:t>
            </w:r>
            <w:r w:rsidR="004C44A8">
              <w:t>2</w:t>
            </w:r>
            <w:r w:rsidR="0030438B">
              <w:t>.</w:t>
            </w:r>
          </w:p>
        </w:tc>
        <w:tc>
          <w:tcPr>
            <w:tcW w:w="2018" w:type="pct"/>
            <w:shd w:val="clear" w:color="auto" w:fill="auto"/>
            <w:vAlign w:val="center"/>
            <w:hideMark/>
          </w:tcPr>
          <w:p w14:paraId="7B9FC7DE" w14:textId="77777777" w:rsidR="00D41676" w:rsidRPr="00E20F30" w:rsidRDefault="00D41676" w:rsidP="00A16503">
            <w:pPr>
              <w:pStyle w:val="Tabela-tekst"/>
            </w:pPr>
            <w:r w:rsidRPr="00E20F30">
              <w:t>Informowanie o jakości wody przeznaczonej do spożycia przez ludzi</w:t>
            </w:r>
          </w:p>
        </w:tc>
        <w:tc>
          <w:tcPr>
            <w:tcW w:w="815" w:type="pct"/>
            <w:vAlign w:val="center"/>
          </w:tcPr>
          <w:p w14:paraId="3BC3977E" w14:textId="77777777" w:rsidR="00D41676" w:rsidRPr="00E20F30" w:rsidRDefault="00D41676" w:rsidP="00F97BAF">
            <w:pPr>
              <w:pStyle w:val="Tabela-tekst"/>
              <w:jc w:val="center"/>
              <w:rPr>
                <w:sz w:val="18"/>
                <w:szCs w:val="18"/>
              </w:rPr>
            </w:pPr>
            <w:r w:rsidRPr="00E20F30">
              <w:t>art. 12 ust. 5 u.z.z.w.o.ś</w:t>
            </w:r>
          </w:p>
          <w:p w14:paraId="5997A2C0" w14:textId="77777777" w:rsidR="00D41676" w:rsidRPr="00E20F30" w:rsidRDefault="00D41676" w:rsidP="00F97BAF">
            <w:pPr>
              <w:pStyle w:val="Tabela-tekst"/>
              <w:jc w:val="center"/>
            </w:pPr>
          </w:p>
        </w:tc>
        <w:tc>
          <w:tcPr>
            <w:tcW w:w="1949" w:type="pct"/>
            <w:shd w:val="clear" w:color="auto" w:fill="auto"/>
            <w:vAlign w:val="center"/>
            <w:hideMark/>
          </w:tcPr>
          <w:p w14:paraId="294B81C2" w14:textId="77777777" w:rsidR="00D41676" w:rsidRPr="00E20F30" w:rsidRDefault="00D41676" w:rsidP="00F97BAF">
            <w:pPr>
              <w:pStyle w:val="Tabela-tekst"/>
              <w:jc w:val="center"/>
            </w:pPr>
            <w:r w:rsidRPr="00E20F30">
              <w:t>wójt, burmistrz lub prezydent miasta</w:t>
            </w:r>
          </w:p>
        </w:tc>
      </w:tr>
      <w:tr w:rsidR="00D41676" w:rsidRPr="00E20F30" w14:paraId="77D36068" w14:textId="77777777" w:rsidTr="003F4A95">
        <w:trPr>
          <w:trHeight w:val="454"/>
        </w:trPr>
        <w:tc>
          <w:tcPr>
            <w:tcW w:w="218" w:type="pct"/>
            <w:shd w:val="clear" w:color="auto" w:fill="auto"/>
            <w:vAlign w:val="center"/>
            <w:hideMark/>
          </w:tcPr>
          <w:p w14:paraId="197F9584" w14:textId="3F2C62FC" w:rsidR="00D41676" w:rsidRPr="00E20F30" w:rsidRDefault="00D41676" w:rsidP="00F97BAF">
            <w:pPr>
              <w:pStyle w:val="Tabela-tekst"/>
              <w:jc w:val="center"/>
            </w:pPr>
            <w:r>
              <w:t>2</w:t>
            </w:r>
            <w:r w:rsidR="004C44A8">
              <w:t>3</w:t>
            </w:r>
            <w:r w:rsidR="0030438B">
              <w:t>.</w:t>
            </w:r>
          </w:p>
        </w:tc>
        <w:tc>
          <w:tcPr>
            <w:tcW w:w="2018" w:type="pct"/>
            <w:shd w:val="clear" w:color="auto" w:fill="auto"/>
            <w:vAlign w:val="center"/>
            <w:hideMark/>
          </w:tcPr>
          <w:p w14:paraId="4E97B9A6" w14:textId="77777777" w:rsidR="00D41676" w:rsidRPr="00E20F30" w:rsidRDefault="00D41676" w:rsidP="00A16503">
            <w:pPr>
              <w:pStyle w:val="Tabela-tekst"/>
            </w:pPr>
            <w:r w:rsidRPr="00E20F30">
              <w:t>Obowiązek prowadzenia ewidencji kąpielisk i jej aktualizacji</w:t>
            </w:r>
          </w:p>
        </w:tc>
        <w:tc>
          <w:tcPr>
            <w:tcW w:w="815" w:type="pct"/>
            <w:vAlign w:val="center"/>
          </w:tcPr>
          <w:p w14:paraId="2DBA0732" w14:textId="5CE9179C" w:rsidR="00D41676" w:rsidRPr="00E20F30" w:rsidRDefault="00D41676" w:rsidP="00F97BAF">
            <w:pPr>
              <w:pStyle w:val="Tabela-tekst"/>
              <w:jc w:val="center"/>
              <w:rPr>
                <w:sz w:val="18"/>
                <w:szCs w:val="18"/>
              </w:rPr>
            </w:pPr>
            <w:r w:rsidRPr="00E20F30">
              <w:t xml:space="preserve">art. 38 ust. 1 </w:t>
            </w:r>
            <w:r w:rsidR="007B0BDC">
              <w:t xml:space="preserve">ustawy </w:t>
            </w:r>
            <w:r w:rsidRPr="00E20F30">
              <w:t>pr.w.</w:t>
            </w:r>
          </w:p>
          <w:p w14:paraId="54B2E699" w14:textId="77777777" w:rsidR="00D41676" w:rsidRPr="00E20F30" w:rsidRDefault="00D41676" w:rsidP="00F97BAF">
            <w:pPr>
              <w:pStyle w:val="Tabela-tekst"/>
              <w:jc w:val="center"/>
            </w:pPr>
          </w:p>
        </w:tc>
        <w:tc>
          <w:tcPr>
            <w:tcW w:w="1949" w:type="pct"/>
            <w:shd w:val="clear" w:color="auto" w:fill="auto"/>
            <w:vAlign w:val="center"/>
            <w:hideMark/>
          </w:tcPr>
          <w:p w14:paraId="6E4568D3" w14:textId="77777777" w:rsidR="00D41676" w:rsidRPr="00E20F30" w:rsidRDefault="00D41676" w:rsidP="00F97BAF">
            <w:pPr>
              <w:pStyle w:val="Tabela-tekst"/>
              <w:jc w:val="center"/>
            </w:pPr>
            <w:r w:rsidRPr="00E20F30">
              <w:t>wójt, burmistrz lub prezydent miasta</w:t>
            </w:r>
          </w:p>
        </w:tc>
      </w:tr>
      <w:tr w:rsidR="006D3391" w:rsidRPr="00E20F30" w14:paraId="4A7D0789" w14:textId="77777777" w:rsidTr="003F4A95">
        <w:trPr>
          <w:trHeight w:val="454"/>
        </w:trPr>
        <w:tc>
          <w:tcPr>
            <w:tcW w:w="218" w:type="pct"/>
            <w:shd w:val="clear" w:color="auto" w:fill="auto"/>
            <w:vAlign w:val="center"/>
            <w:hideMark/>
          </w:tcPr>
          <w:p w14:paraId="03267C6E" w14:textId="24DE372A" w:rsidR="006D3391" w:rsidRPr="00E20F30" w:rsidRDefault="006D3391" w:rsidP="006D3391">
            <w:pPr>
              <w:pStyle w:val="Tabela-tekst"/>
              <w:jc w:val="center"/>
            </w:pPr>
            <w:r>
              <w:t>2</w:t>
            </w:r>
            <w:r w:rsidR="004C44A8">
              <w:t>4</w:t>
            </w:r>
            <w:r>
              <w:t>.</w:t>
            </w:r>
          </w:p>
        </w:tc>
        <w:tc>
          <w:tcPr>
            <w:tcW w:w="2018" w:type="pct"/>
            <w:shd w:val="clear" w:color="auto" w:fill="auto"/>
            <w:vAlign w:val="center"/>
            <w:hideMark/>
          </w:tcPr>
          <w:p w14:paraId="76804B2B" w14:textId="4E3BE2EF" w:rsidR="006D3391" w:rsidRPr="00E20F30" w:rsidRDefault="006D3391" w:rsidP="006D3391">
            <w:pPr>
              <w:pStyle w:val="Tabela-tekst"/>
            </w:pPr>
            <w:r w:rsidRPr="00E20F30">
              <w:t xml:space="preserve">Obowiązek </w:t>
            </w:r>
            <w:r>
              <w:t>kontroli</w:t>
            </w:r>
            <w:r w:rsidRPr="00E20F30">
              <w:t xml:space="preserve"> wody w kąpielisk</w:t>
            </w:r>
            <w:r>
              <w:t>ach</w:t>
            </w:r>
          </w:p>
        </w:tc>
        <w:tc>
          <w:tcPr>
            <w:tcW w:w="815" w:type="pct"/>
            <w:vAlign w:val="center"/>
          </w:tcPr>
          <w:p w14:paraId="32D0AE34" w14:textId="740B9527" w:rsidR="006D3391" w:rsidRPr="00E20F30" w:rsidRDefault="006D3391" w:rsidP="006D3391">
            <w:pPr>
              <w:pStyle w:val="Tabela-tekst"/>
              <w:jc w:val="center"/>
            </w:pPr>
            <w:r w:rsidRPr="00E20F30">
              <w:t xml:space="preserve">art. </w:t>
            </w:r>
            <w:r>
              <w:t>334</w:t>
            </w:r>
            <w:r w:rsidRPr="00E20F30">
              <w:t xml:space="preserve"> ust. </w:t>
            </w:r>
            <w:r>
              <w:t>8</w:t>
            </w:r>
            <w:r w:rsidRPr="00E20F30">
              <w:t xml:space="preserve"> </w:t>
            </w:r>
            <w:r>
              <w:t xml:space="preserve">ustawy </w:t>
            </w:r>
            <w:r w:rsidRPr="00E20F30">
              <w:t>pr.w.</w:t>
            </w:r>
          </w:p>
        </w:tc>
        <w:tc>
          <w:tcPr>
            <w:tcW w:w="1949" w:type="pct"/>
            <w:shd w:val="clear" w:color="auto" w:fill="auto"/>
            <w:vAlign w:val="center"/>
            <w:hideMark/>
          </w:tcPr>
          <w:p w14:paraId="0AB7DBEF" w14:textId="7B65FAB7" w:rsidR="006D3391" w:rsidRPr="00E20F30" w:rsidRDefault="006D3391" w:rsidP="006D3391">
            <w:pPr>
              <w:pStyle w:val="Tabela-tekst"/>
              <w:jc w:val="center"/>
            </w:pPr>
            <w:r w:rsidRPr="00E20F30">
              <w:t>właściwy organ Państwowej Inspekcji Sanitarnej</w:t>
            </w:r>
          </w:p>
        </w:tc>
      </w:tr>
      <w:tr w:rsidR="00D41676" w:rsidRPr="00E20F30" w14:paraId="71F536D9" w14:textId="77777777" w:rsidTr="003F4A95">
        <w:trPr>
          <w:trHeight w:val="454"/>
        </w:trPr>
        <w:tc>
          <w:tcPr>
            <w:tcW w:w="218" w:type="pct"/>
            <w:shd w:val="clear" w:color="auto" w:fill="auto"/>
            <w:vAlign w:val="center"/>
            <w:hideMark/>
          </w:tcPr>
          <w:p w14:paraId="3996F6F3" w14:textId="125040EF" w:rsidR="00D41676" w:rsidRPr="00E20F30" w:rsidRDefault="00D41676" w:rsidP="00F97BAF">
            <w:pPr>
              <w:pStyle w:val="Tabela-tekst"/>
              <w:jc w:val="center"/>
            </w:pPr>
            <w:r>
              <w:t>2</w:t>
            </w:r>
            <w:r w:rsidR="004C44A8">
              <w:t>5</w:t>
            </w:r>
            <w:r w:rsidR="0030438B">
              <w:t>.</w:t>
            </w:r>
          </w:p>
        </w:tc>
        <w:tc>
          <w:tcPr>
            <w:tcW w:w="2018" w:type="pct"/>
            <w:shd w:val="clear" w:color="auto" w:fill="auto"/>
            <w:vAlign w:val="center"/>
            <w:hideMark/>
          </w:tcPr>
          <w:p w14:paraId="6F8C9C7F" w14:textId="77777777" w:rsidR="00D41676" w:rsidRPr="00E20F30" w:rsidRDefault="00D41676" w:rsidP="00A16503">
            <w:pPr>
              <w:pStyle w:val="Tabela-tekst"/>
            </w:pPr>
            <w:r w:rsidRPr="00E20F30">
              <w:t xml:space="preserve">Obowiązek oceny stanu wody w kąpielisku </w:t>
            </w:r>
          </w:p>
        </w:tc>
        <w:tc>
          <w:tcPr>
            <w:tcW w:w="815" w:type="pct"/>
            <w:vAlign w:val="center"/>
          </w:tcPr>
          <w:p w14:paraId="005C9446" w14:textId="4FA0D18D" w:rsidR="00D41676" w:rsidRPr="00E20F30" w:rsidRDefault="00D41676" w:rsidP="00F97BAF">
            <w:pPr>
              <w:pStyle w:val="Tabela-tekst"/>
              <w:jc w:val="center"/>
            </w:pPr>
            <w:r w:rsidRPr="00E20F30">
              <w:t xml:space="preserve">art. 42 ust. 1 </w:t>
            </w:r>
            <w:r w:rsidR="007B0BDC">
              <w:t xml:space="preserve">ustawy </w:t>
            </w:r>
            <w:r w:rsidRPr="00E20F30">
              <w:t>pr.w.</w:t>
            </w:r>
          </w:p>
        </w:tc>
        <w:tc>
          <w:tcPr>
            <w:tcW w:w="1949" w:type="pct"/>
            <w:shd w:val="clear" w:color="auto" w:fill="auto"/>
            <w:vAlign w:val="center"/>
            <w:hideMark/>
          </w:tcPr>
          <w:p w14:paraId="7AB0F6B3" w14:textId="77777777" w:rsidR="00D41676" w:rsidRPr="00E20F30" w:rsidRDefault="00D41676" w:rsidP="00F97BAF">
            <w:pPr>
              <w:pStyle w:val="Tabela-tekst"/>
              <w:jc w:val="center"/>
            </w:pPr>
            <w:r w:rsidRPr="00E20F30">
              <w:t>państwowy powiatowy inspektor sanitarny</w:t>
            </w:r>
          </w:p>
        </w:tc>
      </w:tr>
      <w:tr w:rsidR="00D41676" w:rsidRPr="00E20F30" w14:paraId="7ED31825" w14:textId="77777777" w:rsidTr="003F4A95">
        <w:trPr>
          <w:trHeight w:val="454"/>
        </w:trPr>
        <w:tc>
          <w:tcPr>
            <w:tcW w:w="218" w:type="pct"/>
            <w:shd w:val="clear" w:color="auto" w:fill="auto"/>
            <w:vAlign w:val="center"/>
            <w:hideMark/>
          </w:tcPr>
          <w:p w14:paraId="67461ACA" w14:textId="2BD7CD71" w:rsidR="00D41676" w:rsidRPr="00E20F30" w:rsidRDefault="00D41676" w:rsidP="00F97BAF">
            <w:pPr>
              <w:pStyle w:val="Tabela-tekst"/>
              <w:jc w:val="center"/>
            </w:pPr>
            <w:r>
              <w:t>2</w:t>
            </w:r>
            <w:r w:rsidR="004C44A8">
              <w:t>6</w:t>
            </w:r>
            <w:r w:rsidR="0030438B">
              <w:t>.</w:t>
            </w:r>
          </w:p>
        </w:tc>
        <w:tc>
          <w:tcPr>
            <w:tcW w:w="2018" w:type="pct"/>
            <w:shd w:val="clear" w:color="auto" w:fill="auto"/>
            <w:vAlign w:val="center"/>
            <w:hideMark/>
          </w:tcPr>
          <w:p w14:paraId="077EB03F" w14:textId="77777777" w:rsidR="00D41676" w:rsidRPr="00E20F30" w:rsidRDefault="00D41676" w:rsidP="00A16503">
            <w:pPr>
              <w:pStyle w:val="Tabela-tekst"/>
            </w:pPr>
            <w:r w:rsidRPr="00E20F30">
              <w:t>Obowiązki związane z informowaniem ludności o jakości wody w kąpielisku oraz o zakazie kąpieli wraz z podaniem przyczyny zakazu</w:t>
            </w:r>
          </w:p>
        </w:tc>
        <w:tc>
          <w:tcPr>
            <w:tcW w:w="815" w:type="pct"/>
            <w:vAlign w:val="center"/>
          </w:tcPr>
          <w:p w14:paraId="223C13D7" w14:textId="2ED3A2D9" w:rsidR="00D41676" w:rsidRPr="00E20F30" w:rsidRDefault="00D41676" w:rsidP="00F97BAF">
            <w:pPr>
              <w:pStyle w:val="Tabela-tekst"/>
              <w:jc w:val="center"/>
              <w:rPr>
                <w:sz w:val="18"/>
                <w:szCs w:val="18"/>
              </w:rPr>
            </w:pPr>
            <w:r w:rsidRPr="00E20F30">
              <w:t xml:space="preserve">art. 347 ust. 1 </w:t>
            </w:r>
            <w:r w:rsidR="007B0BDC">
              <w:t xml:space="preserve">ustawy </w:t>
            </w:r>
            <w:r w:rsidRPr="00E20F30">
              <w:t>pr.w.</w:t>
            </w:r>
          </w:p>
          <w:p w14:paraId="75D1E65C" w14:textId="77777777" w:rsidR="00D41676" w:rsidRPr="00E20F30" w:rsidRDefault="00D41676" w:rsidP="00F97BAF">
            <w:pPr>
              <w:pStyle w:val="Tabela-tekst"/>
              <w:jc w:val="center"/>
            </w:pPr>
          </w:p>
        </w:tc>
        <w:tc>
          <w:tcPr>
            <w:tcW w:w="1949" w:type="pct"/>
            <w:shd w:val="clear" w:color="auto" w:fill="auto"/>
            <w:vAlign w:val="center"/>
            <w:hideMark/>
          </w:tcPr>
          <w:p w14:paraId="107F4DA9" w14:textId="77777777" w:rsidR="00D41676" w:rsidRPr="00E20F30" w:rsidRDefault="00D41676" w:rsidP="00F97BAF">
            <w:pPr>
              <w:pStyle w:val="Tabela-tekst"/>
              <w:jc w:val="center"/>
            </w:pPr>
            <w:r w:rsidRPr="00E20F30">
              <w:t>właściwy organ Państwowej Inspekcji Sanitarnej</w:t>
            </w:r>
          </w:p>
        </w:tc>
      </w:tr>
      <w:tr w:rsidR="00D41676" w:rsidRPr="00E20F30" w14:paraId="255BA0FD" w14:textId="77777777" w:rsidTr="003F4A95">
        <w:trPr>
          <w:trHeight w:val="454"/>
        </w:trPr>
        <w:tc>
          <w:tcPr>
            <w:tcW w:w="218" w:type="pct"/>
            <w:shd w:val="clear" w:color="auto" w:fill="auto"/>
            <w:vAlign w:val="center"/>
            <w:hideMark/>
          </w:tcPr>
          <w:p w14:paraId="035235C9" w14:textId="10F13FDF" w:rsidR="00D41676" w:rsidRPr="00E20F30" w:rsidRDefault="00D41676" w:rsidP="00F97BAF">
            <w:pPr>
              <w:pStyle w:val="Tabela-tekst"/>
              <w:jc w:val="center"/>
            </w:pPr>
            <w:r>
              <w:t>2</w:t>
            </w:r>
            <w:r w:rsidR="004C44A8">
              <w:t>7</w:t>
            </w:r>
            <w:r w:rsidR="0030438B">
              <w:t>.</w:t>
            </w:r>
          </w:p>
        </w:tc>
        <w:tc>
          <w:tcPr>
            <w:tcW w:w="2018" w:type="pct"/>
            <w:shd w:val="clear" w:color="auto" w:fill="auto"/>
            <w:vAlign w:val="center"/>
            <w:hideMark/>
          </w:tcPr>
          <w:p w14:paraId="03E61AB1" w14:textId="77777777" w:rsidR="00D41676" w:rsidRPr="00E20F30" w:rsidRDefault="00D41676" w:rsidP="00A16503">
            <w:pPr>
              <w:pStyle w:val="Tabela-tekst"/>
            </w:pPr>
            <w:r w:rsidRPr="00E20F30">
              <w:t>Regulacja możliwości realizacji planów i przedsięwzięć mogących znacząco negatywnie oddziaływać na cele ochrony obszaru Natura 2000 przez zobowiązanie do wykonania kompensacji przyrodniczej niezbędnej do zapewnienia spójności i właściwego funkcjonowania sieci obszarów Natura 2000</w:t>
            </w:r>
          </w:p>
        </w:tc>
        <w:tc>
          <w:tcPr>
            <w:tcW w:w="815" w:type="pct"/>
            <w:vAlign w:val="center"/>
          </w:tcPr>
          <w:p w14:paraId="2D9AB466" w14:textId="77777777" w:rsidR="00D41676" w:rsidRPr="00E20F30" w:rsidRDefault="00D41676" w:rsidP="00F97BAF">
            <w:pPr>
              <w:pStyle w:val="Tabela-tekst"/>
              <w:jc w:val="center"/>
              <w:rPr>
                <w:sz w:val="18"/>
                <w:szCs w:val="18"/>
              </w:rPr>
            </w:pPr>
            <w:r w:rsidRPr="00E20F30">
              <w:t>art. 34 u.o.p.</w:t>
            </w:r>
          </w:p>
          <w:p w14:paraId="23076B17" w14:textId="77777777" w:rsidR="00D41676" w:rsidRPr="00E20F30" w:rsidRDefault="00D41676" w:rsidP="00F97BAF">
            <w:pPr>
              <w:pStyle w:val="Tabela-tekst"/>
              <w:jc w:val="center"/>
            </w:pPr>
          </w:p>
        </w:tc>
        <w:tc>
          <w:tcPr>
            <w:tcW w:w="1949" w:type="pct"/>
            <w:shd w:val="clear" w:color="auto" w:fill="auto"/>
            <w:vAlign w:val="center"/>
            <w:hideMark/>
          </w:tcPr>
          <w:p w14:paraId="6EA404DE" w14:textId="77777777" w:rsidR="00D41676" w:rsidRPr="00E20F30" w:rsidRDefault="00D41676" w:rsidP="00F97BAF">
            <w:pPr>
              <w:pStyle w:val="Tabela-tekst"/>
              <w:jc w:val="center"/>
            </w:pPr>
            <w:r w:rsidRPr="00E20F30">
              <w:t>właściwy regionalny dyrektor ochrony środowiska albo dyrektor właściwego urzędu morskiego</w:t>
            </w:r>
          </w:p>
        </w:tc>
      </w:tr>
      <w:tr w:rsidR="00D41676" w:rsidRPr="00E20F30" w14:paraId="648388B3" w14:textId="77777777" w:rsidTr="003F4A95">
        <w:trPr>
          <w:trHeight w:val="454"/>
        </w:trPr>
        <w:tc>
          <w:tcPr>
            <w:tcW w:w="218" w:type="pct"/>
            <w:shd w:val="clear" w:color="auto" w:fill="auto"/>
            <w:vAlign w:val="center"/>
            <w:hideMark/>
          </w:tcPr>
          <w:p w14:paraId="473BCE2B" w14:textId="122BFCFF" w:rsidR="00D41676" w:rsidRPr="00E20F30" w:rsidRDefault="00D41676" w:rsidP="00F97BAF">
            <w:pPr>
              <w:pStyle w:val="Tabela-tekst"/>
              <w:jc w:val="center"/>
            </w:pPr>
            <w:r>
              <w:t>2</w:t>
            </w:r>
            <w:r w:rsidR="004C44A8">
              <w:t>8</w:t>
            </w:r>
            <w:r w:rsidR="0030438B">
              <w:t>.</w:t>
            </w:r>
          </w:p>
        </w:tc>
        <w:tc>
          <w:tcPr>
            <w:tcW w:w="2018" w:type="pct"/>
            <w:shd w:val="clear" w:color="auto" w:fill="auto"/>
            <w:vAlign w:val="center"/>
            <w:hideMark/>
          </w:tcPr>
          <w:p w14:paraId="5C6133AB" w14:textId="77777777" w:rsidR="00D41676" w:rsidRPr="00E20F30" w:rsidRDefault="00D41676" w:rsidP="00A16503">
            <w:pPr>
              <w:pStyle w:val="Tabela-tekst"/>
            </w:pPr>
            <w:r w:rsidRPr="00E20F30">
              <w:t>Ocena skutków planów i programów mogących znacząco negatywnie oddziaływać na cele ochrony obszaru Natura 2000 przy uwzględnieniu obowiązku kompensacji przyrodniczej niezbędnej do zapewnienia spójności i właściwego funkcjonowania sieci obszarów Natura 2000</w:t>
            </w:r>
          </w:p>
        </w:tc>
        <w:tc>
          <w:tcPr>
            <w:tcW w:w="815" w:type="pct"/>
            <w:vAlign w:val="center"/>
          </w:tcPr>
          <w:p w14:paraId="1807FE1E" w14:textId="1C89E5CB" w:rsidR="00D41676" w:rsidRPr="00725DCB" w:rsidRDefault="00D41676" w:rsidP="00725DCB">
            <w:pPr>
              <w:pStyle w:val="Tabela-tekst"/>
              <w:jc w:val="center"/>
            </w:pPr>
            <w:r w:rsidRPr="00E20F30">
              <w:t xml:space="preserve">art. 46 pkt 2 ustawy </w:t>
            </w:r>
            <w:r w:rsidR="00725DCB">
              <w:t>u.i</w:t>
            </w:r>
            <w:r w:rsidRPr="00E20F30">
              <w:t>.o.ś., art. 34 ust. 1 u.o.p.</w:t>
            </w:r>
          </w:p>
          <w:p w14:paraId="05AC73F5" w14:textId="77777777" w:rsidR="00D41676" w:rsidRPr="00E20F30" w:rsidRDefault="00D41676" w:rsidP="00F97BAF">
            <w:pPr>
              <w:pStyle w:val="Tabela-tekst"/>
              <w:jc w:val="center"/>
            </w:pPr>
          </w:p>
        </w:tc>
        <w:tc>
          <w:tcPr>
            <w:tcW w:w="1949" w:type="pct"/>
            <w:shd w:val="clear" w:color="auto" w:fill="auto"/>
            <w:vAlign w:val="center"/>
            <w:hideMark/>
          </w:tcPr>
          <w:p w14:paraId="43E9342D" w14:textId="77777777" w:rsidR="00D41676" w:rsidRPr="00E20F30" w:rsidRDefault="00D41676" w:rsidP="00F97BAF">
            <w:pPr>
              <w:pStyle w:val="Tabela-tekst"/>
              <w:jc w:val="center"/>
            </w:pPr>
            <w:r w:rsidRPr="00E20F30">
              <w:t>organ opracowujący projekt dokumentu</w:t>
            </w:r>
          </w:p>
        </w:tc>
      </w:tr>
      <w:tr w:rsidR="00D41676" w:rsidRPr="00E20F30" w14:paraId="610A82BA" w14:textId="77777777" w:rsidTr="003F4A95">
        <w:trPr>
          <w:trHeight w:val="454"/>
        </w:trPr>
        <w:tc>
          <w:tcPr>
            <w:tcW w:w="218" w:type="pct"/>
            <w:shd w:val="clear" w:color="auto" w:fill="auto"/>
            <w:vAlign w:val="center"/>
            <w:hideMark/>
          </w:tcPr>
          <w:p w14:paraId="25201984" w14:textId="3C9571D8" w:rsidR="00D41676" w:rsidRPr="00E20F30" w:rsidRDefault="004C44A8" w:rsidP="00F97BAF">
            <w:pPr>
              <w:pStyle w:val="Tabela-tekst"/>
              <w:jc w:val="center"/>
            </w:pPr>
            <w:r>
              <w:t>29</w:t>
            </w:r>
            <w:r w:rsidR="0030438B">
              <w:t>.</w:t>
            </w:r>
          </w:p>
        </w:tc>
        <w:tc>
          <w:tcPr>
            <w:tcW w:w="2018" w:type="pct"/>
            <w:shd w:val="clear" w:color="auto" w:fill="auto"/>
            <w:vAlign w:val="center"/>
            <w:hideMark/>
          </w:tcPr>
          <w:p w14:paraId="5B7F924D" w14:textId="77777777" w:rsidR="00D41676" w:rsidRPr="00E20F30" w:rsidRDefault="00D41676" w:rsidP="00A16503">
            <w:pPr>
              <w:pStyle w:val="Tabela-tekst"/>
            </w:pPr>
            <w:r w:rsidRPr="00E20F30">
              <w:t>Obowiązek właściwego projektowania pomiarów monitoringowych i prowadzenia sprawozdawczości</w:t>
            </w:r>
          </w:p>
        </w:tc>
        <w:tc>
          <w:tcPr>
            <w:tcW w:w="815" w:type="pct"/>
            <w:vAlign w:val="center"/>
          </w:tcPr>
          <w:p w14:paraId="481C7A66" w14:textId="10006D0F" w:rsidR="00D41676" w:rsidRPr="00E20F30" w:rsidRDefault="00D41676" w:rsidP="00F97BAF">
            <w:pPr>
              <w:pStyle w:val="Tabela-tekst"/>
              <w:jc w:val="center"/>
              <w:rPr>
                <w:sz w:val="18"/>
                <w:szCs w:val="18"/>
              </w:rPr>
            </w:pPr>
            <w:r w:rsidRPr="00E20F30">
              <w:t xml:space="preserve">art. 349, art 350 </w:t>
            </w:r>
            <w:r w:rsidR="007B0BDC">
              <w:t xml:space="preserve">ustawy </w:t>
            </w:r>
            <w:r w:rsidRPr="00E20F30">
              <w:t>pr.w.</w:t>
            </w:r>
          </w:p>
          <w:p w14:paraId="07908083" w14:textId="77777777" w:rsidR="00D41676" w:rsidRPr="00E20F30" w:rsidRDefault="00D41676" w:rsidP="00F97BAF">
            <w:pPr>
              <w:pStyle w:val="Tabela-tekst"/>
              <w:jc w:val="center"/>
            </w:pPr>
          </w:p>
        </w:tc>
        <w:tc>
          <w:tcPr>
            <w:tcW w:w="1949" w:type="pct"/>
            <w:shd w:val="clear" w:color="auto" w:fill="auto"/>
            <w:vAlign w:val="center"/>
            <w:hideMark/>
          </w:tcPr>
          <w:p w14:paraId="4D9ED2D1" w14:textId="77777777" w:rsidR="00D41676" w:rsidRPr="00E20F30" w:rsidRDefault="00D41676" w:rsidP="00F97BAF">
            <w:pPr>
              <w:pStyle w:val="Tabela-tekst"/>
              <w:jc w:val="center"/>
            </w:pPr>
            <w:r w:rsidRPr="00E20F30">
              <w:t>państwowa służba hydrogeologiczna, właściwy organ Inspekcji Ochrony Środowiska</w:t>
            </w:r>
          </w:p>
        </w:tc>
      </w:tr>
      <w:tr w:rsidR="00D41676" w:rsidRPr="00E20F30" w14:paraId="7B69D5EC" w14:textId="77777777" w:rsidTr="003F4A95">
        <w:trPr>
          <w:trHeight w:val="454"/>
        </w:trPr>
        <w:tc>
          <w:tcPr>
            <w:tcW w:w="218" w:type="pct"/>
            <w:shd w:val="clear" w:color="auto" w:fill="auto"/>
            <w:vAlign w:val="center"/>
            <w:hideMark/>
          </w:tcPr>
          <w:p w14:paraId="6B45FB80" w14:textId="4C3D2F94" w:rsidR="00D41676" w:rsidRPr="00E20F30" w:rsidRDefault="00D41676" w:rsidP="00F97BAF">
            <w:pPr>
              <w:pStyle w:val="Tabela-tekst"/>
              <w:jc w:val="center"/>
            </w:pPr>
            <w:r>
              <w:t>3</w:t>
            </w:r>
            <w:r w:rsidR="004C44A8">
              <w:t>0</w:t>
            </w:r>
            <w:r w:rsidR="0030438B">
              <w:t>.</w:t>
            </w:r>
          </w:p>
        </w:tc>
        <w:tc>
          <w:tcPr>
            <w:tcW w:w="2018" w:type="pct"/>
            <w:shd w:val="clear" w:color="auto" w:fill="auto"/>
            <w:vAlign w:val="center"/>
            <w:hideMark/>
          </w:tcPr>
          <w:p w14:paraId="76CE46D9" w14:textId="492F7357" w:rsidR="00D41676" w:rsidRPr="00E20F30" w:rsidRDefault="006D3391" w:rsidP="00A16503">
            <w:pPr>
              <w:pStyle w:val="Tabela-tekst"/>
            </w:pPr>
            <w:r>
              <w:t>Z</w:t>
            </w:r>
            <w:r w:rsidR="00D41676" w:rsidRPr="00E20F30">
              <w:t>apobiegani</w:t>
            </w:r>
            <w:r>
              <w:t>e</w:t>
            </w:r>
            <w:r w:rsidR="00D41676" w:rsidRPr="00E20F30">
              <w:t xml:space="preserve"> lub </w:t>
            </w:r>
            <w:r w:rsidRPr="00E20F30">
              <w:t>ograniczani</w:t>
            </w:r>
            <w:r>
              <w:t>e</w:t>
            </w:r>
            <w:r w:rsidRPr="00E20F30">
              <w:t xml:space="preserve"> </w:t>
            </w:r>
            <w:r w:rsidR="00D41676" w:rsidRPr="00E20F30">
              <w:t>wprowadzaniu zanieczyszczeń do wód podziemnych</w:t>
            </w:r>
          </w:p>
        </w:tc>
        <w:tc>
          <w:tcPr>
            <w:tcW w:w="815" w:type="pct"/>
            <w:vAlign w:val="center"/>
          </w:tcPr>
          <w:p w14:paraId="6280DBA8" w14:textId="013D176E" w:rsidR="00D41676" w:rsidRPr="008315EC" w:rsidRDefault="00D41676" w:rsidP="00F97BAF">
            <w:pPr>
              <w:pStyle w:val="Tabela-tekst"/>
              <w:jc w:val="center"/>
            </w:pPr>
            <w:r w:rsidRPr="008315EC">
              <w:t xml:space="preserve">art. 59, art. 132, art. 134 ust. 1, art. 135 </w:t>
            </w:r>
            <w:r w:rsidR="00C258DB">
              <w:t>oraz</w:t>
            </w:r>
            <w:r w:rsidRPr="008315EC">
              <w:t xml:space="preserve"> art. 141 </w:t>
            </w:r>
            <w:r w:rsidR="007B0BDC" w:rsidRPr="008315EC">
              <w:t xml:space="preserve">ustawy </w:t>
            </w:r>
            <w:r w:rsidRPr="008315EC">
              <w:t>pr.w.</w:t>
            </w:r>
          </w:p>
        </w:tc>
        <w:tc>
          <w:tcPr>
            <w:tcW w:w="1949" w:type="pct"/>
            <w:shd w:val="clear" w:color="auto" w:fill="auto"/>
            <w:vAlign w:val="center"/>
            <w:hideMark/>
          </w:tcPr>
          <w:p w14:paraId="04779A5F" w14:textId="5D425EE6" w:rsidR="00D41676" w:rsidRPr="00E20F30" w:rsidRDefault="00D41676" w:rsidP="00F97BAF">
            <w:pPr>
              <w:pStyle w:val="Tabela-tekst"/>
              <w:jc w:val="center"/>
            </w:pPr>
            <w:r w:rsidRPr="00E20F30">
              <w:t>minister właściwy ds. gospodarki wodnej, PGW</w:t>
            </w:r>
            <w:r w:rsidR="001B1731">
              <w:t xml:space="preserve"> </w:t>
            </w:r>
            <w:r w:rsidRPr="00E20F30">
              <w:t>WP, właściwy wojewoda, właściciel ujęcia wody, właściciel gruntu</w:t>
            </w:r>
          </w:p>
        </w:tc>
      </w:tr>
    </w:tbl>
    <w:p w14:paraId="1A492D33" w14:textId="16FA79F5" w:rsidR="00D41676" w:rsidRPr="004C4FB0" w:rsidRDefault="00D41676" w:rsidP="00442AB7">
      <w:pPr>
        <w:pStyle w:val="rdo0"/>
      </w:pPr>
      <w:r w:rsidRPr="00E20F30">
        <w:t xml:space="preserve">Źródło: opracowanie </w:t>
      </w:r>
      <w:r w:rsidR="00F340C7">
        <w:t xml:space="preserve">własne </w:t>
      </w:r>
      <w:r w:rsidRPr="00E20F30">
        <w:t>na podstawie wykazu GIOŚ</w:t>
      </w:r>
    </w:p>
    <w:bookmarkEnd w:id="496"/>
    <w:p w14:paraId="34F190BB" w14:textId="1CA785DA" w:rsidR="00D41676" w:rsidRPr="00E20F30" w:rsidRDefault="00D41676" w:rsidP="00D41676">
      <w:pPr>
        <w:suppressAutoHyphens/>
        <w:rPr>
          <w:rFonts w:asciiTheme="minorHAnsi" w:hAnsiTheme="minorHAnsi" w:cstheme="minorHAnsi"/>
        </w:rPr>
      </w:pPr>
      <w:r w:rsidRPr="00E20F30">
        <w:rPr>
          <w:rFonts w:asciiTheme="minorHAnsi" w:hAnsiTheme="minorHAnsi" w:cstheme="minorHAnsi"/>
        </w:rPr>
        <w:t xml:space="preserve">Identyfikacja działań zaplanowanych i zrealizowanych w </w:t>
      </w:r>
      <w:r>
        <w:rPr>
          <w:rFonts w:asciiTheme="minorHAnsi" w:hAnsiTheme="minorHAnsi" w:cstheme="minorHAnsi"/>
        </w:rPr>
        <w:t xml:space="preserve">cyklu planistycznym </w:t>
      </w:r>
      <w:r w:rsidRPr="00E20F30">
        <w:rPr>
          <w:rFonts w:asciiTheme="minorHAnsi" w:hAnsiTheme="minorHAnsi" w:cstheme="minorHAnsi"/>
        </w:rPr>
        <w:t xml:space="preserve">aPGW, w zakresie ochrony przed skutkami awarii umożliwiła sformułowanie działań na nowy </w:t>
      </w:r>
      <w:r>
        <w:rPr>
          <w:rFonts w:asciiTheme="minorHAnsi" w:hAnsiTheme="minorHAnsi" w:cstheme="minorHAnsi"/>
        </w:rPr>
        <w:t>cykl</w:t>
      </w:r>
      <w:r w:rsidRPr="00E20F30">
        <w:rPr>
          <w:rFonts w:asciiTheme="minorHAnsi" w:hAnsiTheme="minorHAnsi" w:cstheme="minorHAnsi"/>
        </w:rPr>
        <w:t xml:space="preserve"> planistyczny</w:t>
      </w:r>
      <w:r w:rsidR="0058795D">
        <w:rPr>
          <w:rFonts w:asciiTheme="minorHAnsi" w:hAnsiTheme="minorHAnsi" w:cstheme="minorHAnsi"/>
        </w:rPr>
        <w:t xml:space="preserve"> (2022-2027)</w:t>
      </w:r>
      <w:r w:rsidRPr="00E20F30">
        <w:rPr>
          <w:rFonts w:asciiTheme="minorHAnsi" w:hAnsiTheme="minorHAnsi" w:cstheme="minorHAnsi"/>
        </w:rPr>
        <w:t>. Działania związane z ograniczeniem ryzyka i skutków awarii ze względu na ich losowy charakter dotyczą całego kraju, a w ramach przepisów wykonawczych określają kompetencje organów i służb oraz zadania podmiotów, stąd też stanowią element katalogu krajowego, którego realizacja odnosi się w głównej mierze do obowiązku wypełniania przepisów prawnych oraz planów i programów, wspierających razem możliwość osiągnięcia celów środowiskowych.</w:t>
      </w:r>
    </w:p>
    <w:p w14:paraId="79BC2B04" w14:textId="48E1D2CE" w:rsidR="007E704C" w:rsidRDefault="00D41676" w:rsidP="00D41676">
      <w:pPr>
        <w:suppressAutoHyphens/>
        <w:rPr>
          <w:rFonts w:asciiTheme="minorHAnsi" w:hAnsiTheme="minorHAnsi" w:cstheme="minorHAnsi"/>
        </w:rPr>
      </w:pPr>
      <w:r w:rsidRPr="00E20F30">
        <w:rPr>
          <w:rFonts w:asciiTheme="minorHAnsi" w:hAnsiTheme="minorHAnsi" w:cstheme="minorHAnsi"/>
        </w:rPr>
        <w:t xml:space="preserve">Działania wskazane w aPWŚK są realizowane zgodnie z wymaganiami określonymi w </w:t>
      </w:r>
      <w:r>
        <w:rPr>
          <w:rFonts w:asciiTheme="minorHAnsi" w:hAnsiTheme="minorHAnsi" w:cstheme="minorHAnsi"/>
        </w:rPr>
        <w:t xml:space="preserve">obowiązujących </w:t>
      </w:r>
      <w:r w:rsidRPr="00E20F30">
        <w:rPr>
          <w:rFonts w:asciiTheme="minorHAnsi" w:hAnsiTheme="minorHAnsi" w:cstheme="minorHAnsi"/>
        </w:rPr>
        <w:t>przepisach</w:t>
      </w:r>
      <w:r>
        <w:rPr>
          <w:rFonts w:asciiTheme="minorHAnsi" w:hAnsiTheme="minorHAnsi" w:cstheme="minorHAnsi"/>
        </w:rPr>
        <w:t xml:space="preserve"> obejmujących regulacje w zakresie ochrony </w:t>
      </w:r>
      <w:r w:rsidRPr="00BE70FB">
        <w:rPr>
          <w:rFonts w:asciiTheme="minorHAnsi" w:hAnsiTheme="minorHAnsi" w:cstheme="minorHAnsi"/>
        </w:rPr>
        <w:t>przed skutkami niedających się przewidzieć zanieczyszczeń</w:t>
      </w:r>
      <w:r w:rsidRPr="00E20F30">
        <w:rPr>
          <w:rFonts w:asciiTheme="minorHAnsi" w:hAnsiTheme="minorHAnsi" w:cstheme="minorHAnsi"/>
        </w:rPr>
        <w:t xml:space="preserve">. Działania rekomendowane do prolongowania do nowego cyklu planistycznego oraz propozycje nowych działań </w:t>
      </w:r>
      <w:r w:rsidR="00442AB7">
        <w:rPr>
          <w:rFonts w:asciiTheme="minorHAnsi" w:hAnsiTheme="minorHAnsi" w:cstheme="minorHAnsi"/>
        </w:rPr>
        <w:t>-</w:t>
      </w:r>
      <w:r w:rsidRPr="00E20F30">
        <w:rPr>
          <w:rFonts w:asciiTheme="minorHAnsi" w:hAnsiTheme="minorHAnsi" w:cstheme="minorHAnsi"/>
        </w:rPr>
        <w:t xml:space="preserve"> </w:t>
      </w:r>
      <w:r w:rsidRPr="00815A8B">
        <w:rPr>
          <w:rFonts w:asciiTheme="minorHAnsi" w:hAnsiTheme="minorHAnsi" w:cstheme="minorHAnsi"/>
        </w:rPr>
        <w:t>przedstawione w tabel</w:t>
      </w:r>
      <w:r w:rsidR="000F6351" w:rsidRPr="00815A8B">
        <w:rPr>
          <w:rFonts w:asciiTheme="minorHAnsi" w:hAnsiTheme="minorHAnsi" w:cstheme="minorHAnsi"/>
        </w:rPr>
        <w:t>ach</w:t>
      </w:r>
      <w:r w:rsidRPr="00815A8B">
        <w:rPr>
          <w:rFonts w:asciiTheme="minorHAnsi" w:hAnsiTheme="minorHAnsi" w:cstheme="minorHAnsi"/>
        </w:rPr>
        <w:t xml:space="preserve"> </w:t>
      </w:r>
      <w:r w:rsidR="004A1B76" w:rsidRPr="00815A8B">
        <w:rPr>
          <w:rFonts w:asciiTheme="minorHAnsi" w:hAnsiTheme="minorHAnsi" w:cstheme="minorHAnsi"/>
        </w:rPr>
        <w:t>13-</w:t>
      </w:r>
      <w:r w:rsidR="000F6351" w:rsidRPr="00815A8B">
        <w:rPr>
          <w:rFonts w:asciiTheme="minorHAnsi" w:hAnsiTheme="minorHAnsi" w:cstheme="minorHAnsi"/>
        </w:rPr>
        <w:t>1</w:t>
      </w:r>
      <w:r w:rsidR="00815A8B" w:rsidRPr="00815A8B">
        <w:rPr>
          <w:rFonts w:asciiTheme="minorHAnsi" w:hAnsiTheme="minorHAnsi" w:cstheme="minorHAnsi"/>
        </w:rPr>
        <w:t>8</w:t>
      </w:r>
      <w:r w:rsidR="000F6351" w:rsidRPr="00815A8B">
        <w:rPr>
          <w:rFonts w:asciiTheme="minorHAnsi" w:hAnsiTheme="minorHAnsi" w:cstheme="minorHAnsi"/>
        </w:rPr>
        <w:t xml:space="preserve"> i 13-</w:t>
      </w:r>
      <w:r w:rsidR="00815A8B" w:rsidRPr="00815A8B">
        <w:rPr>
          <w:rFonts w:asciiTheme="minorHAnsi" w:hAnsiTheme="minorHAnsi" w:cstheme="minorHAnsi"/>
        </w:rPr>
        <w:t>19</w:t>
      </w:r>
      <w:r w:rsidRPr="00815A8B">
        <w:rPr>
          <w:rFonts w:asciiTheme="minorHAnsi" w:hAnsiTheme="minorHAnsi" w:cstheme="minorHAnsi"/>
        </w:rPr>
        <w:t>, ujęte zostały w katalogu działań krajowych IIaPGW jako działania ciągłe. Ocena dostępnych instrumentów</w:t>
      </w:r>
      <w:r w:rsidRPr="00E20F30">
        <w:rPr>
          <w:rFonts w:asciiTheme="minorHAnsi" w:hAnsiTheme="minorHAnsi" w:cstheme="minorHAnsi"/>
        </w:rPr>
        <w:t xml:space="preserve"> prawnych, mogących poprawić skuteczność działań ograniczających zagrożenie awariami, wskazuje na możliwość zastosowania dodatkowych zabiegów w ramach kontroli funkcjonowania podmiotów. </w:t>
      </w:r>
    </w:p>
    <w:p w14:paraId="151583D2" w14:textId="747C0842" w:rsidR="00EA5311" w:rsidRPr="00EA5311" w:rsidRDefault="00332A4E" w:rsidP="00B50FFD">
      <w:pPr>
        <w:pStyle w:val="Nagwek2"/>
      </w:pPr>
      <w:bookmarkStart w:id="498" w:name="_Toc51050102"/>
      <w:bookmarkStart w:id="499" w:name="_Toc68726918"/>
      <w:r>
        <w:t xml:space="preserve">Podsumowanie działań, o których mowa w art. 325 </w:t>
      </w:r>
      <w:r w:rsidR="00467130">
        <w:t xml:space="preserve">ust. 1 </w:t>
      </w:r>
      <w:bookmarkEnd w:id="498"/>
      <w:r w:rsidR="00C35851">
        <w:t>ustawy Prawo wodne</w:t>
      </w:r>
      <w:bookmarkEnd w:id="499"/>
    </w:p>
    <w:p w14:paraId="2E20CBCA" w14:textId="4B9A26FC" w:rsidR="00EA5A0A" w:rsidRPr="00AD3B9A" w:rsidRDefault="00EA5A0A" w:rsidP="00EA5A0A">
      <w:pPr>
        <w:textAlignment w:val="baseline"/>
        <w:rPr>
          <w:rFonts w:ascii="Segoe UI" w:eastAsia="Times New Roman" w:hAnsi="Segoe UI" w:cs="Segoe UI"/>
          <w:sz w:val="18"/>
          <w:szCs w:val="18"/>
          <w:lang w:eastAsia="pl-PL"/>
        </w:rPr>
      </w:pPr>
      <w:bookmarkStart w:id="500" w:name="_Hlk66332755"/>
      <w:r w:rsidRPr="00AD3B9A">
        <w:rPr>
          <w:rFonts w:eastAsia="Times New Roman" w:cs="Calibri"/>
          <w:lang w:eastAsia="pl-PL"/>
        </w:rPr>
        <w:t xml:space="preserve">Zgodnie z art. 318 ust. 1 pkt 15 ustawy pr.w. oraz §2 ust. 1 pkt 21 r.p.g.w. plan gospodarowania wodami zawiera informacje dotyczące podsumowania działań, o których mowa w art. 325 ust. 1 </w:t>
      </w:r>
      <w:r w:rsidR="00746A34">
        <w:rPr>
          <w:rFonts w:eastAsia="Times New Roman" w:cs="Calibri"/>
          <w:lang w:eastAsia="pl-PL"/>
        </w:rPr>
        <w:t xml:space="preserve">ustawy </w:t>
      </w:r>
      <w:r w:rsidRPr="00AD3B9A">
        <w:rPr>
          <w:rFonts w:eastAsia="Times New Roman" w:cs="Calibri"/>
          <w:lang w:eastAsia="pl-PL"/>
        </w:rPr>
        <w:t>pr.w. </w:t>
      </w:r>
    </w:p>
    <w:p w14:paraId="3B36BE61" w14:textId="77777777" w:rsidR="00EA5A0A" w:rsidRPr="00AD3B9A" w:rsidRDefault="00EA5A0A" w:rsidP="00EA5A0A">
      <w:pPr>
        <w:textAlignment w:val="baseline"/>
        <w:rPr>
          <w:rFonts w:ascii="Segoe UI" w:eastAsia="Times New Roman" w:hAnsi="Segoe UI" w:cs="Segoe UI"/>
          <w:sz w:val="18"/>
          <w:szCs w:val="18"/>
          <w:lang w:eastAsia="pl-PL"/>
        </w:rPr>
      </w:pPr>
      <w:r w:rsidRPr="00AD3B9A">
        <w:rPr>
          <w:rFonts w:eastAsia="Times New Roman" w:cs="Calibri"/>
          <w:lang w:eastAsia="pl-PL"/>
        </w:rPr>
        <w:t>W przypadku, gdy wyniki monitoringu wód lub innych danych wskazują, że jest zagrożone osiągnięcie celów środowiskowych: </w:t>
      </w:r>
    </w:p>
    <w:p w14:paraId="3E327059" w14:textId="487AAE83" w:rsidR="00EA5A0A" w:rsidRPr="00AD3B9A" w:rsidRDefault="00EA5A0A" w:rsidP="00AA3506">
      <w:pPr>
        <w:numPr>
          <w:ilvl w:val="0"/>
          <w:numId w:val="64"/>
        </w:numPr>
        <w:ind w:left="567" w:hanging="567"/>
        <w:textAlignment w:val="baseline"/>
        <w:rPr>
          <w:rFonts w:eastAsia="Times New Roman" w:cs="Calibri"/>
          <w:lang w:eastAsia="pl-PL"/>
        </w:rPr>
      </w:pPr>
      <w:r w:rsidRPr="00AD3B9A">
        <w:rPr>
          <w:rFonts w:eastAsia="Times New Roman" w:cs="Calibri"/>
          <w:lang w:eastAsia="pl-PL"/>
        </w:rPr>
        <w:t>dokonuje się analizy przyczyn tych zagrożeń i wprowadza do planu gospodarowania wodami na obszarze dorzecza lub jego aktualizacji działania uzupełniające, o których mowa w art. 324 ust.</w:t>
      </w:r>
      <w:r w:rsidR="00980B19">
        <w:rPr>
          <w:rFonts w:eastAsia="Times New Roman" w:cs="Calibri"/>
          <w:lang w:eastAsia="pl-PL"/>
        </w:rPr>
        <w:t> </w:t>
      </w:r>
      <w:r w:rsidRPr="00AD3B9A">
        <w:rPr>
          <w:rFonts w:eastAsia="Times New Roman" w:cs="Calibri"/>
          <w:lang w:eastAsia="pl-PL"/>
        </w:rPr>
        <w:t>4</w:t>
      </w:r>
      <w:r w:rsidR="00980B19">
        <w:rPr>
          <w:rFonts w:eastAsia="Times New Roman" w:cs="Calibri"/>
          <w:lang w:eastAsia="pl-PL"/>
        </w:rPr>
        <w:t xml:space="preserve"> ustawy </w:t>
      </w:r>
      <w:r w:rsidRPr="00AD3B9A">
        <w:rPr>
          <w:rFonts w:eastAsia="Times New Roman" w:cs="Calibri"/>
          <w:lang w:eastAsia="pl-PL"/>
        </w:rPr>
        <w:t>pr.w., w tym, jeżeli jest to uzasadnione, ustala się bardziej restrykcyjne środowiskowe normy jakości; W takim przypadku, zgodnie z art. 325 ust. 3 ustawy pr. w.</w:t>
      </w:r>
      <w:r w:rsidRPr="00AD3B9A">
        <w:rPr>
          <w:rFonts w:ascii="Times New Roman" w:eastAsia="Times New Roman" w:hAnsi="Times New Roman"/>
          <w:i/>
          <w:iCs/>
          <w:sz w:val="24"/>
          <w:szCs w:val="24"/>
          <w:lang w:eastAsia="pl-PL"/>
        </w:rPr>
        <w:t>,</w:t>
      </w:r>
      <w:r w:rsidRPr="00AD3B9A">
        <w:rPr>
          <w:rFonts w:eastAsia="Times New Roman" w:cs="Calibri"/>
          <w:lang w:eastAsia="pl-PL"/>
        </w:rPr>
        <w:t> minister właściwy do spraw gospodarki wodnej dokonuje analizy przyczyny zagrożeń i wprowadza do planu gospodarowania wodami na obszarze dorzecza lub jego aktualizacji działania uzupełniające; </w:t>
      </w:r>
    </w:p>
    <w:p w14:paraId="300CC965" w14:textId="77777777" w:rsidR="00EA5A0A" w:rsidRPr="00AD3B9A" w:rsidRDefault="00EA5A0A" w:rsidP="00AA3506">
      <w:pPr>
        <w:numPr>
          <w:ilvl w:val="0"/>
          <w:numId w:val="64"/>
        </w:numPr>
        <w:ind w:left="567" w:hanging="567"/>
        <w:textAlignment w:val="baseline"/>
        <w:rPr>
          <w:rFonts w:eastAsia="Times New Roman" w:cs="Calibri"/>
          <w:lang w:eastAsia="pl-PL"/>
        </w:rPr>
      </w:pPr>
      <w:r w:rsidRPr="00AD3B9A">
        <w:rPr>
          <w:rFonts w:eastAsia="Times New Roman" w:cs="Calibri"/>
          <w:lang w:eastAsia="pl-PL"/>
        </w:rPr>
        <w:t>dokonuje się dodatkowego przeglądu udzielonych pozwoleń wodnoprawnych; </w:t>
      </w:r>
    </w:p>
    <w:p w14:paraId="7596F0F8" w14:textId="77777777" w:rsidR="00EA5A0A" w:rsidRPr="00AD3B9A" w:rsidRDefault="00EA5A0A" w:rsidP="00AA3506">
      <w:pPr>
        <w:numPr>
          <w:ilvl w:val="0"/>
          <w:numId w:val="64"/>
        </w:numPr>
        <w:ind w:left="567" w:hanging="567"/>
        <w:textAlignment w:val="baseline"/>
        <w:rPr>
          <w:rFonts w:eastAsia="Times New Roman" w:cs="Calibri"/>
          <w:lang w:eastAsia="pl-PL"/>
        </w:rPr>
      </w:pPr>
      <w:r w:rsidRPr="00AD3B9A">
        <w:rPr>
          <w:rFonts w:eastAsia="Times New Roman" w:cs="Calibri"/>
          <w:lang w:eastAsia="pl-PL"/>
        </w:rPr>
        <w:t>poddaje się przeglądowi programy monitoringu wód i w razie potrzeby właściwie je dostosowuje w celu zapewnienia osiągnięcia celów środowiskowych. </w:t>
      </w:r>
    </w:p>
    <w:p w14:paraId="3AA74CA9" w14:textId="1082F081" w:rsidR="00EA5A0A" w:rsidRPr="00AD3B9A" w:rsidRDefault="00EA5A0A" w:rsidP="00EA5A0A">
      <w:pPr>
        <w:textAlignment w:val="baseline"/>
        <w:rPr>
          <w:rFonts w:ascii="Segoe UI" w:eastAsia="Times New Roman" w:hAnsi="Segoe UI" w:cs="Segoe UI"/>
          <w:sz w:val="18"/>
          <w:szCs w:val="18"/>
          <w:lang w:eastAsia="pl-PL"/>
        </w:rPr>
      </w:pPr>
      <w:r w:rsidRPr="00AD3B9A">
        <w:rPr>
          <w:rFonts w:eastAsia="Times New Roman" w:cs="Calibri"/>
          <w:lang w:eastAsia="pl-PL"/>
        </w:rPr>
        <w:t xml:space="preserve">Jednocześnie zgodnie z art. 416 ust. 2 ustawy pr.w., jeżeli na podstawie wyników monitoringu wód lub innych danych (w tym danych uzyskanych w toku opracowywania projektu planu gospodarowania wodami na obszarze dorzecza lub jego aktualizacji) minister właściwy do spraw gospodarki wodnej stwierdzi, że jest zagrożone osiągnięcie celów środowiskowych, to organ właściwy w sprawach pozwoleń wodnoprawnych dokonuje (w oparciu o przyczyny zagrożeń osiągnięcia celów środowiskowych wskazane przez ministra </w:t>
      </w:r>
      <w:r>
        <w:rPr>
          <w:rFonts w:eastAsia="Times New Roman" w:cs="Calibri"/>
          <w:lang w:eastAsia="pl-PL"/>
        </w:rPr>
        <w:t>-</w:t>
      </w:r>
      <w:r w:rsidRPr="00AD3B9A">
        <w:rPr>
          <w:rFonts w:eastAsia="Times New Roman" w:cs="Calibri"/>
          <w:lang w:eastAsia="pl-PL"/>
        </w:rPr>
        <w:t> art. 325 ust. 4</w:t>
      </w:r>
      <w:r w:rsidR="00980B19">
        <w:rPr>
          <w:rFonts w:eastAsia="Times New Roman" w:cs="Calibri"/>
          <w:lang w:eastAsia="pl-PL"/>
        </w:rPr>
        <w:t xml:space="preserve"> ustawy </w:t>
      </w:r>
      <w:r w:rsidRPr="00AD3B9A">
        <w:rPr>
          <w:rFonts w:eastAsia="Times New Roman" w:cs="Calibri"/>
          <w:lang w:eastAsia="pl-PL"/>
        </w:rPr>
        <w:t>pr.w.) dodatkowego przeglądu pozwoleń wodnoprawnych na pobór wód lub wprowadzanie ścieków do wód lub do ziemi.  </w:t>
      </w:r>
    </w:p>
    <w:p w14:paraId="3F34BEE5" w14:textId="73E3BD20" w:rsidR="00EA5A0A" w:rsidRPr="00AD3B9A" w:rsidRDefault="00EA5A0A" w:rsidP="00EA5A0A">
      <w:pPr>
        <w:textAlignment w:val="baseline"/>
        <w:rPr>
          <w:rFonts w:ascii="Segoe UI" w:eastAsia="Times New Roman" w:hAnsi="Segoe UI" w:cs="Segoe UI"/>
          <w:sz w:val="18"/>
          <w:szCs w:val="18"/>
          <w:lang w:eastAsia="pl-PL"/>
        </w:rPr>
      </w:pPr>
      <w:r w:rsidRPr="00AD3B9A">
        <w:rPr>
          <w:rFonts w:eastAsia="Times New Roman" w:cs="Calibri"/>
          <w:lang w:eastAsia="pl-PL"/>
        </w:rPr>
        <w:t xml:space="preserve">Realizacja działań określonych w art. 325 ust.1 pkt 1 </w:t>
      </w:r>
      <w:r w:rsidR="00980B19">
        <w:rPr>
          <w:rFonts w:eastAsia="Times New Roman" w:cs="Calibri"/>
          <w:lang w:eastAsia="pl-PL"/>
        </w:rPr>
        <w:t xml:space="preserve">ustawy </w:t>
      </w:r>
      <w:r w:rsidRPr="00AD3B9A">
        <w:rPr>
          <w:rFonts w:eastAsia="Times New Roman" w:cs="Calibri"/>
          <w:lang w:eastAsia="pl-PL"/>
        </w:rPr>
        <w:t>pr.w. stanowi element, dokonywanych w</w:t>
      </w:r>
      <w:r w:rsidR="00C4673D">
        <w:rPr>
          <w:rFonts w:eastAsia="Times New Roman" w:cs="Calibri"/>
          <w:lang w:eastAsia="pl-PL"/>
        </w:rPr>
        <w:t> </w:t>
      </w:r>
      <w:r w:rsidRPr="00AD3B9A">
        <w:rPr>
          <w:rFonts w:eastAsia="Times New Roman" w:cs="Calibri"/>
          <w:lang w:eastAsia="pl-PL"/>
        </w:rPr>
        <w:t>cyklach sześcioletnich, aktualizacji planów gospodarowania wodami.  </w:t>
      </w:r>
    </w:p>
    <w:p w14:paraId="658C2650" w14:textId="74FDC0B0" w:rsidR="00EA5A0A" w:rsidRPr="00AD3B9A" w:rsidRDefault="00E03BD1" w:rsidP="00EA5A0A">
      <w:pPr>
        <w:textAlignment w:val="baseline"/>
        <w:rPr>
          <w:rFonts w:ascii="Segoe UI" w:eastAsia="Times New Roman" w:hAnsi="Segoe UI" w:cs="Segoe UI"/>
          <w:sz w:val="18"/>
          <w:szCs w:val="18"/>
          <w:lang w:eastAsia="pl-PL"/>
        </w:rPr>
      </w:pPr>
      <w:bookmarkStart w:id="501" w:name="_Hlk67644690"/>
      <w:r w:rsidRPr="00BE6358">
        <w:rPr>
          <w:rFonts w:eastAsia="Times New Roman" w:cs="Calibri"/>
          <w:lang w:eastAsia="pl-PL"/>
        </w:rPr>
        <w:t>Działania, o których mowa w art. 325 ust. 1. pkt. 2-3 ustawy pr.w. w aPGW uznano jako działanie o charakterze ciągłym i włączono do katalogu działań krajowych. IIaPGW wprowadza działania polegające na przeprowadzeniu dodatkowych przeglądów pozwoleń wodnoprawnych (jcwp i jcwpd), jako działania uzupełniające indywidualne dla poszczególnych jcw w zestawach działań (załącznik nr 6 do IIaPGW). Zestawienie działań z katalogów poszczególnych kategorii wód, w zakresie działań, o których mowa w art. 325 ust. 1 pkt. 2 ustawy pr.w., przedstawia poniższa tabela.</w:t>
      </w:r>
      <w:bookmarkEnd w:id="501"/>
    </w:p>
    <w:p w14:paraId="4CA6C412" w14:textId="2C3716F6" w:rsidR="00EA5A0A" w:rsidRDefault="00EA5A0A" w:rsidP="006802BB">
      <w:pPr>
        <w:pStyle w:val="Tabela"/>
        <w:rPr>
          <w:lang w:eastAsia="pl-PL"/>
        </w:rPr>
      </w:pPr>
      <w:bookmarkStart w:id="502" w:name="_Toc66311371"/>
      <w:bookmarkStart w:id="503" w:name="_Toc68727060"/>
      <w:r>
        <w:t xml:space="preserve">Tabela </w:t>
      </w:r>
      <w:fldSimple w:instr=" STYLEREF 1 \s ">
        <w:r w:rsidR="00815A8B">
          <w:rPr>
            <w:noProof/>
          </w:rPr>
          <w:t>13</w:t>
        </w:r>
      </w:fldSimple>
      <w:r w:rsidR="007B4050">
        <w:noBreakHyphen/>
      </w:r>
      <w:fldSimple w:instr=" SEQ Tabela \* ARABIC \s 1 ">
        <w:r w:rsidR="00815A8B">
          <w:rPr>
            <w:noProof/>
          </w:rPr>
          <w:t>20</w:t>
        </w:r>
      </w:fldSimple>
      <w:r>
        <w:tab/>
      </w:r>
      <w:r w:rsidRPr="00AD3B9A">
        <w:rPr>
          <w:lang w:eastAsia="pl-PL"/>
        </w:rPr>
        <w:t xml:space="preserve">Działania, o których mowa w art. 325 ust.1 pkt. 2 </w:t>
      </w:r>
      <w:r w:rsidR="00980B19">
        <w:rPr>
          <w:lang w:eastAsia="pl-PL"/>
        </w:rPr>
        <w:t xml:space="preserve">ustawy </w:t>
      </w:r>
      <w:r w:rsidRPr="00AD3B9A">
        <w:rPr>
          <w:lang w:eastAsia="pl-PL"/>
        </w:rPr>
        <w:t xml:space="preserve">pr.w. </w:t>
      </w:r>
      <w:r>
        <w:rPr>
          <w:lang w:eastAsia="pl-PL"/>
        </w:rPr>
        <w:t>-</w:t>
      </w:r>
      <w:r w:rsidRPr="00AD3B9A">
        <w:rPr>
          <w:lang w:eastAsia="pl-PL"/>
        </w:rPr>
        <w:t xml:space="preserve"> katalog działań krajowych IIaPGW</w:t>
      </w:r>
      <w:bookmarkEnd w:id="502"/>
      <w:bookmarkEnd w:id="503"/>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2"/>
        <w:gridCol w:w="1833"/>
        <w:gridCol w:w="1831"/>
      </w:tblGrid>
      <w:tr w:rsidR="00E03BD1" w:rsidRPr="000A635C" w14:paraId="0606E1C9" w14:textId="77777777" w:rsidTr="00BD005D">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92164AF" w14:textId="77777777" w:rsidR="00E03BD1" w:rsidRPr="00BE6358" w:rsidRDefault="00E03BD1" w:rsidP="00BD005D">
            <w:pPr>
              <w:pStyle w:val="Teksttabelinaglowek"/>
              <w:rPr>
                <w:rFonts w:ascii="Times New Roman" w:hAnsi="Times New Roman"/>
                <w:sz w:val="24"/>
                <w:szCs w:val="24"/>
                <w:lang w:eastAsia="pl-PL"/>
              </w:rPr>
            </w:pPr>
            <w:bookmarkStart w:id="504" w:name="_Hlk67644725"/>
            <w:r w:rsidRPr="00BE6358">
              <w:rPr>
                <w:lang w:eastAsia="pl-PL"/>
              </w:rPr>
              <w:t>Nazwa działania</w:t>
            </w:r>
          </w:p>
        </w:tc>
        <w:tc>
          <w:tcPr>
            <w:tcW w:w="1012"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71206024" w14:textId="77777777" w:rsidR="00E03BD1" w:rsidRPr="00BE6358" w:rsidRDefault="00E03BD1" w:rsidP="00BD005D">
            <w:pPr>
              <w:pStyle w:val="Teksttabelinaglowek"/>
              <w:rPr>
                <w:rFonts w:ascii="Times New Roman" w:hAnsi="Times New Roman"/>
                <w:sz w:val="24"/>
                <w:szCs w:val="24"/>
                <w:lang w:eastAsia="pl-PL"/>
              </w:rPr>
            </w:pPr>
            <w:r w:rsidRPr="00BE6358">
              <w:rPr>
                <w:lang w:eastAsia="pl-PL"/>
              </w:rPr>
              <w:t>Podstawa prawna </w:t>
            </w:r>
          </w:p>
        </w:tc>
        <w:tc>
          <w:tcPr>
            <w:tcW w:w="1011" w:type="pct"/>
            <w:tcBorders>
              <w:top w:val="single" w:sz="6" w:space="0" w:color="auto"/>
              <w:left w:val="nil"/>
              <w:bottom w:val="single" w:sz="6" w:space="0" w:color="auto"/>
              <w:right w:val="single" w:sz="6" w:space="0" w:color="auto"/>
            </w:tcBorders>
            <w:shd w:val="clear" w:color="auto" w:fill="BFBFBF" w:themeFill="background1" w:themeFillShade="BF"/>
            <w:vAlign w:val="center"/>
          </w:tcPr>
          <w:p w14:paraId="02154BBA" w14:textId="77777777" w:rsidR="00E03BD1" w:rsidRPr="00BE6358" w:rsidRDefault="00E03BD1" w:rsidP="00BD005D">
            <w:pPr>
              <w:pStyle w:val="Teksttabelinaglowek"/>
              <w:rPr>
                <w:lang w:eastAsia="pl-PL"/>
              </w:rPr>
            </w:pPr>
            <w:r w:rsidRPr="00BE6358">
              <w:rPr>
                <w:lang w:eastAsia="pl-PL"/>
              </w:rPr>
              <w:t>Harmonogram realizacji</w:t>
            </w:r>
          </w:p>
        </w:tc>
      </w:tr>
      <w:tr w:rsidR="00E03BD1" w:rsidRPr="000A635C" w14:paraId="5280653B" w14:textId="77777777" w:rsidTr="00BD005D">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1108CE0" w14:textId="77777777" w:rsidR="00E03BD1" w:rsidRPr="00BE6358" w:rsidRDefault="00E03BD1" w:rsidP="00BD005D">
            <w:pPr>
              <w:pStyle w:val="Teksttabelilewy"/>
              <w:rPr>
                <w:rFonts w:ascii="Times New Roman" w:hAnsi="Times New Roman"/>
                <w:sz w:val="24"/>
                <w:szCs w:val="24"/>
                <w:lang w:eastAsia="pl-PL"/>
              </w:rPr>
            </w:pPr>
            <w:r w:rsidRPr="00BE6358">
              <w:rPr>
                <w:lang w:eastAsia="pl-PL"/>
              </w:rPr>
              <w:t>Dodatkowy przegląd pozwoleń wodnoprawnych, uwzględniający faktyczne zapotrzebowanie na wodę oraz dostępne zasoby wód podziemnych, a nie możliwości techniczne poboru wody z ujęcia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hideMark/>
          </w:tcPr>
          <w:p w14:paraId="02F94855" w14:textId="77777777" w:rsidR="00E03BD1" w:rsidRPr="00BE6358" w:rsidRDefault="00E03BD1" w:rsidP="00BD005D">
            <w:pPr>
              <w:pStyle w:val="Teksttabelisrodek"/>
              <w:rPr>
                <w:rFonts w:ascii="Times New Roman" w:hAnsi="Times New Roman"/>
                <w:sz w:val="24"/>
                <w:szCs w:val="24"/>
              </w:rPr>
            </w:pPr>
            <w:r w:rsidRPr="00BE6358">
              <w:t>art. 325 ustawy pr.w. </w:t>
            </w:r>
          </w:p>
        </w:tc>
        <w:tc>
          <w:tcPr>
            <w:tcW w:w="1011" w:type="pct"/>
            <w:tcBorders>
              <w:top w:val="single" w:sz="6" w:space="0" w:color="auto"/>
              <w:left w:val="nil"/>
              <w:bottom w:val="single" w:sz="6" w:space="0" w:color="auto"/>
              <w:right w:val="single" w:sz="6" w:space="0" w:color="auto"/>
            </w:tcBorders>
            <w:vAlign w:val="center"/>
          </w:tcPr>
          <w:p w14:paraId="30589CB4" w14:textId="77777777" w:rsidR="00E03BD1" w:rsidRPr="00BE6358" w:rsidRDefault="00E03BD1" w:rsidP="00BD005D">
            <w:pPr>
              <w:pStyle w:val="Teksttabelisrodek"/>
            </w:pPr>
            <w:r w:rsidRPr="00BE6358">
              <w:t>działanie ciągłe</w:t>
            </w:r>
          </w:p>
        </w:tc>
      </w:tr>
      <w:tr w:rsidR="00E03BD1" w:rsidRPr="000A635C" w14:paraId="33CD2C13" w14:textId="77777777" w:rsidTr="00BD005D">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tcPr>
          <w:p w14:paraId="22B86FFD" w14:textId="77777777" w:rsidR="00E03BD1" w:rsidRPr="00BE6358" w:rsidRDefault="00E03BD1" w:rsidP="00BD005D">
            <w:pPr>
              <w:pStyle w:val="Teksttabelilewy"/>
              <w:rPr>
                <w:lang w:eastAsia="pl-PL"/>
              </w:rPr>
            </w:pPr>
            <w:r w:rsidRPr="00BE6358">
              <w:rPr>
                <w:lang w:eastAsia="pl-PL"/>
              </w:rPr>
              <w:t>Dodatkowy przegląd pozwoleń wodnoprawnych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tcPr>
          <w:p w14:paraId="18ACF170" w14:textId="77777777" w:rsidR="00E03BD1" w:rsidRPr="00BE6358" w:rsidRDefault="00E03BD1" w:rsidP="00BD005D">
            <w:pPr>
              <w:pStyle w:val="Teksttabelisrodek"/>
            </w:pPr>
            <w:r w:rsidRPr="00BE6358">
              <w:t>art. 325 ustawy pr.w. </w:t>
            </w:r>
          </w:p>
        </w:tc>
        <w:tc>
          <w:tcPr>
            <w:tcW w:w="1011" w:type="pct"/>
            <w:tcBorders>
              <w:top w:val="single" w:sz="6" w:space="0" w:color="auto"/>
              <w:left w:val="nil"/>
              <w:bottom w:val="single" w:sz="6" w:space="0" w:color="auto"/>
              <w:right w:val="single" w:sz="6" w:space="0" w:color="auto"/>
            </w:tcBorders>
            <w:vAlign w:val="center"/>
          </w:tcPr>
          <w:p w14:paraId="3DB715D4" w14:textId="77777777" w:rsidR="00E03BD1" w:rsidRPr="000A635C" w:rsidRDefault="00E03BD1" w:rsidP="00BD005D">
            <w:pPr>
              <w:pStyle w:val="Teksttabelisrodek"/>
            </w:pPr>
            <w:r w:rsidRPr="00BE6358">
              <w:t>2024</w:t>
            </w:r>
          </w:p>
        </w:tc>
      </w:tr>
    </w:tbl>
    <w:bookmarkEnd w:id="504"/>
    <w:p w14:paraId="222566FA" w14:textId="77777777" w:rsidR="00F340C7" w:rsidRPr="001E4D45" w:rsidRDefault="00F340C7" w:rsidP="00F340C7">
      <w:pPr>
        <w:pStyle w:val="rdo0"/>
      </w:pPr>
      <w:r w:rsidRPr="001E4D45">
        <w:rPr>
          <w:lang w:eastAsia="zh-CN"/>
        </w:rPr>
        <w:t xml:space="preserve">Źródło: opracowanie </w:t>
      </w:r>
      <w:r>
        <w:rPr>
          <w:lang w:eastAsia="zh-CN"/>
        </w:rPr>
        <w:t>własne</w:t>
      </w:r>
    </w:p>
    <w:p w14:paraId="4B6B8213" w14:textId="3C03B287" w:rsidR="00E03BD1" w:rsidRDefault="00E03BD1" w:rsidP="00EA5A0A">
      <w:pPr>
        <w:textAlignment w:val="baseline"/>
        <w:rPr>
          <w:rFonts w:eastAsia="Times New Roman" w:cs="Calibri"/>
          <w:lang w:eastAsia="pl-PL"/>
        </w:rPr>
      </w:pPr>
      <w:r>
        <w:rPr>
          <w:rFonts w:eastAsia="Times New Roman" w:cs="Calibri"/>
          <w:lang w:eastAsia="pl-PL"/>
        </w:rPr>
        <w:t xml:space="preserve">W obszarze dorzecza Pregoły działania dotyczące dodatkowych przeglądów pozwoleń wodnoprawnych przypisano wyłącznie w zestawie działań jcwp RW do 2 jcwp. </w:t>
      </w:r>
    </w:p>
    <w:p w14:paraId="223FCD9A" w14:textId="7400528B" w:rsidR="00EA5A0A" w:rsidRPr="00AD3B9A" w:rsidRDefault="00EA5A0A" w:rsidP="00EA5A0A">
      <w:pPr>
        <w:textAlignment w:val="baseline"/>
        <w:rPr>
          <w:rFonts w:ascii="Segoe UI" w:eastAsia="Times New Roman" w:hAnsi="Segoe UI" w:cs="Segoe UI"/>
          <w:sz w:val="18"/>
          <w:szCs w:val="18"/>
          <w:lang w:eastAsia="pl-PL"/>
        </w:rPr>
      </w:pPr>
      <w:r w:rsidRPr="00AD3B9A">
        <w:rPr>
          <w:rFonts w:eastAsia="Times New Roman" w:cs="Calibri"/>
          <w:lang w:eastAsia="pl-PL"/>
        </w:rPr>
        <w:t>Zgodnie z art. 325 ust. 4-6 pr.w. minister właściwy do spraw gospodarki wodnej informuje organy właściwe w sprawach pozwoleń wodnoprawnych o konieczności dokonania dodatkowego przeglądu udzielonych pozwoleń wodnoprawnych, wskazując przyczyny zagrożeń osiągnięcia celów środowiskowych, o których mowa w ust. 1 pkt 1.</w:t>
      </w:r>
      <w:r w:rsidR="00980B19">
        <w:rPr>
          <w:rFonts w:eastAsia="Times New Roman" w:cs="Calibri"/>
          <w:lang w:eastAsia="pl-PL"/>
        </w:rPr>
        <w:t xml:space="preserve"> ustawy </w:t>
      </w:r>
      <w:r w:rsidRPr="00AD3B9A">
        <w:rPr>
          <w:rFonts w:eastAsia="Times New Roman" w:cs="Calibri"/>
          <w:lang w:eastAsia="pl-PL"/>
        </w:rPr>
        <w:t>pr.w. Organy właściwe w sprawach pozwoleń wodnoprawnych przekazują ministrowi właściwemu do spraw gospodarki wodnej wyniki przeglądu pozwoleń wodnoprawnych, o którym mowa w ust. 1 pkt 2</w:t>
      </w:r>
      <w:r w:rsidR="00980B19">
        <w:rPr>
          <w:rFonts w:eastAsia="Times New Roman" w:cs="Calibri"/>
          <w:lang w:eastAsia="pl-PL"/>
        </w:rPr>
        <w:t xml:space="preserve"> ustawy </w:t>
      </w:r>
      <w:r w:rsidRPr="00AD3B9A">
        <w:rPr>
          <w:rFonts w:eastAsia="Times New Roman" w:cs="Calibri"/>
          <w:lang w:eastAsia="pl-PL"/>
        </w:rPr>
        <w:t>pr.w., w terminie 6 miesięcy od dnia przekazania informacji, o której mowa w ust. 4, wskazując pozwolenia wodnoprawne, które powinny zostać cofnięte lub ograniczone w celu zapobieżenia zagrożeniu osiągnięcia celów środowiskowych.  </w:t>
      </w:r>
    </w:p>
    <w:p w14:paraId="04BF4752" w14:textId="6029FD0F" w:rsidR="00EA5A0A" w:rsidRPr="00AD3B9A" w:rsidRDefault="00EA5A0A" w:rsidP="00EA5A0A">
      <w:pPr>
        <w:textAlignment w:val="baseline"/>
        <w:rPr>
          <w:rFonts w:ascii="Segoe UI" w:eastAsia="Times New Roman" w:hAnsi="Segoe UI" w:cs="Segoe UI"/>
          <w:sz w:val="18"/>
          <w:szCs w:val="18"/>
          <w:lang w:eastAsia="pl-PL"/>
        </w:rPr>
      </w:pPr>
      <w:r w:rsidRPr="00AD3B9A">
        <w:rPr>
          <w:rFonts w:eastAsia="Times New Roman" w:cs="Calibri"/>
          <w:lang w:eastAsia="pl-PL"/>
        </w:rPr>
        <w:t>Przyjęta w lipcu 2017 r. ustawa pr.w. wprowadziła zmiany w zakresie kompetencji jednostek odpowiedzialnych za wykonywanie analizy przyczyn zagrożeń nieosiągnięcia celów środowiskowych oraz przeglądów pozwoleń wodnoprawnych. Ze względu na krótki czas na skorzystanie z możliwości, jakie daje art. 325</w:t>
      </w:r>
      <w:r w:rsidR="00980B19">
        <w:rPr>
          <w:rFonts w:eastAsia="Times New Roman" w:cs="Calibri"/>
          <w:lang w:eastAsia="pl-PL"/>
        </w:rPr>
        <w:t xml:space="preserve"> ustawy </w:t>
      </w:r>
      <w:r w:rsidRPr="00AD3B9A">
        <w:rPr>
          <w:rFonts w:eastAsia="Times New Roman" w:cs="Calibri"/>
          <w:lang w:eastAsia="pl-PL"/>
        </w:rPr>
        <w:t>pr.w., analiza przyczyn tych zagrożeń została wykonana w ramach pracy </w:t>
      </w:r>
      <w:r w:rsidRPr="00AD3B9A">
        <w:rPr>
          <w:rFonts w:eastAsia="Times New Roman" w:cs="Calibri"/>
          <w:i/>
          <w:iCs/>
          <w:lang w:eastAsia="pl-PL"/>
        </w:rPr>
        <w:t xml:space="preserve">Analiza znaczących oddziaływań </w:t>
      </w:r>
      <w:r>
        <w:rPr>
          <w:rFonts w:eastAsia="Times New Roman" w:cs="Calibri"/>
          <w:i/>
          <w:iCs/>
          <w:lang w:eastAsia="pl-PL"/>
        </w:rPr>
        <w:t>-</w:t>
      </w:r>
      <w:r w:rsidRPr="00AD3B9A">
        <w:rPr>
          <w:rFonts w:eastAsia="Times New Roman" w:cs="Calibri"/>
          <w:i/>
          <w:iCs/>
          <w:lang w:eastAsia="pl-PL"/>
        </w:rPr>
        <w:t xml:space="preserve"> jcwp (…)</w:t>
      </w:r>
      <w:r w:rsidRPr="00AD3B9A">
        <w:rPr>
          <w:rFonts w:eastAsia="Times New Roman" w:cs="Calibri"/>
          <w:lang w:eastAsia="pl-PL"/>
        </w:rPr>
        <w:t>, a dodatkowe przeglądy pozwoleń zostały wskazane w zestawie działań IIaPGW. </w:t>
      </w:r>
    </w:p>
    <w:p w14:paraId="01C2ED93" w14:textId="7C1A9929" w:rsidR="00EA5A0A" w:rsidRPr="00EA5A0A" w:rsidRDefault="00EA5A0A" w:rsidP="00EA5A0A">
      <w:r w:rsidRPr="00AD3B9A">
        <w:rPr>
          <w:rFonts w:eastAsia="Times New Roman" w:cs="Calibri"/>
          <w:lang w:eastAsia="pl-PL"/>
        </w:rPr>
        <w:t>Programy monitoringu aktualizowane są w cyklach sześcioletnich zgodnych z cyklami planistycznymi planów gospodarowania wodami w wyniku czego w każdym cyklu  obowiązującą jest sieć monitoringu zaprojektowana odpowiednio do zidentyfikowanych presji znaczących. Ostatnia aktualizacja sieci monitoringu przeprowadzona została na potrzeby obecnego cyklu planistycznego tj. 2022-2027. Szczegółowe informacje dotyczące sieci monitoringu 2022-2027 przedstawia rozdział 5 IIaPGW.</w:t>
      </w:r>
      <w:bookmarkEnd w:id="500"/>
    </w:p>
    <w:p w14:paraId="7A4A5B74" w14:textId="64C8DFFD" w:rsidR="00332A4E" w:rsidRDefault="00400955" w:rsidP="00B50FFD">
      <w:pPr>
        <w:pStyle w:val="Nagwek2"/>
      </w:pPr>
      <w:bookmarkStart w:id="505" w:name="_Toc51050114"/>
      <w:bookmarkStart w:id="506" w:name="_Toc68726919"/>
      <w:r w:rsidRPr="006F786F">
        <w:t xml:space="preserve">Informacje o sposobie prowadzenia działań polegających na utrzymywaniu </w:t>
      </w:r>
      <w:r w:rsidR="00332A4E" w:rsidRPr="006F786F">
        <w:t>wód</w:t>
      </w:r>
      <w:bookmarkEnd w:id="506"/>
    </w:p>
    <w:p w14:paraId="5A67060D" w14:textId="168C8A26" w:rsidR="00EA5311" w:rsidRPr="001231BC" w:rsidRDefault="00EA5311" w:rsidP="00EA5311">
      <w:pPr>
        <w:suppressAutoHyphens/>
        <w:spacing w:line="276" w:lineRule="auto"/>
        <w:rPr>
          <w:rFonts w:asciiTheme="minorHAnsi" w:hAnsiTheme="minorHAnsi" w:cstheme="minorHAnsi"/>
        </w:rPr>
      </w:pPr>
      <w:bookmarkStart w:id="507" w:name="_Toc56897964"/>
      <w:bookmarkStart w:id="508" w:name="_Toc57733489"/>
      <w:bookmarkStart w:id="509" w:name="_Toc58893042"/>
      <w:bookmarkStart w:id="510" w:name="_Toc61969393"/>
      <w:r w:rsidRPr="001231BC">
        <w:rPr>
          <w:rFonts w:asciiTheme="minorHAnsi" w:hAnsiTheme="minorHAnsi" w:cstheme="minorHAnsi"/>
          <w:bCs/>
        </w:rPr>
        <w:t xml:space="preserve">Zgodnie z art. 318 ust. 1 pkt 15 ustawy </w:t>
      </w:r>
      <w:r>
        <w:rPr>
          <w:rFonts w:asciiTheme="minorHAnsi" w:hAnsiTheme="minorHAnsi" w:cstheme="minorHAnsi"/>
          <w:bCs/>
        </w:rPr>
        <w:t>pr.w.</w:t>
      </w:r>
      <w:r w:rsidRPr="001231BC">
        <w:rPr>
          <w:rFonts w:asciiTheme="minorHAnsi" w:hAnsiTheme="minorHAnsi" w:cstheme="minorHAnsi"/>
          <w:bCs/>
        </w:rPr>
        <w:t xml:space="preserve"> oraz §2 ust. 1 pkt 21 r.p.g.w. w planie gospodarowania wodami powinny się znaleźć </w:t>
      </w:r>
      <w:r w:rsidRPr="001231BC">
        <w:rPr>
          <w:rFonts w:asciiTheme="minorHAnsi" w:hAnsiTheme="minorHAnsi" w:cstheme="minorHAnsi"/>
        </w:rPr>
        <w:t>informacje o sposobie prowadzenia działań polegających na utrzymywaniu wód, uwzględniających cele środowiskowe określone w art. 56, art. 57, art. 59 oraz w</w:t>
      </w:r>
      <w:r w:rsidR="000405AC">
        <w:rPr>
          <w:rFonts w:asciiTheme="minorHAnsi" w:hAnsiTheme="minorHAnsi" w:cstheme="minorHAnsi"/>
        </w:rPr>
        <w:t> </w:t>
      </w:r>
      <w:r w:rsidRPr="001231BC">
        <w:rPr>
          <w:rFonts w:asciiTheme="minorHAnsi" w:hAnsiTheme="minorHAnsi" w:cstheme="minorHAnsi"/>
        </w:rPr>
        <w:t>art. 61</w:t>
      </w:r>
      <w:r>
        <w:rPr>
          <w:rFonts w:asciiTheme="minorHAnsi" w:hAnsiTheme="minorHAnsi" w:cstheme="minorHAnsi"/>
        </w:rPr>
        <w:t xml:space="preserve"> ustawy pr.w.</w:t>
      </w:r>
    </w:p>
    <w:p w14:paraId="3D60080D" w14:textId="1840C3DB" w:rsidR="00EA5311" w:rsidRPr="001231BC" w:rsidRDefault="00EA5311" w:rsidP="00EA5311">
      <w:pPr>
        <w:suppressAutoHyphens/>
        <w:spacing w:line="276" w:lineRule="auto"/>
        <w:rPr>
          <w:rFonts w:asciiTheme="minorHAnsi" w:hAnsiTheme="minorHAnsi" w:cstheme="minorHAnsi"/>
        </w:rPr>
      </w:pPr>
      <w:r w:rsidRPr="001231BC">
        <w:rPr>
          <w:rFonts w:asciiTheme="minorHAnsi" w:hAnsiTheme="minorHAnsi" w:cstheme="minorHAnsi"/>
        </w:rPr>
        <w:t>Ustawa pr.w. art. 226 ust. 1 wskazuje, że właściciel wód zobowiązany jest do utrzymania wód z</w:t>
      </w:r>
      <w:r w:rsidR="000405AC">
        <w:rPr>
          <w:rFonts w:asciiTheme="minorHAnsi" w:hAnsiTheme="minorHAnsi" w:cstheme="minorHAnsi"/>
        </w:rPr>
        <w:t> </w:t>
      </w:r>
      <w:r w:rsidRPr="001231BC">
        <w:rPr>
          <w:rFonts w:asciiTheme="minorHAnsi" w:hAnsiTheme="minorHAnsi" w:cstheme="minorHAnsi"/>
        </w:rPr>
        <w:t>uwzględnieniem konieczności osiągnięcia celów środowiskowych, o których mowa w art. 56, art. 57, art. 59 oraz w art. 61.</w:t>
      </w:r>
      <w:r>
        <w:rPr>
          <w:rFonts w:asciiTheme="minorHAnsi" w:hAnsiTheme="minorHAnsi" w:cstheme="minorHAnsi"/>
        </w:rPr>
        <w:t xml:space="preserve"> </w:t>
      </w:r>
      <w:r w:rsidRPr="001231BC">
        <w:rPr>
          <w:rFonts w:asciiTheme="minorHAnsi" w:hAnsiTheme="minorHAnsi" w:cstheme="minorHAnsi"/>
        </w:rPr>
        <w:t>Utrzymywanie wód publicznych obejmuje działania:</w:t>
      </w:r>
    </w:p>
    <w:p w14:paraId="2821A0B5" w14:textId="77777777" w:rsidR="00EA5311" w:rsidRPr="00676DFC" w:rsidRDefault="00EA5311" w:rsidP="00AA3506">
      <w:pPr>
        <w:pStyle w:val="Numerowanie"/>
        <w:numPr>
          <w:ilvl w:val="0"/>
          <w:numId w:val="47"/>
        </w:numPr>
      </w:pPr>
      <w:r w:rsidRPr="00676DFC">
        <w:t>wynikające z PUW;</w:t>
      </w:r>
    </w:p>
    <w:p w14:paraId="2D1F0C42" w14:textId="77777777" w:rsidR="00EA5311" w:rsidRPr="00676DFC" w:rsidRDefault="00EA5311" w:rsidP="00F06393">
      <w:pPr>
        <w:pStyle w:val="Numerowanie"/>
      </w:pPr>
      <w:r w:rsidRPr="00676DFC">
        <w:t>niewynikające z PUW, jeżeli nie wywierają one istotnego wpływu na osiągnięcie celów środowiskowych, o których mowa w art. 56, art. 57, art. 59 oraz w art. 61 ustawy pr.w.;</w:t>
      </w:r>
    </w:p>
    <w:p w14:paraId="1B2604EA" w14:textId="171F54AC" w:rsidR="00EA5311" w:rsidRPr="00676DFC" w:rsidRDefault="00EA5311" w:rsidP="00F06393">
      <w:pPr>
        <w:pStyle w:val="Numerowanie"/>
      </w:pPr>
      <w:r w:rsidRPr="00676DFC">
        <w:t>niewynikające z PUW, jeżeli zachodzi pilna i uzasadniona konieczność realizacji tych działań z</w:t>
      </w:r>
      <w:r w:rsidR="000405AC">
        <w:t> </w:t>
      </w:r>
      <w:r w:rsidRPr="00676DFC">
        <w:t>uwagi na zapewnienie ochrony przed powodzią lub suszą oraz w związku z koniecznością usunięcia skutków powodzi lub suszy.</w:t>
      </w:r>
    </w:p>
    <w:p w14:paraId="1C973CAF" w14:textId="10FB1AA8" w:rsidR="00EA5311" w:rsidRPr="001231BC" w:rsidRDefault="00EA5311" w:rsidP="00EA5311">
      <w:pPr>
        <w:suppressAutoHyphens/>
        <w:spacing w:line="276" w:lineRule="auto"/>
        <w:rPr>
          <w:rFonts w:asciiTheme="minorHAnsi" w:hAnsiTheme="minorHAnsi" w:cstheme="minorHAnsi"/>
        </w:rPr>
      </w:pPr>
      <w:r w:rsidRPr="00686372">
        <w:rPr>
          <w:rFonts w:asciiTheme="minorHAnsi" w:hAnsiTheme="minorHAnsi" w:cstheme="minorHAnsi"/>
        </w:rPr>
        <w:t xml:space="preserve">Zgodnie z art. 227 ust. 3 </w:t>
      </w:r>
      <w:r w:rsidR="00980B19">
        <w:rPr>
          <w:rFonts w:asciiTheme="minorHAnsi" w:hAnsiTheme="minorHAnsi" w:cstheme="minorHAnsi"/>
        </w:rPr>
        <w:t xml:space="preserve">ustawy </w:t>
      </w:r>
      <w:r w:rsidRPr="00686372">
        <w:rPr>
          <w:rFonts w:asciiTheme="minorHAnsi" w:hAnsiTheme="minorHAnsi" w:cstheme="minorHAnsi"/>
        </w:rPr>
        <w:t>pr.w. utrzymywanie wód, o których mowa w ust. 1, realizowane jest przez:</w:t>
      </w:r>
      <w:r w:rsidRPr="001231BC">
        <w:rPr>
          <w:rFonts w:asciiTheme="minorHAnsi" w:hAnsiTheme="minorHAnsi" w:cstheme="minorHAnsi"/>
        </w:rPr>
        <w:t xml:space="preserve"> utrzymywanie publicznych śródlądowych wód powierzchniowych oraz morskich wód wewnętrznych polega także na zachowaniu stanu dna lub brzegów oraz na remoncie lub konserwacji istniejących budowli regulacyjnych.</w:t>
      </w:r>
    </w:p>
    <w:p w14:paraId="70FFB779" w14:textId="77777777" w:rsidR="00EA5311" w:rsidRPr="001231BC" w:rsidRDefault="00EA5311" w:rsidP="00EA5311">
      <w:pPr>
        <w:suppressAutoHyphens/>
        <w:spacing w:line="276" w:lineRule="auto"/>
        <w:rPr>
          <w:rFonts w:asciiTheme="minorHAnsi" w:hAnsiTheme="minorHAnsi" w:cstheme="minorHAnsi"/>
        </w:rPr>
      </w:pPr>
      <w:r w:rsidRPr="001231BC">
        <w:rPr>
          <w:rFonts w:asciiTheme="minorHAnsi" w:hAnsiTheme="minorHAnsi" w:cstheme="minorHAnsi"/>
        </w:rPr>
        <w:t>Utrzymywanie wód ma na celu zapewnienie:</w:t>
      </w:r>
    </w:p>
    <w:p w14:paraId="1D2E9C1D" w14:textId="77777777" w:rsidR="00EA5311" w:rsidRPr="00676DFC" w:rsidRDefault="00EA5311" w:rsidP="00AA3506">
      <w:pPr>
        <w:pStyle w:val="Numerowanie"/>
        <w:numPr>
          <w:ilvl w:val="0"/>
          <w:numId w:val="48"/>
        </w:numPr>
      </w:pPr>
      <w:r w:rsidRPr="00676DFC">
        <w:t>ochrony przed powodzią lub usuwania skutków powodzi;</w:t>
      </w:r>
    </w:p>
    <w:p w14:paraId="2027C174" w14:textId="77777777" w:rsidR="00EA5311" w:rsidRPr="00676DFC" w:rsidRDefault="00EA5311" w:rsidP="00F06393">
      <w:pPr>
        <w:pStyle w:val="Numerowanie"/>
      </w:pPr>
      <w:r w:rsidRPr="00676DFC">
        <w:t>spływu lodu oraz przeciwdziałania powstawaniu niekorzystnych zjawisk lodowych;</w:t>
      </w:r>
    </w:p>
    <w:p w14:paraId="30354C78" w14:textId="77777777" w:rsidR="00EA5311" w:rsidRPr="00676DFC" w:rsidRDefault="00EA5311" w:rsidP="00F06393">
      <w:pPr>
        <w:pStyle w:val="Numerowanie"/>
      </w:pPr>
      <w:r w:rsidRPr="00676DFC">
        <w:t>warunków umożliwiających korzystanie z wód, w tym utrzymywania zwierciadła wody na poziomie umożliwiającym funkcjonowanie urządzeń wodnych, obiektów mostowych, rurociągów, linii energetycznych, linii telekomunikacyjnych oraz innych urządzeń;</w:t>
      </w:r>
    </w:p>
    <w:p w14:paraId="07C35C75" w14:textId="77777777" w:rsidR="00EA5311" w:rsidRPr="00676DFC" w:rsidRDefault="00EA5311" w:rsidP="00F06393">
      <w:pPr>
        <w:pStyle w:val="Numerowanie"/>
      </w:pPr>
      <w:r w:rsidRPr="00676DFC">
        <w:t>warunków eksploatacyjnych śródlądowych dróg wodnych określonych w przepisach wydanych na podstawie art. 42 ust. 4 ustawy z dnia 21 grudnia 2000 r. o żegludze śródlądowej;</w:t>
      </w:r>
    </w:p>
    <w:p w14:paraId="6CBEA534" w14:textId="25BE1583" w:rsidR="00EA5311" w:rsidRPr="00676DFC" w:rsidRDefault="00EA5311" w:rsidP="00F06393">
      <w:pPr>
        <w:pStyle w:val="Numerowanie"/>
      </w:pPr>
      <w:r w:rsidRPr="00676DFC">
        <w:t>działania urządzeń wodnych, w szczególności ich odpowiedniego stanu technicznego i</w:t>
      </w:r>
      <w:r w:rsidR="000405AC">
        <w:t> </w:t>
      </w:r>
      <w:r w:rsidRPr="00676DFC">
        <w:t>funkcjonalnego;</w:t>
      </w:r>
    </w:p>
    <w:p w14:paraId="68D4BEA3" w14:textId="22192B83" w:rsidR="00EA5311" w:rsidRPr="001231BC" w:rsidRDefault="00EA5311" w:rsidP="00EA5311">
      <w:pPr>
        <w:suppressAutoHyphens/>
        <w:spacing w:line="276" w:lineRule="auto"/>
        <w:rPr>
          <w:rFonts w:asciiTheme="minorHAnsi" w:hAnsiTheme="minorHAnsi" w:cstheme="minorHAnsi"/>
        </w:rPr>
      </w:pPr>
      <w:r w:rsidRPr="001231BC">
        <w:rPr>
          <w:rFonts w:asciiTheme="minorHAnsi" w:hAnsiTheme="minorHAnsi" w:cstheme="minorHAnsi"/>
        </w:rPr>
        <w:t xml:space="preserve">i nie powinno uniemożliwić osiągnięcia celów środowiskowych określonych w art. 56, art. 57, art. 59 oraz w art. 61, przy uwzględnieniu dopuszczalności nieosiągnięcia celów środowiskowych, o której mowa w art. 66 </w:t>
      </w:r>
      <w:r w:rsidR="00980B19">
        <w:rPr>
          <w:rFonts w:asciiTheme="minorHAnsi" w:hAnsiTheme="minorHAnsi" w:cstheme="minorHAnsi"/>
        </w:rPr>
        <w:t xml:space="preserve">ustawy </w:t>
      </w:r>
      <w:r w:rsidRPr="001231BC">
        <w:rPr>
          <w:rFonts w:asciiTheme="minorHAnsi" w:hAnsiTheme="minorHAnsi" w:cstheme="minorHAnsi"/>
        </w:rPr>
        <w:t>pr.w.</w:t>
      </w:r>
    </w:p>
    <w:p w14:paraId="44A27212" w14:textId="448D2F3E" w:rsidR="00EA5311" w:rsidRPr="001231BC" w:rsidRDefault="00EA5311" w:rsidP="00EA5311">
      <w:pPr>
        <w:suppressAutoHyphens/>
        <w:spacing w:line="276" w:lineRule="auto"/>
        <w:rPr>
          <w:rFonts w:asciiTheme="minorHAnsi" w:hAnsiTheme="minorHAnsi" w:cstheme="minorHAnsi"/>
        </w:rPr>
      </w:pPr>
      <w:r>
        <w:rPr>
          <w:rFonts w:asciiTheme="minorHAnsi" w:hAnsiTheme="minorHAnsi" w:cstheme="minorHAnsi"/>
        </w:rPr>
        <w:t xml:space="preserve">Zgodnie z art. </w:t>
      </w:r>
      <w:r w:rsidRPr="001231BC">
        <w:rPr>
          <w:rFonts w:asciiTheme="minorHAnsi" w:hAnsiTheme="minorHAnsi" w:cstheme="minorHAnsi"/>
        </w:rPr>
        <w:t xml:space="preserve">art. 227 ust. 2 </w:t>
      </w:r>
      <w:r w:rsidR="00980B19">
        <w:rPr>
          <w:rFonts w:asciiTheme="minorHAnsi" w:hAnsiTheme="minorHAnsi" w:cstheme="minorHAnsi"/>
        </w:rPr>
        <w:t xml:space="preserve">ustawy </w:t>
      </w:r>
      <w:r w:rsidRPr="001231BC">
        <w:rPr>
          <w:rFonts w:asciiTheme="minorHAnsi" w:hAnsiTheme="minorHAnsi" w:cstheme="minorHAnsi"/>
        </w:rPr>
        <w:t>pr.w.</w:t>
      </w:r>
      <w:r>
        <w:rPr>
          <w:rFonts w:asciiTheme="minorHAnsi" w:hAnsiTheme="minorHAnsi" w:cstheme="minorHAnsi"/>
        </w:rPr>
        <w:t xml:space="preserve"> u</w:t>
      </w:r>
      <w:r w:rsidRPr="001231BC">
        <w:rPr>
          <w:rFonts w:asciiTheme="minorHAnsi" w:hAnsiTheme="minorHAnsi" w:cstheme="minorHAnsi"/>
        </w:rPr>
        <w:t>trzymywanie wód realizowane jest przez</w:t>
      </w:r>
      <w:r>
        <w:rPr>
          <w:rFonts w:asciiTheme="minorHAnsi" w:hAnsiTheme="minorHAnsi" w:cstheme="minorHAnsi"/>
        </w:rPr>
        <w:t>:</w:t>
      </w:r>
    </w:p>
    <w:p w14:paraId="26FEE3DF" w14:textId="77777777" w:rsidR="00EA5311" w:rsidRPr="00676DFC" w:rsidRDefault="00EA5311" w:rsidP="00AA3506">
      <w:pPr>
        <w:pStyle w:val="Numerowanie"/>
        <w:numPr>
          <w:ilvl w:val="0"/>
          <w:numId w:val="49"/>
        </w:numPr>
      </w:pPr>
      <w:r w:rsidRPr="00676DFC">
        <w:t>wykaszanie roślin z dna oraz brzegów śródlądowych wód powierzchniowych;</w:t>
      </w:r>
    </w:p>
    <w:p w14:paraId="1B78B8DB" w14:textId="77777777" w:rsidR="00EA5311" w:rsidRPr="00676DFC" w:rsidRDefault="00EA5311" w:rsidP="00F06393">
      <w:pPr>
        <w:pStyle w:val="Numerowanie"/>
      </w:pPr>
      <w:r w:rsidRPr="00676DFC">
        <w:t>usuwanie roślin pływających i korzeniących się w dnie śródlądowych wód powierzchniowych;</w:t>
      </w:r>
    </w:p>
    <w:p w14:paraId="0158710B" w14:textId="77777777" w:rsidR="00EA5311" w:rsidRPr="00676DFC" w:rsidRDefault="00EA5311" w:rsidP="00F06393">
      <w:pPr>
        <w:pStyle w:val="Numerowanie"/>
      </w:pPr>
      <w:r w:rsidRPr="00676DFC">
        <w:t>usuwanie drzew i krzewów porastających dno oraz brzegi śródlądowych wód powierzchniowych;</w:t>
      </w:r>
    </w:p>
    <w:p w14:paraId="38F5716A" w14:textId="66EF078B" w:rsidR="00EA5311" w:rsidRPr="00676DFC" w:rsidRDefault="00EA5311" w:rsidP="00F06393">
      <w:pPr>
        <w:pStyle w:val="Numerowanie"/>
      </w:pPr>
      <w:r w:rsidRPr="00676DFC">
        <w:t>usuwanie ze śródlądowych wód powierzchniowych przeszkód naturalnych oraz wynikających z</w:t>
      </w:r>
      <w:r w:rsidR="000405AC">
        <w:t> </w:t>
      </w:r>
      <w:r w:rsidRPr="00676DFC">
        <w:t>działalności człowieka;</w:t>
      </w:r>
    </w:p>
    <w:p w14:paraId="3B0CAEC0" w14:textId="77777777" w:rsidR="00EA5311" w:rsidRPr="00676DFC" w:rsidRDefault="00EA5311" w:rsidP="00F06393">
      <w:pPr>
        <w:pStyle w:val="Numerowanie"/>
      </w:pPr>
      <w:r w:rsidRPr="00676DFC">
        <w:t>zasypywanie wyrw w brzegach i dnie śródlądowych wód powierzchniowych oraz ich zabudowę biologiczną;</w:t>
      </w:r>
    </w:p>
    <w:p w14:paraId="7098C660" w14:textId="77777777" w:rsidR="00EA5311" w:rsidRPr="00676DFC" w:rsidRDefault="00EA5311" w:rsidP="00F06393">
      <w:pPr>
        <w:pStyle w:val="Numerowanie"/>
      </w:pPr>
      <w:r w:rsidRPr="00676DFC">
        <w:t>udrażnianie śródlądowych wód powierzchniowych przez usuwanie zatorów utrudniających swobodny przepływ wód oraz usuwanie namułów i rumoszu;</w:t>
      </w:r>
    </w:p>
    <w:p w14:paraId="2FFF4DC8" w14:textId="77777777" w:rsidR="00EA5311" w:rsidRPr="00676DFC" w:rsidRDefault="00EA5311" w:rsidP="00F06393">
      <w:pPr>
        <w:pStyle w:val="Numerowanie"/>
      </w:pPr>
      <w:r w:rsidRPr="00676DFC">
        <w:t>remont lub konserwację stanowiących własność właściciela wód:</w:t>
      </w:r>
    </w:p>
    <w:p w14:paraId="7057C3B3" w14:textId="77777777" w:rsidR="00EA5311" w:rsidRPr="00676DFC" w:rsidRDefault="00EA5311" w:rsidP="006213C3">
      <w:pPr>
        <w:pStyle w:val="Akapitzlist"/>
      </w:pPr>
      <w:r w:rsidRPr="00676DFC">
        <w:t>ubezpieczeń w obrębie urządzeń wodnych,</w:t>
      </w:r>
    </w:p>
    <w:p w14:paraId="71FBA641" w14:textId="77777777" w:rsidR="00EA5311" w:rsidRPr="00676DFC" w:rsidRDefault="00EA5311" w:rsidP="006213C3">
      <w:pPr>
        <w:pStyle w:val="Akapitzlist"/>
      </w:pPr>
      <w:r w:rsidRPr="00676DFC">
        <w:t>budowli regulacyjnych;</w:t>
      </w:r>
    </w:p>
    <w:p w14:paraId="5E26121C" w14:textId="77777777" w:rsidR="00EA5311" w:rsidRPr="00676DFC" w:rsidRDefault="00EA5311" w:rsidP="00F06393">
      <w:pPr>
        <w:pStyle w:val="Numerowanie"/>
      </w:pPr>
      <w:r w:rsidRPr="00676DFC">
        <w:t>rozbiórkę lub modyfikację tam bobrowych oraz zasypywanie nor bobrów lub nor innych zwierząt w brzegach śródlądowych wód powierzchniowych.</w:t>
      </w:r>
    </w:p>
    <w:p w14:paraId="759197CE" w14:textId="74FA45BD" w:rsidR="00EA5311" w:rsidRDefault="00EA5311" w:rsidP="00EA5311">
      <w:pPr>
        <w:shd w:val="clear" w:color="auto" w:fill="FFFFFF"/>
        <w:suppressAutoHyphens/>
        <w:rPr>
          <w:rFonts w:asciiTheme="minorHAnsi" w:hAnsiTheme="minorHAnsi" w:cstheme="minorHAnsi"/>
          <w:color w:val="222222"/>
        </w:rPr>
      </w:pPr>
      <w:r>
        <w:rPr>
          <w:rFonts w:asciiTheme="minorHAnsi" w:hAnsiTheme="minorHAnsi" w:cstheme="minorHAnsi"/>
          <w:color w:val="222222"/>
        </w:rPr>
        <w:t>Aspekt sposobu prowadzenia prac utrzymaniowych stanowi jeden z elementów, w którym widoczne są zmiany wynikające z ustawy pr.w. Ustawa</w:t>
      </w:r>
      <w:r w:rsidRPr="001231BC">
        <w:rPr>
          <w:rFonts w:asciiTheme="minorHAnsi" w:hAnsiTheme="minorHAnsi" w:cstheme="minorHAnsi"/>
          <w:color w:val="222222"/>
        </w:rPr>
        <w:t xml:space="preserve"> pr.w. nie </w:t>
      </w:r>
      <w:r>
        <w:rPr>
          <w:rFonts w:asciiTheme="minorHAnsi" w:hAnsiTheme="minorHAnsi" w:cstheme="minorHAnsi"/>
          <w:color w:val="222222"/>
        </w:rPr>
        <w:t>zmieniła</w:t>
      </w:r>
      <w:r w:rsidRPr="001231BC">
        <w:rPr>
          <w:rFonts w:asciiTheme="minorHAnsi" w:hAnsiTheme="minorHAnsi" w:cstheme="minorHAnsi"/>
          <w:color w:val="222222"/>
        </w:rPr>
        <w:t xml:space="preserve"> brzmieni</w:t>
      </w:r>
      <w:r>
        <w:rPr>
          <w:rFonts w:asciiTheme="minorHAnsi" w:hAnsiTheme="minorHAnsi" w:cstheme="minorHAnsi"/>
          <w:color w:val="222222"/>
        </w:rPr>
        <w:t>a</w:t>
      </w:r>
      <w:r w:rsidRPr="001231BC">
        <w:rPr>
          <w:rFonts w:asciiTheme="minorHAnsi" w:hAnsiTheme="minorHAnsi" w:cstheme="minorHAnsi"/>
          <w:color w:val="222222"/>
        </w:rPr>
        <w:t xml:space="preserve"> przepisów dotyczących celów utrzymania wód oraz kategorii prac utrzymaniowych. </w:t>
      </w:r>
      <w:r>
        <w:rPr>
          <w:rFonts w:asciiTheme="minorHAnsi" w:hAnsiTheme="minorHAnsi" w:cstheme="minorHAnsi"/>
          <w:color w:val="222222"/>
        </w:rPr>
        <w:t>Jednakże o</w:t>
      </w:r>
      <w:r w:rsidRPr="001231BC">
        <w:rPr>
          <w:rFonts w:asciiTheme="minorHAnsi" w:hAnsiTheme="minorHAnsi" w:cstheme="minorHAnsi"/>
          <w:color w:val="222222"/>
        </w:rPr>
        <w:t>d dnia 1 stycznia 2018 r</w:t>
      </w:r>
      <w:r>
        <w:rPr>
          <w:rFonts w:asciiTheme="minorHAnsi" w:hAnsiTheme="minorHAnsi" w:cstheme="minorHAnsi"/>
          <w:color w:val="222222"/>
        </w:rPr>
        <w:t>.</w:t>
      </w:r>
      <w:r w:rsidRPr="001231BC">
        <w:rPr>
          <w:rFonts w:asciiTheme="minorHAnsi" w:hAnsiTheme="minorHAnsi" w:cstheme="minorHAnsi"/>
          <w:color w:val="222222"/>
        </w:rPr>
        <w:t xml:space="preserve"> zasadniczej zmianie uległa organizacja jednostek odpowiedzialnych za utrzymanie wód. PGW</w:t>
      </w:r>
      <w:r w:rsidR="001B1731">
        <w:rPr>
          <w:rFonts w:asciiTheme="minorHAnsi" w:hAnsiTheme="minorHAnsi" w:cstheme="minorHAnsi"/>
          <w:color w:val="222222"/>
        </w:rPr>
        <w:t xml:space="preserve"> </w:t>
      </w:r>
      <w:r w:rsidRPr="001231BC">
        <w:rPr>
          <w:rFonts w:asciiTheme="minorHAnsi" w:hAnsiTheme="minorHAnsi" w:cstheme="minorHAnsi"/>
          <w:color w:val="222222"/>
        </w:rPr>
        <w:t>WP</w:t>
      </w:r>
      <w:r>
        <w:rPr>
          <w:rFonts w:asciiTheme="minorHAnsi" w:hAnsiTheme="minorHAnsi" w:cstheme="minorHAnsi"/>
          <w:color w:val="222222"/>
        </w:rPr>
        <w:t>,</w:t>
      </w:r>
      <w:r w:rsidRPr="001231BC">
        <w:rPr>
          <w:rFonts w:asciiTheme="minorHAnsi" w:hAnsiTheme="minorHAnsi" w:cstheme="minorHAnsi"/>
          <w:color w:val="222222"/>
        </w:rPr>
        <w:t xml:space="preserve"> na po</w:t>
      </w:r>
      <w:r>
        <w:rPr>
          <w:rFonts w:asciiTheme="minorHAnsi" w:hAnsiTheme="minorHAnsi" w:cstheme="minorHAnsi"/>
          <w:color w:val="222222"/>
        </w:rPr>
        <w:t>d</w:t>
      </w:r>
      <w:r w:rsidRPr="001231BC">
        <w:rPr>
          <w:rFonts w:asciiTheme="minorHAnsi" w:hAnsiTheme="minorHAnsi" w:cstheme="minorHAnsi"/>
          <w:color w:val="222222"/>
        </w:rPr>
        <w:t xml:space="preserve">stawie ustawy pr.w. weszło w prawa i obowiązki WZMiUW. Artykuł 240 ust. 4 pkt. 8 </w:t>
      </w:r>
      <w:r w:rsidR="00980B19">
        <w:rPr>
          <w:rFonts w:asciiTheme="minorHAnsi" w:hAnsiTheme="minorHAnsi" w:cstheme="minorHAnsi"/>
          <w:color w:val="222222"/>
        </w:rPr>
        <w:t xml:space="preserve">ustawy </w:t>
      </w:r>
      <w:r w:rsidRPr="001231BC">
        <w:rPr>
          <w:rFonts w:asciiTheme="minorHAnsi" w:hAnsiTheme="minorHAnsi" w:cstheme="minorHAnsi"/>
          <w:color w:val="222222"/>
        </w:rPr>
        <w:t xml:space="preserve">pr.w. stanowi, że </w:t>
      </w:r>
      <w:r>
        <w:rPr>
          <w:rFonts w:asciiTheme="minorHAnsi" w:hAnsiTheme="minorHAnsi" w:cstheme="minorHAnsi"/>
          <w:color w:val="222222"/>
        </w:rPr>
        <w:t>ZZ WP</w:t>
      </w:r>
      <w:r w:rsidRPr="001231BC">
        <w:rPr>
          <w:rFonts w:asciiTheme="minorHAnsi" w:hAnsiTheme="minorHAnsi" w:cstheme="minorHAnsi"/>
          <w:color w:val="222222"/>
        </w:rPr>
        <w:t xml:space="preserve"> </w:t>
      </w:r>
      <w:r w:rsidRPr="001231BC">
        <w:rPr>
          <w:rFonts w:asciiTheme="minorHAnsi" w:hAnsiTheme="minorHAnsi" w:cstheme="minorHAnsi"/>
          <w:i/>
          <w:iCs/>
          <w:color w:val="222222"/>
        </w:rPr>
        <w:t>realizują zadania związane z utrzymaniem wód i pozostałego mienia Skarbu Państwa związanego z</w:t>
      </w:r>
      <w:r w:rsidR="00AC1E43">
        <w:rPr>
          <w:rFonts w:asciiTheme="minorHAnsi" w:hAnsiTheme="minorHAnsi" w:cstheme="minorHAnsi"/>
          <w:i/>
          <w:iCs/>
          <w:color w:val="222222"/>
        </w:rPr>
        <w:t> </w:t>
      </w:r>
      <w:r w:rsidRPr="001231BC">
        <w:rPr>
          <w:rFonts w:asciiTheme="minorHAnsi" w:hAnsiTheme="minorHAnsi" w:cstheme="minorHAnsi"/>
          <w:i/>
          <w:iCs/>
          <w:color w:val="222222"/>
        </w:rPr>
        <w:t>gospodarką wodną, w tym obwałowań oraz obszaru międzywala</w:t>
      </w:r>
      <w:r w:rsidRPr="001231BC">
        <w:rPr>
          <w:rFonts w:asciiTheme="minorHAnsi" w:hAnsiTheme="minorHAnsi" w:cstheme="minorHAnsi"/>
          <w:color w:val="222222"/>
        </w:rPr>
        <w:t xml:space="preserve">. Tak więc obecnie jednostkami odpowiedzialnymi za utrzymanie wód i wykonywanie prac utrzymaniowych są </w:t>
      </w:r>
      <w:r>
        <w:rPr>
          <w:rFonts w:asciiTheme="minorHAnsi" w:hAnsiTheme="minorHAnsi" w:cstheme="minorHAnsi"/>
          <w:color w:val="222222"/>
        </w:rPr>
        <w:t>ZZ WP</w:t>
      </w:r>
      <w:r w:rsidRPr="001231BC">
        <w:rPr>
          <w:rFonts w:asciiTheme="minorHAnsi" w:hAnsiTheme="minorHAnsi" w:cstheme="minorHAnsi"/>
          <w:color w:val="222222"/>
        </w:rPr>
        <w:t>, w</w:t>
      </w:r>
      <w:r w:rsidR="00C4673D">
        <w:rPr>
          <w:rFonts w:asciiTheme="minorHAnsi" w:hAnsiTheme="minorHAnsi" w:cstheme="minorHAnsi"/>
          <w:color w:val="222222"/>
        </w:rPr>
        <w:t> </w:t>
      </w:r>
      <w:r w:rsidRPr="001231BC">
        <w:rPr>
          <w:rFonts w:asciiTheme="minorHAnsi" w:hAnsiTheme="minorHAnsi" w:cstheme="minorHAnsi"/>
          <w:color w:val="222222"/>
        </w:rPr>
        <w:t xml:space="preserve">ramach właściwych </w:t>
      </w:r>
      <w:r>
        <w:rPr>
          <w:rFonts w:asciiTheme="minorHAnsi" w:hAnsiTheme="minorHAnsi" w:cstheme="minorHAnsi"/>
          <w:color w:val="222222"/>
        </w:rPr>
        <w:t>RZGW WP</w:t>
      </w:r>
      <w:r w:rsidRPr="001231BC">
        <w:rPr>
          <w:rFonts w:asciiTheme="minorHAnsi" w:hAnsiTheme="minorHAnsi" w:cstheme="minorHAnsi"/>
          <w:color w:val="222222"/>
        </w:rPr>
        <w:t xml:space="preserve">, które </w:t>
      </w:r>
      <w:r w:rsidRPr="00836801">
        <w:rPr>
          <w:rFonts w:asciiTheme="minorHAnsi" w:hAnsiTheme="minorHAnsi" w:cstheme="minorHAnsi"/>
          <w:i/>
          <w:iCs/>
          <w:color w:val="222222"/>
        </w:rPr>
        <w:t>wykonują prawa właścicielskie Skarbu Państwa w stosunku do śródlądowych wód płynących oraz gruntów pokrytych tymi wodami</w:t>
      </w:r>
      <w:r w:rsidRPr="001231BC">
        <w:rPr>
          <w:rFonts w:asciiTheme="minorHAnsi" w:hAnsiTheme="minorHAnsi" w:cstheme="minorHAnsi"/>
          <w:color w:val="222222"/>
        </w:rPr>
        <w:t xml:space="preserve"> (art. 240, ust. 3 pkt. 9 </w:t>
      </w:r>
      <w:r w:rsidR="00980B19">
        <w:rPr>
          <w:rFonts w:asciiTheme="minorHAnsi" w:hAnsiTheme="minorHAnsi" w:cstheme="minorHAnsi"/>
          <w:color w:val="222222"/>
        </w:rPr>
        <w:t xml:space="preserve">ustawy </w:t>
      </w:r>
      <w:r w:rsidRPr="001231BC">
        <w:rPr>
          <w:rFonts w:asciiTheme="minorHAnsi" w:hAnsiTheme="minorHAnsi" w:cstheme="minorHAnsi"/>
          <w:color w:val="222222"/>
        </w:rPr>
        <w:t>pr.w.).</w:t>
      </w:r>
      <w:r w:rsidR="00AC1E43">
        <w:rPr>
          <w:rFonts w:asciiTheme="minorHAnsi" w:hAnsiTheme="minorHAnsi" w:cstheme="minorHAnsi"/>
          <w:color w:val="222222"/>
        </w:rPr>
        <w:t xml:space="preserve"> </w:t>
      </w:r>
      <w:r w:rsidRPr="001231BC">
        <w:rPr>
          <w:rFonts w:asciiTheme="minorHAnsi" w:hAnsiTheme="minorHAnsi" w:cstheme="minorHAnsi"/>
          <w:color w:val="222222"/>
        </w:rPr>
        <w:t xml:space="preserve">Zmiana ta miała na celu m. in. zwiększenie koordynacji działań z zakresu gospodarowania wodami oraz zapewnienie spójnego, kompleksowego zarządzania w gospodarce wodnej poprzez skupienie zadań w tym obszarze w jednej instytucji </w:t>
      </w:r>
      <w:r w:rsidR="006C4947">
        <w:rPr>
          <w:rFonts w:asciiTheme="minorHAnsi" w:hAnsiTheme="minorHAnsi" w:cstheme="minorHAnsi"/>
          <w:color w:val="222222"/>
        </w:rPr>
        <w:t>-</w:t>
      </w:r>
      <w:r w:rsidRPr="001231BC">
        <w:rPr>
          <w:rFonts w:asciiTheme="minorHAnsi" w:hAnsiTheme="minorHAnsi" w:cstheme="minorHAnsi"/>
          <w:color w:val="222222"/>
        </w:rPr>
        <w:t xml:space="preserve"> PGW</w:t>
      </w:r>
      <w:r w:rsidR="001B1731">
        <w:rPr>
          <w:rFonts w:asciiTheme="minorHAnsi" w:hAnsiTheme="minorHAnsi" w:cstheme="minorHAnsi"/>
          <w:color w:val="222222"/>
        </w:rPr>
        <w:t xml:space="preserve"> </w:t>
      </w:r>
      <w:r w:rsidRPr="001231BC">
        <w:rPr>
          <w:rFonts w:asciiTheme="minorHAnsi" w:hAnsiTheme="minorHAnsi" w:cstheme="minorHAnsi"/>
          <w:color w:val="222222"/>
        </w:rPr>
        <w:t>WP</w:t>
      </w:r>
      <w:r>
        <w:rPr>
          <w:rFonts w:asciiTheme="minorHAnsi" w:hAnsiTheme="minorHAnsi" w:cstheme="minorHAnsi"/>
          <w:color w:val="222222"/>
        </w:rPr>
        <w:t xml:space="preserve">. </w:t>
      </w:r>
    </w:p>
    <w:p w14:paraId="6D79BFA8" w14:textId="40985EB1" w:rsidR="00EA5311" w:rsidRPr="001231BC" w:rsidRDefault="00EA5311" w:rsidP="00EA5311">
      <w:pPr>
        <w:shd w:val="clear" w:color="auto" w:fill="FFFFFF"/>
        <w:suppressAutoHyphens/>
        <w:rPr>
          <w:rFonts w:asciiTheme="minorHAnsi" w:hAnsiTheme="minorHAnsi" w:cstheme="minorHAnsi"/>
          <w:color w:val="222222"/>
        </w:rPr>
      </w:pPr>
      <w:r w:rsidRPr="00CF42C3">
        <w:rPr>
          <w:rFonts w:asciiTheme="minorHAnsi" w:hAnsiTheme="minorHAnsi" w:cstheme="minorHAnsi"/>
        </w:rPr>
        <w:t>Podstawowym źródłem danych o sposobie prowadzenia działań w ramach pracach utrzymaniowych w</w:t>
      </w:r>
      <w:r w:rsidR="00AC1E43">
        <w:rPr>
          <w:rFonts w:asciiTheme="minorHAnsi" w:hAnsiTheme="minorHAnsi" w:cstheme="minorHAnsi"/>
        </w:rPr>
        <w:t> </w:t>
      </w:r>
      <w:r w:rsidRPr="00CF42C3">
        <w:rPr>
          <w:rFonts w:asciiTheme="minorHAnsi" w:hAnsiTheme="minorHAnsi" w:cstheme="minorHAnsi"/>
        </w:rPr>
        <w:t>cyklu planistycznym 20</w:t>
      </w:r>
      <w:r>
        <w:rPr>
          <w:rFonts w:asciiTheme="minorHAnsi" w:hAnsiTheme="minorHAnsi" w:cstheme="minorHAnsi"/>
        </w:rPr>
        <w:t>16</w:t>
      </w:r>
      <w:r w:rsidRPr="00CF42C3">
        <w:rPr>
          <w:rFonts w:asciiTheme="minorHAnsi" w:hAnsiTheme="minorHAnsi" w:cstheme="minorHAnsi"/>
        </w:rPr>
        <w:t xml:space="preserve">-2021 są </w:t>
      </w:r>
      <w:r>
        <w:rPr>
          <w:rFonts w:asciiTheme="minorHAnsi" w:hAnsiTheme="minorHAnsi" w:cstheme="minorHAnsi"/>
        </w:rPr>
        <w:t>PUW</w:t>
      </w:r>
      <w:r w:rsidRPr="00CF42C3">
        <w:rPr>
          <w:rFonts w:asciiTheme="minorHAnsi" w:hAnsiTheme="minorHAnsi" w:cstheme="minorHAnsi"/>
        </w:rPr>
        <w:t xml:space="preserve">, które zostały opracowane przez poszczególne RZGW </w:t>
      </w:r>
      <w:r>
        <w:rPr>
          <w:rFonts w:asciiTheme="minorHAnsi" w:hAnsiTheme="minorHAnsi" w:cstheme="minorHAnsi"/>
        </w:rPr>
        <w:t>WP</w:t>
      </w:r>
      <w:r w:rsidRPr="00CF42C3">
        <w:rPr>
          <w:rFonts w:asciiTheme="minorHAnsi" w:hAnsiTheme="minorHAnsi" w:cstheme="minorHAnsi"/>
        </w:rPr>
        <w:t xml:space="preserve"> dla </w:t>
      </w:r>
      <w:r>
        <w:rPr>
          <w:rFonts w:asciiTheme="minorHAnsi" w:hAnsiTheme="minorHAnsi" w:cstheme="minorHAnsi"/>
        </w:rPr>
        <w:t xml:space="preserve">obszarów przez nie administrowanych </w:t>
      </w:r>
      <w:r w:rsidRPr="00CF42C3">
        <w:rPr>
          <w:rFonts w:asciiTheme="minorHAnsi" w:hAnsiTheme="minorHAnsi" w:cstheme="minorHAnsi"/>
        </w:rPr>
        <w:t xml:space="preserve">i </w:t>
      </w:r>
      <w:r w:rsidRPr="00630C30">
        <w:t>przyjęte w formie aktów prawnych - rozporządzeń.</w:t>
      </w:r>
    </w:p>
    <w:p w14:paraId="34177D2A" w14:textId="6BB4539A" w:rsidR="005B203E" w:rsidRDefault="005B203E" w:rsidP="00B50FFD">
      <w:pPr>
        <w:pStyle w:val="Nagwek3"/>
      </w:pPr>
      <w:bookmarkStart w:id="511" w:name="_Toc68726920"/>
      <w:r w:rsidRPr="001231BC">
        <w:t>Działania wykonywane na poziomie obszaru dorzecza oraz regionu wodnego na</w:t>
      </w:r>
      <w:r w:rsidR="00C4673D">
        <w:t> </w:t>
      </w:r>
      <w:r w:rsidRPr="001231BC">
        <w:t>podstawie PUW</w:t>
      </w:r>
      <w:bookmarkEnd w:id="511"/>
    </w:p>
    <w:p w14:paraId="76DDC657" w14:textId="77777777" w:rsidR="00EA5311" w:rsidRDefault="00EA5311" w:rsidP="00EA5311">
      <w:pPr>
        <w:rPr>
          <w:rFonts w:asciiTheme="minorHAnsi" w:hAnsiTheme="minorHAnsi" w:cstheme="minorHAnsi"/>
        </w:rPr>
      </w:pPr>
      <w:r w:rsidRPr="00836801">
        <w:rPr>
          <w:rFonts w:asciiTheme="minorHAnsi" w:hAnsiTheme="minorHAnsi" w:cstheme="minorHAnsi"/>
        </w:rPr>
        <w:t>D</w:t>
      </w:r>
      <w:r>
        <w:rPr>
          <w:rFonts w:asciiTheme="minorHAnsi" w:hAnsiTheme="minorHAnsi" w:cstheme="minorHAnsi"/>
        </w:rPr>
        <w:t>ziałania wykonywane na poziomie obszaru dorzecza oraz regionu wodnego zgodnie z PUW obejmują następujące kategorie:</w:t>
      </w:r>
    </w:p>
    <w:p w14:paraId="350EE0BB" w14:textId="77777777" w:rsidR="00EA5311" w:rsidRPr="00676DFC" w:rsidRDefault="00EA5311" w:rsidP="00AA3506">
      <w:pPr>
        <w:pStyle w:val="Numerowanie"/>
        <w:numPr>
          <w:ilvl w:val="0"/>
          <w:numId w:val="50"/>
        </w:numPr>
      </w:pPr>
      <w:r w:rsidRPr="00676DFC">
        <w:t>Wykaszanie roślin z dna oraz brzegów śródlądowych wód powierzchniowych - działanie ma na celu zwiększenie pojemności koryta oraz prędkości przepływu poprzez zmniejszenie współczynnika szorstkości dna i brzegów koryta.</w:t>
      </w:r>
    </w:p>
    <w:p w14:paraId="16D039C8" w14:textId="79B681C3" w:rsidR="00EA5311" w:rsidRPr="00676DFC" w:rsidRDefault="00EA5311" w:rsidP="00F06393">
      <w:pPr>
        <w:pStyle w:val="Numerowanie"/>
      </w:pPr>
      <w:r w:rsidRPr="00676DFC">
        <w:t>Usuwanie roślin pływających i korzeniących się w dnie śródlądowych wód powierzchniowych - podobnie jak poprzednie, to działanie ma na celu zwiększenie przepustowości koryta poprzez zwiększenie jego pojemności oraz zmniejszenie współczynnika szorstkości przepływu. Dodatkowo usuwanie roślin korzeniących się w dnie zapewni ochronę przed osadzaniem się namułów i</w:t>
      </w:r>
      <w:r w:rsidR="000405AC">
        <w:t> </w:t>
      </w:r>
      <w:r w:rsidRPr="00676DFC">
        <w:t>rumoszu.</w:t>
      </w:r>
    </w:p>
    <w:p w14:paraId="4D456AF2" w14:textId="03706365" w:rsidR="00EA5311" w:rsidRPr="00676DFC" w:rsidRDefault="00EA5311" w:rsidP="00F06393">
      <w:pPr>
        <w:pStyle w:val="Numerowanie"/>
      </w:pPr>
      <w:r w:rsidRPr="00676DFC">
        <w:t xml:space="preserve">Usuwanie drzew i krzewów porastających dno oraz brzegi śródlądowych wód powierzchniowych - celem działania jest ułatwienie i przyspieszenie spływu wód wezbraniowych, a podczas wiosennych roztopów </w:t>
      </w:r>
      <w:r w:rsidR="00442AB7" w:rsidRPr="00676DFC">
        <w:t>-</w:t>
      </w:r>
      <w:r w:rsidRPr="00676DFC">
        <w:t xml:space="preserve"> spływu kry lodowej. Jest ono niezbędne szczególnie na obszarach, gdzie istnieje ryzyko wystąpienia powodzi. Działanie jest regulowane prawnie (ustawa o ochronie przyrody, ustawa Prawo wodne).</w:t>
      </w:r>
    </w:p>
    <w:p w14:paraId="7B24B614" w14:textId="6BEEAD01" w:rsidR="00EA5311" w:rsidRPr="00676DFC" w:rsidRDefault="00EA5311" w:rsidP="00F06393">
      <w:pPr>
        <w:pStyle w:val="Numerowanie"/>
      </w:pPr>
      <w:r w:rsidRPr="00676DFC">
        <w:t>Usuwanie z śródlądowych wód powierzchniowych przeszkód naturalnych oraz wynikających z</w:t>
      </w:r>
      <w:r w:rsidR="00C4673D">
        <w:t> </w:t>
      </w:r>
      <w:r w:rsidRPr="00676DFC">
        <w:t>działalności człowieka - celem działania jest udrożnienie koryta i tym samym zwiększenie jego przepustowości oraz zapewnienie swobodnego odpływu wód poprzez zlokalizowanie i wydobycie przeszkód tamujących przepływ wody.</w:t>
      </w:r>
    </w:p>
    <w:p w14:paraId="4A6A1A3F" w14:textId="77777777" w:rsidR="00EA5311" w:rsidRPr="00676DFC" w:rsidRDefault="00EA5311" w:rsidP="00F06393">
      <w:pPr>
        <w:pStyle w:val="Numerowanie"/>
      </w:pPr>
      <w:r w:rsidRPr="00676DFC">
        <w:t>Zasypywanie wyrw w brzegach i dnie śródlądowych wód powierzchniowych - działanie ma na celu zasypywanie wyrw w brzegach i dnie śródlądowych wód powierzchniowych w celu powstrzymania degradacji brzegów koryta, spowodowanej erozją denną i brzegową. Pomimo że procesy erozyjne są naturalnym zjawiskiem hydromorfologicznym, należy je kontrolować, ponieważ mogą stanowić zagrożenie dla zlokalizowanej w korytach cieków i w ich sąsiedztwie zabudowy regulacyjnej, budynków mieszkalnych i gospodarczych oraz infrastruktury technicznej.</w:t>
      </w:r>
    </w:p>
    <w:p w14:paraId="637DBBD3" w14:textId="77777777" w:rsidR="00EA5311" w:rsidRPr="00676DFC" w:rsidRDefault="00EA5311" w:rsidP="00F06393">
      <w:pPr>
        <w:pStyle w:val="Numerowanie"/>
      </w:pPr>
      <w:r w:rsidRPr="00676DFC">
        <w:t>Udrażnianie śródlądowych wód powierzchniowych przez usuwanie zatorów utrudniających swobodny przepływ wód oraz usuwanie namułów i rumoszu - celem działania jest zwiększenie pojemności i przepustowości koryta cieku, a tym samym zapewnienie bezpieczeństwa przeciwpowodziowego z zachowaniem odpowiednich warunków dla potrzeb rolniczych (systemy melioracyjne) i transportowych (drogi wodne).</w:t>
      </w:r>
    </w:p>
    <w:p w14:paraId="699B7ECB" w14:textId="78AB8FF1" w:rsidR="00EA5311" w:rsidRPr="00676DFC" w:rsidRDefault="00EA5311" w:rsidP="00F06393">
      <w:pPr>
        <w:pStyle w:val="Numerowanie"/>
      </w:pPr>
      <w:r w:rsidRPr="00676DFC">
        <w:t xml:space="preserve">Remont lub konserwacja stanowiących własność właściciela wody budowli regulacyjnych oraz ubezpieczeń w obrębie tych budowli i urządzeń wodnych - w celu ujednolicenia PUW realizowanych przez poszczególne RZGW </w:t>
      </w:r>
      <w:r w:rsidR="00F53455">
        <w:t xml:space="preserve">WP </w:t>
      </w:r>
      <w:r w:rsidRPr="00676DFC">
        <w:t>przyjęto zestaw definicji:</w:t>
      </w:r>
    </w:p>
    <w:p w14:paraId="0D5C163A" w14:textId="5EBC008B" w:rsidR="00EA5311" w:rsidRPr="001231BC" w:rsidRDefault="00EA5311" w:rsidP="006213C3">
      <w:pPr>
        <w:pStyle w:val="Akapitzlist"/>
      </w:pPr>
      <w:r>
        <w:t>b</w:t>
      </w:r>
      <w:r w:rsidRPr="001231BC">
        <w:t>udowl</w:t>
      </w:r>
      <w:r>
        <w:t>ę</w:t>
      </w:r>
      <w:r w:rsidRPr="001231BC">
        <w:t xml:space="preserve"> regulacyjną stanowi obiekt budowlany niebędący budynkiem lub obiektem małej architektury, którego wykonanie bądź przebudowa wymaga uzyskania pozwolenia na budowę. Dodatkowym kryterium decydującym o istotności budowli regulacyjnej dla zarządzania wodami jest jej wykorzystanie przy kształtowaniu przepływu dla szczególnego korzystania z wód (np.</w:t>
      </w:r>
      <w:r w:rsidR="006C4947">
        <w:t> </w:t>
      </w:r>
      <w:r w:rsidRPr="001231BC">
        <w:t xml:space="preserve">uprawianie żeglugi </w:t>
      </w:r>
      <w:r w:rsidR="00442AB7">
        <w:t>-</w:t>
      </w:r>
      <w:r w:rsidRPr="001231BC">
        <w:t xml:space="preserve"> w tym prowadzenie zimowej akcji lodołamania, zapewnienie właściwych warunków dla ujęć wody) lub realizacji zadań związanych z ochroną przeciwpowodziową. Budowlami regulacyjnymi istotnymi dla zarządzania wodami są ostrogi, tamy poprzeczne, kierownice itp.</w:t>
      </w:r>
    </w:p>
    <w:p w14:paraId="20CD78CD" w14:textId="25FC3170" w:rsidR="00EA5311" w:rsidRPr="001231BC" w:rsidRDefault="00EA5311" w:rsidP="006213C3">
      <w:pPr>
        <w:pStyle w:val="Akapitzlist"/>
      </w:pPr>
      <w:r>
        <w:t>b</w:t>
      </w:r>
      <w:r w:rsidRPr="001231BC">
        <w:t>udowli regulacyjnych nie stanowią między innymi budowle piętrzące o możliwości sterowania przepływem wód (jazy, śluzy), a także urządzenia wodne składające się z kilku budowli, np.</w:t>
      </w:r>
      <w:r w:rsidR="006C4947">
        <w:t> </w:t>
      </w:r>
      <w:r w:rsidRPr="001231BC">
        <w:t>wielozadaniowe zbiorniki wodne wraz z śluzami, jazem itd.</w:t>
      </w:r>
    </w:p>
    <w:p w14:paraId="05A02020" w14:textId="6C236B18" w:rsidR="00EA5311" w:rsidRPr="001231BC" w:rsidRDefault="00EA5311" w:rsidP="006213C3">
      <w:pPr>
        <w:pStyle w:val="Akapitzlist"/>
      </w:pPr>
      <w:r>
        <w:t>p</w:t>
      </w:r>
      <w:r w:rsidRPr="001231BC">
        <w:t>ozostałe urządzenia wodne istotne dla zarządzania wodami stanowią budowle piętrzące o</w:t>
      </w:r>
      <w:r w:rsidR="006C4947">
        <w:t> </w:t>
      </w:r>
      <w:r w:rsidRPr="001231BC">
        <w:t>możliwości sterowania przepływem wód (jazy, śluzy, wrota przeciwpowodziowe), a także urządzenia wodne składające się z kilku budowli, np. wielozadaniowe zbiorniki wodne wraz ze śluzami, jazem, elektrownią wodną itd., wykorzystywane do zaopatrzenia w wodę ludzi, przemysłu i rolnictwa. Pozostałe urządzenia wodne i ubezpieczenia brzegów, w tym także zapory przeciwrumowiskowe, o ile nie stanowią infrastruktury istotnej dla zarządzania wodami, są niezbędne dla utrzymania parametrów koryt i</w:t>
      </w:r>
      <w:r w:rsidR="00AC1E43">
        <w:t> </w:t>
      </w:r>
      <w:r w:rsidRPr="001231BC">
        <w:t>zabezpieczenia brzegów oraz dna przed erozją.</w:t>
      </w:r>
    </w:p>
    <w:p w14:paraId="6AFD2252" w14:textId="77777777" w:rsidR="00EA5311" w:rsidRPr="00836801" w:rsidRDefault="00EA5311" w:rsidP="00F06393">
      <w:pPr>
        <w:pStyle w:val="Numerowanie"/>
      </w:pPr>
      <w:r w:rsidRPr="00836801">
        <w:t xml:space="preserve">Rozbiórka lub modyfikacja tam bobrowych oraz zasypywanie nor bobrów w brzegach śródlądowych wód powierzchniowych </w:t>
      </w:r>
      <w:r>
        <w:t xml:space="preserve">- </w:t>
      </w:r>
      <w:r w:rsidRPr="00836801">
        <w:t>mają na celu zwiększenie przepustowości koryta cieku. Tamy bobrowe stanowią utrudnienie w swobodnym przepływie wód. Powodują one spiętrzanie wody i zalewanie terenów przyległych do cieku wodnego. Jednocześnie bobry przyczyniają się do rozkopywania grobli oraz wałów przeciwpowodziowych, a także blokowania rowów melioracyjnych, przepustów i innych budowli hydrotechnicznych.</w:t>
      </w:r>
    </w:p>
    <w:p w14:paraId="0C1A948F" w14:textId="4A17BA2A" w:rsidR="00EA5311" w:rsidRPr="001231BC" w:rsidRDefault="00EA5311" w:rsidP="00B50FFD">
      <w:pPr>
        <w:pStyle w:val="Nagwek3"/>
      </w:pPr>
      <w:r w:rsidRPr="001231BC">
        <w:t xml:space="preserve"> </w:t>
      </w:r>
      <w:bookmarkStart w:id="512" w:name="_Toc68726921"/>
      <w:r w:rsidRPr="001231BC">
        <w:t>Katalog dobrych praktyk w zakresie robót hydrotechnicznych i prac utrzymaniowych wraz z ustaleniem zasad</w:t>
      </w:r>
      <w:bookmarkEnd w:id="512"/>
    </w:p>
    <w:p w14:paraId="72C1F3A9" w14:textId="77777777" w:rsidR="00EA5311" w:rsidRPr="001231BC" w:rsidRDefault="00EA5311" w:rsidP="00EA5311">
      <w:pPr>
        <w:suppressAutoHyphens/>
        <w:rPr>
          <w:rFonts w:asciiTheme="minorHAnsi" w:hAnsiTheme="minorHAnsi" w:cstheme="minorBidi"/>
        </w:rPr>
      </w:pPr>
      <w:r w:rsidRPr="63BAAB06">
        <w:rPr>
          <w:rFonts w:asciiTheme="minorHAnsi" w:hAnsiTheme="minorHAnsi" w:cstheme="minorBidi"/>
        </w:rPr>
        <w:t>W katalogu działań krajowych aPWŚK zaplanowano działanie polegające na „opracowaniu dobrych praktyk w zakresie robót hydrotechnicznych i prac utrzymaniowych wraz z ustaleniem zasad ich wdrażania”. Potrzebę jego stworzenia zdiagnozowano następująco:</w:t>
      </w:r>
    </w:p>
    <w:p w14:paraId="15AD7FB3" w14:textId="431B38B3" w:rsidR="00EA5311" w:rsidRPr="001231BC" w:rsidRDefault="00EA5311" w:rsidP="00EA5311">
      <w:pPr>
        <w:suppressAutoHyphens/>
        <w:rPr>
          <w:rFonts w:asciiTheme="minorHAnsi" w:hAnsiTheme="minorHAnsi" w:cstheme="minorHAnsi"/>
        </w:rPr>
      </w:pPr>
      <w:r w:rsidRPr="001231BC">
        <w:rPr>
          <w:rFonts w:asciiTheme="minorHAnsi" w:hAnsiTheme="minorHAnsi" w:cstheme="minorHAnsi"/>
          <w:i/>
          <w:iCs/>
        </w:rPr>
        <w:t>Podejmowane w przeszłości działania technicznej regulacji cieków, realizowane głównie w celu ochrony przeciwpowodziowej, doprowadziły do znacznej degradacji oraz zniszczenia występujących na ich obszarze charakterystycznych ekosystemów wodnych i od wód zależnych. Obecnie wszelkim podejmowanym na rzekach pracom stawiane są nowe wymagania, które wskazują na utrzymanie cieków zbliżone jak najbardziej do naturalnego i maksymalnie zbieżnego z celami renaturyzacji, które jednocześnie mają umożliwić bezpieczne dla otoczenia przeprowadzenie wód wezbraniowych. W</w:t>
      </w:r>
      <w:r w:rsidR="00AC1E43">
        <w:rPr>
          <w:rFonts w:asciiTheme="minorHAnsi" w:hAnsiTheme="minorHAnsi" w:cstheme="minorHAnsi"/>
          <w:i/>
          <w:iCs/>
        </w:rPr>
        <w:t> </w:t>
      </w:r>
      <w:r w:rsidRPr="001231BC">
        <w:rPr>
          <w:rFonts w:asciiTheme="minorHAnsi" w:hAnsiTheme="minorHAnsi" w:cstheme="minorHAnsi"/>
          <w:i/>
          <w:iCs/>
        </w:rPr>
        <w:t>pracach utrzymaniowych rzek znaczenie mają kryteria z grupy jakości hydromorfologicznej wód płynących, które podlegają ocenie zgodnie z normą PN-EN 14616:2008</w:t>
      </w:r>
      <w:r w:rsidRPr="001231BC">
        <w:rPr>
          <w:rFonts w:asciiTheme="minorHAnsi" w:hAnsiTheme="minorHAnsi" w:cstheme="minorHAnsi"/>
        </w:rPr>
        <w:t>.</w:t>
      </w:r>
    </w:p>
    <w:p w14:paraId="3C08BFAF" w14:textId="77777777" w:rsidR="00EA5311" w:rsidRPr="001231BC" w:rsidRDefault="00EA5311" w:rsidP="00EA5311">
      <w:pPr>
        <w:suppressAutoHyphens/>
        <w:rPr>
          <w:rFonts w:asciiTheme="minorHAnsi" w:hAnsiTheme="minorHAnsi" w:cstheme="minorHAnsi"/>
        </w:rPr>
      </w:pPr>
      <w:r w:rsidRPr="001231BC">
        <w:rPr>
          <w:rFonts w:asciiTheme="minorHAnsi" w:hAnsiTheme="minorHAnsi" w:cstheme="minorHAnsi"/>
        </w:rPr>
        <w:t xml:space="preserve">Stwierdzenie to jest realizowane w </w:t>
      </w:r>
      <w:r w:rsidRPr="001231BC">
        <w:rPr>
          <w:rFonts w:asciiTheme="minorHAnsi" w:hAnsiTheme="minorHAnsi" w:cstheme="minorHAnsi"/>
          <w:i/>
          <w:iCs/>
        </w:rPr>
        <w:t>Katalogu dobrych praktyk w zakresie robót hydrotechnicznych i prac utrzymaniowych wraz z ustaleniem zasad ich wdrażania</w:t>
      </w:r>
      <w:r w:rsidRPr="001231BC">
        <w:rPr>
          <w:rFonts w:asciiTheme="minorHAnsi" w:hAnsiTheme="minorHAnsi" w:cstheme="minorHAnsi"/>
        </w:rPr>
        <w:t xml:space="preserve"> (dalej: </w:t>
      </w:r>
      <w:r w:rsidRPr="001231BC">
        <w:rPr>
          <w:rFonts w:asciiTheme="minorHAnsi" w:hAnsiTheme="minorHAnsi" w:cstheme="minorHAnsi"/>
          <w:i/>
          <w:iCs/>
        </w:rPr>
        <w:t>Katalog dobrych praktyk PU</w:t>
      </w:r>
      <w:r w:rsidRPr="001231BC">
        <w:rPr>
          <w:rFonts w:asciiTheme="minorHAnsi" w:hAnsiTheme="minorHAnsi" w:cstheme="minorHAnsi"/>
        </w:rPr>
        <w:t>),</w:t>
      </w:r>
      <w:r w:rsidRPr="001231BC">
        <w:rPr>
          <w:rFonts w:asciiTheme="minorHAnsi" w:hAnsiTheme="minorHAnsi" w:cstheme="minorHAnsi"/>
          <w:b/>
          <w:bCs/>
        </w:rPr>
        <w:t xml:space="preserve"> </w:t>
      </w:r>
      <w:r w:rsidRPr="001231BC">
        <w:rPr>
          <w:rFonts w:asciiTheme="minorHAnsi" w:hAnsiTheme="minorHAnsi" w:cstheme="minorHAnsi"/>
        </w:rPr>
        <w:t>który funkcjonuje jako osobny dokument.</w:t>
      </w:r>
    </w:p>
    <w:p w14:paraId="36AE6541" w14:textId="77777777" w:rsidR="00EA5311" w:rsidRPr="001231BC" w:rsidRDefault="00EA5311" w:rsidP="00EA5311">
      <w:pPr>
        <w:suppressAutoHyphens/>
        <w:rPr>
          <w:rFonts w:asciiTheme="minorHAnsi" w:hAnsiTheme="minorHAnsi" w:cstheme="minorBidi"/>
        </w:rPr>
      </w:pPr>
      <w:r w:rsidRPr="00B010ED">
        <w:rPr>
          <w:rFonts w:cs="Calibri"/>
          <w:i/>
          <w:iCs/>
        </w:rPr>
        <w:t>Katalog</w:t>
      </w:r>
      <w:r w:rsidRPr="63BAAB06">
        <w:rPr>
          <w:rFonts w:cs="Calibri"/>
        </w:rPr>
        <w:t xml:space="preserve"> </w:t>
      </w:r>
      <w:r w:rsidRPr="63BAAB06">
        <w:rPr>
          <w:rFonts w:asciiTheme="minorHAnsi" w:hAnsiTheme="minorHAnsi" w:cstheme="minorBidi"/>
          <w:i/>
          <w:iCs/>
        </w:rPr>
        <w:t>dobrych praktyk PU</w:t>
      </w:r>
      <w:r w:rsidRPr="63BAAB06">
        <w:rPr>
          <w:rFonts w:cs="Calibri"/>
        </w:rPr>
        <w:t xml:space="preserve"> definiuje „dobre praktyki”, odnosząc się do 4 kroków decyzyjnych, stanowiąc</w:t>
      </w:r>
      <w:r>
        <w:rPr>
          <w:rFonts w:cs="Calibri"/>
        </w:rPr>
        <w:t>ych</w:t>
      </w:r>
      <w:r w:rsidRPr="63BAAB06">
        <w:rPr>
          <w:rFonts w:cs="Calibri"/>
        </w:rPr>
        <w:t xml:space="preserve"> </w:t>
      </w:r>
      <w:r w:rsidRPr="63BAAB06">
        <w:rPr>
          <w:rFonts w:asciiTheme="minorHAnsi" w:hAnsiTheme="minorHAnsi" w:cstheme="minorBidi"/>
        </w:rPr>
        <w:t>zasady prowadzenia prac utrzymaniowych:</w:t>
      </w:r>
    </w:p>
    <w:p w14:paraId="5B6F4FCB" w14:textId="77777777" w:rsidR="00EA5311" w:rsidRPr="00AC1E43" w:rsidRDefault="00EA5311" w:rsidP="00AA3506">
      <w:pPr>
        <w:pStyle w:val="Numerowanie"/>
        <w:numPr>
          <w:ilvl w:val="0"/>
          <w:numId w:val="51"/>
        </w:numPr>
      </w:pPr>
      <w:r w:rsidRPr="00676DFC">
        <w:t xml:space="preserve">Etap </w:t>
      </w:r>
      <w:r w:rsidRPr="00AC1E43">
        <w:t>pierwszy: analiza i diagnoza problemu oraz rozważenie możliwych rozwiązań</w:t>
      </w:r>
    </w:p>
    <w:p w14:paraId="58550F23" w14:textId="77777777" w:rsidR="00EA5311" w:rsidRPr="00676DFC" w:rsidRDefault="00EA5311" w:rsidP="00F06393">
      <w:pPr>
        <w:pStyle w:val="Akapitzlist"/>
      </w:pPr>
      <w:r w:rsidRPr="00676DFC">
        <w:t>Zrozumienie źródeł problemu oraz rozpatrzenie rozwiązań z uwzględnieniem funkcjonowania cieku, zagospodarowania terenów przyległych oraz występowania form ochrony przyrody.</w:t>
      </w:r>
    </w:p>
    <w:p w14:paraId="52329D3C" w14:textId="77777777" w:rsidR="00EA5311" w:rsidRPr="006213C3" w:rsidRDefault="00EA5311" w:rsidP="00AA3506">
      <w:pPr>
        <w:pStyle w:val="Numerowanie"/>
        <w:numPr>
          <w:ilvl w:val="0"/>
          <w:numId w:val="51"/>
        </w:numPr>
      </w:pPr>
      <w:r w:rsidRPr="00676DFC">
        <w:t>Etap drugi: ograniczenia prawne i środowiskowe</w:t>
      </w:r>
    </w:p>
    <w:p w14:paraId="7AC6F9BC" w14:textId="77777777" w:rsidR="00EA5311" w:rsidRPr="00676DFC" w:rsidRDefault="00EA5311" w:rsidP="00F06393">
      <w:pPr>
        <w:pStyle w:val="Akapitzlist"/>
      </w:pPr>
      <w:r w:rsidRPr="00676DFC">
        <w:t>Analiza ograniczeń, które mogą stworzyć bariery prawnośrodowiskowe. Występowanie ich może prowadzić do potrzeby wprowadzenia istotnych modyfikacji sposobu wykonania prac, tak by oddziaływanie przedsięwzięcia było ograniczone do nieznaczącego i prace były dopuszczalne.</w:t>
      </w:r>
    </w:p>
    <w:p w14:paraId="3E679390" w14:textId="77777777" w:rsidR="00EA5311" w:rsidRPr="006213C3" w:rsidRDefault="00EA5311" w:rsidP="00AA3506">
      <w:pPr>
        <w:pStyle w:val="Numerowanie"/>
        <w:numPr>
          <w:ilvl w:val="0"/>
          <w:numId w:val="51"/>
        </w:numPr>
      </w:pPr>
      <w:r w:rsidRPr="00676DFC">
        <w:t>Etap trzeci: opłacalność celowej interwencji</w:t>
      </w:r>
    </w:p>
    <w:p w14:paraId="2694D54E" w14:textId="77777777" w:rsidR="00EA5311" w:rsidRPr="00676DFC" w:rsidRDefault="00EA5311" w:rsidP="00F06393">
      <w:pPr>
        <w:pStyle w:val="Akapitzlist"/>
      </w:pPr>
      <w:r w:rsidRPr="00676DFC">
        <w:t>Sprawdzenie, czy podejmowana interwencja będzie opłacalna ekonomicznie, tj. czy przewidywane korzyści będą znacząco wyższe od poniesionych kosztów.</w:t>
      </w:r>
    </w:p>
    <w:p w14:paraId="36C7CA95" w14:textId="77777777" w:rsidR="00EA5311" w:rsidRPr="006213C3" w:rsidRDefault="00EA5311" w:rsidP="00AA3506">
      <w:pPr>
        <w:pStyle w:val="Numerowanie"/>
        <w:numPr>
          <w:ilvl w:val="0"/>
          <w:numId w:val="51"/>
        </w:numPr>
      </w:pPr>
      <w:r w:rsidRPr="00676DFC">
        <w:t>Etap czwarty: wybór optymalnego rozwiązania</w:t>
      </w:r>
    </w:p>
    <w:p w14:paraId="29B38747" w14:textId="77777777" w:rsidR="00EA5311" w:rsidRPr="00676DFC" w:rsidRDefault="00EA5311" w:rsidP="00F06393">
      <w:pPr>
        <w:pStyle w:val="Akapitzlist"/>
      </w:pPr>
      <w:r w:rsidRPr="00676DFC">
        <w:t>Dobór form, terminów, technologii i zakresu wykonywania prac, a także środków minimalizujących i ewentualnych działań kompensujących przy zachowaniu zakładanej skuteczności.</w:t>
      </w:r>
    </w:p>
    <w:p w14:paraId="67597DC4" w14:textId="46EB4EAA" w:rsidR="00EA5311" w:rsidRDefault="00EA5311" w:rsidP="00B50FFD">
      <w:pPr>
        <w:pStyle w:val="Nagwek3"/>
      </w:pPr>
      <w:bookmarkStart w:id="513" w:name="_Toc68726922"/>
      <w:r>
        <w:t>Raport dotyczący</w:t>
      </w:r>
      <w:r w:rsidRPr="001231BC">
        <w:t xml:space="preserve"> zrealizowanych prac</w:t>
      </w:r>
      <w:r>
        <w:t xml:space="preserve"> na przykładzie roku 2019</w:t>
      </w:r>
      <w:bookmarkEnd w:id="513"/>
    </w:p>
    <w:p w14:paraId="6F3AB346" w14:textId="465F4F78" w:rsidR="00EA5311" w:rsidRDefault="00EA5311" w:rsidP="00EA5311">
      <w:pPr>
        <w:suppressAutoHyphens/>
        <w:rPr>
          <w:rFonts w:asciiTheme="minorHAnsi" w:hAnsiTheme="minorHAnsi" w:cstheme="minorHAnsi"/>
        </w:rPr>
      </w:pPr>
      <w:r>
        <w:rPr>
          <w:rFonts w:asciiTheme="minorHAnsi" w:hAnsiTheme="minorHAnsi" w:cstheme="minorHAnsi"/>
        </w:rPr>
        <w:t>W celu przedstawienia zbiorczej informacji o realizowanych pracach utrzymaniowych, przygotowane zostały zestawienia wykazanych w PUW prac/interwencji skategoryzowane odpowiednio do</w:t>
      </w:r>
      <w:r w:rsidR="006C4947">
        <w:rPr>
          <w:rFonts w:asciiTheme="minorHAnsi" w:hAnsiTheme="minorHAnsi" w:cstheme="minorHAnsi"/>
        </w:rPr>
        <w:t> </w:t>
      </w:r>
      <w:r>
        <w:rPr>
          <w:rFonts w:asciiTheme="minorHAnsi" w:hAnsiTheme="minorHAnsi" w:cstheme="minorHAnsi"/>
        </w:rPr>
        <w:t>wskazanych w podrozdziale 13.8.1 kategorii działań zgodnych z PUW tj:</w:t>
      </w:r>
    </w:p>
    <w:p w14:paraId="39FC73EC" w14:textId="77777777" w:rsidR="00EA5311" w:rsidRPr="00676DFC" w:rsidRDefault="00EA5311" w:rsidP="00AA3506">
      <w:pPr>
        <w:pStyle w:val="Numerowanie"/>
        <w:numPr>
          <w:ilvl w:val="0"/>
          <w:numId w:val="52"/>
        </w:numPr>
      </w:pPr>
      <w:r w:rsidRPr="00676DFC">
        <w:t>Wykaszanie roślin z dna oraz brzegów śródlądowych wód powierzchniowych.</w:t>
      </w:r>
    </w:p>
    <w:p w14:paraId="24F8095D" w14:textId="77777777" w:rsidR="00EA5311" w:rsidRPr="00676DFC" w:rsidRDefault="00EA5311" w:rsidP="00F06393">
      <w:pPr>
        <w:pStyle w:val="Numerowanie"/>
      </w:pPr>
      <w:r w:rsidRPr="00676DFC">
        <w:t>Usuwanie roślin pływających i korzeniących się w dnie śródlądowych wód powierzchniowych.</w:t>
      </w:r>
    </w:p>
    <w:p w14:paraId="5A8C0C73" w14:textId="77777777" w:rsidR="00EA5311" w:rsidRPr="00676DFC" w:rsidRDefault="00EA5311" w:rsidP="00F06393">
      <w:pPr>
        <w:pStyle w:val="Numerowanie"/>
      </w:pPr>
      <w:r w:rsidRPr="00676DFC">
        <w:t xml:space="preserve">Usuwanie drzew i krzewów porastających dno oraz brzegi śródlądowych wód powierzchniowych. </w:t>
      </w:r>
    </w:p>
    <w:p w14:paraId="49C6858C" w14:textId="6D8022B0" w:rsidR="00EA5311" w:rsidRPr="00676DFC" w:rsidRDefault="00EA5311" w:rsidP="00F06393">
      <w:pPr>
        <w:pStyle w:val="Numerowanie"/>
      </w:pPr>
      <w:r w:rsidRPr="00676DFC">
        <w:t>Usuwanie z śródlądowych wód powierzchniowych przeszkód naturalnych oraz wynikających z</w:t>
      </w:r>
      <w:r w:rsidR="00AC1E43">
        <w:t> </w:t>
      </w:r>
      <w:r w:rsidRPr="00676DFC">
        <w:t>działalności człowieka.</w:t>
      </w:r>
    </w:p>
    <w:p w14:paraId="5FFE29AB" w14:textId="77777777" w:rsidR="00EA5311" w:rsidRPr="00676DFC" w:rsidRDefault="00EA5311" w:rsidP="00F06393">
      <w:pPr>
        <w:pStyle w:val="Numerowanie"/>
      </w:pPr>
      <w:r w:rsidRPr="00676DFC">
        <w:t xml:space="preserve">Zasypywanie wyrw w brzegach i dnie śródlądowych wód powierzchniowych oraz przez ich zabudowę biologiczną. </w:t>
      </w:r>
    </w:p>
    <w:p w14:paraId="34916ED9" w14:textId="77777777" w:rsidR="00EA5311" w:rsidRPr="00676DFC" w:rsidRDefault="00EA5311" w:rsidP="00F06393">
      <w:pPr>
        <w:pStyle w:val="Numerowanie"/>
      </w:pPr>
      <w:r w:rsidRPr="00676DFC">
        <w:t>Udrażnianie śródlądowych wód powierzchniowych przez usuwanie zatorów utrudniających swobodny przepływ wód oraz usuwanie namułów i rumoszu.</w:t>
      </w:r>
    </w:p>
    <w:p w14:paraId="4A56399F" w14:textId="77777777" w:rsidR="00EA5311" w:rsidRPr="00676DFC" w:rsidRDefault="00EA5311" w:rsidP="00F06393">
      <w:pPr>
        <w:pStyle w:val="Numerowanie"/>
      </w:pPr>
      <w:r w:rsidRPr="00676DFC">
        <w:t>Remont lub konserwacja stanowiących własność właściciela wody budowli regulacyjnych oraz ubezpieczeń w obrębie tych budowli i urządzeń wodnych.</w:t>
      </w:r>
    </w:p>
    <w:p w14:paraId="68ED6AD7" w14:textId="77777777" w:rsidR="00EA5311" w:rsidRPr="00676DFC" w:rsidRDefault="00EA5311" w:rsidP="00F06393">
      <w:pPr>
        <w:pStyle w:val="Numerowanie"/>
      </w:pPr>
      <w:r w:rsidRPr="00676DFC">
        <w:t>Rozbiórka lub modyfikacja tam bobrowych oraz zasypywanie nor bobrów w brzegach śródlądowych wód powierzchniowych.</w:t>
      </w:r>
    </w:p>
    <w:p w14:paraId="7728B163" w14:textId="064C63C4" w:rsidR="00EA5311" w:rsidRDefault="00EA5311" w:rsidP="00EA5311">
      <w:pPr>
        <w:suppressAutoHyphens/>
        <w:rPr>
          <w:rFonts w:asciiTheme="minorHAnsi" w:hAnsiTheme="minorHAnsi" w:cstheme="minorHAnsi"/>
          <w:color w:val="222222"/>
        </w:rPr>
      </w:pPr>
      <w:r>
        <w:rPr>
          <w:rFonts w:asciiTheme="minorHAnsi" w:hAnsiTheme="minorHAnsi" w:cstheme="minorHAnsi"/>
        </w:rPr>
        <w:t xml:space="preserve">Z uwagi na sposób prowadzenia sprawozdawczości z realizowanych prac utrzymaniowych informacje zaprezentowane są w podziale na poszczególne RZGW WP, jako </w:t>
      </w:r>
      <w:r w:rsidRPr="00984464">
        <w:rPr>
          <w:rFonts w:asciiTheme="minorHAnsi" w:hAnsiTheme="minorHAnsi" w:cstheme="minorHAnsi"/>
          <w:color w:val="222222"/>
        </w:rPr>
        <w:t>wykonują</w:t>
      </w:r>
      <w:r>
        <w:rPr>
          <w:rFonts w:asciiTheme="minorHAnsi" w:hAnsiTheme="minorHAnsi" w:cstheme="minorHAnsi"/>
          <w:color w:val="222222"/>
        </w:rPr>
        <w:t>cych</w:t>
      </w:r>
      <w:r w:rsidRPr="00984464">
        <w:rPr>
          <w:rFonts w:asciiTheme="minorHAnsi" w:hAnsiTheme="minorHAnsi" w:cstheme="minorHAnsi"/>
          <w:color w:val="222222"/>
        </w:rPr>
        <w:t xml:space="preserve"> prawa właścicielskie Skarbu Państwa w stosunku do śródlądowych wód płynących oraz gruntów pokrytych tymi wodami (art</w:t>
      </w:r>
      <w:r w:rsidRPr="001231BC">
        <w:rPr>
          <w:rFonts w:asciiTheme="minorHAnsi" w:hAnsiTheme="minorHAnsi" w:cstheme="minorHAnsi"/>
          <w:color w:val="222222"/>
        </w:rPr>
        <w:t xml:space="preserve">. 240, ust. 3 pkt. 9 </w:t>
      </w:r>
      <w:r w:rsidR="00980B19">
        <w:rPr>
          <w:rFonts w:asciiTheme="minorHAnsi" w:hAnsiTheme="minorHAnsi" w:cstheme="minorHAnsi"/>
          <w:color w:val="222222"/>
        </w:rPr>
        <w:t xml:space="preserve">ustawy </w:t>
      </w:r>
      <w:r w:rsidRPr="001231BC">
        <w:rPr>
          <w:rFonts w:asciiTheme="minorHAnsi" w:hAnsiTheme="minorHAnsi" w:cstheme="minorHAnsi"/>
          <w:color w:val="222222"/>
        </w:rPr>
        <w:t>pr.w.).</w:t>
      </w:r>
    </w:p>
    <w:p w14:paraId="6F2A29C2" w14:textId="3F523FE6" w:rsidR="00EA5311" w:rsidRDefault="00EA5311" w:rsidP="00EA5311">
      <w:pPr>
        <w:suppressAutoHyphens/>
        <w:rPr>
          <w:rFonts w:asciiTheme="minorHAnsi" w:hAnsiTheme="minorHAnsi" w:cstheme="minorHAnsi"/>
        </w:rPr>
      </w:pPr>
      <w:r w:rsidRPr="006610E9">
        <w:rPr>
          <w:rFonts w:asciiTheme="minorHAnsi" w:hAnsiTheme="minorHAnsi" w:cstheme="minorHAnsi"/>
        </w:rPr>
        <w:t xml:space="preserve">Sprawozdania z realizacji prac utrzymaniowych na obszarze dorzecza </w:t>
      </w:r>
      <w:r>
        <w:rPr>
          <w:rFonts w:asciiTheme="minorHAnsi" w:hAnsiTheme="minorHAnsi" w:cstheme="minorHAnsi"/>
        </w:rPr>
        <w:t>Pregoły</w:t>
      </w:r>
      <w:r w:rsidRPr="006610E9">
        <w:rPr>
          <w:rFonts w:asciiTheme="minorHAnsi" w:hAnsiTheme="minorHAnsi" w:cstheme="minorHAnsi"/>
        </w:rPr>
        <w:t xml:space="preserve"> wskazują, iż główną kategorią prac realizowanych w obszarze omawianego dorzecza są prace </w:t>
      </w:r>
      <w:r>
        <w:rPr>
          <w:rFonts w:asciiTheme="minorHAnsi" w:hAnsiTheme="minorHAnsi" w:cstheme="minorHAnsi"/>
        </w:rPr>
        <w:t xml:space="preserve">związane z utrzymywaniem brzegów oraz dna śródlądowych wód powierzchniowych </w:t>
      </w:r>
      <w:r w:rsidR="00442AB7">
        <w:rPr>
          <w:rFonts w:asciiTheme="minorHAnsi" w:hAnsiTheme="minorHAnsi" w:cstheme="minorHAnsi"/>
        </w:rPr>
        <w:t>-</w:t>
      </w:r>
      <w:r>
        <w:rPr>
          <w:rFonts w:asciiTheme="minorHAnsi" w:hAnsiTheme="minorHAnsi" w:cstheme="minorHAnsi"/>
        </w:rPr>
        <w:t xml:space="preserve"> wykaszanie, usuwanie </w:t>
      </w:r>
      <w:r w:rsidRPr="006610E9">
        <w:rPr>
          <w:rFonts w:asciiTheme="minorHAnsi" w:hAnsiTheme="minorHAnsi" w:cstheme="minorHAnsi"/>
        </w:rPr>
        <w:t>roślin pływających i</w:t>
      </w:r>
      <w:r w:rsidR="00AC1E43">
        <w:rPr>
          <w:rFonts w:asciiTheme="minorHAnsi" w:hAnsiTheme="minorHAnsi" w:cstheme="minorHAnsi"/>
        </w:rPr>
        <w:t> </w:t>
      </w:r>
      <w:r w:rsidRPr="006610E9">
        <w:rPr>
          <w:rFonts w:asciiTheme="minorHAnsi" w:hAnsiTheme="minorHAnsi" w:cstheme="minorHAnsi"/>
        </w:rPr>
        <w:t xml:space="preserve">korzeniących się w dnie śródlądowych wód powierzchniowych </w:t>
      </w:r>
      <w:r>
        <w:rPr>
          <w:rFonts w:asciiTheme="minorHAnsi" w:hAnsiTheme="minorHAnsi" w:cstheme="minorHAnsi"/>
        </w:rPr>
        <w:t>oraz u</w:t>
      </w:r>
      <w:r w:rsidRPr="006610E9">
        <w:rPr>
          <w:rFonts w:asciiTheme="minorHAnsi" w:hAnsiTheme="minorHAnsi" w:cstheme="minorHAnsi"/>
        </w:rPr>
        <w:t>suwanie drzew i krzewów porastających dno oraz brzegi śródlądowych wód powierzchniowych.</w:t>
      </w:r>
      <w:r>
        <w:rPr>
          <w:rFonts w:asciiTheme="minorHAnsi" w:hAnsiTheme="minorHAnsi" w:cstheme="minorHAnsi"/>
        </w:rPr>
        <w:t xml:space="preserve"> </w:t>
      </w:r>
    </w:p>
    <w:p w14:paraId="3F90EEFD" w14:textId="77777777" w:rsidR="00EA5311" w:rsidRPr="006610E9" w:rsidRDefault="00EA5311" w:rsidP="00EA5311">
      <w:pPr>
        <w:suppressAutoHyphens/>
        <w:rPr>
          <w:rFonts w:asciiTheme="minorHAnsi" w:hAnsiTheme="minorHAnsi" w:cstheme="minorHAnsi"/>
        </w:rPr>
      </w:pPr>
      <w:r>
        <w:rPr>
          <w:rFonts w:asciiTheme="minorHAnsi" w:hAnsiTheme="minorHAnsi" w:cstheme="minorHAnsi"/>
        </w:rPr>
        <w:t>Drugą pod względem liczby podjętych interwencji, kategorią zrealizowanych prac utrzymaniowych są prace modernizacyjne dot. budowli regulacyjnych na terenie obszaru dorzecza Pregoły.</w:t>
      </w:r>
    </w:p>
    <w:p w14:paraId="362D2EF6" w14:textId="74FDE1E1" w:rsidR="00EA5311" w:rsidRPr="006E650A" w:rsidRDefault="00EA5311" w:rsidP="00EA5311">
      <w:pPr>
        <w:suppressAutoHyphens/>
        <w:rPr>
          <w:rFonts w:asciiTheme="minorHAnsi" w:hAnsiTheme="minorHAnsi" w:cstheme="minorHAnsi"/>
        </w:rPr>
      </w:pPr>
      <w:r w:rsidRPr="006E650A">
        <w:rPr>
          <w:rFonts w:asciiTheme="minorHAnsi" w:hAnsiTheme="minorHAnsi" w:cstheme="minorHAnsi"/>
        </w:rPr>
        <w:t xml:space="preserve">Poniższe wykresy </w:t>
      </w:r>
      <w:r w:rsidR="008956B0">
        <w:rPr>
          <w:rFonts w:asciiTheme="minorHAnsi" w:hAnsiTheme="minorHAnsi" w:cstheme="minorHAnsi"/>
        </w:rPr>
        <w:t xml:space="preserve">13-3 i 13-4 </w:t>
      </w:r>
      <w:r w:rsidRPr="006E650A">
        <w:rPr>
          <w:rFonts w:asciiTheme="minorHAnsi" w:hAnsiTheme="minorHAnsi" w:cstheme="minorHAnsi"/>
        </w:rPr>
        <w:t xml:space="preserve">podsumowują prace utrzymaniowe </w:t>
      </w:r>
      <w:r>
        <w:rPr>
          <w:rFonts w:asciiTheme="minorHAnsi" w:hAnsiTheme="minorHAnsi" w:cstheme="minorHAnsi"/>
        </w:rPr>
        <w:t xml:space="preserve">zrealizowane na obszarze omawianego dorzecza </w:t>
      </w:r>
      <w:r w:rsidRPr="006E650A">
        <w:rPr>
          <w:rFonts w:asciiTheme="minorHAnsi" w:hAnsiTheme="minorHAnsi" w:cstheme="minorHAnsi"/>
        </w:rPr>
        <w:t>w latach 2018 i 2019.</w:t>
      </w:r>
    </w:p>
    <w:p w14:paraId="7E6F5F0B" w14:textId="77777777" w:rsidR="00EA5311" w:rsidRDefault="00EA5311" w:rsidP="00EA5311">
      <w:pPr>
        <w:suppressAutoHyphens/>
        <w:rPr>
          <w:rFonts w:asciiTheme="minorHAnsi" w:hAnsiTheme="minorHAnsi" w:cstheme="minorHAnsi"/>
        </w:rPr>
      </w:pPr>
      <w:r>
        <w:rPr>
          <w:noProof/>
        </w:rPr>
        <w:drawing>
          <wp:inline distT="0" distB="0" distL="0" distR="0" wp14:anchorId="48C4DD16" wp14:editId="5D94B8FA">
            <wp:extent cx="5760000" cy="4210493"/>
            <wp:effectExtent l="0" t="0" r="12700" b="0"/>
            <wp:docPr id="17" name="Wykres 17">
              <a:extLst xmlns:a="http://schemas.openxmlformats.org/drawingml/2006/main">
                <a:ext uri="{FF2B5EF4-FFF2-40B4-BE49-F238E27FC236}">
                  <a16:creationId xmlns:a16="http://schemas.microsoft.com/office/drawing/2014/main" id="{D0DA573C-767B-4693-8AF0-995C85C9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19E145F" w14:textId="341577EE" w:rsidR="00EA5311" w:rsidRPr="001231BC" w:rsidRDefault="00EA5311" w:rsidP="006802BB">
      <w:pPr>
        <w:pStyle w:val="Wykres"/>
        <w:rPr>
          <w:rFonts w:asciiTheme="minorHAnsi" w:hAnsiTheme="minorHAnsi" w:cstheme="minorHAnsi"/>
          <w:i/>
        </w:rPr>
      </w:pPr>
      <w:bookmarkStart w:id="514" w:name="_Toc68727137"/>
      <w:r w:rsidRPr="00A565BC">
        <w:t xml:space="preserve">Wykres </w:t>
      </w:r>
      <w:fldSimple w:instr=" STYLEREF 1 \s ">
        <w:r w:rsidR="00EF3FD3">
          <w:rPr>
            <w:noProof/>
          </w:rPr>
          <w:t>13</w:t>
        </w:r>
      </w:fldSimple>
      <w:r w:rsidR="00EF3FD3">
        <w:noBreakHyphen/>
      </w:r>
      <w:fldSimple w:instr=" SEQ Wykres \* ARABIC \s 1 ">
        <w:r w:rsidR="00EF3FD3">
          <w:rPr>
            <w:noProof/>
          </w:rPr>
          <w:t>3</w:t>
        </w:r>
      </w:fldSimple>
      <w:r w:rsidRPr="00A565BC">
        <w:tab/>
        <w:t xml:space="preserve">Liczba podjętych interwencji w podziale na kategorie wg PUW </w:t>
      </w:r>
      <w:r w:rsidR="00442AB7">
        <w:t>-</w:t>
      </w:r>
      <w:r w:rsidRPr="00A565BC">
        <w:t xml:space="preserve"> poszczególne RZGW WP, rok 2018</w:t>
      </w:r>
      <w:bookmarkEnd w:id="514"/>
    </w:p>
    <w:p w14:paraId="78803F39" w14:textId="2D14B2A5" w:rsidR="00EA5311" w:rsidRDefault="00EA5311" w:rsidP="00442AB7">
      <w:pPr>
        <w:pStyle w:val="rdo0"/>
        <w:rPr>
          <w:i w:val="0"/>
          <w:lang w:eastAsia="zh-CN"/>
        </w:rPr>
      </w:pPr>
      <w:r w:rsidRPr="001231BC">
        <w:rPr>
          <w:lang w:eastAsia="zh-CN"/>
        </w:rPr>
        <w:t xml:space="preserve">Źródło: </w:t>
      </w:r>
      <w:r w:rsidR="00AC1E43">
        <w:rPr>
          <w:lang w:eastAsia="zh-CN"/>
        </w:rPr>
        <w:t xml:space="preserve">opracowanie </w:t>
      </w:r>
      <w:r w:rsidR="00F340C7">
        <w:rPr>
          <w:lang w:eastAsia="zh-CN"/>
        </w:rPr>
        <w:t>własne</w:t>
      </w:r>
      <w:r w:rsidRPr="001231BC">
        <w:rPr>
          <w:lang w:eastAsia="zh-CN"/>
        </w:rPr>
        <w:t xml:space="preserve"> na podstawie </w:t>
      </w:r>
      <w:r>
        <w:rPr>
          <w:lang w:eastAsia="zh-CN"/>
        </w:rPr>
        <w:t>PUW</w:t>
      </w:r>
    </w:p>
    <w:p w14:paraId="7D89E607" w14:textId="77777777" w:rsidR="00EA5311" w:rsidRDefault="00EA5311" w:rsidP="00EA5311">
      <w:pPr>
        <w:suppressAutoHyphens/>
        <w:rPr>
          <w:rFonts w:asciiTheme="minorHAnsi" w:hAnsiTheme="minorHAnsi" w:cstheme="minorHAnsi"/>
        </w:rPr>
      </w:pPr>
      <w:r>
        <w:rPr>
          <w:noProof/>
        </w:rPr>
        <w:drawing>
          <wp:inline distT="0" distB="0" distL="0" distR="0" wp14:anchorId="3145BE6F" wp14:editId="2D8946EF">
            <wp:extent cx="5760000" cy="4199861"/>
            <wp:effectExtent l="0" t="0" r="12700" b="10795"/>
            <wp:docPr id="18" name="Wykres 18">
              <a:extLst xmlns:a="http://schemas.openxmlformats.org/drawingml/2006/main">
                <a:ext uri="{FF2B5EF4-FFF2-40B4-BE49-F238E27FC236}">
                  <a16:creationId xmlns:a16="http://schemas.microsoft.com/office/drawing/2014/main" id="{D83B6ED7-0D69-4051-8B8E-7EAAD6149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E4A9C8C" w14:textId="3C33D221" w:rsidR="00EA5311" w:rsidRPr="001231BC" w:rsidRDefault="00EA5311" w:rsidP="006802BB">
      <w:pPr>
        <w:pStyle w:val="Wykres"/>
        <w:rPr>
          <w:rFonts w:asciiTheme="minorHAnsi" w:hAnsiTheme="minorHAnsi" w:cstheme="minorHAnsi"/>
          <w:i/>
        </w:rPr>
      </w:pPr>
      <w:bookmarkStart w:id="515" w:name="_Toc68727138"/>
      <w:r w:rsidRPr="00442AB7">
        <w:t xml:space="preserve">Wykres </w:t>
      </w:r>
      <w:fldSimple w:instr=" STYLEREF 1 \s ">
        <w:r w:rsidR="00815A8B">
          <w:rPr>
            <w:noProof/>
          </w:rPr>
          <w:t>13</w:t>
        </w:r>
      </w:fldSimple>
      <w:r w:rsidR="00EF3FD3">
        <w:noBreakHyphen/>
      </w:r>
      <w:fldSimple w:instr=" SEQ Wykres \* ARABIC \s 1 ">
        <w:r w:rsidR="00815A8B">
          <w:rPr>
            <w:noProof/>
          </w:rPr>
          <w:t>4</w:t>
        </w:r>
      </w:fldSimple>
      <w:r w:rsidRPr="00442AB7">
        <w:tab/>
        <w:t xml:space="preserve">Liczba podjętych interwencji w podziale na kategorie wg PUW </w:t>
      </w:r>
      <w:r w:rsidR="00442AB7">
        <w:t>-</w:t>
      </w:r>
      <w:r w:rsidRPr="00442AB7">
        <w:t xml:space="preserve"> poszczególne RZGW WP, rok 2019</w:t>
      </w:r>
      <w:bookmarkEnd w:id="515"/>
    </w:p>
    <w:p w14:paraId="0945EB78" w14:textId="307F18D6" w:rsidR="00EA5311" w:rsidRPr="00EA5311" w:rsidRDefault="00EA5311" w:rsidP="00442AB7">
      <w:pPr>
        <w:pStyle w:val="rdo0"/>
      </w:pPr>
      <w:r w:rsidRPr="001231BC">
        <w:rPr>
          <w:lang w:eastAsia="zh-CN"/>
        </w:rPr>
        <w:t xml:space="preserve">Źródło: </w:t>
      </w:r>
      <w:r w:rsidR="00F340C7">
        <w:rPr>
          <w:lang w:eastAsia="zh-CN"/>
        </w:rPr>
        <w:t>opracowanie własne</w:t>
      </w:r>
      <w:r w:rsidRPr="001231BC">
        <w:rPr>
          <w:lang w:eastAsia="zh-CN"/>
        </w:rPr>
        <w:t xml:space="preserve"> na podstawie </w:t>
      </w:r>
      <w:r>
        <w:rPr>
          <w:lang w:eastAsia="zh-CN"/>
        </w:rPr>
        <w:t>PUW</w:t>
      </w:r>
      <w:bookmarkEnd w:id="507"/>
      <w:bookmarkEnd w:id="508"/>
      <w:bookmarkEnd w:id="509"/>
      <w:bookmarkEnd w:id="510"/>
    </w:p>
    <w:p w14:paraId="2FAD72D5" w14:textId="6C041668" w:rsidR="00332A4E" w:rsidRDefault="00332A4E" w:rsidP="00B50FFD">
      <w:pPr>
        <w:pStyle w:val="Nagwek2"/>
      </w:pPr>
      <w:bookmarkStart w:id="516" w:name="_Toc68726923"/>
      <w:r>
        <w:t xml:space="preserve">Działania związane z </w:t>
      </w:r>
      <w:r w:rsidRPr="006B1D82">
        <w:t>ochroną</w:t>
      </w:r>
      <w:r>
        <w:t xml:space="preserve"> wód morskich</w:t>
      </w:r>
      <w:bookmarkEnd w:id="505"/>
      <w:bookmarkEnd w:id="516"/>
    </w:p>
    <w:p w14:paraId="73AC4DBF" w14:textId="2382E657" w:rsidR="00E96F8B" w:rsidRPr="00E96F8B" w:rsidRDefault="00E96F8B" w:rsidP="00E96F8B">
      <w:pPr>
        <w:spacing w:before="0" w:after="0"/>
        <w:jc w:val="left"/>
        <w:rPr>
          <w:rFonts w:asciiTheme="minorHAnsi" w:eastAsia="Times New Roman" w:hAnsiTheme="minorHAnsi" w:cstheme="minorHAnsi"/>
          <w:lang w:eastAsia="pl-PL"/>
        </w:rPr>
      </w:pPr>
      <w:r w:rsidRPr="00E96F8B">
        <w:rPr>
          <w:rFonts w:asciiTheme="minorHAnsi" w:eastAsia="Times New Roman" w:hAnsiTheme="minorHAnsi" w:cstheme="minorHAnsi"/>
          <w:lang w:eastAsia="pl-PL"/>
        </w:rPr>
        <w:t>Działania związane z ochroną wód morskich nie stanowią przedmiotu planu gospodarowania wodami dla obszaru dorzecza Pregoły z uwagi na brak jcwp TW lub CW na obszarze omawianego dorzecza.</w:t>
      </w:r>
    </w:p>
    <w:p w14:paraId="648A9EEA" w14:textId="100443A6" w:rsidR="00332A4E" w:rsidRPr="00BB0D4D" w:rsidRDefault="00332A4E" w:rsidP="00B50FFD">
      <w:pPr>
        <w:pStyle w:val="Nagwek2"/>
      </w:pPr>
      <w:bookmarkStart w:id="517" w:name="_Toc51050120"/>
      <w:bookmarkStart w:id="518" w:name="_Toc68726924"/>
      <w:r w:rsidRPr="00BB0D4D">
        <w:t>Informacje o pozostałych działaniach</w:t>
      </w:r>
      <w:bookmarkEnd w:id="517"/>
      <w:bookmarkEnd w:id="518"/>
    </w:p>
    <w:p w14:paraId="628AC1DD" w14:textId="77777777" w:rsidR="00FE05A6" w:rsidRDefault="00FE05A6" w:rsidP="00FE05A6">
      <w:pPr>
        <w:suppressAutoHyphens/>
        <w:rPr>
          <w:rFonts w:asciiTheme="minorHAnsi" w:hAnsiTheme="minorHAnsi" w:cstheme="minorHAnsi"/>
          <w:color w:val="000000" w:themeColor="text1"/>
        </w:rPr>
      </w:pPr>
      <w:bookmarkStart w:id="519" w:name="_Hlk66332812"/>
      <w:r>
        <w:rPr>
          <w:rFonts w:asciiTheme="minorHAnsi" w:hAnsiTheme="minorHAnsi" w:cstheme="minorHAnsi"/>
          <w:color w:val="000000" w:themeColor="text1"/>
        </w:rPr>
        <w:t>Zapewnienie osiągnięcia ustalonych celów środowiskowych jest procesem wymagającym podejmowania odpowiednich działań wynikających z przepisów prawa, ale nie ograniczonym wyłącznie do nich.</w:t>
      </w:r>
    </w:p>
    <w:p w14:paraId="003C20E4" w14:textId="18BDDE4A" w:rsidR="00FE05A6" w:rsidRDefault="00FE05A6" w:rsidP="00FE05A6">
      <w:pPr>
        <w:suppressAutoHyphens/>
        <w:rPr>
          <w:rFonts w:asciiTheme="minorHAnsi" w:hAnsiTheme="minorHAnsi" w:cstheme="minorBidi"/>
          <w:color w:val="000000" w:themeColor="text1"/>
        </w:rPr>
      </w:pPr>
      <w:r>
        <w:rPr>
          <w:rFonts w:asciiTheme="minorHAnsi" w:hAnsiTheme="minorHAnsi" w:cstheme="minorBidi"/>
          <w:color w:val="000000" w:themeColor="text1"/>
        </w:rPr>
        <w:t>Niniejszy rozdział, z</w:t>
      </w:r>
      <w:r w:rsidRPr="42F51952">
        <w:rPr>
          <w:rFonts w:asciiTheme="minorHAnsi" w:hAnsiTheme="minorHAnsi" w:cstheme="minorBidi"/>
          <w:color w:val="000000" w:themeColor="text1"/>
        </w:rPr>
        <w:t>godnie z art. 318 ust. 1 pkt 17 ustawy pr.w.</w:t>
      </w:r>
      <w:r>
        <w:rPr>
          <w:rFonts w:asciiTheme="minorHAnsi" w:hAnsiTheme="minorHAnsi" w:cstheme="minorBidi"/>
          <w:color w:val="000000" w:themeColor="text1"/>
        </w:rPr>
        <w:t xml:space="preserve">, odnosi się do </w:t>
      </w:r>
      <w:r w:rsidRPr="42F51952">
        <w:rPr>
          <w:rFonts w:asciiTheme="minorHAnsi" w:hAnsiTheme="minorHAnsi" w:cstheme="minorBidi"/>
          <w:color w:val="000000" w:themeColor="text1"/>
        </w:rPr>
        <w:t>pozostałych działa</w:t>
      </w:r>
      <w:r>
        <w:rPr>
          <w:rFonts w:asciiTheme="minorHAnsi" w:hAnsiTheme="minorHAnsi" w:cstheme="minorBidi"/>
          <w:color w:val="000000" w:themeColor="text1"/>
        </w:rPr>
        <w:t>ń</w:t>
      </w:r>
      <w:r w:rsidRPr="42F51952">
        <w:rPr>
          <w:rFonts w:asciiTheme="minorHAnsi" w:hAnsiTheme="minorHAnsi" w:cstheme="minorBidi"/>
          <w:color w:val="000000" w:themeColor="text1"/>
        </w:rPr>
        <w:t xml:space="preserve">, innych niż wskazane w art. 318 ust. 1 pkt 8-16 </w:t>
      </w:r>
      <w:r w:rsidR="00980B19">
        <w:rPr>
          <w:rFonts w:asciiTheme="minorHAnsi" w:hAnsiTheme="minorHAnsi" w:cstheme="minorBidi"/>
          <w:color w:val="000000" w:themeColor="text1"/>
        </w:rPr>
        <w:t xml:space="preserve">ustawy </w:t>
      </w:r>
      <w:r w:rsidRPr="42F51952">
        <w:rPr>
          <w:rFonts w:asciiTheme="minorHAnsi" w:hAnsiTheme="minorHAnsi" w:cstheme="minorBidi"/>
          <w:color w:val="000000" w:themeColor="text1"/>
        </w:rPr>
        <w:t>pr.w.</w:t>
      </w:r>
      <w:r>
        <w:rPr>
          <w:rFonts w:asciiTheme="minorHAnsi" w:hAnsiTheme="minorHAnsi" w:cstheme="minorBidi"/>
          <w:color w:val="000000" w:themeColor="text1"/>
        </w:rPr>
        <w:t>:</w:t>
      </w:r>
    </w:p>
    <w:p w14:paraId="1DC689FF" w14:textId="0AD19ACB" w:rsidR="00FE05A6" w:rsidRPr="00A1399C" w:rsidRDefault="00FE05A6" w:rsidP="00980B19">
      <w:pPr>
        <w:tabs>
          <w:tab w:val="left" w:pos="3261"/>
        </w:tabs>
        <w:suppressAutoHyphens/>
        <w:ind w:left="3261" w:hanging="3261"/>
        <w:rPr>
          <w:rFonts w:asciiTheme="minorHAnsi" w:hAnsiTheme="minorHAnsi" w:cstheme="minorHAnsi"/>
        </w:rPr>
      </w:pPr>
      <w:r w:rsidRPr="00F70D71">
        <w:rPr>
          <w:rFonts w:asciiTheme="minorHAnsi" w:hAnsiTheme="minorHAnsi" w:cstheme="minorBidi"/>
          <w:b/>
          <w:bCs/>
          <w:color w:val="000000" w:themeColor="text1"/>
        </w:rPr>
        <w:t xml:space="preserve">art. 318. ust. 1 pkt 8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A1399C">
        <w:rPr>
          <w:rFonts w:asciiTheme="minorHAnsi" w:hAnsiTheme="minorHAnsi" w:cstheme="minorHAnsi"/>
        </w:rPr>
        <w:t>informacje o planowanych i podjętych działaniach, które służą wdrożeniu zasady zwrotu kosztów usług wodnych</w:t>
      </w:r>
      <w:r>
        <w:rPr>
          <w:rFonts w:asciiTheme="minorHAnsi" w:hAnsiTheme="minorHAnsi" w:cstheme="minorHAnsi"/>
        </w:rPr>
        <w:t xml:space="preserve"> (informacje przedstawione w</w:t>
      </w:r>
      <w:r w:rsidR="00D1234C">
        <w:rPr>
          <w:rFonts w:asciiTheme="minorHAnsi" w:hAnsiTheme="minorHAnsi" w:cstheme="minorHAnsi"/>
        </w:rPr>
        <w:t> </w:t>
      </w:r>
      <w:r>
        <w:rPr>
          <w:rFonts w:asciiTheme="minorHAnsi" w:hAnsiTheme="minorHAnsi" w:cstheme="minorHAnsi"/>
        </w:rPr>
        <w:t>rozdziale 13.1 IIaPGW)</w:t>
      </w:r>
      <w:r w:rsidRPr="00A1399C">
        <w:rPr>
          <w:rFonts w:asciiTheme="minorHAnsi" w:hAnsiTheme="minorHAnsi" w:cstheme="minorHAnsi"/>
        </w:rPr>
        <w:t>;</w:t>
      </w:r>
    </w:p>
    <w:p w14:paraId="64A8B3D5" w14:textId="20DC5BB9" w:rsidR="00FE05A6" w:rsidRPr="00F70D71" w:rsidRDefault="00FE05A6" w:rsidP="00980B19">
      <w:pPr>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9</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 xml:space="preserve">podsumowanie działań podjętych dla realizacji: a) celów środowiskowych, o których mowa w art. 56, art. 57, art. 59 oraz w art. 61 pr.w., b) wymagań wynikających z przepisów ustawy z dnia 7 czerwca 2001 r. o zbiorowym zaopatrzeniu w wodę i zbiorowym odprowadzaniu ścieków </w:t>
      </w:r>
      <w:r>
        <w:rPr>
          <w:rFonts w:asciiTheme="minorHAnsi" w:hAnsiTheme="minorHAnsi" w:cstheme="minorBidi"/>
          <w:color w:val="000000" w:themeColor="text1"/>
        </w:rPr>
        <w:t>-</w:t>
      </w:r>
      <w:r w:rsidRPr="00F70D71">
        <w:rPr>
          <w:rFonts w:asciiTheme="minorHAnsi" w:hAnsiTheme="minorHAnsi" w:cstheme="minorBidi"/>
          <w:color w:val="000000" w:themeColor="text1"/>
        </w:rPr>
        <w:t xml:space="preserve"> dla jednolitych części wód przeznaczonych do poboru wody na potrzeby zaopatrzenia ludności w wodę przeznaczoną do spożycia przez ludzi (informacje przedstawione w rozdziale 13.2 IIaPGW);</w:t>
      </w:r>
    </w:p>
    <w:p w14:paraId="3707E372" w14:textId="3C5648A9" w:rsidR="00FE05A6" w:rsidRPr="00F70D71" w:rsidRDefault="00FE05A6" w:rsidP="00980B19">
      <w:pPr>
        <w:tabs>
          <w:tab w:val="left" w:pos="3261"/>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10</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informacje dotyczące pozwoleń wodnoprawnych udzielonych na: pobór wód, magazynowanie wód, wprowadzanie ścieków do wód, regulację wód (informacje przedstawione w rozdziale 13.3 IIaPGW);</w:t>
      </w:r>
    </w:p>
    <w:p w14:paraId="44AD69ED" w14:textId="15D39FA2" w:rsidR="00FE05A6" w:rsidRPr="00F70D71" w:rsidRDefault="00FE05A6" w:rsidP="00980B19">
      <w:pPr>
        <w:tabs>
          <w:tab w:val="left" w:pos="3261"/>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11</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w:t>
      </w:r>
      <w:r>
        <w:rPr>
          <w:rFonts w:asciiTheme="minorHAnsi" w:hAnsiTheme="minorHAnsi" w:cstheme="minorBidi"/>
          <w:color w:val="000000" w:themeColor="text1"/>
        </w:rPr>
        <w:tab/>
        <w:t xml:space="preserve"> </w:t>
      </w:r>
      <w:r w:rsidRPr="00F70D71">
        <w:rPr>
          <w:rFonts w:asciiTheme="minorHAnsi" w:hAnsiTheme="minorHAnsi" w:cstheme="minorBidi"/>
          <w:color w:val="000000" w:themeColor="text1"/>
        </w:rPr>
        <w:t>informacje o przypadkach, w których udzielono zezwolenia na wprowadzanie zanieczyszczeń bezpośrednio do wód podziemnych (informacje przedstawione w rozdziale 13.4 IIaPGW);</w:t>
      </w:r>
    </w:p>
    <w:p w14:paraId="4BC576F3" w14:textId="2AC30D72" w:rsidR="00FE05A6" w:rsidRPr="00F70D71" w:rsidRDefault="00FE05A6" w:rsidP="00980B19">
      <w:pPr>
        <w:tabs>
          <w:tab w:val="left" w:pos="3402"/>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12</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podsumowanie działań podjętych w celu eliminowania stężeń substancji priorytetowych (informacje przedstawione w rozdziale 13.5 IIaPGW);</w:t>
      </w:r>
    </w:p>
    <w:p w14:paraId="7171178C" w14:textId="3EDA2C06" w:rsidR="00FE05A6" w:rsidRPr="00F70D71" w:rsidRDefault="00FE05A6" w:rsidP="00980B19">
      <w:pPr>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13</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podsumowanie działań podjętych w celu zapobieżenia skutkom zanieczyszczeń niedających się przewidzieć lub łagodzenia tych skutków (informacje przedstawione w rozdziale 13.6 IIaPGW);</w:t>
      </w:r>
    </w:p>
    <w:p w14:paraId="1AA15CCF" w14:textId="0A36629F" w:rsidR="00FE05A6" w:rsidRPr="00F70D71" w:rsidRDefault="00FE05A6" w:rsidP="00980B19">
      <w:pPr>
        <w:tabs>
          <w:tab w:val="left" w:pos="3261"/>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14</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podsumowanie działań, o których mowa w art. 325 pr.w. - dotyczących analizy przyczyn zagrożeń i wprowadzenia do planu gospodarowania wodami działań uzupełniających, informacji o</w:t>
      </w:r>
      <w:r w:rsidR="006C4947">
        <w:rPr>
          <w:rFonts w:asciiTheme="minorHAnsi" w:hAnsiTheme="minorHAnsi" w:cstheme="minorBidi"/>
          <w:color w:val="000000" w:themeColor="text1"/>
        </w:rPr>
        <w:t> </w:t>
      </w:r>
      <w:r w:rsidRPr="00F70D71">
        <w:rPr>
          <w:rFonts w:asciiTheme="minorHAnsi" w:hAnsiTheme="minorHAnsi" w:cstheme="minorBidi"/>
          <w:color w:val="000000" w:themeColor="text1"/>
        </w:rPr>
        <w:t>wynikach przeglądu pozwoleń wodnoprawnych oraz programów monitoringu wód (informacje przedstawione w</w:t>
      </w:r>
      <w:r w:rsidR="006C4947">
        <w:rPr>
          <w:rFonts w:asciiTheme="minorHAnsi" w:hAnsiTheme="minorHAnsi" w:cstheme="minorBidi"/>
          <w:color w:val="000000" w:themeColor="text1"/>
        </w:rPr>
        <w:t> </w:t>
      </w:r>
      <w:r w:rsidRPr="00F70D71">
        <w:rPr>
          <w:rFonts w:asciiTheme="minorHAnsi" w:hAnsiTheme="minorHAnsi" w:cstheme="minorBidi"/>
          <w:color w:val="000000" w:themeColor="text1"/>
        </w:rPr>
        <w:t>rozdziale 13.7 IIaPGW);</w:t>
      </w:r>
    </w:p>
    <w:p w14:paraId="3B7229EC" w14:textId="7D3AA5D9" w:rsidR="00FE05A6" w:rsidRPr="00F70D71" w:rsidRDefault="00FE05A6" w:rsidP="00980B19">
      <w:pPr>
        <w:tabs>
          <w:tab w:val="left" w:pos="3261"/>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15</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informacje o sposobie prowadzenia działań polegających na utrzymywaniu wód uwzględniających cele środowiskowe (informacje przedstawione w rozdziale 13.8 IIaPGW);</w:t>
      </w:r>
    </w:p>
    <w:p w14:paraId="2CDB060E" w14:textId="634B7BC2" w:rsidR="00FE05A6" w:rsidRPr="00F70D71" w:rsidRDefault="00FE05A6" w:rsidP="008C5659">
      <w:pPr>
        <w:tabs>
          <w:tab w:val="left" w:pos="3261"/>
        </w:tabs>
        <w:suppressAutoHyphens/>
        <w:ind w:left="3261" w:hanging="3261"/>
        <w:rPr>
          <w:rFonts w:asciiTheme="minorHAnsi" w:hAnsiTheme="minorHAnsi" w:cstheme="minorBidi"/>
          <w:color w:val="000000" w:themeColor="text1"/>
        </w:rPr>
      </w:pPr>
      <w:r w:rsidRPr="00F70D71">
        <w:rPr>
          <w:rFonts w:asciiTheme="minorHAnsi" w:hAnsiTheme="minorHAnsi" w:cstheme="minorBidi"/>
          <w:b/>
          <w:bCs/>
          <w:color w:val="000000" w:themeColor="text1"/>
        </w:rPr>
        <w:t xml:space="preserve">art. 318. ust. 1 pkt </w:t>
      </w:r>
      <w:r>
        <w:rPr>
          <w:rFonts w:asciiTheme="minorHAnsi" w:hAnsiTheme="minorHAnsi" w:cstheme="minorBidi"/>
          <w:b/>
          <w:bCs/>
          <w:color w:val="000000" w:themeColor="text1"/>
        </w:rPr>
        <w:t>16</w:t>
      </w:r>
      <w:r w:rsidRPr="00F70D71">
        <w:rPr>
          <w:rFonts w:asciiTheme="minorHAnsi" w:hAnsiTheme="minorHAnsi" w:cstheme="minorBidi"/>
          <w:b/>
          <w:bCs/>
          <w:color w:val="000000" w:themeColor="text1"/>
        </w:rPr>
        <w:t xml:space="preserve"> </w:t>
      </w:r>
      <w:r w:rsidR="00980B19">
        <w:rPr>
          <w:rFonts w:asciiTheme="minorHAnsi" w:hAnsiTheme="minorHAnsi" w:cstheme="minorBidi"/>
          <w:b/>
          <w:bCs/>
          <w:color w:val="000000" w:themeColor="text1"/>
        </w:rPr>
        <w:t xml:space="preserve">ustawy </w:t>
      </w:r>
      <w:r w:rsidRPr="00F70D71">
        <w:rPr>
          <w:rFonts w:asciiTheme="minorHAnsi" w:hAnsiTheme="minorHAnsi" w:cstheme="minorBidi"/>
          <w:b/>
          <w:bCs/>
          <w:color w:val="000000" w:themeColor="text1"/>
        </w:rPr>
        <w:t>pr.w</w:t>
      </w:r>
      <w:r>
        <w:rPr>
          <w:rFonts w:asciiTheme="minorHAnsi" w:hAnsiTheme="minorHAnsi" w:cstheme="minorBidi"/>
          <w:color w:val="000000" w:themeColor="text1"/>
        </w:rPr>
        <w:t xml:space="preserve">. </w:t>
      </w:r>
      <w:r>
        <w:rPr>
          <w:rFonts w:asciiTheme="minorHAnsi" w:hAnsiTheme="minorHAnsi" w:cstheme="minorBidi"/>
          <w:color w:val="000000" w:themeColor="text1"/>
        </w:rPr>
        <w:tab/>
      </w:r>
      <w:r w:rsidRPr="00F70D71">
        <w:rPr>
          <w:rFonts w:asciiTheme="minorHAnsi" w:hAnsiTheme="minorHAnsi" w:cstheme="minorBidi"/>
          <w:color w:val="000000" w:themeColor="text1"/>
        </w:rPr>
        <w:t>informacje o działaniach zastosowanych w celu niedopuszczenia do wzrostu zanieczyszczeń wód morskich (informacje przedstawione w</w:t>
      </w:r>
      <w:r w:rsidR="000853A4">
        <w:rPr>
          <w:rFonts w:asciiTheme="minorHAnsi" w:hAnsiTheme="minorHAnsi" w:cstheme="minorBidi"/>
          <w:color w:val="000000" w:themeColor="text1"/>
        </w:rPr>
        <w:t> </w:t>
      </w:r>
      <w:r w:rsidRPr="00F70D71">
        <w:rPr>
          <w:rFonts w:asciiTheme="minorHAnsi" w:hAnsiTheme="minorHAnsi" w:cstheme="minorBidi"/>
          <w:color w:val="000000" w:themeColor="text1"/>
        </w:rPr>
        <w:t>rozdziale 13.9 IIaPGW)</w:t>
      </w:r>
      <w:r>
        <w:rPr>
          <w:rFonts w:asciiTheme="minorHAnsi" w:hAnsiTheme="minorHAnsi" w:cstheme="minorBidi"/>
          <w:color w:val="000000" w:themeColor="text1"/>
        </w:rPr>
        <w:t>,które podjęto ze względu na konieczność osiągnięcia celów środowiskowych.</w:t>
      </w:r>
    </w:p>
    <w:p w14:paraId="6984092C" w14:textId="17379CE4" w:rsidR="00FE05A6" w:rsidRDefault="00FE05A6" w:rsidP="00FE05A6">
      <w:pPr>
        <w:suppressAutoHyphens/>
        <w:rPr>
          <w:rFonts w:asciiTheme="minorHAnsi" w:hAnsiTheme="minorHAnsi" w:cstheme="minorHAnsi"/>
        </w:rPr>
      </w:pPr>
      <w:r>
        <w:rPr>
          <w:rFonts w:asciiTheme="minorHAnsi" w:hAnsiTheme="minorHAnsi" w:cstheme="minorHAnsi"/>
        </w:rPr>
        <w:t xml:space="preserve">Niniejszy rozdział prezentuje informacje dotyczące działań, które nie </w:t>
      </w:r>
      <w:r w:rsidRPr="00A1399C">
        <w:rPr>
          <w:rFonts w:asciiTheme="minorHAnsi" w:hAnsiTheme="minorHAnsi" w:cstheme="minorHAnsi"/>
        </w:rPr>
        <w:t>zostały przewidziane ściśle w</w:t>
      </w:r>
      <w:r w:rsidR="000853A4">
        <w:rPr>
          <w:rFonts w:asciiTheme="minorHAnsi" w:hAnsiTheme="minorHAnsi" w:cstheme="minorHAnsi"/>
        </w:rPr>
        <w:t> </w:t>
      </w:r>
      <w:r>
        <w:rPr>
          <w:rFonts w:asciiTheme="minorHAnsi" w:hAnsiTheme="minorHAnsi" w:cstheme="minorHAnsi"/>
        </w:rPr>
        <w:t>r.p.g.w.</w:t>
      </w:r>
      <w:r w:rsidRPr="00A1399C">
        <w:rPr>
          <w:rFonts w:asciiTheme="minorHAnsi" w:hAnsiTheme="minorHAnsi" w:cstheme="minorHAnsi"/>
        </w:rPr>
        <w:t xml:space="preserve"> a których potrzeba </w:t>
      </w:r>
      <w:r>
        <w:rPr>
          <w:rFonts w:asciiTheme="minorHAnsi" w:hAnsiTheme="minorHAnsi" w:cstheme="minorHAnsi"/>
        </w:rPr>
        <w:t xml:space="preserve">może wynikać z ustaleń dokonywanych w ramach współpracy międzynarodowej a także z procesu </w:t>
      </w:r>
      <w:r w:rsidRPr="00A1399C">
        <w:rPr>
          <w:rFonts w:asciiTheme="minorHAnsi" w:hAnsiTheme="minorHAnsi" w:cstheme="minorHAnsi"/>
        </w:rPr>
        <w:t>konsultacji społecznych projektów planów gospodarowania wodami.</w:t>
      </w:r>
      <w:r>
        <w:rPr>
          <w:rFonts w:asciiTheme="minorHAnsi" w:hAnsiTheme="minorHAnsi" w:cstheme="minorHAnsi"/>
        </w:rPr>
        <w:t xml:space="preserve"> </w:t>
      </w:r>
    </w:p>
    <w:p w14:paraId="0960BEC5" w14:textId="77777777" w:rsidR="00FE05A6" w:rsidRDefault="00FE05A6" w:rsidP="00FE05A6">
      <w:pPr>
        <w:pStyle w:val="Tekstkomentarza"/>
        <w:suppressAutoHyphens/>
        <w:spacing w:before="120" w:after="120"/>
        <w:jc w:val="both"/>
        <w:rPr>
          <w:rFonts w:asciiTheme="minorHAnsi" w:hAnsiTheme="minorHAnsi" w:cstheme="minorHAnsi"/>
          <w:sz w:val="22"/>
          <w:szCs w:val="22"/>
        </w:rPr>
      </w:pPr>
      <w:r w:rsidRPr="00542F0F">
        <w:rPr>
          <w:rFonts w:asciiTheme="minorHAnsi" w:hAnsiTheme="minorHAnsi" w:cstheme="minorHAnsi"/>
          <w:sz w:val="22"/>
          <w:szCs w:val="22"/>
        </w:rPr>
        <w:t xml:space="preserve">Realizowana współpraca międzynarodowa i wynikające z jej ustaleń podejmowane działania przedstawia rozdział 22 IIaPGW. </w:t>
      </w:r>
    </w:p>
    <w:p w14:paraId="5F83409D" w14:textId="77777777" w:rsidR="00FE05A6" w:rsidRPr="00542F0F" w:rsidRDefault="00FE05A6" w:rsidP="00FE05A6">
      <w:pPr>
        <w:pStyle w:val="Tekstkomentarza"/>
        <w:suppressAutoHyphens/>
        <w:spacing w:before="120" w:after="120"/>
        <w:jc w:val="both"/>
        <w:rPr>
          <w:rFonts w:asciiTheme="minorHAnsi" w:hAnsiTheme="minorHAnsi" w:cstheme="minorHAnsi"/>
          <w:sz w:val="22"/>
          <w:szCs w:val="22"/>
        </w:rPr>
      </w:pPr>
      <w:r>
        <w:rPr>
          <w:rFonts w:asciiTheme="minorHAnsi" w:hAnsiTheme="minorHAnsi" w:cstheme="minorHAnsi"/>
          <w:sz w:val="22"/>
          <w:szCs w:val="22"/>
        </w:rPr>
        <w:t>Wśród podejmowanych innych działań mających na celu przyczynienie się do osiągnięcia celów środowiskowych wyróżnić należy inicjatywy współpracy podejmowane przez PGW WP z różnymi organizacjami oraz podmiotami.</w:t>
      </w:r>
    </w:p>
    <w:p w14:paraId="4952B7F4" w14:textId="180AEAF9" w:rsidR="00FE05A6" w:rsidRPr="004543FD" w:rsidRDefault="00FE05A6" w:rsidP="00AA3506">
      <w:pPr>
        <w:pStyle w:val="Tekstkomentarza"/>
        <w:numPr>
          <w:ilvl w:val="0"/>
          <w:numId w:val="65"/>
        </w:numPr>
        <w:suppressAutoHyphens/>
        <w:spacing w:before="120" w:after="120"/>
        <w:ind w:left="567" w:hanging="567"/>
        <w:jc w:val="both"/>
        <w:rPr>
          <w:rFonts w:asciiTheme="minorHAnsi" w:hAnsiTheme="minorHAnsi" w:cstheme="minorHAnsi"/>
          <w:sz w:val="22"/>
          <w:szCs w:val="22"/>
        </w:rPr>
      </w:pPr>
      <w:r w:rsidRPr="004543FD">
        <w:rPr>
          <w:rFonts w:asciiTheme="minorHAnsi" w:hAnsiTheme="minorHAnsi" w:cstheme="minorHAnsi"/>
          <w:b/>
          <w:bCs/>
          <w:sz w:val="22"/>
          <w:szCs w:val="22"/>
        </w:rPr>
        <w:t>Porozumienie o współpracy Wód Polskich z Państwową Strażą Rybacką</w:t>
      </w:r>
      <w:r>
        <w:rPr>
          <w:rFonts w:asciiTheme="minorHAnsi" w:hAnsiTheme="minorHAnsi" w:cstheme="minorHAnsi"/>
          <w:b/>
          <w:bCs/>
          <w:sz w:val="22"/>
          <w:szCs w:val="22"/>
        </w:rPr>
        <w:t xml:space="preserve">. </w:t>
      </w:r>
      <w:r w:rsidRPr="004543FD">
        <w:rPr>
          <w:rFonts w:asciiTheme="minorHAnsi" w:hAnsiTheme="minorHAnsi" w:cstheme="minorHAnsi"/>
          <w:sz w:val="22"/>
          <w:szCs w:val="22"/>
        </w:rPr>
        <w:t xml:space="preserve">26 września 2019 r. zawarto porozumienie pomiędzy RZGW </w:t>
      </w:r>
      <w:r>
        <w:rPr>
          <w:rFonts w:asciiTheme="minorHAnsi" w:hAnsiTheme="minorHAnsi" w:cstheme="minorHAnsi"/>
          <w:sz w:val="22"/>
          <w:szCs w:val="22"/>
        </w:rPr>
        <w:t xml:space="preserve">WP </w:t>
      </w:r>
      <w:r w:rsidRPr="004543FD">
        <w:rPr>
          <w:rFonts w:asciiTheme="minorHAnsi" w:hAnsiTheme="minorHAnsi" w:cstheme="minorHAnsi"/>
          <w:sz w:val="22"/>
          <w:szCs w:val="22"/>
        </w:rPr>
        <w:t xml:space="preserve">w Białymstoku a Wojewódzką Państwową Strażą Rybacką w Olsztynie, dotyczące zasad współdziałania w zwalczaniu przestępstw i wykroczeń związanych z naruszeniem przepisów ustawy </w:t>
      </w:r>
      <w:r>
        <w:rPr>
          <w:rFonts w:asciiTheme="minorHAnsi" w:hAnsiTheme="minorHAnsi" w:cstheme="minorHAnsi"/>
          <w:sz w:val="22"/>
          <w:szCs w:val="22"/>
        </w:rPr>
        <w:t>pr.w.</w:t>
      </w:r>
      <w:r w:rsidRPr="004543FD">
        <w:rPr>
          <w:rFonts w:asciiTheme="minorHAnsi" w:hAnsiTheme="minorHAnsi" w:cstheme="minorHAnsi"/>
          <w:sz w:val="22"/>
          <w:szCs w:val="22"/>
        </w:rPr>
        <w:t xml:space="preserve"> oraz ustawy o rybactwie śródlądowym. Współpraca polega między innymi na wzajemnym przekazywaniu przez RZGW </w:t>
      </w:r>
      <w:r>
        <w:rPr>
          <w:rFonts w:asciiTheme="minorHAnsi" w:hAnsiTheme="minorHAnsi" w:cstheme="minorHAnsi"/>
          <w:sz w:val="22"/>
          <w:szCs w:val="22"/>
        </w:rPr>
        <w:t xml:space="preserve">WP </w:t>
      </w:r>
      <w:r w:rsidRPr="004543FD">
        <w:rPr>
          <w:rFonts w:asciiTheme="minorHAnsi" w:hAnsiTheme="minorHAnsi" w:cstheme="minorHAnsi"/>
          <w:sz w:val="22"/>
          <w:szCs w:val="22"/>
        </w:rPr>
        <w:t>informacji o</w:t>
      </w:r>
      <w:r w:rsidR="000853A4">
        <w:rPr>
          <w:rFonts w:asciiTheme="minorHAnsi" w:hAnsiTheme="minorHAnsi" w:cstheme="minorHAnsi"/>
          <w:sz w:val="22"/>
          <w:szCs w:val="22"/>
        </w:rPr>
        <w:t> </w:t>
      </w:r>
      <w:r w:rsidRPr="004543FD">
        <w:rPr>
          <w:rFonts w:asciiTheme="minorHAnsi" w:hAnsiTheme="minorHAnsi" w:cstheme="minorHAnsi"/>
          <w:sz w:val="22"/>
          <w:szCs w:val="22"/>
        </w:rPr>
        <w:t>podejrzeniu dokonywania nielegalnego połowu ryb</w:t>
      </w:r>
      <w:r>
        <w:rPr>
          <w:rFonts w:asciiTheme="minorHAnsi" w:hAnsiTheme="minorHAnsi" w:cstheme="minorHAnsi"/>
          <w:sz w:val="22"/>
          <w:szCs w:val="22"/>
        </w:rPr>
        <w:t>,</w:t>
      </w:r>
      <w:r w:rsidRPr="004543FD">
        <w:rPr>
          <w:rFonts w:asciiTheme="minorHAnsi" w:hAnsiTheme="minorHAnsi" w:cstheme="minorHAnsi"/>
          <w:sz w:val="22"/>
          <w:szCs w:val="22"/>
        </w:rPr>
        <w:t xml:space="preserve"> oraz innych przepisów ustawy o rybactwie śródlądowym na administrowanych wodach, a ze strony Państwowej Straży Rybackiej w</w:t>
      </w:r>
      <w:r w:rsidR="000853A4">
        <w:rPr>
          <w:rFonts w:asciiTheme="minorHAnsi" w:hAnsiTheme="minorHAnsi" w:cstheme="minorHAnsi"/>
          <w:sz w:val="22"/>
          <w:szCs w:val="22"/>
        </w:rPr>
        <w:t> </w:t>
      </w:r>
      <w:r w:rsidRPr="004543FD">
        <w:rPr>
          <w:rFonts w:asciiTheme="minorHAnsi" w:hAnsiTheme="minorHAnsi" w:cstheme="minorHAnsi"/>
          <w:sz w:val="22"/>
          <w:szCs w:val="22"/>
        </w:rPr>
        <w:t>Olsztynie na przekazywaniu informacji o podejrzeniach dotyczących: nielegalnej budowy urządzeń lub budowli wodnych, niszczenia roślinności szuwarowej, nielegalnej wycinki drzew i</w:t>
      </w:r>
      <w:r w:rsidR="000853A4">
        <w:rPr>
          <w:rFonts w:asciiTheme="minorHAnsi" w:hAnsiTheme="minorHAnsi" w:cstheme="minorHAnsi"/>
          <w:sz w:val="22"/>
          <w:szCs w:val="22"/>
        </w:rPr>
        <w:t> </w:t>
      </w:r>
      <w:r w:rsidRPr="004543FD">
        <w:rPr>
          <w:rFonts w:asciiTheme="minorHAnsi" w:hAnsiTheme="minorHAnsi" w:cstheme="minorHAnsi"/>
          <w:sz w:val="22"/>
          <w:szCs w:val="22"/>
        </w:rPr>
        <w:t xml:space="preserve">krzewów, naruszenia linii brzegowej poprzez wykonanie robót ziemnych, nielegalnego grodzenia nieruchomości przyległych do wód wynikających z naruszenia przepisów ustawy </w:t>
      </w:r>
      <w:r>
        <w:rPr>
          <w:rFonts w:asciiTheme="minorHAnsi" w:hAnsiTheme="minorHAnsi" w:cstheme="minorHAnsi"/>
          <w:sz w:val="22"/>
          <w:szCs w:val="22"/>
        </w:rPr>
        <w:t>pr.w.</w:t>
      </w:r>
      <w:r w:rsidRPr="004543FD">
        <w:rPr>
          <w:rFonts w:asciiTheme="minorHAnsi" w:hAnsiTheme="minorHAnsi" w:cstheme="minorHAnsi"/>
          <w:sz w:val="22"/>
          <w:szCs w:val="22"/>
        </w:rPr>
        <w:t xml:space="preserve"> i </w:t>
      </w:r>
      <w:r>
        <w:rPr>
          <w:rFonts w:asciiTheme="minorHAnsi" w:hAnsiTheme="minorHAnsi" w:cstheme="minorHAnsi"/>
          <w:sz w:val="22"/>
          <w:szCs w:val="22"/>
        </w:rPr>
        <w:t>u.o.ś</w:t>
      </w:r>
      <w:r w:rsidRPr="004543FD">
        <w:rPr>
          <w:rFonts w:asciiTheme="minorHAnsi" w:hAnsiTheme="minorHAnsi" w:cstheme="minorHAnsi"/>
          <w:sz w:val="22"/>
          <w:szCs w:val="22"/>
        </w:rPr>
        <w:t>.</w:t>
      </w:r>
    </w:p>
    <w:p w14:paraId="1D5A5387" w14:textId="2BB23DD4" w:rsidR="005374A5" w:rsidRDefault="00B15070" w:rsidP="00B50FFD">
      <w:pPr>
        <w:pStyle w:val="Nagwek1"/>
      </w:pPr>
      <w:bookmarkStart w:id="520" w:name="_Toc51050132"/>
      <w:bookmarkEnd w:id="519"/>
      <w:r>
        <w:br w:type="column"/>
      </w:r>
      <w:bookmarkStart w:id="521" w:name="_Toc68726925"/>
      <w:r w:rsidR="005374A5" w:rsidRPr="00A966F7">
        <w:t>Warunki potwierdzenia ważności pomiarów lub badań w monitoringu</w:t>
      </w:r>
      <w:r w:rsidR="005374A5" w:rsidRPr="00473C3F">
        <w:t xml:space="preserve"> </w:t>
      </w:r>
      <w:r w:rsidR="005374A5" w:rsidRPr="00A966F7">
        <w:t>jcwp i jcwpd</w:t>
      </w:r>
      <w:bookmarkEnd w:id="521"/>
      <w:r w:rsidR="005374A5" w:rsidRPr="00A966F7">
        <w:t xml:space="preserve"> </w:t>
      </w:r>
    </w:p>
    <w:p w14:paraId="2489A821" w14:textId="77777777" w:rsidR="009578AF" w:rsidRPr="009578AF" w:rsidRDefault="009578AF" w:rsidP="009578AF">
      <w:pPr>
        <w:autoSpaceDE w:val="0"/>
        <w:autoSpaceDN w:val="0"/>
        <w:adjustRightInd w:val="0"/>
        <w:rPr>
          <w:rFonts w:asciiTheme="minorHAnsi" w:hAnsiTheme="minorHAnsi" w:cstheme="minorHAnsi"/>
          <w:iCs/>
        </w:rPr>
      </w:pPr>
      <w:r w:rsidRPr="003F4A95">
        <w:rPr>
          <w:rFonts w:asciiTheme="minorHAnsi" w:hAnsiTheme="minorHAnsi" w:cstheme="minorHAnsi"/>
          <w:iCs/>
        </w:rPr>
        <w:t>Zapewnienie możliwie najwyższej wiarygodności wynik</w:t>
      </w:r>
      <w:r w:rsidRPr="003F4A95">
        <w:rPr>
          <w:rFonts w:cstheme="minorHAnsi"/>
          <w:iCs/>
        </w:rPr>
        <w:t>om</w:t>
      </w:r>
      <w:r w:rsidRPr="003F4A95">
        <w:rPr>
          <w:rFonts w:asciiTheme="minorHAnsi" w:hAnsiTheme="minorHAnsi" w:cstheme="minorHAnsi"/>
          <w:iCs/>
        </w:rPr>
        <w:t xml:space="preserve"> badań monitoringowych </w:t>
      </w:r>
      <w:r w:rsidRPr="003F4A95">
        <w:rPr>
          <w:rFonts w:cstheme="minorHAnsi"/>
          <w:iCs/>
        </w:rPr>
        <w:t xml:space="preserve">jest działaniem priorytetowym, ponieważ </w:t>
      </w:r>
      <w:r w:rsidRPr="003F4A95">
        <w:rPr>
          <w:rFonts w:asciiTheme="minorHAnsi" w:hAnsiTheme="minorHAnsi" w:cstheme="minorHAnsi"/>
          <w:iCs/>
        </w:rPr>
        <w:t>stanowi</w:t>
      </w:r>
      <w:r w:rsidRPr="003F4A95">
        <w:rPr>
          <w:rFonts w:cstheme="minorHAnsi"/>
          <w:iCs/>
        </w:rPr>
        <w:t>ą</w:t>
      </w:r>
      <w:r w:rsidRPr="003F4A95">
        <w:rPr>
          <w:rFonts w:asciiTheme="minorHAnsi" w:hAnsiTheme="minorHAnsi" w:cstheme="minorHAnsi"/>
          <w:iCs/>
        </w:rPr>
        <w:t xml:space="preserve"> </w:t>
      </w:r>
      <w:r w:rsidRPr="003F4A95">
        <w:rPr>
          <w:rFonts w:cstheme="minorHAnsi"/>
          <w:iCs/>
        </w:rPr>
        <w:t xml:space="preserve">one </w:t>
      </w:r>
      <w:r w:rsidRPr="003F4A95">
        <w:rPr>
          <w:rFonts w:asciiTheme="minorHAnsi" w:hAnsiTheme="minorHAnsi" w:cstheme="minorHAnsi"/>
          <w:iCs/>
        </w:rPr>
        <w:t>podstawę dokonywanych</w:t>
      </w:r>
      <w:r w:rsidRPr="003F4A95">
        <w:rPr>
          <w:rFonts w:cstheme="minorHAnsi"/>
          <w:iCs/>
        </w:rPr>
        <w:t xml:space="preserve"> </w:t>
      </w:r>
      <w:r w:rsidRPr="003F4A95">
        <w:rPr>
          <w:rFonts w:asciiTheme="minorHAnsi" w:hAnsiTheme="minorHAnsi" w:cstheme="minorHAnsi"/>
          <w:iCs/>
        </w:rPr>
        <w:t>analiz i ocen stanu środowiska.</w:t>
      </w:r>
    </w:p>
    <w:p w14:paraId="485E438C" w14:textId="77777777" w:rsidR="005330B5" w:rsidRPr="006B50DB" w:rsidRDefault="005330B5" w:rsidP="005330B5">
      <w:pPr>
        <w:autoSpaceDE w:val="0"/>
        <w:autoSpaceDN w:val="0"/>
        <w:adjustRightInd w:val="0"/>
        <w:rPr>
          <w:rFonts w:asciiTheme="minorHAnsi" w:hAnsiTheme="minorHAnsi" w:cstheme="minorHAnsi"/>
        </w:rPr>
      </w:pPr>
      <w:r w:rsidRPr="006B50DB">
        <w:rPr>
          <w:rFonts w:asciiTheme="minorHAnsi" w:hAnsiTheme="minorHAnsi" w:cstheme="minorHAnsi"/>
        </w:rPr>
        <w:t xml:space="preserve">Badania i pomiary w ramach monitoringu </w:t>
      </w:r>
      <w:r>
        <w:rPr>
          <w:rFonts w:asciiTheme="minorHAnsi" w:hAnsiTheme="minorHAnsi" w:cstheme="minorHAnsi"/>
        </w:rPr>
        <w:t>jcwp</w:t>
      </w:r>
      <w:r w:rsidRPr="006B50DB">
        <w:rPr>
          <w:rFonts w:asciiTheme="minorHAnsi" w:hAnsiTheme="minorHAnsi" w:cstheme="minorHAnsi"/>
        </w:rPr>
        <w:t xml:space="preserve"> i </w:t>
      </w:r>
      <w:r>
        <w:rPr>
          <w:rFonts w:asciiTheme="minorHAnsi" w:hAnsiTheme="minorHAnsi" w:cstheme="minorHAnsi"/>
        </w:rPr>
        <w:t>jcwpd</w:t>
      </w:r>
      <w:r w:rsidRPr="006B50DB">
        <w:rPr>
          <w:rFonts w:asciiTheme="minorHAnsi" w:hAnsiTheme="minorHAnsi" w:cstheme="minorHAnsi"/>
        </w:rPr>
        <w:t xml:space="preserve"> prowadzone </w:t>
      </w:r>
      <w:r>
        <w:rPr>
          <w:rFonts w:asciiTheme="minorHAnsi" w:hAnsiTheme="minorHAnsi" w:cstheme="minorHAnsi"/>
        </w:rPr>
        <w:t>są</w:t>
      </w:r>
      <w:r w:rsidRPr="006B50DB">
        <w:rPr>
          <w:rFonts w:asciiTheme="minorHAnsi" w:hAnsiTheme="minorHAnsi" w:cstheme="minorHAnsi"/>
        </w:rPr>
        <w:t xml:space="preserve"> zgodnie z wymogami potwierdzenia </w:t>
      </w:r>
      <w:r>
        <w:rPr>
          <w:rFonts w:asciiTheme="minorHAnsi" w:hAnsiTheme="minorHAnsi" w:cstheme="minorHAnsi"/>
        </w:rPr>
        <w:t xml:space="preserve">ich </w:t>
      </w:r>
      <w:r w:rsidRPr="006B50DB">
        <w:rPr>
          <w:rFonts w:asciiTheme="minorHAnsi" w:hAnsiTheme="minorHAnsi" w:cstheme="minorHAnsi"/>
        </w:rPr>
        <w:t xml:space="preserve">ważności zawartymi w </w:t>
      </w:r>
      <w:r>
        <w:rPr>
          <w:rFonts w:asciiTheme="minorHAnsi" w:hAnsiTheme="minorHAnsi" w:cstheme="minorHAnsi"/>
        </w:rPr>
        <w:t xml:space="preserve">r.m.jcw </w:t>
      </w:r>
      <w:r w:rsidRPr="006B50DB">
        <w:rPr>
          <w:rFonts w:asciiTheme="minorHAnsi" w:hAnsiTheme="minorHAnsi" w:cstheme="minorHAnsi"/>
        </w:rPr>
        <w:t>określa</w:t>
      </w:r>
      <w:r>
        <w:rPr>
          <w:rFonts w:asciiTheme="minorHAnsi" w:hAnsiTheme="minorHAnsi" w:cstheme="minorHAnsi"/>
        </w:rPr>
        <w:t>jącym</w:t>
      </w:r>
      <w:r w:rsidRPr="006B50DB">
        <w:rPr>
          <w:rFonts w:asciiTheme="minorHAnsi" w:hAnsiTheme="minorHAnsi" w:cstheme="minorHAnsi"/>
        </w:rPr>
        <w:t xml:space="preserve"> następujące warunki</w:t>
      </w:r>
      <w:r>
        <w:rPr>
          <w:rFonts w:asciiTheme="minorHAnsi" w:hAnsiTheme="minorHAnsi" w:cstheme="minorHAnsi"/>
        </w:rPr>
        <w:t>:</w:t>
      </w:r>
    </w:p>
    <w:p w14:paraId="63523271" w14:textId="77777777" w:rsidR="005330B5" w:rsidRPr="00555411" w:rsidRDefault="005330B5" w:rsidP="00AA3506">
      <w:pPr>
        <w:pStyle w:val="Akapitzlist"/>
        <w:numPr>
          <w:ilvl w:val="0"/>
          <w:numId w:val="57"/>
        </w:numPr>
        <w:ind w:left="426"/>
      </w:pPr>
      <w:r w:rsidRPr="00555411">
        <w:t xml:space="preserve">dwustopniowy system potwierdzania ważności badań obejmujący: </w:t>
      </w:r>
    </w:p>
    <w:p w14:paraId="6365F80F" w14:textId="2A9D67EA" w:rsidR="005330B5" w:rsidRPr="006B1D82" w:rsidRDefault="005330B5" w:rsidP="006B1D82">
      <w:pPr>
        <w:pStyle w:val="Akapitzlist"/>
      </w:pPr>
      <w:r w:rsidRPr="006B1D82">
        <w:t>monitorowanie ważności wyników badań i pomiarów oraz prawidłowości pobierania próbek w</w:t>
      </w:r>
      <w:r w:rsidR="006C4947">
        <w:t> </w:t>
      </w:r>
      <w:r w:rsidRPr="006B1D82">
        <w:t xml:space="preserve">ramach bieżącej działalności laboratoryjnej, </w:t>
      </w:r>
    </w:p>
    <w:p w14:paraId="59EA3D93" w14:textId="77777777" w:rsidR="005330B5" w:rsidRPr="006B1D82" w:rsidRDefault="005330B5" w:rsidP="006B1D82">
      <w:pPr>
        <w:pStyle w:val="Akapitzlist"/>
      </w:pPr>
      <w:r w:rsidRPr="006B1D82">
        <w:t>uczestnictwo w badaniach biegłości lub uczestnictwo w innych porównaniach międzylaboratoryjnych, nie rzadziej niż raz na 4 lata;</w:t>
      </w:r>
    </w:p>
    <w:p w14:paraId="0A492059" w14:textId="77777777" w:rsidR="005330B5" w:rsidRPr="00555411" w:rsidRDefault="005330B5" w:rsidP="00AA3506">
      <w:pPr>
        <w:pStyle w:val="Akapitzlist"/>
        <w:numPr>
          <w:ilvl w:val="0"/>
          <w:numId w:val="57"/>
        </w:numPr>
        <w:ind w:left="426"/>
      </w:pPr>
      <w:r w:rsidRPr="162AF30A">
        <w:t>zapewnienie jakości i porównywalności wyników analiz zgodnie z międzynarodowymi standardami;</w:t>
      </w:r>
    </w:p>
    <w:p w14:paraId="326AB80C" w14:textId="77777777" w:rsidR="005330B5" w:rsidRPr="00555411" w:rsidRDefault="005330B5" w:rsidP="00AA3506">
      <w:pPr>
        <w:pStyle w:val="Akapitzlist"/>
        <w:numPr>
          <w:ilvl w:val="0"/>
          <w:numId w:val="57"/>
        </w:numPr>
        <w:ind w:left="426"/>
      </w:pPr>
      <w:r w:rsidRPr="162AF30A">
        <w:t>wdrożenie systemu zarządzania jakością obejmującego wszystkie etapy prowadzenia pomiarów lub badań, a w szczególności: poboru, utrwalania, transportu próbek, przechowywania próbek przed oddaniem ich do laboratorium, wykonywania oznaczeń fizykochemicznych, i</w:t>
      </w:r>
      <w:r>
        <w:t>ns</w:t>
      </w:r>
      <w:r w:rsidRPr="162AF30A">
        <w:t>trumentalnych lub taksonomicznych;</w:t>
      </w:r>
    </w:p>
    <w:p w14:paraId="4323634D" w14:textId="77777777" w:rsidR="005330B5" w:rsidRPr="00555411" w:rsidRDefault="005330B5" w:rsidP="00AA3506">
      <w:pPr>
        <w:pStyle w:val="Akapitzlist"/>
        <w:numPr>
          <w:ilvl w:val="0"/>
          <w:numId w:val="57"/>
        </w:numPr>
        <w:ind w:left="426"/>
      </w:pPr>
      <w:r w:rsidRPr="00555411">
        <w:t xml:space="preserve">stosowanie do badań i pomiarów, realizowanych w ramach monitoringu </w:t>
      </w:r>
      <w:r>
        <w:t>jcw</w:t>
      </w:r>
      <w:r w:rsidRPr="00555411">
        <w:t xml:space="preserve">, metodyk referencyjnych zawartych w </w:t>
      </w:r>
      <w:r>
        <w:t>r.m.jcw</w:t>
      </w:r>
      <w:r w:rsidRPr="00555411">
        <w:t xml:space="preserve"> oraz zapewnienie walidacji i dokumentowania wszystkich metod analizy stosowanych w programach monitorowania stanu wód;</w:t>
      </w:r>
    </w:p>
    <w:p w14:paraId="3FA54AA1" w14:textId="77777777" w:rsidR="005330B5" w:rsidRPr="00555411" w:rsidRDefault="005330B5" w:rsidP="00AA3506">
      <w:pPr>
        <w:pStyle w:val="Akapitzlist"/>
        <w:numPr>
          <w:ilvl w:val="0"/>
          <w:numId w:val="57"/>
        </w:numPr>
        <w:ind w:left="426"/>
      </w:pPr>
      <w:r w:rsidRPr="162AF30A">
        <w:t>oparcie, w przypadku wszystkich stosowanych metod analizy w zakresie elementów, grup wskaźników lub poszczególnych wskaźników fizykochemicznych bądź chemicznych, minimalnych kryteriów w zakresie wyników, na niepewności pomiaru równej lub mniejszej 50%, szacowanej na poziomie odpowiednich norm lub wartości granicznych albo środowiskowych norm jakości oraz zapewnienie, że granica oznaczalności nie przekracza wartości 30% tych norm, wartości granicznych lub środowiskowych norm jakości;</w:t>
      </w:r>
    </w:p>
    <w:p w14:paraId="432CCB2B" w14:textId="77777777" w:rsidR="005330B5" w:rsidRPr="00555411" w:rsidRDefault="005330B5" w:rsidP="00AA3506">
      <w:pPr>
        <w:pStyle w:val="Akapitzlist"/>
        <w:numPr>
          <w:ilvl w:val="0"/>
          <w:numId w:val="57"/>
        </w:numPr>
        <w:ind w:left="426"/>
      </w:pPr>
      <w:r w:rsidRPr="162AF30A">
        <w:t>dopuszczenie przekroczenia wartości granicy oznaczalności równej 30% odpowiednich norm lub wartości granicznych, czy środowiskowych norm jakości w sytuacji, gdy najlepsze dostępne techniki badawcze nie zapewniają spełnienia wymogów zawartych w punkcie 4 z zastrzeżeniem, aby nie była ona wyższa niż najbardziej rygorystyczna odpowiednia norma lub wartość graniczna bądź środowiskowa norma jakości określona dla danego elementu, grupy wskaźników, czy też danego wskaźnika;</w:t>
      </w:r>
    </w:p>
    <w:p w14:paraId="287B11CE" w14:textId="67BCF2FB" w:rsidR="005330B5" w:rsidRPr="00555411" w:rsidRDefault="005330B5" w:rsidP="00AA3506">
      <w:pPr>
        <w:pStyle w:val="Akapitzlist"/>
        <w:numPr>
          <w:ilvl w:val="0"/>
          <w:numId w:val="57"/>
        </w:numPr>
        <w:ind w:left="426"/>
      </w:pPr>
      <w:r w:rsidRPr="162AF30A">
        <w:t>prowadzenie, w przypadku gdy dla danego elementu, grupy wskaźników lub danego wskaźnika nie istnieje odpowiednia norma lub wartość graniczna, czy środowiskowa norma jakości,</w:t>
      </w:r>
      <w:r>
        <w:t xml:space="preserve"> </w:t>
      </w:r>
      <w:r w:rsidRPr="162AF30A">
        <w:t>albo nie istnieje metoda analizy spełniająca minimalne kryteria w zakresie warunków określonych w</w:t>
      </w:r>
      <w:r w:rsidR="000853A4">
        <w:t> </w:t>
      </w:r>
      <w:r w:rsidRPr="162AF30A">
        <w:t>punkcie 5, monitorowania przy wykorzystaniu najlepszych dostępnych technik badawczych zwalidowanych i opisanych w procedurach badawczych, oraz spełniających wymóg pozytywnych wyników badań biegłości lub porównań międzylaboratoryjnych;</w:t>
      </w:r>
    </w:p>
    <w:p w14:paraId="1466D5DE" w14:textId="21FC5BD1" w:rsidR="005330B5" w:rsidRPr="00555411" w:rsidRDefault="005330B5" w:rsidP="00AA3506">
      <w:pPr>
        <w:pStyle w:val="Akapitzlist"/>
        <w:numPr>
          <w:ilvl w:val="0"/>
          <w:numId w:val="57"/>
        </w:numPr>
        <w:ind w:left="426"/>
      </w:pPr>
      <w:r w:rsidRPr="00555411">
        <w:t>podawanie, wraz z wynikami pomiarów lub badań, szacowanych poziomów ufności, niepewności i dokładności wyników dla elementów fizykochemicznych, chemicznych i</w:t>
      </w:r>
      <w:r w:rsidR="000853A4">
        <w:t> </w:t>
      </w:r>
      <w:r w:rsidRPr="00555411">
        <w:t>biologicznych.</w:t>
      </w:r>
    </w:p>
    <w:p w14:paraId="48276ACF" w14:textId="7F85F5FF" w:rsidR="005330B5" w:rsidRDefault="005330B5" w:rsidP="005330B5">
      <w:pPr>
        <w:rPr>
          <w:rFonts w:asciiTheme="minorHAnsi" w:hAnsiTheme="minorHAnsi" w:cstheme="minorHAnsi"/>
        </w:rPr>
      </w:pPr>
      <w:r w:rsidRPr="00555411">
        <w:rPr>
          <w:rFonts w:asciiTheme="minorHAnsi" w:hAnsiTheme="minorHAnsi" w:cstheme="minorHAnsi"/>
        </w:rPr>
        <w:t xml:space="preserve">W monitoringu </w:t>
      </w:r>
      <w:r>
        <w:rPr>
          <w:rFonts w:asciiTheme="minorHAnsi" w:hAnsiTheme="minorHAnsi" w:cstheme="minorHAnsi"/>
        </w:rPr>
        <w:t>jcwp</w:t>
      </w:r>
      <w:r w:rsidRPr="00555411">
        <w:rPr>
          <w:rFonts w:asciiTheme="minorHAnsi" w:hAnsiTheme="minorHAnsi" w:cstheme="minorHAnsi"/>
        </w:rPr>
        <w:t xml:space="preserve"> i </w:t>
      </w:r>
      <w:r>
        <w:rPr>
          <w:rFonts w:asciiTheme="minorHAnsi" w:hAnsiTheme="minorHAnsi" w:cstheme="minorHAnsi"/>
        </w:rPr>
        <w:t>jcwpd</w:t>
      </w:r>
      <w:r w:rsidRPr="00555411">
        <w:rPr>
          <w:rFonts w:asciiTheme="minorHAnsi" w:hAnsiTheme="minorHAnsi" w:cstheme="minorHAnsi"/>
        </w:rPr>
        <w:t xml:space="preserve"> stos</w:t>
      </w:r>
      <w:r>
        <w:rPr>
          <w:rFonts w:asciiTheme="minorHAnsi" w:hAnsiTheme="minorHAnsi" w:cstheme="minorHAnsi"/>
        </w:rPr>
        <w:t xml:space="preserve">owane są </w:t>
      </w:r>
      <w:r w:rsidRPr="00555411">
        <w:rPr>
          <w:rFonts w:asciiTheme="minorHAnsi" w:hAnsiTheme="minorHAnsi" w:cstheme="minorHAnsi"/>
        </w:rPr>
        <w:t>metodyki referencyjne pomiarów i badań zawarte w</w:t>
      </w:r>
      <w:r w:rsidR="000853A4">
        <w:rPr>
          <w:rFonts w:asciiTheme="minorHAnsi" w:hAnsiTheme="minorHAnsi" w:cstheme="minorHAnsi"/>
        </w:rPr>
        <w:t> </w:t>
      </w:r>
      <w:r w:rsidRPr="00555411">
        <w:rPr>
          <w:rFonts w:asciiTheme="minorHAnsi" w:hAnsiTheme="minorHAnsi" w:cstheme="minorHAnsi"/>
        </w:rPr>
        <w:t xml:space="preserve">załączniku nr 7 do </w:t>
      </w:r>
      <w:r>
        <w:rPr>
          <w:rFonts w:asciiTheme="minorHAnsi" w:hAnsiTheme="minorHAnsi" w:cstheme="minorHAnsi"/>
        </w:rPr>
        <w:t>r.m.jcw</w:t>
      </w:r>
      <w:r w:rsidRPr="00555411">
        <w:rPr>
          <w:rFonts w:asciiTheme="minorHAnsi" w:hAnsiTheme="minorHAnsi" w:cstheme="minorHAnsi"/>
        </w:rPr>
        <w:t xml:space="preserve">. </w:t>
      </w:r>
    </w:p>
    <w:p w14:paraId="2B3953C7" w14:textId="66981356" w:rsidR="005330B5" w:rsidRDefault="005330B5" w:rsidP="005330B5">
      <w:pPr>
        <w:rPr>
          <w:rFonts w:asciiTheme="minorHAnsi" w:hAnsiTheme="minorHAnsi" w:cstheme="minorHAnsi"/>
        </w:rPr>
      </w:pPr>
      <w:r>
        <w:rPr>
          <w:rFonts w:asciiTheme="minorHAnsi" w:hAnsiTheme="minorHAnsi" w:cstheme="minorHAnsi"/>
        </w:rPr>
        <w:t>Granice oznaczalności stosowanych metodyk referencyjnych dla wskaźników jakości badanych w</w:t>
      </w:r>
      <w:r w:rsidR="000853A4">
        <w:rPr>
          <w:rFonts w:asciiTheme="minorHAnsi" w:hAnsiTheme="minorHAnsi" w:cstheme="minorHAnsi"/>
        </w:rPr>
        <w:t> </w:t>
      </w:r>
      <w:r>
        <w:rPr>
          <w:rFonts w:asciiTheme="minorHAnsi" w:hAnsiTheme="minorHAnsi" w:cstheme="minorHAnsi"/>
        </w:rPr>
        <w:t>wodzie, w odniesieniu do substancji priorytetowych przedstawia poniższa tabela.</w:t>
      </w:r>
    </w:p>
    <w:p w14:paraId="514FC532" w14:textId="0628BF13" w:rsidR="005330B5" w:rsidRPr="009A1E0B" w:rsidRDefault="005330B5" w:rsidP="006802BB">
      <w:pPr>
        <w:pStyle w:val="Legenda"/>
        <w:rPr>
          <w:rFonts w:asciiTheme="minorHAnsi" w:hAnsiTheme="minorHAnsi" w:cstheme="minorBidi"/>
          <w:i/>
        </w:rPr>
      </w:pPr>
      <w:bookmarkStart w:id="522" w:name="_Toc68727061"/>
      <w:r w:rsidRPr="00310C97">
        <w:t xml:space="preserve">Tabela </w:t>
      </w:r>
      <w:fldSimple w:instr=" STYLEREF 1 \s ">
        <w:r w:rsidR="007B4050">
          <w:rPr>
            <w:noProof/>
          </w:rPr>
          <w:t>14</w:t>
        </w:r>
      </w:fldSimple>
      <w:r w:rsidR="007B4050">
        <w:noBreakHyphen/>
      </w:r>
      <w:fldSimple w:instr=" SEQ Tabela \* ARABIC \s 1 ">
        <w:r w:rsidR="007B4050">
          <w:rPr>
            <w:noProof/>
          </w:rPr>
          <w:t>1</w:t>
        </w:r>
      </w:fldSimple>
      <w:r w:rsidRPr="009A1E0B">
        <w:t xml:space="preserve"> </w:t>
      </w:r>
      <w:r w:rsidRPr="009A1E0B">
        <w:tab/>
        <w:t>Granice oznaczalności stosowanych metodyk referencyjnych dla wskaźników jakości badanych w wodzie, w odniesieniu do substancji priorytetowych</w:t>
      </w:r>
      <w:bookmarkEnd w:id="522"/>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2978"/>
        <w:gridCol w:w="1275"/>
        <w:gridCol w:w="2129"/>
        <w:gridCol w:w="990"/>
        <w:gridCol w:w="1275"/>
      </w:tblGrid>
      <w:tr w:rsidR="005330B5" w:rsidRPr="009A1E0B" w14:paraId="49BEA65F" w14:textId="77777777" w:rsidTr="00B16BD9">
        <w:trPr>
          <w:trHeight w:val="340"/>
          <w:tblHeader/>
        </w:trPr>
        <w:tc>
          <w:tcPr>
            <w:tcW w:w="4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C4CE913" w14:textId="77777777" w:rsidR="005330B5" w:rsidRPr="0065090F" w:rsidRDefault="005330B5" w:rsidP="00E16261">
            <w:pPr>
              <w:pStyle w:val="Teksttabelinaglowek"/>
              <w:rPr>
                <w:rFonts w:asciiTheme="minorHAnsi" w:hAnsiTheme="minorHAnsi" w:cstheme="minorHAnsi"/>
              </w:rPr>
            </w:pPr>
            <w:r w:rsidRPr="0065090F">
              <w:rPr>
                <w:rFonts w:asciiTheme="minorHAnsi" w:hAnsiTheme="minorHAnsi" w:cstheme="minorHAnsi"/>
              </w:rPr>
              <w:t>Lp.</w:t>
            </w:r>
          </w:p>
        </w:tc>
        <w:tc>
          <w:tcPr>
            <w:tcW w:w="29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967CE8" w14:textId="77777777" w:rsidR="005330B5" w:rsidRPr="009A1E0B" w:rsidRDefault="005330B5" w:rsidP="0065090F">
            <w:pPr>
              <w:pStyle w:val="Teksttabelinaglowek"/>
            </w:pPr>
            <w:r w:rsidRPr="009A1E0B">
              <w:t>Wskaźnik jakości wody</w:t>
            </w:r>
          </w:p>
        </w:tc>
        <w:tc>
          <w:tcPr>
            <w:tcW w:w="12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42A5A1" w14:textId="77777777" w:rsidR="005330B5" w:rsidRPr="009A1E0B" w:rsidRDefault="005330B5" w:rsidP="0065090F">
            <w:pPr>
              <w:pStyle w:val="Teksttabelinaglowek"/>
            </w:pPr>
            <w:r w:rsidRPr="009A1E0B">
              <w:t>Nr CAS dla substancji</w:t>
            </w:r>
          </w:p>
        </w:tc>
        <w:tc>
          <w:tcPr>
            <w:tcW w:w="21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D8C0B1" w14:textId="2FCE9513" w:rsidR="005330B5" w:rsidRPr="009A1E0B" w:rsidRDefault="005330B5" w:rsidP="0065090F">
            <w:pPr>
              <w:pStyle w:val="Teksttabelinaglowek"/>
            </w:pPr>
            <w:r w:rsidRPr="009A1E0B">
              <w:t xml:space="preserve">Metodyka </w:t>
            </w:r>
            <w:r w:rsidR="006C4947">
              <w:t>-</w:t>
            </w:r>
            <w:r w:rsidRPr="009A1E0B">
              <w:t xml:space="preserve"> zgodna z Załącznikiem 7</w:t>
            </w:r>
          </w:p>
          <w:p w14:paraId="3A6530C7" w14:textId="28AAB424" w:rsidR="005330B5" w:rsidRPr="009A1E0B" w:rsidRDefault="005330B5" w:rsidP="0065090F">
            <w:pPr>
              <w:pStyle w:val="Teksttabelinaglowek"/>
            </w:pPr>
            <w:r w:rsidRPr="009A1E0B">
              <w:t>r. m. jcw (2019)</w:t>
            </w:r>
          </w:p>
        </w:tc>
        <w:tc>
          <w:tcPr>
            <w:tcW w:w="99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0D05A7" w14:textId="77777777" w:rsidR="005330B5" w:rsidRPr="009A1E0B" w:rsidRDefault="005330B5" w:rsidP="0065090F">
            <w:pPr>
              <w:pStyle w:val="Teksttabelinaglowek"/>
            </w:pPr>
            <w:r w:rsidRPr="009A1E0B">
              <w:t>Jednostka</w:t>
            </w:r>
          </w:p>
        </w:tc>
        <w:tc>
          <w:tcPr>
            <w:tcW w:w="12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9EBCD3" w14:textId="77777777" w:rsidR="005330B5" w:rsidRPr="009A1E0B" w:rsidRDefault="005330B5" w:rsidP="0065090F">
            <w:pPr>
              <w:pStyle w:val="Teksttabelinaglowek"/>
            </w:pPr>
            <w:r w:rsidRPr="009A1E0B">
              <w:t>Granica oznaczalności</w:t>
            </w:r>
          </w:p>
        </w:tc>
      </w:tr>
      <w:tr w:rsidR="005330B5" w:rsidRPr="009A1E0B" w14:paraId="791D91C1" w14:textId="77777777" w:rsidTr="00E16261">
        <w:trPr>
          <w:trHeight w:val="340"/>
        </w:trPr>
        <w:tc>
          <w:tcPr>
            <w:tcW w:w="9067"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015B6F" w14:textId="77777777" w:rsidR="005330B5" w:rsidRPr="00D41A3A" w:rsidRDefault="005330B5" w:rsidP="00D41A3A">
            <w:pPr>
              <w:spacing w:before="0" w:after="0"/>
              <w:ind w:left="499" w:hanging="499"/>
              <w:jc w:val="center"/>
              <w:rPr>
                <w:rFonts w:asciiTheme="minorHAnsi" w:hAnsiTheme="minorHAnsi" w:cstheme="minorHAnsi"/>
                <w:color w:val="000000"/>
                <w:sz w:val="20"/>
                <w:szCs w:val="20"/>
              </w:rPr>
            </w:pPr>
            <w:r w:rsidRPr="00D41A3A">
              <w:rPr>
                <w:rFonts w:asciiTheme="minorHAnsi" w:hAnsiTheme="minorHAnsi" w:cstheme="minorHAnsi"/>
                <w:sz w:val="20"/>
                <w:szCs w:val="20"/>
              </w:rPr>
              <w:t>Substancje priorytetowe w dziedzinie polityki wodnej</w:t>
            </w:r>
          </w:p>
        </w:tc>
      </w:tr>
      <w:tr w:rsidR="005330B5" w:rsidRPr="009A1E0B" w14:paraId="1B223C24"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E6D908C" w14:textId="5DE4246E"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C4F3961" w14:textId="77777777" w:rsidR="005330B5" w:rsidRPr="009A1E0B" w:rsidRDefault="005330B5" w:rsidP="0065090F">
            <w:pPr>
              <w:pStyle w:val="Teksttabelilewy"/>
              <w:jc w:val="left"/>
            </w:pPr>
            <w:r w:rsidRPr="009A1E0B">
              <w:t>4.1.1. Alachlor</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6591515" w14:textId="77777777" w:rsidR="005330B5" w:rsidRPr="009A1E0B" w:rsidRDefault="005330B5" w:rsidP="0065090F">
            <w:pPr>
              <w:pStyle w:val="Teksttabelisrodek"/>
              <w:ind w:left="0"/>
            </w:pPr>
            <w:r w:rsidRPr="009A1E0B">
              <w:t>15972-60-8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28A8E1C"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87AACF3" w14:textId="77777777" w:rsidR="005330B5" w:rsidRPr="009A1E0B" w:rsidRDefault="005330B5" w:rsidP="0065090F">
            <w:pPr>
              <w:pStyle w:val="Teksttabelisrodek"/>
              <w:ind w:left="0"/>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549CBF5" w14:textId="77777777" w:rsidR="005330B5" w:rsidRPr="009A1E0B" w:rsidRDefault="005330B5" w:rsidP="0065090F">
            <w:pPr>
              <w:pStyle w:val="Teksttabelisrodek"/>
              <w:ind w:left="0"/>
            </w:pPr>
            <w:r w:rsidRPr="009A1E0B">
              <w:t>0,005</w:t>
            </w:r>
          </w:p>
        </w:tc>
      </w:tr>
      <w:tr w:rsidR="005330B5" w:rsidRPr="009A1E0B" w14:paraId="14960B8E"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0B69E528" w14:textId="14567F02"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888EC38" w14:textId="77777777" w:rsidR="005330B5" w:rsidRPr="009A1E0B" w:rsidRDefault="005330B5" w:rsidP="0065090F">
            <w:pPr>
              <w:pStyle w:val="Teksttabelilewy"/>
              <w:jc w:val="left"/>
            </w:pPr>
            <w:r w:rsidRPr="009A1E0B">
              <w:t>4.1.2. Antracen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7DB257E" w14:textId="77777777" w:rsidR="005330B5" w:rsidRPr="009A1E0B" w:rsidRDefault="005330B5" w:rsidP="0065090F">
            <w:pPr>
              <w:pStyle w:val="Teksttabelisrodek"/>
              <w:ind w:left="0"/>
            </w:pPr>
            <w:r w:rsidRPr="009A1E0B">
              <w:t>120-12-7</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D3A2411"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A86A373"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A39559C" w14:textId="77777777" w:rsidR="005330B5" w:rsidRPr="009A1E0B" w:rsidRDefault="005330B5" w:rsidP="0065090F">
            <w:pPr>
              <w:pStyle w:val="Teksttabelisrodek"/>
              <w:ind w:left="0"/>
            </w:pPr>
            <w:r w:rsidRPr="009A1E0B">
              <w:t>0,001</w:t>
            </w:r>
          </w:p>
        </w:tc>
      </w:tr>
      <w:tr w:rsidR="005330B5" w:rsidRPr="009A1E0B" w14:paraId="2532FB88"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5B45FDCF" w14:textId="55532A8B"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726C305" w14:textId="77777777" w:rsidR="005330B5" w:rsidRPr="009A1E0B" w:rsidRDefault="005330B5" w:rsidP="0065090F">
            <w:pPr>
              <w:pStyle w:val="Teksttabelilewy"/>
              <w:jc w:val="left"/>
            </w:pPr>
            <w:r w:rsidRPr="009A1E0B">
              <w:t>4.1.3. Atrazyna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51461F9" w14:textId="77777777" w:rsidR="005330B5" w:rsidRPr="009A1E0B" w:rsidRDefault="005330B5" w:rsidP="0065090F">
            <w:pPr>
              <w:pStyle w:val="Teksttabelisrodek"/>
              <w:ind w:left="0"/>
            </w:pPr>
            <w:r w:rsidRPr="009A1E0B">
              <w:t>1912-24-9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9FF480D" w14:textId="77777777" w:rsidR="005330B5" w:rsidRPr="009A1E0B" w:rsidRDefault="005330B5" w:rsidP="0065090F">
            <w:pPr>
              <w:pStyle w:val="Teksttabelisrodek"/>
              <w:ind w:left="0"/>
            </w:pPr>
            <w:r w:rsidRPr="009A1E0B">
              <w:t>PN-EN ISO 11369:2002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17BF635"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BA14723" w14:textId="77777777" w:rsidR="005330B5" w:rsidRPr="009A1E0B" w:rsidRDefault="005330B5" w:rsidP="0065090F">
            <w:pPr>
              <w:pStyle w:val="Teksttabelisrodek"/>
              <w:ind w:left="0"/>
            </w:pPr>
            <w:r w:rsidRPr="009A1E0B">
              <w:t>0,18</w:t>
            </w:r>
          </w:p>
        </w:tc>
      </w:tr>
      <w:tr w:rsidR="005330B5" w:rsidRPr="009A1E0B" w14:paraId="2D738E1D"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FE866F3" w14:textId="729406E3"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01C24A41" w14:textId="77777777" w:rsidR="005330B5" w:rsidRPr="009A1E0B" w:rsidRDefault="005330B5" w:rsidP="0065090F">
            <w:pPr>
              <w:pStyle w:val="Teksttabelilewy"/>
              <w:jc w:val="left"/>
            </w:pPr>
            <w:r w:rsidRPr="009A1E0B">
              <w:t>4.1.4. Benzen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5A74827" w14:textId="77777777" w:rsidR="005330B5" w:rsidRPr="009A1E0B" w:rsidRDefault="005330B5" w:rsidP="0065090F">
            <w:pPr>
              <w:pStyle w:val="Teksttabelisrodek"/>
              <w:ind w:left="0"/>
            </w:pPr>
            <w:r w:rsidRPr="009A1E0B">
              <w:t>71-43-2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D87BDE9" w14:textId="77777777" w:rsidR="005330B5" w:rsidRPr="009A1E0B" w:rsidRDefault="005330B5" w:rsidP="0065090F">
            <w:pPr>
              <w:pStyle w:val="Teksttabelisrodek"/>
              <w:ind w:left="0"/>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B8D77E5"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D3D8DBE" w14:textId="77777777" w:rsidR="005330B5" w:rsidRPr="009A1E0B" w:rsidRDefault="005330B5" w:rsidP="0065090F">
            <w:pPr>
              <w:pStyle w:val="Teksttabelisrodek"/>
              <w:ind w:left="0"/>
            </w:pPr>
            <w:r w:rsidRPr="009A1E0B">
              <w:t>0,5</w:t>
            </w:r>
          </w:p>
        </w:tc>
      </w:tr>
      <w:tr w:rsidR="005330B5" w:rsidRPr="009A1E0B" w14:paraId="6282BDB5"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51FAB14" w14:textId="33D91DFD"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6AF2EF1C" w14:textId="77777777" w:rsidR="005330B5" w:rsidRPr="009A1E0B" w:rsidRDefault="005330B5" w:rsidP="0065090F">
            <w:pPr>
              <w:pStyle w:val="Teksttabelilewy"/>
              <w:jc w:val="left"/>
            </w:pPr>
            <w:r w:rsidRPr="009A1E0B">
              <w:t>4.1.5. Bromowany difenyloeter (PBDE)</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4CC0501" w14:textId="77777777" w:rsidR="005330B5" w:rsidRPr="009A1E0B" w:rsidRDefault="005330B5" w:rsidP="0065090F">
            <w:pPr>
              <w:pStyle w:val="Teksttabelisrodek"/>
              <w:ind w:left="0"/>
            </w:pPr>
            <w:r w:rsidRPr="009A1E0B">
              <w:t>32534-81-9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21E8A658"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5425389"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C8B993F" w14:textId="77777777" w:rsidR="005330B5" w:rsidRPr="009A1E0B" w:rsidRDefault="005330B5" w:rsidP="0065090F">
            <w:pPr>
              <w:pStyle w:val="Teksttabelisrodek"/>
              <w:ind w:left="0"/>
            </w:pPr>
            <w:r w:rsidRPr="009A1E0B">
              <w:t>0,03</w:t>
            </w:r>
          </w:p>
        </w:tc>
      </w:tr>
      <w:tr w:rsidR="005330B5" w:rsidRPr="009A1E0B" w14:paraId="5AEA4293" w14:textId="77777777" w:rsidTr="00E16261">
        <w:trPr>
          <w:trHeight w:val="340"/>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4CB4AEF5" w14:textId="2B603F9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6</w:t>
            </w:r>
            <w:r w:rsidR="0030438B">
              <w:rPr>
                <w:rFonts w:asciiTheme="minorHAnsi" w:hAnsiTheme="minorHAnsi" w:cstheme="minorHAnsi"/>
                <w:color w:val="000000"/>
                <w:sz w:val="20"/>
                <w:szCs w:val="20"/>
              </w:rPr>
              <w:t>.</w:t>
            </w:r>
          </w:p>
        </w:tc>
        <w:tc>
          <w:tcPr>
            <w:tcW w:w="2978" w:type="dxa"/>
            <w:vMerge w:val="restart"/>
            <w:tcBorders>
              <w:top w:val="single" w:sz="4" w:space="0" w:color="auto"/>
              <w:left w:val="single" w:sz="4" w:space="0" w:color="auto"/>
              <w:bottom w:val="single" w:sz="4" w:space="0" w:color="auto"/>
              <w:right w:val="single" w:sz="4" w:space="0" w:color="auto"/>
            </w:tcBorders>
            <w:noWrap/>
            <w:vAlign w:val="center"/>
            <w:hideMark/>
          </w:tcPr>
          <w:p w14:paraId="4AA8BD8D" w14:textId="77777777" w:rsidR="005330B5" w:rsidRPr="009A1E0B" w:rsidRDefault="005330B5" w:rsidP="0065090F">
            <w:pPr>
              <w:pStyle w:val="Teksttabelilewy"/>
              <w:jc w:val="left"/>
            </w:pPr>
            <w:r w:rsidRPr="009A1E0B">
              <w:t>4.1.6. Kadm i jego związki</w:t>
            </w:r>
          </w:p>
        </w:tc>
        <w:tc>
          <w:tcPr>
            <w:tcW w:w="1275" w:type="dxa"/>
            <w:vMerge w:val="restart"/>
            <w:tcBorders>
              <w:top w:val="single" w:sz="4" w:space="0" w:color="auto"/>
              <w:left w:val="single" w:sz="4" w:space="0" w:color="auto"/>
              <w:bottom w:val="single" w:sz="4" w:space="0" w:color="auto"/>
              <w:right w:val="single" w:sz="4" w:space="0" w:color="auto"/>
            </w:tcBorders>
            <w:noWrap/>
            <w:vAlign w:val="center"/>
            <w:hideMark/>
          </w:tcPr>
          <w:p w14:paraId="467CAE2D" w14:textId="77777777" w:rsidR="005330B5" w:rsidRPr="009A1E0B" w:rsidRDefault="005330B5" w:rsidP="0065090F">
            <w:pPr>
              <w:pStyle w:val="Teksttabelisrodek"/>
              <w:ind w:left="0"/>
            </w:pPr>
            <w:r w:rsidRPr="009A1E0B">
              <w:t>7440-43-9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832DA07" w14:textId="77777777" w:rsidR="005330B5" w:rsidRPr="009A1E0B" w:rsidRDefault="005330B5" w:rsidP="0065090F">
            <w:pPr>
              <w:pStyle w:val="Teksttabelisrodek"/>
              <w:ind w:left="0"/>
            </w:pPr>
            <w:r w:rsidRPr="009A1E0B">
              <w:t>PN-EN ISO 17294-2:2016-11</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11E304A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D373B49" w14:textId="77777777" w:rsidR="005330B5" w:rsidRPr="009A1E0B" w:rsidRDefault="005330B5" w:rsidP="0065090F">
            <w:pPr>
              <w:pStyle w:val="Teksttabelisrodek"/>
              <w:ind w:left="0"/>
            </w:pPr>
            <w:r w:rsidRPr="009A1E0B">
              <w:t>0,024</w:t>
            </w:r>
          </w:p>
        </w:tc>
      </w:tr>
      <w:tr w:rsidR="005330B5" w:rsidRPr="009A1E0B" w14:paraId="11625B7F"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6808E02F"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vMerge/>
            <w:tcBorders>
              <w:top w:val="single" w:sz="4" w:space="0" w:color="auto"/>
              <w:left w:val="single" w:sz="4" w:space="0" w:color="auto"/>
              <w:bottom w:val="single" w:sz="4" w:space="0" w:color="auto"/>
              <w:right w:val="single" w:sz="4" w:space="0" w:color="auto"/>
            </w:tcBorders>
            <w:vAlign w:val="center"/>
            <w:hideMark/>
          </w:tcPr>
          <w:p w14:paraId="378D62A9" w14:textId="77777777" w:rsidR="005330B5" w:rsidRPr="009A1E0B" w:rsidRDefault="005330B5" w:rsidP="0065090F">
            <w:pPr>
              <w:pStyle w:val="Teksttabelilewy"/>
              <w:jc w:val="left"/>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60EC356" w14:textId="77777777" w:rsidR="005330B5" w:rsidRPr="009A1E0B" w:rsidRDefault="005330B5" w:rsidP="0065090F">
            <w:pPr>
              <w:pStyle w:val="Teksttabelisrodek"/>
              <w:ind w:left="0"/>
            </w:pP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F68A132" w14:textId="77777777" w:rsidR="005330B5" w:rsidRPr="009A1E0B" w:rsidRDefault="005330B5" w:rsidP="0065090F">
            <w:pPr>
              <w:pStyle w:val="Teksttabelisrodek"/>
              <w:ind w:left="0"/>
            </w:pPr>
            <w:r w:rsidRPr="009A1E0B">
              <w:t>PN-EN ISO 15586:2005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2BFCC4AC"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B11B53B" w14:textId="77777777" w:rsidR="005330B5" w:rsidRPr="009A1E0B" w:rsidRDefault="005330B5" w:rsidP="0065090F">
            <w:pPr>
              <w:pStyle w:val="Teksttabelisrodek"/>
              <w:ind w:left="0"/>
            </w:pPr>
            <w:r w:rsidRPr="009A1E0B">
              <w:t>0,1</w:t>
            </w:r>
          </w:p>
        </w:tc>
      </w:tr>
      <w:tr w:rsidR="005330B5" w:rsidRPr="009A1E0B" w14:paraId="5EA9CE86"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055CE06C" w14:textId="26734A2F"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7</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71A3512" w14:textId="77777777" w:rsidR="005330B5" w:rsidRPr="009A1E0B" w:rsidRDefault="005330B5" w:rsidP="0065090F">
            <w:pPr>
              <w:pStyle w:val="Teksttabelilewy"/>
              <w:jc w:val="left"/>
            </w:pPr>
            <w:r w:rsidRPr="009A1E0B">
              <w:t>4.1.7. Chloroalkany C 10-13</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372E954" w14:textId="77777777" w:rsidR="005330B5" w:rsidRPr="009A1E0B" w:rsidRDefault="005330B5" w:rsidP="0065090F">
            <w:pPr>
              <w:pStyle w:val="Teksttabelisrodek"/>
              <w:ind w:left="0"/>
            </w:pPr>
            <w:r w:rsidRPr="009A1E0B">
              <w:t>85535-84-8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A6E03AD"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98FB441"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902E220" w14:textId="77777777" w:rsidR="005330B5" w:rsidRPr="009A1E0B" w:rsidRDefault="005330B5" w:rsidP="0065090F">
            <w:pPr>
              <w:pStyle w:val="Teksttabelisrodek"/>
              <w:ind w:left="0"/>
            </w:pPr>
            <w:r w:rsidRPr="009A1E0B">
              <w:t>0,1</w:t>
            </w:r>
          </w:p>
        </w:tc>
      </w:tr>
      <w:tr w:rsidR="005330B5" w:rsidRPr="009A1E0B" w14:paraId="39C160B6"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3364CFE9" w14:textId="2FF1C2DE"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8</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D88E055" w14:textId="77777777" w:rsidR="005330B5" w:rsidRPr="009A1E0B" w:rsidRDefault="005330B5" w:rsidP="0065090F">
            <w:pPr>
              <w:pStyle w:val="Teksttabelilewy"/>
              <w:jc w:val="left"/>
            </w:pPr>
            <w:r w:rsidRPr="009A1E0B">
              <w:t>4.1.8. Chlorfenwinfos</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712E9AE" w14:textId="77777777" w:rsidR="005330B5" w:rsidRPr="009A1E0B" w:rsidRDefault="005330B5" w:rsidP="0065090F">
            <w:pPr>
              <w:pStyle w:val="Teksttabelisrodek"/>
              <w:ind w:left="0"/>
            </w:pPr>
            <w:r w:rsidRPr="009A1E0B">
              <w:t>470-90-6</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B9B9905"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B4A225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61549EA" w14:textId="77777777" w:rsidR="005330B5" w:rsidRPr="009A1E0B" w:rsidRDefault="005330B5" w:rsidP="0065090F">
            <w:pPr>
              <w:pStyle w:val="Teksttabelisrodek"/>
              <w:ind w:left="0"/>
            </w:pPr>
            <w:r w:rsidRPr="009A1E0B">
              <w:t>0,005</w:t>
            </w:r>
          </w:p>
        </w:tc>
      </w:tr>
      <w:tr w:rsidR="005330B5" w:rsidRPr="009A1E0B" w14:paraId="3B73DEBE"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AA803A1" w14:textId="68CD97A9"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9</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AA00557" w14:textId="77777777" w:rsidR="005330B5" w:rsidRPr="009A1E0B" w:rsidRDefault="005330B5" w:rsidP="0065090F">
            <w:pPr>
              <w:pStyle w:val="Teksttabelilewy"/>
              <w:jc w:val="left"/>
            </w:pPr>
            <w:r w:rsidRPr="009A1E0B">
              <w:t>4.1.9. Chlorpyrifos (chloropiryfos etylowy)</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7F9A9E1" w14:textId="77777777" w:rsidR="005330B5" w:rsidRPr="009A1E0B" w:rsidRDefault="005330B5" w:rsidP="0065090F">
            <w:pPr>
              <w:pStyle w:val="Teksttabelisrodek"/>
              <w:ind w:left="0"/>
            </w:pPr>
            <w:r w:rsidRPr="009A1E0B">
              <w:t>2921-88-2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FF6FD53"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16111CC"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3F4A53C" w14:textId="77777777" w:rsidR="005330B5" w:rsidRPr="009A1E0B" w:rsidRDefault="005330B5" w:rsidP="0065090F">
            <w:pPr>
              <w:pStyle w:val="Teksttabelisrodek"/>
              <w:ind w:left="0"/>
            </w:pPr>
            <w:r w:rsidRPr="009A1E0B">
              <w:t>0,002</w:t>
            </w:r>
          </w:p>
        </w:tc>
      </w:tr>
      <w:tr w:rsidR="005330B5" w:rsidRPr="009A1E0B" w14:paraId="6436844B"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734E0BC" w14:textId="32402681"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10</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29E7199" w14:textId="77777777" w:rsidR="005330B5" w:rsidRPr="009A1E0B" w:rsidRDefault="005330B5" w:rsidP="0065090F">
            <w:pPr>
              <w:pStyle w:val="Teksttabelilewy"/>
              <w:jc w:val="left"/>
            </w:pPr>
            <w:r w:rsidRPr="009A1E0B">
              <w:t>4.1.10. 1,2-dichloroetan (EDC)</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378EA9A" w14:textId="77777777" w:rsidR="005330B5" w:rsidRPr="009A1E0B" w:rsidRDefault="005330B5" w:rsidP="0065090F">
            <w:pPr>
              <w:pStyle w:val="Teksttabelisrodek"/>
              <w:ind w:left="0"/>
            </w:pPr>
            <w:r w:rsidRPr="009A1E0B">
              <w:t>107-06-2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0CCDEB4" w14:textId="77777777" w:rsidR="005330B5" w:rsidRPr="009A1E0B" w:rsidRDefault="005330B5" w:rsidP="0065090F">
            <w:pPr>
              <w:pStyle w:val="Teksttabelisrodek"/>
              <w:ind w:left="0"/>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1E88612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104E79E" w14:textId="77777777" w:rsidR="005330B5" w:rsidRPr="009A1E0B" w:rsidRDefault="005330B5" w:rsidP="0065090F">
            <w:pPr>
              <w:pStyle w:val="Teksttabelisrodek"/>
              <w:ind w:left="0"/>
            </w:pPr>
            <w:r w:rsidRPr="009A1E0B">
              <w:t>0,5</w:t>
            </w:r>
          </w:p>
        </w:tc>
      </w:tr>
      <w:tr w:rsidR="005330B5" w:rsidRPr="009A1E0B" w14:paraId="5E7CE3F8"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1A7E20AB" w14:textId="6212033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3B7F76A" w14:textId="77777777" w:rsidR="005330B5" w:rsidRPr="009A1E0B" w:rsidRDefault="005330B5" w:rsidP="0065090F">
            <w:pPr>
              <w:pStyle w:val="Teksttabelilewy"/>
              <w:jc w:val="left"/>
            </w:pPr>
            <w:r w:rsidRPr="009A1E0B">
              <w:t>4.1.11. Dichlorometan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39B9FA8" w14:textId="77777777" w:rsidR="005330B5" w:rsidRPr="009A1E0B" w:rsidRDefault="005330B5" w:rsidP="0065090F">
            <w:pPr>
              <w:pStyle w:val="Teksttabelisrodek"/>
              <w:ind w:left="0"/>
            </w:pPr>
            <w:r w:rsidRPr="009A1E0B">
              <w:t>75-09-2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448DD81" w14:textId="77777777" w:rsidR="005330B5" w:rsidRPr="009A1E0B" w:rsidRDefault="005330B5" w:rsidP="0065090F">
            <w:pPr>
              <w:pStyle w:val="Teksttabelisrodek"/>
              <w:ind w:left="0"/>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A665FDF"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478EF2F" w14:textId="77777777" w:rsidR="005330B5" w:rsidRPr="009A1E0B" w:rsidRDefault="005330B5" w:rsidP="0065090F">
            <w:pPr>
              <w:pStyle w:val="Teksttabelisrodek"/>
              <w:ind w:left="0"/>
            </w:pPr>
            <w:r w:rsidRPr="009A1E0B">
              <w:t>0,5</w:t>
            </w:r>
          </w:p>
        </w:tc>
      </w:tr>
      <w:tr w:rsidR="005330B5" w:rsidRPr="009A1E0B" w14:paraId="76441746"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84291B5" w14:textId="68126BCF"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CDCCD2F" w14:textId="77777777" w:rsidR="005330B5" w:rsidRPr="009A1E0B" w:rsidRDefault="005330B5" w:rsidP="0065090F">
            <w:pPr>
              <w:pStyle w:val="Teksttabelilewy"/>
              <w:jc w:val="left"/>
            </w:pPr>
            <w:r w:rsidRPr="009A1E0B">
              <w:t>4.1.12. Ftalan di(2-etyloheksyl)(DEHP)</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DB84470" w14:textId="77777777" w:rsidR="005330B5" w:rsidRPr="009A1E0B" w:rsidRDefault="005330B5" w:rsidP="0065090F">
            <w:pPr>
              <w:pStyle w:val="Teksttabelisrodek"/>
              <w:ind w:left="0"/>
            </w:pPr>
            <w:r w:rsidRPr="009A1E0B">
              <w:t>117-81-7</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12657A7" w14:textId="77777777" w:rsidR="005330B5" w:rsidRPr="009A1E0B" w:rsidRDefault="005330B5" w:rsidP="0065090F">
            <w:pPr>
              <w:pStyle w:val="Teksttabelisrodek"/>
              <w:ind w:left="0"/>
            </w:pPr>
            <w:r w:rsidRPr="009A1E0B">
              <w:t>PN-EN ISO 18856:2006</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6FD68C7"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2A95C3B" w14:textId="77777777" w:rsidR="005330B5" w:rsidRPr="009A1E0B" w:rsidRDefault="005330B5" w:rsidP="0065090F">
            <w:pPr>
              <w:pStyle w:val="Teksttabelisrodek"/>
              <w:ind w:left="0"/>
            </w:pPr>
            <w:r w:rsidRPr="009A1E0B">
              <w:t>0,39</w:t>
            </w:r>
          </w:p>
        </w:tc>
      </w:tr>
      <w:tr w:rsidR="005330B5" w:rsidRPr="009A1E0B" w14:paraId="0775AA31"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D3DE273" w14:textId="25BED6B1"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13</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A251FBB" w14:textId="77777777" w:rsidR="005330B5" w:rsidRPr="009A1E0B" w:rsidRDefault="005330B5" w:rsidP="0065090F">
            <w:pPr>
              <w:pStyle w:val="Teksttabelilewy"/>
              <w:jc w:val="left"/>
            </w:pPr>
            <w:r w:rsidRPr="009A1E0B">
              <w:t>4.1.13. Diuron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D3F2D7D" w14:textId="77777777" w:rsidR="005330B5" w:rsidRPr="009A1E0B" w:rsidRDefault="005330B5" w:rsidP="0065090F">
            <w:pPr>
              <w:pStyle w:val="Teksttabelisrodek"/>
              <w:ind w:left="0"/>
            </w:pPr>
            <w:r w:rsidRPr="009A1E0B">
              <w:t>330-54-1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BC0E51C" w14:textId="77777777" w:rsidR="005330B5" w:rsidRPr="009A1E0B" w:rsidRDefault="005330B5" w:rsidP="0065090F">
            <w:pPr>
              <w:pStyle w:val="Teksttabelisrodek"/>
              <w:ind w:left="0"/>
            </w:pPr>
            <w:r w:rsidRPr="009A1E0B">
              <w:t>PN-EN ISO 11369:2002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2222EB2"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4666677" w14:textId="77777777" w:rsidR="005330B5" w:rsidRPr="009A1E0B" w:rsidRDefault="005330B5" w:rsidP="0065090F">
            <w:pPr>
              <w:pStyle w:val="Teksttabelisrodek"/>
              <w:ind w:left="0"/>
            </w:pPr>
            <w:r w:rsidRPr="009A1E0B">
              <w:t>0,06</w:t>
            </w:r>
          </w:p>
        </w:tc>
      </w:tr>
      <w:tr w:rsidR="005330B5" w:rsidRPr="009A1E0B" w14:paraId="5388C500"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80ECDCD" w14:textId="253F0CC2"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AFA0D8E" w14:textId="77777777" w:rsidR="005330B5" w:rsidRPr="009A1E0B" w:rsidRDefault="005330B5" w:rsidP="0065090F">
            <w:pPr>
              <w:pStyle w:val="Teksttabelilewy"/>
              <w:jc w:val="left"/>
            </w:pPr>
            <w:r w:rsidRPr="009A1E0B">
              <w:t>4.1.14. Endosulfan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5E709DA" w14:textId="77777777" w:rsidR="005330B5" w:rsidRPr="009A1E0B" w:rsidRDefault="005330B5" w:rsidP="0065090F">
            <w:pPr>
              <w:pStyle w:val="Teksttabelisrodek"/>
              <w:ind w:left="0"/>
            </w:pPr>
            <w:r w:rsidRPr="009A1E0B">
              <w:t>115-29-7</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B71E767" w14:textId="77777777" w:rsidR="005330B5" w:rsidRPr="009A1E0B" w:rsidRDefault="005330B5" w:rsidP="0065090F">
            <w:pPr>
              <w:pStyle w:val="Teksttabelisrodek"/>
              <w:ind w:left="0"/>
            </w:pPr>
            <w:r w:rsidRPr="009A1E0B">
              <w:t>PN-EN ISO 6468: 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BC75A40"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9DDF83A" w14:textId="77777777" w:rsidR="005330B5" w:rsidRPr="009A1E0B" w:rsidRDefault="005330B5" w:rsidP="0065090F">
            <w:pPr>
              <w:pStyle w:val="Teksttabelisrodek"/>
              <w:ind w:left="0"/>
            </w:pPr>
            <w:r w:rsidRPr="009A1E0B">
              <w:t>0,001</w:t>
            </w:r>
          </w:p>
        </w:tc>
      </w:tr>
      <w:tr w:rsidR="005330B5" w:rsidRPr="009A1E0B" w14:paraId="02F149D8"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0FA7BA0" w14:textId="7ED93AC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64656ECE" w14:textId="77777777" w:rsidR="005330B5" w:rsidRPr="009A1E0B" w:rsidRDefault="005330B5" w:rsidP="0065090F">
            <w:pPr>
              <w:pStyle w:val="Teksttabelilewy"/>
              <w:jc w:val="left"/>
            </w:pPr>
            <w:r w:rsidRPr="009A1E0B">
              <w:t>4.1.15. Fluoranten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258D231" w14:textId="77777777" w:rsidR="005330B5" w:rsidRPr="009A1E0B" w:rsidRDefault="005330B5" w:rsidP="0065090F">
            <w:pPr>
              <w:pStyle w:val="Teksttabelisrodek"/>
              <w:ind w:left="0"/>
            </w:pPr>
            <w:r w:rsidRPr="009A1E0B">
              <w:t>206-44-0</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4847738"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28DE7BE2"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A434D16" w14:textId="77777777" w:rsidR="005330B5" w:rsidRPr="009A1E0B" w:rsidRDefault="005330B5" w:rsidP="0065090F">
            <w:pPr>
              <w:pStyle w:val="Teksttabelisrodek"/>
              <w:ind w:left="0"/>
            </w:pPr>
            <w:r w:rsidRPr="009A1E0B">
              <w:t>0,002</w:t>
            </w:r>
          </w:p>
        </w:tc>
      </w:tr>
      <w:tr w:rsidR="005330B5" w:rsidRPr="009A1E0B" w14:paraId="2605DB54"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DAA98E4" w14:textId="6EAFD481"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16</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14B8503B" w14:textId="77777777" w:rsidR="005330B5" w:rsidRPr="009A1E0B" w:rsidRDefault="005330B5" w:rsidP="0065090F">
            <w:pPr>
              <w:pStyle w:val="Teksttabelilewy"/>
              <w:jc w:val="left"/>
            </w:pPr>
            <w:r w:rsidRPr="009A1E0B">
              <w:t>4.1.16. Heksachlorobenzen (HCB)</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DEA931D" w14:textId="77777777" w:rsidR="005330B5" w:rsidRPr="009A1E0B" w:rsidRDefault="005330B5" w:rsidP="0065090F">
            <w:pPr>
              <w:pStyle w:val="Teksttabelisrodek"/>
              <w:ind w:left="0"/>
            </w:pPr>
            <w:r w:rsidRPr="009A1E0B">
              <w:t>118-74-1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2B1ABBC5"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BA22E56"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7D874CE" w14:textId="77777777" w:rsidR="005330B5" w:rsidRPr="009A1E0B" w:rsidRDefault="005330B5" w:rsidP="0065090F">
            <w:pPr>
              <w:pStyle w:val="Teksttabelisrodek"/>
              <w:ind w:left="0"/>
            </w:pPr>
            <w:r w:rsidRPr="009A1E0B">
              <w:t>0,003</w:t>
            </w:r>
          </w:p>
        </w:tc>
      </w:tr>
      <w:tr w:rsidR="005330B5" w:rsidRPr="009A1E0B" w14:paraId="7A30EBDE"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9BBECD9" w14:textId="6A784356"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17</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97A17AC" w14:textId="77777777" w:rsidR="005330B5" w:rsidRPr="009A1E0B" w:rsidRDefault="005330B5" w:rsidP="0065090F">
            <w:pPr>
              <w:pStyle w:val="Teksttabelilewy"/>
              <w:jc w:val="left"/>
            </w:pPr>
            <w:r w:rsidRPr="009A1E0B">
              <w:t>4.1.17. Heksachlorobutadien (HCBD)</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BEB0F54" w14:textId="77777777" w:rsidR="005330B5" w:rsidRPr="009A1E0B" w:rsidRDefault="005330B5" w:rsidP="0065090F">
            <w:pPr>
              <w:pStyle w:val="Teksttabelisrodek"/>
              <w:ind w:left="0"/>
            </w:pPr>
            <w:r w:rsidRPr="009A1E0B">
              <w:t>87-68-3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3B7EE4C" w14:textId="77777777" w:rsidR="005330B5" w:rsidRPr="009A1E0B" w:rsidRDefault="005330B5" w:rsidP="0065090F">
            <w:pPr>
              <w:pStyle w:val="Teksttabelisrodek"/>
              <w:ind w:left="0"/>
            </w:pPr>
            <w:r w:rsidRPr="009A1E0B">
              <w:t>PN-EN ISO 10301:2002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23D98E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020823C" w14:textId="77777777" w:rsidR="005330B5" w:rsidRPr="009A1E0B" w:rsidRDefault="005330B5" w:rsidP="0065090F">
            <w:pPr>
              <w:pStyle w:val="Teksttabelisrodek"/>
              <w:ind w:left="0"/>
            </w:pPr>
            <w:r w:rsidRPr="009A1E0B">
              <w:t>0,03</w:t>
            </w:r>
          </w:p>
        </w:tc>
      </w:tr>
      <w:tr w:rsidR="005330B5" w:rsidRPr="009A1E0B" w14:paraId="76BDA991"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1D5AD12" w14:textId="22BC186E"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18</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D5D5259" w14:textId="77777777" w:rsidR="005330B5" w:rsidRPr="009A1E0B" w:rsidRDefault="005330B5" w:rsidP="0065090F">
            <w:pPr>
              <w:pStyle w:val="Teksttabelilewy"/>
              <w:jc w:val="left"/>
            </w:pPr>
            <w:r w:rsidRPr="009A1E0B">
              <w:t>4.1.18. Suma heksachlorocykloheksan (HCH)</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02CECC2" w14:textId="77777777" w:rsidR="005330B5" w:rsidRPr="009A1E0B" w:rsidRDefault="005330B5" w:rsidP="0065090F">
            <w:pPr>
              <w:pStyle w:val="Teksttabelisrodek"/>
              <w:ind w:left="0"/>
            </w:pPr>
            <w:r w:rsidRPr="009A1E0B">
              <w:t>608-73-1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683B2CF"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56F6AF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E686A2A" w14:textId="77777777" w:rsidR="005330B5" w:rsidRPr="009A1E0B" w:rsidRDefault="005330B5" w:rsidP="0065090F">
            <w:pPr>
              <w:pStyle w:val="Teksttabelisrodek"/>
              <w:ind w:left="0"/>
            </w:pPr>
            <w:r w:rsidRPr="009A1E0B">
              <w:t>0,005</w:t>
            </w:r>
          </w:p>
        </w:tc>
      </w:tr>
      <w:tr w:rsidR="005330B5" w:rsidRPr="009A1E0B" w14:paraId="279986F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51F177C" w14:textId="2501F3CD"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19</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4D4DAF7" w14:textId="77777777" w:rsidR="005330B5" w:rsidRPr="009A1E0B" w:rsidRDefault="005330B5" w:rsidP="0065090F">
            <w:pPr>
              <w:pStyle w:val="Teksttabelilewy"/>
              <w:jc w:val="left"/>
            </w:pPr>
            <w:r w:rsidRPr="009A1E0B">
              <w:t>4.1.19. Izoproturon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4E13DA7" w14:textId="77777777" w:rsidR="005330B5" w:rsidRPr="009A1E0B" w:rsidRDefault="005330B5" w:rsidP="0065090F">
            <w:pPr>
              <w:pStyle w:val="Teksttabelisrodek"/>
              <w:ind w:left="0"/>
            </w:pPr>
            <w:r w:rsidRPr="009A1E0B">
              <w:t>34123-59-6</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006F653" w14:textId="77777777" w:rsidR="005330B5" w:rsidRPr="009A1E0B" w:rsidRDefault="005330B5" w:rsidP="0065090F">
            <w:pPr>
              <w:pStyle w:val="Teksttabelisrodek"/>
              <w:ind w:left="0"/>
            </w:pPr>
            <w:r w:rsidRPr="009A1E0B">
              <w:t>PN-EN ISO 11369:2002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624B301"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8F41A15" w14:textId="77777777" w:rsidR="005330B5" w:rsidRPr="009A1E0B" w:rsidRDefault="005330B5" w:rsidP="0065090F">
            <w:pPr>
              <w:pStyle w:val="Teksttabelisrodek"/>
              <w:ind w:left="0"/>
            </w:pPr>
            <w:r w:rsidRPr="009A1E0B">
              <w:t>0,09</w:t>
            </w:r>
          </w:p>
        </w:tc>
      </w:tr>
      <w:tr w:rsidR="005330B5" w:rsidRPr="009A1E0B" w14:paraId="0E1D612F" w14:textId="77777777" w:rsidTr="00E16261">
        <w:trPr>
          <w:trHeight w:val="340"/>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47DBD526" w14:textId="56F2D005"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20</w:t>
            </w:r>
            <w:r w:rsidR="0030438B">
              <w:rPr>
                <w:rFonts w:asciiTheme="minorHAnsi" w:hAnsiTheme="minorHAnsi" w:cstheme="minorHAnsi"/>
                <w:color w:val="000000"/>
                <w:sz w:val="20"/>
                <w:szCs w:val="20"/>
              </w:rPr>
              <w:t>.</w:t>
            </w:r>
          </w:p>
        </w:tc>
        <w:tc>
          <w:tcPr>
            <w:tcW w:w="2978" w:type="dxa"/>
            <w:vMerge w:val="restart"/>
            <w:tcBorders>
              <w:top w:val="single" w:sz="4" w:space="0" w:color="auto"/>
              <w:left w:val="single" w:sz="4" w:space="0" w:color="auto"/>
              <w:bottom w:val="single" w:sz="4" w:space="0" w:color="auto"/>
              <w:right w:val="single" w:sz="4" w:space="0" w:color="auto"/>
            </w:tcBorders>
            <w:noWrap/>
            <w:vAlign w:val="center"/>
            <w:hideMark/>
          </w:tcPr>
          <w:p w14:paraId="578CF2B6" w14:textId="77777777" w:rsidR="005330B5" w:rsidRPr="009A1E0B" w:rsidRDefault="005330B5" w:rsidP="0065090F">
            <w:pPr>
              <w:pStyle w:val="Teksttabelilewy"/>
              <w:jc w:val="left"/>
            </w:pPr>
            <w:r w:rsidRPr="009A1E0B">
              <w:t>4.1.20. Ołów i jego związki</w:t>
            </w:r>
          </w:p>
        </w:tc>
        <w:tc>
          <w:tcPr>
            <w:tcW w:w="1275" w:type="dxa"/>
            <w:vMerge w:val="restart"/>
            <w:tcBorders>
              <w:top w:val="single" w:sz="4" w:space="0" w:color="auto"/>
              <w:left w:val="single" w:sz="4" w:space="0" w:color="auto"/>
              <w:bottom w:val="single" w:sz="4" w:space="0" w:color="auto"/>
              <w:right w:val="single" w:sz="4" w:space="0" w:color="auto"/>
            </w:tcBorders>
            <w:noWrap/>
            <w:vAlign w:val="center"/>
            <w:hideMark/>
          </w:tcPr>
          <w:p w14:paraId="55481D23" w14:textId="77777777" w:rsidR="005330B5" w:rsidRPr="009A1E0B" w:rsidRDefault="005330B5" w:rsidP="0065090F">
            <w:pPr>
              <w:pStyle w:val="Teksttabelisrodek"/>
              <w:ind w:left="0"/>
            </w:pPr>
            <w:r w:rsidRPr="009A1E0B">
              <w:t>7439-92-1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A92AC91" w14:textId="77777777" w:rsidR="005330B5" w:rsidRPr="009A1E0B" w:rsidRDefault="005330B5" w:rsidP="0065090F">
            <w:pPr>
              <w:pStyle w:val="Teksttabelisrodek"/>
              <w:ind w:left="0"/>
            </w:pPr>
            <w:r w:rsidRPr="009A1E0B">
              <w:t>PN-EN ISO 17294-2:2016-11</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7F3233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59C094B" w14:textId="77777777" w:rsidR="005330B5" w:rsidRPr="009A1E0B" w:rsidRDefault="005330B5" w:rsidP="0065090F">
            <w:pPr>
              <w:pStyle w:val="Teksttabelisrodek"/>
              <w:ind w:left="0"/>
            </w:pPr>
            <w:r w:rsidRPr="009A1E0B">
              <w:t>0,36</w:t>
            </w:r>
          </w:p>
        </w:tc>
      </w:tr>
      <w:tr w:rsidR="005330B5" w:rsidRPr="009A1E0B" w14:paraId="12ED73FC"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182600DF"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vMerge/>
            <w:tcBorders>
              <w:top w:val="single" w:sz="4" w:space="0" w:color="auto"/>
              <w:left w:val="single" w:sz="4" w:space="0" w:color="auto"/>
              <w:bottom w:val="single" w:sz="4" w:space="0" w:color="auto"/>
              <w:right w:val="single" w:sz="4" w:space="0" w:color="auto"/>
            </w:tcBorders>
            <w:vAlign w:val="center"/>
            <w:hideMark/>
          </w:tcPr>
          <w:p w14:paraId="04FC38B7" w14:textId="77777777" w:rsidR="005330B5" w:rsidRPr="009A1E0B" w:rsidRDefault="005330B5" w:rsidP="0065090F">
            <w:pPr>
              <w:pStyle w:val="Teksttabelilewy"/>
              <w:jc w:val="left"/>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B1885D1" w14:textId="77777777" w:rsidR="005330B5" w:rsidRPr="009A1E0B" w:rsidRDefault="005330B5" w:rsidP="0065090F">
            <w:pPr>
              <w:pStyle w:val="Teksttabelisrodek"/>
              <w:ind w:left="0"/>
            </w:pP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6D28BC0" w14:textId="77777777" w:rsidR="005330B5" w:rsidRPr="009A1E0B" w:rsidRDefault="005330B5" w:rsidP="0065090F">
            <w:pPr>
              <w:pStyle w:val="Teksttabelisrodek"/>
              <w:ind w:left="0"/>
            </w:pPr>
            <w:r w:rsidRPr="009A1E0B">
              <w:t>PN-EN ISO 15586:2005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6482302"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873F0E5" w14:textId="77777777" w:rsidR="005330B5" w:rsidRPr="009A1E0B" w:rsidRDefault="005330B5" w:rsidP="0065090F">
            <w:pPr>
              <w:pStyle w:val="Teksttabelisrodek"/>
              <w:ind w:left="0"/>
            </w:pPr>
            <w:r w:rsidRPr="009A1E0B">
              <w:t>0,35</w:t>
            </w:r>
          </w:p>
        </w:tc>
      </w:tr>
      <w:tr w:rsidR="005330B5" w:rsidRPr="009A1E0B" w14:paraId="19305CA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3A874883" w14:textId="3C2333C5"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2F5ABBE" w14:textId="77777777" w:rsidR="005330B5" w:rsidRPr="009A1E0B" w:rsidRDefault="005330B5" w:rsidP="0065090F">
            <w:pPr>
              <w:pStyle w:val="Teksttabelilewy"/>
              <w:jc w:val="left"/>
            </w:pPr>
            <w:r w:rsidRPr="009A1E0B">
              <w:t>4.1.21. Rtęć i jej związki</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5CA9647" w14:textId="77777777" w:rsidR="005330B5" w:rsidRPr="009A1E0B" w:rsidRDefault="005330B5" w:rsidP="0065090F">
            <w:pPr>
              <w:pStyle w:val="Teksttabelisrodek"/>
              <w:ind w:left="0"/>
            </w:pPr>
            <w:r w:rsidRPr="009A1E0B">
              <w:t>7439-97-6</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7F3FE2E" w14:textId="77777777" w:rsidR="005330B5" w:rsidRPr="009A1E0B" w:rsidRDefault="005330B5" w:rsidP="0065090F">
            <w:pPr>
              <w:pStyle w:val="Teksttabelisrodek"/>
              <w:ind w:left="0"/>
            </w:pPr>
            <w:r w:rsidRPr="009A1E0B">
              <w:t>PN-EN ISO 17852:2009</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66B0320"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263C95B" w14:textId="77777777" w:rsidR="005330B5" w:rsidRPr="009A1E0B" w:rsidRDefault="005330B5" w:rsidP="0065090F">
            <w:pPr>
              <w:pStyle w:val="Teksttabelisrodek"/>
              <w:ind w:left="0"/>
            </w:pPr>
            <w:r w:rsidRPr="009A1E0B">
              <w:t>0,015</w:t>
            </w:r>
          </w:p>
        </w:tc>
      </w:tr>
      <w:tr w:rsidR="005330B5" w:rsidRPr="009A1E0B" w14:paraId="7292187D"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F5F8680" w14:textId="2D85F23F"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EB7C4CD" w14:textId="77777777" w:rsidR="005330B5" w:rsidRPr="009A1E0B" w:rsidRDefault="005330B5" w:rsidP="0065090F">
            <w:pPr>
              <w:pStyle w:val="Teksttabelilewy"/>
              <w:jc w:val="left"/>
            </w:pPr>
            <w:r w:rsidRPr="009A1E0B">
              <w:t>4.1.22. Naftalen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B05C052" w14:textId="77777777" w:rsidR="005330B5" w:rsidRPr="009A1E0B" w:rsidRDefault="005330B5" w:rsidP="0065090F">
            <w:pPr>
              <w:pStyle w:val="Teksttabelisrodek"/>
              <w:ind w:left="0"/>
            </w:pPr>
            <w:r w:rsidRPr="009A1E0B">
              <w:t>91-20-3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6AFC715"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0753A6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C4F8AF1" w14:textId="77777777" w:rsidR="005330B5" w:rsidRPr="009A1E0B" w:rsidRDefault="005330B5" w:rsidP="0065090F">
            <w:pPr>
              <w:pStyle w:val="Teksttabelisrodek"/>
              <w:ind w:left="0"/>
            </w:pPr>
            <w:r w:rsidRPr="009A1E0B">
              <w:t>0,002</w:t>
            </w:r>
          </w:p>
        </w:tc>
      </w:tr>
      <w:tr w:rsidR="005330B5" w:rsidRPr="009A1E0B" w14:paraId="17D28959" w14:textId="77777777" w:rsidTr="00E16261">
        <w:trPr>
          <w:trHeight w:val="340"/>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69C2648D" w14:textId="06AB2106"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23</w:t>
            </w:r>
            <w:r w:rsidR="0030438B">
              <w:rPr>
                <w:rFonts w:asciiTheme="minorHAnsi" w:hAnsiTheme="minorHAnsi" w:cstheme="minorHAnsi"/>
                <w:color w:val="000000"/>
                <w:sz w:val="20"/>
                <w:szCs w:val="20"/>
              </w:rPr>
              <w:t>.</w:t>
            </w:r>
          </w:p>
        </w:tc>
        <w:tc>
          <w:tcPr>
            <w:tcW w:w="2978" w:type="dxa"/>
            <w:vMerge w:val="restart"/>
            <w:tcBorders>
              <w:top w:val="single" w:sz="4" w:space="0" w:color="auto"/>
              <w:left w:val="single" w:sz="4" w:space="0" w:color="auto"/>
              <w:bottom w:val="single" w:sz="4" w:space="0" w:color="auto"/>
              <w:right w:val="single" w:sz="4" w:space="0" w:color="auto"/>
            </w:tcBorders>
            <w:noWrap/>
            <w:vAlign w:val="center"/>
            <w:hideMark/>
          </w:tcPr>
          <w:p w14:paraId="619859DA" w14:textId="77777777" w:rsidR="005330B5" w:rsidRPr="009A1E0B" w:rsidRDefault="005330B5" w:rsidP="0065090F">
            <w:pPr>
              <w:pStyle w:val="Teksttabelilewy"/>
              <w:jc w:val="left"/>
            </w:pPr>
            <w:r w:rsidRPr="009A1E0B">
              <w:t>4.1.23. Nikiel i jego związki</w:t>
            </w:r>
          </w:p>
        </w:tc>
        <w:tc>
          <w:tcPr>
            <w:tcW w:w="1275" w:type="dxa"/>
            <w:vMerge w:val="restart"/>
            <w:tcBorders>
              <w:top w:val="single" w:sz="4" w:space="0" w:color="auto"/>
              <w:left w:val="single" w:sz="4" w:space="0" w:color="auto"/>
              <w:bottom w:val="single" w:sz="4" w:space="0" w:color="auto"/>
              <w:right w:val="single" w:sz="4" w:space="0" w:color="auto"/>
            </w:tcBorders>
            <w:noWrap/>
            <w:vAlign w:val="center"/>
            <w:hideMark/>
          </w:tcPr>
          <w:p w14:paraId="2CBBD7DD" w14:textId="77777777" w:rsidR="005330B5" w:rsidRPr="009A1E0B" w:rsidRDefault="005330B5" w:rsidP="0065090F">
            <w:pPr>
              <w:pStyle w:val="Teksttabelisrodek"/>
              <w:ind w:left="0"/>
            </w:pPr>
            <w:r w:rsidRPr="009A1E0B">
              <w:t>7440-02-0</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D5500B1" w14:textId="77777777" w:rsidR="005330B5" w:rsidRPr="009A1E0B" w:rsidRDefault="005330B5" w:rsidP="0065090F">
            <w:pPr>
              <w:pStyle w:val="Teksttabelisrodek"/>
              <w:ind w:left="0"/>
            </w:pPr>
            <w:r w:rsidRPr="009A1E0B">
              <w:t>PN-EN ISO 17294-2:2016-11</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108641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9F56FE5" w14:textId="77777777" w:rsidR="005330B5" w:rsidRPr="009A1E0B" w:rsidRDefault="005330B5" w:rsidP="0065090F">
            <w:pPr>
              <w:pStyle w:val="Teksttabelisrodek"/>
              <w:ind w:left="0"/>
            </w:pPr>
            <w:r w:rsidRPr="009A1E0B">
              <w:t>1</w:t>
            </w:r>
          </w:p>
        </w:tc>
      </w:tr>
      <w:tr w:rsidR="005330B5" w:rsidRPr="009A1E0B" w14:paraId="59430155"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02EBE285"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vMerge/>
            <w:tcBorders>
              <w:top w:val="single" w:sz="4" w:space="0" w:color="auto"/>
              <w:left w:val="single" w:sz="4" w:space="0" w:color="auto"/>
              <w:bottom w:val="single" w:sz="4" w:space="0" w:color="auto"/>
              <w:right w:val="single" w:sz="4" w:space="0" w:color="auto"/>
            </w:tcBorders>
            <w:vAlign w:val="center"/>
            <w:hideMark/>
          </w:tcPr>
          <w:p w14:paraId="2E5DAADC" w14:textId="77777777" w:rsidR="005330B5" w:rsidRPr="009A1E0B" w:rsidRDefault="005330B5" w:rsidP="0065090F">
            <w:pPr>
              <w:pStyle w:val="Teksttabelilewy"/>
              <w:jc w:val="left"/>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A7089A6" w14:textId="77777777" w:rsidR="005330B5" w:rsidRPr="009A1E0B" w:rsidRDefault="005330B5" w:rsidP="0065090F">
            <w:pPr>
              <w:pStyle w:val="Teksttabelisrodek"/>
              <w:ind w:left="0"/>
            </w:pP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2A5D79FA" w14:textId="77777777" w:rsidR="005330B5" w:rsidRPr="009A1E0B" w:rsidRDefault="005330B5" w:rsidP="0065090F">
            <w:pPr>
              <w:pStyle w:val="Teksttabelisrodek"/>
              <w:ind w:left="0"/>
            </w:pPr>
            <w:r w:rsidRPr="009A1E0B">
              <w:t>PN-EN ISO 15586:2005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F1D2909"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CBC2777" w14:textId="77777777" w:rsidR="005330B5" w:rsidRPr="009A1E0B" w:rsidRDefault="005330B5" w:rsidP="0065090F">
            <w:pPr>
              <w:pStyle w:val="Teksttabelisrodek"/>
              <w:ind w:left="0"/>
            </w:pPr>
            <w:r w:rsidRPr="009A1E0B">
              <w:t>1,2</w:t>
            </w:r>
          </w:p>
        </w:tc>
      </w:tr>
      <w:tr w:rsidR="005330B5" w:rsidRPr="009A1E0B" w14:paraId="6526E16D"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A96F284" w14:textId="6E1E9741"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0BE2AD97" w14:textId="77777777" w:rsidR="005330B5" w:rsidRPr="009A1E0B" w:rsidRDefault="005330B5" w:rsidP="0065090F">
            <w:pPr>
              <w:pStyle w:val="Teksttabelilewy"/>
              <w:jc w:val="left"/>
            </w:pPr>
            <w:r w:rsidRPr="009A1E0B">
              <w:t>4.1.24. 4-nonylofenol</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22A223F" w14:textId="77777777" w:rsidR="005330B5" w:rsidRPr="009A1E0B" w:rsidRDefault="005330B5" w:rsidP="0065090F">
            <w:pPr>
              <w:pStyle w:val="Teksttabelisrodek"/>
              <w:ind w:left="0"/>
            </w:pPr>
            <w:r w:rsidRPr="009A1E0B">
              <w:t>84852-15-3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5707AB0" w14:textId="77777777" w:rsidR="005330B5" w:rsidRPr="009A1E0B" w:rsidRDefault="005330B5" w:rsidP="0065090F">
            <w:pPr>
              <w:pStyle w:val="Teksttabelisrodek"/>
              <w:ind w:left="0"/>
            </w:pPr>
            <w:r w:rsidRPr="009A1E0B">
              <w:t>PN-EN ISO 18857-1:2009</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71FADCA"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55B2854" w14:textId="77777777" w:rsidR="005330B5" w:rsidRPr="009A1E0B" w:rsidRDefault="005330B5" w:rsidP="0065090F">
            <w:pPr>
              <w:pStyle w:val="Teksttabelisrodek"/>
              <w:ind w:left="0"/>
            </w:pPr>
            <w:r w:rsidRPr="009A1E0B">
              <w:t>0,09</w:t>
            </w:r>
          </w:p>
        </w:tc>
      </w:tr>
      <w:tr w:rsidR="005330B5" w:rsidRPr="009A1E0B" w14:paraId="3489EF7A"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1FA2F44E" w14:textId="269D7BAC"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98328C8" w14:textId="77777777" w:rsidR="005330B5" w:rsidRPr="009A1E0B" w:rsidRDefault="005330B5" w:rsidP="0065090F">
            <w:pPr>
              <w:pStyle w:val="Teksttabelilewy"/>
              <w:jc w:val="left"/>
            </w:pPr>
            <w:r w:rsidRPr="009A1E0B">
              <w:t>4.1.25. Oktylofenol</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7C04F55" w14:textId="77777777" w:rsidR="005330B5" w:rsidRPr="009A1E0B" w:rsidRDefault="005330B5" w:rsidP="0065090F">
            <w:pPr>
              <w:pStyle w:val="Teksttabelisrodek"/>
              <w:ind w:left="0"/>
            </w:pPr>
            <w:r w:rsidRPr="009A1E0B">
              <w:t>140-66-9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7B03F14" w14:textId="77777777" w:rsidR="005330B5" w:rsidRPr="009A1E0B" w:rsidRDefault="005330B5" w:rsidP="0065090F">
            <w:pPr>
              <w:pStyle w:val="Teksttabelisrodek"/>
              <w:ind w:left="0"/>
            </w:pPr>
            <w:r w:rsidRPr="009A1E0B">
              <w:t>PN-EN ISO 18857-1:2009</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F70BBE0"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2E489DF" w14:textId="77777777" w:rsidR="005330B5" w:rsidRPr="009A1E0B" w:rsidRDefault="005330B5" w:rsidP="0065090F">
            <w:pPr>
              <w:pStyle w:val="Teksttabelisrodek"/>
              <w:ind w:left="0"/>
            </w:pPr>
            <w:r w:rsidRPr="009A1E0B">
              <w:t>0,03</w:t>
            </w:r>
          </w:p>
        </w:tc>
      </w:tr>
      <w:tr w:rsidR="005330B5" w:rsidRPr="009A1E0B" w14:paraId="673199A4"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AB4EF64" w14:textId="029E2E0F"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26</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A50A185" w14:textId="77777777" w:rsidR="005330B5" w:rsidRPr="009A1E0B" w:rsidRDefault="005330B5" w:rsidP="0065090F">
            <w:pPr>
              <w:pStyle w:val="Teksttabelilewy"/>
              <w:jc w:val="left"/>
            </w:pPr>
            <w:r w:rsidRPr="009A1E0B">
              <w:t>4.1.26. Pentachlorobenzen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251757D" w14:textId="77777777" w:rsidR="005330B5" w:rsidRPr="009A1E0B" w:rsidRDefault="005330B5" w:rsidP="0065090F">
            <w:pPr>
              <w:pStyle w:val="Teksttabelisrodek"/>
              <w:ind w:left="0"/>
            </w:pPr>
            <w:r w:rsidRPr="009A1E0B">
              <w:t>608-93-5</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A14EDCB"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FF32CC2"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F08FF2A" w14:textId="77777777" w:rsidR="005330B5" w:rsidRPr="009A1E0B" w:rsidRDefault="005330B5" w:rsidP="0065090F">
            <w:pPr>
              <w:pStyle w:val="Teksttabelisrodek"/>
              <w:ind w:left="0"/>
            </w:pPr>
            <w:r w:rsidRPr="009A1E0B">
              <w:t>0,002</w:t>
            </w:r>
          </w:p>
        </w:tc>
      </w:tr>
      <w:tr w:rsidR="005330B5" w:rsidRPr="009A1E0B" w14:paraId="77EF5980"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4E008EF" w14:textId="0959AE4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27</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1C3A94A" w14:textId="77777777" w:rsidR="005330B5" w:rsidRPr="009A1E0B" w:rsidRDefault="005330B5" w:rsidP="0065090F">
            <w:pPr>
              <w:pStyle w:val="Teksttabelilewy"/>
              <w:jc w:val="left"/>
            </w:pPr>
            <w:r w:rsidRPr="009A1E0B">
              <w:t>4.1.27. Pentachlorofenol (PCP)</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A426E72" w14:textId="77777777" w:rsidR="005330B5" w:rsidRPr="009A1E0B" w:rsidRDefault="005330B5" w:rsidP="0065090F">
            <w:pPr>
              <w:pStyle w:val="Teksttabelisrodek"/>
              <w:ind w:left="0"/>
            </w:pPr>
            <w:r w:rsidRPr="009A1E0B">
              <w:t>87-86-5</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1940134" w14:textId="77777777" w:rsidR="005330B5" w:rsidRPr="009A1E0B" w:rsidRDefault="005330B5" w:rsidP="0065090F">
            <w:pPr>
              <w:pStyle w:val="Teksttabelisrodek"/>
              <w:ind w:left="0"/>
            </w:pPr>
            <w:r w:rsidRPr="009A1E0B">
              <w:t>PN-EN 12673:2004</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5FEF00B"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04BD321" w14:textId="77777777" w:rsidR="005330B5" w:rsidRPr="009A1E0B" w:rsidRDefault="005330B5" w:rsidP="0065090F">
            <w:pPr>
              <w:pStyle w:val="Teksttabelisrodek"/>
              <w:ind w:left="0"/>
            </w:pPr>
            <w:r w:rsidRPr="009A1E0B">
              <w:t>0,1</w:t>
            </w:r>
          </w:p>
        </w:tc>
      </w:tr>
      <w:tr w:rsidR="005330B5" w:rsidRPr="009A1E0B" w14:paraId="19E5CCFF" w14:textId="77777777" w:rsidTr="00E16261">
        <w:trPr>
          <w:trHeight w:val="340"/>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34496C67" w14:textId="507E7497"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28</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FD078AA" w14:textId="743F3E32" w:rsidR="005330B5" w:rsidRPr="009A1E0B" w:rsidRDefault="005330B5" w:rsidP="0065090F">
            <w:pPr>
              <w:pStyle w:val="Teksttabelilewy"/>
              <w:jc w:val="left"/>
            </w:pPr>
            <w:r w:rsidRPr="009A1E0B">
              <w:t>4.1.28.a. Benzo(a)piren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BB21C5F" w14:textId="77777777" w:rsidR="005330B5" w:rsidRPr="009A1E0B" w:rsidRDefault="005330B5" w:rsidP="0065090F">
            <w:pPr>
              <w:pStyle w:val="Teksttabelisrodek"/>
              <w:ind w:left="0"/>
            </w:pPr>
            <w:r w:rsidRPr="009A1E0B">
              <w:t>50-32-8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AF76A36"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0B283A5"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B710551" w14:textId="77777777" w:rsidR="005330B5" w:rsidRPr="009A1E0B" w:rsidRDefault="005330B5" w:rsidP="0065090F">
            <w:pPr>
              <w:pStyle w:val="Teksttabelisrodek"/>
              <w:ind w:left="0"/>
            </w:pPr>
            <w:r w:rsidRPr="009A1E0B">
              <w:t>0,0001</w:t>
            </w:r>
          </w:p>
        </w:tc>
      </w:tr>
      <w:tr w:rsidR="005330B5" w:rsidRPr="009A1E0B" w14:paraId="7DCD70EB"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1FF6060A"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C527856" w14:textId="39420531" w:rsidR="005330B5" w:rsidRPr="009A1E0B" w:rsidRDefault="005330B5" w:rsidP="0065090F">
            <w:pPr>
              <w:pStyle w:val="Teksttabelilewy"/>
              <w:jc w:val="left"/>
            </w:pPr>
            <w:r w:rsidRPr="009A1E0B">
              <w:t>4.1.28.b. Benzo(b)fluoranten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2DF58C1" w14:textId="77777777" w:rsidR="005330B5" w:rsidRPr="009A1E0B" w:rsidRDefault="005330B5" w:rsidP="0065090F">
            <w:pPr>
              <w:pStyle w:val="Teksttabelisrodek"/>
              <w:ind w:left="0"/>
            </w:pPr>
            <w:r w:rsidRPr="009A1E0B">
              <w:t>205-99-2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D5CB1F8"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8242001"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CECA6F2" w14:textId="77777777" w:rsidR="005330B5" w:rsidRPr="009A1E0B" w:rsidRDefault="005330B5" w:rsidP="0065090F">
            <w:pPr>
              <w:pStyle w:val="Teksttabelisrodek"/>
              <w:ind w:left="0"/>
            </w:pPr>
            <w:r w:rsidRPr="009A1E0B">
              <w:t>0,001</w:t>
            </w:r>
          </w:p>
        </w:tc>
      </w:tr>
      <w:tr w:rsidR="005330B5" w:rsidRPr="009A1E0B" w14:paraId="5D2A71E9"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4D71F3DC"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7A52EF1" w14:textId="34CDFA8C" w:rsidR="005330B5" w:rsidRPr="009A1E0B" w:rsidRDefault="005330B5" w:rsidP="0065090F">
            <w:pPr>
              <w:pStyle w:val="Teksttabelilewy"/>
              <w:jc w:val="left"/>
            </w:pPr>
            <w:r w:rsidRPr="009A1E0B">
              <w:t>4.1.28.c. Benzo(k)fluoranten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7069C3C" w14:textId="77777777" w:rsidR="005330B5" w:rsidRPr="009A1E0B" w:rsidRDefault="005330B5" w:rsidP="0065090F">
            <w:pPr>
              <w:pStyle w:val="Teksttabelisrodek"/>
              <w:ind w:left="0"/>
            </w:pPr>
            <w:r w:rsidRPr="009A1E0B">
              <w:t>207-08-9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23A4649E"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4B4CB6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6ED001E" w14:textId="77777777" w:rsidR="005330B5" w:rsidRPr="009A1E0B" w:rsidRDefault="005330B5" w:rsidP="0065090F">
            <w:pPr>
              <w:pStyle w:val="Teksttabelisrodek"/>
              <w:ind w:left="0"/>
            </w:pPr>
            <w:r w:rsidRPr="009A1E0B">
              <w:t>0,0005</w:t>
            </w:r>
          </w:p>
        </w:tc>
      </w:tr>
      <w:tr w:rsidR="005330B5" w:rsidRPr="009A1E0B" w14:paraId="37DEBE13"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4060F0E1"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6205BD88" w14:textId="5D11AD37" w:rsidR="005330B5" w:rsidRPr="009A1E0B" w:rsidRDefault="005330B5" w:rsidP="0065090F">
            <w:pPr>
              <w:pStyle w:val="Teksttabelilewy"/>
              <w:jc w:val="left"/>
            </w:pPr>
            <w:r w:rsidRPr="009A1E0B">
              <w:t>4.1.28.d. Benzo(g,h,i)perylen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144E36D" w14:textId="77777777" w:rsidR="005330B5" w:rsidRPr="009A1E0B" w:rsidRDefault="005330B5" w:rsidP="0065090F">
            <w:pPr>
              <w:pStyle w:val="Teksttabelisrodek"/>
              <w:ind w:left="0"/>
            </w:pPr>
            <w:r w:rsidRPr="009A1E0B">
              <w:t>191-24-2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AD577FC"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A68B88C"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E7C7699" w14:textId="77777777" w:rsidR="005330B5" w:rsidRPr="009A1E0B" w:rsidRDefault="005330B5" w:rsidP="0065090F">
            <w:pPr>
              <w:pStyle w:val="Teksttabelisrodek"/>
              <w:ind w:left="0"/>
            </w:pPr>
            <w:r w:rsidRPr="009A1E0B">
              <w:t>0,0014</w:t>
            </w:r>
          </w:p>
        </w:tc>
      </w:tr>
      <w:tr w:rsidR="005330B5" w:rsidRPr="009A1E0B" w14:paraId="2AA6FDB5"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772EA75B"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3D740B3" w14:textId="0A2F0774" w:rsidR="005330B5" w:rsidRPr="009A1E0B" w:rsidRDefault="005330B5" w:rsidP="0065090F">
            <w:pPr>
              <w:pStyle w:val="Teksttabelilewy"/>
              <w:jc w:val="left"/>
            </w:pPr>
            <w:r w:rsidRPr="009A1E0B">
              <w:t>4.1.28.e. Indeno(1.2.3-cd)piren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3D9E993" w14:textId="77777777" w:rsidR="005330B5" w:rsidRPr="009A1E0B" w:rsidRDefault="005330B5" w:rsidP="0065090F">
            <w:pPr>
              <w:pStyle w:val="Teksttabelisrodek"/>
              <w:ind w:left="0"/>
            </w:pPr>
            <w:r w:rsidRPr="009A1E0B">
              <w:t>193-39-5</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9E25802" w14:textId="77777777" w:rsidR="005330B5" w:rsidRPr="009A1E0B" w:rsidRDefault="005330B5" w:rsidP="0065090F">
            <w:pPr>
              <w:pStyle w:val="Teksttabelisrodek"/>
              <w:ind w:left="0"/>
            </w:pPr>
            <w:r w:rsidRPr="009A1E0B">
              <w:t>PN-EN ISO 17993:2005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B5739F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C588304" w14:textId="77777777" w:rsidR="005330B5" w:rsidRPr="009A1E0B" w:rsidRDefault="005330B5" w:rsidP="0065090F">
            <w:pPr>
              <w:pStyle w:val="Teksttabelisrodek"/>
              <w:ind w:left="0"/>
            </w:pPr>
            <w:r w:rsidRPr="009A1E0B">
              <w:t>0,001</w:t>
            </w:r>
          </w:p>
        </w:tc>
      </w:tr>
      <w:tr w:rsidR="005330B5" w:rsidRPr="009A1E0B" w14:paraId="4DBF7BB0"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635FC6A5"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6C548320" w14:textId="493D92E7" w:rsidR="005330B5" w:rsidRPr="009A1E0B" w:rsidRDefault="005330B5" w:rsidP="0065090F">
            <w:pPr>
              <w:pStyle w:val="Teksttabelilewy"/>
              <w:jc w:val="left"/>
            </w:pPr>
            <w:r w:rsidRPr="009A1E0B">
              <w:t>4.1.28.e. Indeno(1.2.3-cd)piren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1376501" w14:textId="0D8BC441" w:rsidR="005330B5" w:rsidRPr="009A1E0B" w:rsidRDefault="00B851AF" w:rsidP="0065090F">
            <w:pPr>
              <w:pStyle w:val="Teksttabelisrodek"/>
              <w:ind w:left="0"/>
            </w:pPr>
            <w:r>
              <w:t>-</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52A8CF0" w14:textId="77777777" w:rsidR="005330B5" w:rsidRPr="009A1E0B" w:rsidRDefault="005330B5" w:rsidP="0065090F">
            <w:pPr>
              <w:pStyle w:val="Teksttabelisrodek"/>
              <w:ind w:left="0"/>
            </w:pPr>
            <w:r w:rsidRPr="009A1E0B">
              <w:t>PN-EN 1899-2:2002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C6DA829"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5D8EB15" w14:textId="77777777" w:rsidR="005330B5" w:rsidRPr="009A1E0B" w:rsidRDefault="005330B5" w:rsidP="0065090F">
            <w:pPr>
              <w:pStyle w:val="Teksttabelisrodek"/>
              <w:ind w:left="0"/>
            </w:pPr>
            <w:r w:rsidRPr="009A1E0B">
              <w:t>0,001</w:t>
            </w:r>
          </w:p>
        </w:tc>
      </w:tr>
      <w:tr w:rsidR="005330B5" w:rsidRPr="009A1E0B" w14:paraId="1D49C56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5F900D4" w14:textId="1E4B9D3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29</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CA1A273" w14:textId="77777777" w:rsidR="005330B5" w:rsidRPr="009A1E0B" w:rsidRDefault="005330B5" w:rsidP="0065090F">
            <w:pPr>
              <w:pStyle w:val="Teksttabelilewy"/>
              <w:jc w:val="left"/>
            </w:pPr>
            <w:r w:rsidRPr="009A1E0B">
              <w:t>4.1.29. Symazyna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FE20305" w14:textId="77777777" w:rsidR="005330B5" w:rsidRPr="009A1E0B" w:rsidRDefault="005330B5" w:rsidP="0065090F">
            <w:pPr>
              <w:pStyle w:val="Teksttabelisrodek"/>
              <w:ind w:left="0"/>
            </w:pPr>
            <w:r w:rsidRPr="009A1E0B">
              <w:t>122-34-9</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C9AD0B9" w14:textId="77777777" w:rsidR="005330B5" w:rsidRPr="009A1E0B" w:rsidRDefault="005330B5" w:rsidP="0065090F">
            <w:pPr>
              <w:pStyle w:val="Teksttabelisrodek"/>
              <w:ind w:left="0"/>
            </w:pPr>
            <w:r w:rsidRPr="009A1E0B">
              <w:t>PN-EN ISO 11369:2002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A46375A"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2C65222" w14:textId="77777777" w:rsidR="005330B5" w:rsidRPr="009A1E0B" w:rsidRDefault="005330B5" w:rsidP="0065090F">
            <w:pPr>
              <w:pStyle w:val="Teksttabelisrodek"/>
              <w:ind w:left="0"/>
            </w:pPr>
            <w:r w:rsidRPr="009A1E0B">
              <w:t>0,3</w:t>
            </w:r>
          </w:p>
        </w:tc>
      </w:tr>
      <w:tr w:rsidR="005330B5" w:rsidRPr="009A1E0B" w14:paraId="078A4A45"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32270591" w14:textId="55DA0AE9"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30</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1E0D5CE7" w14:textId="77777777" w:rsidR="005330B5" w:rsidRPr="009A1E0B" w:rsidRDefault="005330B5" w:rsidP="0065090F">
            <w:pPr>
              <w:pStyle w:val="Teksttabelilewy"/>
              <w:jc w:val="left"/>
            </w:pPr>
            <w:r w:rsidRPr="009A1E0B">
              <w:t>4.1.30. Związki tributylocyny (kation tributylocyny)</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1B1B980" w14:textId="77777777" w:rsidR="005330B5" w:rsidRPr="009A1E0B" w:rsidRDefault="005330B5" w:rsidP="0065090F">
            <w:pPr>
              <w:pStyle w:val="Teksttabelisrodek"/>
              <w:ind w:left="0"/>
            </w:pPr>
            <w:r w:rsidRPr="009A1E0B">
              <w:t>36643-28-4</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A262417"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4434FD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55BA308" w14:textId="77777777" w:rsidR="005330B5" w:rsidRPr="009A1E0B" w:rsidRDefault="005330B5" w:rsidP="0065090F">
            <w:pPr>
              <w:pStyle w:val="Teksttabelisrodek"/>
              <w:ind w:left="0"/>
            </w:pPr>
            <w:r w:rsidRPr="009A1E0B">
              <w:t>0,00005</w:t>
            </w:r>
          </w:p>
        </w:tc>
      </w:tr>
      <w:tr w:rsidR="005330B5" w:rsidRPr="009A1E0B" w14:paraId="1C037163"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5F4FDCCE" w14:textId="28E169A2"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15D6BD54" w14:textId="77777777" w:rsidR="005330B5" w:rsidRPr="009A1E0B" w:rsidRDefault="005330B5" w:rsidP="0065090F">
            <w:pPr>
              <w:pStyle w:val="Teksttabelilewy"/>
              <w:jc w:val="left"/>
            </w:pPr>
            <w:r w:rsidRPr="009A1E0B">
              <w:t>4.1.31. Suma trichlorobenzeny (TCB)</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A2A07F8" w14:textId="77777777" w:rsidR="005330B5" w:rsidRPr="009A1E0B" w:rsidRDefault="005330B5" w:rsidP="0065090F">
            <w:pPr>
              <w:pStyle w:val="Teksttabelisrodek"/>
              <w:ind w:left="0"/>
            </w:pPr>
            <w:r w:rsidRPr="009A1E0B">
              <w:t>12002-48-1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980A7BB"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7AFADB1"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9A72355" w14:textId="77777777" w:rsidR="005330B5" w:rsidRPr="009A1E0B" w:rsidRDefault="005330B5" w:rsidP="0065090F">
            <w:pPr>
              <w:pStyle w:val="Teksttabelisrodek"/>
              <w:ind w:left="0"/>
            </w:pPr>
            <w:r w:rsidRPr="009A1E0B">
              <w:t>0,005</w:t>
            </w:r>
          </w:p>
        </w:tc>
      </w:tr>
      <w:tr w:rsidR="005330B5" w:rsidRPr="009A1E0B" w14:paraId="0B6E7CED"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B21A008" w14:textId="6A9E2F49"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64052E2B" w14:textId="77777777" w:rsidR="005330B5" w:rsidRPr="009A1E0B" w:rsidRDefault="005330B5" w:rsidP="0065090F">
            <w:pPr>
              <w:pStyle w:val="Teksttabelilewy"/>
              <w:jc w:val="left"/>
            </w:pPr>
            <w:r w:rsidRPr="009A1E0B">
              <w:t>4.1.32. Trichlorometan (chloroform)</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5C90A9A" w14:textId="77777777" w:rsidR="005330B5" w:rsidRPr="009A1E0B" w:rsidRDefault="005330B5" w:rsidP="0065090F">
            <w:pPr>
              <w:pStyle w:val="Teksttabelisrodek"/>
              <w:ind w:left="0"/>
            </w:pPr>
            <w:r w:rsidRPr="009A1E0B">
              <w:t>67-66-3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CA88DC2" w14:textId="77777777" w:rsidR="005330B5" w:rsidRPr="009A1E0B" w:rsidRDefault="005330B5" w:rsidP="0065090F">
            <w:pPr>
              <w:pStyle w:val="Teksttabelisrodek"/>
              <w:ind w:left="0"/>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953472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ADEABB8" w14:textId="77777777" w:rsidR="005330B5" w:rsidRPr="009A1E0B" w:rsidRDefault="005330B5" w:rsidP="0065090F">
            <w:pPr>
              <w:pStyle w:val="Teksttabelisrodek"/>
              <w:ind w:left="0"/>
            </w:pPr>
            <w:r w:rsidRPr="009A1E0B">
              <w:t>0,5</w:t>
            </w:r>
          </w:p>
        </w:tc>
      </w:tr>
      <w:tr w:rsidR="005330B5" w:rsidRPr="009A1E0B" w14:paraId="028C91EA"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8BB43BA" w14:textId="5188EFA4"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33</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3321EFD1" w14:textId="77777777" w:rsidR="005330B5" w:rsidRPr="009A1E0B" w:rsidRDefault="005330B5" w:rsidP="0065090F">
            <w:pPr>
              <w:pStyle w:val="Teksttabelilewy"/>
              <w:jc w:val="left"/>
            </w:pPr>
            <w:r w:rsidRPr="009A1E0B">
              <w:t>4.1.33. Trifluralina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7F9F613" w14:textId="77777777" w:rsidR="005330B5" w:rsidRPr="009A1E0B" w:rsidRDefault="005330B5" w:rsidP="0065090F">
            <w:pPr>
              <w:pStyle w:val="Teksttabelisrodek"/>
              <w:ind w:left="0"/>
            </w:pPr>
            <w:r w:rsidRPr="009A1E0B">
              <w:t>1582-09-8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B6205E1" w14:textId="77777777" w:rsidR="005330B5" w:rsidRPr="009A1E0B" w:rsidRDefault="005330B5" w:rsidP="0065090F">
            <w:pPr>
              <w:pStyle w:val="Teksttabelisrodek"/>
              <w:ind w:left="0"/>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A884D72"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A0FFDE8" w14:textId="77777777" w:rsidR="005330B5" w:rsidRPr="009A1E0B" w:rsidRDefault="005330B5" w:rsidP="0065090F">
            <w:pPr>
              <w:pStyle w:val="Teksttabelisrodek"/>
              <w:ind w:left="0"/>
            </w:pPr>
            <w:r w:rsidRPr="009A1E0B">
              <w:t>0,002</w:t>
            </w:r>
          </w:p>
        </w:tc>
      </w:tr>
      <w:tr w:rsidR="005330B5" w:rsidRPr="009A1E0B" w14:paraId="1F5D5F2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5C66F4F" w14:textId="0D5E448B"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08A9177A" w14:textId="77777777" w:rsidR="005330B5" w:rsidRPr="009A1E0B" w:rsidRDefault="005330B5" w:rsidP="0065090F">
            <w:pPr>
              <w:pStyle w:val="Teksttabelilewy"/>
              <w:jc w:val="left"/>
            </w:pPr>
            <w:r w:rsidRPr="009A1E0B">
              <w:t>4.1.34. Dikofol</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9F64B68" w14:textId="77777777" w:rsidR="005330B5" w:rsidRPr="009A1E0B" w:rsidRDefault="005330B5" w:rsidP="0065090F">
            <w:pPr>
              <w:pStyle w:val="Teksttabelisrodek"/>
              <w:ind w:left="0"/>
            </w:pPr>
            <w:r w:rsidRPr="009A1E0B">
              <w:t>115-32-2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8B7B570"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1AB86FAB"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0A0AEC4" w14:textId="77777777" w:rsidR="005330B5" w:rsidRPr="009A1E0B" w:rsidRDefault="005330B5" w:rsidP="0065090F">
            <w:pPr>
              <w:pStyle w:val="Teksttabelisrodek"/>
              <w:ind w:left="0"/>
            </w:pPr>
            <w:r w:rsidRPr="009A1E0B">
              <w:t>bd.</w:t>
            </w:r>
          </w:p>
        </w:tc>
      </w:tr>
      <w:tr w:rsidR="005330B5" w:rsidRPr="009A1E0B" w14:paraId="61637A9C"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5C186615" w14:textId="7478336D"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F112AB1" w14:textId="77777777" w:rsidR="005330B5" w:rsidRPr="009A1E0B" w:rsidRDefault="005330B5" w:rsidP="0065090F">
            <w:pPr>
              <w:pStyle w:val="Teksttabelilewy"/>
              <w:jc w:val="left"/>
            </w:pPr>
            <w:r w:rsidRPr="009A1E0B">
              <w:t>4.1.35. Kwas perfluorooktanosulfon-owy i jego pochodne (PFOS)</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09F93D4" w14:textId="77777777" w:rsidR="005330B5" w:rsidRPr="009A1E0B" w:rsidRDefault="005330B5" w:rsidP="0065090F">
            <w:pPr>
              <w:pStyle w:val="Teksttabelisrodek"/>
              <w:ind w:left="0"/>
            </w:pPr>
            <w:r w:rsidRPr="009A1E0B">
              <w:t>1763-23-1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4F70974" w14:textId="77777777" w:rsidR="005330B5" w:rsidRPr="009A1E0B" w:rsidRDefault="005330B5" w:rsidP="0065090F">
            <w:pPr>
              <w:pStyle w:val="Teksttabelisrodek"/>
              <w:ind w:left="0"/>
            </w:pPr>
            <w:r w:rsidRPr="009A1E0B">
              <w:t>ISO 25101: 2009</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4326E06"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DB3AF94" w14:textId="77777777" w:rsidR="005330B5" w:rsidRPr="009A1E0B" w:rsidRDefault="005330B5" w:rsidP="0065090F">
            <w:pPr>
              <w:pStyle w:val="Teksttabelisrodek"/>
              <w:ind w:left="0"/>
            </w:pPr>
            <w:r w:rsidRPr="009A1E0B">
              <w:t>0,000039</w:t>
            </w:r>
          </w:p>
        </w:tc>
      </w:tr>
      <w:tr w:rsidR="005330B5" w:rsidRPr="009A1E0B" w14:paraId="012C42F6"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0639534" w14:textId="4259DFDF"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36</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75FC042" w14:textId="77777777" w:rsidR="005330B5" w:rsidRPr="009A1E0B" w:rsidRDefault="005330B5" w:rsidP="0065090F">
            <w:pPr>
              <w:pStyle w:val="Teksttabelilewy"/>
              <w:jc w:val="left"/>
            </w:pPr>
            <w:r w:rsidRPr="009A1E0B">
              <w:t>4.1.36. Chinoksyfen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F5F920C" w14:textId="77777777" w:rsidR="005330B5" w:rsidRPr="009A1E0B" w:rsidRDefault="005330B5" w:rsidP="0065090F">
            <w:pPr>
              <w:pStyle w:val="Teksttabelisrodek"/>
              <w:ind w:left="0"/>
            </w:pPr>
            <w:r w:rsidRPr="009A1E0B">
              <w:t>124495-18-7</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072A9AE"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9E45173"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7158F6E" w14:textId="77777777" w:rsidR="005330B5" w:rsidRPr="009A1E0B" w:rsidRDefault="005330B5" w:rsidP="0065090F">
            <w:pPr>
              <w:pStyle w:val="Teksttabelisrodek"/>
              <w:ind w:left="0"/>
            </w:pPr>
            <w:r w:rsidRPr="009A1E0B">
              <w:t>0,002</w:t>
            </w:r>
          </w:p>
        </w:tc>
      </w:tr>
      <w:tr w:rsidR="005330B5" w:rsidRPr="009A1E0B" w14:paraId="7333DC5C"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1A117C3C" w14:textId="0CEE50D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37</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vAlign w:val="center"/>
            <w:hideMark/>
          </w:tcPr>
          <w:p w14:paraId="2BD7CB5D" w14:textId="77777777" w:rsidR="005330B5" w:rsidRPr="009A1E0B" w:rsidRDefault="005330B5" w:rsidP="0065090F">
            <w:pPr>
              <w:pStyle w:val="Teksttabelilewy"/>
              <w:jc w:val="left"/>
            </w:pPr>
            <w:r w:rsidRPr="009A1E0B">
              <w:t xml:space="preserve">4.1.37. Dioksyny i związki </w:t>
            </w:r>
            <w:r w:rsidRPr="009A1E0B">
              <w:br w:type="page"/>
              <w:t>dioksyno-podobne</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0A16B4B" w14:textId="77777777" w:rsidR="005330B5" w:rsidRPr="009A1E0B" w:rsidRDefault="005330B5" w:rsidP="0065090F">
            <w:pPr>
              <w:pStyle w:val="Teksttabelisrodek"/>
              <w:ind w:left="0"/>
            </w:pPr>
            <w:r w:rsidRPr="009A1E0B">
              <w:t>-</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B9DD66E"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1138024F"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CBD3F58" w14:textId="77777777" w:rsidR="005330B5" w:rsidRPr="009A1E0B" w:rsidRDefault="005330B5" w:rsidP="0065090F">
            <w:pPr>
              <w:pStyle w:val="Teksttabelisrodek"/>
              <w:ind w:left="0"/>
            </w:pPr>
            <w:r w:rsidRPr="009A1E0B">
              <w:t>bd.</w:t>
            </w:r>
          </w:p>
        </w:tc>
      </w:tr>
      <w:tr w:rsidR="005330B5" w:rsidRPr="009A1E0B" w14:paraId="20B864E3"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7999F43" w14:textId="2DA03859"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38</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B7F8383" w14:textId="77777777" w:rsidR="005330B5" w:rsidRPr="009A1E0B" w:rsidRDefault="005330B5" w:rsidP="0065090F">
            <w:pPr>
              <w:pStyle w:val="Teksttabelilewy"/>
              <w:jc w:val="left"/>
            </w:pPr>
            <w:r w:rsidRPr="009A1E0B">
              <w:t>4.1.38. Aklonifen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5E51EF0" w14:textId="77777777" w:rsidR="005330B5" w:rsidRPr="009A1E0B" w:rsidRDefault="005330B5" w:rsidP="0065090F">
            <w:pPr>
              <w:pStyle w:val="Teksttabelisrodek"/>
              <w:ind w:left="0"/>
            </w:pPr>
            <w:r w:rsidRPr="009A1E0B">
              <w:t>74070-46-5</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1E0E208"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B4C4F0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981B98F" w14:textId="77777777" w:rsidR="005330B5" w:rsidRPr="009A1E0B" w:rsidRDefault="005330B5" w:rsidP="0065090F">
            <w:pPr>
              <w:pStyle w:val="Teksttabelisrodek"/>
              <w:ind w:left="0"/>
            </w:pPr>
            <w:r w:rsidRPr="009A1E0B">
              <w:t>0,002</w:t>
            </w:r>
          </w:p>
        </w:tc>
      </w:tr>
      <w:tr w:rsidR="005330B5" w:rsidRPr="009A1E0B" w14:paraId="2E0C4582"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5D032C4F" w14:textId="769E8BEA"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39</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DC7B65A" w14:textId="77777777" w:rsidR="005330B5" w:rsidRPr="009A1E0B" w:rsidRDefault="005330B5" w:rsidP="0065090F">
            <w:pPr>
              <w:pStyle w:val="Teksttabelilewy"/>
              <w:jc w:val="left"/>
            </w:pPr>
            <w:r w:rsidRPr="009A1E0B">
              <w:t>4.1.39. Bifenoks</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1AB8ADD" w14:textId="77777777" w:rsidR="005330B5" w:rsidRPr="009A1E0B" w:rsidRDefault="005330B5" w:rsidP="0065090F">
            <w:pPr>
              <w:pStyle w:val="Teksttabelisrodek"/>
              <w:ind w:left="0"/>
            </w:pPr>
            <w:r w:rsidRPr="009A1E0B">
              <w:t>42576-02-3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CFB16E7"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7AA74D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151E6B4" w14:textId="77777777" w:rsidR="005330B5" w:rsidRPr="009A1E0B" w:rsidRDefault="005330B5" w:rsidP="0065090F">
            <w:pPr>
              <w:pStyle w:val="Teksttabelisrodek"/>
              <w:ind w:left="0"/>
            </w:pPr>
            <w:r w:rsidRPr="009A1E0B">
              <w:t>0,002</w:t>
            </w:r>
          </w:p>
        </w:tc>
      </w:tr>
      <w:tr w:rsidR="005330B5" w:rsidRPr="009A1E0B" w14:paraId="0D6BCED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7D355F5" w14:textId="3B6A8B31"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40</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19567A6" w14:textId="77777777" w:rsidR="005330B5" w:rsidRPr="009A1E0B" w:rsidRDefault="005330B5" w:rsidP="0065090F">
            <w:pPr>
              <w:pStyle w:val="Teksttabelilewy"/>
              <w:jc w:val="left"/>
            </w:pPr>
            <w:r w:rsidRPr="009A1E0B">
              <w:t>4.1.40. Cybutryna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BB64EBC" w14:textId="77777777" w:rsidR="005330B5" w:rsidRPr="009A1E0B" w:rsidRDefault="005330B5" w:rsidP="0065090F">
            <w:pPr>
              <w:pStyle w:val="Teksttabelisrodek"/>
              <w:ind w:left="0"/>
            </w:pPr>
            <w:r w:rsidRPr="009A1E0B">
              <w:t>28159-98-0</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BF7267C"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38C58F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A3E91CA" w14:textId="77777777" w:rsidR="005330B5" w:rsidRPr="009A1E0B" w:rsidRDefault="005330B5" w:rsidP="0065090F">
            <w:pPr>
              <w:pStyle w:val="Teksttabelisrodek"/>
              <w:ind w:left="0"/>
            </w:pPr>
            <w:r w:rsidRPr="009A1E0B">
              <w:t>0,0007</w:t>
            </w:r>
          </w:p>
        </w:tc>
      </w:tr>
      <w:tr w:rsidR="005330B5" w:rsidRPr="009A1E0B" w14:paraId="38722964"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BEB13D9" w14:textId="016AA1F5"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046574CE" w14:textId="77777777" w:rsidR="005330B5" w:rsidRPr="009A1E0B" w:rsidRDefault="005330B5" w:rsidP="0065090F">
            <w:pPr>
              <w:pStyle w:val="Teksttabelilewy"/>
              <w:jc w:val="left"/>
            </w:pPr>
            <w:r w:rsidRPr="009A1E0B">
              <w:t>4.1.41. Cypermetryna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33EB7CF" w14:textId="77777777" w:rsidR="005330B5" w:rsidRPr="009A1E0B" w:rsidRDefault="005330B5" w:rsidP="0065090F">
            <w:pPr>
              <w:pStyle w:val="Teksttabelisrodek"/>
              <w:ind w:left="0"/>
            </w:pPr>
            <w:r w:rsidRPr="009A1E0B">
              <w:t>52315-07-8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81E6A26"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21DB0780"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ABB8F37" w14:textId="77777777" w:rsidR="005330B5" w:rsidRPr="009A1E0B" w:rsidRDefault="005330B5" w:rsidP="0065090F">
            <w:pPr>
              <w:pStyle w:val="Teksttabelisrodek"/>
              <w:ind w:left="0"/>
            </w:pPr>
            <w:r w:rsidRPr="009A1E0B">
              <w:t>0,0002</w:t>
            </w:r>
          </w:p>
        </w:tc>
      </w:tr>
      <w:tr w:rsidR="005330B5" w:rsidRPr="009A1E0B" w14:paraId="589D7755"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0EAAB733" w14:textId="72D3EE9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4642D926" w14:textId="77777777" w:rsidR="005330B5" w:rsidRPr="009A1E0B" w:rsidRDefault="005330B5" w:rsidP="0065090F">
            <w:pPr>
              <w:pStyle w:val="Teksttabelilewy"/>
              <w:jc w:val="left"/>
            </w:pPr>
            <w:r w:rsidRPr="009A1E0B">
              <w:t>4.1.42. Dichlorfos</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D91546F" w14:textId="77777777" w:rsidR="005330B5" w:rsidRPr="009A1E0B" w:rsidRDefault="005330B5" w:rsidP="0065090F">
            <w:pPr>
              <w:pStyle w:val="Teksttabelisrodek"/>
              <w:ind w:left="0"/>
            </w:pPr>
            <w:r w:rsidRPr="009A1E0B">
              <w:t>62-73-7</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B60E0B2"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E98D33E"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7ECF5C5" w14:textId="77777777" w:rsidR="005330B5" w:rsidRPr="009A1E0B" w:rsidRDefault="005330B5" w:rsidP="0065090F">
            <w:pPr>
              <w:pStyle w:val="Teksttabelisrodek"/>
              <w:ind w:left="0"/>
            </w:pPr>
            <w:r w:rsidRPr="009A1E0B">
              <w:t>0,00015</w:t>
            </w:r>
          </w:p>
        </w:tc>
      </w:tr>
      <w:tr w:rsidR="005330B5" w:rsidRPr="009A1E0B" w14:paraId="3F6AA090"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BF7DFF5" w14:textId="47753F12"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43</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F5778F1" w14:textId="77777777" w:rsidR="005330B5" w:rsidRPr="009A1E0B" w:rsidRDefault="005330B5" w:rsidP="0065090F">
            <w:pPr>
              <w:pStyle w:val="Teksttabelilewy"/>
              <w:jc w:val="left"/>
            </w:pPr>
            <w:r w:rsidRPr="009A1E0B">
              <w:t>4.1.43. Heksabromocyklododekan (HBCDD)</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9C7A592" w14:textId="77777777" w:rsidR="005330B5" w:rsidRPr="009A1E0B" w:rsidRDefault="005330B5" w:rsidP="0065090F">
            <w:pPr>
              <w:pStyle w:val="Teksttabelisrodek"/>
              <w:ind w:left="0"/>
            </w:pPr>
            <w:r w:rsidRPr="009A1E0B">
              <w:t>-</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B279AB8" w14:textId="77777777" w:rsidR="005330B5" w:rsidRPr="009A1E0B" w:rsidRDefault="005330B5" w:rsidP="0065090F">
            <w:pPr>
              <w:pStyle w:val="Teksttabelisrodek"/>
              <w:ind w:left="0"/>
            </w:pPr>
            <w:r w:rsidRPr="009A1E0B">
              <w:t>PB-IN-18/BI wyd. 1 z dn. 02.01.2019r.</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9676606"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EC1E493" w14:textId="77777777" w:rsidR="005330B5" w:rsidRPr="009A1E0B" w:rsidRDefault="005330B5" w:rsidP="0065090F">
            <w:pPr>
              <w:pStyle w:val="Teksttabelisrodek"/>
              <w:ind w:left="0"/>
            </w:pPr>
            <w:r w:rsidRPr="009A1E0B">
              <w:t>0,0005</w:t>
            </w:r>
          </w:p>
        </w:tc>
      </w:tr>
      <w:tr w:rsidR="005330B5" w:rsidRPr="009A1E0B" w14:paraId="25A5E64A"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789E80E3" w14:textId="780172AC"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3C376BA" w14:textId="77777777" w:rsidR="005330B5" w:rsidRPr="009A1E0B" w:rsidRDefault="005330B5" w:rsidP="0065090F">
            <w:pPr>
              <w:pStyle w:val="Teksttabelilewy"/>
              <w:jc w:val="left"/>
            </w:pPr>
            <w:r w:rsidRPr="009A1E0B">
              <w:t>4.1.44. Heptachlor i epoksyd heptachloru</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CAEBDED" w14:textId="77777777" w:rsidR="005330B5" w:rsidRPr="009A1E0B" w:rsidRDefault="005330B5" w:rsidP="0065090F">
            <w:pPr>
              <w:pStyle w:val="Teksttabelisrodek"/>
              <w:ind w:left="0"/>
            </w:pPr>
            <w:r w:rsidRPr="009A1E0B">
              <w:t>-</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46B8E66B"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E6C6EFD"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0EAAAC3" w14:textId="77777777" w:rsidR="005330B5" w:rsidRPr="009A1E0B" w:rsidRDefault="005330B5" w:rsidP="0065090F">
            <w:pPr>
              <w:pStyle w:val="Teksttabelisrodek"/>
              <w:ind w:left="0"/>
            </w:pPr>
            <w:r w:rsidRPr="009A1E0B">
              <w:t>0,00002</w:t>
            </w:r>
          </w:p>
        </w:tc>
      </w:tr>
      <w:tr w:rsidR="005330B5" w:rsidRPr="009A1E0B" w14:paraId="39900E9C"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8806A7D" w14:textId="6A99283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18233CD" w14:textId="77777777" w:rsidR="005330B5" w:rsidRPr="009A1E0B" w:rsidRDefault="005330B5" w:rsidP="0065090F">
            <w:pPr>
              <w:pStyle w:val="Teksttabelilewy"/>
              <w:jc w:val="left"/>
            </w:pPr>
            <w:r w:rsidRPr="009A1E0B">
              <w:t>4.1.45. Terbutryna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B09F2A7" w14:textId="77777777" w:rsidR="005330B5" w:rsidRPr="009A1E0B" w:rsidRDefault="005330B5" w:rsidP="0065090F">
            <w:pPr>
              <w:pStyle w:val="Teksttabelisrodek"/>
              <w:ind w:left="0"/>
            </w:pPr>
            <w:r w:rsidRPr="009A1E0B">
              <w:t>886-50-0</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7AEA677" w14:textId="77777777" w:rsidR="005330B5" w:rsidRPr="009A1E0B" w:rsidRDefault="005330B5" w:rsidP="0065090F">
            <w:pPr>
              <w:pStyle w:val="Teksttabelisrodek"/>
              <w:ind w:left="0"/>
            </w:pPr>
            <w:r w:rsidRPr="009A1E0B">
              <w:t>Procedura badawcza</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2350D1B" w14:textId="77777777" w:rsidR="005330B5" w:rsidRPr="009A1E0B" w:rsidRDefault="005330B5" w:rsidP="0065090F">
            <w:pPr>
              <w:pStyle w:val="Teksttabelisrodek"/>
              <w:ind w:left="0"/>
              <w:rPr>
                <w:rFonts w:eastAsiaTheme="minorHAnsi"/>
              </w:rPr>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8449189" w14:textId="77777777" w:rsidR="005330B5" w:rsidRPr="009A1E0B" w:rsidRDefault="005330B5" w:rsidP="0065090F">
            <w:pPr>
              <w:pStyle w:val="Teksttabelisrodek"/>
              <w:ind w:left="0"/>
            </w:pPr>
            <w:r w:rsidRPr="009A1E0B">
              <w:t>0,002</w:t>
            </w:r>
          </w:p>
        </w:tc>
      </w:tr>
      <w:tr w:rsidR="005330B5" w:rsidRPr="009A1E0B" w14:paraId="551D315B" w14:textId="77777777" w:rsidTr="00E16261">
        <w:trPr>
          <w:trHeight w:val="340"/>
        </w:trPr>
        <w:tc>
          <w:tcPr>
            <w:tcW w:w="9067"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8D4857" w14:textId="77777777" w:rsidR="005330B5" w:rsidRPr="00D41A3A" w:rsidRDefault="005330B5" w:rsidP="00D41A3A">
            <w:pPr>
              <w:spacing w:before="0" w:after="0"/>
              <w:ind w:left="497" w:hanging="497"/>
              <w:jc w:val="center"/>
              <w:rPr>
                <w:rFonts w:asciiTheme="minorHAnsi" w:hAnsiTheme="minorHAnsi" w:cstheme="minorHAnsi"/>
                <w:color w:val="000000"/>
                <w:sz w:val="20"/>
                <w:szCs w:val="20"/>
              </w:rPr>
            </w:pPr>
            <w:r w:rsidRPr="00D41A3A">
              <w:rPr>
                <w:rFonts w:asciiTheme="minorHAnsi" w:hAnsiTheme="minorHAnsi" w:cstheme="minorHAnsi"/>
                <w:sz w:val="20"/>
                <w:szCs w:val="20"/>
              </w:rPr>
              <w:t>Wskaźniki innych substancji zanieczyszczających</w:t>
            </w:r>
          </w:p>
        </w:tc>
      </w:tr>
      <w:tr w:rsidR="005330B5" w:rsidRPr="009A1E0B" w14:paraId="121C80BE"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5BFB64A5" w14:textId="10A8D06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1</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651000E" w14:textId="77777777" w:rsidR="005330B5" w:rsidRPr="009A1E0B" w:rsidRDefault="005330B5" w:rsidP="0065090F">
            <w:pPr>
              <w:pStyle w:val="Teksttabelilewy"/>
              <w:jc w:val="left"/>
            </w:pPr>
            <w:r w:rsidRPr="009A1E0B">
              <w:t>4.2.1. Tetrachlorometan</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C7C0B6C" w14:textId="77777777" w:rsidR="005330B5" w:rsidRPr="009A1E0B" w:rsidRDefault="005330B5" w:rsidP="0065090F">
            <w:pPr>
              <w:pStyle w:val="Teksttabelisrodek"/>
              <w:ind w:left="-66"/>
            </w:pPr>
            <w:r w:rsidRPr="009A1E0B">
              <w:t>56-23-5</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DCF357B" w14:textId="77777777" w:rsidR="005330B5" w:rsidRPr="009A1E0B" w:rsidRDefault="005330B5" w:rsidP="0065090F">
            <w:pPr>
              <w:pStyle w:val="Teksttabelisrodek"/>
              <w:ind w:left="-66"/>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1438447"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6367468" w14:textId="77777777" w:rsidR="005330B5" w:rsidRPr="009A1E0B" w:rsidRDefault="005330B5" w:rsidP="0065090F">
            <w:pPr>
              <w:pStyle w:val="Teksttabelisrodek"/>
              <w:ind w:left="-66"/>
            </w:pPr>
            <w:r w:rsidRPr="009A1E0B">
              <w:t>0,5</w:t>
            </w:r>
          </w:p>
        </w:tc>
      </w:tr>
      <w:tr w:rsidR="005330B5" w:rsidRPr="009A1E0B" w14:paraId="0AE821D5"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A83AD05" w14:textId="374EB929"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2</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8919B44" w14:textId="77777777" w:rsidR="005330B5" w:rsidRPr="009A1E0B" w:rsidRDefault="005330B5" w:rsidP="0065090F">
            <w:pPr>
              <w:pStyle w:val="Teksttabelilewy"/>
              <w:jc w:val="left"/>
            </w:pPr>
            <w:r w:rsidRPr="009A1E0B">
              <w:t>4.2.2. Aldryna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4FE629B" w14:textId="77777777" w:rsidR="005330B5" w:rsidRPr="009A1E0B" w:rsidRDefault="005330B5" w:rsidP="0065090F">
            <w:pPr>
              <w:pStyle w:val="Teksttabelisrodek"/>
              <w:ind w:left="-66"/>
            </w:pPr>
            <w:r w:rsidRPr="009A1E0B">
              <w:t>309-00-2</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E19CB86"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EA186C9"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5BC7BD9" w14:textId="77777777" w:rsidR="005330B5" w:rsidRPr="009A1E0B" w:rsidRDefault="005330B5" w:rsidP="0065090F">
            <w:pPr>
              <w:pStyle w:val="Teksttabelisrodek"/>
              <w:ind w:left="-66"/>
            </w:pPr>
            <w:r w:rsidRPr="009A1E0B">
              <w:t>0,002</w:t>
            </w:r>
          </w:p>
        </w:tc>
      </w:tr>
      <w:tr w:rsidR="005330B5" w:rsidRPr="009A1E0B" w14:paraId="1CAA14D5"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06668E5F" w14:textId="62221BE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3</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27708983" w14:textId="77777777" w:rsidR="005330B5" w:rsidRPr="009A1E0B" w:rsidRDefault="005330B5" w:rsidP="0065090F">
            <w:pPr>
              <w:pStyle w:val="Teksttabelilewy"/>
              <w:jc w:val="left"/>
            </w:pPr>
            <w:r w:rsidRPr="009A1E0B">
              <w:t>4.2.3. Dieldryna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3582681" w14:textId="77777777" w:rsidR="005330B5" w:rsidRPr="009A1E0B" w:rsidRDefault="005330B5" w:rsidP="0065090F">
            <w:pPr>
              <w:pStyle w:val="Teksttabelisrodek"/>
              <w:ind w:left="-66"/>
            </w:pPr>
            <w:r w:rsidRPr="009A1E0B">
              <w:t>60-57-1</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07C9FA62"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A973B12"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6C20797" w14:textId="77777777" w:rsidR="005330B5" w:rsidRPr="009A1E0B" w:rsidRDefault="005330B5" w:rsidP="0065090F">
            <w:pPr>
              <w:pStyle w:val="Teksttabelisrodek"/>
              <w:ind w:left="-66"/>
            </w:pPr>
            <w:r w:rsidRPr="009A1E0B">
              <w:t>0,002</w:t>
            </w:r>
          </w:p>
        </w:tc>
      </w:tr>
      <w:tr w:rsidR="005330B5" w:rsidRPr="009A1E0B" w14:paraId="4103058D"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3EDF536" w14:textId="51956E18"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4</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1AE4FD8C" w14:textId="77777777" w:rsidR="005330B5" w:rsidRPr="009A1E0B" w:rsidRDefault="005330B5" w:rsidP="0065090F">
            <w:pPr>
              <w:pStyle w:val="Teksttabelilewy"/>
              <w:jc w:val="left"/>
            </w:pPr>
            <w:r w:rsidRPr="009A1E0B">
              <w:t>4.2.4. Endryna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DDFB109" w14:textId="77777777" w:rsidR="005330B5" w:rsidRPr="009A1E0B" w:rsidRDefault="005330B5" w:rsidP="0065090F">
            <w:pPr>
              <w:pStyle w:val="Teksttabelisrodek"/>
              <w:ind w:left="-66"/>
            </w:pPr>
            <w:r w:rsidRPr="009A1E0B">
              <w:t>72-20-8</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6997838E"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49EBDE4"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8E7D5D5" w14:textId="77777777" w:rsidR="005330B5" w:rsidRPr="009A1E0B" w:rsidRDefault="005330B5" w:rsidP="0065090F">
            <w:pPr>
              <w:pStyle w:val="Teksttabelisrodek"/>
              <w:ind w:left="-66"/>
            </w:pPr>
            <w:r w:rsidRPr="009A1E0B">
              <w:t>0,002</w:t>
            </w:r>
          </w:p>
        </w:tc>
      </w:tr>
      <w:tr w:rsidR="005330B5" w:rsidRPr="009A1E0B" w14:paraId="7E899E06"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2BF8BC67" w14:textId="6CAD6E40"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5</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00608E85" w14:textId="77777777" w:rsidR="005330B5" w:rsidRPr="009A1E0B" w:rsidRDefault="005330B5" w:rsidP="0065090F">
            <w:pPr>
              <w:pStyle w:val="Teksttabelilewy"/>
              <w:jc w:val="left"/>
            </w:pPr>
            <w:r w:rsidRPr="009A1E0B">
              <w:t>4.2.5. Izodryna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348224A" w14:textId="77777777" w:rsidR="005330B5" w:rsidRPr="009A1E0B" w:rsidRDefault="005330B5" w:rsidP="0065090F">
            <w:pPr>
              <w:pStyle w:val="Teksttabelisrodek"/>
              <w:ind w:left="-66"/>
            </w:pPr>
            <w:r w:rsidRPr="009A1E0B">
              <w:t>465-73-6</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51583D89"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13D9202"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2172F97" w14:textId="77777777" w:rsidR="005330B5" w:rsidRPr="009A1E0B" w:rsidRDefault="005330B5" w:rsidP="0065090F">
            <w:pPr>
              <w:pStyle w:val="Teksttabelisrodek"/>
              <w:ind w:left="-66"/>
            </w:pPr>
            <w:r w:rsidRPr="009A1E0B">
              <w:t>0,002</w:t>
            </w:r>
          </w:p>
        </w:tc>
      </w:tr>
      <w:tr w:rsidR="005330B5" w:rsidRPr="009A1E0B" w14:paraId="3062EE54" w14:textId="77777777" w:rsidTr="00E16261">
        <w:trPr>
          <w:trHeight w:val="340"/>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00805B39" w14:textId="546B7DCB"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6</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73843BE" w14:textId="77777777" w:rsidR="005330B5" w:rsidRPr="009A1E0B" w:rsidRDefault="005330B5" w:rsidP="0065090F">
            <w:pPr>
              <w:pStyle w:val="Teksttabelilewy"/>
              <w:jc w:val="left"/>
            </w:pPr>
            <w:r w:rsidRPr="009A1E0B">
              <w:t>4.2.6.a. DDT - para-para</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48BA60B" w14:textId="77777777" w:rsidR="005330B5" w:rsidRPr="009A1E0B" w:rsidRDefault="005330B5" w:rsidP="0065090F">
            <w:pPr>
              <w:pStyle w:val="Teksttabelisrodek"/>
              <w:ind w:left="-66"/>
            </w:pPr>
            <w:r w:rsidRPr="009A1E0B">
              <w:t>50-29-3</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C6DC705"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A78C82F"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46A483D9" w14:textId="77777777" w:rsidR="005330B5" w:rsidRPr="009A1E0B" w:rsidRDefault="005330B5" w:rsidP="0065090F">
            <w:pPr>
              <w:pStyle w:val="Teksttabelisrodek"/>
              <w:ind w:left="-66"/>
            </w:pPr>
            <w:r w:rsidRPr="009A1E0B">
              <w:t>0,002</w:t>
            </w:r>
          </w:p>
        </w:tc>
      </w:tr>
      <w:tr w:rsidR="005330B5" w:rsidRPr="009A1E0B" w14:paraId="01DE360E" w14:textId="77777777" w:rsidTr="00E16261">
        <w:trPr>
          <w:trHeight w:val="340"/>
        </w:trPr>
        <w:tc>
          <w:tcPr>
            <w:tcW w:w="420" w:type="dxa"/>
            <w:vMerge/>
            <w:tcBorders>
              <w:top w:val="single" w:sz="4" w:space="0" w:color="auto"/>
              <w:left w:val="single" w:sz="4" w:space="0" w:color="auto"/>
              <w:bottom w:val="single" w:sz="4" w:space="0" w:color="auto"/>
              <w:right w:val="single" w:sz="4" w:space="0" w:color="auto"/>
            </w:tcBorders>
            <w:vAlign w:val="center"/>
            <w:hideMark/>
          </w:tcPr>
          <w:p w14:paraId="5E5DE5D4" w14:textId="77777777" w:rsidR="005330B5" w:rsidRPr="0065090F" w:rsidRDefault="005330B5" w:rsidP="00D41A3A">
            <w:pPr>
              <w:spacing w:before="0" w:after="0"/>
              <w:jc w:val="center"/>
              <w:rPr>
                <w:rFonts w:asciiTheme="minorHAnsi" w:hAnsiTheme="minorHAnsi" w:cstheme="minorHAnsi"/>
                <w:color w:val="000000"/>
                <w:sz w:val="20"/>
                <w:szCs w:val="20"/>
              </w:rPr>
            </w:pP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5346E3A3" w14:textId="77777777" w:rsidR="005330B5" w:rsidRPr="009A1E0B" w:rsidRDefault="005330B5" w:rsidP="0065090F">
            <w:pPr>
              <w:pStyle w:val="Teksttabelilewy"/>
              <w:jc w:val="left"/>
            </w:pPr>
            <w:r w:rsidRPr="009A1E0B">
              <w:t>4.2.6.b. DDT całkowity</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197B416" w14:textId="77777777" w:rsidR="005330B5" w:rsidRPr="009A1E0B" w:rsidRDefault="005330B5" w:rsidP="0065090F">
            <w:pPr>
              <w:pStyle w:val="Teksttabelisrodek"/>
              <w:ind w:left="-66"/>
            </w:pPr>
            <w:r w:rsidRPr="009A1E0B">
              <w:t>-</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13E4A1F6" w14:textId="77777777" w:rsidR="005330B5" w:rsidRPr="009A1E0B" w:rsidRDefault="005330B5" w:rsidP="0065090F">
            <w:pPr>
              <w:pStyle w:val="Teksttabelisrodek"/>
              <w:ind w:left="-66"/>
            </w:pPr>
            <w:r w:rsidRPr="009A1E0B">
              <w:t>PN-EN ISO 6468:2002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5261868"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18336E7" w14:textId="77777777" w:rsidR="005330B5" w:rsidRPr="009A1E0B" w:rsidRDefault="005330B5" w:rsidP="0065090F">
            <w:pPr>
              <w:pStyle w:val="Teksttabelisrodek"/>
              <w:ind w:left="-66"/>
            </w:pPr>
            <w:r w:rsidRPr="009A1E0B">
              <w:t>0,008</w:t>
            </w:r>
          </w:p>
        </w:tc>
      </w:tr>
      <w:tr w:rsidR="005330B5" w:rsidRPr="009A1E0B" w14:paraId="440726A0"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44CC6D69" w14:textId="3AC5A7FE"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7</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18E2312" w14:textId="77777777" w:rsidR="005330B5" w:rsidRPr="009A1E0B" w:rsidRDefault="005330B5" w:rsidP="0065090F">
            <w:pPr>
              <w:pStyle w:val="Teksttabelilewy"/>
              <w:jc w:val="left"/>
            </w:pPr>
            <w:r w:rsidRPr="009A1E0B">
              <w:t>4.2.7. Trichloroetylen (TRI)</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74E456C8" w14:textId="77777777" w:rsidR="005330B5" w:rsidRPr="009A1E0B" w:rsidRDefault="005330B5" w:rsidP="0065090F">
            <w:pPr>
              <w:pStyle w:val="Teksttabelisrodek"/>
              <w:ind w:left="-66"/>
            </w:pPr>
            <w:r w:rsidRPr="009A1E0B">
              <w:t>79-01-6</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76E23090" w14:textId="77777777" w:rsidR="005330B5" w:rsidRPr="009A1E0B" w:rsidRDefault="005330B5" w:rsidP="0065090F">
            <w:pPr>
              <w:pStyle w:val="Teksttabelisrodek"/>
              <w:ind w:left="-66"/>
            </w:pPr>
            <w:r w:rsidRPr="009A1E0B">
              <w:t>PN-EN ISO 15680:2008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E6DF288"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AFE2CBD" w14:textId="77777777" w:rsidR="005330B5" w:rsidRPr="009A1E0B" w:rsidRDefault="005330B5" w:rsidP="0065090F">
            <w:pPr>
              <w:pStyle w:val="Teksttabelisrodek"/>
              <w:ind w:left="-66"/>
            </w:pPr>
            <w:r w:rsidRPr="009A1E0B">
              <w:t>0,5</w:t>
            </w:r>
          </w:p>
        </w:tc>
      </w:tr>
      <w:tr w:rsidR="005330B5" w:rsidRPr="009A1E0B" w14:paraId="12CA6D09" w14:textId="77777777" w:rsidTr="00E16261">
        <w:trPr>
          <w:trHeight w:val="340"/>
        </w:trPr>
        <w:tc>
          <w:tcPr>
            <w:tcW w:w="420" w:type="dxa"/>
            <w:tcBorders>
              <w:top w:val="single" w:sz="4" w:space="0" w:color="auto"/>
              <w:left w:val="single" w:sz="4" w:space="0" w:color="auto"/>
              <w:bottom w:val="single" w:sz="4" w:space="0" w:color="auto"/>
              <w:right w:val="single" w:sz="4" w:space="0" w:color="auto"/>
            </w:tcBorders>
            <w:noWrap/>
            <w:vAlign w:val="center"/>
            <w:hideMark/>
          </w:tcPr>
          <w:p w14:paraId="6161AB67" w14:textId="4BCA8D8B" w:rsidR="005330B5" w:rsidRPr="0065090F" w:rsidRDefault="005330B5" w:rsidP="00D41A3A">
            <w:pPr>
              <w:spacing w:before="0" w:after="0"/>
              <w:jc w:val="center"/>
              <w:rPr>
                <w:rFonts w:asciiTheme="minorHAnsi" w:hAnsiTheme="minorHAnsi" w:cstheme="minorHAnsi"/>
                <w:color w:val="000000"/>
                <w:sz w:val="20"/>
                <w:szCs w:val="20"/>
              </w:rPr>
            </w:pPr>
            <w:r w:rsidRPr="0065090F">
              <w:rPr>
                <w:rFonts w:asciiTheme="minorHAnsi" w:hAnsiTheme="minorHAnsi" w:cstheme="minorHAnsi"/>
                <w:color w:val="000000"/>
                <w:sz w:val="20"/>
                <w:szCs w:val="20"/>
              </w:rPr>
              <w:t>8</w:t>
            </w:r>
            <w:r w:rsidR="0030438B">
              <w:rPr>
                <w:rFonts w:asciiTheme="minorHAnsi" w:hAnsiTheme="minorHAnsi" w:cstheme="minorHAnsi"/>
                <w:color w:val="000000"/>
                <w:sz w:val="20"/>
                <w:szCs w:val="20"/>
              </w:rPr>
              <w:t>.</w:t>
            </w:r>
          </w:p>
        </w:tc>
        <w:tc>
          <w:tcPr>
            <w:tcW w:w="2978" w:type="dxa"/>
            <w:tcBorders>
              <w:top w:val="single" w:sz="4" w:space="0" w:color="auto"/>
              <w:left w:val="single" w:sz="4" w:space="0" w:color="auto"/>
              <w:bottom w:val="single" w:sz="4" w:space="0" w:color="auto"/>
              <w:right w:val="single" w:sz="4" w:space="0" w:color="auto"/>
            </w:tcBorders>
            <w:noWrap/>
            <w:vAlign w:val="center"/>
            <w:hideMark/>
          </w:tcPr>
          <w:p w14:paraId="7AF9821B" w14:textId="77777777" w:rsidR="005330B5" w:rsidRPr="009A1E0B" w:rsidRDefault="005330B5" w:rsidP="0065090F">
            <w:pPr>
              <w:pStyle w:val="Teksttabelilewy"/>
              <w:jc w:val="left"/>
            </w:pPr>
            <w:r w:rsidRPr="009A1E0B">
              <w:t>4.2.8. Tetrachloroetylen (PER)</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1013108" w14:textId="77777777" w:rsidR="005330B5" w:rsidRPr="009A1E0B" w:rsidRDefault="005330B5" w:rsidP="0065090F">
            <w:pPr>
              <w:pStyle w:val="Teksttabelisrodek"/>
              <w:ind w:left="-66"/>
            </w:pPr>
            <w:r w:rsidRPr="009A1E0B">
              <w:t>127-18-4</w:t>
            </w:r>
          </w:p>
        </w:tc>
        <w:tc>
          <w:tcPr>
            <w:tcW w:w="2129" w:type="dxa"/>
            <w:tcBorders>
              <w:top w:val="single" w:sz="4" w:space="0" w:color="auto"/>
              <w:left w:val="single" w:sz="4" w:space="0" w:color="auto"/>
              <w:bottom w:val="single" w:sz="4" w:space="0" w:color="auto"/>
              <w:right w:val="single" w:sz="4" w:space="0" w:color="auto"/>
            </w:tcBorders>
            <w:noWrap/>
            <w:vAlign w:val="center"/>
            <w:hideMark/>
          </w:tcPr>
          <w:p w14:paraId="35C2D70C" w14:textId="77777777" w:rsidR="005330B5" w:rsidRPr="009A1E0B" w:rsidRDefault="005330B5" w:rsidP="0065090F">
            <w:pPr>
              <w:pStyle w:val="Teksttabelisrodek"/>
              <w:ind w:left="-66"/>
            </w:pPr>
            <w:r w:rsidRPr="009A1E0B">
              <w:t>PN-EN 1899-2:2002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EC0CAB8" w14:textId="77777777" w:rsidR="005330B5" w:rsidRPr="009A1E0B" w:rsidRDefault="005330B5" w:rsidP="0065090F">
            <w:pPr>
              <w:pStyle w:val="Teksttabelisrodek"/>
              <w:ind w:left="-66"/>
            </w:pPr>
            <w:r w:rsidRPr="009A1E0B">
              <w:t>µg/dm³</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52DA2C7" w14:textId="77777777" w:rsidR="005330B5" w:rsidRPr="009A1E0B" w:rsidRDefault="005330B5" w:rsidP="0065090F">
            <w:pPr>
              <w:pStyle w:val="Teksttabelisrodek"/>
              <w:ind w:left="-66"/>
            </w:pPr>
            <w:r w:rsidRPr="009A1E0B">
              <w:t>0,5</w:t>
            </w:r>
          </w:p>
        </w:tc>
      </w:tr>
    </w:tbl>
    <w:p w14:paraId="0B3ADD1D" w14:textId="71EBC4CC" w:rsidR="00A32BE2" w:rsidRDefault="00A32BE2" w:rsidP="00A32BE2">
      <w:pPr>
        <w:pStyle w:val="rdo0"/>
      </w:pPr>
      <w:r w:rsidRPr="009D2E58">
        <w:t xml:space="preserve">Źródło: opracowanie </w:t>
      </w:r>
      <w:r w:rsidR="00F340C7">
        <w:t>własne</w:t>
      </w:r>
      <w:r w:rsidR="00927B9E">
        <w:t xml:space="preserve"> na podstawie danych GIOŚ</w:t>
      </w:r>
    </w:p>
    <w:p w14:paraId="0B186633" w14:textId="2197F338" w:rsidR="005330B5" w:rsidRPr="00FF5D72" w:rsidRDefault="005330B5" w:rsidP="005330B5">
      <w:pPr>
        <w:rPr>
          <w:rFonts w:asciiTheme="minorHAnsi" w:hAnsiTheme="minorHAnsi" w:cstheme="minorHAnsi"/>
        </w:rPr>
      </w:pPr>
      <w:r>
        <w:rPr>
          <w:rFonts w:asciiTheme="minorHAnsi" w:hAnsiTheme="minorHAnsi" w:cstheme="minorHAnsi"/>
        </w:rPr>
        <w:t>W przypadku wód podziemnych, s</w:t>
      </w:r>
      <w:r w:rsidRPr="00FF5D72">
        <w:rPr>
          <w:rFonts w:asciiTheme="minorHAnsi" w:hAnsiTheme="minorHAnsi" w:cstheme="minorHAnsi"/>
        </w:rPr>
        <w:t>ystem zarządzania jakością w monitoringu realizowany jest zgodnie z przyjętymi na poziomie międzynarodowym praktykami systemu zarządzania, określonymi w normie PN-EN ISO/IEC 17025. Potwierdzeniem wdrożenia i funkcjonowania systemu zarządzania jest akredytacja PIG-PIB nr AB283 udzielona przez Polskie Centrum Akredytacji (dalej PCA). Obejmuje ona zarówno etap pobierania próbek, badania właściwości fizycznych wody wykonywanych w terenie przez Zespół Poboru Próbek Środowiskowych (ZPPŚ) PIG-PIB</w:t>
      </w:r>
      <w:r w:rsidRPr="00FF5D72" w:rsidDel="00044F65">
        <w:rPr>
          <w:rFonts w:asciiTheme="minorHAnsi" w:hAnsiTheme="minorHAnsi" w:cstheme="minorHAnsi"/>
        </w:rPr>
        <w:t xml:space="preserve"> </w:t>
      </w:r>
      <w:r w:rsidRPr="00FF5D72">
        <w:rPr>
          <w:rFonts w:asciiTheme="minorHAnsi" w:hAnsiTheme="minorHAnsi" w:cstheme="minorHAnsi"/>
        </w:rPr>
        <w:t xml:space="preserve">jak i badania fizykochemiczne w Laboratorium Chemicznym (LCh) PIG-PIB. Prace monitoringowe objęte systemem zarządzania i kontroli jakości mają zapewniony 2 etapowy system kontrolny </w:t>
      </w:r>
      <w:r w:rsidR="006C4947">
        <w:rPr>
          <w:rFonts w:asciiTheme="minorHAnsi" w:hAnsiTheme="minorHAnsi" w:cstheme="minorHAnsi"/>
        </w:rPr>
        <w:t>-</w:t>
      </w:r>
      <w:r w:rsidRPr="00FF5D72">
        <w:rPr>
          <w:rFonts w:asciiTheme="minorHAnsi" w:hAnsiTheme="minorHAnsi" w:cstheme="minorHAnsi"/>
        </w:rPr>
        <w:t xml:space="preserve"> etap pierwszy obejmujący kontrolę wewnętrzną oraz etap drugi </w:t>
      </w:r>
      <w:r w:rsidR="006C4947">
        <w:rPr>
          <w:rFonts w:asciiTheme="minorHAnsi" w:hAnsiTheme="minorHAnsi" w:cstheme="minorHAnsi"/>
        </w:rPr>
        <w:t>-</w:t>
      </w:r>
      <w:r w:rsidRPr="00FF5D72">
        <w:rPr>
          <w:rFonts w:asciiTheme="minorHAnsi" w:hAnsiTheme="minorHAnsi" w:cstheme="minorHAnsi"/>
        </w:rPr>
        <w:t xml:space="preserve"> system kontroli zewnętrznej. System zarządzania i kontroli wewnętrznej jest realizowany poprzez Terenowy Program Kontroli Jakości (opróbowanie i analiza statystyczna wyników próbek kontrolnych), realizacja auditów wewnętrznych, wykorzystanie CRM (certyfikow</w:t>
      </w:r>
      <w:r>
        <w:rPr>
          <w:rFonts w:asciiTheme="minorHAnsi" w:hAnsiTheme="minorHAnsi" w:cstheme="minorHAnsi"/>
        </w:rPr>
        <w:t>a</w:t>
      </w:r>
      <w:r w:rsidRPr="00FF5D72">
        <w:rPr>
          <w:rFonts w:asciiTheme="minorHAnsi" w:hAnsiTheme="minorHAnsi" w:cstheme="minorHAnsi"/>
        </w:rPr>
        <w:t xml:space="preserve">ne materiały odniesienia) oraz zapewnienie spójności pomiarowej zgodnie z przyjętymi na poziomie międzynarodowym standardami (wytyczne normy ISO/IEC 17025). Etap drugi </w:t>
      </w:r>
      <w:r w:rsidR="006C4947">
        <w:rPr>
          <w:rFonts w:asciiTheme="minorHAnsi" w:hAnsiTheme="minorHAnsi" w:cstheme="minorHAnsi"/>
        </w:rPr>
        <w:t>-</w:t>
      </w:r>
      <w:r w:rsidRPr="00FF5D72">
        <w:rPr>
          <w:rFonts w:asciiTheme="minorHAnsi" w:hAnsiTheme="minorHAnsi" w:cstheme="minorHAnsi"/>
        </w:rPr>
        <w:t xml:space="preserve"> system kontroli zewnętrznej </w:t>
      </w:r>
      <w:r w:rsidR="006C4947">
        <w:rPr>
          <w:rFonts w:asciiTheme="minorHAnsi" w:hAnsiTheme="minorHAnsi" w:cstheme="minorHAnsi"/>
        </w:rPr>
        <w:t>-</w:t>
      </w:r>
      <w:r w:rsidRPr="00FF5D72">
        <w:rPr>
          <w:rFonts w:asciiTheme="minorHAnsi" w:hAnsiTheme="minorHAnsi" w:cstheme="minorHAnsi"/>
        </w:rPr>
        <w:t xml:space="preserve"> realizowany jest poprzez coroczne oceny jednostki certyfikującej (PCA) oraz udział w</w:t>
      </w:r>
      <w:r w:rsidR="00E16261">
        <w:rPr>
          <w:rFonts w:asciiTheme="minorHAnsi" w:hAnsiTheme="minorHAnsi" w:cstheme="minorHAnsi"/>
        </w:rPr>
        <w:t> </w:t>
      </w:r>
      <w:r w:rsidRPr="00FF5D72">
        <w:rPr>
          <w:rFonts w:asciiTheme="minorHAnsi" w:hAnsiTheme="minorHAnsi" w:cstheme="minorHAnsi"/>
        </w:rPr>
        <w:t>PT/ILC (badania biegłości i porównania międzylaboratoryjne).</w:t>
      </w:r>
    </w:p>
    <w:p w14:paraId="4215767D" w14:textId="77777777" w:rsidR="005330B5" w:rsidRPr="00FF5D72" w:rsidRDefault="005330B5" w:rsidP="005330B5">
      <w:pPr>
        <w:rPr>
          <w:rFonts w:asciiTheme="minorHAnsi" w:hAnsiTheme="minorHAnsi" w:cstheme="minorHAnsi"/>
        </w:rPr>
      </w:pPr>
      <w:r w:rsidRPr="00FF5D72">
        <w:rPr>
          <w:rFonts w:asciiTheme="minorHAnsi" w:hAnsiTheme="minorHAnsi" w:cstheme="minorHAnsi"/>
        </w:rPr>
        <w:t>Zapewnienie jakości i porównywalności wyników określonych w normie PN-EN ISO/IEC 17025 obejmuje wszystkie etapy prowadzenia pomiarów, począwszy od pobierania próbek, poprzez ich utrwalenie, transport, przechowywanie i wykonanie oznaczeń laboratoryjnych. Szereg wymagań niezbędnych do prawidłowego pobierania próbek jak i uzyskania wiarygodnych wyników uwzględniono w procedurach badawczych i instrukcjach wykonawczych do norm, które są na bieżąco aktualizowane. Wszystkie etapy prowadzonych badań są dokumentowane na odpowiednio przygotowanych formularzach.</w:t>
      </w:r>
    </w:p>
    <w:p w14:paraId="4C6F6995" w14:textId="700583AC" w:rsidR="005330B5" w:rsidRPr="00FF5D72" w:rsidRDefault="005330B5" w:rsidP="005330B5">
      <w:pPr>
        <w:rPr>
          <w:rFonts w:asciiTheme="minorHAnsi" w:hAnsiTheme="minorHAnsi" w:cstheme="minorHAnsi"/>
        </w:rPr>
      </w:pPr>
      <w:r w:rsidRPr="00FF5D72">
        <w:rPr>
          <w:rFonts w:asciiTheme="minorHAnsi" w:hAnsiTheme="minorHAnsi" w:cstheme="minorHAnsi"/>
        </w:rPr>
        <w:t xml:space="preserve">Zakres wykonanych oznaczeń fizykochemicznych różni się w zależności od rodzaju dostarczonej do laboratorium próbki. Próbki tzw. podstawowe oraz pobierane równolegle próbki dublowane poddawane są analizie w zakresie następujących 30 obowiązkowych wskaźników jakości i cech fizykochemicznych wody: przewodność elektrolityczna właściwa w 20°C, odczyn pH, ogólny węgiel organiczny, amonowy jon, antymon, arsen, azotany, azotyny, bor, chlorki, chrom, cyjanki wolne, fluorki, fosforany, glin, kadm, magnez, mangan, miedź, nikiel, ołów, potas, rtęć, selen, siarczany, sód, srebro, wapń, wodorowęglany, żelazo oraz 10 dodatkowych (nieobowiązkowych) wskaźników: bar, beryl, cyna, cynk, kobalt, molibden tal, tytan uran, wanad. Analiza próbek zerowych nie obejmuje wykonania oznaczeń rtęci. Natomiast wskaźniki organiczne oznaczane są jako: pestycydy fosforoorganiczne (10 wskaźników), pestycydy triazynowe (4 wskaźniki), pestycydy chloroorganiczne (20 wskaźników), trichloroeten, tetrachloroeten, indeks fenolowy, wielopierścieniowe węglowodory aromatyczne WWA (17 wskaźników) oraz lotne węglowodory aromatyczne </w:t>
      </w:r>
      <w:r w:rsidR="006C4947">
        <w:rPr>
          <w:rFonts w:asciiTheme="minorHAnsi" w:hAnsiTheme="minorHAnsi" w:cstheme="minorHAnsi"/>
        </w:rPr>
        <w:t>-</w:t>
      </w:r>
      <w:r w:rsidRPr="00FF5D72">
        <w:rPr>
          <w:rFonts w:asciiTheme="minorHAnsi" w:hAnsiTheme="minorHAnsi" w:cstheme="minorHAnsi"/>
        </w:rPr>
        <w:t xml:space="preserve"> BTX (6 wskaźników). Łącznie bada się 60 w/w wskaźników organicznych. Zakres obowiązkowych i nieobowiązkowych wskaźników fizykochemicznych badanych podczas monitoringu chemicznego określa </w:t>
      </w:r>
      <w:r>
        <w:rPr>
          <w:rFonts w:asciiTheme="minorHAnsi" w:hAnsiTheme="minorHAnsi" w:cstheme="minorHAnsi"/>
        </w:rPr>
        <w:t>z</w:t>
      </w:r>
      <w:r w:rsidRPr="00FF5D72">
        <w:rPr>
          <w:rFonts w:asciiTheme="minorHAnsi" w:hAnsiTheme="minorHAnsi" w:cstheme="minorHAnsi"/>
        </w:rPr>
        <w:t>ałącznik nr 6 do r.m.jcw.</w:t>
      </w:r>
    </w:p>
    <w:p w14:paraId="6932609A" w14:textId="77777777" w:rsidR="005330B5" w:rsidRPr="00FF5D72" w:rsidRDefault="005330B5" w:rsidP="005330B5">
      <w:pPr>
        <w:rPr>
          <w:rFonts w:asciiTheme="minorHAnsi" w:hAnsiTheme="minorHAnsi" w:cstheme="minorHAnsi"/>
        </w:rPr>
      </w:pPr>
      <w:r w:rsidRPr="00FF5D72">
        <w:rPr>
          <w:rFonts w:asciiTheme="minorHAnsi" w:hAnsiTheme="minorHAnsi" w:cstheme="minorHAnsi"/>
        </w:rPr>
        <w:t>Laboratorium LCh posiada akredytację na oznaczenia 94 ze 100 wskaźników jakości wody, które są badane w ramach monitoringu chemicznego wód podziemnych co jest gwarancją miarodajności uzyskanych wyników oznaczeń poszczególnych wskaźników. Badania nieakredytowane dotyczą cyjanków wolnych, indeksu fenolowego oraz pestycydów triazynowych: symazyny, atrazyny, propazyny i prometryny. Zespół Poboru Próbek Środowiskowych PIG-PIB posiada akredytację na pobieranie próbek do badań chemicznych i fizycznych oraz badania: temperatury wody, poziomu lustra wody, pH i przewodności elektrolitycznej właściwej. Metodą nieakredytowaną jest pomiar tlenu rozpuszczonego.</w:t>
      </w:r>
    </w:p>
    <w:p w14:paraId="4CB0EE3A" w14:textId="7B6CE8F6" w:rsidR="005330B5" w:rsidRPr="00FF5D72" w:rsidRDefault="005330B5" w:rsidP="005330B5">
      <w:pPr>
        <w:rPr>
          <w:rFonts w:asciiTheme="minorHAnsi" w:hAnsiTheme="minorHAnsi" w:cstheme="minorHAnsi"/>
        </w:rPr>
      </w:pPr>
      <w:r w:rsidRPr="00FF5D72">
        <w:rPr>
          <w:rFonts w:asciiTheme="minorHAnsi" w:hAnsiTheme="minorHAnsi" w:cstheme="minorHAnsi"/>
        </w:rPr>
        <w:t xml:space="preserve">Metody badań analitycznych zastosowanych w LCh oraz ZPPŚ z podaniem granicy oznaczalności, niepewności rozszerzonej i dokładności </w:t>
      </w:r>
      <w:r w:rsidRPr="00E16261">
        <w:rPr>
          <w:rFonts w:asciiTheme="minorHAnsi" w:hAnsiTheme="minorHAnsi" w:cstheme="minorHAnsi"/>
        </w:rPr>
        <w:t xml:space="preserve">uwzględnia </w:t>
      </w:r>
      <w:r w:rsidR="004A1B76" w:rsidRPr="00E16261">
        <w:rPr>
          <w:rFonts w:asciiTheme="minorHAnsi" w:hAnsiTheme="minorHAnsi" w:cstheme="minorHAnsi"/>
        </w:rPr>
        <w:t>t</w:t>
      </w:r>
      <w:r w:rsidRPr="00E16261">
        <w:rPr>
          <w:rFonts w:asciiTheme="minorHAnsi" w:hAnsiTheme="minorHAnsi" w:cstheme="minorHAnsi"/>
        </w:rPr>
        <w:t xml:space="preserve">abela </w:t>
      </w:r>
      <w:r w:rsidR="004A1B76" w:rsidRPr="00E16261">
        <w:rPr>
          <w:rFonts w:asciiTheme="minorHAnsi" w:hAnsiTheme="minorHAnsi" w:cstheme="minorHAnsi"/>
        </w:rPr>
        <w:t>14-2</w:t>
      </w:r>
      <w:r w:rsidRPr="00E16261">
        <w:rPr>
          <w:rFonts w:asciiTheme="minorHAnsi" w:hAnsiTheme="minorHAnsi" w:cstheme="minorHAnsi"/>
        </w:rPr>
        <w:t xml:space="preserve"> - stan na 30.11.2020 r. (uwzględniono wskaźniki jakości wody wymienione jako zakres monitoringu stanu</w:t>
      </w:r>
      <w:r w:rsidRPr="00FF5D72">
        <w:rPr>
          <w:rFonts w:asciiTheme="minorHAnsi" w:hAnsiTheme="minorHAnsi" w:cstheme="minorHAnsi"/>
        </w:rPr>
        <w:t xml:space="preserve"> chemicznego jcwpd zgodnie z</w:t>
      </w:r>
      <w:r w:rsidR="006C4947">
        <w:rPr>
          <w:rFonts w:asciiTheme="minorHAnsi" w:hAnsiTheme="minorHAnsi" w:cstheme="minorHAnsi"/>
        </w:rPr>
        <w:t> </w:t>
      </w:r>
      <w:r w:rsidRPr="00FF5D72">
        <w:rPr>
          <w:rFonts w:asciiTheme="minorHAnsi" w:hAnsiTheme="minorHAnsi" w:cstheme="minorHAnsi"/>
        </w:rPr>
        <w:t>r.kl.jcwpd. Granice oznaczalności dla wszystkich wskaźników fizykochemicznych nie przekraczają 30% norm jakości środowiska, rozumianych jako wartości progowe dobrego stanu chemicznego wód podziemnych, natomiast szacowane niepewności pomiarów nie są wyższe niż 50%. Granice oznaczalności metod analitycznych dla wskaźników fizykochemicznych są dostosowane do wymogów krajowych i umożliwiają ocenę jakości wód podziemnych badanych próbek w zakresie klas jakości I</w:t>
      </w:r>
      <w:r w:rsidR="006C4947">
        <w:rPr>
          <w:rFonts w:asciiTheme="minorHAnsi" w:hAnsiTheme="minorHAnsi" w:cstheme="minorHAnsi"/>
        </w:rPr>
        <w:t>-</w:t>
      </w:r>
      <w:r w:rsidRPr="00FF5D72">
        <w:rPr>
          <w:rFonts w:asciiTheme="minorHAnsi" w:hAnsiTheme="minorHAnsi" w:cstheme="minorHAnsi"/>
        </w:rPr>
        <w:t>V. W przypadku związków organicznych dla dwóch wskaźników: dichlorfosu i parationu etylowego, podawana jest niepewność rozszerzona wyników, przy założonym poziomie ufności 95% i</w:t>
      </w:r>
      <w:r w:rsidR="00E16261">
        <w:rPr>
          <w:rFonts w:asciiTheme="minorHAnsi" w:hAnsiTheme="minorHAnsi" w:cstheme="minorHAnsi"/>
        </w:rPr>
        <w:t> </w:t>
      </w:r>
      <w:r w:rsidRPr="00FF5D72">
        <w:rPr>
          <w:rFonts w:asciiTheme="minorHAnsi" w:hAnsiTheme="minorHAnsi" w:cstheme="minorHAnsi"/>
        </w:rPr>
        <w:t xml:space="preserve">współczynniku rozszerzenia k=2, odpowiednio 65% i 57%. Natomiast dla pestycydów triazynowych, metoksychloru i benzo[a]pirenu granica oznaczalności przekracza wartość 30% wartości progowych dobrego stanu chemicznego wód podziemnych. Obecne możliwości analityczne laboratorium nie pozwalają na obniżenie wyżej wymienionych parametrów związków organicznych. </w:t>
      </w:r>
    </w:p>
    <w:p w14:paraId="3AB011B2" w14:textId="4A56C9AE" w:rsidR="005330B5" w:rsidRPr="00FF5D72" w:rsidRDefault="005330B5" w:rsidP="005330B5">
      <w:pPr>
        <w:rPr>
          <w:rFonts w:asciiTheme="minorHAnsi" w:hAnsiTheme="minorHAnsi" w:cstheme="minorHAnsi"/>
        </w:rPr>
      </w:pPr>
      <w:r w:rsidRPr="00FF5D72">
        <w:rPr>
          <w:rFonts w:asciiTheme="minorHAnsi" w:hAnsiTheme="minorHAnsi" w:cstheme="minorHAnsi"/>
        </w:rPr>
        <w:t xml:space="preserve">Jedynie oznaczenie wskaźnika TOC (ogólny węgiel organiczny) nie jest wykonywane metodą referencyjną, pozostałe 43 elementów fizykochemicznych i 60 elementów organicznych są badane metodami odniesienia opisanymi w r.m.jcw </w:t>
      </w:r>
      <w:r w:rsidR="006C4947">
        <w:rPr>
          <w:rFonts w:asciiTheme="minorHAnsi" w:hAnsiTheme="minorHAnsi" w:cstheme="minorHAnsi"/>
        </w:rPr>
        <w:t>-</w:t>
      </w:r>
      <w:r w:rsidRPr="00FF5D72">
        <w:rPr>
          <w:rFonts w:asciiTheme="minorHAnsi" w:hAnsiTheme="minorHAnsi" w:cstheme="minorHAnsi"/>
        </w:rPr>
        <w:t xml:space="preserve"> załącznik </w:t>
      </w:r>
      <w:r w:rsidR="00DC028C">
        <w:rPr>
          <w:rFonts w:asciiTheme="minorHAnsi" w:hAnsiTheme="minorHAnsi" w:cstheme="minorHAnsi"/>
        </w:rPr>
        <w:t xml:space="preserve">nr </w:t>
      </w:r>
      <w:r w:rsidRPr="00FF5D72">
        <w:rPr>
          <w:rFonts w:asciiTheme="minorHAnsi" w:hAnsiTheme="minorHAnsi" w:cstheme="minorHAnsi"/>
        </w:rPr>
        <w:t>7</w:t>
      </w:r>
      <w:r w:rsidRPr="00FF5D72">
        <w:rPr>
          <w:rFonts w:asciiTheme="minorHAnsi" w:hAnsiTheme="minorHAnsi" w:cstheme="minorHAnsi"/>
          <w:i/>
        </w:rPr>
        <w:t>.</w:t>
      </w:r>
    </w:p>
    <w:p w14:paraId="0FA39F5A" w14:textId="77777777" w:rsidR="005330B5" w:rsidRPr="00FF5D72" w:rsidRDefault="005330B5" w:rsidP="005330B5">
      <w:pPr>
        <w:rPr>
          <w:rFonts w:asciiTheme="minorHAnsi" w:hAnsiTheme="minorHAnsi" w:cstheme="minorHAnsi"/>
        </w:rPr>
      </w:pPr>
      <w:r w:rsidRPr="00FF5D72">
        <w:rPr>
          <w:rFonts w:asciiTheme="minorHAnsi" w:hAnsiTheme="minorHAnsi" w:cstheme="minorHAnsi"/>
        </w:rPr>
        <w:t>Wyniki pomiarów podawane są wraz z niepewnością, dokładnością i szacowanym poziomem ufności.</w:t>
      </w:r>
    </w:p>
    <w:p w14:paraId="1324F054" w14:textId="77777777" w:rsidR="005330B5" w:rsidRPr="000E5303" w:rsidRDefault="005330B5" w:rsidP="005330B5"/>
    <w:p w14:paraId="0B247593" w14:textId="77777777" w:rsidR="005330B5" w:rsidRDefault="005330B5" w:rsidP="005330B5">
      <w:pPr>
        <w:sectPr w:rsidR="005330B5" w:rsidSect="00840CCD">
          <w:headerReference w:type="even" r:id="rId92"/>
          <w:footerReference w:type="default" r:id="rId93"/>
          <w:headerReference w:type="first" r:id="rId94"/>
          <w:pgSz w:w="11906" w:h="16838"/>
          <w:pgMar w:top="1417" w:right="1417" w:bottom="1417" w:left="1417" w:header="708" w:footer="708" w:gutter="0"/>
          <w:cols w:space="708"/>
        </w:sectPr>
      </w:pPr>
    </w:p>
    <w:p w14:paraId="141D274D" w14:textId="03E614D8" w:rsidR="004A1B76" w:rsidRDefault="004A1B76" w:rsidP="006802BB">
      <w:pPr>
        <w:pStyle w:val="Legenda"/>
      </w:pPr>
      <w:bookmarkStart w:id="523" w:name="_Toc68727062"/>
      <w:r>
        <w:t xml:space="preserve">Tabela </w:t>
      </w:r>
      <w:fldSimple w:instr=" STYLEREF 1 \s ">
        <w:r w:rsidR="007B4050">
          <w:rPr>
            <w:noProof/>
          </w:rPr>
          <w:t>14</w:t>
        </w:r>
      </w:fldSimple>
      <w:r w:rsidR="007B4050">
        <w:noBreakHyphen/>
      </w:r>
      <w:fldSimple w:instr=" SEQ Tabela \* ARABIC \s 1 ">
        <w:r w:rsidR="007B4050">
          <w:rPr>
            <w:noProof/>
          </w:rPr>
          <w:t>2</w:t>
        </w:r>
      </w:fldSimple>
      <w:r>
        <w:tab/>
      </w:r>
      <w:r w:rsidRPr="00FF5D72">
        <w:t>Wykaz elementów fizykochemicznych oznaczanych podczas badań monitoringu chemicznego  wraz z opisem stosowanych metod badań laboratoryjnych i terenowych oraz ich granic oznaczalności (stan na 30.11.2020)</w:t>
      </w:r>
      <w:bookmarkEnd w:id="523"/>
    </w:p>
    <w:tbl>
      <w:tblPr>
        <w:tblW w:w="14860"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26"/>
        <w:gridCol w:w="1560"/>
        <w:gridCol w:w="992"/>
        <w:gridCol w:w="1559"/>
        <w:gridCol w:w="992"/>
        <w:gridCol w:w="2410"/>
        <w:gridCol w:w="992"/>
        <w:gridCol w:w="993"/>
        <w:gridCol w:w="992"/>
        <w:gridCol w:w="142"/>
        <w:gridCol w:w="1134"/>
        <w:gridCol w:w="843"/>
        <w:gridCol w:w="851"/>
        <w:gridCol w:w="974"/>
      </w:tblGrid>
      <w:tr w:rsidR="005D5F2D" w:rsidRPr="00FF5D72" w14:paraId="1E043222" w14:textId="77777777" w:rsidTr="00840CCD">
        <w:trPr>
          <w:cantSplit/>
          <w:trHeight w:val="315"/>
          <w:tblHeader/>
        </w:trPr>
        <w:tc>
          <w:tcPr>
            <w:tcW w:w="426" w:type="dxa"/>
            <w:vMerge w:val="restart"/>
            <w:shd w:val="clear" w:color="auto" w:fill="A6A6A6" w:themeFill="background1" w:themeFillShade="A6"/>
            <w:vAlign w:val="center"/>
          </w:tcPr>
          <w:p w14:paraId="13D073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Lp.</w:t>
            </w:r>
          </w:p>
        </w:tc>
        <w:tc>
          <w:tcPr>
            <w:tcW w:w="1560" w:type="dxa"/>
            <w:vMerge w:val="restart"/>
            <w:shd w:val="clear" w:color="auto" w:fill="A6A6A6" w:themeFill="background1" w:themeFillShade="A6"/>
            <w:vAlign w:val="center"/>
          </w:tcPr>
          <w:p w14:paraId="3EF5919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Wskaźniki jakości wody</w:t>
            </w:r>
          </w:p>
        </w:tc>
        <w:tc>
          <w:tcPr>
            <w:tcW w:w="992" w:type="dxa"/>
            <w:vMerge w:val="restart"/>
            <w:shd w:val="clear" w:color="auto" w:fill="A6A6A6" w:themeFill="background1" w:themeFillShade="A6"/>
            <w:vAlign w:val="center"/>
          </w:tcPr>
          <w:p w14:paraId="6DDF76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Jednostka</w:t>
            </w:r>
          </w:p>
        </w:tc>
        <w:tc>
          <w:tcPr>
            <w:tcW w:w="1559" w:type="dxa"/>
            <w:shd w:val="clear" w:color="auto" w:fill="A6A6A6" w:themeFill="background1" w:themeFillShade="A6"/>
            <w:vAlign w:val="center"/>
          </w:tcPr>
          <w:p w14:paraId="30CA01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analityczna *</w:t>
            </w:r>
          </w:p>
        </w:tc>
        <w:tc>
          <w:tcPr>
            <w:tcW w:w="992" w:type="dxa"/>
            <w:shd w:val="clear" w:color="auto" w:fill="A6A6A6" w:themeFill="background1" w:themeFillShade="A6"/>
            <w:vAlign w:val="center"/>
          </w:tcPr>
          <w:p w14:paraId="50AF090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Nr CAS</w:t>
            </w:r>
          </w:p>
        </w:tc>
        <w:tc>
          <w:tcPr>
            <w:tcW w:w="2410" w:type="dxa"/>
            <w:shd w:val="clear" w:color="auto" w:fill="A6A6A6" w:themeFill="background1" w:themeFillShade="A6"/>
            <w:vAlign w:val="center"/>
          </w:tcPr>
          <w:p w14:paraId="65F996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Metodyka</w:t>
            </w:r>
          </w:p>
        </w:tc>
        <w:tc>
          <w:tcPr>
            <w:tcW w:w="992" w:type="dxa"/>
            <w:shd w:val="clear" w:color="auto" w:fill="A6A6A6" w:themeFill="background1" w:themeFillShade="A6"/>
            <w:vAlign w:val="center"/>
          </w:tcPr>
          <w:p w14:paraId="331540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Niepewność **</w:t>
            </w:r>
          </w:p>
        </w:tc>
        <w:tc>
          <w:tcPr>
            <w:tcW w:w="993" w:type="dxa"/>
            <w:shd w:val="clear" w:color="auto" w:fill="A6A6A6" w:themeFill="background1" w:themeFillShade="A6"/>
            <w:vAlign w:val="center"/>
          </w:tcPr>
          <w:p w14:paraId="516AE5D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Dokładność *** wyników</w:t>
            </w:r>
          </w:p>
        </w:tc>
        <w:tc>
          <w:tcPr>
            <w:tcW w:w="992" w:type="dxa"/>
            <w:shd w:val="clear" w:color="auto" w:fill="A6A6A6" w:themeFill="background1" w:themeFillShade="A6"/>
            <w:vAlign w:val="center"/>
          </w:tcPr>
          <w:p w14:paraId="0D00C2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Granica oznaczalności LOQ</w:t>
            </w:r>
          </w:p>
        </w:tc>
        <w:tc>
          <w:tcPr>
            <w:tcW w:w="1276" w:type="dxa"/>
            <w:gridSpan w:val="2"/>
            <w:shd w:val="clear" w:color="auto" w:fill="A6A6A6" w:themeFill="background1" w:themeFillShade="A6"/>
            <w:vAlign w:val="center"/>
          </w:tcPr>
          <w:p w14:paraId="7120343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Wartość graniczna III klasy jakości (TV</w:t>
            </w:r>
            <w:r w:rsidRPr="00FF5D72">
              <w:rPr>
                <w:rFonts w:asciiTheme="minorHAnsi" w:hAnsiTheme="minorHAnsi" w:cstheme="minorHAnsi"/>
                <w:szCs w:val="16"/>
                <w:vertAlign w:val="subscript"/>
              </w:rPr>
              <w:t>III</w:t>
            </w:r>
            <w:r w:rsidRPr="00FF5D72">
              <w:rPr>
                <w:rFonts w:asciiTheme="minorHAnsi" w:hAnsiTheme="minorHAnsi" w:cstheme="minorHAnsi"/>
                <w:szCs w:val="16"/>
              </w:rPr>
              <w:t>)</w:t>
            </w:r>
          </w:p>
        </w:tc>
        <w:tc>
          <w:tcPr>
            <w:tcW w:w="843" w:type="dxa"/>
            <w:shd w:val="clear" w:color="auto" w:fill="A6A6A6" w:themeFill="background1" w:themeFillShade="A6"/>
            <w:vAlign w:val="center"/>
          </w:tcPr>
          <w:p w14:paraId="7B814D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LOQ ≤TV</w:t>
            </w:r>
            <w:r w:rsidRPr="00FF5D72">
              <w:rPr>
                <w:rFonts w:asciiTheme="minorHAnsi" w:hAnsiTheme="minorHAnsi" w:cstheme="minorHAnsi"/>
                <w:szCs w:val="16"/>
                <w:vertAlign w:val="subscript"/>
              </w:rPr>
              <w:t>III</w:t>
            </w:r>
          </w:p>
        </w:tc>
        <w:tc>
          <w:tcPr>
            <w:tcW w:w="851" w:type="dxa"/>
            <w:shd w:val="clear" w:color="auto" w:fill="A6A6A6" w:themeFill="background1" w:themeFillShade="A6"/>
            <w:vAlign w:val="center"/>
          </w:tcPr>
          <w:p w14:paraId="2A84F24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LOQ≤ 30%TV</w:t>
            </w:r>
            <w:r w:rsidRPr="00FF5D72">
              <w:rPr>
                <w:rFonts w:asciiTheme="minorHAnsi" w:hAnsiTheme="minorHAnsi" w:cstheme="minorHAnsi"/>
                <w:szCs w:val="16"/>
                <w:vertAlign w:val="subscript"/>
              </w:rPr>
              <w:t>III</w:t>
            </w:r>
          </w:p>
        </w:tc>
        <w:tc>
          <w:tcPr>
            <w:tcW w:w="974" w:type="dxa"/>
            <w:shd w:val="clear" w:color="auto" w:fill="A6A6A6" w:themeFill="background1" w:themeFillShade="A6"/>
            <w:vAlign w:val="center"/>
          </w:tcPr>
          <w:p w14:paraId="495006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LOQ/TV</w:t>
            </w:r>
            <w:r w:rsidRPr="00FF5D72">
              <w:rPr>
                <w:rFonts w:asciiTheme="minorHAnsi" w:hAnsiTheme="minorHAnsi" w:cstheme="minorHAnsi"/>
                <w:szCs w:val="16"/>
                <w:vertAlign w:val="subscript"/>
              </w:rPr>
              <w:t>III</w:t>
            </w:r>
          </w:p>
        </w:tc>
      </w:tr>
      <w:tr w:rsidR="0017799E" w:rsidRPr="00FF5D72" w14:paraId="294C8D97" w14:textId="77777777" w:rsidTr="00840CCD">
        <w:trPr>
          <w:cantSplit/>
          <w:trHeight w:val="474"/>
          <w:tblHeader/>
        </w:trPr>
        <w:tc>
          <w:tcPr>
            <w:tcW w:w="426" w:type="dxa"/>
            <w:vMerge/>
            <w:shd w:val="clear" w:color="auto" w:fill="A6A6A6" w:themeFill="background1" w:themeFillShade="A6"/>
            <w:vAlign w:val="center"/>
          </w:tcPr>
          <w:p w14:paraId="2203F1EF" w14:textId="77777777" w:rsidR="005330B5" w:rsidRPr="00FF5D72" w:rsidRDefault="005330B5" w:rsidP="00840CCD">
            <w:pPr>
              <w:pStyle w:val="TabelaRaport"/>
              <w:rPr>
                <w:rFonts w:asciiTheme="minorHAnsi" w:hAnsiTheme="minorHAnsi" w:cstheme="minorHAnsi"/>
                <w:szCs w:val="16"/>
              </w:rPr>
            </w:pPr>
          </w:p>
        </w:tc>
        <w:tc>
          <w:tcPr>
            <w:tcW w:w="1560" w:type="dxa"/>
            <w:vMerge/>
            <w:shd w:val="clear" w:color="auto" w:fill="A6A6A6" w:themeFill="background1" w:themeFillShade="A6"/>
            <w:vAlign w:val="center"/>
          </w:tcPr>
          <w:p w14:paraId="0C651E6A" w14:textId="77777777" w:rsidR="005330B5" w:rsidRPr="00FF5D72" w:rsidRDefault="005330B5" w:rsidP="00840CCD">
            <w:pPr>
              <w:pStyle w:val="TabelaRaport"/>
              <w:rPr>
                <w:rFonts w:asciiTheme="minorHAnsi" w:hAnsiTheme="minorHAnsi" w:cstheme="minorHAnsi"/>
                <w:szCs w:val="16"/>
              </w:rPr>
            </w:pPr>
          </w:p>
        </w:tc>
        <w:tc>
          <w:tcPr>
            <w:tcW w:w="992" w:type="dxa"/>
            <w:vMerge/>
            <w:shd w:val="clear" w:color="auto" w:fill="A6A6A6" w:themeFill="background1" w:themeFillShade="A6"/>
            <w:vAlign w:val="center"/>
          </w:tcPr>
          <w:p w14:paraId="1E4C9204" w14:textId="77777777" w:rsidR="005330B5" w:rsidRPr="00FF5D72" w:rsidRDefault="005330B5" w:rsidP="00840CCD">
            <w:pPr>
              <w:pStyle w:val="TabelaRaport"/>
              <w:rPr>
                <w:rFonts w:asciiTheme="minorHAnsi" w:hAnsiTheme="minorHAnsi" w:cstheme="minorHAnsi"/>
                <w:szCs w:val="16"/>
              </w:rPr>
            </w:pPr>
          </w:p>
        </w:tc>
        <w:tc>
          <w:tcPr>
            <w:tcW w:w="11882" w:type="dxa"/>
            <w:gridSpan w:val="11"/>
            <w:shd w:val="clear" w:color="auto" w:fill="A6A6A6" w:themeFill="background1" w:themeFillShade="A6"/>
            <w:vAlign w:val="center"/>
          </w:tcPr>
          <w:p w14:paraId="7A8A5E32" w14:textId="0D76F0A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Elementy fizykochemiczne oznaczone w ramach monitoringu chemicznego</w:t>
            </w:r>
            <w:r w:rsidRPr="00FF5D72">
              <w:rPr>
                <w:rFonts w:asciiTheme="minorHAnsi" w:hAnsiTheme="minorHAnsi" w:cstheme="minorHAnsi"/>
                <w:szCs w:val="16"/>
              </w:rPr>
              <w:br/>
              <w:t>(</w:t>
            </w:r>
            <w:r w:rsidR="009A0748">
              <w:rPr>
                <w:rFonts w:asciiTheme="minorHAnsi" w:hAnsiTheme="minorHAnsi" w:cstheme="minorHAnsi"/>
                <w:szCs w:val="16"/>
              </w:rPr>
              <w:t>r.kl.jcwpd</w:t>
            </w:r>
            <w:r w:rsidRPr="00FF5D72">
              <w:rPr>
                <w:rFonts w:asciiTheme="minorHAnsi" w:hAnsiTheme="minorHAnsi" w:cstheme="minorHAnsi"/>
                <w:szCs w:val="16"/>
              </w:rPr>
              <w:t xml:space="preserve"> z dnia 11 października 2019 r. w sprawie kryteriów i sposobu oceny stanu jednolitych części wód podziemnych,</w:t>
            </w:r>
            <w:r w:rsidR="00030201">
              <w:rPr>
                <w:rFonts w:asciiTheme="minorHAnsi" w:hAnsiTheme="minorHAnsi" w:cstheme="minorHAnsi"/>
                <w:szCs w:val="16"/>
              </w:rPr>
              <w:t xml:space="preserve"> </w:t>
            </w:r>
            <w:r w:rsidRPr="00FF5D72">
              <w:rPr>
                <w:rFonts w:asciiTheme="minorHAnsi" w:hAnsiTheme="minorHAnsi" w:cstheme="minorHAnsi"/>
                <w:szCs w:val="16"/>
              </w:rPr>
              <w:t>Dz.U. 2019 poz. 2148)</w:t>
            </w:r>
          </w:p>
        </w:tc>
      </w:tr>
      <w:tr w:rsidR="00C8729D" w:rsidRPr="00FF5D72" w14:paraId="5CE221C9" w14:textId="77777777" w:rsidTr="00840CCD">
        <w:trPr>
          <w:cantSplit/>
          <w:trHeight w:val="436"/>
        </w:trPr>
        <w:tc>
          <w:tcPr>
            <w:tcW w:w="14860" w:type="dxa"/>
            <w:gridSpan w:val="14"/>
            <w:shd w:val="clear" w:color="auto" w:fill="A6A6A6" w:themeFill="background1" w:themeFillShade="A6"/>
            <w:vAlign w:val="center"/>
          </w:tcPr>
          <w:p w14:paraId="78E0A33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Elementy ogólne</w:t>
            </w:r>
          </w:p>
        </w:tc>
      </w:tr>
      <w:tr w:rsidR="005D5F2D" w:rsidRPr="00FF5D72" w14:paraId="1FDE7E06" w14:textId="77777777" w:rsidTr="00840CCD">
        <w:trPr>
          <w:cantSplit/>
          <w:trHeight w:val="510"/>
        </w:trPr>
        <w:tc>
          <w:tcPr>
            <w:tcW w:w="426" w:type="dxa"/>
            <w:shd w:val="clear" w:color="auto" w:fill="FFFFFF"/>
            <w:vAlign w:val="center"/>
          </w:tcPr>
          <w:p w14:paraId="6A370DD5" w14:textId="26ECBFF9"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r w:rsidR="00927B9E">
              <w:rPr>
                <w:rFonts w:asciiTheme="minorHAnsi" w:hAnsiTheme="minorHAnsi" w:cstheme="minorHAnsi"/>
                <w:szCs w:val="16"/>
              </w:rPr>
              <w:t>.</w:t>
            </w:r>
          </w:p>
        </w:tc>
        <w:tc>
          <w:tcPr>
            <w:tcW w:w="1560" w:type="dxa"/>
            <w:shd w:val="clear" w:color="auto" w:fill="FFFFFF"/>
            <w:vAlign w:val="center"/>
          </w:tcPr>
          <w:p w14:paraId="5D1AA13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Przewodność elektrolityczna w 20°C</w:t>
            </w:r>
          </w:p>
        </w:tc>
        <w:tc>
          <w:tcPr>
            <w:tcW w:w="992" w:type="dxa"/>
            <w:shd w:val="clear" w:color="auto" w:fill="FFFFFF"/>
            <w:vAlign w:val="center"/>
          </w:tcPr>
          <w:p w14:paraId="61A75F9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[µS/cm]</w:t>
            </w:r>
          </w:p>
        </w:tc>
        <w:tc>
          <w:tcPr>
            <w:tcW w:w="1559" w:type="dxa"/>
            <w:shd w:val="clear" w:color="auto" w:fill="FFFFFF"/>
            <w:vAlign w:val="center"/>
          </w:tcPr>
          <w:p w14:paraId="6D0C29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Konduktometryczna</w:t>
            </w:r>
          </w:p>
        </w:tc>
        <w:tc>
          <w:tcPr>
            <w:tcW w:w="992" w:type="dxa"/>
            <w:shd w:val="clear" w:color="auto" w:fill="FFFFFF"/>
            <w:vAlign w:val="center"/>
          </w:tcPr>
          <w:p w14:paraId="06ABC1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0626C3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Procedura badawcza</w:t>
            </w:r>
            <w:r w:rsidRPr="00FF5D72">
              <w:rPr>
                <w:rFonts w:asciiTheme="minorHAnsi" w:hAnsiTheme="minorHAnsi" w:cstheme="minorHAnsi"/>
                <w:szCs w:val="16"/>
              </w:rPr>
              <w:br/>
              <w:t>PB-02 Edycja 12 z 20/01/2020</w:t>
            </w:r>
          </w:p>
        </w:tc>
        <w:tc>
          <w:tcPr>
            <w:tcW w:w="992" w:type="dxa"/>
            <w:shd w:val="clear" w:color="auto" w:fill="FFFFFF"/>
            <w:vAlign w:val="center"/>
          </w:tcPr>
          <w:p w14:paraId="1832DC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w:t>
            </w:r>
          </w:p>
        </w:tc>
        <w:tc>
          <w:tcPr>
            <w:tcW w:w="993" w:type="dxa"/>
            <w:shd w:val="clear" w:color="auto" w:fill="FFFFFF"/>
            <w:vAlign w:val="center"/>
          </w:tcPr>
          <w:p w14:paraId="722FCDB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w:t>
            </w:r>
          </w:p>
        </w:tc>
        <w:tc>
          <w:tcPr>
            <w:tcW w:w="992" w:type="dxa"/>
            <w:shd w:val="clear" w:color="auto" w:fill="FFFFFF"/>
            <w:vAlign w:val="center"/>
          </w:tcPr>
          <w:p w14:paraId="2EF493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1276" w:type="dxa"/>
            <w:gridSpan w:val="2"/>
            <w:shd w:val="clear" w:color="auto" w:fill="FFFFFF"/>
            <w:vAlign w:val="center"/>
          </w:tcPr>
          <w:p w14:paraId="77C3709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2500</w:t>
            </w:r>
          </w:p>
        </w:tc>
        <w:tc>
          <w:tcPr>
            <w:tcW w:w="843" w:type="dxa"/>
            <w:shd w:val="clear" w:color="auto" w:fill="FFFFFF"/>
            <w:vAlign w:val="center"/>
          </w:tcPr>
          <w:p w14:paraId="1FC37AF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shd w:val="clear" w:color="auto" w:fill="FFFFFF"/>
            <w:vAlign w:val="center"/>
          </w:tcPr>
          <w:p w14:paraId="295055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shd w:val="clear" w:color="auto" w:fill="FFFFFF"/>
            <w:vAlign w:val="center"/>
          </w:tcPr>
          <w:p w14:paraId="09FF3D4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0,8%</w:t>
            </w:r>
          </w:p>
        </w:tc>
      </w:tr>
      <w:tr w:rsidR="005D5F2D" w:rsidRPr="00FF5D72" w14:paraId="4BFAEA2D" w14:textId="77777777" w:rsidTr="00840CCD">
        <w:trPr>
          <w:cantSplit/>
          <w:trHeight w:val="510"/>
        </w:trPr>
        <w:tc>
          <w:tcPr>
            <w:tcW w:w="426" w:type="dxa"/>
            <w:shd w:val="clear" w:color="auto" w:fill="FFFFFF"/>
            <w:vAlign w:val="center"/>
          </w:tcPr>
          <w:p w14:paraId="35956C9E" w14:textId="638D835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w:t>
            </w:r>
            <w:r w:rsidR="00927B9E">
              <w:rPr>
                <w:rFonts w:asciiTheme="minorHAnsi" w:hAnsiTheme="minorHAnsi" w:cstheme="minorHAnsi"/>
                <w:szCs w:val="16"/>
              </w:rPr>
              <w:t>.</w:t>
            </w:r>
          </w:p>
        </w:tc>
        <w:tc>
          <w:tcPr>
            <w:tcW w:w="1560" w:type="dxa"/>
            <w:shd w:val="clear" w:color="auto" w:fill="FFFFFF"/>
            <w:vAlign w:val="center"/>
          </w:tcPr>
          <w:p w14:paraId="4074CB5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Przewodność elektrolityczna w 20°C (pomiar in situ podczas pobierania próbek)</w:t>
            </w:r>
          </w:p>
        </w:tc>
        <w:tc>
          <w:tcPr>
            <w:tcW w:w="992" w:type="dxa"/>
            <w:shd w:val="clear" w:color="auto" w:fill="FFFFFF"/>
            <w:vAlign w:val="center"/>
          </w:tcPr>
          <w:p w14:paraId="5BA93ED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[µS/cm]</w:t>
            </w:r>
          </w:p>
        </w:tc>
        <w:tc>
          <w:tcPr>
            <w:tcW w:w="1559" w:type="dxa"/>
            <w:shd w:val="clear" w:color="auto" w:fill="FFFFFF"/>
            <w:vAlign w:val="center"/>
          </w:tcPr>
          <w:p w14:paraId="06DD8C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Konduktometryczna</w:t>
            </w:r>
          </w:p>
        </w:tc>
        <w:tc>
          <w:tcPr>
            <w:tcW w:w="992" w:type="dxa"/>
            <w:shd w:val="clear" w:color="auto" w:fill="FFFFFF"/>
            <w:vAlign w:val="center"/>
          </w:tcPr>
          <w:p w14:paraId="7C7589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44301A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PN-EN 27888:1999</w:t>
            </w:r>
          </w:p>
        </w:tc>
        <w:tc>
          <w:tcPr>
            <w:tcW w:w="992" w:type="dxa"/>
            <w:shd w:val="clear" w:color="auto" w:fill="FFFFFF"/>
            <w:vAlign w:val="center"/>
          </w:tcPr>
          <w:p w14:paraId="046FBA7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 µS/cm +6% wartości pomiaru</w:t>
            </w:r>
          </w:p>
        </w:tc>
        <w:tc>
          <w:tcPr>
            <w:tcW w:w="993" w:type="dxa"/>
            <w:shd w:val="clear" w:color="auto" w:fill="FFFFFF"/>
            <w:vAlign w:val="center"/>
          </w:tcPr>
          <w:p w14:paraId="4D5099C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w:t>
            </w:r>
          </w:p>
        </w:tc>
        <w:tc>
          <w:tcPr>
            <w:tcW w:w="992" w:type="dxa"/>
            <w:shd w:val="clear" w:color="auto" w:fill="FFFFFF"/>
            <w:vAlign w:val="center"/>
          </w:tcPr>
          <w:p w14:paraId="282761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1276" w:type="dxa"/>
            <w:gridSpan w:val="2"/>
            <w:shd w:val="clear" w:color="auto" w:fill="FFFFFF"/>
            <w:vAlign w:val="center"/>
          </w:tcPr>
          <w:p w14:paraId="09E7482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2500</w:t>
            </w:r>
          </w:p>
        </w:tc>
        <w:tc>
          <w:tcPr>
            <w:tcW w:w="843" w:type="dxa"/>
            <w:shd w:val="clear" w:color="auto" w:fill="FFFFFF"/>
            <w:vAlign w:val="center"/>
          </w:tcPr>
          <w:p w14:paraId="08C7FC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shd w:val="clear" w:color="auto" w:fill="FFFFFF"/>
            <w:vAlign w:val="center"/>
          </w:tcPr>
          <w:p w14:paraId="7B2215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shd w:val="clear" w:color="auto" w:fill="FFFFFF"/>
            <w:vAlign w:val="center"/>
          </w:tcPr>
          <w:p w14:paraId="659CD09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0,8%</w:t>
            </w:r>
          </w:p>
        </w:tc>
      </w:tr>
      <w:tr w:rsidR="005D5F2D" w:rsidRPr="00FF5D72" w14:paraId="5923364F" w14:textId="77777777" w:rsidTr="00840CCD">
        <w:trPr>
          <w:cantSplit/>
          <w:trHeight w:val="454"/>
        </w:trPr>
        <w:tc>
          <w:tcPr>
            <w:tcW w:w="426" w:type="dxa"/>
            <w:shd w:val="clear" w:color="auto" w:fill="FFFFFF"/>
            <w:vAlign w:val="center"/>
          </w:tcPr>
          <w:p w14:paraId="73F69876" w14:textId="46F41F7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w:t>
            </w:r>
            <w:r w:rsidR="00927B9E">
              <w:rPr>
                <w:rFonts w:asciiTheme="minorHAnsi" w:hAnsiTheme="minorHAnsi" w:cstheme="minorHAnsi"/>
                <w:szCs w:val="16"/>
              </w:rPr>
              <w:t>.</w:t>
            </w:r>
          </w:p>
        </w:tc>
        <w:tc>
          <w:tcPr>
            <w:tcW w:w="1560" w:type="dxa"/>
            <w:shd w:val="clear" w:color="auto" w:fill="FFFFFF"/>
            <w:vAlign w:val="center"/>
          </w:tcPr>
          <w:p w14:paraId="5643D8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pH</w:t>
            </w:r>
          </w:p>
        </w:tc>
        <w:tc>
          <w:tcPr>
            <w:tcW w:w="992" w:type="dxa"/>
            <w:shd w:val="clear" w:color="auto" w:fill="FFFFFF"/>
            <w:vAlign w:val="center"/>
          </w:tcPr>
          <w:p w14:paraId="03C58928" w14:textId="5BA35AFA"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1559" w:type="dxa"/>
            <w:shd w:val="clear" w:color="auto" w:fill="FFFFFF"/>
            <w:vAlign w:val="center"/>
          </w:tcPr>
          <w:p w14:paraId="4C2B69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Potencjometryczna</w:t>
            </w:r>
          </w:p>
        </w:tc>
        <w:tc>
          <w:tcPr>
            <w:tcW w:w="992" w:type="dxa"/>
            <w:shd w:val="clear" w:color="auto" w:fill="FFFFFF"/>
            <w:vAlign w:val="center"/>
          </w:tcPr>
          <w:p w14:paraId="3884904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50A040C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PB-01 Edycja 10 z 20/01/2020</w:t>
            </w:r>
          </w:p>
        </w:tc>
        <w:tc>
          <w:tcPr>
            <w:tcW w:w="992" w:type="dxa"/>
            <w:shd w:val="clear" w:color="auto" w:fill="FFFFFF"/>
            <w:vAlign w:val="center"/>
          </w:tcPr>
          <w:p w14:paraId="2EE2AAC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±0,20 jednostki</w:t>
            </w:r>
          </w:p>
        </w:tc>
        <w:tc>
          <w:tcPr>
            <w:tcW w:w="993" w:type="dxa"/>
            <w:shd w:val="clear" w:color="auto" w:fill="FFFFFF"/>
            <w:vAlign w:val="center"/>
          </w:tcPr>
          <w:p w14:paraId="48BD5D0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0,06 jednostki</w:t>
            </w:r>
          </w:p>
        </w:tc>
        <w:tc>
          <w:tcPr>
            <w:tcW w:w="992" w:type="dxa"/>
            <w:shd w:val="clear" w:color="auto" w:fill="FFFFFF"/>
            <w:vAlign w:val="center"/>
          </w:tcPr>
          <w:p w14:paraId="23A6576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2,00</w:t>
            </w:r>
          </w:p>
        </w:tc>
        <w:tc>
          <w:tcPr>
            <w:tcW w:w="1276" w:type="dxa"/>
            <w:gridSpan w:val="2"/>
            <w:shd w:val="clear" w:color="auto" w:fill="FFFFFF"/>
            <w:vAlign w:val="center"/>
          </w:tcPr>
          <w:p w14:paraId="3F746C1A" w14:textId="27FAC21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6,50</w:t>
            </w:r>
            <w:r w:rsidR="006C4947">
              <w:rPr>
                <w:rFonts w:asciiTheme="minorHAnsi" w:hAnsiTheme="minorHAnsi" w:cstheme="minorHAnsi"/>
                <w:szCs w:val="16"/>
              </w:rPr>
              <w:t>-</w:t>
            </w:r>
            <w:r w:rsidRPr="00FF5D72">
              <w:rPr>
                <w:rFonts w:asciiTheme="minorHAnsi" w:hAnsiTheme="minorHAnsi" w:cstheme="minorHAnsi"/>
                <w:szCs w:val="16"/>
              </w:rPr>
              <w:t>9,50</w:t>
            </w:r>
          </w:p>
        </w:tc>
        <w:tc>
          <w:tcPr>
            <w:tcW w:w="843" w:type="dxa"/>
            <w:shd w:val="clear" w:color="auto" w:fill="FFFFFF"/>
            <w:vAlign w:val="center"/>
          </w:tcPr>
          <w:p w14:paraId="7063FF2E" w14:textId="4314CC6C"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851" w:type="dxa"/>
            <w:shd w:val="clear" w:color="auto" w:fill="FFFFFF"/>
            <w:vAlign w:val="center"/>
          </w:tcPr>
          <w:p w14:paraId="47416A77" w14:textId="0FF31D22"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974" w:type="dxa"/>
            <w:shd w:val="clear" w:color="auto" w:fill="FFFFFF"/>
            <w:vAlign w:val="center"/>
          </w:tcPr>
          <w:p w14:paraId="339E40A8" w14:textId="7CB16948"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r>
      <w:tr w:rsidR="005D5F2D" w:rsidRPr="00FF5D72" w14:paraId="675D0930" w14:textId="77777777" w:rsidTr="00840CCD">
        <w:trPr>
          <w:cantSplit/>
          <w:trHeight w:val="255"/>
        </w:trPr>
        <w:tc>
          <w:tcPr>
            <w:tcW w:w="426" w:type="dxa"/>
            <w:shd w:val="clear" w:color="auto" w:fill="FFFFFF"/>
            <w:vAlign w:val="center"/>
          </w:tcPr>
          <w:p w14:paraId="36E76744" w14:textId="1E68961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w:t>
            </w:r>
            <w:r w:rsidR="00927B9E">
              <w:rPr>
                <w:rFonts w:asciiTheme="minorHAnsi" w:hAnsiTheme="minorHAnsi" w:cstheme="minorHAnsi"/>
                <w:szCs w:val="16"/>
              </w:rPr>
              <w:t>.</w:t>
            </w:r>
          </w:p>
        </w:tc>
        <w:tc>
          <w:tcPr>
            <w:tcW w:w="1560" w:type="dxa"/>
            <w:shd w:val="clear" w:color="auto" w:fill="FFFFFF"/>
            <w:vAlign w:val="center"/>
          </w:tcPr>
          <w:p w14:paraId="66716B2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pH </w:t>
            </w:r>
            <w:r w:rsidRPr="00FF5D72">
              <w:rPr>
                <w:rFonts w:asciiTheme="minorHAnsi" w:hAnsiTheme="minorHAnsi" w:cstheme="minorHAnsi"/>
                <w:szCs w:val="16"/>
              </w:rPr>
              <w:br/>
              <w:t>(pomiar in situ podczas pobierania próbek)</w:t>
            </w:r>
          </w:p>
        </w:tc>
        <w:tc>
          <w:tcPr>
            <w:tcW w:w="992" w:type="dxa"/>
            <w:shd w:val="clear" w:color="auto" w:fill="FFFFFF"/>
            <w:vAlign w:val="center"/>
          </w:tcPr>
          <w:p w14:paraId="28279925" w14:textId="24E60223"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1559" w:type="dxa"/>
            <w:shd w:val="clear" w:color="auto" w:fill="FFFFFF"/>
            <w:vAlign w:val="center"/>
          </w:tcPr>
          <w:p w14:paraId="122AF73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Potencjometryczna</w:t>
            </w:r>
          </w:p>
        </w:tc>
        <w:tc>
          <w:tcPr>
            <w:tcW w:w="992" w:type="dxa"/>
            <w:shd w:val="clear" w:color="auto" w:fill="FFFFFF"/>
            <w:vAlign w:val="center"/>
          </w:tcPr>
          <w:p w14:paraId="155A93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4ECB41E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PN-EN ISO 10523:2012</w:t>
            </w:r>
          </w:p>
        </w:tc>
        <w:tc>
          <w:tcPr>
            <w:tcW w:w="992" w:type="dxa"/>
            <w:shd w:val="clear" w:color="auto" w:fill="FFFFFF"/>
            <w:vAlign w:val="center"/>
          </w:tcPr>
          <w:p w14:paraId="66AB86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±0,20 jednostki</w:t>
            </w:r>
          </w:p>
        </w:tc>
        <w:tc>
          <w:tcPr>
            <w:tcW w:w="993" w:type="dxa"/>
            <w:shd w:val="clear" w:color="auto" w:fill="FFFFFF"/>
            <w:vAlign w:val="center"/>
          </w:tcPr>
          <w:p w14:paraId="5D5B1D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0,03 jednostki</w:t>
            </w:r>
          </w:p>
        </w:tc>
        <w:tc>
          <w:tcPr>
            <w:tcW w:w="992" w:type="dxa"/>
            <w:shd w:val="clear" w:color="auto" w:fill="FFFFFF"/>
            <w:vAlign w:val="center"/>
          </w:tcPr>
          <w:p w14:paraId="0B81D2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2,00</w:t>
            </w:r>
          </w:p>
        </w:tc>
        <w:tc>
          <w:tcPr>
            <w:tcW w:w="1276" w:type="dxa"/>
            <w:gridSpan w:val="2"/>
            <w:shd w:val="clear" w:color="auto" w:fill="FFFFFF"/>
            <w:vAlign w:val="center"/>
          </w:tcPr>
          <w:p w14:paraId="0E7532F3" w14:textId="39E6C0F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6,50</w:t>
            </w:r>
            <w:r w:rsidR="006C4947">
              <w:rPr>
                <w:rFonts w:asciiTheme="minorHAnsi" w:hAnsiTheme="minorHAnsi" w:cstheme="minorHAnsi"/>
                <w:szCs w:val="16"/>
              </w:rPr>
              <w:t>-</w:t>
            </w:r>
            <w:r w:rsidRPr="00FF5D72">
              <w:rPr>
                <w:rFonts w:asciiTheme="minorHAnsi" w:hAnsiTheme="minorHAnsi" w:cstheme="minorHAnsi"/>
                <w:szCs w:val="16"/>
              </w:rPr>
              <w:t>9,50</w:t>
            </w:r>
          </w:p>
        </w:tc>
        <w:tc>
          <w:tcPr>
            <w:tcW w:w="843" w:type="dxa"/>
            <w:shd w:val="clear" w:color="auto" w:fill="FFFFFF"/>
            <w:vAlign w:val="center"/>
          </w:tcPr>
          <w:p w14:paraId="41303B77" w14:textId="2F09EAF8"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851" w:type="dxa"/>
            <w:shd w:val="clear" w:color="auto" w:fill="FFFFFF"/>
            <w:vAlign w:val="center"/>
          </w:tcPr>
          <w:p w14:paraId="72661DFE" w14:textId="2FF3978E"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974" w:type="dxa"/>
            <w:shd w:val="clear" w:color="auto" w:fill="FFFFFF"/>
            <w:vAlign w:val="center"/>
          </w:tcPr>
          <w:p w14:paraId="52998A57" w14:textId="3D20D762"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r>
      <w:tr w:rsidR="005D5F2D" w:rsidRPr="00FF5D72" w14:paraId="252E2749" w14:textId="77777777" w:rsidTr="00744432">
        <w:trPr>
          <w:cantSplit/>
          <w:trHeight w:val="454"/>
        </w:trPr>
        <w:tc>
          <w:tcPr>
            <w:tcW w:w="426" w:type="dxa"/>
            <w:shd w:val="clear" w:color="auto" w:fill="FFFFFF"/>
            <w:vAlign w:val="center"/>
          </w:tcPr>
          <w:p w14:paraId="7736719E" w14:textId="2D52B31E"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w:t>
            </w:r>
            <w:r w:rsidR="00927B9E">
              <w:rPr>
                <w:rFonts w:asciiTheme="minorHAnsi" w:hAnsiTheme="minorHAnsi" w:cstheme="minorHAnsi"/>
                <w:szCs w:val="16"/>
              </w:rPr>
              <w:t>.</w:t>
            </w:r>
          </w:p>
        </w:tc>
        <w:tc>
          <w:tcPr>
            <w:tcW w:w="1560" w:type="dxa"/>
            <w:shd w:val="clear" w:color="auto" w:fill="FFFFFF"/>
            <w:vAlign w:val="center"/>
          </w:tcPr>
          <w:p w14:paraId="7EB1AB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Ogólny węgiel organiczny</w:t>
            </w:r>
          </w:p>
        </w:tc>
        <w:tc>
          <w:tcPr>
            <w:tcW w:w="992" w:type="dxa"/>
            <w:shd w:val="clear" w:color="auto" w:fill="FFFFFF"/>
            <w:vAlign w:val="center"/>
          </w:tcPr>
          <w:p w14:paraId="011D11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[mgC/l]</w:t>
            </w:r>
          </w:p>
        </w:tc>
        <w:tc>
          <w:tcPr>
            <w:tcW w:w="1559" w:type="dxa"/>
            <w:shd w:val="clear" w:color="auto" w:fill="auto"/>
            <w:vAlign w:val="center"/>
          </w:tcPr>
          <w:p w14:paraId="53238F2A"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Spektrofotometryczna</w:t>
            </w:r>
          </w:p>
        </w:tc>
        <w:tc>
          <w:tcPr>
            <w:tcW w:w="992" w:type="dxa"/>
            <w:shd w:val="clear" w:color="auto" w:fill="FFFFFF"/>
            <w:vAlign w:val="center"/>
          </w:tcPr>
          <w:p w14:paraId="163812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002F7DA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PB-09 Edycja 7 z 20/01/2020</w:t>
            </w:r>
          </w:p>
        </w:tc>
        <w:tc>
          <w:tcPr>
            <w:tcW w:w="992" w:type="dxa"/>
            <w:shd w:val="clear" w:color="auto" w:fill="FFFFFF"/>
            <w:vAlign w:val="center"/>
          </w:tcPr>
          <w:p w14:paraId="38F487B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993" w:type="dxa"/>
            <w:shd w:val="clear" w:color="auto" w:fill="FFFFFF"/>
            <w:vAlign w:val="center"/>
          </w:tcPr>
          <w:p w14:paraId="1806A69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shd w:val="clear" w:color="auto" w:fill="FFFFFF"/>
            <w:vAlign w:val="center"/>
          </w:tcPr>
          <w:p w14:paraId="52309D9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276" w:type="dxa"/>
            <w:gridSpan w:val="2"/>
            <w:shd w:val="clear" w:color="auto" w:fill="FFFFFF"/>
            <w:vAlign w:val="center"/>
          </w:tcPr>
          <w:p w14:paraId="2E1A2A9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843" w:type="dxa"/>
            <w:shd w:val="clear" w:color="auto" w:fill="FFFFFF"/>
            <w:vAlign w:val="center"/>
          </w:tcPr>
          <w:p w14:paraId="3CE14F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shd w:val="clear" w:color="auto" w:fill="FFFFFF"/>
            <w:vAlign w:val="center"/>
          </w:tcPr>
          <w:p w14:paraId="2AA48DA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shd w:val="clear" w:color="auto" w:fill="FFFFFF"/>
            <w:vAlign w:val="center"/>
          </w:tcPr>
          <w:p w14:paraId="05DA5CF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D5F2D" w:rsidRPr="00FF5D72" w14:paraId="17B9C17B" w14:textId="77777777" w:rsidTr="00840CCD">
        <w:trPr>
          <w:cantSplit/>
          <w:trHeight w:val="255"/>
        </w:trPr>
        <w:tc>
          <w:tcPr>
            <w:tcW w:w="426" w:type="dxa"/>
            <w:shd w:val="clear" w:color="auto" w:fill="FFFFFF"/>
            <w:vAlign w:val="center"/>
          </w:tcPr>
          <w:p w14:paraId="76A5D908" w14:textId="58AE59A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r w:rsidR="00927B9E">
              <w:rPr>
                <w:rFonts w:asciiTheme="minorHAnsi" w:hAnsiTheme="minorHAnsi" w:cstheme="minorHAnsi"/>
                <w:szCs w:val="16"/>
              </w:rPr>
              <w:t>.</w:t>
            </w:r>
          </w:p>
        </w:tc>
        <w:tc>
          <w:tcPr>
            <w:tcW w:w="1560" w:type="dxa"/>
            <w:shd w:val="clear" w:color="auto" w:fill="FFFFFF"/>
            <w:vAlign w:val="center"/>
          </w:tcPr>
          <w:p w14:paraId="53840C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Temperatura</w:t>
            </w:r>
            <w:r w:rsidRPr="00FF5D72">
              <w:rPr>
                <w:rFonts w:asciiTheme="minorHAnsi" w:hAnsiTheme="minorHAnsi" w:cstheme="minorHAnsi"/>
                <w:szCs w:val="16"/>
              </w:rPr>
              <w:br/>
              <w:t>(pomiar in situ podczas pobierania próbek)</w:t>
            </w:r>
          </w:p>
        </w:tc>
        <w:tc>
          <w:tcPr>
            <w:tcW w:w="992" w:type="dxa"/>
            <w:shd w:val="clear" w:color="auto" w:fill="FFFFFF"/>
            <w:vAlign w:val="center"/>
          </w:tcPr>
          <w:p w14:paraId="0BF2C3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w:t>
            </w:r>
          </w:p>
        </w:tc>
        <w:tc>
          <w:tcPr>
            <w:tcW w:w="1559" w:type="dxa"/>
            <w:shd w:val="clear" w:color="auto" w:fill="auto"/>
            <w:vAlign w:val="center"/>
          </w:tcPr>
          <w:p w14:paraId="7B4079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Termometria</w:t>
            </w:r>
          </w:p>
        </w:tc>
        <w:tc>
          <w:tcPr>
            <w:tcW w:w="992" w:type="dxa"/>
            <w:shd w:val="clear" w:color="auto" w:fill="FFFFFF"/>
            <w:vAlign w:val="center"/>
          </w:tcPr>
          <w:p w14:paraId="738BA15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4EB8E09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PN-C-04584:1977</w:t>
            </w:r>
          </w:p>
          <w:p w14:paraId="258DE3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(norma wycofana)</w:t>
            </w:r>
          </w:p>
        </w:tc>
        <w:tc>
          <w:tcPr>
            <w:tcW w:w="992" w:type="dxa"/>
            <w:shd w:val="clear" w:color="auto" w:fill="FFFFFF"/>
            <w:vAlign w:val="center"/>
          </w:tcPr>
          <w:p w14:paraId="4F68A6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±0,3°C</w:t>
            </w:r>
          </w:p>
        </w:tc>
        <w:tc>
          <w:tcPr>
            <w:tcW w:w="993" w:type="dxa"/>
            <w:shd w:val="clear" w:color="auto" w:fill="FFFFFF"/>
            <w:vAlign w:val="center"/>
          </w:tcPr>
          <w:p w14:paraId="7CD31D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0,2°C</w:t>
            </w:r>
          </w:p>
        </w:tc>
        <w:tc>
          <w:tcPr>
            <w:tcW w:w="992" w:type="dxa"/>
            <w:shd w:val="clear" w:color="auto" w:fill="FFFFFF"/>
            <w:vAlign w:val="center"/>
          </w:tcPr>
          <w:p w14:paraId="4A2AFE7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4°C</w:t>
            </w:r>
          </w:p>
        </w:tc>
        <w:tc>
          <w:tcPr>
            <w:tcW w:w="1276" w:type="dxa"/>
            <w:gridSpan w:val="2"/>
            <w:shd w:val="clear" w:color="auto" w:fill="FFFFFF"/>
            <w:vAlign w:val="center"/>
          </w:tcPr>
          <w:p w14:paraId="6E70EFA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16</w:t>
            </w:r>
          </w:p>
        </w:tc>
        <w:tc>
          <w:tcPr>
            <w:tcW w:w="843" w:type="dxa"/>
            <w:shd w:val="clear" w:color="auto" w:fill="FFFFFF"/>
            <w:vAlign w:val="center"/>
          </w:tcPr>
          <w:p w14:paraId="7DA78E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shd w:val="clear" w:color="auto" w:fill="FFFFFF"/>
            <w:vAlign w:val="center"/>
          </w:tcPr>
          <w:p w14:paraId="20137A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shd w:val="clear" w:color="auto" w:fill="FFFFFF"/>
            <w:vAlign w:val="center"/>
          </w:tcPr>
          <w:p w14:paraId="263D46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r>
      <w:tr w:rsidR="005D5F2D" w:rsidRPr="00FF5D72" w14:paraId="4F0B01CE" w14:textId="77777777" w:rsidTr="00840CCD">
        <w:trPr>
          <w:cantSplit/>
          <w:trHeight w:val="255"/>
        </w:trPr>
        <w:tc>
          <w:tcPr>
            <w:tcW w:w="426" w:type="dxa"/>
            <w:shd w:val="clear" w:color="auto" w:fill="FFFFFF"/>
            <w:vAlign w:val="center"/>
          </w:tcPr>
          <w:p w14:paraId="4C4047B3" w14:textId="33B2D1C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w:t>
            </w:r>
            <w:r w:rsidR="00927B9E">
              <w:rPr>
                <w:rFonts w:asciiTheme="minorHAnsi" w:hAnsiTheme="minorHAnsi" w:cstheme="minorHAnsi"/>
                <w:szCs w:val="16"/>
              </w:rPr>
              <w:t>.</w:t>
            </w:r>
          </w:p>
        </w:tc>
        <w:tc>
          <w:tcPr>
            <w:tcW w:w="1560" w:type="dxa"/>
            <w:shd w:val="clear" w:color="auto" w:fill="FFFFFF"/>
            <w:vAlign w:val="center"/>
          </w:tcPr>
          <w:p w14:paraId="590B8A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Tlen rozpuszczony (pomiar in situ podczas pobierania próbek)</w:t>
            </w:r>
          </w:p>
        </w:tc>
        <w:tc>
          <w:tcPr>
            <w:tcW w:w="992" w:type="dxa"/>
            <w:shd w:val="clear" w:color="auto" w:fill="FFFFFF"/>
            <w:vAlign w:val="center"/>
          </w:tcPr>
          <w:p w14:paraId="2AD990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shd w:val="clear" w:color="auto" w:fill="FFFFFF"/>
            <w:vAlign w:val="center"/>
          </w:tcPr>
          <w:p w14:paraId="778D368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Elektrochemiczna</w:t>
            </w:r>
          </w:p>
        </w:tc>
        <w:tc>
          <w:tcPr>
            <w:tcW w:w="992" w:type="dxa"/>
            <w:shd w:val="clear" w:color="auto" w:fill="FFFFFF"/>
            <w:vAlign w:val="center"/>
          </w:tcPr>
          <w:p w14:paraId="7F7146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80937-33-3</w:t>
            </w:r>
          </w:p>
        </w:tc>
        <w:tc>
          <w:tcPr>
            <w:tcW w:w="2410" w:type="dxa"/>
            <w:shd w:val="clear" w:color="auto" w:fill="FFFFFF"/>
            <w:vAlign w:val="center"/>
          </w:tcPr>
          <w:p w14:paraId="37A055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ZPPŚ PB-201 Edycja 3 z 01/03/2020</w:t>
            </w:r>
          </w:p>
          <w:p w14:paraId="1CF7F4C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shd w:val="clear" w:color="auto" w:fill="FFFFFF"/>
            <w:vAlign w:val="center"/>
          </w:tcPr>
          <w:p w14:paraId="6F774DC3" w14:textId="18FDCCB8"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993" w:type="dxa"/>
            <w:shd w:val="clear" w:color="auto" w:fill="FFFFFF"/>
            <w:vAlign w:val="center"/>
          </w:tcPr>
          <w:p w14:paraId="4EEF24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2" w:type="dxa"/>
            <w:shd w:val="clear" w:color="auto" w:fill="FFFFFF"/>
            <w:vAlign w:val="center"/>
          </w:tcPr>
          <w:p w14:paraId="474EB98A" w14:textId="7FC739B5"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1276" w:type="dxa"/>
            <w:gridSpan w:val="2"/>
            <w:shd w:val="clear" w:color="auto" w:fill="FFFFFF"/>
            <w:vAlign w:val="center"/>
          </w:tcPr>
          <w:p w14:paraId="3230BA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&lt;0,5</w:t>
            </w:r>
          </w:p>
        </w:tc>
        <w:tc>
          <w:tcPr>
            <w:tcW w:w="843" w:type="dxa"/>
            <w:shd w:val="clear" w:color="auto" w:fill="FFFFFF"/>
            <w:vAlign w:val="center"/>
          </w:tcPr>
          <w:p w14:paraId="126F9266" w14:textId="2A87F167"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851" w:type="dxa"/>
            <w:shd w:val="clear" w:color="auto" w:fill="FFFFFF"/>
            <w:vAlign w:val="center"/>
          </w:tcPr>
          <w:p w14:paraId="5D501AFC" w14:textId="3C44D6EF"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c>
          <w:tcPr>
            <w:tcW w:w="974" w:type="dxa"/>
            <w:shd w:val="clear" w:color="auto" w:fill="FFFFFF"/>
            <w:vAlign w:val="center"/>
          </w:tcPr>
          <w:p w14:paraId="65281DC5" w14:textId="37F6527C" w:rsidR="005330B5" w:rsidRPr="00FF5D72" w:rsidRDefault="00927B9E" w:rsidP="00840CCD">
            <w:pPr>
              <w:pStyle w:val="TabelaRaport"/>
              <w:rPr>
                <w:rFonts w:asciiTheme="minorHAnsi" w:hAnsiTheme="minorHAnsi" w:cstheme="minorHAnsi"/>
                <w:szCs w:val="16"/>
              </w:rPr>
            </w:pPr>
            <w:r>
              <w:rPr>
                <w:rFonts w:asciiTheme="minorHAnsi" w:hAnsiTheme="minorHAnsi" w:cstheme="minorHAnsi"/>
                <w:szCs w:val="16"/>
              </w:rPr>
              <w:t>-</w:t>
            </w:r>
          </w:p>
        </w:tc>
      </w:tr>
      <w:tr w:rsidR="00C8729D" w:rsidRPr="00FF5D72" w14:paraId="67D00776" w14:textId="77777777" w:rsidTr="00840CCD">
        <w:trPr>
          <w:cantSplit/>
          <w:trHeight w:val="454"/>
        </w:trPr>
        <w:tc>
          <w:tcPr>
            <w:tcW w:w="14860" w:type="dxa"/>
            <w:gridSpan w:val="14"/>
            <w:shd w:val="clear" w:color="auto" w:fill="A6A6A6" w:themeFill="background1" w:themeFillShade="A6"/>
            <w:vAlign w:val="center"/>
          </w:tcPr>
          <w:p w14:paraId="7451239C" w14:textId="77777777" w:rsidR="005330B5" w:rsidRPr="00FF5D72" w:rsidRDefault="005330B5" w:rsidP="00064055">
            <w:pPr>
              <w:pStyle w:val="TabelaRaport"/>
              <w:keepNext/>
              <w:ind w:hanging="68"/>
              <w:rPr>
                <w:rFonts w:asciiTheme="minorHAnsi" w:hAnsiTheme="minorHAnsi" w:cstheme="minorHAnsi"/>
                <w:szCs w:val="16"/>
              </w:rPr>
            </w:pPr>
            <w:r w:rsidRPr="00FF5D72">
              <w:rPr>
                <w:rFonts w:asciiTheme="minorHAnsi" w:hAnsiTheme="minorHAnsi" w:cstheme="minorHAnsi"/>
                <w:szCs w:val="16"/>
              </w:rPr>
              <w:t>Elementy nieorganiczne</w:t>
            </w:r>
          </w:p>
        </w:tc>
      </w:tr>
      <w:tr w:rsidR="005330B5" w:rsidRPr="00FF5D72" w14:paraId="0A3B2C80" w14:textId="77777777" w:rsidTr="00840CCD">
        <w:trPr>
          <w:cantSplit/>
          <w:trHeight w:val="454"/>
        </w:trPr>
        <w:tc>
          <w:tcPr>
            <w:tcW w:w="426" w:type="dxa"/>
            <w:vAlign w:val="center"/>
          </w:tcPr>
          <w:p w14:paraId="32BB3A5F" w14:textId="6E27C01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w:t>
            </w:r>
            <w:r w:rsidR="00927B9E">
              <w:rPr>
                <w:rFonts w:asciiTheme="minorHAnsi" w:hAnsiTheme="minorHAnsi" w:cstheme="minorHAnsi"/>
                <w:szCs w:val="16"/>
              </w:rPr>
              <w:t>.</w:t>
            </w:r>
          </w:p>
        </w:tc>
        <w:tc>
          <w:tcPr>
            <w:tcW w:w="1560" w:type="dxa"/>
            <w:vAlign w:val="center"/>
          </w:tcPr>
          <w:p w14:paraId="53BB15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Amonowy jon</w:t>
            </w:r>
          </w:p>
        </w:tc>
        <w:tc>
          <w:tcPr>
            <w:tcW w:w="992" w:type="dxa"/>
            <w:vAlign w:val="center"/>
          </w:tcPr>
          <w:p w14:paraId="4B3C169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[mgNH</w:t>
            </w:r>
            <w:r w:rsidRPr="00FF5D72">
              <w:rPr>
                <w:rFonts w:asciiTheme="minorHAnsi" w:hAnsiTheme="minorHAnsi" w:cstheme="minorHAnsi"/>
                <w:szCs w:val="16"/>
                <w:vertAlign w:val="subscript"/>
              </w:rPr>
              <w:t>4</w:t>
            </w:r>
            <w:r w:rsidRPr="00FF5D72">
              <w:rPr>
                <w:rFonts w:asciiTheme="minorHAnsi" w:hAnsiTheme="minorHAnsi" w:cstheme="minorHAnsi"/>
                <w:szCs w:val="16"/>
              </w:rPr>
              <w:t>/l]</w:t>
            </w:r>
          </w:p>
        </w:tc>
        <w:tc>
          <w:tcPr>
            <w:tcW w:w="1559" w:type="dxa"/>
            <w:vAlign w:val="center"/>
          </w:tcPr>
          <w:p w14:paraId="5B3AAE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Spektrofotometryczna</w:t>
            </w:r>
          </w:p>
        </w:tc>
        <w:tc>
          <w:tcPr>
            <w:tcW w:w="992" w:type="dxa"/>
            <w:vAlign w:val="center"/>
          </w:tcPr>
          <w:p w14:paraId="754F52D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80007-57-6</w:t>
            </w:r>
          </w:p>
        </w:tc>
        <w:tc>
          <w:tcPr>
            <w:tcW w:w="2410" w:type="dxa"/>
            <w:vAlign w:val="center"/>
          </w:tcPr>
          <w:p w14:paraId="7F2AFB4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color w:val="FF0000"/>
                <w:szCs w:val="16"/>
              </w:rPr>
              <w:br/>
            </w:r>
            <w:r w:rsidRPr="00FF5D72">
              <w:rPr>
                <w:rFonts w:asciiTheme="minorHAnsi" w:hAnsiTheme="minorHAnsi" w:cstheme="minorHAnsi"/>
                <w:szCs w:val="16"/>
              </w:rPr>
              <w:t>PB-03 Edycja 9 z 20/01/2020</w:t>
            </w:r>
          </w:p>
        </w:tc>
        <w:tc>
          <w:tcPr>
            <w:tcW w:w="992" w:type="dxa"/>
            <w:vAlign w:val="center"/>
          </w:tcPr>
          <w:p w14:paraId="2EF754C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993" w:type="dxa"/>
            <w:vAlign w:val="center"/>
          </w:tcPr>
          <w:p w14:paraId="617BF2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6B0EC49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1276" w:type="dxa"/>
            <w:gridSpan w:val="2"/>
            <w:vAlign w:val="center"/>
          </w:tcPr>
          <w:p w14:paraId="30989BA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843" w:type="dxa"/>
            <w:vAlign w:val="center"/>
          </w:tcPr>
          <w:p w14:paraId="6998954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DA2F04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EE88B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3,3%</w:t>
            </w:r>
          </w:p>
        </w:tc>
      </w:tr>
      <w:tr w:rsidR="005330B5" w:rsidRPr="00FF5D72" w14:paraId="3B7ECE42" w14:textId="77777777" w:rsidTr="00840CCD">
        <w:trPr>
          <w:cantSplit/>
          <w:trHeight w:val="454"/>
        </w:trPr>
        <w:tc>
          <w:tcPr>
            <w:tcW w:w="426" w:type="dxa"/>
            <w:vAlign w:val="center"/>
          </w:tcPr>
          <w:p w14:paraId="1B26DCEE" w14:textId="060261D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r w:rsidR="00927B9E">
              <w:rPr>
                <w:rFonts w:asciiTheme="minorHAnsi" w:hAnsiTheme="minorHAnsi" w:cstheme="minorHAnsi"/>
                <w:szCs w:val="16"/>
              </w:rPr>
              <w:t>.</w:t>
            </w:r>
          </w:p>
        </w:tc>
        <w:tc>
          <w:tcPr>
            <w:tcW w:w="1560" w:type="dxa"/>
            <w:vAlign w:val="center"/>
          </w:tcPr>
          <w:p w14:paraId="3CF6534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Antymon</w:t>
            </w:r>
          </w:p>
        </w:tc>
        <w:tc>
          <w:tcPr>
            <w:tcW w:w="992" w:type="dxa"/>
            <w:vAlign w:val="center"/>
          </w:tcPr>
          <w:p w14:paraId="50E69D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[mgSb/l]</w:t>
            </w:r>
          </w:p>
        </w:tc>
        <w:tc>
          <w:tcPr>
            <w:tcW w:w="1559" w:type="dxa"/>
            <w:vAlign w:val="center"/>
          </w:tcPr>
          <w:p w14:paraId="3A3C7EA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3DD356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35734-21-5</w:t>
            </w:r>
          </w:p>
        </w:tc>
        <w:tc>
          <w:tcPr>
            <w:tcW w:w="2410" w:type="dxa"/>
            <w:vAlign w:val="center"/>
          </w:tcPr>
          <w:p w14:paraId="6FAF64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36B953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7EC5141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699F9D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2B6463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0,005</w:t>
            </w:r>
          </w:p>
        </w:tc>
        <w:tc>
          <w:tcPr>
            <w:tcW w:w="843" w:type="dxa"/>
            <w:vAlign w:val="center"/>
          </w:tcPr>
          <w:p w14:paraId="453BD6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3968F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2002B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r>
      <w:tr w:rsidR="005330B5" w:rsidRPr="00FF5D72" w14:paraId="2C1BAB51" w14:textId="77777777" w:rsidTr="00840CCD">
        <w:trPr>
          <w:cantSplit/>
          <w:trHeight w:val="454"/>
        </w:trPr>
        <w:tc>
          <w:tcPr>
            <w:tcW w:w="426" w:type="dxa"/>
            <w:vAlign w:val="center"/>
          </w:tcPr>
          <w:p w14:paraId="0ABB8E59" w14:textId="24715E30"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r w:rsidR="00927B9E">
              <w:rPr>
                <w:rFonts w:asciiTheme="minorHAnsi" w:hAnsiTheme="minorHAnsi" w:cstheme="minorHAnsi"/>
                <w:szCs w:val="16"/>
              </w:rPr>
              <w:t>.</w:t>
            </w:r>
          </w:p>
        </w:tc>
        <w:tc>
          <w:tcPr>
            <w:tcW w:w="1560" w:type="dxa"/>
            <w:vAlign w:val="center"/>
          </w:tcPr>
          <w:p w14:paraId="5850B40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Arsen</w:t>
            </w:r>
          </w:p>
        </w:tc>
        <w:tc>
          <w:tcPr>
            <w:tcW w:w="992" w:type="dxa"/>
            <w:vAlign w:val="center"/>
          </w:tcPr>
          <w:p w14:paraId="2B17B6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[mgAs/l]</w:t>
            </w:r>
          </w:p>
        </w:tc>
        <w:tc>
          <w:tcPr>
            <w:tcW w:w="1559" w:type="dxa"/>
            <w:vAlign w:val="center"/>
          </w:tcPr>
          <w:p w14:paraId="47D287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72B3A96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7440-38-2</w:t>
            </w:r>
          </w:p>
        </w:tc>
        <w:tc>
          <w:tcPr>
            <w:tcW w:w="2410" w:type="dxa"/>
            <w:vAlign w:val="center"/>
          </w:tcPr>
          <w:p w14:paraId="7176355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5EE87C7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17FB5D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212FD56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0,002</w:t>
            </w:r>
          </w:p>
        </w:tc>
        <w:tc>
          <w:tcPr>
            <w:tcW w:w="1276" w:type="dxa"/>
            <w:gridSpan w:val="2"/>
            <w:vAlign w:val="center"/>
          </w:tcPr>
          <w:p w14:paraId="431A05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0,02</w:t>
            </w:r>
          </w:p>
        </w:tc>
        <w:tc>
          <w:tcPr>
            <w:tcW w:w="843" w:type="dxa"/>
            <w:vAlign w:val="center"/>
          </w:tcPr>
          <w:p w14:paraId="584314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07D4D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2199F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0A0A53C0" w14:textId="77777777" w:rsidTr="00840CCD">
        <w:trPr>
          <w:cantSplit/>
          <w:trHeight w:val="454"/>
        </w:trPr>
        <w:tc>
          <w:tcPr>
            <w:tcW w:w="426" w:type="dxa"/>
            <w:vAlign w:val="center"/>
          </w:tcPr>
          <w:p w14:paraId="3C880650" w14:textId="2C37176E"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11</w:t>
            </w:r>
            <w:r w:rsidR="00927B9E">
              <w:rPr>
                <w:rFonts w:asciiTheme="minorHAnsi" w:hAnsiTheme="minorHAnsi" w:cstheme="minorHAnsi"/>
                <w:szCs w:val="16"/>
              </w:rPr>
              <w:t>.</w:t>
            </w:r>
          </w:p>
        </w:tc>
        <w:tc>
          <w:tcPr>
            <w:tcW w:w="1560" w:type="dxa"/>
            <w:vAlign w:val="center"/>
          </w:tcPr>
          <w:p w14:paraId="49670B4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Azotany</w:t>
            </w:r>
          </w:p>
        </w:tc>
        <w:tc>
          <w:tcPr>
            <w:tcW w:w="992" w:type="dxa"/>
            <w:vAlign w:val="center"/>
          </w:tcPr>
          <w:p w14:paraId="112838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[mgNO</w:t>
            </w:r>
            <w:r w:rsidRPr="00FF5D72">
              <w:rPr>
                <w:rFonts w:asciiTheme="minorHAnsi" w:hAnsiTheme="minorHAnsi" w:cstheme="minorHAnsi"/>
                <w:szCs w:val="16"/>
                <w:vertAlign w:val="subscript"/>
              </w:rPr>
              <w:t>3</w:t>
            </w:r>
            <w:r w:rsidRPr="00FF5D72">
              <w:rPr>
                <w:rFonts w:asciiTheme="minorHAnsi" w:hAnsiTheme="minorHAnsi" w:cstheme="minorHAnsi"/>
                <w:szCs w:val="16"/>
              </w:rPr>
              <w:t>/l]</w:t>
            </w:r>
          </w:p>
        </w:tc>
        <w:tc>
          <w:tcPr>
            <w:tcW w:w="1559" w:type="dxa"/>
            <w:vAlign w:val="center"/>
          </w:tcPr>
          <w:p w14:paraId="4F1019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37C06D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84145-82-4</w:t>
            </w:r>
          </w:p>
        </w:tc>
        <w:tc>
          <w:tcPr>
            <w:tcW w:w="2410" w:type="dxa"/>
            <w:vAlign w:val="center"/>
          </w:tcPr>
          <w:p w14:paraId="6C2FC2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7F4B59E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w:t>
            </w:r>
          </w:p>
        </w:tc>
        <w:tc>
          <w:tcPr>
            <w:tcW w:w="993" w:type="dxa"/>
            <w:vAlign w:val="center"/>
          </w:tcPr>
          <w:p w14:paraId="08C5000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992" w:type="dxa"/>
            <w:vAlign w:val="center"/>
          </w:tcPr>
          <w:p w14:paraId="089E27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1276" w:type="dxa"/>
            <w:gridSpan w:val="2"/>
            <w:vAlign w:val="center"/>
          </w:tcPr>
          <w:p w14:paraId="366858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50</w:t>
            </w:r>
          </w:p>
        </w:tc>
        <w:tc>
          <w:tcPr>
            <w:tcW w:w="843" w:type="dxa"/>
            <w:vAlign w:val="center"/>
          </w:tcPr>
          <w:p w14:paraId="5C0F7FF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9AD47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7A397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0,02%</w:t>
            </w:r>
          </w:p>
        </w:tc>
      </w:tr>
      <w:tr w:rsidR="005330B5" w:rsidRPr="00FF5D72" w14:paraId="604060D5" w14:textId="77777777" w:rsidTr="00840CCD">
        <w:trPr>
          <w:cantSplit/>
          <w:trHeight w:val="454"/>
        </w:trPr>
        <w:tc>
          <w:tcPr>
            <w:tcW w:w="426" w:type="dxa"/>
            <w:vAlign w:val="center"/>
          </w:tcPr>
          <w:p w14:paraId="493B9EE0" w14:textId="588A8F15"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w:t>
            </w:r>
            <w:r w:rsidR="00927B9E">
              <w:rPr>
                <w:rFonts w:asciiTheme="minorHAnsi" w:hAnsiTheme="minorHAnsi" w:cstheme="minorHAnsi"/>
                <w:szCs w:val="16"/>
              </w:rPr>
              <w:t>.</w:t>
            </w:r>
          </w:p>
        </w:tc>
        <w:tc>
          <w:tcPr>
            <w:tcW w:w="1560" w:type="dxa"/>
            <w:vAlign w:val="center"/>
          </w:tcPr>
          <w:p w14:paraId="0F4AE51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Azotyny</w:t>
            </w:r>
          </w:p>
        </w:tc>
        <w:tc>
          <w:tcPr>
            <w:tcW w:w="992" w:type="dxa"/>
            <w:vAlign w:val="center"/>
          </w:tcPr>
          <w:p w14:paraId="4742BA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[mgNO</w:t>
            </w:r>
            <w:r w:rsidRPr="00FF5D72">
              <w:rPr>
                <w:rFonts w:asciiTheme="minorHAnsi" w:hAnsiTheme="minorHAnsi" w:cstheme="minorHAnsi"/>
                <w:szCs w:val="16"/>
                <w:vertAlign w:val="subscript"/>
              </w:rPr>
              <w:t>2</w:t>
            </w:r>
            <w:r w:rsidRPr="00FF5D72">
              <w:rPr>
                <w:rFonts w:asciiTheme="minorHAnsi" w:hAnsiTheme="minorHAnsi" w:cstheme="minorHAnsi"/>
                <w:szCs w:val="16"/>
              </w:rPr>
              <w:t>/l]</w:t>
            </w:r>
          </w:p>
        </w:tc>
        <w:tc>
          <w:tcPr>
            <w:tcW w:w="1559" w:type="dxa"/>
            <w:vAlign w:val="center"/>
          </w:tcPr>
          <w:p w14:paraId="65F509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046A4F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14797-65-0</w:t>
            </w:r>
          </w:p>
        </w:tc>
        <w:tc>
          <w:tcPr>
            <w:tcW w:w="2410" w:type="dxa"/>
            <w:vAlign w:val="center"/>
          </w:tcPr>
          <w:p w14:paraId="7D752E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13814B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w:t>
            </w:r>
          </w:p>
        </w:tc>
        <w:tc>
          <w:tcPr>
            <w:tcW w:w="993" w:type="dxa"/>
            <w:vAlign w:val="center"/>
          </w:tcPr>
          <w:p w14:paraId="622C0F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992" w:type="dxa"/>
            <w:vAlign w:val="center"/>
          </w:tcPr>
          <w:p w14:paraId="4F6030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1276" w:type="dxa"/>
            <w:gridSpan w:val="2"/>
            <w:vAlign w:val="center"/>
          </w:tcPr>
          <w:p w14:paraId="382E0A5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0,5</w:t>
            </w:r>
          </w:p>
        </w:tc>
        <w:tc>
          <w:tcPr>
            <w:tcW w:w="843" w:type="dxa"/>
            <w:vAlign w:val="center"/>
          </w:tcPr>
          <w:p w14:paraId="594F1EB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B5A49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1BE65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w:t>
            </w:r>
          </w:p>
        </w:tc>
      </w:tr>
      <w:tr w:rsidR="005330B5" w:rsidRPr="00FF5D72" w14:paraId="0378D543" w14:textId="77777777" w:rsidTr="00840CCD">
        <w:trPr>
          <w:cantSplit/>
          <w:trHeight w:val="454"/>
        </w:trPr>
        <w:tc>
          <w:tcPr>
            <w:tcW w:w="426" w:type="dxa"/>
            <w:vAlign w:val="center"/>
          </w:tcPr>
          <w:p w14:paraId="20CFB7E1" w14:textId="569FF45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r w:rsidR="00927B9E">
              <w:rPr>
                <w:rFonts w:asciiTheme="minorHAnsi" w:hAnsiTheme="minorHAnsi" w:cstheme="minorHAnsi"/>
                <w:szCs w:val="16"/>
              </w:rPr>
              <w:t>.</w:t>
            </w:r>
          </w:p>
        </w:tc>
        <w:tc>
          <w:tcPr>
            <w:tcW w:w="1560" w:type="dxa"/>
            <w:vAlign w:val="center"/>
          </w:tcPr>
          <w:p w14:paraId="5BCDE6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Bor</w:t>
            </w:r>
          </w:p>
        </w:tc>
        <w:tc>
          <w:tcPr>
            <w:tcW w:w="992" w:type="dxa"/>
            <w:vAlign w:val="center"/>
          </w:tcPr>
          <w:p w14:paraId="051C9C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[mgB/l]</w:t>
            </w:r>
          </w:p>
        </w:tc>
        <w:tc>
          <w:tcPr>
            <w:tcW w:w="1559" w:type="dxa"/>
            <w:vAlign w:val="center"/>
          </w:tcPr>
          <w:p w14:paraId="35B1382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6AC534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7440-42-8</w:t>
            </w:r>
          </w:p>
        </w:tc>
        <w:tc>
          <w:tcPr>
            <w:tcW w:w="2410" w:type="dxa"/>
            <w:vAlign w:val="center"/>
          </w:tcPr>
          <w:p w14:paraId="2A741D8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439E914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353714B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1D22DA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1276" w:type="dxa"/>
            <w:gridSpan w:val="2"/>
            <w:vAlign w:val="center"/>
          </w:tcPr>
          <w:p w14:paraId="5D19739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843" w:type="dxa"/>
            <w:vAlign w:val="center"/>
          </w:tcPr>
          <w:p w14:paraId="3474A0B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945F7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C2F08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r>
      <w:tr w:rsidR="005330B5" w:rsidRPr="00FF5D72" w14:paraId="5C13FD85" w14:textId="77777777" w:rsidTr="00840CCD">
        <w:trPr>
          <w:cantSplit/>
          <w:trHeight w:val="454"/>
        </w:trPr>
        <w:tc>
          <w:tcPr>
            <w:tcW w:w="426" w:type="dxa"/>
            <w:vAlign w:val="center"/>
          </w:tcPr>
          <w:p w14:paraId="4D9A2EC6" w14:textId="516D940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w:t>
            </w:r>
            <w:r w:rsidR="00927B9E">
              <w:rPr>
                <w:rFonts w:asciiTheme="minorHAnsi" w:hAnsiTheme="minorHAnsi" w:cstheme="minorHAnsi"/>
                <w:szCs w:val="16"/>
              </w:rPr>
              <w:t>.</w:t>
            </w:r>
          </w:p>
        </w:tc>
        <w:tc>
          <w:tcPr>
            <w:tcW w:w="1560" w:type="dxa"/>
            <w:vAlign w:val="center"/>
          </w:tcPr>
          <w:p w14:paraId="2F014E0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Chlorki</w:t>
            </w:r>
          </w:p>
        </w:tc>
        <w:tc>
          <w:tcPr>
            <w:tcW w:w="992" w:type="dxa"/>
            <w:vAlign w:val="center"/>
          </w:tcPr>
          <w:p w14:paraId="601C26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[mgCl/l]</w:t>
            </w:r>
          </w:p>
        </w:tc>
        <w:tc>
          <w:tcPr>
            <w:tcW w:w="1559" w:type="dxa"/>
            <w:vAlign w:val="center"/>
          </w:tcPr>
          <w:p w14:paraId="3304D8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5C00BFE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vAlign w:val="center"/>
          </w:tcPr>
          <w:p w14:paraId="23CFA39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6FC2BB8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w:t>
            </w:r>
          </w:p>
        </w:tc>
        <w:tc>
          <w:tcPr>
            <w:tcW w:w="993" w:type="dxa"/>
            <w:vAlign w:val="center"/>
          </w:tcPr>
          <w:p w14:paraId="1CA2142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w:t>
            </w:r>
          </w:p>
        </w:tc>
        <w:tc>
          <w:tcPr>
            <w:tcW w:w="992" w:type="dxa"/>
            <w:vAlign w:val="center"/>
          </w:tcPr>
          <w:p w14:paraId="10ECB0E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0,50</w:t>
            </w:r>
          </w:p>
        </w:tc>
        <w:tc>
          <w:tcPr>
            <w:tcW w:w="1276" w:type="dxa"/>
            <w:gridSpan w:val="2"/>
            <w:vAlign w:val="center"/>
          </w:tcPr>
          <w:p w14:paraId="634A79D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250</w:t>
            </w:r>
          </w:p>
        </w:tc>
        <w:tc>
          <w:tcPr>
            <w:tcW w:w="843" w:type="dxa"/>
            <w:vAlign w:val="center"/>
          </w:tcPr>
          <w:p w14:paraId="3B31C9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015F35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5251E9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r>
      <w:tr w:rsidR="005330B5" w:rsidRPr="00FF5D72" w14:paraId="03052A14" w14:textId="77777777" w:rsidTr="00840CCD">
        <w:trPr>
          <w:cantSplit/>
          <w:trHeight w:val="454"/>
        </w:trPr>
        <w:tc>
          <w:tcPr>
            <w:tcW w:w="426" w:type="dxa"/>
            <w:vAlign w:val="center"/>
          </w:tcPr>
          <w:p w14:paraId="05F1BD4C" w14:textId="73D4DC5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r w:rsidR="00927B9E">
              <w:rPr>
                <w:rFonts w:asciiTheme="minorHAnsi" w:hAnsiTheme="minorHAnsi" w:cstheme="minorHAnsi"/>
                <w:szCs w:val="16"/>
              </w:rPr>
              <w:t>.</w:t>
            </w:r>
          </w:p>
        </w:tc>
        <w:tc>
          <w:tcPr>
            <w:tcW w:w="1560" w:type="dxa"/>
            <w:vAlign w:val="center"/>
          </w:tcPr>
          <w:p w14:paraId="25F7C8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Chrom</w:t>
            </w:r>
          </w:p>
        </w:tc>
        <w:tc>
          <w:tcPr>
            <w:tcW w:w="992" w:type="dxa"/>
            <w:vAlign w:val="center"/>
          </w:tcPr>
          <w:p w14:paraId="2DCA2F9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[mgCr/l]</w:t>
            </w:r>
          </w:p>
        </w:tc>
        <w:tc>
          <w:tcPr>
            <w:tcW w:w="1559" w:type="dxa"/>
            <w:vAlign w:val="center"/>
          </w:tcPr>
          <w:p w14:paraId="408FB2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63B552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7440-47-3</w:t>
            </w:r>
          </w:p>
        </w:tc>
        <w:tc>
          <w:tcPr>
            <w:tcW w:w="2410" w:type="dxa"/>
            <w:vAlign w:val="center"/>
          </w:tcPr>
          <w:p w14:paraId="3E1CAD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6D476E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685A7B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23659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0,003</w:t>
            </w:r>
          </w:p>
        </w:tc>
        <w:tc>
          <w:tcPr>
            <w:tcW w:w="1276" w:type="dxa"/>
            <w:gridSpan w:val="2"/>
            <w:vAlign w:val="center"/>
          </w:tcPr>
          <w:p w14:paraId="2A26B9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843" w:type="dxa"/>
            <w:vAlign w:val="center"/>
          </w:tcPr>
          <w:p w14:paraId="2AB913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9213B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AFB3A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p>
        </w:tc>
      </w:tr>
      <w:tr w:rsidR="005330B5" w:rsidRPr="00FF5D72" w14:paraId="3990FD73" w14:textId="77777777" w:rsidTr="00840CCD">
        <w:trPr>
          <w:cantSplit/>
          <w:trHeight w:val="388"/>
        </w:trPr>
        <w:tc>
          <w:tcPr>
            <w:tcW w:w="426" w:type="dxa"/>
            <w:vAlign w:val="center"/>
          </w:tcPr>
          <w:p w14:paraId="782BF0D8" w14:textId="48168D0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16</w:t>
            </w:r>
            <w:r w:rsidR="00927B9E">
              <w:rPr>
                <w:rFonts w:asciiTheme="minorHAnsi" w:hAnsiTheme="minorHAnsi" w:cstheme="minorHAnsi"/>
                <w:szCs w:val="16"/>
              </w:rPr>
              <w:t>.</w:t>
            </w:r>
          </w:p>
        </w:tc>
        <w:tc>
          <w:tcPr>
            <w:tcW w:w="1560" w:type="dxa"/>
            <w:vAlign w:val="center"/>
          </w:tcPr>
          <w:p w14:paraId="48C375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Cyjanki wolne</w:t>
            </w:r>
          </w:p>
        </w:tc>
        <w:tc>
          <w:tcPr>
            <w:tcW w:w="992" w:type="dxa"/>
            <w:vAlign w:val="center"/>
          </w:tcPr>
          <w:p w14:paraId="0D7C90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[mgCN/l]</w:t>
            </w:r>
          </w:p>
        </w:tc>
        <w:tc>
          <w:tcPr>
            <w:tcW w:w="1559" w:type="dxa"/>
            <w:vAlign w:val="center"/>
          </w:tcPr>
          <w:p w14:paraId="7ECC80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CFA z detekcją spektrofotometryczną</w:t>
            </w:r>
          </w:p>
        </w:tc>
        <w:tc>
          <w:tcPr>
            <w:tcW w:w="992" w:type="dxa"/>
            <w:vAlign w:val="center"/>
          </w:tcPr>
          <w:p w14:paraId="067B36F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57-12-5</w:t>
            </w:r>
          </w:p>
        </w:tc>
        <w:tc>
          <w:tcPr>
            <w:tcW w:w="2410" w:type="dxa"/>
            <w:vAlign w:val="center"/>
          </w:tcPr>
          <w:p w14:paraId="3FF7F84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PN-EN ISO 14403-2:2012</w:t>
            </w:r>
            <w:r w:rsidRPr="00FF5D72">
              <w:rPr>
                <w:rFonts w:asciiTheme="minorHAnsi" w:hAnsiTheme="minorHAnsi" w:cstheme="minorHAnsi"/>
                <w:szCs w:val="16"/>
              </w:rPr>
              <w:br/>
              <w:t>metoda nie objęta akredytacją</w:t>
            </w:r>
          </w:p>
        </w:tc>
        <w:tc>
          <w:tcPr>
            <w:tcW w:w="992" w:type="dxa"/>
            <w:vAlign w:val="center"/>
          </w:tcPr>
          <w:p w14:paraId="26FD44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5D31AC1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55A2D23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0,005</w:t>
            </w:r>
          </w:p>
        </w:tc>
        <w:tc>
          <w:tcPr>
            <w:tcW w:w="1276" w:type="dxa"/>
            <w:gridSpan w:val="2"/>
            <w:vAlign w:val="center"/>
          </w:tcPr>
          <w:p w14:paraId="626700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843" w:type="dxa"/>
            <w:vAlign w:val="center"/>
          </w:tcPr>
          <w:p w14:paraId="2487AF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454AA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F2CED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5AED3374" w14:textId="77777777" w:rsidTr="00840CCD">
        <w:trPr>
          <w:cantSplit/>
          <w:trHeight w:val="454"/>
        </w:trPr>
        <w:tc>
          <w:tcPr>
            <w:tcW w:w="426" w:type="dxa"/>
            <w:vAlign w:val="center"/>
          </w:tcPr>
          <w:p w14:paraId="0A57FA0D" w14:textId="242C92F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17</w:t>
            </w:r>
            <w:r w:rsidR="00927B9E">
              <w:rPr>
                <w:rFonts w:asciiTheme="minorHAnsi" w:hAnsiTheme="minorHAnsi" w:cstheme="minorHAnsi"/>
                <w:szCs w:val="16"/>
              </w:rPr>
              <w:t>.</w:t>
            </w:r>
          </w:p>
        </w:tc>
        <w:tc>
          <w:tcPr>
            <w:tcW w:w="1560" w:type="dxa"/>
            <w:vAlign w:val="center"/>
          </w:tcPr>
          <w:p w14:paraId="6C206CF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Fluorki</w:t>
            </w:r>
          </w:p>
        </w:tc>
        <w:tc>
          <w:tcPr>
            <w:tcW w:w="992" w:type="dxa"/>
            <w:vAlign w:val="center"/>
          </w:tcPr>
          <w:p w14:paraId="3300E19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[mgF/l]</w:t>
            </w:r>
          </w:p>
        </w:tc>
        <w:tc>
          <w:tcPr>
            <w:tcW w:w="1559" w:type="dxa"/>
            <w:vAlign w:val="center"/>
          </w:tcPr>
          <w:p w14:paraId="43DB88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58096E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vAlign w:val="center"/>
          </w:tcPr>
          <w:p w14:paraId="7CD4C3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096F7C4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993" w:type="dxa"/>
            <w:vAlign w:val="center"/>
          </w:tcPr>
          <w:p w14:paraId="14FE9E0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992" w:type="dxa"/>
            <w:vAlign w:val="center"/>
          </w:tcPr>
          <w:p w14:paraId="070274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0,10</w:t>
            </w:r>
          </w:p>
        </w:tc>
        <w:tc>
          <w:tcPr>
            <w:tcW w:w="1276" w:type="dxa"/>
            <w:gridSpan w:val="2"/>
            <w:vAlign w:val="center"/>
          </w:tcPr>
          <w:p w14:paraId="042DBED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843" w:type="dxa"/>
            <w:vAlign w:val="center"/>
          </w:tcPr>
          <w:p w14:paraId="69FE7E4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33ED9D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D37A6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6,7%</w:t>
            </w:r>
          </w:p>
        </w:tc>
      </w:tr>
      <w:tr w:rsidR="005330B5" w:rsidRPr="00FF5D72" w14:paraId="1CB4AE3A" w14:textId="77777777" w:rsidTr="00840CCD">
        <w:trPr>
          <w:cantSplit/>
          <w:trHeight w:val="454"/>
        </w:trPr>
        <w:tc>
          <w:tcPr>
            <w:tcW w:w="426" w:type="dxa"/>
            <w:vAlign w:val="center"/>
          </w:tcPr>
          <w:p w14:paraId="58DBBF88" w14:textId="5D0EF6A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18</w:t>
            </w:r>
            <w:r w:rsidR="00927B9E">
              <w:rPr>
                <w:rFonts w:asciiTheme="minorHAnsi" w:hAnsiTheme="minorHAnsi" w:cstheme="minorHAnsi"/>
                <w:szCs w:val="16"/>
              </w:rPr>
              <w:t>.</w:t>
            </w:r>
          </w:p>
        </w:tc>
        <w:tc>
          <w:tcPr>
            <w:tcW w:w="1560" w:type="dxa"/>
            <w:vAlign w:val="center"/>
          </w:tcPr>
          <w:p w14:paraId="014FAE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Fosforany</w:t>
            </w:r>
          </w:p>
        </w:tc>
        <w:tc>
          <w:tcPr>
            <w:tcW w:w="992" w:type="dxa"/>
            <w:vAlign w:val="center"/>
          </w:tcPr>
          <w:p w14:paraId="68F1EB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[mgPO</w:t>
            </w:r>
            <w:r w:rsidRPr="00FF5D72">
              <w:rPr>
                <w:rFonts w:asciiTheme="minorHAnsi" w:hAnsiTheme="minorHAnsi" w:cstheme="minorHAnsi"/>
                <w:szCs w:val="16"/>
                <w:vertAlign w:val="subscript"/>
              </w:rPr>
              <w:t>4</w:t>
            </w:r>
            <w:r w:rsidRPr="00FF5D72">
              <w:rPr>
                <w:rFonts w:asciiTheme="minorHAnsi" w:hAnsiTheme="minorHAnsi" w:cstheme="minorHAnsi"/>
                <w:szCs w:val="16"/>
              </w:rPr>
              <w:t>/l]</w:t>
            </w:r>
          </w:p>
        </w:tc>
        <w:tc>
          <w:tcPr>
            <w:tcW w:w="1559" w:type="dxa"/>
            <w:vAlign w:val="center"/>
          </w:tcPr>
          <w:p w14:paraId="23F6B9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4B2AD3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264888-19-9</w:t>
            </w:r>
          </w:p>
        </w:tc>
        <w:tc>
          <w:tcPr>
            <w:tcW w:w="2410" w:type="dxa"/>
            <w:vAlign w:val="center"/>
          </w:tcPr>
          <w:p w14:paraId="44F191E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0276C4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993" w:type="dxa"/>
            <w:vAlign w:val="center"/>
          </w:tcPr>
          <w:p w14:paraId="216D7D8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992" w:type="dxa"/>
            <w:vAlign w:val="center"/>
          </w:tcPr>
          <w:p w14:paraId="007699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0,30</w:t>
            </w:r>
          </w:p>
        </w:tc>
        <w:tc>
          <w:tcPr>
            <w:tcW w:w="1276" w:type="dxa"/>
            <w:gridSpan w:val="2"/>
            <w:vAlign w:val="center"/>
          </w:tcPr>
          <w:p w14:paraId="60D9E70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843" w:type="dxa"/>
            <w:vAlign w:val="center"/>
          </w:tcPr>
          <w:p w14:paraId="2281D66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A0C372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1AD34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r>
      <w:tr w:rsidR="005330B5" w:rsidRPr="00FF5D72" w14:paraId="367F18B8" w14:textId="77777777" w:rsidTr="00840CCD">
        <w:trPr>
          <w:cantSplit/>
          <w:trHeight w:val="454"/>
        </w:trPr>
        <w:tc>
          <w:tcPr>
            <w:tcW w:w="426" w:type="dxa"/>
            <w:vAlign w:val="center"/>
          </w:tcPr>
          <w:p w14:paraId="5A8CA662" w14:textId="221863B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w:t>
            </w:r>
            <w:r w:rsidR="00927B9E">
              <w:rPr>
                <w:rFonts w:asciiTheme="minorHAnsi" w:hAnsiTheme="minorHAnsi" w:cstheme="minorHAnsi"/>
                <w:szCs w:val="16"/>
              </w:rPr>
              <w:t>.</w:t>
            </w:r>
          </w:p>
        </w:tc>
        <w:tc>
          <w:tcPr>
            <w:tcW w:w="1560" w:type="dxa"/>
            <w:vAlign w:val="center"/>
          </w:tcPr>
          <w:p w14:paraId="60D7EA1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Glin</w:t>
            </w:r>
          </w:p>
        </w:tc>
        <w:tc>
          <w:tcPr>
            <w:tcW w:w="992" w:type="dxa"/>
            <w:vAlign w:val="center"/>
          </w:tcPr>
          <w:p w14:paraId="563C9B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[mgAl/l]</w:t>
            </w:r>
          </w:p>
        </w:tc>
        <w:tc>
          <w:tcPr>
            <w:tcW w:w="1559" w:type="dxa"/>
            <w:vAlign w:val="center"/>
          </w:tcPr>
          <w:p w14:paraId="6E27205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6E11BB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7429-90-5</w:t>
            </w:r>
          </w:p>
        </w:tc>
        <w:tc>
          <w:tcPr>
            <w:tcW w:w="2410" w:type="dxa"/>
            <w:vAlign w:val="center"/>
          </w:tcPr>
          <w:p w14:paraId="394B23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12AD584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1F2012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2C72A4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276" w:type="dxa"/>
            <w:gridSpan w:val="2"/>
            <w:vAlign w:val="center"/>
          </w:tcPr>
          <w:p w14:paraId="452245B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c>
          <w:tcPr>
            <w:tcW w:w="843" w:type="dxa"/>
            <w:vAlign w:val="center"/>
          </w:tcPr>
          <w:p w14:paraId="4ED99B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D2F80C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26C0E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63C2E9B2" w14:textId="77777777" w:rsidTr="00840CCD">
        <w:trPr>
          <w:cantSplit/>
          <w:trHeight w:val="454"/>
        </w:trPr>
        <w:tc>
          <w:tcPr>
            <w:tcW w:w="426" w:type="dxa"/>
            <w:vAlign w:val="center"/>
          </w:tcPr>
          <w:p w14:paraId="44E42894" w14:textId="1CB64C8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r w:rsidR="00927B9E">
              <w:rPr>
                <w:rFonts w:asciiTheme="minorHAnsi" w:hAnsiTheme="minorHAnsi" w:cstheme="minorHAnsi"/>
                <w:szCs w:val="16"/>
              </w:rPr>
              <w:t>.</w:t>
            </w:r>
          </w:p>
        </w:tc>
        <w:tc>
          <w:tcPr>
            <w:tcW w:w="1560" w:type="dxa"/>
            <w:vAlign w:val="center"/>
          </w:tcPr>
          <w:p w14:paraId="7FF598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Kadm</w:t>
            </w:r>
          </w:p>
        </w:tc>
        <w:tc>
          <w:tcPr>
            <w:tcW w:w="992" w:type="dxa"/>
            <w:vAlign w:val="center"/>
          </w:tcPr>
          <w:p w14:paraId="0BE90F9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[mgCd/l]</w:t>
            </w:r>
          </w:p>
        </w:tc>
        <w:tc>
          <w:tcPr>
            <w:tcW w:w="1559" w:type="dxa"/>
            <w:vAlign w:val="center"/>
          </w:tcPr>
          <w:p w14:paraId="0707F5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576749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7440-43-9</w:t>
            </w:r>
          </w:p>
        </w:tc>
        <w:tc>
          <w:tcPr>
            <w:tcW w:w="2410" w:type="dxa"/>
            <w:vAlign w:val="center"/>
          </w:tcPr>
          <w:p w14:paraId="308070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4A57259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C49282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6D956EE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18CB6F0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0,005</w:t>
            </w:r>
          </w:p>
        </w:tc>
        <w:tc>
          <w:tcPr>
            <w:tcW w:w="843" w:type="dxa"/>
            <w:vAlign w:val="center"/>
          </w:tcPr>
          <w:p w14:paraId="4F6E34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1F177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78E28E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r>
      <w:tr w:rsidR="005330B5" w:rsidRPr="00FF5D72" w14:paraId="2A433F46" w14:textId="77777777" w:rsidTr="00840CCD">
        <w:trPr>
          <w:cantSplit/>
          <w:trHeight w:val="454"/>
        </w:trPr>
        <w:tc>
          <w:tcPr>
            <w:tcW w:w="426" w:type="dxa"/>
            <w:vAlign w:val="center"/>
          </w:tcPr>
          <w:p w14:paraId="478C4714" w14:textId="18A2CA3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21</w:t>
            </w:r>
            <w:r w:rsidR="00927B9E">
              <w:rPr>
                <w:rFonts w:asciiTheme="minorHAnsi" w:hAnsiTheme="minorHAnsi" w:cstheme="minorHAnsi"/>
                <w:szCs w:val="16"/>
              </w:rPr>
              <w:t>.</w:t>
            </w:r>
          </w:p>
        </w:tc>
        <w:tc>
          <w:tcPr>
            <w:tcW w:w="1560" w:type="dxa"/>
            <w:vAlign w:val="center"/>
          </w:tcPr>
          <w:p w14:paraId="6B8F95F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Magnez</w:t>
            </w:r>
          </w:p>
        </w:tc>
        <w:tc>
          <w:tcPr>
            <w:tcW w:w="992" w:type="dxa"/>
            <w:vAlign w:val="center"/>
          </w:tcPr>
          <w:p w14:paraId="7E7829E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[mgMg/l]</w:t>
            </w:r>
          </w:p>
        </w:tc>
        <w:tc>
          <w:tcPr>
            <w:tcW w:w="1559" w:type="dxa"/>
            <w:vAlign w:val="center"/>
          </w:tcPr>
          <w:p w14:paraId="62ED27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3F1D31C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7439-95-4</w:t>
            </w:r>
          </w:p>
        </w:tc>
        <w:tc>
          <w:tcPr>
            <w:tcW w:w="2410" w:type="dxa"/>
            <w:vAlign w:val="center"/>
          </w:tcPr>
          <w:p w14:paraId="5E0A6E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51480AC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53D2494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455168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1276" w:type="dxa"/>
            <w:gridSpan w:val="2"/>
            <w:vAlign w:val="center"/>
          </w:tcPr>
          <w:p w14:paraId="5F201C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100</w:t>
            </w:r>
          </w:p>
        </w:tc>
        <w:tc>
          <w:tcPr>
            <w:tcW w:w="843" w:type="dxa"/>
            <w:vAlign w:val="center"/>
          </w:tcPr>
          <w:p w14:paraId="6DF8F5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2DF177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39445B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25A89B9F" w14:textId="77777777" w:rsidTr="00840CCD">
        <w:trPr>
          <w:cantSplit/>
          <w:trHeight w:val="454"/>
        </w:trPr>
        <w:tc>
          <w:tcPr>
            <w:tcW w:w="426" w:type="dxa"/>
            <w:vAlign w:val="center"/>
          </w:tcPr>
          <w:p w14:paraId="70DF16FA" w14:textId="38343410"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22</w:t>
            </w:r>
            <w:r w:rsidR="00927B9E">
              <w:rPr>
                <w:rFonts w:asciiTheme="minorHAnsi" w:hAnsiTheme="minorHAnsi" w:cstheme="minorHAnsi"/>
                <w:szCs w:val="16"/>
              </w:rPr>
              <w:t>.</w:t>
            </w:r>
          </w:p>
        </w:tc>
        <w:tc>
          <w:tcPr>
            <w:tcW w:w="1560" w:type="dxa"/>
            <w:vAlign w:val="center"/>
          </w:tcPr>
          <w:p w14:paraId="398157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Mangan</w:t>
            </w:r>
          </w:p>
        </w:tc>
        <w:tc>
          <w:tcPr>
            <w:tcW w:w="992" w:type="dxa"/>
            <w:vAlign w:val="center"/>
          </w:tcPr>
          <w:p w14:paraId="320C6B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[mgMn/l]</w:t>
            </w:r>
          </w:p>
        </w:tc>
        <w:tc>
          <w:tcPr>
            <w:tcW w:w="1559" w:type="dxa"/>
            <w:vAlign w:val="center"/>
          </w:tcPr>
          <w:p w14:paraId="218997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367ECF2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7439-96-5</w:t>
            </w:r>
          </w:p>
        </w:tc>
        <w:tc>
          <w:tcPr>
            <w:tcW w:w="2410" w:type="dxa"/>
            <w:vAlign w:val="center"/>
          </w:tcPr>
          <w:p w14:paraId="39DCCA2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664417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5D4A5C3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8BF97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0,001</w:t>
            </w:r>
          </w:p>
        </w:tc>
        <w:tc>
          <w:tcPr>
            <w:tcW w:w="1276" w:type="dxa"/>
            <w:gridSpan w:val="2"/>
            <w:vAlign w:val="center"/>
          </w:tcPr>
          <w:p w14:paraId="391839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843" w:type="dxa"/>
            <w:vAlign w:val="center"/>
          </w:tcPr>
          <w:p w14:paraId="715DD40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79C7E5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9A8A4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61DFBCFB" w14:textId="77777777" w:rsidTr="00840CCD">
        <w:trPr>
          <w:cantSplit/>
          <w:trHeight w:val="454"/>
        </w:trPr>
        <w:tc>
          <w:tcPr>
            <w:tcW w:w="426" w:type="dxa"/>
            <w:vAlign w:val="center"/>
          </w:tcPr>
          <w:p w14:paraId="5066F3C2" w14:textId="45BE175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r w:rsidR="00927B9E">
              <w:rPr>
                <w:rFonts w:asciiTheme="minorHAnsi" w:hAnsiTheme="minorHAnsi" w:cstheme="minorHAnsi"/>
                <w:szCs w:val="16"/>
              </w:rPr>
              <w:t>.</w:t>
            </w:r>
          </w:p>
        </w:tc>
        <w:tc>
          <w:tcPr>
            <w:tcW w:w="1560" w:type="dxa"/>
            <w:vAlign w:val="center"/>
          </w:tcPr>
          <w:p w14:paraId="18A240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Miedź</w:t>
            </w:r>
          </w:p>
        </w:tc>
        <w:tc>
          <w:tcPr>
            <w:tcW w:w="992" w:type="dxa"/>
            <w:vAlign w:val="center"/>
          </w:tcPr>
          <w:p w14:paraId="239FC4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[mgCu/l]</w:t>
            </w:r>
          </w:p>
        </w:tc>
        <w:tc>
          <w:tcPr>
            <w:tcW w:w="1559" w:type="dxa"/>
            <w:vAlign w:val="center"/>
          </w:tcPr>
          <w:p w14:paraId="434982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762738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7440-50-8</w:t>
            </w:r>
          </w:p>
        </w:tc>
        <w:tc>
          <w:tcPr>
            <w:tcW w:w="2410" w:type="dxa"/>
            <w:vAlign w:val="center"/>
          </w:tcPr>
          <w:p w14:paraId="59BE109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6B90410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181CB7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20A9A54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27369B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c>
          <w:tcPr>
            <w:tcW w:w="843" w:type="dxa"/>
            <w:vAlign w:val="center"/>
          </w:tcPr>
          <w:p w14:paraId="74F8E10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ADEC89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FC19E3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0,03%</w:t>
            </w:r>
          </w:p>
        </w:tc>
      </w:tr>
      <w:tr w:rsidR="005330B5" w:rsidRPr="00FF5D72" w14:paraId="28E05C96" w14:textId="77777777" w:rsidTr="00840CCD">
        <w:trPr>
          <w:cantSplit/>
          <w:trHeight w:val="454"/>
        </w:trPr>
        <w:tc>
          <w:tcPr>
            <w:tcW w:w="426" w:type="dxa"/>
            <w:vAlign w:val="center"/>
          </w:tcPr>
          <w:p w14:paraId="5F61E5F0" w14:textId="2893248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24</w:t>
            </w:r>
            <w:r w:rsidR="00927B9E">
              <w:rPr>
                <w:rFonts w:asciiTheme="minorHAnsi" w:hAnsiTheme="minorHAnsi" w:cstheme="minorHAnsi"/>
                <w:szCs w:val="16"/>
              </w:rPr>
              <w:t>.</w:t>
            </w:r>
          </w:p>
        </w:tc>
        <w:tc>
          <w:tcPr>
            <w:tcW w:w="1560" w:type="dxa"/>
            <w:vAlign w:val="center"/>
          </w:tcPr>
          <w:p w14:paraId="49BF129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Nikiel</w:t>
            </w:r>
          </w:p>
        </w:tc>
        <w:tc>
          <w:tcPr>
            <w:tcW w:w="992" w:type="dxa"/>
            <w:vAlign w:val="center"/>
          </w:tcPr>
          <w:p w14:paraId="4238DB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[mgNi/l]</w:t>
            </w:r>
          </w:p>
        </w:tc>
        <w:tc>
          <w:tcPr>
            <w:tcW w:w="1559" w:type="dxa"/>
            <w:vAlign w:val="center"/>
          </w:tcPr>
          <w:p w14:paraId="1A4EB93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5923FA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7440-02-0</w:t>
            </w:r>
          </w:p>
        </w:tc>
        <w:tc>
          <w:tcPr>
            <w:tcW w:w="2410" w:type="dxa"/>
            <w:vAlign w:val="center"/>
          </w:tcPr>
          <w:p w14:paraId="544FB3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10B7BB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73ACCD1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4743C8F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276" w:type="dxa"/>
            <w:gridSpan w:val="2"/>
            <w:vAlign w:val="center"/>
          </w:tcPr>
          <w:p w14:paraId="0E8254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0,02</w:t>
            </w:r>
          </w:p>
        </w:tc>
        <w:tc>
          <w:tcPr>
            <w:tcW w:w="843" w:type="dxa"/>
            <w:vAlign w:val="center"/>
          </w:tcPr>
          <w:p w14:paraId="38E5DF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5AA04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68CF6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r>
      <w:tr w:rsidR="005330B5" w:rsidRPr="00FF5D72" w14:paraId="08C52BD6" w14:textId="77777777" w:rsidTr="00840CCD">
        <w:trPr>
          <w:cantSplit/>
          <w:trHeight w:val="454"/>
        </w:trPr>
        <w:tc>
          <w:tcPr>
            <w:tcW w:w="426" w:type="dxa"/>
            <w:vAlign w:val="center"/>
          </w:tcPr>
          <w:p w14:paraId="424CA522" w14:textId="2FEDFFE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r w:rsidR="00927B9E">
              <w:rPr>
                <w:rFonts w:asciiTheme="minorHAnsi" w:hAnsiTheme="minorHAnsi" w:cstheme="minorHAnsi"/>
                <w:szCs w:val="16"/>
              </w:rPr>
              <w:t>.</w:t>
            </w:r>
          </w:p>
        </w:tc>
        <w:tc>
          <w:tcPr>
            <w:tcW w:w="1560" w:type="dxa"/>
            <w:vAlign w:val="center"/>
          </w:tcPr>
          <w:p w14:paraId="1167DD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Ołów</w:t>
            </w:r>
          </w:p>
        </w:tc>
        <w:tc>
          <w:tcPr>
            <w:tcW w:w="992" w:type="dxa"/>
            <w:vAlign w:val="center"/>
          </w:tcPr>
          <w:p w14:paraId="58A92A4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[mgPb/l]</w:t>
            </w:r>
          </w:p>
        </w:tc>
        <w:tc>
          <w:tcPr>
            <w:tcW w:w="1559" w:type="dxa"/>
            <w:vAlign w:val="center"/>
          </w:tcPr>
          <w:p w14:paraId="6CC8AB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696E242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7439-92-1</w:t>
            </w:r>
          </w:p>
        </w:tc>
        <w:tc>
          <w:tcPr>
            <w:tcW w:w="2410" w:type="dxa"/>
            <w:vAlign w:val="center"/>
          </w:tcPr>
          <w:p w14:paraId="416D90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2353687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51DBFC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F6A994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3786C59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4857A7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5C3705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5B9823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F46A0D" w:rsidRPr="00FF5D72" w14:paraId="33E078D0" w14:textId="77777777" w:rsidTr="00840CCD">
        <w:trPr>
          <w:cantSplit/>
          <w:trHeight w:val="454"/>
        </w:trPr>
        <w:tc>
          <w:tcPr>
            <w:tcW w:w="426" w:type="dxa"/>
            <w:vAlign w:val="center"/>
          </w:tcPr>
          <w:p w14:paraId="0F2F5888" w14:textId="5880049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r w:rsidR="00927B9E">
              <w:rPr>
                <w:rFonts w:asciiTheme="minorHAnsi" w:hAnsiTheme="minorHAnsi" w:cstheme="minorHAnsi"/>
                <w:szCs w:val="16"/>
              </w:rPr>
              <w:t>.</w:t>
            </w:r>
          </w:p>
        </w:tc>
        <w:tc>
          <w:tcPr>
            <w:tcW w:w="1560" w:type="dxa"/>
            <w:vAlign w:val="center"/>
          </w:tcPr>
          <w:p w14:paraId="26641E3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Potas</w:t>
            </w:r>
          </w:p>
        </w:tc>
        <w:tc>
          <w:tcPr>
            <w:tcW w:w="992" w:type="dxa"/>
            <w:vAlign w:val="center"/>
          </w:tcPr>
          <w:p w14:paraId="69E70D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[mgK/l]</w:t>
            </w:r>
          </w:p>
        </w:tc>
        <w:tc>
          <w:tcPr>
            <w:tcW w:w="1559" w:type="dxa"/>
            <w:vAlign w:val="center"/>
          </w:tcPr>
          <w:p w14:paraId="600D111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70546AD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shd w:val="clear" w:color="auto" w:fill="FFFFFF"/>
            <w:vAlign w:val="center"/>
          </w:tcPr>
          <w:p w14:paraId="719417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shd w:val="clear" w:color="auto" w:fill="FFFFFF"/>
            <w:vAlign w:val="center"/>
          </w:tcPr>
          <w:p w14:paraId="595439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shd w:val="clear" w:color="auto" w:fill="FFFFFF"/>
            <w:vAlign w:val="center"/>
          </w:tcPr>
          <w:p w14:paraId="0F390D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1AD3B6D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0,5</w:t>
            </w:r>
          </w:p>
        </w:tc>
        <w:tc>
          <w:tcPr>
            <w:tcW w:w="1276" w:type="dxa"/>
            <w:gridSpan w:val="2"/>
            <w:vAlign w:val="center"/>
          </w:tcPr>
          <w:p w14:paraId="4719F42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843" w:type="dxa"/>
            <w:vAlign w:val="center"/>
          </w:tcPr>
          <w:p w14:paraId="49B84FC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ED9C7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3B939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0,7%</w:t>
            </w:r>
          </w:p>
        </w:tc>
      </w:tr>
      <w:tr w:rsidR="005330B5" w:rsidRPr="00FF5D72" w14:paraId="1079DA29" w14:textId="77777777" w:rsidTr="00840CCD">
        <w:trPr>
          <w:cantSplit/>
          <w:trHeight w:val="454"/>
        </w:trPr>
        <w:tc>
          <w:tcPr>
            <w:tcW w:w="426" w:type="dxa"/>
            <w:vAlign w:val="center"/>
          </w:tcPr>
          <w:p w14:paraId="458780B4" w14:textId="423DA28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r w:rsidR="00927B9E">
              <w:rPr>
                <w:rFonts w:asciiTheme="minorHAnsi" w:hAnsiTheme="minorHAnsi" w:cstheme="minorHAnsi"/>
                <w:szCs w:val="16"/>
              </w:rPr>
              <w:t>.</w:t>
            </w:r>
          </w:p>
        </w:tc>
        <w:tc>
          <w:tcPr>
            <w:tcW w:w="1560" w:type="dxa"/>
            <w:vAlign w:val="center"/>
          </w:tcPr>
          <w:p w14:paraId="7A615B9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Rtęć</w:t>
            </w:r>
          </w:p>
        </w:tc>
        <w:tc>
          <w:tcPr>
            <w:tcW w:w="992" w:type="dxa"/>
            <w:vAlign w:val="center"/>
          </w:tcPr>
          <w:p w14:paraId="0404C1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[mgHg/l]</w:t>
            </w:r>
          </w:p>
        </w:tc>
        <w:tc>
          <w:tcPr>
            <w:tcW w:w="1559" w:type="dxa"/>
            <w:vAlign w:val="center"/>
          </w:tcPr>
          <w:p w14:paraId="4584C9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AAS z techniką amalgamacji</w:t>
            </w:r>
          </w:p>
        </w:tc>
        <w:tc>
          <w:tcPr>
            <w:tcW w:w="992" w:type="dxa"/>
            <w:vAlign w:val="center"/>
          </w:tcPr>
          <w:p w14:paraId="1223CA3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7439-97-6</w:t>
            </w:r>
          </w:p>
        </w:tc>
        <w:tc>
          <w:tcPr>
            <w:tcW w:w="2410" w:type="dxa"/>
            <w:vAlign w:val="center"/>
          </w:tcPr>
          <w:p w14:paraId="02110B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PB-06 Edycja 10 z 20/01/2020</w:t>
            </w:r>
          </w:p>
        </w:tc>
        <w:tc>
          <w:tcPr>
            <w:tcW w:w="992" w:type="dxa"/>
            <w:vAlign w:val="center"/>
          </w:tcPr>
          <w:p w14:paraId="63053C8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5AF0D90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64C37A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0,00010</w:t>
            </w:r>
          </w:p>
        </w:tc>
        <w:tc>
          <w:tcPr>
            <w:tcW w:w="1276" w:type="dxa"/>
            <w:gridSpan w:val="2"/>
            <w:vAlign w:val="center"/>
          </w:tcPr>
          <w:p w14:paraId="3A3D667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0,001</w:t>
            </w:r>
          </w:p>
        </w:tc>
        <w:tc>
          <w:tcPr>
            <w:tcW w:w="843" w:type="dxa"/>
            <w:vAlign w:val="center"/>
          </w:tcPr>
          <w:p w14:paraId="6091CC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44C599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014FE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1E97EC3E" w14:textId="77777777" w:rsidTr="00840CCD">
        <w:trPr>
          <w:cantSplit/>
          <w:trHeight w:val="454"/>
        </w:trPr>
        <w:tc>
          <w:tcPr>
            <w:tcW w:w="426" w:type="dxa"/>
            <w:vAlign w:val="center"/>
          </w:tcPr>
          <w:p w14:paraId="2DB2FEAF" w14:textId="5190BDF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28</w:t>
            </w:r>
            <w:r w:rsidR="00927B9E">
              <w:rPr>
                <w:rFonts w:asciiTheme="minorHAnsi" w:hAnsiTheme="minorHAnsi" w:cstheme="minorHAnsi"/>
                <w:szCs w:val="16"/>
              </w:rPr>
              <w:t>.</w:t>
            </w:r>
          </w:p>
        </w:tc>
        <w:tc>
          <w:tcPr>
            <w:tcW w:w="1560" w:type="dxa"/>
            <w:vAlign w:val="center"/>
          </w:tcPr>
          <w:p w14:paraId="46E1445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Selen</w:t>
            </w:r>
          </w:p>
        </w:tc>
        <w:tc>
          <w:tcPr>
            <w:tcW w:w="992" w:type="dxa"/>
            <w:vAlign w:val="center"/>
          </w:tcPr>
          <w:p w14:paraId="4B084D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[mgSe/l]</w:t>
            </w:r>
          </w:p>
        </w:tc>
        <w:tc>
          <w:tcPr>
            <w:tcW w:w="1559" w:type="dxa"/>
            <w:vAlign w:val="center"/>
          </w:tcPr>
          <w:p w14:paraId="1892C7D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5208C1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7782-49-2</w:t>
            </w:r>
          </w:p>
        </w:tc>
        <w:tc>
          <w:tcPr>
            <w:tcW w:w="2410" w:type="dxa"/>
            <w:vAlign w:val="center"/>
          </w:tcPr>
          <w:p w14:paraId="34FB8D8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317223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2C5F8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FCF69B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0,002</w:t>
            </w:r>
          </w:p>
        </w:tc>
        <w:tc>
          <w:tcPr>
            <w:tcW w:w="1276" w:type="dxa"/>
            <w:gridSpan w:val="2"/>
            <w:vAlign w:val="center"/>
          </w:tcPr>
          <w:p w14:paraId="531732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843" w:type="dxa"/>
            <w:vAlign w:val="center"/>
          </w:tcPr>
          <w:p w14:paraId="3C0892E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FF93A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74FE1D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5330B5" w:rsidRPr="00FF5D72" w14:paraId="370CCC88" w14:textId="77777777" w:rsidTr="00840CCD">
        <w:trPr>
          <w:cantSplit/>
          <w:trHeight w:val="454"/>
        </w:trPr>
        <w:tc>
          <w:tcPr>
            <w:tcW w:w="426" w:type="dxa"/>
            <w:vAlign w:val="center"/>
          </w:tcPr>
          <w:p w14:paraId="454ED905" w14:textId="38D41A39"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29</w:t>
            </w:r>
            <w:r w:rsidR="00927B9E">
              <w:rPr>
                <w:rFonts w:asciiTheme="minorHAnsi" w:hAnsiTheme="minorHAnsi" w:cstheme="minorHAnsi"/>
                <w:szCs w:val="16"/>
              </w:rPr>
              <w:t>.</w:t>
            </w:r>
          </w:p>
        </w:tc>
        <w:tc>
          <w:tcPr>
            <w:tcW w:w="1560" w:type="dxa"/>
            <w:vAlign w:val="center"/>
          </w:tcPr>
          <w:p w14:paraId="7CE86E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Siarczany</w:t>
            </w:r>
          </w:p>
        </w:tc>
        <w:tc>
          <w:tcPr>
            <w:tcW w:w="992" w:type="dxa"/>
            <w:vAlign w:val="center"/>
          </w:tcPr>
          <w:p w14:paraId="7BD5D59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[mgSO</w:t>
            </w:r>
            <w:r w:rsidRPr="00FF5D72">
              <w:rPr>
                <w:rFonts w:asciiTheme="minorHAnsi" w:hAnsiTheme="minorHAnsi" w:cstheme="minorHAnsi"/>
                <w:szCs w:val="16"/>
                <w:vertAlign w:val="subscript"/>
              </w:rPr>
              <w:t>4</w:t>
            </w:r>
            <w:r w:rsidRPr="00FF5D72">
              <w:rPr>
                <w:rFonts w:asciiTheme="minorHAnsi" w:hAnsiTheme="minorHAnsi" w:cstheme="minorHAnsi"/>
                <w:szCs w:val="16"/>
              </w:rPr>
              <w:t>/l]</w:t>
            </w:r>
          </w:p>
        </w:tc>
        <w:tc>
          <w:tcPr>
            <w:tcW w:w="1559" w:type="dxa"/>
            <w:vAlign w:val="center"/>
          </w:tcPr>
          <w:p w14:paraId="557091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w:t>
            </w:r>
          </w:p>
        </w:tc>
        <w:tc>
          <w:tcPr>
            <w:tcW w:w="992" w:type="dxa"/>
            <w:vAlign w:val="center"/>
          </w:tcPr>
          <w:p w14:paraId="5A8F536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14808-79-8</w:t>
            </w:r>
          </w:p>
        </w:tc>
        <w:tc>
          <w:tcPr>
            <w:tcW w:w="2410" w:type="dxa"/>
            <w:vAlign w:val="center"/>
          </w:tcPr>
          <w:p w14:paraId="477FA4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PB-04 Edycja 17 z 20/01/2020</w:t>
            </w:r>
          </w:p>
        </w:tc>
        <w:tc>
          <w:tcPr>
            <w:tcW w:w="992" w:type="dxa"/>
            <w:vAlign w:val="center"/>
          </w:tcPr>
          <w:p w14:paraId="06C4AC4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w:t>
            </w:r>
          </w:p>
        </w:tc>
        <w:tc>
          <w:tcPr>
            <w:tcW w:w="993" w:type="dxa"/>
            <w:vAlign w:val="center"/>
          </w:tcPr>
          <w:p w14:paraId="42123D2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992" w:type="dxa"/>
            <w:vAlign w:val="center"/>
          </w:tcPr>
          <w:p w14:paraId="50C0790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0,50</w:t>
            </w:r>
          </w:p>
        </w:tc>
        <w:tc>
          <w:tcPr>
            <w:tcW w:w="1276" w:type="dxa"/>
            <w:gridSpan w:val="2"/>
            <w:vAlign w:val="center"/>
          </w:tcPr>
          <w:p w14:paraId="02EED69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250</w:t>
            </w:r>
          </w:p>
        </w:tc>
        <w:tc>
          <w:tcPr>
            <w:tcW w:w="843" w:type="dxa"/>
            <w:vAlign w:val="center"/>
          </w:tcPr>
          <w:p w14:paraId="1FA9F27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5C749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595899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r>
      <w:tr w:rsidR="00F46A0D" w:rsidRPr="00FF5D72" w14:paraId="512A9323" w14:textId="77777777" w:rsidTr="00840CCD">
        <w:trPr>
          <w:cantSplit/>
          <w:trHeight w:val="454"/>
        </w:trPr>
        <w:tc>
          <w:tcPr>
            <w:tcW w:w="426" w:type="dxa"/>
            <w:vAlign w:val="center"/>
          </w:tcPr>
          <w:p w14:paraId="010F3DD9" w14:textId="3BFEDBB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r w:rsidR="00927B9E">
              <w:rPr>
                <w:rFonts w:asciiTheme="minorHAnsi" w:hAnsiTheme="minorHAnsi" w:cstheme="minorHAnsi"/>
                <w:szCs w:val="16"/>
              </w:rPr>
              <w:t>.</w:t>
            </w:r>
          </w:p>
        </w:tc>
        <w:tc>
          <w:tcPr>
            <w:tcW w:w="1560" w:type="dxa"/>
            <w:vAlign w:val="center"/>
          </w:tcPr>
          <w:p w14:paraId="40C4696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Sód</w:t>
            </w:r>
          </w:p>
        </w:tc>
        <w:tc>
          <w:tcPr>
            <w:tcW w:w="992" w:type="dxa"/>
            <w:vAlign w:val="center"/>
          </w:tcPr>
          <w:p w14:paraId="4A0C576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[mgNa/l]</w:t>
            </w:r>
          </w:p>
        </w:tc>
        <w:tc>
          <w:tcPr>
            <w:tcW w:w="1559" w:type="dxa"/>
            <w:vAlign w:val="center"/>
          </w:tcPr>
          <w:p w14:paraId="5681FE8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540F7C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7440-23-5</w:t>
            </w:r>
          </w:p>
        </w:tc>
        <w:tc>
          <w:tcPr>
            <w:tcW w:w="2410" w:type="dxa"/>
            <w:shd w:val="clear" w:color="auto" w:fill="FFFFFF"/>
            <w:vAlign w:val="center"/>
          </w:tcPr>
          <w:p w14:paraId="711EAE5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shd w:val="clear" w:color="auto" w:fill="FFFFFF"/>
            <w:vAlign w:val="center"/>
          </w:tcPr>
          <w:p w14:paraId="4112380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shd w:val="clear" w:color="auto" w:fill="FFFFFF"/>
            <w:vAlign w:val="center"/>
          </w:tcPr>
          <w:p w14:paraId="72FD81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2515A2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0,5</w:t>
            </w:r>
          </w:p>
        </w:tc>
        <w:tc>
          <w:tcPr>
            <w:tcW w:w="1276" w:type="dxa"/>
            <w:gridSpan w:val="2"/>
            <w:vAlign w:val="center"/>
          </w:tcPr>
          <w:p w14:paraId="05FBD2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200</w:t>
            </w:r>
          </w:p>
        </w:tc>
        <w:tc>
          <w:tcPr>
            <w:tcW w:w="843" w:type="dxa"/>
            <w:vAlign w:val="center"/>
          </w:tcPr>
          <w:p w14:paraId="28D86CC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1D1D71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A36536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327E92B4" w14:textId="77777777" w:rsidTr="00840CCD">
        <w:trPr>
          <w:cantSplit/>
          <w:trHeight w:val="454"/>
        </w:trPr>
        <w:tc>
          <w:tcPr>
            <w:tcW w:w="426" w:type="dxa"/>
            <w:vAlign w:val="center"/>
          </w:tcPr>
          <w:p w14:paraId="695B797C" w14:textId="3B3FE19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w:t>
            </w:r>
            <w:r w:rsidR="00927B9E">
              <w:rPr>
                <w:rFonts w:asciiTheme="minorHAnsi" w:hAnsiTheme="minorHAnsi" w:cstheme="minorHAnsi"/>
                <w:szCs w:val="16"/>
              </w:rPr>
              <w:t>.</w:t>
            </w:r>
          </w:p>
        </w:tc>
        <w:tc>
          <w:tcPr>
            <w:tcW w:w="1560" w:type="dxa"/>
            <w:vAlign w:val="center"/>
          </w:tcPr>
          <w:p w14:paraId="755066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Srebro</w:t>
            </w:r>
          </w:p>
        </w:tc>
        <w:tc>
          <w:tcPr>
            <w:tcW w:w="992" w:type="dxa"/>
            <w:vAlign w:val="center"/>
          </w:tcPr>
          <w:p w14:paraId="2882083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[mgAg/l]</w:t>
            </w:r>
          </w:p>
        </w:tc>
        <w:tc>
          <w:tcPr>
            <w:tcW w:w="1559" w:type="dxa"/>
            <w:vAlign w:val="center"/>
          </w:tcPr>
          <w:p w14:paraId="1F8248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64356EB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7440-22-4</w:t>
            </w:r>
          </w:p>
        </w:tc>
        <w:tc>
          <w:tcPr>
            <w:tcW w:w="2410" w:type="dxa"/>
            <w:vAlign w:val="center"/>
          </w:tcPr>
          <w:p w14:paraId="70E628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489B10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7FD8BF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392F17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5E963A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4454FC5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B60C5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A971E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57E0813D" w14:textId="77777777" w:rsidTr="00840CCD">
        <w:trPr>
          <w:cantSplit/>
          <w:trHeight w:val="454"/>
        </w:trPr>
        <w:tc>
          <w:tcPr>
            <w:tcW w:w="426" w:type="dxa"/>
            <w:vAlign w:val="center"/>
          </w:tcPr>
          <w:p w14:paraId="3CCECE2B" w14:textId="1CBEE74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32</w:t>
            </w:r>
            <w:r w:rsidR="00927B9E">
              <w:rPr>
                <w:rFonts w:asciiTheme="minorHAnsi" w:hAnsiTheme="minorHAnsi" w:cstheme="minorHAnsi"/>
                <w:szCs w:val="16"/>
              </w:rPr>
              <w:t>.</w:t>
            </w:r>
          </w:p>
        </w:tc>
        <w:tc>
          <w:tcPr>
            <w:tcW w:w="1560" w:type="dxa"/>
            <w:vAlign w:val="center"/>
          </w:tcPr>
          <w:p w14:paraId="64C82C1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Wapń</w:t>
            </w:r>
          </w:p>
        </w:tc>
        <w:tc>
          <w:tcPr>
            <w:tcW w:w="992" w:type="dxa"/>
            <w:vAlign w:val="center"/>
          </w:tcPr>
          <w:p w14:paraId="6E50AB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[mgCa/l]</w:t>
            </w:r>
          </w:p>
        </w:tc>
        <w:tc>
          <w:tcPr>
            <w:tcW w:w="1559" w:type="dxa"/>
            <w:vAlign w:val="center"/>
          </w:tcPr>
          <w:p w14:paraId="27C3AD0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18D08FC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14127-61-8</w:t>
            </w:r>
          </w:p>
        </w:tc>
        <w:tc>
          <w:tcPr>
            <w:tcW w:w="2410" w:type="dxa"/>
            <w:vAlign w:val="center"/>
          </w:tcPr>
          <w:p w14:paraId="1428704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6E691DD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51AB12E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2B01188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1276" w:type="dxa"/>
            <w:gridSpan w:val="2"/>
            <w:vAlign w:val="center"/>
          </w:tcPr>
          <w:p w14:paraId="641719D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200</w:t>
            </w:r>
          </w:p>
        </w:tc>
        <w:tc>
          <w:tcPr>
            <w:tcW w:w="843" w:type="dxa"/>
            <w:vAlign w:val="center"/>
          </w:tcPr>
          <w:p w14:paraId="6546E6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C1712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C1B8C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2545D69B" w14:textId="77777777" w:rsidTr="00840CCD">
        <w:trPr>
          <w:cantSplit/>
          <w:trHeight w:val="454"/>
        </w:trPr>
        <w:tc>
          <w:tcPr>
            <w:tcW w:w="426" w:type="dxa"/>
            <w:vAlign w:val="center"/>
          </w:tcPr>
          <w:p w14:paraId="5ACAE304" w14:textId="62BA6A5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33</w:t>
            </w:r>
            <w:r w:rsidR="00927B9E">
              <w:rPr>
                <w:rFonts w:asciiTheme="minorHAnsi" w:hAnsiTheme="minorHAnsi" w:cstheme="minorHAnsi"/>
                <w:szCs w:val="16"/>
              </w:rPr>
              <w:t>.</w:t>
            </w:r>
          </w:p>
        </w:tc>
        <w:tc>
          <w:tcPr>
            <w:tcW w:w="1560" w:type="dxa"/>
            <w:vAlign w:val="center"/>
          </w:tcPr>
          <w:p w14:paraId="3473F2D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Wodorowęglany</w:t>
            </w:r>
          </w:p>
        </w:tc>
        <w:tc>
          <w:tcPr>
            <w:tcW w:w="992" w:type="dxa"/>
            <w:vAlign w:val="center"/>
          </w:tcPr>
          <w:p w14:paraId="5F37C2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[mgHCO</w:t>
            </w:r>
            <w:r w:rsidRPr="00FF5D72">
              <w:rPr>
                <w:rFonts w:asciiTheme="minorHAnsi" w:hAnsiTheme="minorHAnsi" w:cstheme="minorHAnsi"/>
                <w:szCs w:val="16"/>
                <w:vertAlign w:val="subscript"/>
              </w:rPr>
              <w:t>3</w:t>
            </w:r>
            <w:r w:rsidRPr="00FF5D72">
              <w:rPr>
                <w:rFonts w:asciiTheme="minorHAnsi" w:hAnsiTheme="minorHAnsi" w:cstheme="minorHAnsi"/>
                <w:szCs w:val="16"/>
              </w:rPr>
              <w:t>/l]</w:t>
            </w:r>
          </w:p>
        </w:tc>
        <w:tc>
          <w:tcPr>
            <w:tcW w:w="1559" w:type="dxa"/>
            <w:vAlign w:val="center"/>
          </w:tcPr>
          <w:p w14:paraId="792108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Spektrofotometryczna</w:t>
            </w:r>
          </w:p>
        </w:tc>
        <w:tc>
          <w:tcPr>
            <w:tcW w:w="992" w:type="dxa"/>
            <w:vAlign w:val="center"/>
          </w:tcPr>
          <w:p w14:paraId="03481E2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71-52-3</w:t>
            </w:r>
          </w:p>
        </w:tc>
        <w:tc>
          <w:tcPr>
            <w:tcW w:w="2410" w:type="dxa"/>
            <w:vAlign w:val="center"/>
          </w:tcPr>
          <w:p w14:paraId="00BAAB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PB-07 Edycja 9 z 20/01/2020</w:t>
            </w:r>
          </w:p>
        </w:tc>
        <w:tc>
          <w:tcPr>
            <w:tcW w:w="992" w:type="dxa"/>
            <w:vAlign w:val="center"/>
          </w:tcPr>
          <w:p w14:paraId="14447B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993" w:type="dxa"/>
            <w:vAlign w:val="center"/>
          </w:tcPr>
          <w:p w14:paraId="224355F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C456B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24</w:t>
            </w:r>
          </w:p>
        </w:tc>
        <w:tc>
          <w:tcPr>
            <w:tcW w:w="1276" w:type="dxa"/>
            <w:gridSpan w:val="2"/>
            <w:vAlign w:val="center"/>
          </w:tcPr>
          <w:p w14:paraId="5E26F0F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500</w:t>
            </w:r>
          </w:p>
        </w:tc>
        <w:tc>
          <w:tcPr>
            <w:tcW w:w="843" w:type="dxa"/>
            <w:vAlign w:val="center"/>
          </w:tcPr>
          <w:p w14:paraId="16F6E0E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81F38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0D277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4,8%</w:t>
            </w:r>
          </w:p>
        </w:tc>
      </w:tr>
      <w:tr w:rsidR="005330B5" w:rsidRPr="00FF5D72" w14:paraId="75A5259A" w14:textId="77777777" w:rsidTr="00840CCD">
        <w:trPr>
          <w:cantSplit/>
          <w:trHeight w:val="454"/>
        </w:trPr>
        <w:tc>
          <w:tcPr>
            <w:tcW w:w="426" w:type="dxa"/>
            <w:vAlign w:val="center"/>
          </w:tcPr>
          <w:p w14:paraId="0346B8FA" w14:textId="248DD775"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34</w:t>
            </w:r>
            <w:r w:rsidR="00927B9E">
              <w:rPr>
                <w:rFonts w:asciiTheme="minorHAnsi" w:hAnsiTheme="minorHAnsi" w:cstheme="minorHAnsi"/>
                <w:szCs w:val="16"/>
              </w:rPr>
              <w:t>.</w:t>
            </w:r>
          </w:p>
        </w:tc>
        <w:tc>
          <w:tcPr>
            <w:tcW w:w="1560" w:type="dxa"/>
            <w:vAlign w:val="center"/>
          </w:tcPr>
          <w:p w14:paraId="4B3304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Żelazo</w:t>
            </w:r>
          </w:p>
        </w:tc>
        <w:tc>
          <w:tcPr>
            <w:tcW w:w="992" w:type="dxa"/>
            <w:vAlign w:val="center"/>
          </w:tcPr>
          <w:p w14:paraId="7F3DDB9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[mgFe/l]</w:t>
            </w:r>
          </w:p>
        </w:tc>
        <w:tc>
          <w:tcPr>
            <w:tcW w:w="1559" w:type="dxa"/>
            <w:vAlign w:val="center"/>
          </w:tcPr>
          <w:p w14:paraId="031E576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3E0B9D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7439-89-6</w:t>
            </w:r>
          </w:p>
        </w:tc>
        <w:tc>
          <w:tcPr>
            <w:tcW w:w="2410" w:type="dxa"/>
            <w:vAlign w:val="center"/>
          </w:tcPr>
          <w:p w14:paraId="5E9B844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0F2D75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5DFBB8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1CF3A93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1276" w:type="dxa"/>
            <w:gridSpan w:val="2"/>
            <w:vAlign w:val="center"/>
          </w:tcPr>
          <w:p w14:paraId="4AAF290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w:t>
            </w:r>
          </w:p>
        </w:tc>
        <w:tc>
          <w:tcPr>
            <w:tcW w:w="843" w:type="dxa"/>
            <w:vAlign w:val="center"/>
          </w:tcPr>
          <w:p w14:paraId="3CC6A6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BF025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6EE79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r>
      <w:tr w:rsidR="005330B5" w:rsidRPr="00FF5D72" w14:paraId="63180F41" w14:textId="77777777" w:rsidTr="00840CCD">
        <w:trPr>
          <w:cantSplit/>
          <w:trHeight w:val="454"/>
        </w:trPr>
        <w:tc>
          <w:tcPr>
            <w:tcW w:w="426" w:type="dxa"/>
            <w:vAlign w:val="center"/>
          </w:tcPr>
          <w:p w14:paraId="5BA08A04" w14:textId="708F6D2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35</w:t>
            </w:r>
            <w:r w:rsidR="00927B9E">
              <w:rPr>
                <w:rFonts w:asciiTheme="minorHAnsi" w:hAnsiTheme="minorHAnsi" w:cstheme="minorHAnsi"/>
                <w:szCs w:val="16"/>
              </w:rPr>
              <w:t>.</w:t>
            </w:r>
          </w:p>
        </w:tc>
        <w:tc>
          <w:tcPr>
            <w:tcW w:w="1560" w:type="dxa"/>
            <w:vAlign w:val="center"/>
          </w:tcPr>
          <w:p w14:paraId="38DBAC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Bar</w:t>
            </w:r>
          </w:p>
        </w:tc>
        <w:tc>
          <w:tcPr>
            <w:tcW w:w="992" w:type="dxa"/>
            <w:vAlign w:val="center"/>
          </w:tcPr>
          <w:p w14:paraId="5E6508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[mgBa/l]</w:t>
            </w:r>
          </w:p>
        </w:tc>
        <w:tc>
          <w:tcPr>
            <w:tcW w:w="1559" w:type="dxa"/>
            <w:vAlign w:val="center"/>
          </w:tcPr>
          <w:p w14:paraId="6507E2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7A89FBB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7440-39-3</w:t>
            </w:r>
          </w:p>
        </w:tc>
        <w:tc>
          <w:tcPr>
            <w:tcW w:w="2410" w:type="dxa"/>
            <w:vAlign w:val="center"/>
          </w:tcPr>
          <w:p w14:paraId="1A8A1E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3FB1B3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1F2F9B6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06954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0,001</w:t>
            </w:r>
          </w:p>
        </w:tc>
        <w:tc>
          <w:tcPr>
            <w:tcW w:w="1276" w:type="dxa"/>
            <w:gridSpan w:val="2"/>
            <w:vAlign w:val="center"/>
          </w:tcPr>
          <w:p w14:paraId="63CB235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0,7</w:t>
            </w:r>
          </w:p>
        </w:tc>
        <w:tc>
          <w:tcPr>
            <w:tcW w:w="843" w:type="dxa"/>
            <w:vAlign w:val="center"/>
          </w:tcPr>
          <w:p w14:paraId="03176A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451BA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E767F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1D65236B" w14:textId="77777777" w:rsidTr="00840CCD">
        <w:trPr>
          <w:cantSplit/>
          <w:trHeight w:val="454"/>
        </w:trPr>
        <w:tc>
          <w:tcPr>
            <w:tcW w:w="426" w:type="dxa"/>
            <w:vAlign w:val="center"/>
          </w:tcPr>
          <w:p w14:paraId="2D0E195D" w14:textId="495B869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36</w:t>
            </w:r>
            <w:r w:rsidR="00927B9E">
              <w:rPr>
                <w:rFonts w:asciiTheme="minorHAnsi" w:hAnsiTheme="minorHAnsi" w:cstheme="minorHAnsi"/>
                <w:szCs w:val="16"/>
              </w:rPr>
              <w:t>.</w:t>
            </w:r>
          </w:p>
        </w:tc>
        <w:tc>
          <w:tcPr>
            <w:tcW w:w="1560" w:type="dxa"/>
            <w:vAlign w:val="center"/>
          </w:tcPr>
          <w:p w14:paraId="10EFDC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Beryl</w:t>
            </w:r>
          </w:p>
        </w:tc>
        <w:tc>
          <w:tcPr>
            <w:tcW w:w="992" w:type="dxa"/>
            <w:vAlign w:val="center"/>
          </w:tcPr>
          <w:p w14:paraId="5CDAB63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[mgBe/l]</w:t>
            </w:r>
          </w:p>
        </w:tc>
        <w:tc>
          <w:tcPr>
            <w:tcW w:w="1559" w:type="dxa"/>
            <w:vAlign w:val="center"/>
          </w:tcPr>
          <w:p w14:paraId="4D8C683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1E86EDD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1932-52-9</w:t>
            </w:r>
          </w:p>
        </w:tc>
        <w:tc>
          <w:tcPr>
            <w:tcW w:w="2410" w:type="dxa"/>
            <w:vAlign w:val="center"/>
          </w:tcPr>
          <w:p w14:paraId="395ED4C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0615AC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88040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3B3BD92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020641E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451BE0A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985A8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794AA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r>
      <w:tr w:rsidR="005330B5" w:rsidRPr="00FF5D72" w14:paraId="231DB253" w14:textId="77777777" w:rsidTr="00840CCD">
        <w:trPr>
          <w:cantSplit/>
          <w:trHeight w:val="454"/>
        </w:trPr>
        <w:tc>
          <w:tcPr>
            <w:tcW w:w="426" w:type="dxa"/>
            <w:vAlign w:val="center"/>
          </w:tcPr>
          <w:p w14:paraId="4C0C6E8D" w14:textId="574696B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37</w:t>
            </w:r>
            <w:r w:rsidR="00927B9E">
              <w:rPr>
                <w:rFonts w:asciiTheme="minorHAnsi" w:hAnsiTheme="minorHAnsi" w:cstheme="minorHAnsi"/>
                <w:szCs w:val="16"/>
              </w:rPr>
              <w:t>.</w:t>
            </w:r>
          </w:p>
        </w:tc>
        <w:tc>
          <w:tcPr>
            <w:tcW w:w="1560" w:type="dxa"/>
            <w:vAlign w:val="center"/>
          </w:tcPr>
          <w:p w14:paraId="13F9F74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Cyna</w:t>
            </w:r>
          </w:p>
        </w:tc>
        <w:tc>
          <w:tcPr>
            <w:tcW w:w="992" w:type="dxa"/>
            <w:vAlign w:val="center"/>
          </w:tcPr>
          <w:p w14:paraId="779059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[mgSnl]</w:t>
            </w:r>
          </w:p>
        </w:tc>
        <w:tc>
          <w:tcPr>
            <w:tcW w:w="1559" w:type="dxa"/>
            <w:vAlign w:val="center"/>
          </w:tcPr>
          <w:p w14:paraId="77CFF75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005171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vAlign w:val="center"/>
          </w:tcPr>
          <w:p w14:paraId="4F85607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4AD271E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66957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125E2BB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276" w:type="dxa"/>
            <w:gridSpan w:val="2"/>
            <w:vAlign w:val="center"/>
          </w:tcPr>
          <w:p w14:paraId="41BFA3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c>
          <w:tcPr>
            <w:tcW w:w="843" w:type="dxa"/>
            <w:vAlign w:val="center"/>
          </w:tcPr>
          <w:p w14:paraId="6FE03E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8D57CE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125D30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2B050E35" w14:textId="77777777" w:rsidTr="00840CCD">
        <w:trPr>
          <w:cantSplit/>
          <w:trHeight w:val="454"/>
        </w:trPr>
        <w:tc>
          <w:tcPr>
            <w:tcW w:w="426" w:type="dxa"/>
            <w:vAlign w:val="center"/>
          </w:tcPr>
          <w:p w14:paraId="454EDA84" w14:textId="4A11824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38</w:t>
            </w:r>
            <w:r w:rsidR="00927B9E">
              <w:rPr>
                <w:rFonts w:asciiTheme="minorHAnsi" w:hAnsiTheme="minorHAnsi" w:cstheme="minorHAnsi"/>
                <w:szCs w:val="16"/>
              </w:rPr>
              <w:t>.</w:t>
            </w:r>
          </w:p>
        </w:tc>
        <w:tc>
          <w:tcPr>
            <w:tcW w:w="1560" w:type="dxa"/>
            <w:vAlign w:val="center"/>
          </w:tcPr>
          <w:p w14:paraId="7D21E06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Cynk</w:t>
            </w:r>
          </w:p>
        </w:tc>
        <w:tc>
          <w:tcPr>
            <w:tcW w:w="992" w:type="dxa"/>
            <w:vAlign w:val="center"/>
          </w:tcPr>
          <w:p w14:paraId="17AB3E9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[mgZn/l]</w:t>
            </w:r>
          </w:p>
        </w:tc>
        <w:tc>
          <w:tcPr>
            <w:tcW w:w="1559" w:type="dxa"/>
            <w:vAlign w:val="center"/>
          </w:tcPr>
          <w:p w14:paraId="1F8CF8E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7E358B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7440-66-6</w:t>
            </w:r>
          </w:p>
        </w:tc>
        <w:tc>
          <w:tcPr>
            <w:tcW w:w="2410" w:type="dxa"/>
            <w:vAlign w:val="center"/>
          </w:tcPr>
          <w:p w14:paraId="67407E0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302EBA1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0BA4DF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4F1F8D6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0,003</w:t>
            </w:r>
          </w:p>
        </w:tc>
        <w:tc>
          <w:tcPr>
            <w:tcW w:w="1276" w:type="dxa"/>
            <w:gridSpan w:val="2"/>
            <w:vAlign w:val="center"/>
          </w:tcPr>
          <w:p w14:paraId="0880F9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w:t>
            </w:r>
          </w:p>
        </w:tc>
        <w:tc>
          <w:tcPr>
            <w:tcW w:w="843" w:type="dxa"/>
            <w:vAlign w:val="center"/>
          </w:tcPr>
          <w:p w14:paraId="56FAC1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CD94C4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7510A4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1B10EE2F" w14:textId="77777777" w:rsidTr="00840CCD">
        <w:trPr>
          <w:cantSplit/>
          <w:trHeight w:val="454"/>
        </w:trPr>
        <w:tc>
          <w:tcPr>
            <w:tcW w:w="426" w:type="dxa"/>
            <w:vAlign w:val="center"/>
          </w:tcPr>
          <w:p w14:paraId="7BFEBFBF" w14:textId="1CBF279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39</w:t>
            </w:r>
            <w:r w:rsidR="00927B9E">
              <w:rPr>
                <w:rFonts w:asciiTheme="minorHAnsi" w:hAnsiTheme="minorHAnsi" w:cstheme="minorHAnsi"/>
                <w:szCs w:val="16"/>
              </w:rPr>
              <w:t>.</w:t>
            </w:r>
          </w:p>
        </w:tc>
        <w:tc>
          <w:tcPr>
            <w:tcW w:w="1560" w:type="dxa"/>
            <w:vAlign w:val="center"/>
          </w:tcPr>
          <w:p w14:paraId="770F00F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Kobalt</w:t>
            </w:r>
          </w:p>
        </w:tc>
        <w:tc>
          <w:tcPr>
            <w:tcW w:w="992" w:type="dxa"/>
            <w:vAlign w:val="center"/>
          </w:tcPr>
          <w:p w14:paraId="15A3EF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[mgCo/l]</w:t>
            </w:r>
          </w:p>
        </w:tc>
        <w:tc>
          <w:tcPr>
            <w:tcW w:w="1559" w:type="dxa"/>
            <w:vAlign w:val="center"/>
          </w:tcPr>
          <w:p w14:paraId="4D25D6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3FADA5D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7440-48-4</w:t>
            </w:r>
          </w:p>
        </w:tc>
        <w:tc>
          <w:tcPr>
            <w:tcW w:w="2410" w:type="dxa"/>
            <w:vAlign w:val="center"/>
          </w:tcPr>
          <w:p w14:paraId="03C064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06EDA6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66168FD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A9A23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56527AE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c>
          <w:tcPr>
            <w:tcW w:w="843" w:type="dxa"/>
            <w:vAlign w:val="center"/>
          </w:tcPr>
          <w:p w14:paraId="354240A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9B7BB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8B0A0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0,03%</w:t>
            </w:r>
          </w:p>
        </w:tc>
      </w:tr>
      <w:tr w:rsidR="005330B5" w:rsidRPr="00FF5D72" w14:paraId="5968EFD3" w14:textId="77777777" w:rsidTr="00840CCD">
        <w:trPr>
          <w:cantSplit/>
          <w:trHeight w:val="454"/>
        </w:trPr>
        <w:tc>
          <w:tcPr>
            <w:tcW w:w="426" w:type="dxa"/>
            <w:vAlign w:val="center"/>
          </w:tcPr>
          <w:p w14:paraId="738E32AD" w14:textId="6C5FCC1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40</w:t>
            </w:r>
            <w:r w:rsidR="00927B9E">
              <w:rPr>
                <w:rFonts w:asciiTheme="minorHAnsi" w:hAnsiTheme="minorHAnsi" w:cstheme="minorHAnsi"/>
                <w:szCs w:val="16"/>
              </w:rPr>
              <w:t>.</w:t>
            </w:r>
          </w:p>
        </w:tc>
        <w:tc>
          <w:tcPr>
            <w:tcW w:w="1560" w:type="dxa"/>
            <w:vAlign w:val="center"/>
          </w:tcPr>
          <w:p w14:paraId="313AFA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Molibden</w:t>
            </w:r>
          </w:p>
        </w:tc>
        <w:tc>
          <w:tcPr>
            <w:tcW w:w="992" w:type="dxa"/>
            <w:vAlign w:val="center"/>
          </w:tcPr>
          <w:p w14:paraId="3E9A91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[mgMo/l]</w:t>
            </w:r>
          </w:p>
        </w:tc>
        <w:tc>
          <w:tcPr>
            <w:tcW w:w="1559" w:type="dxa"/>
            <w:vAlign w:val="center"/>
          </w:tcPr>
          <w:p w14:paraId="4AC8752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0743527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7439-98-7</w:t>
            </w:r>
          </w:p>
        </w:tc>
        <w:tc>
          <w:tcPr>
            <w:tcW w:w="2410" w:type="dxa"/>
            <w:vAlign w:val="center"/>
          </w:tcPr>
          <w:p w14:paraId="3CBFEF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2A43CD8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6305FC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08D8185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65296A8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0,02</w:t>
            </w:r>
          </w:p>
        </w:tc>
        <w:tc>
          <w:tcPr>
            <w:tcW w:w="843" w:type="dxa"/>
            <w:vAlign w:val="center"/>
          </w:tcPr>
          <w:p w14:paraId="00E9E4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7E8AE4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4728BC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12B39EDE" w14:textId="77777777" w:rsidTr="00840CCD">
        <w:trPr>
          <w:cantSplit/>
          <w:trHeight w:val="454"/>
        </w:trPr>
        <w:tc>
          <w:tcPr>
            <w:tcW w:w="426" w:type="dxa"/>
            <w:vAlign w:val="center"/>
          </w:tcPr>
          <w:p w14:paraId="29C55F63" w14:textId="3225533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41</w:t>
            </w:r>
            <w:r w:rsidR="00927B9E">
              <w:rPr>
                <w:rFonts w:asciiTheme="minorHAnsi" w:hAnsiTheme="minorHAnsi" w:cstheme="minorHAnsi"/>
                <w:szCs w:val="16"/>
              </w:rPr>
              <w:t>.</w:t>
            </w:r>
          </w:p>
        </w:tc>
        <w:tc>
          <w:tcPr>
            <w:tcW w:w="1560" w:type="dxa"/>
            <w:vAlign w:val="center"/>
          </w:tcPr>
          <w:p w14:paraId="13E920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Tal</w:t>
            </w:r>
          </w:p>
        </w:tc>
        <w:tc>
          <w:tcPr>
            <w:tcW w:w="992" w:type="dxa"/>
            <w:vAlign w:val="center"/>
          </w:tcPr>
          <w:p w14:paraId="71831AB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[mgTl/l]</w:t>
            </w:r>
          </w:p>
        </w:tc>
        <w:tc>
          <w:tcPr>
            <w:tcW w:w="1559" w:type="dxa"/>
            <w:vAlign w:val="center"/>
          </w:tcPr>
          <w:p w14:paraId="4DA487D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3BFC272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15035-09-3</w:t>
            </w:r>
          </w:p>
        </w:tc>
        <w:tc>
          <w:tcPr>
            <w:tcW w:w="2410" w:type="dxa"/>
            <w:vAlign w:val="center"/>
          </w:tcPr>
          <w:p w14:paraId="53762F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781C32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6CB777E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557FB8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1FD4046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0,02</w:t>
            </w:r>
          </w:p>
        </w:tc>
        <w:tc>
          <w:tcPr>
            <w:tcW w:w="843" w:type="dxa"/>
            <w:vAlign w:val="center"/>
          </w:tcPr>
          <w:p w14:paraId="23B970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C2782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2CD8D5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0,3%</w:t>
            </w:r>
          </w:p>
        </w:tc>
      </w:tr>
      <w:tr w:rsidR="005330B5" w:rsidRPr="00FF5D72" w14:paraId="3723A2FC" w14:textId="77777777" w:rsidTr="00840CCD">
        <w:trPr>
          <w:cantSplit/>
          <w:trHeight w:val="454"/>
        </w:trPr>
        <w:tc>
          <w:tcPr>
            <w:tcW w:w="426" w:type="dxa"/>
            <w:vAlign w:val="center"/>
          </w:tcPr>
          <w:p w14:paraId="0FE26BD7" w14:textId="5CF63C1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42</w:t>
            </w:r>
            <w:r w:rsidR="00927B9E">
              <w:rPr>
                <w:rFonts w:asciiTheme="minorHAnsi" w:hAnsiTheme="minorHAnsi" w:cstheme="minorHAnsi"/>
                <w:szCs w:val="16"/>
              </w:rPr>
              <w:t>.</w:t>
            </w:r>
          </w:p>
        </w:tc>
        <w:tc>
          <w:tcPr>
            <w:tcW w:w="1560" w:type="dxa"/>
            <w:vAlign w:val="center"/>
          </w:tcPr>
          <w:p w14:paraId="7C4FCB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Tytan</w:t>
            </w:r>
          </w:p>
        </w:tc>
        <w:tc>
          <w:tcPr>
            <w:tcW w:w="992" w:type="dxa"/>
            <w:vAlign w:val="center"/>
          </w:tcPr>
          <w:p w14:paraId="1C43C5F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[mgTi/l]</w:t>
            </w:r>
          </w:p>
        </w:tc>
        <w:tc>
          <w:tcPr>
            <w:tcW w:w="1559" w:type="dxa"/>
            <w:vAlign w:val="center"/>
          </w:tcPr>
          <w:p w14:paraId="6F0F675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ICP-OES</w:t>
            </w:r>
          </w:p>
        </w:tc>
        <w:tc>
          <w:tcPr>
            <w:tcW w:w="992" w:type="dxa"/>
            <w:vAlign w:val="center"/>
          </w:tcPr>
          <w:p w14:paraId="3CFBFB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7440-32-6</w:t>
            </w:r>
          </w:p>
        </w:tc>
        <w:tc>
          <w:tcPr>
            <w:tcW w:w="2410" w:type="dxa"/>
            <w:vAlign w:val="center"/>
          </w:tcPr>
          <w:p w14:paraId="29E66C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PB-42 Edycja 5 z 20/01/2020</w:t>
            </w:r>
          </w:p>
        </w:tc>
        <w:tc>
          <w:tcPr>
            <w:tcW w:w="992" w:type="dxa"/>
            <w:vAlign w:val="center"/>
          </w:tcPr>
          <w:p w14:paraId="07E3556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t>
            </w:r>
          </w:p>
        </w:tc>
        <w:tc>
          <w:tcPr>
            <w:tcW w:w="993" w:type="dxa"/>
            <w:vAlign w:val="center"/>
          </w:tcPr>
          <w:p w14:paraId="374F36B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4F3DB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0,002</w:t>
            </w:r>
          </w:p>
        </w:tc>
        <w:tc>
          <w:tcPr>
            <w:tcW w:w="1276" w:type="dxa"/>
            <w:gridSpan w:val="2"/>
            <w:vAlign w:val="center"/>
          </w:tcPr>
          <w:p w14:paraId="4A4A240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19556B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D1C0F3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880901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w:t>
            </w:r>
          </w:p>
        </w:tc>
      </w:tr>
      <w:tr w:rsidR="005330B5" w:rsidRPr="00FF5D72" w14:paraId="06BD419D" w14:textId="77777777" w:rsidTr="00840CCD">
        <w:trPr>
          <w:cantSplit/>
          <w:trHeight w:val="454"/>
        </w:trPr>
        <w:tc>
          <w:tcPr>
            <w:tcW w:w="426" w:type="dxa"/>
            <w:vAlign w:val="center"/>
          </w:tcPr>
          <w:p w14:paraId="6D3069F9" w14:textId="6D6D549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43</w:t>
            </w:r>
            <w:r w:rsidR="00927B9E">
              <w:rPr>
                <w:rFonts w:asciiTheme="minorHAnsi" w:hAnsiTheme="minorHAnsi" w:cstheme="minorHAnsi"/>
                <w:szCs w:val="16"/>
              </w:rPr>
              <w:t>.</w:t>
            </w:r>
          </w:p>
        </w:tc>
        <w:tc>
          <w:tcPr>
            <w:tcW w:w="1560" w:type="dxa"/>
            <w:vAlign w:val="center"/>
          </w:tcPr>
          <w:p w14:paraId="755E59C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Uran</w:t>
            </w:r>
          </w:p>
        </w:tc>
        <w:tc>
          <w:tcPr>
            <w:tcW w:w="992" w:type="dxa"/>
            <w:vAlign w:val="center"/>
          </w:tcPr>
          <w:p w14:paraId="3FA7564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[mgU/l]</w:t>
            </w:r>
          </w:p>
        </w:tc>
        <w:tc>
          <w:tcPr>
            <w:tcW w:w="1559" w:type="dxa"/>
            <w:vAlign w:val="center"/>
          </w:tcPr>
          <w:p w14:paraId="11A4B43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76A14E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15117-96-1</w:t>
            </w:r>
          </w:p>
        </w:tc>
        <w:tc>
          <w:tcPr>
            <w:tcW w:w="2410" w:type="dxa"/>
            <w:vAlign w:val="center"/>
          </w:tcPr>
          <w:p w14:paraId="254321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1B68ECE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235596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257920D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276" w:type="dxa"/>
            <w:gridSpan w:val="2"/>
            <w:vAlign w:val="center"/>
          </w:tcPr>
          <w:p w14:paraId="32ED2C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0,03</w:t>
            </w:r>
          </w:p>
        </w:tc>
        <w:tc>
          <w:tcPr>
            <w:tcW w:w="843" w:type="dxa"/>
            <w:vAlign w:val="center"/>
          </w:tcPr>
          <w:p w14:paraId="4FC5696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36A970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B318B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0,2%</w:t>
            </w:r>
          </w:p>
        </w:tc>
      </w:tr>
      <w:tr w:rsidR="005330B5" w:rsidRPr="00FF5D72" w14:paraId="4DE64909" w14:textId="77777777" w:rsidTr="00840CCD">
        <w:trPr>
          <w:cantSplit/>
          <w:trHeight w:val="454"/>
        </w:trPr>
        <w:tc>
          <w:tcPr>
            <w:tcW w:w="426" w:type="dxa"/>
            <w:vAlign w:val="center"/>
          </w:tcPr>
          <w:p w14:paraId="258AE60D" w14:textId="165405B2"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44</w:t>
            </w:r>
            <w:r w:rsidR="00927B9E">
              <w:rPr>
                <w:rFonts w:asciiTheme="minorHAnsi" w:hAnsiTheme="minorHAnsi" w:cstheme="minorHAnsi"/>
                <w:szCs w:val="16"/>
              </w:rPr>
              <w:t>.</w:t>
            </w:r>
          </w:p>
        </w:tc>
        <w:tc>
          <w:tcPr>
            <w:tcW w:w="1560" w:type="dxa"/>
            <w:vAlign w:val="center"/>
          </w:tcPr>
          <w:p w14:paraId="5CA835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Wanad</w:t>
            </w:r>
          </w:p>
        </w:tc>
        <w:tc>
          <w:tcPr>
            <w:tcW w:w="992" w:type="dxa"/>
            <w:vAlign w:val="center"/>
          </w:tcPr>
          <w:p w14:paraId="3C0CB8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[mgV/l]</w:t>
            </w:r>
          </w:p>
        </w:tc>
        <w:tc>
          <w:tcPr>
            <w:tcW w:w="1559" w:type="dxa"/>
            <w:vAlign w:val="center"/>
          </w:tcPr>
          <w:p w14:paraId="4F0F907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ICP-MS</w:t>
            </w:r>
          </w:p>
        </w:tc>
        <w:tc>
          <w:tcPr>
            <w:tcW w:w="992" w:type="dxa"/>
            <w:vAlign w:val="center"/>
          </w:tcPr>
          <w:p w14:paraId="23272B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14867-38-0</w:t>
            </w:r>
          </w:p>
        </w:tc>
        <w:tc>
          <w:tcPr>
            <w:tcW w:w="2410" w:type="dxa"/>
            <w:vAlign w:val="center"/>
          </w:tcPr>
          <w:p w14:paraId="30B261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PB-37 Edycja 12 z 20/01/2020</w:t>
            </w:r>
          </w:p>
        </w:tc>
        <w:tc>
          <w:tcPr>
            <w:tcW w:w="992" w:type="dxa"/>
            <w:vAlign w:val="center"/>
          </w:tcPr>
          <w:p w14:paraId="4645220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653653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023FA9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0,001</w:t>
            </w:r>
          </w:p>
        </w:tc>
        <w:tc>
          <w:tcPr>
            <w:tcW w:w="1276" w:type="dxa"/>
            <w:gridSpan w:val="2"/>
            <w:vAlign w:val="center"/>
          </w:tcPr>
          <w:p w14:paraId="2F514B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843" w:type="dxa"/>
            <w:vAlign w:val="center"/>
          </w:tcPr>
          <w:p w14:paraId="5CD87B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810A1D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11D58D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w:t>
            </w:r>
          </w:p>
        </w:tc>
      </w:tr>
      <w:tr w:rsidR="00C8729D" w:rsidRPr="00FF5D72" w14:paraId="2DF04DD2" w14:textId="77777777" w:rsidTr="00840CCD">
        <w:trPr>
          <w:cantSplit/>
          <w:trHeight w:val="358"/>
        </w:trPr>
        <w:tc>
          <w:tcPr>
            <w:tcW w:w="14860" w:type="dxa"/>
            <w:gridSpan w:val="14"/>
            <w:shd w:val="clear" w:color="auto" w:fill="A6A6A6" w:themeFill="background1" w:themeFillShade="A6"/>
            <w:vAlign w:val="center"/>
          </w:tcPr>
          <w:p w14:paraId="168CADB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Elementy organiczne</w:t>
            </w:r>
          </w:p>
        </w:tc>
      </w:tr>
      <w:tr w:rsidR="005330B5" w:rsidRPr="00FF5D72" w14:paraId="151E3573" w14:textId="77777777" w:rsidTr="00840CCD">
        <w:trPr>
          <w:cantSplit/>
          <w:trHeight w:val="454"/>
        </w:trPr>
        <w:tc>
          <w:tcPr>
            <w:tcW w:w="426" w:type="dxa"/>
            <w:vAlign w:val="center"/>
          </w:tcPr>
          <w:p w14:paraId="76E6480E" w14:textId="306B3E7A"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45</w:t>
            </w:r>
            <w:r w:rsidR="00927B9E">
              <w:rPr>
                <w:rFonts w:asciiTheme="minorHAnsi" w:hAnsiTheme="minorHAnsi" w:cstheme="minorHAnsi"/>
                <w:szCs w:val="16"/>
              </w:rPr>
              <w:t>.</w:t>
            </w:r>
          </w:p>
        </w:tc>
        <w:tc>
          <w:tcPr>
            <w:tcW w:w="1560" w:type="dxa"/>
            <w:vAlign w:val="center"/>
          </w:tcPr>
          <w:p w14:paraId="7B6727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Fenole (indeks fenolowy)</w:t>
            </w:r>
          </w:p>
        </w:tc>
        <w:tc>
          <w:tcPr>
            <w:tcW w:w="992" w:type="dxa"/>
            <w:vAlign w:val="center"/>
          </w:tcPr>
          <w:p w14:paraId="3F74F15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45B82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CFA z detekcją spektrofotometryczną</w:t>
            </w:r>
          </w:p>
        </w:tc>
        <w:tc>
          <w:tcPr>
            <w:tcW w:w="992" w:type="dxa"/>
            <w:vAlign w:val="center"/>
          </w:tcPr>
          <w:p w14:paraId="45B8B74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Brak</w:t>
            </w:r>
          </w:p>
        </w:tc>
        <w:tc>
          <w:tcPr>
            <w:tcW w:w="2410" w:type="dxa"/>
            <w:vAlign w:val="center"/>
          </w:tcPr>
          <w:p w14:paraId="5A5BC17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PN-EN ISO 14402:2004, pkt 4</w:t>
            </w:r>
          </w:p>
          <w:p w14:paraId="0D1A8FB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vAlign w:val="center"/>
          </w:tcPr>
          <w:p w14:paraId="4F07EE8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7E57118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c>
          <w:tcPr>
            <w:tcW w:w="992" w:type="dxa"/>
            <w:vAlign w:val="center"/>
          </w:tcPr>
          <w:p w14:paraId="6D4849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0,003</w:t>
            </w:r>
          </w:p>
        </w:tc>
        <w:tc>
          <w:tcPr>
            <w:tcW w:w="1276" w:type="dxa"/>
            <w:gridSpan w:val="2"/>
            <w:vAlign w:val="center"/>
          </w:tcPr>
          <w:p w14:paraId="0933BFE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843" w:type="dxa"/>
            <w:vAlign w:val="center"/>
          </w:tcPr>
          <w:p w14:paraId="21565E5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96DB30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507AE1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r>
      <w:tr w:rsidR="005330B5" w:rsidRPr="00FF5D72" w14:paraId="4ED349C8" w14:textId="77777777" w:rsidTr="00840CCD">
        <w:trPr>
          <w:cantSplit/>
          <w:trHeight w:val="454"/>
        </w:trPr>
        <w:tc>
          <w:tcPr>
            <w:tcW w:w="426" w:type="dxa"/>
            <w:vAlign w:val="center"/>
          </w:tcPr>
          <w:p w14:paraId="42F5410A" w14:textId="1D48ACB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46</w:t>
            </w:r>
            <w:r w:rsidR="00927B9E">
              <w:rPr>
                <w:rFonts w:asciiTheme="minorHAnsi" w:hAnsiTheme="minorHAnsi" w:cstheme="minorHAnsi"/>
                <w:szCs w:val="16"/>
              </w:rPr>
              <w:t>.</w:t>
            </w:r>
          </w:p>
        </w:tc>
        <w:tc>
          <w:tcPr>
            <w:tcW w:w="1560" w:type="dxa"/>
            <w:vAlign w:val="center"/>
          </w:tcPr>
          <w:p w14:paraId="55CCE2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Tetrachloroeten</w:t>
            </w:r>
          </w:p>
        </w:tc>
        <w:tc>
          <w:tcPr>
            <w:tcW w:w="992" w:type="dxa"/>
            <w:vAlign w:val="center"/>
          </w:tcPr>
          <w:p w14:paraId="3013146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703224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7E474D6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127-18-4</w:t>
            </w:r>
          </w:p>
        </w:tc>
        <w:tc>
          <w:tcPr>
            <w:tcW w:w="2410" w:type="dxa"/>
            <w:vAlign w:val="center"/>
          </w:tcPr>
          <w:p w14:paraId="1071E8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PB-19 Edycja 11 z 20/01/2020</w:t>
            </w:r>
          </w:p>
        </w:tc>
        <w:tc>
          <w:tcPr>
            <w:tcW w:w="992" w:type="dxa"/>
            <w:vAlign w:val="center"/>
          </w:tcPr>
          <w:p w14:paraId="7CE6B1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392E40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w:t>
            </w:r>
          </w:p>
        </w:tc>
        <w:tc>
          <w:tcPr>
            <w:tcW w:w="992" w:type="dxa"/>
            <w:vAlign w:val="center"/>
          </w:tcPr>
          <w:p w14:paraId="3E63DB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1276" w:type="dxa"/>
            <w:gridSpan w:val="2"/>
            <w:vAlign w:val="center"/>
          </w:tcPr>
          <w:p w14:paraId="17F9C70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843" w:type="dxa"/>
            <w:vAlign w:val="center"/>
          </w:tcPr>
          <w:p w14:paraId="64562C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8F1DD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51B95A8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0,6%</w:t>
            </w:r>
          </w:p>
        </w:tc>
      </w:tr>
      <w:tr w:rsidR="005330B5" w:rsidRPr="00FF5D72" w14:paraId="3CA21865" w14:textId="77777777" w:rsidTr="00840CCD">
        <w:trPr>
          <w:cantSplit/>
          <w:trHeight w:val="454"/>
        </w:trPr>
        <w:tc>
          <w:tcPr>
            <w:tcW w:w="426" w:type="dxa"/>
            <w:vAlign w:val="center"/>
          </w:tcPr>
          <w:p w14:paraId="1AC25BD8" w14:textId="081756AE"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47</w:t>
            </w:r>
            <w:r w:rsidR="00927B9E">
              <w:rPr>
                <w:rFonts w:asciiTheme="minorHAnsi" w:hAnsiTheme="minorHAnsi" w:cstheme="minorHAnsi"/>
                <w:szCs w:val="16"/>
              </w:rPr>
              <w:t>.</w:t>
            </w:r>
          </w:p>
        </w:tc>
        <w:tc>
          <w:tcPr>
            <w:tcW w:w="1560" w:type="dxa"/>
            <w:vAlign w:val="center"/>
          </w:tcPr>
          <w:p w14:paraId="2D4A2D4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Trichloroeten</w:t>
            </w:r>
          </w:p>
        </w:tc>
        <w:tc>
          <w:tcPr>
            <w:tcW w:w="992" w:type="dxa"/>
            <w:vAlign w:val="center"/>
          </w:tcPr>
          <w:p w14:paraId="11B9004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14B54D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4202A1C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79-01-6</w:t>
            </w:r>
          </w:p>
        </w:tc>
        <w:tc>
          <w:tcPr>
            <w:tcW w:w="2410" w:type="dxa"/>
            <w:vAlign w:val="center"/>
          </w:tcPr>
          <w:p w14:paraId="7A0562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PB-19 Edycja 11 z 20/01/2020</w:t>
            </w:r>
          </w:p>
        </w:tc>
        <w:tc>
          <w:tcPr>
            <w:tcW w:w="992" w:type="dxa"/>
            <w:vAlign w:val="center"/>
          </w:tcPr>
          <w:p w14:paraId="3B9358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±35%</w:t>
            </w:r>
          </w:p>
        </w:tc>
        <w:tc>
          <w:tcPr>
            <w:tcW w:w="993" w:type="dxa"/>
            <w:vAlign w:val="center"/>
          </w:tcPr>
          <w:p w14:paraId="1EA6859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18%</w:t>
            </w:r>
          </w:p>
        </w:tc>
        <w:tc>
          <w:tcPr>
            <w:tcW w:w="992" w:type="dxa"/>
            <w:vAlign w:val="center"/>
          </w:tcPr>
          <w:p w14:paraId="755F4CD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1276" w:type="dxa"/>
            <w:gridSpan w:val="2"/>
            <w:vAlign w:val="center"/>
          </w:tcPr>
          <w:p w14:paraId="6413B8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0,05</w:t>
            </w:r>
          </w:p>
        </w:tc>
        <w:tc>
          <w:tcPr>
            <w:tcW w:w="843" w:type="dxa"/>
            <w:vAlign w:val="center"/>
          </w:tcPr>
          <w:p w14:paraId="63919C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439BE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654573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0,6%</w:t>
            </w:r>
          </w:p>
        </w:tc>
      </w:tr>
      <w:tr w:rsidR="00C8729D" w:rsidRPr="00FF5D72" w14:paraId="47637D1A" w14:textId="77777777" w:rsidTr="00840CCD">
        <w:trPr>
          <w:cantSplit/>
          <w:trHeight w:val="454"/>
        </w:trPr>
        <w:tc>
          <w:tcPr>
            <w:tcW w:w="14860" w:type="dxa"/>
            <w:gridSpan w:val="14"/>
            <w:shd w:val="clear" w:color="auto" w:fill="A6A6A6" w:themeFill="background1" w:themeFillShade="A6"/>
            <w:vAlign w:val="center"/>
          </w:tcPr>
          <w:p w14:paraId="318E9E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Pestycydy fosforoorganiczne</w:t>
            </w:r>
          </w:p>
        </w:tc>
      </w:tr>
      <w:tr w:rsidR="0017799E" w:rsidRPr="00FF5D72" w14:paraId="03F1EDC9" w14:textId="77777777" w:rsidTr="00744432">
        <w:trPr>
          <w:cantSplit/>
          <w:trHeight w:val="454"/>
        </w:trPr>
        <w:tc>
          <w:tcPr>
            <w:tcW w:w="426" w:type="dxa"/>
            <w:vAlign w:val="center"/>
          </w:tcPr>
          <w:p w14:paraId="4EC317CD" w14:textId="0265156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48</w:t>
            </w:r>
            <w:r w:rsidR="00927B9E">
              <w:rPr>
                <w:rFonts w:asciiTheme="minorHAnsi" w:hAnsiTheme="minorHAnsi" w:cstheme="minorHAnsi"/>
                <w:szCs w:val="16"/>
              </w:rPr>
              <w:t>.</w:t>
            </w:r>
          </w:p>
        </w:tc>
        <w:tc>
          <w:tcPr>
            <w:tcW w:w="1560" w:type="dxa"/>
            <w:vAlign w:val="center"/>
          </w:tcPr>
          <w:p w14:paraId="2D74E6A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Dichlorfos</w:t>
            </w:r>
          </w:p>
        </w:tc>
        <w:tc>
          <w:tcPr>
            <w:tcW w:w="992" w:type="dxa"/>
            <w:vAlign w:val="center"/>
          </w:tcPr>
          <w:p w14:paraId="78C1133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20C206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46447C1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62-73-7</w:t>
            </w:r>
          </w:p>
        </w:tc>
        <w:tc>
          <w:tcPr>
            <w:tcW w:w="2410" w:type="dxa"/>
            <w:vAlign w:val="center"/>
          </w:tcPr>
          <w:p w14:paraId="4C5A5D2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41B52565"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±65%</w:t>
            </w:r>
          </w:p>
        </w:tc>
        <w:tc>
          <w:tcPr>
            <w:tcW w:w="993" w:type="dxa"/>
            <w:vAlign w:val="center"/>
          </w:tcPr>
          <w:p w14:paraId="5D68674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992" w:type="dxa"/>
            <w:vAlign w:val="center"/>
          </w:tcPr>
          <w:p w14:paraId="095036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276" w:type="dxa"/>
            <w:gridSpan w:val="2"/>
            <w:vAlign w:val="center"/>
          </w:tcPr>
          <w:p w14:paraId="65539FB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4239E6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5819F1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8C18A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7EF6DF6A" w14:textId="77777777" w:rsidTr="00744432">
        <w:trPr>
          <w:cantSplit/>
          <w:trHeight w:val="454"/>
        </w:trPr>
        <w:tc>
          <w:tcPr>
            <w:tcW w:w="426" w:type="dxa"/>
            <w:vAlign w:val="center"/>
          </w:tcPr>
          <w:p w14:paraId="733BF0D0" w14:textId="7AF2A8C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49</w:t>
            </w:r>
            <w:r w:rsidR="00927B9E">
              <w:rPr>
                <w:rFonts w:asciiTheme="minorHAnsi" w:hAnsiTheme="minorHAnsi" w:cstheme="minorHAnsi"/>
                <w:szCs w:val="16"/>
              </w:rPr>
              <w:t>.</w:t>
            </w:r>
          </w:p>
        </w:tc>
        <w:tc>
          <w:tcPr>
            <w:tcW w:w="1560" w:type="dxa"/>
            <w:vAlign w:val="center"/>
          </w:tcPr>
          <w:p w14:paraId="5D924F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Mewinfos</w:t>
            </w:r>
          </w:p>
        </w:tc>
        <w:tc>
          <w:tcPr>
            <w:tcW w:w="992" w:type="dxa"/>
            <w:vAlign w:val="center"/>
          </w:tcPr>
          <w:p w14:paraId="510594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5E2E2B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2C41CF7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7786-34-7</w:t>
            </w:r>
          </w:p>
        </w:tc>
        <w:tc>
          <w:tcPr>
            <w:tcW w:w="2410" w:type="dxa"/>
            <w:vAlign w:val="center"/>
          </w:tcPr>
          <w:p w14:paraId="73C11C2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526159FC"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±40%</w:t>
            </w:r>
          </w:p>
        </w:tc>
        <w:tc>
          <w:tcPr>
            <w:tcW w:w="993" w:type="dxa"/>
            <w:vAlign w:val="center"/>
          </w:tcPr>
          <w:p w14:paraId="7BC5E85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726F62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276" w:type="dxa"/>
            <w:gridSpan w:val="2"/>
            <w:vAlign w:val="center"/>
          </w:tcPr>
          <w:p w14:paraId="3634864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180F54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F272A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CA773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59BFCC9F" w14:textId="77777777" w:rsidTr="00744432">
        <w:trPr>
          <w:cantSplit/>
          <w:trHeight w:val="454"/>
        </w:trPr>
        <w:tc>
          <w:tcPr>
            <w:tcW w:w="426" w:type="dxa"/>
            <w:vAlign w:val="center"/>
          </w:tcPr>
          <w:p w14:paraId="5FE5F033" w14:textId="4A4168AE"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50</w:t>
            </w:r>
            <w:r w:rsidR="00927B9E">
              <w:rPr>
                <w:rFonts w:asciiTheme="minorHAnsi" w:hAnsiTheme="minorHAnsi" w:cstheme="minorHAnsi"/>
                <w:szCs w:val="16"/>
              </w:rPr>
              <w:t>.</w:t>
            </w:r>
          </w:p>
        </w:tc>
        <w:tc>
          <w:tcPr>
            <w:tcW w:w="1560" w:type="dxa"/>
            <w:vAlign w:val="center"/>
          </w:tcPr>
          <w:p w14:paraId="133CB6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Tiometon</w:t>
            </w:r>
          </w:p>
        </w:tc>
        <w:tc>
          <w:tcPr>
            <w:tcW w:w="992" w:type="dxa"/>
            <w:vAlign w:val="center"/>
          </w:tcPr>
          <w:p w14:paraId="1B3C0F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A252E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2F732A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640-15-3</w:t>
            </w:r>
          </w:p>
        </w:tc>
        <w:tc>
          <w:tcPr>
            <w:tcW w:w="2410" w:type="dxa"/>
            <w:vAlign w:val="center"/>
          </w:tcPr>
          <w:p w14:paraId="7024B4C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4B37AF8D"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±42%</w:t>
            </w:r>
          </w:p>
        </w:tc>
        <w:tc>
          <w:tcPr>
            <w:tcW w:w="993" w:type="dxa"/>
            <w:vAlign w:val="center"/>
          </w:tcPr>
          <w:p w14:paraId="325680E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18%</w:t>
            </w:r>
          </w:p>
        </w:tc>
        <w:tc>
          <w:tcPr>
            <w:tcW w:w="992" w:type="dxa"/>
            <w:vAlign w:val="center"/>
          </w:tcPr>
          <w:p w14:paraId="3B9AE43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276" w:type="dxa"/>
            <w:gridSpan w:val="2"/>
            <w:vAlign w:val="center"/>
          </w:tcPr>
          <w:p w14:paraId="40331A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3935E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792A8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0633A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03C27319" w14:textId="77777777" w:rsidTr="00744432">
        <w:trPr>
          <w:cantSplit/>
          <w:trHeight w:val="454"/>
        </w:trPr>
        <w:tc>
          <w:tcPr>
            <w:tcW w:w="426" w:type="dxa"/>
            <w:vAlign w:val="center"/>
          </w:tcPr>
          <w:p w14:paraId="2E19E241" w14:textId="4A59C755"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51</w:t>
            </w:r>
            <w:r w:rsidR="00927B9E">
              <w:rPr>
                <w:rFonts w:asciiTheme="minorHAnsi" w:hAnsiTheme="minorHAnsi" w:cstheme="minorHAnsi"/>
                <w:szCs w:val="16"/>
              </w:rPr>
              <w:t>.</w:t>
            </w:r>
          </w:p>
        </w:tc>
        <w:tc>
          <w:tcPr>
            <w:tcW w:w="1560" w:type="dxa"/>
            <w:vAlign w:val="center"/>
          </w:tcPr>
          <w:p w14:paraId="3209A0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Diazynon</w:t>
            </w:r>
          </w:p>
        </w:tc>
        <w:tc>
          <w:tcPr>
            <w:tcW w:w="992" w:type="dxa"/>
            <w:vAlign w:val="center"/>
          </w:tcPr>
          <w:p w14:paraId="364E9E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12F8E5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1873A3D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333-41-5</w:t>
            </w:r>
          </w:p>
        </w:tc>
        <w:tc>
          <w:tcPr>
            <w:tcW w:w="2410" w:type="dxa"/>
            <w:vAlign w:val="center"/>
          </w:tcPr>
          <w:p w14:paraId="2760ACC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42D1D69A"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±38%</w:t>
            </w:r>
          </w:p>
        </w:tc>
        <w:tc>
          <w:tcPr>
            <w:tcW w:w="993" w:type="dxa"/>
            <w:vAlign w:val="center"/>
          </w:tcPr>
          <w:p w14:paraId="0722B4E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16%</w:t>
            </w:r>
          </w:p>
        </w:tc>
        <w:tc>
          <w:tcPr>
            <w:tcW w:w="992" w:type="dxa"/>
            <w:vAlign w:val="center"/>
          </w:tcPr>
          <w:p w14:paraId="5982500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276" w:type="dxa"/>
            <w:gridSpan w:val="2"/>
            <w:vAlign w:val="center"/>
          </w:tcPr>
          <w:p w14:paraId="774484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1A95E41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35CCC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A13C6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25967E97" w14:textId="77777777" w:rsidTr="00744432">
        <w:trPr>
          <w:cantSplit/>
          <w:trHeight w:val="454"/>
        </w:trPr>
        <w:tc>
          <w:tcPr>
            <w:tcW w:w="426" w:type="dxa"/>
            <w:vAlign w:val="center"/>
          </w:tcPr>
          <w:p w14:paraId="55C63E21" w14:textId="7140E5D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52</w:t>
            </w:r>
            <w:r w:rsidR="00927B9E">
              <w:rPr>
                <w:rFonts w:asciiTheme="minorHAnsi" w:hAnsiTheme="minorHAnsi" w:cstheme="minorHAnsi"/>
                <w:szCs w:val="16"/>
              </w:rPr>
              <w:t>.</w:t>
            </w:r>
          </w:p>
        </w:tc>
        <w:tc>
          <w:tcPr>
            <w:tcW w:w="1560" w:type="dxa"/>
            <w:vAlign w:val="center"/>
          </w:tcPr>
          <w:p w14:paraId="314A4CB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Paration metylowy</w:t>
            </w:r>
          </w:p>
        </w:tc>
        <w:tc>
          <w:tcPr>
            <w:tcW w:w="992" w:type="dxa"/>
            <w:vAlign w:val="center"/>
          </w:tcPr>
          <w:p w14:paraId="0A6E8C7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E102F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5E0526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298-00-0</w:t>
            </w:r>
          </w:p>
        </w:tc>
        <w:tc>
          <w:tcPr>
            <w:tcW w:w="2410" w:type="dxa"/>
            <w:vAlign w:val="center"/>
          </w:tcPr>
          <w:p w14:paraId="06B433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4A2FA0A2"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±38%</w:t>
            </w:r>
          </w:p>
        </w:tc>
        <w:tc>
          <w:tcPr>
            <w:tcW w:w="993" w:type="dxa"/>
            <w:vAlign w:val="center"/>
          </w:tcPr>
          <w:p w14:paraId="20323B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992" w:type="dxa"/>
            <w:vAlign w:val="center"/>
          </w:tcPr>
          <w:p w14:paraId="421F61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48DA108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70B7D8D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80772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0BB897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5330B5" w:rsidRPr="00FF5D72" w14:paraId="32C8F974" w14:textId="77777777" w:rsidTr="00744432">
        <w:trPr>
          <w:cantSplit/>
          <w:trHeight w:val="454"/>
        </w:trPr>
        <w:tc>
          <w:tcPr>
            <w:tcW w:w="426" w:type="dxa"/>
            <w:vAlign w:val="center"/>
          </w:tcPr>
          <w:p w14:paraId="19833C34" w14:textId="61BE3A6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53</w:t>
            </w:r>
            <w:r w:rsidR="00927B9E">
              <w:rPr>
                <w:rFonts w:asciiTheme="minorHAnsi" w:hAnsiTheme="minorHAnsi" w:cstheme="minorHAnsi"/>
                <w:szCs w:val="16"/>
              </w:rPr>
              <w:t>.</w:t>
            </w:r>
          </w:p>
        </w:tc>
        <w:tc>
          <w:tcPr>
            <w:tcW w:w="1560" w:type="dxa"/>
            <w:vAlign w:val="center"/>
          </w:tcPr>
          <w:p w14:paraId="5AA9461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Fenitrotion</w:t>
            </w:r>
          </w:p>
        </w:tc>
        <w:tc>
          <w:tcPr>
            <w:tcW w:w="992" w:type="dxa"/>
            <w:vAlign w:val="center"/>
          </w:tcPr>
          <w:p w14:paraId="2AF2F1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51BC2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551143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122-14-5</w:t>
            </w:r>
          </w:p>
        </w:tc>
        <w:tc>
          <w:tcPr>
            <w:tcW w:w="2410" w:type="dxa"/>
            <w:vAlign w:val="center"/>
          </w:tcPr>
          <w:p w14:paraId="1265E3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69D1F05C"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±34%</w:t>
            </w:r>
          </w:p>
        </w:tc>
        <w:tc>
          <w:tcPr>
            <w:tcW w:w="993" w:type="dxa"/>
            <w:vAlign w:val="center"/>
          </w:tcPr>
          <w:p w14:paraId="35FEE2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w:t>
            </w:r>
          </w:p>
        </w:tc>
        <w:tc>
          <w:tcPr>
            <w:tcW w:w="992" w:type="dxa"/>
            <w:vAlign w:val="center"/>
          </w:tcPr>
          <w:p w14:paraId="0E48C8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1940AF1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6188ED7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D0B340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1D851D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5330B5" w:rsidRPr="00FF5D72" w14:paraId="571F8288" w14:textId="77777777" w:rsidTr="00744432">
        <w:trPr>
          <w:cantSplit/>
          <w:trHeight w:val="454"/>
        </w:trPr>
        <w:tc>
          <w:tcPr>
            <w:tcW w:w="426" w:type="dxa"/>
            <w:vAlign w:val="center"/>
          </w:tcPr>
          <w:p w14:paraId="6316A823" w14:textId="59D35E6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54</w:t>
            </w:r>
            <w:r w:rsidR="00927B9E">
              <w:rPr>
                <w:rFonts w:asciiTheme="minorHAnsi" w:hAnsiTheme="minorHAnsi" w:cstheme="minorHAnsi"/>
                <w:szCs w:val="16"/>
              </w:rPr>
              <w:t>.</w:t>
            </w:r>
          </w:p>
        </w:tc>
        <w:tc>
          <w:tcPr>
            <w:tcW w:w="1560" w:type="dxa"/>
            <w:vAlign w:val="center"/>
          </w:tcPr>
          <w:p w14:paraId="773D2E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Malation</w:t>
            </w:r>
          </w:p>
        </w:tc>
        <w:tc>
          <w:tcPr>
            <w:tcW w:w="992" w:type="dxa"/>
            <w:vAlign w:val="center"/>
          </w:tcPr>
          <w:p w14:paraId="011F01D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1D96D0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3DCF62F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121-75-5</w:t>
            </w:r>
          </w:p>
        </w:tc>
        <w:tc>
          <w:tcPr>
            <w:tcW w:w="2410" w:type="dxa"/>
            <w:vAlign w:val="center"/>
          </w:tcPr>
          <w:p w14:paraId="5813BF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08B23AEC"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±42%</w:t>
            </w:r>
          </w:p>
        </w:tc>
        <w:tc>
          <w:tcPr>
            <w:tcW w:w="993" w:type="dxa"/>
            <w:vAlign w:val="center"/>
          </w:tcPr>
          <w:p w14:paraId="388B379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w:t>
            </w:r>
          </w:p>
        </w:tc>
        <w:tc>
          <w:tcPr>
            <w:tcW w:w="992" w:type="dxa"/>
            <w:vAlign w:val="center"/>
          </w:tcPr>
          <w:p w14:paraId="4FE07D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722C928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32FE52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1BB9C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5624C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5330B5" w:rsidRPr="00FF5D72" w14:paraId="63A7E85E" w14:textId="77777777" w:rsidTr="00744432">
        <w:trPr>
          <w:cantSplit/>
          <w:trHeight w:val="454"/>
        </w:trPr>
        <w:tc>
          <w:tcPr>
            <w:tcW w:w="426" w:type="dxa"/>
            <w:vAlign w:val="center"/>
          </w:tcPr>
          <w:p w14:paraId="6EDF75FE" w14:textId="1CD97F3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55</w:t>
            </w:r>
            <w:r w:rsidR="00927B9E">
              <w:rPr>
                <w:rFonts w:asciiTheme="minorHAnsi" w:hAnsiTheme="minorHAnsi" w:cstheme="minorHAnsi"/>
                <w:szCs w:val="16"/>
              </w:rPr>
              <w:t>.</w:t>
            </w:r>
          </w:p>
        </w:tc>
        <w:tc>
          <w:tcPr>
            <w:tcW w:w="1560" w:type="dxa"/>
            <w:vAlign w:val="center"/>
          </w:tcPr>
          <w:p w14:paraId="0DBE824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Fention</w:t>
            </w:r>
          </w:p>
        </w:tc>
        <w:tc>
          <w:tcPr>
            <w:tcW w:w="992" w:type="dxa"/>
            <w:vAlign w:val="center"/>
          </w:tcPr>
          <w:p w14:paraId="6098413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C0BDFD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7E97C9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55-38-9</w:t>
            </w:r>
          </w:p>
        </w:tc>
        <w:tc>
          <w:tcPr>
            <w:tcW w:w="2410" w:type="dxa"/>
            <w:vAlign w:val="center"/>
          </w:tcPr>
          <w:p w14:paraId="2026616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7B732CF0"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±41%</w:t>
            </w:r>
          </w:p>
        </w:tc>
        <w:tc>
          <w:tcPr>
            <w:tcW w:w="993" w:type="dxa"/>
            <w:vAlign w:val="center"/>
          </w:tcPr>
          <w:p w14:paraId="0C8FFD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16%</w:t>
            </w:r>
          </w:p>
        </w:tc>
        <w:tc>
          <w:tcPr>
            <w:tcW w:w="992" w:type="dxa"/>
            <w:vAlign w:val="center"/>
          </w:tcPr>
          <w:p w14:paraId="0B08A32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6568B8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7D8B7C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B34D00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41DBB5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17799E" w:rsidRPr="00FF5D72" w14:paraId="69E1649C" w14:textId="77777777" w:rsidTr="00744432">
        <w:trPr>
          <w:cantSplit/>
          <w:trHeight w:val="454"/>
        </w:trPr>
        <w:tc>
          <w:tcPr>
            <w:tcW w:w="426" w:type="dxa"/>
            <w:vAlign w:val="center"/>
          </w:tcPr>
          <w:p w14:paraId="3B8A451A" w14:textId="5EF24D1A"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56</w:t>
            </w:r>
            <w:r w:rsidR="00927B9E">
              <w:rPr>
                <w:rFonts w:asciiTheme="minorHAnsi" w:hAnsiTheme="minorHAnsi" w:cstheme="minorHAnsi"/>
                <w:szCs w:val="16"/>
              </w:rPr>
              <w:t>.</w:t>
            </w:r>
          </w:p>
        </w:tc>
        <w:tc>
          <w:tcPr>
            <w:tcW w:w="1560" w:type="dxa"/>
            <w:vAlign w:val="center"/>
          </w:tcPr>
          <w:p w14:paraId="4289BF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Paration etylowy</w:t>
            </w:r>
          </w:p>
        </w:tc>
        <w:tc>
          <w:tcPr>
            <w:tcW w:w="992" w:type="dxa"/>
            <w:vAlign w:val="center"/>
          </w:tcPr>
          <w:p w14:paraId="3995AE6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E4FCF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16C608D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56-38-2</w:t>
            </w:r>
          </w:p>
        </w:tc>
        <w:tc>
          <w:tcPr>
            <w:tcW w:w="2410" w:type="dxa"/>
            <w:vAlign w:val="center"/>
          </w:tcPr>
          <w:p w14:paraId="464D52D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shd w:val="clear" w:color="auto" w:fill="auto"/>
            <w:vAlign w:val="center"/>
          </w:tcPr>
          <w:p w14:paraId="1F706AFC" w14:textId="77777777" w:rsidR="005330B5" w:rsidRPr="00744432" w:rsidRDefault="005330B5" w:rsidP="00840CCD">
            <w:pPr>
              <w:pStyle w:val="TabelaRaport"/>
              <w:rPr>
                <w:rFonts w:asciiTheme="minorHAnsi" w:hAnsiTheme="minorHAnsi" w:cstheme="minorHAnsi"/>
                <w:szCs w:val="16"/>
              </w:rPr>
            </w:pPr>
            <w:r w:rsidRPr="00744432">
              <w:rPr>
                <w:rFonts w:asciiTheme="minorHAnsi" w:hAnsiTheme="minorHAnsi" w:cstheme="minorHAnsi"/>
                <w:szCs w:val="16"/>
              </w:rPr>
              <w:t>±57%</w:t>
            </w:r>
          </w:p>
        </w:tc>
        <w:tc>
          <w:tcPr>
            <w:tcW w:w="993" w:type="dxa"/>
            <w:vAlign w:val="center"/>
          </w:tcPr>
          <w:p w14:paraId="36C50DB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2" w:type="dxa"/>
            <w:vAlign w:val="center"/>
          </w:tcPr>
          <w:p w14:paraId="40AB892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0FB9AA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60CB40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07D387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EEB09B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5330B5" w:rsidRPr="00FF5D72" w14:paraId="4244C54F" w14:textId="77777777" w:rsidTr="00840CCD">
        <w:trPr>
          <w:cantSplit/>
          <w:trHeight w:val="454"/>
        </w:trPr>
        <w:tc>
          <w:tcPr>
            <w:tcW w:w="426" w:type="dxa"/>
            <w:vAlign w:val="center"/>
          </w:tcPr>
          <w:p w14:paraId="06DDA36B" w14:textId="1084BC69"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57</w:t>
            </w:r>
            <w:r w:rsidR="00927B9E">
              <w:rPr>
                <w:rFonts w:asciiTheme="minorHAnsi" w:hAnsiTheme="minorHAnsi" w:cstheme="minorHAnsi"/>
                <w:szCs w:val="16"/>
              </w:rPr>
              <w:t>.</w:t>
            </w:r>
          </w:p>
        </w:tc>
        <w:tc>
          <w:tcPr>
            <w:tcW w:w="1560" w:type="dxa"/>
            <w:vAlign w:val="center"/>
          </w:tcPr>
          <w:p w14:paraId="7FD3052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Chlorfenwinfos</w:t>
            </w:r>
          </w:p>
        </w:tc>
        <w:tc>
          <w:tcPr>
            <w:tcW w:w="992" w:type="dxa"/>
            <w:vAlign w:val="center"/>
          </w:tcPr>
          <w:p w14:paraId="5D7A903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1FBC4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72B7149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18708-87-7</w:t>
            </w:r>
          </w:p>
        </w:tc>
        <w:tc>
          <w:tcPr>
            <w:tcW w:w="2410" w:type="dxa"/>
            <w:vAlign w:val="center"/>
          </w:tcPr>
          <w:p w14:paraId="749E032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PB-17 Edycja 9 z 20/01/2020</w:t>
            </w:r>
          </w:p>
        </w:tc>
        <w:tc>
          <w:tcPr>
            <w:tcW w:w="992" w:type="dxa"/>
            <w:vAlign w:val="center"/>
          </w:tcPr>
          <w:p w14:paraId="6CECCE3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±43%</w:t>
            </w:r>
          </w:p>
        </w:tc>
        <w:tc>
          <w:tcPr>
            <w:tcW w:w="993" w:type="dxa"/>
            <w:vAlign w:val="center"/>
          </w:tcPr>
          <w:p w14:paraId="53AFA0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992" w:type="dxa"/>
            <w:vAlign w:val="center"/>
          </w:tcPr>
          <w:p w14:paraId="13B2A83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276" w:type="dxa"/>
            <w:gridSpan w:val="2"/>
            <w:vAlign w:val="center"/>
          </w:tcPr>
          <w:p w14:paraId="47ED253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6FBAA9B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70EBF4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BCCFE4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w:t>
            </w:r>
          </w:p>
        </w:tc>
      </w:tr>
      <w:tr w:rsidR="00C8729D" w:rsidRPr="00FF5D72" w14:paraId="683E3F0F" w14:textId="77777777" w:rsidTr="00840CCD">
        <w:trPr>
          <w:cantSplit/>
          <w:trHeight w:val="454"/>
        </w:trPr>
        <w:tc>
          <w:tcPr>
            <w:tcW w:w="14860" w:type="dxa"/>
            <w:gridSpan w:val="14"/>
            <w:shd w:val="clear" w:color="auto" w:fill="A6A6A6" w:themeFill="background1" w:themeFillShade="A6"/>
            <w:vAlign w:val="center"/>
          </w:tcPr>
          <w:p w14:paraId="635252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Pestycydy chloroorganiczne</w:t>
            </w:r>
          </w:p>
        </w:tc>
      </w:tr>
      <w:tr w:rsidR="005330B5" w:rsidRPr="00FF5D72" w14:paraId="113801E2" w14:textId="77777777" w:rsidTr="00840CCD">
        <w:trPr>
          <w:cantSplit/>
          <w:trHeight w:val="454"/>
        </w:trPr>
        <w:tc>
          <w:tcPr>
            <w:tcW w:w="426" w:type="dxa"/>
            <w:vAlign w:val="center"/>
          </w:tcPr>
          <w:p w14:paraId="37060714" w14:textId="4F3CB31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58</w:t>
            </w:r>
            <w:r w:rsidR="00927B9E">
              <w:rPr>
                <w:rFonts w:asciiTheme="minorHAnsi" w:hAnsiTheme="minorHAnsi" w:cstheme="minorHAnsi"/>
                <w:szCs w:val="16"/>
              </w:rPr>
              <w:t>.</w:t>
            </w:r>
          </w:p>
        </w:tc>
        <w:tc>
          <w:tcPr>
            <w:tcW w:w="1560" w:type="dxa"/>
            <w:vAlign w:val="center"/>
          </w:tcPr>
          <w:p w14:paraId="7D4A61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α-HCH</w:t>
            </w:r>
          </w:p>
        </w:tc>
        <w:tc>
          <w:tcPr>
            <w:tcW w:w="992" w:type="dxa"/>
            <w:vAlign w:val="center"/>
          </w:tcPr>
          <w:p w14:paraId="299BD5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5A50165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4D75121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319-84-6</w:t>
            </w:r>
          </w:p>
        </w:tc>
        <w:tc>
          <w:tcPr>
            <w:tcW w:w="2410" w:type="dxa"/>
            <w:vAlign w:val="center"/>
          </w:tcPr>
          <w:p w14:paraId="1F44E9E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31CF31E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74BAD1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3E0E64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493C39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2673C0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1BFCB8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5EFF28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276769C5" w14:textId="77777777" w:rsidTr="00840CCD">
        <w:trPr>
          <w:cantSplit/>
          <w:trHeight w:val="454"/>
        </w:trPr>
        <w:tc>
          <w:tcPr>
            <w:tcW w:w="426" w:type="dxa"/>
            <w:vAlign w:val="center"/>
          </w:tcPr>
          <w:p w14:paraId="2CACF0AD" w14:textId="66AEE32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59</w:t>
            </w:r>
            <w:r w:rsidR="00927B9E">
              <w:rPr>
                <w:rFonts w:asciiTheme="minorHAnsi" w:hAnsiTheme="minorHAnsi" w:cstheme="minorHAnsi"/>
                <w:szCs w:val="16"/>
              </w:rPr>
              <w:t>.</w:t>
            </w:r>
          </w:p>
        </w:tc>
        <w:tc>
          <w:tcPr>
            <w:tcW w:w="1560" w:type="dxa"/>
            <w:vAlign w:val="center"/>
          </w:tcPr>
          <w:p w14:paraId="0199F1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β-HCH</w:t>
            </w:r>
          </w:p>
        </w:tc>
        <w:tc>
          <w:tcPr>
            <w:tcW w:w="992" w:type="dxa"/>
            <w:vAlign w:val="center"/>
          </w:tcPr>
          <w:p w14:paraId="09DEB80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0464A2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63983B5C" w14:textId="77777777" w:rsidR="005330B5" w:rsidRPr="00FF5D72" w:rsidRDefault="005330B5" w:rsidP="00840CCD">
            <w:pPr>
              <w:jc w:val="center"/>
              <w:rPr>
                <w:rFonts w:asciiTheme="minorHAnsi" w:hAnsiTheme="minorHAnsi" w:cstheme="minorHAnsi"/>
                <w:bCs/>
                <w:color w:val="000000"/>
                <w:sz w:val="16"/>
                <w:szCs w:val="16"/>
              </w:rPr>
            </w:pPr>
            <w:r w:rsidRPr="00FF5D72">
              <w:rPr>
                <w:rFonts w:asciiTheme="minorHAnsi" w:hAnsiTheme="minorHAnsi" w:cstheme="minorHAnsi"/>
                <w:bCs/>
                <w:color w:val="000000"/>
                <w:sz w:val="16"/>
                <w:szCs w:val="16"/>
              </w:rPr>
              <w:t>319-85-7</w:t>
            </w:r>
          </w:p>
        </w:tc>
        <w:tc>
          <w:tcPr>
            <w:tcW w:w="2410" w:type="dxa"/>
            <w:vAlign w:val="center"/>
          </w:tcPr>
          <w:p w14:paraId="622A119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02F187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p>
        </w:tc>
        <w:tc>
          <w:tcPr>
            <w:tcW w:w="993" w:type="dxa"/>
            <w:vAlign w:val="center"/>
          </w:tcPr>
          <w:p w14:paraId="06DBA1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32CE1D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283EB1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81BD3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E820A9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DDCB70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6EC514C7" w14:textId="77777777" w:rsidTr="00840CCD">
        <w:trPr>
          <w:cantSplit/>
          <w:trHeight w:val="454"/>
        </w:trPr>
        <w:tc>
          <w:tcPr>
            <w:tcW w:w="426" w:type="dxa"/>
            <w:vAlign w:val="center"/>
          </w:tcPr>
          <w:p w14:paraId="455165E9" w14:textId="5E4E182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60</w:t>
            </w:r>
            <w:r w:rsidR="00927B9E">
              <w:rPr>
                <w:rFonts w:asciiTheme="minorHAnsi" w:hAnsiTheme="minorHAnsi" w:cstheme="minorHAnsi"/>
                <w:szCs w:val="16"/>
              </w:rPr>
              <w:t>.</w:t>
            </w:r>
          </w:p>
        </w:tc>
        <w:tc>
          <w:tcPr>
            <w:tcW w:w="1560" w:type="dxa"/>
            <w:vAlign w:val="center"/>
          </w:tcPr>
          <w:p w14:paraId="5EBF70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γ-HCH</w:t>
            </w:r>
          </w:p>
        </w:tc>
        <w:tc>
          <w:tcPr>
            <w:tcW w:w="992" w:type="dxa"/>
            <w:vAlign w:val="center"/>
          </w:tcPr>
          <w:p w14:paraId="713BF1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39A8F1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7B70D87F" w14:textId="77777777" w:rsidR="005330B5" w:rsidRPr="00FF5D72" w:rsidRDefault="005330B5" w:rsidP="00840CCD">
            <w:pPr>
              <w:jc w:val="center"/>
              <w:rPr>
                <w:rFonts w:asciiTheme="minorHAnsi" w:hAnsiTheme="minorHAnsi" w:cstheme="minorHAnsi"/>
                <w:bCs/>
                <w:color w:val="000000"/>
                <w:sz w:val="16"/>
                <w:szCs w:val="16"/>
              </w:rPr>
            </w:pPr>
            <w:r w:rsidRPr="00FF5D72">
              <w:rPr>
                <w:rFonts w:asciiTheme="minorHAnsi" w:hAnsiTheme="minorHAnsi" w:cstheme="minorHAnsi"/>
                <w:bCs/>
                <w:color w:val="000000"/>
                <w:sz w:val="16"/>
                <w:szCs w:val="16"/>
              </w:rPr>
              <w:t>58-89-9</w:t>
            </w:r>
          </w:p>
        </w:tc>
        <w:tc>
          <w:tcPr>
            <w:tcW w:w="2410" w:type="dxa"/>
            <w:vAlign w:val="center"/>
          </w:tcPr>
          <w:p w14:paraId="332E6A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16AE616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p>
        </w:tc>
        <w:tc>
          <w:tcPr>
            <w:tcW w:w="993" w:type="dxa"/>
            <w:vAlign w:val="center"/>
          </w:tcPr>
          <w:p w14:paraId="3ADC867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391E497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59F5E8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49F390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FEDD3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1CB49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r>
      <w:tr w:rsidR="005330B5" w:rsidRPr="00FF5D72" w14:paraId="7764C74D" w14:textId="77777777" w:rsidTr="00840CCD">
        <w:trPr>
          <w:cantSplit/>
          <w:trHeight w:val="454"/>
        </w:trPr>
        <w:tc>
          <w:tcPr>
            <w:tcW w:w="426" w:type="dxa"/>
            <w:vAlign w:val="center"/>
          </w:tcPr>
          <w:p w14:paraId="19BB06EA" w14:textId="7502669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61</w:t>
            </w:r>
            <w:r w:rsidR="00927B9E">
              <w:rPr>
                <w:rFonts w:asciiTheme="minorHAnsi" w:hAnsiTheme="minorHAnsi" w:cstheme="minorHAnsi"/>
                <w:szCs w:val="16"/>
              </w:rPr>
              <w:t>.</w:t>
            </w:r>
          </w:p>
        </w:tc>
        <w:tc>
          <w:tcPr>
            <w:tcW w:w="1560" w:type="dxa"/>
            <w:vAlign w:val="center"/>
          </w:tcPr>
          <w:p w14:paraId="370509B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δ-HCH</w:t>
            </w:r>
          </w:p>
        </w:tc>
        <w:tc>
          <w:tcPr>
            <w:tcW w:w="992" w:type="dxa"/>
            <w:vAlign w:val="center"/>
          </w:tcPr>
          <w:p w14:paraId="575268A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F84B65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7153F6E0" w14:textId="77777777" w:rsidR="005330B5" w:rsidRPr="00FF5D72" w:rsidRDefault="005330B5" w:rsidP="00840CCD">
            <w:pPr>
              <w:jc w:val="center"/>
              <w:rPr>
                <w:rFonts w:asciiTheme="minorHAnsi" w:hAnsiTheme="minorHAnsi" w:cstheme="minorHAnsi"/>
                <w:bCs/>
                <w:color w:val="000000"/>
                <w:sz w:val="16"/>
                <w:szCs w:val="16"/>
              </w:rPr>
            </w:pPr>
            <w:r w:rsidRPr="00FF5D72">
              <w:rPr>
                <w:rFonts w:asciiTheme="minorHAnsi" w:hAnsiTheme="minorHAnsi" w:cstheme="minorHAnsi"/>
                <w:bCs/>
                <w:color w:val="000000"/>
                <w:sz w:val="16"/>
                <w:szCs w:val="16"/>
              </w:rPr>
              <w:t>319-86-8</w:t>
            </w:r>
          </w:p>
        </w:tc>
        <w:tc>
          <w:tcPr>
            <w:tcW w:w="2410" w:type="dxa"/>
            <w:vAlign w:val="center"/>
          </w:tcPr>
          <w:p w14:paraId="3D32F65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672086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65E306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w:t>
            </w:r>
          </w:p>
        </w:tc>
        <w:tc>
          <w:tcPr>
            <w:tcW w:w="1134" w:type="dxa"/>
            <w:gridSpan w:val="2"/>
            <w:vAlign w:val="center"/>
          </w:tcPr>
          <w:p w14:paraId="516E25A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09A679F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2A0CDF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E0A7E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3A40BC7"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003BBD07" w14:textId="77777777" w:rsidTr="00840CCD">
        <w:trPr>
          <w:cantSplit/>
          <w:trHeight w:val="454"/>
        </w:trPr>
        <w:tc>
          <w:tcPr>
            <w:tcW w:w="426" w:type="dxa"/>
            <w:vAlign w:val="center"/>
          </w:tcPr>
          <w:p w14:paraId="703ED878" w14:textId="78268C70"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62</w:t>
            </w:r>
            <w:r w:rsidR="00927B9E">
              <w:rPr>
                <w:rFonts w:asciiTheme="minorHAnsi" w:hAnsiTheme="minorHAnsi" w:cstheme="minorHAnsi"/>
                <w:szCs w:val="16"/>
              </w:rPr>
              <w:t>.</w:t>
            </w:r>
          </w:p>
        </w:tc>
        <w:tc>
          <w:tcPr>
            <w:tcW w:w="1560" w:type="dxa"/>
            <w:vAlign w:val="center"/>
          </w:tcPr>
          <w:p w14:paraId="36036B6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Heptachlor</w:t>
            </w:r>
          </w:p>
        </w:tc>
        <w:tc>
          <w:tcPr>
            <w:tcW w:w="992" w:type="dxa"/>
            <w:vAlign w:val="center"/>
          </w:tcPr>
          <w:p w14:paraId="3C3C39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D70A02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14BD31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76-44-8</w:t>
            </w:r>
          </w:p>
        </w:tc>
        <w:tc>
          <w:tcPr>
            <w:tcW w:w="2410" w:type="dxa"/>
            <w:vAlign w:val="center"/>
          </w:tcPr>
          <w:p w14:paraId="392B03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42266A9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±34%</w:t>
            </w:r>
          </w:p>
        </w:tc>
        <w:tc>
          <w:tcPr>
            <w:tcW w:w="993" w:type="dxa"/>
            <w:vAlign w:val="center"/>
          </w:tcPr>
          <w:p w14:paraId="56D3B2A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127A0A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0,000015</w:t>
            </w:r>
          </w:p>
        </w:tc>
        <w:tc>
          <w:tcPr>
            <w:tcW w:w="1134" w:type="dxa"/>
            <w:vAlign w:val="center"/>
          </w:tcPr>
          <w:p w14:paraId="6EE2B2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9ECB2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89209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581663A"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15%</w:t>
            </w:r>
          </w:p>
        </w:tc>
      </w:tr>
      <w:tr w:rsidR="005330B5" w:rsidRPr="00FF5D72" w14:paraId="39AF4E9A" w14:textId="77777777" w:rsidTr="00840CCD">
        <w:trPr>
          <w:cantSplit/>
          <w:trHeight w:val="454"/>
        </w:trPr>
        <w:tc>
          <w:tcPr>
            <w:tcW w:w="426" w:type="dxa"/>
            <w:vAlign w:val="center"/>
          </w:tcPr>
          <w:p w14:paraId="0ECF760F" w14:textId="79E69FF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63</w:t>
            </w:r>
            <w:r w:rsidR="00927B9E">
              <w:rPr>
                <w:rFonts w:asciiTheme="minorHAnsi" w:hAnsiTheme="minorHAnsi" w:cstheme="minorHAnsi"/>
                <w:szCs w:val="16"/>
              </w:rPr>
              <w:t>.</w:t>
            </w:r>
          </w:p>
        </w:tc>
        <w:tc>
          <w:tcPr>
            <w:tcW w:w="1560" w:type="dxa"/>
            <w:vAlign w:val="center"/>
          </w:tcPr>
          <w:p w14:paraId="47F0DF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Aldryna</w:t>
            </w:r>
          </w:p>
        </w:tc>
        <w:tc>
          <w:tcPr>
            <w:tcW w:w="992" w:type="dxa"/>
            <w:vAlign w:val="center"/>
          </w:tcPr>
          <w:p w14:paraId="7ECDBA2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56AE33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609AF99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309-00-2</w:t>
            </w:r>
          </w:p>
        </w:tc>
        <w:tc>
          <w:tcPr>
            <w:tcW w:w="2410" w:type="dxa"/>
            <w:vAlign w:val="center"/>
          </w:tcPr>
          <w:p w14:paraId="3464E19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1D2EC38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261101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757E8F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0,000002</w:t>
            </w:r>
          </w:p>
        </w:tc>
        <w:tc>
          <w:tcPr>
            <w:tcW w:w="1134" w:type="dxa"/>
            <w:vAlign w:val="center"/>
          </w:tcPr>
          <w:p w14:paraId="1344C7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0B1673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0D1E38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F137D00"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2,0%</w:t>
            </w:r>
          </w:p>
        </w:tc>
      </w:tr>
      <w:tr w:rsidR="005330B5" w:rsidRPr="00FF5D72" w14:paraId="65539520" w14:textId="77777777" w:rsidTr="00840CCD">
        <w:trPr>
          <w:cantSplit/>
          <w:trHeight w:val="454"/>
        </w:trPr>
        <w:tc>
          <w:tcPr>
            <w:tcW w:w="426" w:type="dxa"/>
            <w:vAlign w:val="center"/>
          </w:tcPr>
          <w:p w14:paraId="15674F7A" w14:textId="1F92D91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64</w:t>
            </w:r>
            <w:r w:rsidR="00927B9E">
              <w:rPr>
                <w:rFonts w:asciiTheme="minorHAnsi" w:hAnsiTheme="minorHAnsi" w:cstheme="minorHAnsi"/>
                <w:szCs w:val="16"/>
              </w:rPr>
              <w:t>.</w:t>
            </w:r>
          </w:p>
        </w:tc>
        <w:tc>
          <w:tcPr>
            <w:tcW w:w="1560" w:type="dxa"/>
            <w:vAlign w:val="center"/>
          </w:tcPr>
          <w:p w14:paraId="3760B3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Epoksyd heptachloru</w:t>
            </w:r>
          </w:p>
        </w:tc>
        <w:tc>
          <w:tcPr>
            <w:tcW w:w="992" w:type="dxa"/>
            <w:vAlign w:val="center"/>
          </w:tcPr>
          <w:p w14:paraId="13D3B1A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B52762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658BC25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1024-57-3</w:t>
            </w:r>
          </w:p>
        </w:tc>
        <w:tc>
          <w:tcPr>
            <w:tcW w:w="2410" w:type="dxa"/>
            <w:vAlign w:val="center"/>
          </w:tcPr>
          <w:p w14:paraId="3DAC177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0E0E0EF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4C6123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45AB064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4D1D5FF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7AF8203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BF987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EDF3DD3"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79E509D1" w14:textId="77777777" w:rsidTr="00840CCD">
        <w:trPr>
          <w:cantSplit/>
          <w:trHeight w:val="454"/>
        </w:trPr>
        <w:tc>
          <w:tcPr>
            <w:tcW w:w="426" w:type="dxa"/>
            <w:vAlign w:val="center"/>
          </w:tcPr>
          <w:p w14:paraId="528CE5C9" w14:textId="5F9FEB0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65</w:t>
            </w:r>
            <w:r w:rsidR="00927B9E">
              <w:rPr>
                <w:rFonts w:asciiTheme="minorHAnsi" w:hAnsiTheme="minorHAnsi" w:cstheme="minorHAnsi"/>
                <w:szCs w:val="16"/>
              </w:rPr>
              <w:t>.</w:t>
            </w:r>
          </w:p>
        </w:tc>
        <w:tc>
          <w:tcPr>
            <w:tcW w:w="1560" w:type="dxa"/>
            <w:vAlign w:val="center"/>
          </w:tcPr>
          <w:p w14:paraId="02581ED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γ-chlordan</w:t>
            </w:r>
          </w:p>
        </w:tc>
        <w:tc>
          <w:tcPr>
            <w:tcW w:w="992" w:type="dxa"/>
            <w:vAlign w:val="center"/>
          </w:tcPr>
          <w:p w14:paraId="09A421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78AA08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2E1BF6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5103-74-2</w:t>
            </w:r>
          </w:p>
        </w:tc>
        <w:tc>
          <w:tcPr>
            <w:tcW w:w="2410" w:type="dxa"/>
            <w:vAlign w:val="center"/>
          </w:tcPr>
          <w:p w14:paraId="01BC708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3534B56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4220985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778079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16C00D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60D9FBC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59C7E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FABB8FF"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1397272F" w14:textId="77777777" w:rsidTr="00840CCD">
        <w:trPr>
          <w:cantSplit/>
          <w:trHeight w:val="454"/>
        </w:trPr>
        <w:tc>
          <w:tcPr>
            <w:tcW w:w="426" w:type="dxa"/>
            <w:vAlign w:val="center"/>
          </w:tcPr>
          <w:p w14:paraId="62B68871" w14:textId="1509306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66</w:t>
            </w:r>
            <w:r w:rsidR="00927B9E">
              <w:rPr>
                <w:rFonts w:asciiTheme="minorHAnsi" w:hAnsiTheme="minorHAnsi" w:cstheme="minorHAnsi"/>
                <w:szCs w:val="16"/>
              </w:rPr>
              <w:t>.</w:t>
            </w:r>
          </w:p>
        </w:tc>
        <w:tc>
          <w:tcPr>
            <w:tcW w:w="1560" w:type="dxa"/>
            <w:vAlign w:val="center"/>
          </w:tcPr>
          <w:p w14:paraId="0F9D38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Endosulfan I</w:t>
            </w:r>
          </w:p>
        </w:tc>
        <w:tc>
          <w:tcPr>
            <w:tcW w:w="992" w:type="dxa"/>
            <w:vAlign w:val="center"/>
          </w:tcPr>
          <w:p w14:paraId="1D7D60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DDBF9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2AFB63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959-98-8</w:t>
            </w:r>
          </w:p>
        </w:tc>
        <w:tc>
          <w:tcPr>
            <w:tcW w:w="2410" w:type="dxa"/>
            <w:vAlign w:val="center"/>
          </w:tcPr>
          <w:p w14:paraId="0925B84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071ABF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±29%</w:t>
            </w:r>
          </w:p>
        </w:tc>
        <w:tc>
          <w:tcPr>
            <w:tcW w:w="993" w:type="dxa"/>
            <w:vAlign w:val="center"/>
          </w:tcPr>
          <w:p w14:paraId="28221D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11%</w:t>
            </w:r>
          </w:p>
        </w:tc>
        <w:tc>
          <w:tcPr>
            <w:tcW w:w="1134" w:type="dxa"/>
            <w:gridSpan w:val="2"/>
            <w:vAlign w:val="center"/>
          </w:tcPr>
          <w:p w14:paraId="3FCC64B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1F4110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1E1F41A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02624F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2640EC3"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1EF21D4F" w14:textId="77777777" w:rsidTr="00840CCD">
        <w:trPr>
          <w:cantSplit/>
          <w:trHeight w:val="454"/>
        </w:trPr>
        <w:tc>
          <w:tcPr>
            <w:tcW w:w="426" w:type="dxa"/>
            <w:vAlign w:val="center"/>
          </w:tcPr>
          <w:p w14:paraId="28C6EF79" w14:textId="1C93DC95"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67</w:t>
            </w:r>
            <w:r w:rsidR="00927B9E">
              <w:rPr>
                <w:rFonts w:asciiTheme="minorHAnsi" w:hAnsiTheme="minorHAnsi" w:cstheme="minorHAnsi"/>
                <w:szCs w:val="16"/>
              </w:rPr>
              <w:t>.</w:t>
            </w:r>
          </w:p>
        </w:tc>
        <w:tc>
          <w:tcPr>
            <w:tcW w:w="1560" w:type="dxa"/>
            <w:vAlign w:val="center"/>
          </w:tcPr>
          <w:p w14:paraId="72DDADA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α-chlordan</w:t>
            </w:r>
          </w:p>
        </w:tc>
        <w:tc>
          <w:tcPr>
            <w:tcW w:w="992" w:type="dxa"/>
            <w:vAlign w:val="center"/>
          </w:tcPr>
          <w:p w14:paraId="3D5CB2F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849B36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2E732B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5103-71-9</w:t>
            </w:r>
          </w:p>
        </w:tc>
        <w:tc>
          <w:tcPr>
            <w:tcW w:w="2410" w:type="dxa"/>
            <w:vAlign w:val="center"/>
          </w:tcPr>
          <w:p w14:paraId="136A5E2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72AAB33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19AA35E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31E2883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5A900F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63C0CE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6AD63F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4E20BF8"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51E2597E" w14:textId="77777777" w:rsidTr="00840CCD">
        <w:trPr>
          <w:cantSplit/>
          <w:trHeight w:val="454"/>
        </w:trPr>
        <w:tc>
          <w:tcPr>
            <w:tcW w:w="426" w:type="dxa"/>
            <w:vAlign w:val="center"/>
          </w:tcPr>
          <w:p w14:paraId="495B2F0C" w14:textId="6F81F3D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68</w:t>
            </w:r>
            <w:r w:rsidR="00927B9E">
              <w:rPr>
                <w:rFonts w:asciiTheme="minorHAnsi" w:hAnsiTheme="minorHAnsi" w:cstheme="minorHAnsi"/>
                <w:szCs w:val="16"/>
              </w:rPr>
              <w:t>.</w:t>
            </w:r>
          </w:p>
        </w:tc>
        <w:tc>
          <w:tcPr>
            <w:tcW w:w="1560" w:type="dxa"/>
            <w:vAlign w:val="center"/>
          </w:tcPr>
          <w:p w14:paraId="4A28C6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Dieldryna</w:t>
            </w:r>
          </w:p>
        </w:tc>
        <w:tc>
          <w:tcPr>
            <w:tcW w:w="992" w:type="dxa"/>
            <w:vAlign w:val="center"/>
          </w:tcPr>
          <w:p w14:paraId="1963B38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0EB4E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7E3F06B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60-57-1</w:t>
            </w:r>
          </w:p>
        </w:tc>
        <w:tc>
          <w:tcPr>
            <w:tcW w:w="2410" w:type="dxa"/>
            <w:vAlign w:val="center"/>
          </w:tcPr>
          <w:p w14:paraId="52F0FAD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01D4B1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57A0AA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1134" w:type="dxa"/>
            <w:gridSpan w:val="2"/>
            <w:vAlign w:val="center"/>
          </w:tcPr>
          <w:p w14:paraId="49AF8C4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6EA641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7B3B5C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F5CCC4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6158029"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22E98D30" w14:textId="77777777" w:rsidTr="00840CCD">
        <w:trPr>
          <w:cantSplit/>
          <w:trHeight w:val="454"/>
        </w:trPr>
        <w:tc>
          <w:tcPr>
            <w:tcW w:w="426" w:type="dxa"/>
            <w:vAlign w:val="center"/>
          </w:tcPr>
          <w:p w14:paraId="7390243E" w14:textId="6773F29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69</w:t>
            </w:r>
            <w:r w:rsidR="00927B9E">
              <w:rPr>
                <w:rFonts w:asciiTheme="minorHAnsi" w:hAnsiTheme="minorHAnsi" w:cstheme="minorHAnsi"/>
                <w:szCs w:val="16"/>
              </w:rPr>
              <w:t>.</w:t>
            </w:r>
          </w:p>
        </w:tc>
        <w:tc>
          <w:tcPr>
            <w:tcW w:w="1560" w:type="dxa"/>
            <w:vAlign w:val="center"/>
          </w:tcPr>
          <w:p w14:paraId="7BCB46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p,p’-DDE</w:t>
            </w:r>
          </w:p>
        </w:tc>
        <w:tc>
          <w:tcPr>
            <w:tcW w:w="992" w:type="dxa"/>
            <w:vAlign w:val="center"/>
          </w:tcPr>
          <w:p w14:paraId="4068E07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12794B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526054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72-55-9</w:t>
            </w:r>
          </w:p>
        </w:tc>
        <w:tc>
          <w:tcPr>
            <w:tcW w:w="2410" w:type="dxa"/>
            <w:vAlign w:val="center"/>
          </w:tcPr>
          <w:p w14:paraId="549385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3A7E304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p>
        </w:tc>
        <w:tc>
          <w:tcPr>
            <w:tcW w:w="993" w:type="dxa"/>
            <w:vAlign w:val="center"/>
          </w:tcPr>
          <w:p w14:paraId="160DCE8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1134" w:type="dxa"/>
            <w:gridSpan w:val="2"/>
            <w:vAlign w:val="center"/>
          </w:tcPr>
          <w:p w14:paraId="2AB821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74DAAE0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453E6C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1C8AFF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B136A80"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0AD72084" w14:textId="77777777" w:rsidTr="00840CCD">
        <w:trPr>
          <w:cantSplit/>
          <w:trHeight w:val="454"/>
        </w:trPr>
        <w:tc>
          <w:tcPr>
            <w:tcW w:w="426" w:type="dxa"/>
            <w:vAlign w:val="center"/>
          </w:tcPr>
          <w:p w14:paraId="74DA385C" w14:textId="662E7E5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70</w:t>
            </w:r>
            <w:r w:rsidR="00927B9E">
              <w:rPr>
                <w:rFonts w:asciiTheme="minorHAnsi" w:hAnsiTheme="minorHAnsi" w:cstheme="minorHAnsi"/>
                <w:szCs w:val="16"/>
              </w:rPr>
              <w:t>.</w:t>
            </w:r>
          </w:p>
        </w:tc>
        <w:tc>
          <w:tcPr>
            <w:tcW w:w="1560" w:type="dxa"/>
            <w:vAlign w:val="center"/>
          </w:tcPr>
          <w:p w14:paraId="72B11E0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Endryna</w:t>
            </w:r>
          </w:p>
        </w:tc>
        <w:tc>
          <w:tcPr>
            <w:tcW w:w="992" w:type="dxa"/>
            <w:vAlign w:val="center"/>
          </w:tcPr>
          <w:p w14:paraId="0FD9CF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1EA18B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7CC223C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72-20-8</w:t>
            </w:r>
          </w:p>
        </w:tc>
        <w:tc>
          <w:tcPr>
            <w:tcW w:w="2410" w:type="dxa"/>
            <w:vAlign w:val="center"/>
          </w:tcPr>
          <w:p w14:paraId="3EE27AB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118A324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7DB7439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1134" w:type="dxa"/>
            <w:gridSpan w:val="2"/>
            <w:vAlign w:val="center"/>
          </w:tcPr>
          <w:p w14:paraId="7AA950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0,000005</w:t>
            </w:r>
          </w:p>
        </w:tc>
        <w:tc>
          <w:tcPr>
            <w:tcW w:w="1134" w:type="dxa"/>
            <w:vAlign w:val="center"/>
          </w:tcPr>
          <w:p w14:paraId="4C75911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54CB30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A7C84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5E4EFFB"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5,0%</w:t>
            </w:r>
          </w:p>
        </w:tc>
      </w:tr>
      <w:tr w:rsidR="005330B5" w:rsidRPr="00FF5D72" w14:paraId="2E0F62FC" w14:textId="77777777" w:rsidTr="00840CCD">
        <w:trPr>
          <w:cantSplit/>
          <w:trHeight w:val="454"/>
        </w:trPr>
        <w:tc>
          <w:tcPr>
            <w:tcW w:w="426" w:type="dxa"/>
            <w:vAlign w:val="center"/>
          </w:tcPr>
          <w:p w14:paraId="7A07217F" w14:textId="20B0E61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71</w:t>
            </w:r>
            <w:r w:rsidR="00927B9E">
              <w:rPr>
                <w:rFonts w:asciiTheme="minorHAnsi" w:hAnsiTheme="minorHAnsi" w:cstheme="minorHAnsi"/>
                <w:szCs w:val="16"/>
              </w:rPr>
              <w:t>.</w:t>
            </w:r>
          </w:p>
        </w:tc>
        <w:tc>
          <w:tcPr>
            <w:tcW w:w="1560" w:type="dxa"/>
            <w:vAlign w:val="center"/>
          </w:tcPr>
          <w:p w14:paraId="7E9CF22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Endosulfan II</w:t>
            </w:r>
          </w:p>
        </w:tc>
        <w:tc>
          <w:tcPr>
            <w:tcW w:w="992" w:type="dxa"/>
            <w:vAlign w:val="center"/>
          </w:tcPr>
          <w:p w14:paraId="6602CD7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1490F51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1818642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33213-65-9</w:t>
            </w:r>
          </w:p>
        </w:tc>
        <w:tc>
          <w:tcPr>
            <w:tcW w:w="2410" w:type="dxa"/>
            <w:vAlign w:val="center"/>
          </w:tcPr>
          <w:p w14:paraId="7AC707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40720A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71F9307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w:t>
            </w:r>
          </w:p>
        </w:tc>
        <w:tc>
          <w:tcPr>
            <w:tcW w:w="1134" w:type="dxa"/>
            <w:gridSpan w:val="2"/>
            <w:vAlign w:val="center"/>
          </w:tcPr>
          <w:p w14:paraId="7FC58D4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0,000005</w:t>
            </w:r>
          </w:p>
        </w:tc>
        <w:tc>
          <w:tcPr>
            <w:tcW w:w="1134" w:type="dxa"/>
            <w:vAlign w:val="center"/>
          </w:tcPr>
          <w:p w14:paraId="58CA291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E9870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93374E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6177C7B"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5,0%</w:t>
            </w:r>
          </w:p>
        </w:tc>
      </w:tr>
      <w:tr w:rsidR="005330B5" w:rsidRPr="00FF5D72" w14:paraId="597A44C4" w14:textId="77777777" w:rsidTr="00840CCD">
        <w:trPr>
          <w:cantSplit/>
          <w:trHeight w:val="454"/>
        </w:trPr>
        <w:tc>
          <w:tcPr>
            <w:tcW w:w="426" w:type="dxa"/>
            <w:vAlign w:val="center"/>
          </w:tcPr>
          <w:p w14:paraId="1F553165" w14:textId="3D787D3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72</w:t>
            </w:r>
            <w:r w:rsidR="00927B9E">
              <w:rPr>
                <w:rFonts w:asciiTheme="minorHAnsi" w:hAnsiTheme="minorHAnsi" w:cstheme="minorHAnsi"/>
                <w:szCs w:val="16"/>
              </w:rPr>
              <w:t>.</w:t>
            </w:r>
          </w:p>
        </w:tc>
        <w:tc>
          <w:tcPr>
            <w:tcW w:w="1560" w:type="dxa"/>
            <w:vAlign w:val="center"/>
          </w:tcPr>
          <w:p w14:paraId="2254ACF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p,p’-DDD</w:t>
            </w:r>
          </w:p>
        </w:tc>
        <w:tc>
          <w:tcPr>
            <w:tcW w:w="992" w:type="dxa"/>
            <w:vAlign w:val="center"/>
          </w:tcPr>
          <w:p w14:paraId="257D09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8DC985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51CC0E0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72-54-8</w:t>
            </w:r>
          </w:p>
        </w:tc>
        <w:tc>
          <w:tcPr>
            <w:tcW w:w="2410" w:type="dxa"/>
            <w:vAlign w:val="center"/>
          </w:tcPr>
          <w:p w14:paraId="1C42072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2C18D48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4F9F3BA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2AC151D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556E41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1E62A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60A944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EE74622"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0E2AA7E7" w14:textId="77777777" w:rsidTr="00840CCD">
        <w:trPr>
          <w:cantSplit/>
          <w:trHeight w:val="454"/>
        </w:trPr>
        <w:tc>
          <w:tcPr>
            <w:tcW w:w="426" w:type="dxa"/>
            <w:vAlign w:val="center"/>
          </w:tcPr>
          <w:p w14:paraId="42ACF8CE" w14:textId="5269686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73</w:t>
            </w:r>
            <w:r w:rsidR="00927B9E">
              <w:rPr>
                <w:rFonts w:asciiTheme="minorHAnsi" w:hAnsiTheme="minorHAnsi" w:cstheme="minorHAnsi"/>
                <w:szCs w:val="16"/>
              </w:rPr>
              <w:t>.</w:t>
            </w:r>
          </w:p>
        </w:tc>
        <w:tc>
          <w:tcPr>
            <w:tcW w:w="1560" w:type="dxa"/>
            <w:vAlign w:val="center"/>
          </w:tcPr>
          <w:p w14:paraId="00D1DC5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Aldehyd endryny</w:t>
            </w:r>
          </w:p>
        </w:tc>
        <w:tc>
          <w:tcPr>
            <w:tcW w:w="992" w:type="dxa"/>
            <w:vAlign w:val="center"/>
          </w:tcPr>
          <w:p w14:paraId="0DFFBA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69CA4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6265621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7421-93-4</w:t>
            </w:r>
          </w:p>
        </w:tc>
        <w:tc>
          <w:tcPr>
            <w:tcW w:w="2410" w:type="dxa"/>
            <w:vAlign w:val="center"/>
          </w:tcPr>
          <w:p w14:paraId="6671C0A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34F874D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3AA6984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w:t>
            </w:r>
          </w:p>
        </w:tc>
        <w:tc>
          <w:tcPr>
            <w:tcW w:w="1134" w:type="dxa"/>
            <w:gridSpan w:val="2"/>
            <w:vAlign w:val="center"/>
          </w:tcPr>
          <w:p w14:paraId="242D66B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7CC947E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0D92EB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6E1A6E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9CCBAE5"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089981E7" w14:textId="77777777" w:rsidTr="00840CCD">
        <w:trPr>
          <w:cantSplit/>
          <w:trHeight w:val="454"/>
        </w:trPr>
        <w:tc>
          <w:tcPr>
            <w:tcW w:w="426" w:type="dxa"/>
            <w:vAlign w:val="center"/>
          </w:tcPr>
          <w:p w14:paraId="1578120D" w14:textId="30D7DA3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74</w:t>
            </w:r>
            <w:r w:rsidR="00927B9E">
              <w:rPr>
                <w:rFonts w:asciiTheme="minorHAnsi" w:hAnsiTheme="minorHAnsi" w:cstheme="minorHAnsi"/>
                <w:szCs w:val="16"/>
              </w:rPr>
              <w:t>.</w:t>
            </w:r>
          </w:p>
        </w:tc>
        <w:tc>
          <w:tcPr>
            <w:tcW w:w="1560" w:type="dxa"/>
            <w:vAlign w:val="center"/>
          </w:tcPr>
          <w:p w14:paraId="3A593A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Siarczan endosulfanu</w:t>
            </w:r>
          </w:p>
        </w:tc>
        <w:tc>
          <w:tcPr>
            <w:tcW w:w="992" w:type="dxa"/>
            <w:vAlign w:val="center"/>
          </w:tcPr>
          <w:p w14:paraId="0C38D39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7B199C2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208921C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1031-07-8</w:t>
            </w:r>
          </w:p>
        </w:tc>
        <w:tc>
          <w:tcPr>
            <w:tcW w:w="2410" w:type="dxa"/>
            <w:vAlign w:val="center"/>
          </w:tcPr>
          <w:p w14:paraId="47E252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5082AA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3FDD43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w:t>
            </w:r>
          </w:p>
        </w:tc>
        <w:tc>
          <w:tcPr>
            <w:tcW w:w="1134" w:type="dxa"/>
            <w:gridSpan w:val="2"/>
            <w:vAlign w:val="center"/>
          </w:tcPr>
          <w:p w14:paraId="267223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03C95F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F5D2A0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142289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C072169"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79E3D19E" w14:textId="77777777" w:rsidTr="00840CCD">
        <w:trPr>
          <w:cantSplit/>
          <w:trHeight w:val="454"/>
        </w:trPr>
        <w:tc>
          <w:tcPr>
            <w:tcW w:w="426" w:type="dxa"/>
            <w:vAlign w:val="center"/>
          </w:tcPr>
          <w:p w14:paraId="04193CB6" w14:textId="63DB47C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75</w:t>
            </w:r>
            <w:r w:rsidR="00927B9E">
              <w:rPr>
                <w:rFonts w:asciiTheme="minorHAnsi" w:hAnsiTheme="minorHAnsi" w:cstheme="minorHAnsi"/>
                <w:szCs w:val="16"/>
              </w:rPr>
              <w:t>.</w:t>
            </w:r>
          </w:p>
        </w:tc>
        <w:tc>
          <w:tcPr>
            <w:tcW w:w="1560" w:type="dxa"/>
            <w:vAlign w:val="center"/>
          </w:tcPr>
          <w:p w14:paraId="573AB1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p,p’-DDT</w:t>
            </w:r>
          </w:p>
        </w:tc>
        <w:tc>
          <w:tcPr>
            <w:tcW w:w="992" w:type="dxa"/>
            <w:vAlign w:val="center"/>
          </w:tcPr>
          <w:p w14:paraId="01BE8C4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618E24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03AE81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50-29-3</w:t>
            </w:r>
          </w:p>
        </w:tc>
        <w:tc>
          <w:tcPr>
            <w:tcW w:w="2410" w:type="dxa"/>
            <w:vAlign w:val="center"/>
          </w:tcPr>
          <w:p w14:paraId="58B016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766119E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±36%</w:t>
            </w:r>
          </w:p>
        </w:tc>
        <w:tc>
          <w:tcPr>
            <w:tcW w:w="993" w:type="dxa"/>
            <w:vAlign w:val="center"/>
          </w:tcPr>
          <w:p w14:paraId="062C5A3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w:t>
            </w:r>
          </w:p>
        </w:tc>
        <w:tc>
          <w:tcPr>
            <w:tcW w:w="1134" w:type="dxa"/>
            <w:gridSpan w:val="2"/>
            <w:vAlign w:val="center"/>
          </w:tcPr>
          <w:p w14:paraId="6E8D9D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49E45B4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88E014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AD3651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AD9356F"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5330B5" w:rsidRPr="00FF5D72" w14:paraId="78B8B354" w14:textId="77777777" w:rsidTr="00840CCD">
        <w:trPr>
          <w:cantSplit/>
          <w:trHeight w:val="454"/>
        </w:trPr>
        <w:tc>
          <w:tcPr>
            <w:tcW w:w="426" w:type="dxa"/>
            <w:vAlign w:val="center"/>
          </w:tcPr>
          <w:p w14:paraId="33ED82A0" w14:textId="6E5E327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76</w:t>
            </w:r>
            <w:r w:rsidR="00927B9E">
              <w:rPr>
                <w:rFonts w:asciiTheme="minorHAnsi" w:hAnsiTheme="minorHAnsi" w:cstheme="minorHAnsi"/>
                <w:szCs w:val="16"/>
              </w:rPr>
              <w:t>.</w:t>
            </w:r>
          </w:p>
        </w:tc>
        <w:tc>
          <w:tcPr>
            <w:tcW w:w="1560" w:type="dxa"/>
            <w:vAlign w:val="center"/>
          </w:tcPr>
          <w:p w14:paraId="39B901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Keton endryny</w:t>
            </w:r>
          </w:p>
        </w:tc>
        <w:tc>
          <w:tcPr>
            <w:tcW w:w="992" w:type="dxa"/>
            <w:vAlign w:val="center"/>
          </w:tcPr>
          <w:p w14:paraId="096B24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E69B9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690296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53494-70-5</w:t>
            </w:r>
          </w:p>
        </w:tc>
        <w:tc>
          <w:tcPr>
            <w:tcW w:w="2410" w:type="dxa"/>
            <w:vAlign w:val="center"/>
          </w:tcPr>
          <w:p w14:paraId="235662E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441C52C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0D9FFAC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w:t>
            </w:r>
          </w:p>
        </w:tc>
        <w:tc>
          <w:tcPr>
            <w:tcW w:w="1134" w:type="dxa"/>
            <w:gridSpan w:val="2"/>
            <w:vAlign w:val="center"/>
          </w:tcPr>
          <w:p w14:paraId="4D655CE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0,000001</w:t>
            </w:r>
          </w:p>
        </w:tc>
        <w:tc>
          <w:tcPr>
            <w:tcW w:w="1134" w:type="dxa"/>
            <w:vAlign w:val="center"/>
          </w:tcPr>
          <w:p w14:paraId="44A98F8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37F46C8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6F3AD1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D441A7B"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1,0%</w:t>
            </w:r>
          </w:p>
        </w:tc>
      </w:tr>
      <w:tr w:rsidR="00F46A0D" w:rsidRPr="00FF5D72" w14:paraId="587559F3" w14:textId="77777777" w:rsidTr="00744432">
        <w:trPr>
          <w:cantSplit/>
          <w:trHeight w:val="454"/>
        </w:trPr>
        <w:tc>
          <w:tcPr>
            <w:tcW w:w="426" w:type="dxa"/>
            <w:vAlign w:val="center"/>
          </w:tcPr>
          <w:p w14:paraId="60C484C4" w14:textId="2EC261B6"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77</w:t>
            </w:r>
            <w:r w:rsidR="00927B9E">
              <w:rPr>
                <w:rFonts w:asciiTheme="minorHAnsi" w:hAnsiTheme="minorHAnsi" w:cstheme="minorHAnsi"/>
                <w:szCs w:val="16"/>
              </w:rPr>
              <w:t>.</w:t>
            </w:r>
          </w:p>
        </w:tc>
        <w:tc>
          <w:tcPr>
            <w:tcW w:w="1560" w:type="dxa"/>
            <w:vAlign w:val="center"/>
          </w:tcPr>
          <w:p w14:paraId="6E2638B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Metoksychlor</w:t>
            </w:r>
          </w:p>
        </w:tc>
        <w:tc>
          <w:tcPr>
            <w:tcW w:w="992" w:type="dxa"/>
            <w:vAlign w:val="center"/>
          </w:tcPr>
          <w:p w14:paraId="4B5B3C7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62C90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GC-ECD</w:t>
            </w:r>
          </w:p>
        </w:tc>
        <w:tc>
          <w:tcPr>
            <w:tcW w:w="992" w:type="dxa"/>
            <w:vAlign w:val="center"/>
          </w:tcPr>
          <w:p w14:paraId="76B4542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72-43-5</w:t>
            </w:r>
          </w:p>
        </w:tc>
        <w:tc>
          <w:tcPr>
            <w:tcW w:w="2410" w:type="dxa"/>
            <w:vAlign w:val="center"/>
          </w:tcPr>
          <w:p w14:paraId="7F0E930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PB-31 Edycja 11 z 20/01/2020</w:t>
            </w:r>
          </w:p>
        </w:tc>
        <w:tc>
          <w:tcPr>
            <w:tcW w:w="992" w:type="dxa"/>
            <w:vAlign w:val="center"/>
          </w:tcPr>
          <w:p w14:paraId="6D2B22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2AC705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w:t>
            </w:r>
          </w:p>
        </w:tc>
        <w:tc>
          <w:tcPr>
            <w:tcW w:w="1134" w:type="dxa"/>
            <w:gridSpan w:val="2"/>
            <w:vAlign w:val="center"/>
          </w:tcPr>
          <w:p w14:paraId="301B73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1134" w:type="dxa"/>
            <w:vAlign w:val="center"/>
          </w:tcPr>
          <w:p w14:paraId="283C83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347D60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8ECA8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3A0477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100%</w:t>
            </w:r>
          </w:p>
        </w:tc>
      </w:tr>
      <w:tr w:rsidR="00C8729D" w:rsidRPr="00FF5D72" w14:paraId="4E143576" w14:textId="77777777" w:rsidTr="00840CCD">
        <w:trPr>
          <w:cantSplit/>
          <w:trHeight w:val="454"/>
        </w:trPr>
        <w:tc>
          <w:tcPr>
            <w:tcW w:w="14860" w:type="dxa"/>
            <w:gridSpan w:val="14"/>
            <w:shd w:val="clear" w:color="auto" w:fill="A6A6A6" w:themeFill="background1" w:themeFillShade="A6"/>
            <w:vAlign w:val="center"/>
          </w:tcPr>
          <w:p w14:paraId="2908B4FE" w14:textId="1659BB5B" w:rsidR="005330B5" w:rsidRPr="00FF5D72" w:rsidRDefault="005330B5" w:rsidP="00840CCD">
            <w:pPr>
              <w:pStyle w:val="TabelaRaport"/>
              <w:rPr>
                <w:rFonts w:asciiTheme="minorHAnsi" w:hAnsiTheme="minorHAnsi" w:cstheme="minorHAnsi"/>
                <w:szCs w:val="16"/>
                <w:highlight w:val="lightGray"/>
              </w:rPr>
            </w:pPr>
            <w:r w:rsidRPr="00FF5D72">
              <w:rPr>
                <w:rFonts w:asciiTheme="minorHAnsi" w:hAnsiTheme="minorHAnsi" w:cstheme="minorHAnsi"/>
                <w:szCs w:val="16"/>
              </w:rPr>
              <w:t xml:space="preserve">WWA </w:t>
            </w:r>
            <w:r w:rsidR="006C4947">
              <w:rPr>
                <w:rFonts w:asciiTheme="minorHAnsi" w:hAnsiTheme="minorHAnsi" w:cstheme="minorHAnsi"/>
                <w:szCs w:val="16"/>
              </w:rPr>
              <w:t>-</w:t>
            </w:r>
            <w:r w:rsidRPr="00FF5D72">
              <w:rPr>
                <w:rFonts w:asciiTheme="minorHAnsi" w:hAnsiTheme="minorHAnsi" w:cstheme="minorHAnsi"/>
                <w:szCs w:val="16"/>
              </w:rPr>
              <w:t xml:space="preserve"> wielopierścieniowe węglowodory aromatyczne</w:t>
            </w:r>
          </w:p>
        </w:tc>
      </w:tr>
      <w:tr w:rsidR="005330B5" w:rsidRPr="00FF5D72" w14:paraId="53792E68" w14:textId="77777777" w:rsidTr="00840CCD">
        <w:trPr>
          <w:cantSplit/>
          <w:trHeight w:val="454"/>
        </w:trPr>
        <w:tc>
          <w:tcPr>
            <w:tcW w:w="426" w:type="dxa"/>
            <w:vAlign w:val="center"/>
          </w:tcPr>
          <w:p w14:paraId="7853CAC1" w14:textId="722B4760"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78</w:t>
            </w:r>
            <w:r w:rsidR="00927B9E">
              <w:rPr>
                <w:rFonts w:asciiTheme="minorHAnsi" w:hAnsiTheme="minorHAnsi" w:cstheme="minorHAnsi"/>
                <w:szCs w:val="16"/>
              </w:rPr>
              <w:t>.</w:t>
            </w:r>
          </w:p>
        </w:tc>
        <w:tc>
          <w:tcPr>
            <w:tcW w:w="1560" w:type="dxa"/>
            <w:vAlign w:val="center"/>
          </w:tcPr>
          <w:p w14:paraId="4196349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Acenaftylen</w:t>
            </w:r>
          </w:p>
        </w:tc>
        <w:tc>
          <w:tcPr>
            <w:tcW w:w="992" w:type="dxa"/>
            <w:vAlign w:val="center"/>
          </w:tcPr>
          <w:p w14:paraId="3A6D577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FC0F6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78CF95A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208-96-8</w:t>
            </w:r>
          </w:p>
        </w:tc>
        <w:tc>
          <w:tcPr>
            <w:tcW w:w="2410" w:type="dxa"/>
            <w:vAlign w:val="center"/>
          </w:tcPr>
          <w:p w14:paraId="4EAC464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42104D1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w:t>
            </w:r>
          </w:p>
        </w:tc>
        <w:tc>
          <w:tcPr>
            <w:tcW w:w="993" w:type="dxa"/>
            <w:vAlign w:val="center"/>
          </w:tcPr>
          <w:p w14:paraId="066A09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p>
        </w:tc>
        <w:tc>
          <w:tcPr>
            <w:tcW w:w="1134" w:type="dxa"/>
            <w:gridSpan w:val="2"/>
            <w:vAlign w:val="center"/>
          </w:tcPr>
          <w:p w14:paraId="2CEEE86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645778B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0ABEB32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0EC0B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A93643D"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7C3F85D3" w14:textId="77777777" w:rsidTr="00840CCD">
        <w:trPr>
          <w:cantSplit/>
          <w:trHeight w:val="454"/>
        </w:trPr>
        <w:tc>
          <w:tcPr>
            <w:tcW w:w="426" w:type="dxa"/>
            <w:vAlign w:val="center"/>
          </w:tcPr>
          <w:p w14:paraId="6AF63919" w14:textId="015E19E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79</w:t>
            </w:r>
            <w:r w:rsidR="00927B9E">
              <w:rPr>
                <w:rFonts w:asciiTheme="minorHAnsi" w:hAnsiTheme="minorHAnsi" w:cstheme="minorHAnsi"/>
                <w:szCs w:val="16"/>
              </w:rPr>
              <w:t>.</w:t>
            </w:r>
          </w:p>
        </w:tc>
        <w:tc>
          <w:tcPr>
            <w:tcW w:w="1560" w:type="dxa"/>
            <w:vAlign w:val="center"/>
          </w:tcPr>
          <w:p w14:paraId="02F974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Acenaften</w:t>
            </w:r>
          </w:p>
        </w:tc>
        <w:tc>
          <w:tcPr>
            <w:tcW w:w="992" w:type="dxa"/>
            <w:vAlign w:val="center"/>
          </w:tcPr>
          <w:p w14:paraId="3703057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9F464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7FB3A5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83-32-9</w:t>
            </w:r>
          </w:p>
        </w:tc>
        <w:tc>
          <w:tcPr>
            <w:tcW w:w="2410" w:type="dxa"/>
            <w:vAlign w:val="center"/>
          </w:tcPr>
          <w:p w14:paraId="29D6999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28CEB82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w:t>
            </w:r>
          </w:p>
        </w:tc>
        <w:tc>
          <w:tcPr>
            <w:tcW w:w="993" w:type="dxa"/>
            <w:vAlign w:val="center"/>
          </w:tcPr>
          <w:p w14:paraId="1D7C88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4D89295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2203AD3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021A1E0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EFEF2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55997C39"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4BB3B2D9" w14:textId="77777777" w:rsidTr="00840CCD">
        <w:trPr>
          <w:cantSplit/>
          <w:trHeight w:val="454"/>
        </w:trPr>
        <w:tc>
          <w:tcPr>
            <w:tcW w:w="426" w:type="dxa"/>
            <w:vAlign w:val="center"/>
          </w:tcPr>
          <w:p w14:paraId="2BFDD7CE" w14:textId="121549E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80</w:t>
            </w:r>
            <w:r w:rsidR="00927B9E">
              <w:rPr>
                <w:rFonts w:asciiTheme="minorHAnsi" w:hAnsiTheme="minorHAnsi" w:cstheme="minorHAnsi"/>
                <w:szCs w:val="16"/>
              </w:rPr>
              <w:t>.</w:t>
            </w:r>
          </w:p>
        </w:tc>
        <w:tc>
          <w:tcPr>
            <w:tcW w:w="1560" w:type="dxa"/>
            <w:vAlign w:val="center"/>
          </w:tcPr>
          <w:p w14:paraId="444CBFE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Fluoren</w:t>
            </w:r>
          </w:p>
        </w:tc>
        <w:tc>
          <w:tcPr>
            <w:tcW w:w="992" w:type="dxa"/>
            <w:vAlign w:val="center"/>
          </w:tcPr>
          <w:p w14:paraId="4F6A87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4E3459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5DF0D0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86-73-7</w:t>
            </w:r>
          </w:p>
        </w:tc>
        <w:tc>
          <w:tcPr>
            <w:tcW w:w="2410" w:type="dxa"/>
            <w:vAlign w:val="center"/>
          </w:tcPr>
          <w:p w14:paraId="7A79A08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270FF8D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w:t>
            </w:r>
          </w:p>
        </w:tc>
        <w:tc>
          <w:tcPr>
            <w:tcW w:w="993" w:type="dxa"/>
            <w:vAlign w:val="center"/>
          </w:tcPr>
          <w:p w14:paraId="2ACB1B8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4CEB59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7BDAB56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106D2B0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71938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DA91C69"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10BB282B" w14:textId="77777777" w:rsidTr="00840CCD">
        <w:trPr>
          <w:cantSplit/>
          <w:trHeight w:val="454"/>
        </w:trPr>
        <w:tc>
          <w:tcPr>
            <w:tcW w:w="426" w:type="dxa"/>
            <w:vAlign w:val="center"/>
          </w:tcPr>
          <w:p w14:paraId="47E10C58" w14:textId="55BFF9B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81</w:t>
            </w:r>
            <w:r w:rsidR="00927B9E">
              <w:rPr>
                <w:rFonts w:asciiTheme="minorHAnsi" w:hAnsiTheme="minorHAnsi" w:cstheme="minorHAnsi"/>
                <w:szCs w:val="16"/>
              </w:rPr>
              <w:t>.</w:t>
            </w:r>
          </w:p>
        </w:tc>
        <w:tc>
          <w:tcPr>
            <w:tcW w:w="1560" w:type="dxa"/>
            <w:vAlign w:val="center"/>
          </w:tcPr>
          <w:p w14:paraId="1FA359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Fenantren</w:t>
            </w:r>
          </w:p>
        </w:tc>
        <w:tc>
          <w:tcPr>
            <w:tcW w:w="992" w:type="dxa"/>
            <w:vAlign w:val="center"/>
          </w:tcPr>
          <w:p w14:paraId="58B99C9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3B820E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29D2D03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85-01-8</w:t>
            </w:r>
          </w:p>
        </w:tc>
        <w:tc>
          <w:tcPr>
            <w:tcW w:w="2410" w:type="dxa"/>
            <w:vAlign w:val="center"/>
          </w:tcPr>
          <w:p w14:paraId="178A1AA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282D689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±28%</w:t>
            </w:r>
          </w:p>
        </w:tc>
        <w:tc>
          <w:tcPr>
            <w:tcW w:w="993" w:type="dxa"/>
            <w:vAlign w:val="center"/>
          </w:tcPr>
          <w:p w14:paraId="711310B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11%</w:t>
            </w:r>
          </w:p>
        </w:tc>
        <w:tc>
          <w:tcPr>
            <w:tcW w:w="1134" w:type="dxa"/>
            <w:gridSpan w:val="2"/>
            <w:vAlign w:val="center"/>
          </w:tcPr>
          <w:p w14:paraId="037654B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6D9BD3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0E1F26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C1BE8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5C2E43F"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2,3%</w:t>
            </w:r>
          </w:p>
        </w:tc>
      </w:tr>
      <w:tr w:rsidR="005330B5" w:rsidRPr="00FF5D72" w14:paraId="44E638FA" w14:textId="77777777" w:rsidTr="00840CCD">
        <w:trPr>
          <w:cantSplit/>
          <w:trHeight w:val="454"/>
        </w:trPr>
        <w:tc>
          <w:tcPr>
            <w:tcW w:w="426" w:type="dxa"/>
            <w:vAlign w:val="center"/>
          </w:tcPr>
          <w:p w14:paraId="7700C6F2" w14:textId="40DC5AB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82</w:t>
            </w:r>
            <w:r w:rsidR="00927B9E">
              <w:rPr>
                <w:rFonts w:asciiTheme="minorHAnsi" w:hAnsiTheme="minorHAnsi" w:cstheme="minorHAnsi"/>
                <w:szCs w:val="16"/>
              </w:rPr>
              <w:t>.</w:t>
            </w:r>
          </w:p>
        </w:tc>
        <w:tc>
          <w:tcPr>
            <w:tcW w:w="1560" w:type="dxa"/>
            <w:vAlign w:val="center"/>
          </w:tcPr>
          <w:p w14:paraId="73DD1D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Antracen</w:t>
            </w:r>
          </w:p>
        </w:tc>
        <w:tc>
          <w:tcPr>
            <w:tcW w:w="992" w:type="dxa"/>
            <w:vAlign w:val="center"/>
          </w:tcPr>
          <w:p w14:paraId="04B39ED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79E21AF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723237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120-12-7</w:t>
            </w:r>
          </w:p>
        </w:tc>
        <w:tc>
          <w:tcPr>
            <w:tcW w:w="2410" w:type="dxa"/>
            <w:vAlign w:val="center"/>
          </w:tcPr>
          <w:p w14:paraId="0B7B761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1A6F1C5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±28%</w:t>
            </w:r>
          </w:p>
        </w:tc>
        <w:tc>
          <w:tcPr>
            <w:tcW w:w="993" w:type="dxa"/>
            <w:vAlign w:val="center"/>
          </w:tcPr>
          <w:p w14:paraId="339FEFD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w:t>
            </w:r>
          </w:p>
        </w:tc>
        <w:tc>
          <w:tcPr>
            <w:tcW w:w="1134" w:type="dxa"/>
            <w:gridSpan w:val="2"/>
            <w:vAlign w:val="center"/>
          </w:tcPr>
          <w:p w14:paraId="19C176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2DF5ADE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451DE81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75E6E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CD1BA55"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1708E969" w14:textId="77777777" w:rsidTr="00840CCD">
        <w:trPr>
          <w:cantSplit/>
          <w:trHeight w:val="454"/>
        </w:trPr>
        <w:tc>
          <w:tcPr>
            <w:tcW w:w="426" w:type="dxa"/>
            <w:vAlign w:val="center"/>
          </w:tcPr>
          <w:p w14:paraId="4F24B074" w14:textId="6091875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83</w:t>
            </w:r>
            <w:r w:rsidR="00927B9E">
              <w:rPr>
                <w:rFonts w:asciiTheme="minorHAnsi" w:hAnsiTheme="minorHAnsi" w:cstheme="minorHAnsi"/>
                <w:szCs w:val="16"/>
              </w:rPr>
              <w:t>.</w:t>
            </w:r>
          </w:p>
        </w:tc>
        <w:tc>
          <w:tcPr>
            <w:tcW w:w="1560" w:type="dxa"/>
            <w:vAlign w:val="center"/>
          </w:tcPr>
          <w:p w14:paraId="4D921F9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Fluoranten</w:t>
            </w:r>
          </w:p>
        </w:tc>
        <w:tc>
          <w:tcPr>
            <w:tcW w:w="992" w:type="dxa"/>
            <w:vAlign w:val="center"/>
          </w:tcPr>
          <w:p w14:paraId="79D3C33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BF423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70157E0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206-44-0</w:t>
            </w:r>
          </w:p>
        </w:tc>
        <w:tc>
          <w:tcPr>
            <w:tcW w:w="2410" w:type="dxa"/>
            <w:vAlign w:val="center"/>
          </w:tcPr>
          <w:p w14:paraId="039163B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7BABE0F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0BE22A0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w:t>
            </w:r>
          </w:p>
        </w:tc>
        <w:tc>
          <w:tcPr>
            <w:tcW w:w="1134" w:type="dxa"/>
            <w:gridSpan w:val="2"/>
            <w:vAlign w:val="center"/>
          </w:tcPr>
          <w:p w14:paraId="7E729D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0E1578C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68C78E7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AB11D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7CE791C"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14A06BCD" w14:textId="77777777" w:rsidTr="00840CCD">
        <w:trPr>
          <w:cantSplit/>
          <w:trHeight w:val="454"/>
        </w:trPr>
        <w:tc>
          <w:tcPr>
            <w:tcW w:w="426" w:type="dxa"/>
            <w:vAlign w:val="center"/>
          </w:tcPr>
          <w:p w14:paraId="4BEF2A80" w14:textId="4A029C9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84</w:t>
            </w:r>
            <w:r w:rsidR="00927B9E">
              <w:rPr>
                <w:rFonts w:asciiTheme="minorHAnsi" w:hAnsiTheme="minorHAnsi" w:cstheme="minorHAnsi"/>
                <w:szCs w:val="16"/>
              </w:rPr>
              <w:t>.</w:t>
            </w:r>
          </w:p>
        </w:tc>
        <w:tc>
          <w:tcPr>
            <w:tcW w:w="1560" w:type="dxa"/>
            <w:vAlign w:val="center"/>
          </w:tcPr>
          <w:p w14:paraId="313E43A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Piren</w:t>
            </w:r>
          </w:p>
        </w:tc>
        <w:tc>
          <w:tcPr>
            <w:tcW w:w="992" w:type="dxa"/>
            <w:vAlign w:val="center"/>
          </w:tcPr>
          <w:p w14:paraId="3CB6E8C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500D55E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2AA5C5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129-00-0</w:t>
            </w:r>
          </w:p>
        </w:tc>
        <w:tc>
          <w:tcPr>
            <w:tcW w:w="2410" w:type="dxa"/>
            <w:vAlign w:val="center"/>
          </w:tcPr>
          <w:p w14:paraId="348D20E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253368E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404B2C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11%</w:t>
            </w:r>
          </w:p>
        </w:tc>
        <w:tc>
          <w:tcPr>
            <w:tcW w:w="1134" w:type="dxa"/>
            <w:gridSpan w:val="2"/>
            <w:vAlign w:val="center"/>
          </w:tcPr>
          <w:p w14:paraId="1F0A01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0,000004</w:t>
            </w:r>
          </w:p>
        </w:tc>
        <w:tc>
          <w:tcPr>
            <w:tcW w:w="1134" w:type="dxa"/>
            <w:vAlign w:val="center"/>
          </w:tcPr>
          <w:p w14:paraId="5DE4092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103F32D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38E6BF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9D111B0"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1,3%</w:t>
            </w:r>
          </w:p>
        </w:tc>
      </w:tr>
      <w:tr w:rsidR="005330B5" w:rsidRPr="00FF5D72" w14:paraId="23EA2176" w14:textId="77777777" w:rsidTr="00840CCD">
        <w:trPr>
          <w:cantSplit/>
          <w:trHeight w:val="454"/>
        </w:trPr>
        <w:tc>
          <w:tcPr>
            <w:tcW w:w="426" w:type="dxa"/>
            <w:vAlign w:val="center"/>
          </w:tcPr>
          <w:p w14:paraId="6954494C" w14:textId="613DB08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85</w:t>
            </w:r>
            <w:r w:rsidR="00927B9E">
              <w:rPr>
                <w:rFonts w:asciiTheme="minorHAnsi" w:hAnsiTheme="minorHAnsi" w:cstheme="minorHAnsi"/>
                <w:szCs w:val="16"/>
              </w:rPr>
              <w:t>.</w:t>
            </w:r>
          </w:p>
        </w:tc>
        <w:tc>
          <w:tcPr>
            <w:tcW w:w="1560" w:type="dxa"/>
            <w:vAlign w:val="center"/>
          </w:tcPr>
          <w:p w14:paraId="618CE0C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Benzo[a]antracen</w:t>
            </w:r>
          </w:p>
        </w:tc>
        <w:tc>
          <w:tcPr>
            <w:tcW w:w="992" w:type="dxa"/>
            <w:vAlign w:val="center"/>
          </w:tcPr>
          <w:p w14:paraId="7498B31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11AA5E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165AC21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56-55-3</w:t>
            </w:r>
          </w:p>
        </w:tc>
        <w:tc>
          <w:tcPr>
            <w:tcW w:w="2410" w:type="dxa"/>
            <w:vAlign w:val="center"/>
          </w:tcPr>
          <w:p w14:paraId="32D5CB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4EF71A5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78BB146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1134" w:type="dxa"/>
            <w:gridSpan w:val="2"/>
            <w:vAlign w:val="center"/>
          </w:tcPr>
          <w:p w14:paraId="3C0BDE6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0,000006</w:t>
            </w:r>
          </w:p>
        </w:tc>
        <w:tc>
          <w:tcPr>
            <w:tcW w:w="1134" w:type="dxa"/>
            <w:vAlign w:val="center"/>
          </w:tcPr>
          <w:p w14:paraId="2E6128C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60656B8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DDBC8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39D4843"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2,0%</w:t>
            </w:r>
          </w:p>
        </w:tc>
      </w:tr>
      <w:tr w:rsidR="005330B5" w:rsidRPr="00FF5D72" w14:paraId="4DD846D3" w14:textId="77777777" w:rsidTr="00840CCD">
        <w:trPr>
          <w:cantSplit/>
          <w:trHeight w:val="454"/>
        </w:trPr>
        <w:tc>
          <w:tcPr>
            <w:tcW w:w="426" w:type="dxa"/>
            <w:vAlign w:val="center"/>
          </w:tcPr>
          <w:p w14:paraId="68126DA7" w14:textId="16AA3849"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86</w:t>
            </w:r>
            <w:r w:rsidR="00927B9E">
              <w:rPr>
                <w:rFonts w:asciiTheme="minorHAnsi" w:hAnsiTheme="minorHAnsi" w:cstheme="minorHAnsi"/>
                <w:szCs w:val="16"/>
              </w:rPr>
              <w:t>.</w:t>
            </w:r>
          </w:p>
        </w:tc>
        <w:tc>
          <w:tcPr>
            <w:tcW w:w="1560" w:type="dxa"/>
            <w:vAlign w:val="center"/>
          </w:tcPr>
          <w:p w14:paraId="26058BF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Chryzen</w:t>
            </w:r>
          </w:p>
        </w:tc>
        <w:tc>
          <w:tcPr>
            <w:tcW w:w="992" w:type="dxa"/>
            <w:vAlign w:val="center"/>
          </w:tcPr>
          <w:p w14:paraId="3DD662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47DAF0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44B13D0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218-01-9</w:t>
            </w:r>
          </w:p>
        </w:tc>
        <w:tc>
          <w:tcPr>
            <w:tcW w:w="2410" w:type="dxa"/>
            <w:vAlign w:val="center"/>
          </w:tcPr>
          <w:p w14:paraId="5E7EC4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4049355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±31%</w:t>
            </w:r>
          </w:p>
        </w:tc>
        <w:tc>
          <w:tcPr>
            <w:tcW w:w="993" w:type="dxa"/>
            <w:vAlign w:val="center"/>
          </w:tcPr>
          <w:p w14:paraId="53902BF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24%</w:t>
            </w:r>
          </w:p>
        </w:tc>
        <w:tc>
          <w:tcPr>
            <w:tcW w:w="1134" w:type="dxa"/>
            <w:gridSpan w:val="2"/>
            <w:vAlign w:val="center"/>
          </w:tcPr>
          <w:p w14:paraId="5CF26E2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0,000006</w:t>
            </w:r>
          </w:p>
        </w:tc>
        <w:tc>
          <w:tcPr>
            <w:tcW w:w="1134" w:type="dxa"/>
            <w:vAlign w:val="center"/>
          </w:tcPr>
          <w:p w14:paraId="5B78B1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403C561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5C00EA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3FF8D31"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2,0%</w:t>
            </w:r>
          </w:p>
        </w:tc>
      </w:tr>
      <w:tr w:rsidR="005330B5" w:rsidRPr="00FF5D72" w14:paraId="13C2F648" w14:textId="77777777" w:rsidTr="00840CCD">
        <w:trPr>
          <w:cantSplit/>
          <w:trHeight w:val="454"/>
        </w:trPr>
        <w:tc>
          <w:tcPr>
            <w:tcW w:w="426" w:type="dxa"/>
            <w:vAlign w:val="center"/>
          </w:tcPr>
          <w:p w14:paraId="7D21E510" w14:textId="1B3E0B0F"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87</w:t>
            </w:r>
            <w:r w:rsidR="00927B9E">
              <w:rPr>
                <w:rFonts w:asciiTheme="minorHAnsi" w:hAnsiTheme="minorHAnsi" w:cstheme="minorHAnsi"/>
                <w:szCs w:val="16"/>
              </w:rPr>
              <w:t>.</w:t>
            </w:r>
          </w:p>
        </w:tc>
        <w:tc>
          <w:tcPr>
            <w:tcW w:w="1560" w:type="dxa"/>
            <w:vAlign w:val="center"/>
          </w:tcPr>
          <w:p w14:paraId="185DA3E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Benzo[b]fluoranten</w:t>
            </w:r>
          </w:p>
        </w:tc>
        <w:tc>
          <w:tcPr>
            <w:tcW w:w="992" w:type="dxa"/>
            <w:vAlign w:val="center"/>
          </w:tcPr>
          <w:p w14:paraId="5B65AF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71C18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3BD49B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205-99-2</w:t>
            </w:r>
          </w:p>
        </w:tc>
        <w:tc>
          <w:tcPr>
            <w:tcW w:w="2410" w:type="dxa"/>
            <w:vAlign w:val="center"/>
          </w:tcPr>
          <w:p w14:paraId="665C38A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7AF57EF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3715651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w:t>
            </w:r>
          </w:p>
        </w:tc>
        <w:tc>
          <w:tcPr>
            <w:tcW w:w="1134" w:type="dxa"/>
            <w:gridSpan w:val="2"/>
            <w:vAlign w:val="center"/>
          </w:tcPr>
          <w:p w14:paraId="4AD4BBD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5E35EFD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563E8CF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8B3416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FE15D3E"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3,3%</w:t>
            </w:r>
          </w:p>
        </w:tc>
      </w:tr>
      <w:tr w:rsidR="005330B5" w:rsidRPr="00FF5D72" w14:paraId="2953C14A" w14:textId="77777777" w:rsidTr="00840CCD">
        <w:trPr>
          <w:cantSplit/>
          <w:trHeight w:val="454"/>
        </w:trPr>
        <w:tc>
          <w:tcPr>
            <w:tcW w:w="426" w:type="dxa"/>
            <w:vAlign w:val="center"/>
          </w:tcPr>
          <w:p w14:paraId="396EEB11" w14:textId="363AFD5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88</w:t>
            </w:r>
            <w:r w:rsidR="00927B9E">
              <w:rPr>
                <w:rFonts w:asciiTheme="minorHAnsi" w:hAnsiTheme="minorHAnsi" w:cstheme="minorHAnsi"/>
                <w:szCs w:val="16"/>
              </w:rPr>
              <w:t>.</w:t>
            </w:r>
          </w:p>
        </w:tc>
        <w:tc>
          <w:tcPr>
            <w:tcW w:w="1560" w:type="dxa"/>
            <w:vAlign w:val="center"/>
          </w:tcPr>
          <w:p w14:paraId="6F3CCC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Benzo[k]fluoranten</w:t>
            </w:r>
          </w:p>
        </w:tc>
        <w:tc>
          <w:tcPr>
            <w:tcW w:w="992" w:type="dxa"/>
            <w:vAlign w:val="center"/>
          </w:tcPr>
          <w:p w14:paraId="0A8CCE8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56DC9F9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68E3F9D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207-08-9</w:t>
            </w:r>
          </w:p>
        </w:tc>
        <w:tc>
          <w:tcPr>
            <w:tcW w:w="2410" w:type="dxa"/>
            <w:vAlign w:val="center"/>
          </w:tcPr>
          <w:p w14:paraId="0CF4829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1B430B1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±29%</w:t>
            </w:r>
          </w:p>
        </w:tc>
        <w:tc>
          <w:tcPr>
            <w:tcW w:w="993" w:type="dxa"/>
            <w:vAlign w:val="center"/>
          </w:tcPr>
          <w:p w14:paraId="760D2D3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w:t>
            </w:r>
          </w:p>
        </w:tc>
        <w:tc>
          <w:tcPr>
            <w:tcW w:w="1134" w:type="dxa"/>
            <w:gridSpan w:val="2"/>
            <w:vAlign w:val="center"/>
          </w:tcPr>
          <w:p w14:paraId="728CC29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1D110D0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322D324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AEF009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0DF5CA04"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3,3%</w:t>
            </w:r>
          </w:p>
        </w:tc>
      </w:tr>
      <w:tr w:rsidR="005330B5" w:rsidRPr="00FF5D72" w14:paraId="02576E18" w14:textId="77777777" w:rsidTr="00840CCD">
        <w:trPr>
          <w:cantSplit/>
          <w:trHeight w:val="454"/>
        </w:trPr>
        <w:tc>
          <w:tcPr>
            <w:tcW w:w="426" w:type="dxa"/>
            <w:vAlign w:val="center"/>
          </w:tcPr>
          <w:p w14:paraId="0D2AF274" w14:textId="1014CF1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89</w:t>
            </w:r>
            <w:r w:rsidR="00927B9E">
              <w:rPr>
                <w:rFonts w:asciiTheme="minorHAnsi" w:hAnsiTheme="minorHAnsi" w:cstheme="minorHAnsi"/>
                <w:szCs w:val="16"/>
              </w:rPr>
              <w:t>.</w:t>
            </w:r>
          </w:p>
        </w:tc>
        <w:tc>
          <w:tcPr>
            <w:tcW w:w="1560" w:type="dxa"/>
            <w:vAlign w:val="center"/>
          </w:tcPr>
          <w:p w14:paraId="43A3F2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Benzo[e]piren</w:t>
            </w:r>
          </w:p>
        </w:tc>
        <w:tc>
          <w:tcPr>
            <w:tcW w:w="992" w:type="dxa"/>
            <w:vAlign w:val="center"/>
          </w:tcPr>
          <w:p w14:paraId="03AC57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5B5FE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31EDB76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lang w:val="en"/>
              </w:rPr>
              <w:t>192-97-2</w:t>
            </w:r>
          </w:p>
        </w:tc>
        <w:tc>
          <w:tcPr>
            <w:tcW w:w="2410" w:type="dxa"/>
            <w:vAlign w:val="center"/>
          </w:tcPr>
          <w:p w14:paraId="07A2635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7BC977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7AEA849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1134" w:type="dxa"/>
            <w:gridSpan w:val="2"/>
            <w:vAlign w:val="center"/>
          </w:tcPr>
          <w:p w14:paraId="11ECBF5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4276230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492AD85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BBAC47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171100C6"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3,3%</w:t>
            </w:r>
          </w:p>
        </w:tc>
      </w:tr>
      <w:tr w:rsidR="00F46A0D" w:rsidRPr="00FF5D72" w14:paraId="2C17B1E9" w14:textId="77777777" w:rsidTr="00744432">
        <w:trPr>
          <w:cantSplit/>
          <w:trHeight w:val="454"/>
        </w:trPr>
        <w:tc>
          <w:tcPr>
            <w:tcW w:w="426" w:type="dxa"/>
            <w:vAlign w:val="center"/>
          </w:tcPr>
          <w:p w14:paraId="6F27511A" w14:textId="095A585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90</w:t>
            </w:r>
            <w:r w:rsidR="00927B9E">
              <w:rPr>
                <w:rFonts w:asciiTheme="minorHAnsi" w:hAnsiTheme="minorHAnsi" w:cstheme="minorHAnsi"/>
                <w:szCs w:val="16"/>
              </w:rPr>
              <w:t>.</w:t>
            </w:r>
          </w:p>
        </w:tc>
        <w:tc>
          <w:tcPr>
            <w:tcW w:w="1560" w:type="dxa"/>
            <w:vAlign w:val="center"/>
          </w:tcPr>
          <w:p w14:paraId="525F50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Benzo[a]piren</w:t>
            </w:r>
          </w:p>
        </w:tc>
        <w:tc>
          <w:tcPr>
            <w:tcW w:w="992" w:type="dxa"/>
            <w:vAlign w:val="center"/>
          </w:tcPr>
          <w:p w14:paraId="2D90D7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8A367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1FBBDE6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50-32-8</w:t>
            </w:r>
          </w:p>
        </w:tc>
        <w:tc>
          <w:tcPr>
            <w:tcW w:w="2410" w:type="dxa"/>
            <w:vAlign w:val="center"/>
          </w:tcPr>
          <w:p w14:paraId="054F25E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486EC4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p>
        </w:tc>
        <w:tc>
          <w:tcPr>
            <w:tcW w:w="993" w:type="dxa"/>
            <w:vAlign w:val="center"/>
          </w:tcPr>
          <w:p w14:paraId="5C67B17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17%</w:t>
            </w:r>
          </w:p>
        </w:tc>
        <w:tc>
          <w:tcPr>
            <w:tcW w:w="1134" w:type="dxa"/>
            <w:gridSpan w:val="2"/>
            <w:vAlign w:val="center"/>
          </w:tcPr>
          <w:p w14:paraId="1110A70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46E5A91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0,00003</w:t>
            </w:r>
          </w:p>
        </w:tc>
        <w:tc>
          <w:tcPr>
            <w:tcW w:w="843" w:type="dxa"/>
            <w:vAlign w:val="center"/>
          </w:tcPr>
          <w:p w14:paraId="7394AB7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98426A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4DCC2797"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33,3%</w:t>
            </w:r>
          </w:p>
        </w:tc>
      </w:tr>
      <w:tr w:rsidR="005330B5" w:rsidRPr="00FF5D72" w14:paraId="6DAC1BC6" w14:textId="77777777" w:rsidTr="00840CCD">
        <w:trPr>
          <w:cantSplit/>
          <w:trHeight w:val="454"/>
        </w:trPr>
        <w:tc>
          <w:tcPr>
            <w:tcW w:w="426" w:type="dxa"/>
            <w:vAlign w:val="center"/>
          </w:tcPr>
          <w:p w14:paraId="2410FA42" w14:textId="69FBBC0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91</w:t>
            </w:r>
            <w:r w:rsidR="00927B9E">
              <w:rPr>
                <w:rFonts w:asciiTheme="minorHAnsi" w:hAnsiTheme="minorHAnsi" w:cstheme="minorHAnsi"/>
                <w:szCs w:val="16"/>
              </w:rPr>
              <w:t>.</w:t>
            </w:r>
          </w:p>
        </w:tc>
        <w:tc>
          <w:tcPr>
            <w:tcW w:w="1560" w:type="dxa"/>
            <w:vAlign w:val="center"/>
          </w:tcPr>
          <w:p w14:paraId="3A5D7B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Perylen</w:t>
            </w:r>
          </w:p>
        </w:tc>
        <w:tc>
          <w:tcPr>
            <w:tcW w:w="992" w:type="dxa"/>
            <w:vAlign w:val="center"/>
          </w:tcPr>
          <w:p w14:paraId="2F63992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1AF6542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7707AC8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77392-71-3</w:t>
            </w:r>
          </w:p>
        </w:tc>
        <w:tc>
          <w:tcPr>
            <w:tcW w:w="2410" w:type="dxa"/>
            <w:vAlign w:val="center"/>
          </w:tcPr>
          <w:p w14:paraId="7C732FC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69FDCD7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±26%</w:t>
            </w:r>
          </w:p>
        </w:tc>
        <w:tc>
          <w:tcPr>
            <w:tcW w:w="993" w:type="dxa"/>
            <w:vAlign w:val="center"/>
          </w:tcPr>
          <w:p w14:paraId="48C07A7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1134" w:type="dxa"/>
            <w:gridSpan w:val="2"/>
            <w:vAlign w:val="center"/>
          </w:tcPr>
          <w:p w14:paraId="1B27FD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0,00001</w:t>
            </w:r>
          </w:p>
        </w:tc>
        <w:tc>
          <w:tcPr>
            <w:tcW w:w="1134" w:type="dxa"/>
            <w:vAlign w:val="center"/>
          </w:tcPr>
          <w:p w14:paraId="68464CB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6BFAB2F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BB1AD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A51C2D4"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3,3%</w:t>
            </w:r>
          </w:p>
        </w:tc>
      </w:tr>
      <w:tr w:rsidR="005330B5" w:rsidRPr="00FF5D72" w14:paraId="5ACCC19A" w14:textId="77777777" w:rsidTr="00840CCD">
        <w:trPr>
          <w:cantSplit/>
          <w:trHeight w:val="454"/>
        </w:trPr>
        <w:tc>
          <w:tcPr>
            <w:tcW w:w="426" w:type="dxa"/>
            <w:vAlign w:val="center"/>
          </w:tcPr>
          <w:p w14:paraId="7EB2762F" w14:textId="796A0C45"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92</w:t>
            </w:r>
            <w:r w:rsidR="00927B9E">
              <w:rPr>
                <w:rFonts w:asciiTheme="minorHAnsi" w:hAnsiTheme="minorHAnsi" w:cstheme="minorHAnsi"/>
                <w:szCs w:val="16"/>
              </w:rPr>
              <w:t>.</w:t>
            </w:r>
          </w:p>
        </w:tc>
        <w:tc>
          <w:tcPr>
            <w:tcW w:w="1560" w:type="dxa"/>
            <w:vAlign w:val="center"/>
          </w:tcPr>
          <w:p w14:paraId="1F6CE1A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Indeno[1,2,3-cd]piren</w:t>
            </w:r>
          </w:p>
        </w:tc>
        <w:tc>
          <w:tcPr>
            <w:tcW w:w="992" w:type="dxa"/>
            <w:vAlign w:val="center"/>
          </w:tcPr>
          <w:p w14:paraId="2F18E7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97ECFA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40F0B73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193-39-5</w:t>
            </w:r>
          </w:p>
        </w:tc>
        <w:tc>
          <w:tcPr>
            <w:tcW w:w="2410" w:type="dxa"/>
            <w:vAlign w:val="center"/>
          </w:tcPr>
          <w:p w14:paraId="6DB0D3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33A43E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±24%</w:t>
            </w:r>
          </w:p>
        </w:tc>
        <w:tc>
          <w:tcPr>
            <w:tcW w:w="993" w:type="dxa"/>
            <w:vAlign w:val="center"/>
          </w:tcPr>
          <w:p w14:paraId="3F04336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21%</w:t>
            </w:r>
          </w:p>
        </w:tc>
        <w:tc>
          <w:tcPr>
            <w:tcW w:w="1134" w:type="dxa"/>
            <w:gridSpan w:val="2"/>
            <w:vAlign w:val="center"/>
          </w:tcPr>
          <w:p w14:paraId="1F34F31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134" w:type="dxa"/>
            <w:vAlign w:val="center"/>
          </w:tcPr>
          <w:p w14:paraId="4D5EE98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4D3121D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0EC8B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DA4152A"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6,7%</w:t>
            </w:r>
          </w:p>
        </w:tc>
      </w:tr>
      <w:tr w:rsidR="005330B5" w:rsidRPr="00FF5D72" w14:paraId="62975D1E" w14:textId="77777777" w:rsidTr="00840CCD">
        <w:trPr>
          <w:cantSplit/>
          <w:trHeight w:val="454"/>
        </w:trPr>
        <w:tc>
          <w:tcPr>
            <w:tcW w:w="426" w:type="dxa"/>
            <w:vAlign w:val="center"/>
          </w:tcPr>
          <w:p w14:paraId="7C2C0683" w14:textId="7465B331"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93</w:t>
            </w:r>
            <w:r w:rsidR="00927B9E">
              <w:rPr>
                <w:rFonts w:asciiTheme="minorHAnsi" w:hAnsiTheme="minorHAnsi" w:cstheme="minorHAnsi"/>
                <w:szCs w:val="16"/>
              </w:rPr>
              <w:t>.</w:t>
            </w:r>
          </w:p>
        </w:tc>
        <w:tc>
          <w:tcPr>
            <w:tcW w:w="1560" w:type="dxa"/>
            <w:vAlign w:val="center"/>
          </w:tcPr>
          <w:p w14:paraId="4002BA1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Dibenzo[a,h]antracen</w:t>
            </w:r>
          </w:p>
        </w:tc>
        <w:tc>
          <w:tcPr>
            <w:tcW w:w="992" w:type="dxa"/>
            <w:vAlign w:val="center"/>
          </w:tcPr>
          <w:p w14:paraId="43A8D5F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F267DD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42B671A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53-70-3</w:t>
            </w:r>
          </w:p>
        </w:tc>
        <w:tc>
          <w:tcPr>
            <w:tcW w:w="2410" w:type="dxa"/>
            <w:vAlign w:val="center"/>
          </w:tcPr>
          <w:p w14:paraId="6C32F79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7A52747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4849D94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w:t>
            </w:r>
          </w:p>
        </w:tc>
        <w:tc>
          <w:tcPr>
            <w:tcW w:w="1134" w:type="dxa"/>
            <w:gridSpan w:val="2"/>
            <w:vAlign w:val="center"/>
          </w:tcPr>
          <w:p w14:paraId="54209A7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134" w:type="dxa"/>
            <w:vAlign w:val="center"/>
          </w:tcPr>
          <w:p w14:paraId="01D2606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7EC950D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C2E565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8B4290A"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6,7%</w:t>
            </w:r>
          </w:p>
        </w:tc>
      </w:tr>
      <w:tr w:rsidR="005330B5" w:rsidRPr="00FF5D72" w14:paraId="43296A31" w14:textId="77777777" w:rsidTr="00840CCD">
        <w:trPr>
          <w:cantSplit/>
          <w:trHeight w:val="454"/>
        </w:trPr>
        <w:tc>
          <w:tcPr>
            <w:tcW w:w="426" w:type="dxa"/>
            <w:vAlign w:val="center"/>
          </w:tcPr>
          <w:p w14:paraId="63DC24BC" w14:textId="7C985004"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94</w:t>
            </w:r>
            <w:r w:rsidR="00927B9E">
              <w:rPr>
                <w:rFonts w:asciiTheme="minorHAnsi" w:hAnsiTheme="minorHAnsi" w:cstheme="minorHAnsi"/>
                <w:szCs w:val="16"/>
              </w:rPr>
              <w:t>.</w:t>
            </w:r>
          </w:p>
        </w:tc>
        <w:tc>
          <w:tcPr>
            <w:tcW w:w="1560" w:type="dxa"/>
            <w:vAlign w:val="center"/>
          </w:tcPr>
          <w:p w14:paraId="0F7A1C2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Benzo[g,h,i]perylen</w:t>
            </w:r>
          </w:p>
        </w:tc>
        <w:tc>
          <w:tcPr>
            <w:tcW w:w="992" w:type="dxa"/>
            <w:vAlign w:val="center"/>
          </w:tcPr>
          <w:p w14:paraId="5A971EE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7289146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GC-MS</w:t>
            </w:r>
          </w:p>
        </w:tc>
        <w:tc>
          <w:tcPr>
            <w:tcW w:w="992" w:type="dxa"/>
            <w:vAlign w:val="center"/>
          </w:tcPr>
          <w:p w14:paraId="0FE08B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191-24-2</w:t>
            </w:r>
          </w:p>
        </w:tc>
        <w:tc>
          <w:tcPr>
            <w:tcW w:w="2410" w:type="dxa"/>
            <w:vAlign w:val="center"/>
          </w:tcPr>
          <w:p w14:paraId="345E715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PB-15 Edycja 10 z 20/01/2020</w:t>
            </w:r>
          </w:p>
        </w:tc>
        <w:tc>
          <w:tcPr>
            <w:tcW w:w="992" w:type="dxa"/>
            <w:vAlign w:val="center"/>
          </w:tcPr>
          <w:p w14:paraId="262DC9C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±27%</w:t>
            </w:r>
          </w:p>
        </w:tc>
        <w:tc>
          <w:tcPr>
            <w:tcW w:w="993" w:type="dxa"/>
            <w:vAlign w:val="center"/>
          </w:tcPr>
          <w:p w14:paraId="45A1B3B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19%</w:t>
            </w:r>
          </w:p>
        </w:tc>
        <w:tc>
          <w:tcPr>
            <w:tcW w:w="1134" w:type="dxa"/>
            <w:gridSpan w:val="2"/>
            <w:vAlign w:val="center"/>
          </w:tcPr>
          <w:p w14:paraId="6778AC6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0,00002</w:t>
            </w:r>
          </w:p>
        </w:tc>
        <w:tc>
          <w:tcPr>
            <w:tcW w:w="1134" w:type="dxa"/>
            <w:vAlign w:val="center"/>
          </w:tcPr>
          <w:p w14:paraId="1B7AD0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0,0003</w:t>
            </w:r>
          </w:p>
        </w:tc>
        <w:tc>
          <w:tcPr>
            <w:tcW w:w="843" w:type="dxa"/>
            <w:vAlign w:val="center"/>
          </w:tcPr>
          <w:p w14:paraId="5197B38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3CE5F8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5F3303E6"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6,7%</w:t>
            </w:r>
          </w:p>
        </w:tc>
      </w:tr>
      <w:tr w:rsidR="00C8729D" w:rsidRPr="00FF5D72" w14:paraId="565F028D" w14:textId="77777777" w:rsidTr="00840CCD">
        <w:trPr>
          <w:cantSplit/>
          <w:trHeight w:val="454"/>
        </w:trPr>
        <w:tc>
          <w:tcPr>
            <w:tcW w:w="14860" w:type="dxa"/>
            <w:gridSpan w:val="14"/>
            <w:shd w:val="clear" w:color="auto" w:fill="A6A6A6" w:themeFill="background1" w:themeFillShade="A6"/>
            <w:vAlign w:val="center"/>
          </w:tcPr>
          <w:p w14:paraId="26DBB943" w14:textId="312C7A1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BTX </w:t>
            </w:r>
            <w:r w:rsidR="006C4947">
              <w:rPr>
                <w:rFonts w:asciiTheme="minorHAnsi" w:hAnsiTheme="minorHAnsi" w:cstheme="minorHAnsi"/>
                <w:szCs w:val="16"/>
              </w:rPr>
              <w:t>-</w:t>
            </w:r>
            <w:r w:rsidRPr="00FF5D72">
              <w:rPr>
                <w:rFonts w:asciiTheme="minorHAnsi" w:hAnsiTheme="minorHAnsi" w:cstheme="minorHAnsi"/>
                <w:szCs w:val="16"/>
              </w:rPr>
              <w:t xml:space="preserve"> lotne węglowodory aromatyczne</w:t>
            </w:r>
          </w:p>
        </w:tc>
      </w:tr>
      <w:tr w:rsidR="005330B5" w:rsidRPr="00FF5D72" w14:paraId="61F720B4" w14:textId="77777777" w:rsidTr="00840CCD">
        <w:trPr>
          <w:cantSplit/>
          <w:trHeight w:val="454"/>
        </w:trPr>
        <w:tc>
          <w:tcPr>
            <w:tcW w:w="426" w:type="dxa"/>
            <w:vAlign w:val="center"/>
          </w:tcPr>
          <w:p w14:paraId="15F1B271" w14:textId="7A4294F9"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95</w:t>
            </w:r>
            <w:r w:rsidR="00927B9E">
              <w:rPr>
                <w:rFonts w:asciiTheme="minorHAnsi" w:hAnsiTheme="minorHAnsi" w:cstheme="minorHAnsi"/>
                <w:szCs w:val="16"/>
              </w:rPr>
              <w:t>.</w:t>
            </w:r>
          </w:p>
        </w:tc>
        <w:tc>
          <w:tcPr>
            <w:tcW w:w="1560" w:type="dxa"/>
            <w:vAlign w:val="center"/>
          </w:tcPr>
          <w:p w14:paraId="74575D0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Benzen</w:t>
            </w:r>
          </w:p>
        </w:tc>
        <w:tc>
          <w:tcPr>
            <w:tcW w:w="992" w:type="dxa"/>
            <w:vAlign w:val="center"/>
          </w:tcPr>
          <w:p w14:paraId="56980C4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221B4DF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0C8ADE9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71-43-2</w:t>
            </w:r>
          </w:p>
        </w:tc>
        <w:tc>
          <w:tcPr>
            <w:tcW w:w="2410" w:type="dxa"/>
            <w:vAlign w:val="center"/>
          </w:tcPr>
          <w:p w14:paraId="468A02D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379D11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1FC1022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4A7C3E6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0,0002</w:t>
            </w:r>
          </w:p>
        </w:tc>
        <w:tc>
          <w:tcPr>
            <w:tcW w:w="1134" w:type="dxa"/>
            <w:vAlign w:val="center"/>
          </w:tcPr>
          <w:p w14:paraId="1B71C92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0,01</w:t>
            </w:r>
          </w:p>
        </w:tc>
        <w:tc>
          <w:tcPr>
            <w:tcW w:w="843" w:type="dxa"/>
            <w:vAlign w:val="center"/>
          </w:tcPr>
          <w:p w14:paraId="773EED0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4181C2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6BFCF2AF"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2,0%</w:t>
            </w:r>
          </w:p>
        </w:tc>
      </w:tr>
      <w:tr w:rsidR="005330B5" w:rsidRPr="00FF5D72" w14:paraId="370DCBAB" w14:textId="77777777" w:rsidTr="00840CCD">
        <w:trPr>
          <w:cantSplit/>
          <w:trHeight w:val="454"/>
        </w:trPr>
        <w:tc>
          <w:tcPr>
            <w:tcW w:w="426" w:type="dxa"/>
            <w:vAlign w:val="center"/>
          </w:tcPr>
          <w:p w14:paraId="60AE806A" w14:textId="675A077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96</w:t>
            </w:r>
            <w:r w:rsidR="00927B9E">
              <w:rPr>
                <w:rFonts w:asciiTheme="minorHAnsi" w:hAnsiTheme="minorHAnsi" w:cstheme="minorHAnsi"/>
                <w:szCs w:val="16"/>
              </w:rPr>
              <w:t>.</w:t>
            </w:r>
          </w:p>
        </w:tc>
        <w:tc>
          <w:tcPr>
            <w:tcW w:w="1560" w:type="dxa"/>
            <w:vAlign w:val="center"/>
          </w:tcPr>
          <w:p w14:paraId="2181595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Toluen</w:t>
            </w:r>
          </w:p>
        </w:tc>
        <w:tc>
          <w:tcPr>
            <w:tcW w:w="992" w:type="dxa"/>
            <w:vAlign w:val="center"/>
          </w:tcPr>
          <w:p w14:paraId="7A4D61F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5B3B7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5A912FC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108-88-3</w:t>
            </w:r>
          </w:p>
        </w:tc>
        <w:tc>
          <w:tcPr>
            <w:tcW w:w="2410" w:type="dxa"/>
            <w:vAlign w:val="center"/>
          </w:tcPr>
          <w:p w14:paraId="0EE3F62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5A67543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±24%</w:t>
            </w:r>
          </w:p>
        </w:tc>
        <w:tc>
          <w:tcPr>
            <w:tcW w:w="993" w:type="dxa"/>
            <w:vAlign w:val="center"/>
          </w:tcPr>
          <w:p w14:paraId="4915B8B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w:t>
            </w:r>
          </w:p>
        </w:tc>
        <w:tc>
          <w:tcPr>
            <w:tcW w:w="1134" w:type="dxa"/>
            <w:gridSpan w:val="2"/>
            <w:vAlign w:val="center"/>
          </w:tcPr>
          <w:p w14:paraId="615C00F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134" w:type="dxa"/>
            <w:vAlign w:val="center"/>
          </w:tcPr>
          <w:p w14:paraId="219D342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26E6C01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7D6513B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29B24500"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0,5%</w:t>
            </w:r>
          </w:p>
        </w:tc>
      </w:tr>
      <w:tr w:rsidR="005330B5" w:rsidRPr="00FF5D72" w14:paraId="427C0F14" w14:textId="77777777" w:rsidTr="00840CCD">
        <w:trPr>
          <w:cantSplit/>
          <w:trHeight w:val="454"/>
        </w:trPr>
        <w:tc>
          <w:tcPr>
            <w:tcW w:w="426" w:type="dxa"/>
            <w:vAlign w:val="center"/>
          </w:tcPr>
          <w:p w14:paraId="274B4194" w14:textId="03DD7FE8"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97</w:t>
            </w:r>
            <w:r w:rsidR="00927B9E">
              <w:rPr>
                <w:rFonts w:asciiTheme="minorHAnsi" w:hAnsiTheme="minorHAnsi" w:cstheme="minorHAnsi"/>
                <w:szCs w:val="16"/>
              </w:rPr>
              <w:t>.</w:t>
            </w:r>
          </w:p>
        </w:tc>
        <w:tc>
          <w:tcPr>
            <w:tcW w:w="1560" w:type="dxa"/>
            <w:vAlign w:val="center"/>
          </w:tcPr>
          <w:p w14:paraId="0D1F982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Etylobenzen</w:t>
            </w:r>
          </w:p>
        </w:tc>
        <w:tc>
          <w:tcPr>
            <w:tcW w:w="992" w:type="dxa"/>
            <w:vAlign w:val="center"/>
          </w:tcPr>
          <w:p w14:paraId="101D757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552F8FB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1CA988F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100-41-4</w:t>
            </w:r>
          </w:p>
        </w:tc>
        <w:tc>
          <w:tcPr>
            <w:tcW w:w="2410" w:type="dxa"/>
            <w:vAlign w:val="center"/>
          </w:tcPr>
          <w:p w14:paraId="2EF866F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0A93CA0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62BA71B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7%</w:t>
            </w:r>
          </w:p>
        </w:tc>
        <w:tc>
          <w:tcPr>
            <w:tcW w:w="1134" w:type="dxa"/>
            <w:gridSpan w:val="2"/>
            <w:vAlign w:val="center"/>
          </w:tcPr>
          <w:p w14:paraId="25AA61E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134" w:type="dxa"/>
            <w:vAlign w:val="center"/>
          </w:tcPr>
          <w:p w14:paraId="147A0F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29B0257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599386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42153416"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0,5%</w:t>
            </w:r>
          </w:p>
        </w:tc>
      </w:tr>
      <w:tr w:rsidR="005330B5" w:rsidRPr="00FF5D72" w14:paraId="62D51D3E" w14:textId="77777777" w:rsidTr="00840CCD">
        <w:trPr>
          <w:cantSplit/>
          <w:trHeight w:val="454"/>
        </w:trPr>
        <w:tc>
          <w:tcPr>
            <w:tcW w:w="426" w:type="dxa"/>
            <w:vAlign w:val="center"/>
          </w:tcPr>
          <w:p w14:paraId="2C5B3900" w14:textId="63809DA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98</w:t>
            </w:r>
            <w:r w:rsidR="00927B9E">
              <w:rPr>
                <w:rFonts w:asciiTheme="minorHAnsi" w:hAnsiTheme="minorHAnsi" w:cstheme="minorHAnsi"/>
                <w:szCs w:val="16"/>
              </w:rPr>
              <w:t>.</w:t>
            </w:r>
          </w:p>
        </w:tc>
        <w:tc>
          <w:tcPr>
            <w:tcW w:w="1560" w:type="dxa"/>
            <w:vAlign w:val="center"/>
          </w:tcPr>
          <w:p w14:paraId="42A67A7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1,4-dimetylobenzen</w:t>
            </w:r>
          </w:p>
        </w:tc>
        <w:tc>
          <w:tcPr>
            <w:tcW w:w="992" w:type="dxa"/>
            <w:vAlign w:val="center"/>
          </w:tcPr>
          <w:p w14:paraId="07B4C2F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CA7EC6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1125C6A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106-42-3</w:t>
            </w:r>
          </w:p>
        </w:tc>
        <w:tc>
          <w:tcPr>
            <w:tcW w:w="2410" w:type="dxa"/>
            <w:vAlign w:val="center"/>
          </w:tcPr>
          <w:p w14:paraId="714298D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22EEFF7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45CC81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p>
        </w:tc>
        <w:tc>
          <w:tcPr>
            <w:tcW w:w="1134" w:type="dxa"/>
            <w:gridSpan w:val="2"/>
            <w:vAlign w:val="center"/>
          </w:tcPr>
          <w:p w14:paraId="518C42B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134" w:type="dxa"/>
            <w:vAlign w:val="center"/>
          </w:tcPr>
          <w:p w14:paraId="0CE7AC6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2ECE1AC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33E5131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761A1CF0"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0,5%</w:t>
            </w:r>
          </w:p>
        </w:tc>
      </w:tr>
      <w:tr w:rsidR="005330B5" w:rsidRPr="00FF5D72" w14:paraId="32EFF6E0" w14:textId="77777777" w:rsidTr="00840CCD">
        <w:trPr>
          <w:cantSplit/>
          <w:trHeight w:val="454"/>
        </w:trPr>
        <w:tc>
          <w:tcPr>
            <w:tcW w:w="426" w:type="dxa"/>
            <w:vAlign w:val="center"/>
          </w:tcPr>
          <w:p w14:paraId="24CFCFAE" w14:textId="582DF11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99</w:t>
            </w:r>
            <w:r w:rsidR="00927B9E">
              <w:rPr>
                <w:rFonts w:asciiTheme="minorHAnsi" w:hAnsiTheme="minorHAnsi" w:cstheme="minorHAnsi"/>
                <w:szCs w:val="16"/>
              </w:rPr>
              <w:t>.</w:t>
            </w:r>
          </w:p>
        </w:tc>
        <w:tc>
          <w:tcPr>
            <w:tcW w:w="1560" w:type="dxa"/>
            <w:vAlign w:val="center"/>
          </w:tcPr>
          <w:p w14:paraId="535F1F3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1,3-dimetylobenzen</w:t>
            </w:r>
          </w:p>
        </w:tc>
        <w:tc>
          <w:tcPr>
            <w:tcW w:w="992" w:type="dxa"/>
            <w:vAlign w:val="center"/>
          </w:tcPr>
          <w:p w14:paraId="033DC5D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73DAC34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2A8291A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108-38-3</w:t>
            </w:r>
          </w:p>
        </w:tc>
        <w:tc>
          <w:tcPr>
            <w:tcW w:w="2410" w:type="dxa"/>
            <w:vAlign w:val="center"/>
          </w:tcPr>
          <w:p w14:paraId="6E198A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64D9C55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±23%</w:t>
            </w:r>
          </w:p>
        </w:tc>
        <w:tc>
          <w:tcPr>
            <w:tcW w:w="993" w:type="dxa"/>
            <w:vAlign w:val="center"/>
          </w:tcPr>
          <w:p w14:paraId="1175746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p>
        </w:tc>
        <w:tc>
          <w:tcPr>
            <w:tcW w:w="1134" w:type="dxa"/>
            <w:gridSpan w:val="2"/>
            <w:vAlign w:val="center"/>
          </w:tcPr>
          <w:p w14:paraId="61FF514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134" w:type="dxa"/>
            <w:vAlign w:val="center"/>
          </w:tcPr>
          <w:p w14:paraId="1ADF1EE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7CB0C67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24BB124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7B84305"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0,5%</w:t>
            </w:r>
          </w:p>
        </w:tc>
      </w:tr>
      <w:tr w:rsidR="005330B5" w:rsidRPr="00FF5D72" w14:paraId="420F2F5E" w14:textId="77777777" w:rsidTr="00840CCD">
        <w:trPr>
          <w:cantSplit/>
          <w:trHeight w:val="454"/>
        </w:trPr>
        <w:tc>
          <w:tcPr>
            <w:tcW w:w="426" w:type="dxa"/>
            <w:vAlign w:val="center"/>
          </w:tcPr>
          <w:p w14:paraId="3ADEC3F8" w14:textId="75876AE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100</w:t>
            </w:r>
            <w:r w:rsidR="00927B9E">
              <w:rPr>
                <w:rFonts w:asciiTheme="minorHAnsi" w:hAnsiTheme="minorHAnsi" w:cstheme="minorHAnsi"/>
                <w:szCs w:val="16"/>
              </w:rPr>
              <w:t>.</w:t>
            </w:r>
          </w:p>
        </w:tc>
        <w:tc>
          <w:tcPr>
            <w:tcW w:w="1560" w:type="dxa"/>
            <w:vAlign w:val="center"/>
          </w:tcPr>
          <w:p w14:paraId="0F10DDB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1,2-dimetylobenzen</w:t>
            </w:r>
          </w:p>
        </w:tc>
        <w:tc>
          <w:tcPr>
            <w:tcW w:w="992" w:type="dxa"/>
            <w:vAlign w:val="center"/>
          </w:tcPr>
          <w:p w14:paraId="15162FB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F31337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HS-GC-MS</w:t>
            </w:r>
          </w:p>
        </w:tc>
        <w:tc>
          <w:tcPr>
            <w:tcW w:w="992" w:type="dxa"/>
            <w:vAlign w:val="center"/>
          </w:tcPr>
          <w:p w14:paraId="6D90D1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95-47-6</w:t>
            </w:r>
          </w:p>
        </w:tc>
        <w:tc>
          <w:tcPr>
            <w:tcW w:w="2410" w:type="dxa"/>
            <w:vAlign w:val="center"/>
          </w:tcPr>
          <w:p w14:paraId="67CC557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 xml:space="preserve">Procedura badawcza </w:t>
            </w:r>
            <w:r w:rsidRPr="00FF5D72">
              <w:rPr>
                <w:rFonts w:asciiTheme="minorHAnsi" w:hAnsiTheme="minorHAnsi" w:cstheme="minorHAnsi"/>
                <w:szCs w:val="16"/>
              </w:rPr>
              <w:br/>
              <w:t>PB-21 Edycja 11 z 20/01/2020</w:t>
            </w:r>
          </w:p>
        </w:tc>
        <w:tc>
          <w:tcPr>
            <w:tcW w:w="992" w:type="dxa"/>
            <w:vAlign w:val="center"/>
          </w:tcPr>
          <w:p w14:paraId="24F7D3CE"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52855F4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6%</w:t>
            </w:r>
          </w:p>
        </w:tc>
        <w:tc>
          <w:tcPr>
            <w:tcW w:w="1134" w:type="dxa"/>
            <w:gridSpan w:val="2"/>
            <w:vAlign w:val="center"/>
          </w:tcPr>
          <w:p w14:paraId="61A5E22A"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0,0005</w:t>
            </w:r>
          </w:p>
        </w:tc>
        <w:tc>
          <w:tcPr>
            <w:tcW w:w="1134" w:type="dxa"/>
            <w:vAlign w:val="center"/>
          </w:tcPr>
          <w:p w14:paraId="33E2534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0,1</w:t>
            </w:r>
          </w:p>
        </w:tc>
        <w:tc>
          <w:tcPr>
            <w:tcW w:w="843" w:type="dxa"/>
            <w:vAlign w:val="center"/>
          </w:tcPr>
          <w:p w14:paraId="0CA0B0F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BB1D11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974" w:type="dxa"/>
            <w:vAlign w:val="center"/>
          </w:tcPr>
          <w:p w14:paraId="3FAF45A2" w14:textId="77777777" w:rsidR="005330B5" w:rsidRPr="00FF5D72" w:rsidRDefault="005330B5" w:rsidP="00840CCD">
            <w:pPr>
              <w:spacing w:after="0"/>
              <w:jc w:val="center"/>
              <w:rPr>
                <w:rFonts w:asciiTheme="minorHAnsi" w:hAnsiTheme="minorHAnsi" w:cstheme="minorHAnsi"/>
                <w:color w:val="000000"/>
                <w:sz w:val="16"/>
                <w:szCs w:val="16"/>
              </w:rPr>
            </w:pPr>
            <w:r w:rsidRPr="00FF5D72">
              <w:rPr>
                <w:rFonts w:asciiTheme="minorHAnsi" w:hAnsiTheme="minorHAnsi" w:cstheme="minorHAnsi"/>
                <w:color w:val="000000"/>
                <w:sz w:val="16"/>
                <w:szCs w:val="16"/>
              </w:rPr>
              <w:t>0,5%</w:t>
            </w:r>
          </w:p>
        </w:tc>
      </w:tr>
      <w:tr w:rsidR="00C8729D" w:rsidRPr="00FF5D72" w14:paraId="18FA6B3D" w14:textId="77777777" w:rsidTr="00840CCD">
        <w:trPr>
          <w:cantSplit/>
          <w:trHeight w:val="454"/>
        </w:trPr>
        <w:tc>
          <w:tcPr>
            <w:tcW w:w="14860" w:type="dxa"/>
            <w:gridSpan w:val="14"/>
            <w:shd w:val="clear" w:color="auto" w:fill="A6A6A6" w:themeFill="background1" w:themeFillShade="A6"/>
            <w:vAlign w:val="center"/>
          </w:tcPr>
          <w:p w14:paraId="5B9908FB" w14:textId="0657848D"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Pestycydy triazynowe</w:t>
            </w:r>
          </w:p>
        </w:tc>
      </w:tr>
      <w:tr w:rsidR="00F46A0D" w:rsidRPr="00FF5D72" w14:paraId="670A080C" w14:textId="77777777" w:rsidTr="00744432">
        <w:trPr>
          <w:cantSplit/>
          <w:trHeight w:val="454"/>
        </w:trPr>
        <w:tc>
          <w:tcPr>
            <w:tcW w:w="426" w:type="dxa"/>
            <w:vAlign w:val="center"/>
          </w:tcPr>
          <w:p w14:paraId="59F0C5C5" w14:textId="6684C3D3"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101</w:t>
            </w:r>
            <w:r w:rsidR="00927B9E">
              <w:rPr>
                <w:rFonts w:asciiTheme="minorHAnsi" w:hAnsiTheme="minorHAnsi" w:cstheme="minorHAnsi"/>
                <w:szCs w:val="16"/>
              </w:rPr>
              <w:t>.</w:t>
            </w:r>
          </w:p>
        </w:tc>
        <w:tc>
          <w:tcPr>
            <w:tcW w:w="1560" w:type="dxa"/>
            <w:vAlign w:val="center"/>
          </w:tcPr>
          <w:p w14:paraId="04E002C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Symazyna</w:t>
            </w:r>
          </w:p>
        </w:tc>
        <w:tc>
          <w:tcPr>
            <w:tcW w:w="992" w:type="dxa"/>
            <w:vAlign w:val="center"/>
          </w:tcPr>
          <w:p w14:paraId="20D6D7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6D206DB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101EEF50" w14:textId="77777777" w:rsidR="005330B5" w:rsidRPr="00FF5D72" w:rsidRDefault="005330B5" w:rsidP="00840CCD">
            <w:pPr>
              <w:pStyle w:val="TabelaRaport"/>
              <w:rPr>
                <w:rFonts w:asciiTheme="minorHAnsi" w:hAnsiTheme="minorHAnsi" w:cstheme="minorHAnsi"/>
                <w:szCs w:val="16"/>
              </w:rPr>
            </w:pPr>
            <w:r w:rsidRPr="00FF5D72">
              <w:rPr>
                <w:rStyle w:val="st"/>
                <w:rFonts w:asciiTheme="minorHAnsi" w:hAnsiTheme="minorHAnsi" w:cstheme="minorHAnsi"/>
                <w:szCs w:val="16"/>
              </w:rPr>
              <w:t>122-34-9</w:t>
            </w:r>
          </w:p>
        </w:tc>
        <w:tc>
          <w:tcPr>
            <w:tcW w:w="2410" w:type="dxa"/>
            <w:vAlign w:val="center"/>
          </w:tcPr>
          <w:p w14:paraId="0DCF891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vAlign w:val="center"/>
          </w:tcPr>
          <w:p w14:paraId="6DCACD3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±22%</w:t>
            </w:r>
          </w:p>
        </w:tc>
        <w:tc>
          <w:tcPr>
            <w:tcW w:w="993" w:type="dxa"/>
            <w:vAlign w:val="center"/>
          </w:tcPr>
          <w:p w14:paraId="1830522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15%</w:t>
            </w:r>
          </w:p>
        </w:tc>
        <w:tc>
          <w:tcPr>
            <w:tcW w:w="1134" w:type="dxa"/>
            <w:gridSpan w:val="2"/>
            <w:vAlign w:val="center"/>
          </w:tcPr>
          <w:p w14:paraId="10CBCC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134" w:type="dxa"/>
            <w:vAlign w:val="center"/>
          </w:tcPr>
          <w:p w14:paraId="756C598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58B3D4B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05F4DC6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1DB94147" w14:textId="77777777" w:rsidR="005330B5" w:rsidRPr="00744432" w:rsidRDefault="005330B5" w:rsidP="00840CCD">
            <w:pPr>
              <w:spacing w:after="0"/>
              <w:jc w:val="center"/>
              <w:rPr>
                <w:rFonts w:asciiTheme="minorHAnsi" w:hAnsiTheme="minorHAnsi" w:cstheme="minorHAnsi"/>
                <w:color w:val="000000"/>
                <w:sz w:val="16"/>
                <w:szCs w:val="16"/>
              </w:rPr>
            </w:pPr>
            <w:r w:rsidRPr="00744432">
              <w:rPr>
                <w:rFonts w:asciiTheme="minorHAnsi" w:hAnsiTheme="minorHAnsi" w:cstheme="minorHAnsi"/>
                <w:color w:val="000000"/>
                <w:sz w:val="16"/>
                <w:szCs w:val="16"/>
              </w:rPr>
              <w:t>50%</w:t>
            </w:r>
          </w:p>
        </w:tc>
      </w:tr>
      <w:tr w:rsidR="00F46A0D" w:rsidRPr="00FF5D72" w14:paraId="4CA5DF38" w14:textId="77777777" w:rsidTr="00744432">
        <w:trPr>
          <w:cantSplit/>
          <w:trHeight w:val="454"/>
        </w:trPr>
        <w:tc>
          <w:tcPr>
            <w:tcW w:w="426" w:type="dxa"/>
            <w:vAlign w:val="center"/>
          </w:tcPr>
          <w:p w14:paraId="06E3AA9A" w14:textId="0E59751C"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102</w:t>
            </w:r>
            <w:r w:rsidR="00927B9E">
              <w:rPr>
                <w:rFonts w:asciiTheme="minorHAnsi" w:hAnsiTheme="minorHAnsi" w:cstheme="minorHAnsi"/>
                <w:szCs w:val="16"/>
              </w:rPr>
              <w:t>.</w:t>
            </w:r>
          </w:p>
        </w:tc>
        <w:tc>
          <w:tcPr>
            <w:tcW w:w="1560" w:type="dxa"/>
            <w:vAlign w:val="center"/>
          </w:tcPr>
          <w:p w14:paraId="67147B2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Atrazyna</w:t>
            </w:r>
          </w:p>
        </w:tc>
        <w:tc>
          <w:tcPr>
            <w:tcW w:w="992" w:type="dxa"/>
            <w:vAlign w:val="center"/>
          </w:tcPr>
          <w:p w14:paraId="17C69E7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39BA9772"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4650C42F" w14:textId="77777777" w:rsidR="005330B5" w:rsidRPr="00FF5D72" w:rsidRDefault="005330B5" w:rsidP="00840CCD">
            <w:pPr>
              <w:pStyle w:val="TabelaRaport"/>
              <w:rPr>
                <w:rFonts w:asciiTheme="minorHAnsi" w:hAnsiTheme="minorHAnsi" w:cstheme="minorHAnsi"/>
                <w:szCs w:val="16"/>
              </w:rPr>
            </w:pPr>
            <w:r w:rsidRPr="00FF5D72">
              <w:rPr>
                <w:rStyle w:val="st"/>
                <w:rFonts w:asciiTheme="minorHAnsi" w:hAnsiTheme="minorHAnsi" w:cstheme="minorHAnsi"/>
                <w:szCs w:val="16"/>
              </w:rPr>
              <w:t>1912-24-9</w:t>
            </w:r>
          </w:p>
        </w:tc>
        <w:tc>
          <w:tcPr>
            <w:tcW w:w="2410" w:type="dxa"/>
            <w:vAlign w:val="center"/>
          </w:tcPr>
          <w:p w14:paraId="23831B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vAlign w:val="center"/>
          </w:tcPr>
          <w:p w14:paraId="77CCD5C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±30%</w:t>
            </w:r>
          </w:p>
        </w:tc>
        <w:tc>
          <w:tcPr>
            <w:tcW w:w="993" w:type="dxa"/>
            <w:vAlign w:val="center"/>
          </w:tcPr>
          <w:p w14:paraId="0831967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71656FF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134" w:type="dxa"/>
            <w:vAlign w:val="center"/>
          </w:tcPr>
          <w:p w14:paraId="5B84A3A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0A86362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59D72CE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2EE2C4D5" w14:textId="77777777" w:rsidR="005330B5" w:rsidRPr="00744432" w:rsidRDefault="005330B5" w:rsidP="00840CCD">
            <w:pPr>
              <w:spacing w:after="0"/>
              <w:jc w:val="center"/>
              <w:rPr>
                <w:rFonts w:asciiTheme="minorHAnsi" w:hAnsiTheme="minorHAnsi" w:cstheme="minorHAnsi"/>
                <w:color w:val="000000"/>
                <w:sz w:val="16"/>
                <w:szCs w:val="16"/>
              </w:rPr>
            </w:pPr>
            <w:r w:rsidRPr="00744432">
              <w:rPr>
                <w:rFonts w:asciiTheme="minorHAnsi" w:hAnsiTheme="minorHAnsi" w:cstheme="minorHAnsi"/>
                <w:color w:val="000000"/>
                <w:sz w:val="16"/>
                <w:szCs w:val="16"/>
              </w:rPr>
              <w:t>50%</w:t>
            </w:r>
          </w:p>
        </w:tc>
      </w:tr>
      <w:tr w:rsidR="00F46A0D" w:rsidRPr="00FF5D72" w14:paraId="358CC53A" w14:textId="77777777" w:rsidTr="00744432">
        <w:trPr>
          <w:cantSplit/>
          <w:trHeight w:val="454"/>
        </w:trPr>
        <w:tc>
          <w:tcPr>
            <w:tcW w:w="426" w:type="dxa"/>
            <w:vAlign w:val="center"/>
          </w:tcPr>
          <w:p w14:paraId="127137E5" w14:textId="18EE658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103</w:t>
            </w:r>
            <w:r w:rsidR="00927B9E">
              <w:rPr>
                <w:rFonts w:asciiTheme="minorHAnsi" w:hAnsiTheme="minorHAnsi" w:cstheme="minorHAnsi"/>
                <w:szCs w:val="16"/>
              </w:rPr>
              <w:t>.</w:t>
            </w:r>
          </w:p>
        </w:tc>
        <w:tc>
          <w:tcPr>
            <w:tcW w:w="1560" w:type="dxa"/>
            <w:vAlign w:val="center"/>
          </w:tcPr>
          <w:p w14:paraId="1C7A09C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Propazyna</w:t>
            </w:r>
          </w:p>
        </w:tc>
        <w:tc>
          <w:tcPr>
            <w:tcW w:w="992" w:type="dxa"/>
            <w:vAlign w:val="center"/>
          </w:tcPr>
          <w:p w14:paraId="10D62356"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0216606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2F7C1D51" w14:textId="77777777" w:rsidR="005330B5" w:rsidRPr="00FF5D72" w:rsidRDefault="005330B5" w:rsidP="00840CCD">
            <w:pPr>
              <w:pStyle w:val="TabelaRaport"/>
              <w:rPr>
                <w:rFonts w:asciiTheme="minorHAnsi" w:hAnsiTheme="minorHAnsi" w:cstheme="minorHAnsi"/>
                <w:szCs w:val="16"/>
              </w:rPr>
            </w:pPr>
            <w:r w:rsidRPr="00FF5D72">
              <w:rPr>
                <w:rStyle w:val="st"/>
                <w:rFonts w:asciiTheme="minorHAnsi" w:hAnsiTheme="minorHAnsi" w:cstheme="minorHAnsi"/>
                <w:szCs w:val="16"/>
              </w:rPr>
              <w:t>139-40-2</w:t>
            </w:r>
          </w:p>
        </w:tc>
        <w:tc>
          <w:tcPr>
            <w:tcW w:w="2410" w:type="dxa"/>
            <w:vAlign w:val="center"/>
          </w:tcPr>
          <w:p w14:paraId="477D691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vAlign w:val="center"/>
          </w:tcPr>
          <w:p w14:paraId="313699B0"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±29%</w:t>
            </w:r>
          </w:p>
        </w:tc>
        <w:tc>
          <w:tcPr>
            <w:tcW w:w="993" w:type="dxa"/>
            <w:vAlign w:val="center"/>
          </w:tcPr>
          <w:p w14:paraId="16B2BD1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9%</w:t>
            </w:r>
          </w:p>
        </w:tc>
        <w:tc>
          <w:tcPr>
            <w:tcW w:w="1134" w:type="dxa"/>
            <w:gridSpan w:val="2"/>
            <w:vAlign w:val="center"/>
          </w:tcPr>
          <w:p w14:paraId="620D187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134" w:type="dxa"/>
            <w:vAlign w:val="center"/>
          </w:tcPr>
          <w:p w14:paraId="2B7133ED"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30E1CDA3"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619AA514"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04BBD952" w14:textId="77777777" w:rsidR="005330B5" w:rsidRPr="00744432" w:rsidRDefault="005330B5" w:rsidP="00840CCD">
            <w:pPr>
              <w:spacing w:after="0"/>
              <w:jc w:val="center"/>
              <w:rPr>
                <w:rFonts w:asciiTheme="minorHAnsi" w:hAnsiTheme="minorHAnsi" w:cstheme="minorHAnsi"/>
                <w:color w:val="000000"/>
                <w:sz w:val="16"/>
                <w:szCs w:val="16"/>
              </w:rPr>
            </w:pPr>
            <w:r w:rsidRPr="00744432">
              <w:rPr>
                <w:rFonts w:asciiTheme="minorHAnsi" w:hAnsiTheme="minorHAnsi" w:cstheme="minorHAnsi"/>
                <w:color w:val="000000"/>
                <w:sz w:val="16"/>
                <w:szCs w:val="16"/>
              </w:rPr>
              <w:t>50%</w:t>
            </w:r>
          </w:p>
        </w:tc>
      </w:tr>
      <w:tr w:rsidR="00F46A0D" w:rsidRPr="00FF5D72" w14:paraId="61C35FA9" w14:textId="77777777" w:rsidTr="00744432">
        <w:trPr>
          <w:cantSplit/>
          <w:trHeight w:val="454"/>
        </w:trPr>
        <w:tc>
          <w:tcPr>
            <w:tcW w:w="426" w:type="dxa"/>
            <w:vAlign w:val="center"/>
          </w:tcPr>
          <w:p w14:paraId="747722E0" w14:textId="0CB9A1EB"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104</w:t>
            </w:r>
            <w:r w:rsidR="00927B9E">
              <w:rPr>
                <w:rFonts w:asciiTheme="minorHAnsi" w:hAnsiTheme="minorHAnsi" w:cstheme="minorHAnsi"/>
                <w:szCs w:val="16"/>
              </w:rPr>
              <w:t>.</w:t>
            </w:r>
          </w:p>
        </w:tc>
        <w:tc>
          <w:tcPr>
            <w:tcW w:w="1560" w:type="dxa"/>
            <w:vAlign w:val="center"/>
          </w:tcPr>
          <w:p w14:paraId="1981DF4B"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Prometryna</w:t>
            </w:r>
          </w:p>
        </w:tc>
        <w:tc>
          <w:tcPr>
            <w:tcW w:w="992" w:type="dxa"/>
            <w:vAlign w:val="center"/>
          </w:tcPr>
          <w:p w14:paraId="265FF3B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[mg/l]</w:t>
            </w:r>
          </w:p>
        </w:tc>
        <w:tc>
          <w:tcPr>
            <w:tcW w:w="1559" w:type="dxa"/>
            <w:vAlign w:val="center"/>
          </w:tcPr>
          <w:p w14:paraId="4A15D1E1"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GC-NPD</w:t>
            </w:r>
          </w:p>
        </w:tc>
        <w:tc>
          <w:tcPr>
            <w:tcW w:w="992" w:type="dxa"/>
            <w:vAlign w:val="center"/>
          </w:tcPr>
          <w:p w14:paraId="42217E21" w14:textId="77777777" w:rsidR="005330B5" w:rsidRPr="00FF5D72" w:rsidRDefault="005330B5" w:rsidP="00840CCD">
            <w:pPr>
              <w:pStyle w:val="TabelaRaport"/>
              <w:rPr>
                <w:rFonts w:asciiTheme="minorHAnsi" w:hAnsiTheme="minorHAnsi" w:cstheme="minorHAnsi"/>
                <w:szCs w:val="16"/>
              </w:rPr>
            </w:pPr>
            <w:r w:rsidRPr="00FF5D72">
              <w:rPr>
                <w:rStyle w:val="st"/>
                <w:rFonts w:asciiTheme="minorHAnsi" w:hAnsiTheme="minorHAnsi" w:cstheme="minorHAnsi"/>
                <w:szCs w:val="16"/>
              </w:rPr>
              <w:t>7287-19-6</w:t>
            </w:r>
          </w:p>
        </w:tc>
        <w:tc>
          <w:tcPr>
            <w:tcW w:w="2410" w:type="dxa"/>
            <w:vAlign w:val="center"/>
          </w:tcPr>
          <w:p w14:paraId="19F08637"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metoda nie objęta akredytacją</w:t>
            </w:r>
          </w:p>
        </w:tc>
        <w:tc>
          <w:tcPr>
            <w:tcW w:w="992" w:type="dxa"/>
            <w:vAlign w:val="center"/>
          </w:tcPr>
          <w:p w14:paraId="3B59B7BC"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±25%</w:t>
            </w:r>
          </w:p>
        </w:tc>
        <w:tc>
          <w:tcPr>
            <w:tcW w:w="993" w:type="dxa"/>
            <w:vAlign w:val="center"/>
          </w:tcPr>
          <w:p w14:paraId="7BEA734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8%</w:t>
            </w:r>
          </w:p>
        </w:tc>
        <w:tc>
          <w:tcPr>
            <w:tcW w:w="1134" w:type="dxa"/>
            <w:gridSpan w:val="2"/>
            <w:vAlign w:val="center"/>
          </w:tcPr>
          <w:p w14:paraId="6C55254F"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0,00005</w:t>
            </w:r>
          </w:p>
        </w:tc>
        <w:tc>
          <w:tcPr>
            <w:tcW w:w="1134" w:type="dxa"/>
            <w:vAlign w:val="center"/>
          </w:tcPr>
          <w:p w14:paraId="198542A9"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0,0001</w:t>
            </w:r>
          </w:p>
        </w:tc>
        <w:tc>
          <w:tcPr>
            <w:tcW w:w="843" w:type="dxa"/>
            <w:vAlign w:val="center"/>
          </w:tcPr>
          <w:p w14:paraId="285B03B8"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TAK</w:t>
            </w:r>
          </w:p>
        </w:tc>
        <w:tc>
          <w:tcPr>
            <w:tcW w:w="851" w:type="dxa"/>
            <w:vAlign w:val="center"/>
          </w:tcPr>
          <w:p w14:paraId="46AA77C5" w14:textId="77777777" w:rsidR="005330B5" w:rsidRPr="00FF5D72" w:rsidRDefault="005330B5" w:rsidP="00840CCD">
            <w:pPr>
              <w:pStyle w:val="TabelaRaport"/>
              <w:rPr>
                <w:rFonts w:asciiTheme="minorHAnsi" w:hAnsiTheme="minorHAnsi" w:cstheme="minorHAnsi"/>
                <w:szCs w:val="16"/>
              </w:rPr>
            </w:pPr>
            <w:r w:rsidRPr="00FF5D72">
              <w:rPr>
                <w:rFonts w:asciiTheme="minorHAnsi" w:hAnsiTheme="minorHAnsi" w:cstheme="minorHAnsi"/>
                <w:szCs w:val="16"/>
              </w:rPr>
              <w:t>NIE</w:t>
            </w:r>
          </w:p>
        </w:tc>
        <w:tc>
          <w:tcPr>
            <w:tcW w:w="974" w:type="dxa"/>
            <w:shd w:val="clear" w:color="auto" w:fill="auto"/>
            <w:vAlign w:val="center"/>
          </w:tcPr>
          <w:p w14:paraId="14C196D0" w14:textId="77777777" w:rsidR="005330B5" w:rsidRPr="00744432" w:rsidRDefault="005330B5" w:rsidP="00840CCD">
            <w:pPr>
              <w:spacing w:after="0"/>
              <w:jc w:val="center"/>
              <w:rPr>
                <w:rFonts w:asciiTheme="minorHAnsi" w:hAnsiTheme="minorHAnsi" w:cstheme="minorHAnsi"/>
                <w:color w:val="000000"/>
                <w:sz w:val="16"/>
                <w:szCs w:val="16"/>
              </w:rPr>
            </w:pPr>
            <w:r w:rsidRPr="00744432">
              <w:rPr>
                <w:rFonts w:asciiTheme="minorHAnsi" w:hAnsiTheme="minorHAnsi" w:cstheme="minorHAnsi"/>
                <w:color w:val="000000"/>
                <w:sz w:val="16"/>
                <w:szCs w:val="16"/>
              </w:rPr>
              <w:t>50%</w:t>
            </w:r>
          </w:p>
        </w:tc>
      </w:tr>
    </w:tbl>
    <w:p w14:paraId="03FF75E7" w14:textId="77777777" w:rsidR="005330B5" w:rsidRPr="00FF5D72" w:rsidRDefault="005330B5" w:rsidP="005330B5">
      <w:pPr>
        <w:spacing w:after="0" w:line="276" w:lineRule="auto"/>
        <w:rPr>
          <w:rFonts w:asciiTheme="minorHAnsi" w:hAnsiTheme="minorHAnsi" w:cstheme="minorHAnsi"/>
          <w:sz w:val="16"/>
          <w:szCs w:val="16"/>
        </w:rPr>
      </w:pPr>
      <w:r w:rsidRPr="00FF5D72">
        <w:rPr>
          <w:rFonts w:asciiTheme="minorHAnsi" w:hAnsiTheme="minorHAnsi" w:cstheme="minorHAnsi"/>
          <w:sz w:val="16"/>
          <w:szCs w:val="16"/>
        </w:rPr>
        <w:t>Objaśnienia:</w:t>
      </w:r>
    </w:p>
    <w:p w14:paraId="7A5AD3E4" w14:textId="77777777" w:rsidR="005330B5" w:rsidRPr="00FF5D72" w:rsidRDefault="005330B5" w:rsidP="005330B5">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 Pełne nazwy metod analitycznych: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284"/>
        <w:gridCol w:w="7371"/>
      </w:tblGrid>
      <w:tr w:rsidR="005330B5" w:rsidRPr="00FF5D72" w14:paraId="675E5D50" w14:textId="77777777" w:rsidTr="00840CCD">
        <w:tc>
          <w:tcPr>
            <w:tcW w:w="1242" w:type="dxa"/>
          </w:tcPr>
          <w:p w14:paraId="097FBBC8"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ICP-MS</w:t>
            </w:r>
          </w:p>
        </w:tc>
        <w:tc>
          <w:tcPr>
            <w:tcW w:w="284" w:type="dxa"/>
          </w:tcPr>
          <w:p w14:paraId="04539524"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158D435F"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spektrometria mas z jonizacją w plazmie indukcyjnie sprzężonej</w:t>
            </w:r>
          </w:p>
        </w:tc>
      </w:tr>
      <w:tr w:rsidR="005330B5" w:rsidRPr="00FF5D72" w14:paraId="4036C236" w14:textId="77777777" w:rsidTr="00840CCD">
        <w:tc>
          <w:tcPr>
            <w:tcW w:w="1242" w:type="dxa"/>
          </w:tcPr>
          <w:p w14:paraId="2A2EC30B"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ICP-OES</w:t>
            </w:r>
          </w:p>
        </w:tc>
        <w:tc>
          <w:tcPr>
            <w:tcW w:w="284" w:type="dxa"/>
          </w:tcPr>
          <w:p w14:paraId="5EFD55EF"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37D6A2F7"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emisyjna spektrometria atomowa ze wzbudzeniem w plazmie indukcyjnie sprzężonej</w:t>
            </w:r>
          </w:p>
        </w:tc>
      </w:tr>
      <w:tr w:rsidR="005330B5" w:rsidRPr="00FF5D72" w14:paraId="2953614B" w14:textId="77777777" w:rsidTr="00840CCD">
        <w:tc>
          <w:tcPr>
            <w:tcW w:w="1242" w:type="dxa"/>
          </w:tcPr>
          <w:p w14:paraId="0FC55B5A"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AAS</w:t>
            </w:r>
          </w:p>
        </w:tc>
        <w:tc>
          <w:tcPr>
            <w:tcW w:w="284" w:type="dxa"/>
          </w:tcPr>
          <w:p w14:paraId="214E34FC"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50535E3E"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absorpcyjna spektrometria atomowa</w:t>
            </w:r>
          </w:p>
        </w:tc>
      </w:tr>
      <w:tr w:rsidR="005330B5" w:rsidRPr="00FF5D72" w14:paraId="7EA3BE67" w14:textId="77777777" w:rsidTr="00840CCD">
        <w:tc>
          <w:tcPr>
            <w:tcW w:w="1242" w:type="dxa"/>
          </w:tcPr>
          <w:p w14:paraId="7EC83BE1"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IC</w:t>
            </w:r>
          </w:p>
        </w:tc>
        <w:tc>
          <w:tcPr>
            <w:tcW w:w="284" w:type="dxa"/>
          </w:tcPr>
          <w:p w14:paraId="62AE2B6F"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4EC5358A"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chromatografia jonowa</w:t>
            </w:r>
          </w:p>
        </w:tc>
      </w:tr>
      <w:tr w:rsidR="005330B5" w:rsidRPr="00FF5D72" w14:paraId="253A3BB8" w14:textId="77777777" w:rsidTr="00840CCD">
        <w:tc>
          <w:tcPr>
            <w:tcW w:w="1242" w:type="dxa"/>
          </w:tcPr>
          <w:p w14:paraId="6ACC7C5D"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HS-GC-MS</w:t>
            </w:r>
          </w:p>
        </w:tc>
        <w:tc>
          <w:tcPr>
            <w:tcW w:w="284" w:type="dxa"/>
          </w:tcPr>
          <w:p w14:paraId="41CBDADF"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449863D2"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chromatografia gazowa z analizą fazy nadpowierzchniowej i detekcją spektrofotometrią mas</w:t>
            </w:r>
          </w:p>
        </w:tc>
      </w:tr>
      <w:tr w:rsidR="005330B5" w:rsidRPr="00FF5D72" w14:paraId="227FB297" w14:textId="77777777" w:rsidTr="00840CCD">
        <w:tc>
          <w:tcPr>
            <w:tcW w:w="1242" w:type="dxa"/>
          </w:tcPr>
          <w:p w14:paraId="4611BFCF"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GC-NPD</w:t>
            </w:r>
          </w:p>
        </w:tc>
        <w:tc>
          <w:tcPr>
            <w:tcW w:w="284" w:type="dxa"/>
          </w:tcPr>
          <w:p w14:paraId="31F84A5B"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1D495CF4"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chromatografia gazowa z detekcją termojonową</w:t>
            </w:r>
          </w:p>
        </w:tc>
      </w:tr>
      <w:tr w:rsidR="005330B5" w:rsidRPr="00FF5D72" w14:paraId="67EAEC5D" w14:textId="77777777" w:rsidTr="00840CCD">
        <w:tc>
          <w:tcPr>
            <w:tcW w:w="1242" w:type="dxa"/>
          </w:tcPr>
          <w:p w14:paraId="17F31C4E"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GC-ECD</w:t>
            </w:r>
          </w:p>
        </w:tc>
        <w:tc>
          <w:tcPr>
            <w:tcW w:w="284" w:type="dxa"/>
          </w:tcPr>
          <w:p w14:paraId="6491A0D2"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41D372E1"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chromatografia gazowa z detekcją wychwytu elektronów</w:t>
            </w:r>
          </w:p>
        </w:tc>
      </w:tr>
      <w:tr w:rsidR="005330B5" w:rsidRPr="00FF5D72" w14:paraId="5D59769E" w14:textId="77777777" w:rsidTr="00840CCD">
        <w:tc>
          <w:tcPr>
            <w:tcW w:w="1242" w:type="dxa"/>
          </w:tcPr>
          <w:p w14:paraId="3A7AA8B1"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CFA</w:t>
            </w:r>
          </w:p>
        </w:tc>
        <w:tc>
          <w:tcPr>
            <w:tcW w:w="284" w:type="dxa"/>
          </w:tcPr>
          <w:p w14:paraId="0EA66047"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1FC82C55"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ciągła analiza przepływowa</w:t>
            </w:r>
          </w:p>
        </w:tc>
      </w:tr>
      <w:tr w:rsidR="005330B5" w:rsidRPr="00FF5D72" w14:paraId="1DE1A38C" w14:textId="77777777" w:rsidTr="00840CCD">
        <w:tc>
          <w:tcPr>
            <w:tcW w:w="1242" w:type="dxa"/>
          </w:tcPr>
          <w:p w14:paraId="4C287F03"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GC-MS</w:t>
            </w:r>
          </w:p>
        </w:tc>
        <w:tc>
          <w:tcPr>
            <w:tcW w:w="284" w:type="dxa"/>
          </w:tcPr>
          <w:p w14:paraId="489D7A58"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w:t>
            </w:r>
          </w:p>
        </w:tc>
        <w:tc>
          <w:tcPr>
            <w:tcW w:w="7371" w:type="dxa"/>
          </w:tcPr>
          <w:p w14:paraId="5C6B5D28" w14:textId="77777777" w:rsidR="005330B5" w:rsidRPr="00FF5D72" w:rsidRDefault="005330B5" w:rsidP="00840CCD">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chromatografia z detekcją spektrometrią mas</w:t>
            </w:r>
          </w:p>
        </w:tc>
      </w:tr>
    </w:tbl>
    <w:p w14:paraId="1EFA624C" w14:textId="77777777" w:rsidR="005330B5" w:rsidRPr="00FF5D72" w:rsidRDefault="005330B5" w:rsidP="005330B5">
      <w:pPr>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 Podano niepewność rozszerzoną wyników, przy założonym poziomie ufności 95% i współczynniku rozszerzenia k=2. Podana niepewność nie obejmuje etapu pobierania próbek.</w:t>
      </w:r>
    </w:p>
    <w:p w14:paraId="0699B07D" w14:textId="77777777" w:rsidR="005330B5" w:rsidRPr="00FF5D72" w:rsidRDefault="005330B5" w:rsidP="005330B5">
      <w:pPr>
        <w:tabs>
          <w:tab w:val="left" w:pos="10541"/>
        </w:tabs>
        <w:spacing w:after="0" w:line="276" w:lineRule="auto"/>
        <w:jc w:val="left"/>
        <w:rPr>
          <w:rFonts w:asciiTheme="minorHAnsi" w:hAnsiTheme="minorHAnsi" w:cstheme="minorHAnsi"/>
          <w:sz w:val="16"/>
          <w:szCs w:val="16"/>
        </w:rPr>
      </w:pPr>
      <w:r w:rsidRPr="00FF5D72">
        <w:rPr>
          <w:rFonts w:asciiTheme="minorHAnsi" w:hAnsiTheme="minorHAnsi" w:cstheme="minorHAnsi"/>
          <w:sz w:val="16"/>
          <w:szCs w:val="16"/>
        </w:rPr>
        <w:t>*** Rozumiana jako stopień zgodności między średnim wynikiem uzyskanym w szeregu powtórzeń a wartością prawdziwą mierzonej wartości.</w:t>
      </w:r>
    </w:p>
    <w:p w14:paraId="51146BB3" w14:textId="334EFB52" w:rsidR="005330B5" w:rsidRPr="00FF5D72" w:rsidRDefault="005330B5" w:rsidP="005330B5">
      <w:pPr>
        <w:spacing w:after="0" w:line="276" w:lineRule="auto"/>
        <w:jc w:val="left"/>
        <w:rPr>
          <w:rFonts w:asciiTheme="minorHAnsi" w:hAnsiTheme="minorHAnsi" w:cstheme="minorHAnsi"/>
          <w:sz w:val="16"/>
          <w:szCs w:val="16"/>
          <w:shd w:val="clear" w:color="auto" w:fill="FFFF00"/>
        </w:rPr>
      </w:pPr>
      <w:r w:rsidRPr="00FF5D72">
        <w:rPr>
          <w:rFonts w:asciiTheme="minorHAnsi" w:hAnsiTheme="minorHAnsi" w:cstheme="minorHAnsi"/>
          <w:sz w:val="16"/>
          <w:szCs w:val="16"/>
        </w:rPr>
        <w:t>**** W zależności od zakresu stężeń, Laboratorium podaje różne niepewności rozszerzone:</w:t>
      </w:r>
    </w:p>
    <w:p w14:paraId="17748606" w14:textId="77777777" w:rsidR="005330B5" w:rsidRPr="00FF5D72" w:rsidRDefault="005330B5" w:rsidP="005330B5">
      <w:pPr>
        <w:spacing w:after="0" w:line="276" w:lineRule="auto"/>
        <w:ind w:firstLine="709"/>
        <w:jc w:val="left"/>
        <w:rPr>
          <w:rFonts w:asciiTheme="minorHAnsi" w:hAnsiTheme="minorHAnsi" w:cstheme="minorHAnsi"/>
          <w:sz w:val="16"/>
          <w:szCs w:val="16"/>
        </w:rPr>
      </w:pPr>
      <w:r w:rsidRPr="00FF5D72">
        <w:rPr>
          <w:rFonts w:asciiTheme="minorHAnsi" w:hAnsiTheme="minorHAnsi" w:cstheme="minorHAnsi"/>
          <w:sz w:val="16"/>
          <w:szCs w:val="16"/>
        </w:rPr>
        <w:t>Niepewność rozszerzona dla wskaźników fizykochemicznych wykonanych metodą ICP-OES</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5"/>
        <w:gridCol w:w="1300"/>
        <w:gridCol w:w="1300"/>
        <w:gridCol w:w="1300"/>
        <w:gridCol w:w="1300"/>
      </w:tblGrid>
      <w:tr w:rsidR="005330B5" w:rsidRPr="00FF5D72" w14:paraId="62A049B7" w14:textId="77777777" w:rsidTr="00840CCD">
        <w:trPr>
          <w:trHeight w:val="431"/>
        </w:trPr>
        <w:tc>
          <w:tcPr>
            <w:tcW w:w="1405" w:type="dxa"/>
            <w:shd w:val="clear" w:color="auto" w:fill="D9D9D9"/>
            <w:vAlign w:val="center"/>
          </w:tcPr>
          <w:p w14:paraId="6C465F68"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Pierwiastek</w:t>
            </w:r>
          </w:p>
        </w:tc>
        <w:tc>
          <w:tcPr>
            <w:tcW w:w="1300" w:type="dxa"/>
            <w:shd w:val="clear" w:color="auto" w:fill="D9D9D9"/>
            <w:vAlign w:val="center"/>
          </w:tcPr>
          <w:p w14:paraId="62C700B4"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Zakres stężeń</w:t>
            </w:r>
          </w:p>
          <w:p w14:paraId="0772F733"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(mg/l)</w:t>
            </w:r>
          </w:p>
        </w:tc>
        <w:tc>
          <w:tcPr>
            <w:tcW w:w="1300" w:type="dxa"/>
            <w:shd w:val="clear" w:color="auto" w:fill="D9D9D9"/>
            <w:vAlign w:val="center"/>
          </w:tcPr>
          <w:p w14:paraId="60821207"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Niepewność rozszerzona</w:t>
            </w:r>
          </w:p>
        </w:tc>
        <w:tc>
          <w:tcPr>
            <w:tcW w:w="1300" w:type="dxa"/>
            <w:shd w:val="clear" w:color="auto" w:fill="D9D9D9"/>
            <w:vAlign w:val="center"/>
          </w:tcPr>
          <w:p w14:paraId="78FA80B7"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Zakres stężeń</w:t>
            </w:r>
          </w:p>
          <w:p w14:paraId="3D28D515"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(mg/l)</w:t>
            </w:r>
          </w:p>
        </w:tc>
        <w:tc>
          <w:tcPr>
            <w:tcW w:w="1300" w:type="dxa"/>
            <w:shd w:val="clear" w:color="auto" w:fill="D9D9D9"/>
            <w:vAlign w:val="center"/>
          </w:tcPr>
          <w:p w14:paraId="62834FFB"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Niepewność rozszerzona</w:t>
            </w:r>
          </w:p>
        </w:tc>
      </w:tr>
      <w:tr w:rsidR="005330B5" w:rsidRPr="00FF5D72" w14:paraId="6C03842A" w14:textId="77777777" w:rsidTr="00840CCD">
        <w:trPr>
          <w:trHeight w:hRule="exact" w:val="340"/>
        </w:trPr>
        <w:tc>
          <w:tcPr>
            <w:tcW w:w="1405" w:type="dxa"/>
            <w:vAlign w:val="center"/>
          </w:tcPr>
          <w:p w14:paraId="3A38E326"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B</w:t>
            </w:r>
          </w:p>
        </w:tc>
        <w:tc>
          <w:tcPr>
            <w:tcW w:w="1300" w:type="dxa"/>
            <w:vAlign w:val="center"/>
          </w:tcPr>
          <w:p w14:paraId="336EF156"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0,01-0,10</w:t>
            </w:r>
          </w:p>
        </w:tc>
        <w:tc>
          <w:tcPr>
            <w:tcW w:w="1300" w:type="dxa"/>
            <w:vAlign w:val="center"/>
          </w:tcPr>
          <w:p w14:paraId="422D437D"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30%</w:t>
            </w:r>
          </w:p>
        </w:tc>
        <w:tc>
          <w:tcPr>
            <w:tcW w:w="1300" w:type="dxa"/>
            <w:vAlign w:val="center"/>
          </w:tcPr>
          <w:p w14:paraId="5D82E4AE"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&gt;0,10-20</w:t>
            </w:r>
          </w:p>
        </w:tc>
        <w:tc>
          <w:tcPr>
            <w:tcW w:w="1300" w:type="dxa"/>
            <w:vAlign w:val="center"/>
          </w:tcPr>
          <w:p w14:paraId="018BD1FD"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r w:rsidR="005330B5" w:rsidRPr="00FF5D72" w14:paraId="7DB31549" w14:textId="77777777" w:rsidTr="00840CCD">
        <w:trPr>
          <w:trHeight w:hRule="exact" w:val="340"/>
        </w:trPr>
        <w:tc>
          <w:tcPr>
            <w:tcW w:w="1405" w:type="dxa"/>
            <w:vAlign w:val="center"/>
          </w:tcPr>
          <w:p w14:paraId="5DF2345F"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Ba</w:t>
            </w:r>
          </w:p>
        </w:tc>
        <w:tc>
          <w:tcPr>
            <w:tcW w:w="1300" w:type="dxa"/>
            <w:vAlign w:val="center"/>
          </w:tcPr>
          <w:p w14:paraId="2FD0024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0,001-0,010</w:t>
            </w:r>
          </w:p>
        </w:tc>
        <w:tc>
          <w:tcPr>
            <w:tcW w:w="1300" w:type="dxa"/>
            <w:vAlign w:val="center"/>
          </w:tcPr>
          <w:p w14:paraId="59F4D2A8"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204267F3"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&gt;0,010-20</w:t>
            </w:r>
          </w:p>
        </w:tc>
        <w:tc>
          <w:tcPr>
            <w:tcW w:w="1300" w:type="dxa"/>
            <w:vAlign w:val="center"/>
          </w:tcPr>
          <w:p w14:paraId="2E9AA4DA"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20%</w:t>
            </w:r>
          </w:p>
        </w:tc>
      </w:tr>
      <w:tr w:rsidR="005330B5" w:rsidRPr="00FF5D72" w14:paraId="1A474268" w14:textId="77777777" w:rsidTr="00840CCD">
        <w:trPr>
          <w:trHeight w:hRule="exact" w:val="340"/>
        </w:trPr>
        <w:tc>
          <w:tcPr>
            <w:tcW w:w="1405" w:type="dxa"/>
            <w:vAlign w:val="center"/>
          </w:tcPr>
          <w:p w14:paraId="5A448668"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Ca</w:t>
            </w:r>
          </w:p>
        </w:tc>
        <w:tc>
          <w:tcPr>
            <w:tcW w:w="1300" w:type="dxa"/>
            <w:vAlign w:val="center"/>
          </w:tcPr>
          <w:p w14:paraId="11E52B69"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0,1-1</w:t>
            </w:r>
          </w:p>
        </w:tc>
        <w:tc>
          <w:tcPr>
            <w:tcW w:w="1300" w:type="dxa"/>
            <w:vAlign w:val="center"/>
          </w:tcPr>
          <w:p w14:paraId="1FBF16A4"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c>
          <w:tcPr>
            <w:tcW w:w="1300" w:type="dxa"/>
            <w:vAlign w:val="center"/>
          </w:tcPr>
          <w:p w14:paraId="00D44D9A"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&gt;1-1000</w:t>
            </w:r>
          </w:p>
        </w:tc>
        <w:tc>
          <w:tcPr>
            <w:tcW w:w="1300" w:type="dxa"/>
            <w:vAlign w:val="center"/>
          </w:tcPr>
          <w:p w14:paraId="6BB1AD03"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10%</w:t>
            </w:r>
          </w:p>
        </w:tc>
      </w:tr>
      <w:tr w:rsidR="005330B5" w:rsidRPr="00FF5D72" w14:paraId="70F4D9AD" w14:textId="77777777" w:rsidTr="00840CCD">
        <w:trPr>
          <w:trHeight w:hRule="exact" w:val="340"/>
        </w:trPr>
        <w:tc>
          <w:tcPr>
            <w:tcW w:w="1405" w:type="dxa"/>
            <w:vAlign w:val="center"/>
          </w:tcPr>
          <w:p w14:paraId="3ACB479A"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Cr</w:t>
            </w:r>
          </w:p>
        </w:tc>
        <w:tc>
          <w:tcPr>
            <w:tcW w:w="1300" w:type="dxa"/>
            <w:vAlign w:val="center"/>
          </w:tcPr>
          <w:p w14:paraId="2386C526"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0,003-0,030</w:t>
            </w:r>
          </w:p>
        </w:tc>
        <w:tc>
          <w:tcPr>
            <w:tcW w:w="1300" w:type="dxa"/>
            <w:vAlign w:val="center"/>
          </w:tcPr>
          <w:p w14:paraId="0446135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0F6147A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&gt;0,030-20</w:t>
            </w:r>
          </w:p>
        </w:tc>
        <w:tc>
          <w:tcPr>
            <w:tcW w:w="1300" w:type="dxa"/>
            <w:vAlign w:val="center"/>
          </w:tcPr>
          <w:p w14:paraId="220690FC"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r w:rsidR="005330B5" w:rsidRPr="00FF5D72" w14:paraId="04A965DE" w14:textId="77777777" w:rsidTr="00840CCD">
        <w:trPr>
          <w:trHeight w:hRule="exact" w:val="340"/>
        </w:trPr>
        <w:tc>
          <w:tcPr>
            <w:tcW w:w="1405" w:type="dxa"/>
            <w:vAlign w:val="center"/>
          </w:tcPr>
          <w:p w14:paraId="7C4FC2A5"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Fe</w:t>
            </w:r>
          </w:p>
        </w:tc>
        <w:tc>
          <w:tcPr>
            <w:tcW w:w="1300" w:type="dxa"/>
            <w:vAlign w:val="center"/>
          </w:tcPr>
          <w:p w14:paraId="1AEB3D70"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0,01-0,10</w:t>
            </w:r>
          </w:p>
        </w:tc>
        <w:tc>
          <w:tcPr>
            <w:tcW w:w="1300" w:type="dxa"/>
            <w:vAlign w:val="center"/>
          </w:tcPr>
          <w:p w14:paraId="4DA0B12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28B8F93D"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&gt;0,10-100</w:t>
            </w:r>
          </w:p>
        </w:tc>
        <w:tc>
          <w:tcPr>
            <w:tcW w:w="1300" w:type="dxa"/>
            <w:vAlign w:val="center"/>
          </w:tcPr>
          <w:p w14:paraId="5B3E6B5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r w:rsidR="005330B5" w:rsidRPr="00FF5D72" w14:paraId="39EC1666" w14:textId="77777777" w:rsidTr="00840CCD">
        <w:trPr>
          <w:trHeight w:hRule="exact" w:val="340"/>
        </w:trPr>
        <w:tc>
          <w:tcPr>
            <w:tcW w:w="1405" w:type="dxa"/>
            <w:vAlign w:val="center"/>
          </w:tcPr>
          <w:p w14:paraId="71B5A706"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K</w:t>
            </w:r>
          </w:p>
        </w:tc>
        <w:tc>
          <w:tcPr>
            <w:tcW w:w="1300" w:type="dxa"/>
            <w:vAlign w:val="center"/>
          </w:tcPr>
          <w:p w14:paraId="60D585E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0,5-5</w:t>
            </w:r>
          </w:p>
        </w:tc>
        <w:tc>
          <w:tcPr>
            <w:tcW w:w="1300" w:type="dxa"/>
            <w:vAlign w:val="center"/>
          </w:tcPr>
          <w:p w14:paraId="7A7F6235"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c>
          <w:tcPr>
            <w:tcW w:w="1300" w:type="dxa"/>
            <w:vAlign w:val="center"/>
          </w:tcPr>
          <w:p w14:paraId="03E7834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&gt;5-1000</w:t>
            </w:r>
          </w:p>
        </w:tc>
        <w:tc>
          <w:tcPr>
            <w:tcW w:w="1300" w:type="dxa"/>
            <w:vAlign w:val="center"/>
          </w:tcPr>
          <w:p w14:paraId="63A4876C"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10%</w:t>
            </w:r>
          </w:p>
        </w:tc>
      </w:tr>
      <w:tr w:rsidR="005330B5" w:rsidRPr="00FF5D72" w14:paraId="1D92B2E4" w14:textId="77777777" w:rsidTr="00840CCD">
        <w:trPr>
          <w:trHeight w:hRule="exact" w:val="340"/>
        </w:trPr>
        <w:tc>
          <w:tcPr>
            <w:tcW w:w="1405" w:type="dxa"/>
            <w:vAlign w:val="center"/>
          </w:tcPr>
          <w:p w14:paraId="31240A91"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Mg</w:t>
            </w:r>
          </w:p>
        </w:tc>
        <w:tc>
          <w:tcPr>
            <w:tcW w:w="1300" w:type="dxa"/>
            <w:vAlign w:val="center"/>
          </w:tcPr>
          <w:p w14:paraId="4EB6296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0,1-1</w:t>
            </w:r>
          </w:p>
        </w:tc>
        <w:tc>
          <w:tcPr>
            <w:tcW w:w="1300" w:type="dxa"/>
            <w:vAlign w:val="center"/>
          </w:tcPr>
          <w:p w14:paraId="3D5F2E42"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077E6BA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&gt;1-500</w:t>
            </w:r>
          </w:p>
        </w:tc>
        <w:tc>
          <w:tcPr>
            <w:tcW w:w="1300" w:type="dxa"/>
            <w:vAlign w:val="center"/>
          </w:tcPr>
          <w:p w14:paraId="17F498B2"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10%</w:t>
            </w:r>
          </w:p>
        </w:tc>
      </w:tr>
      <w:tr w:rsidR="005330B5" w:rsidRPr="00FF5D72" w14:paraId="09651AFB" w14:textId="77777777" w:rsidTr="00840CCD">
        <w:trPr>
          <w:trHeight w:hRule="exact" w:val="340"/>
        </w:trPr>
        <w:tc>
          <w:tcPr>
            <w:tcW w:w="1405" w:type="dxa"/>
            <w:vAlign w:val="center"/>
          </w:tcPr>
          <w:p w14:paraId="1FE5A095"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Mn</w:t>
            </w:r>
          </w:p>
        </w:tc>
        <w:tc>
          <w:tcPr>
            <w:tcW w:w="1300" w:type="dxa"/>
            <w:vAlign w:val="center"/>
          </w:tcPr>
          <w:p w14:paraId="474E401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0,001-0,010</w:t>
            </w:r>
          </w:p>
        </w:tc>
        <w:tc>
          <w:tcPr>
            <w:tcW w:w="1300" w:type="dxa"/>
            <w:vAlign w:val="center"/>
          </w:tcPr>
          <w:p w14:paraId="1FFE2CB1"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750556D1"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&gt;0,010-20</w:t>
            </w:r>
          </w:p>
        </w:tc>
        <w:tc>
          <w:tcPr>
            <w:tcW w:w="1300" w:type="dxa"/>
            <w:vAlign w:val="center"/>
          </w:tcPr>
          <w:p w14:paraId="68E08BEE"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r w:rsidR="005330B5" w:rsidRPr="00FF5D72" w14:paraId="29FD1B93" w14:textId="77777777" w:rsidTr="00840CCD">
        <w:trPr>
          <w:trHeight w:hRule="exact" w:val="340"/>
        </w:trPr>
        <w:tc>
          <w:tcPr>
            <w:tcW w:w="1405" w:type="dxa"/>
            <w:vAlign w:val="center"/>
          </w:tcPr>
          <w:p w14:paraId="06C8C9C8"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Na</w:t>
            </w:r>
          </w:p>
        </w:tc>
        <w:tc>
          <w:tcPr>
            <w:tcW w:w="1300" w:type="dxa"/>
            <w:vAlign w:val="center"/>
          </w:tcPr>
          <w:p w14:paraId="5FF1B2C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0,5-5</w:t>
            </w:r>
          </w:p>
        </w:tc>
        <w:tc>
          <w:tcPr>
            <w:tcW w:w="1300" w:type="dxa"/>
            <w:vAlign w:val="center"/>
          </w:tcPr>
          <w:p w14:paraId="5664742D"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c>
          <w:tcPr>
            <w:tcW w:w="1300" w:type="dxa"/>
            <w:vAlign w:val="center"/>
          </w:tcPr>
          <w:p w14:paraId="66C9D429"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&gt;5-2000</w:t>
            </w:r>
          </w:p>
        </w:tc>
        <w:tc>
          <w:tcPr>
            <w:tcW w:w="1300" w:type="dxa"/>
            <w:vAlign w:val="center"/>
          </w:tcPr>
          <w:p w14:paraId="67DD25B9"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10%</w:t>
            </w:r>
          </w:p>
        </w:tc>
      </w:tr>
      <w:tr w:rsidR="005330B5" w:rsidRPr="00FF5D72" w14:paraId="7DCE2E31" w14:textId="77777777" w:rsidTr="00840CCD">
        <w:trPr>
          <w:trHeight w:hRule="exact" w:val="340"/>
        </w:trPr>
        <w:tc>
          <w:tcPr>
            <w:tcW w:w="1405" w:type="dxa"/>
            <w:vAlign w:val="center"/>
          </w:tcPr>
          <w:p w14:paraId="6E17A96C"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Ti</w:t>
            </w:r>
          </w:p>
        </w:tc>
        <w:tc>
          <w:tcPr>
            <w:tcW w:w="1300" w:type="dxa"/>
            <w:vAlign w:val="center"/>
          </w:tcPr>
          <w:p w14:paraId="1CCB77F7"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0,002-0,020</w:t>
            </w:r>
          </w:p>
        </w:tc>
        <w:tc>
          <w:tcPr>
            <w:tcW w:w="1300" w:type="dxa"/>
            <w:vAlign w:val="center"/>
          </w:tcPr>
          <w:p w14:paraId="44C60F94"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7D507A3A"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&gt;0,020-20</w:t>
            </w:r>
          </w:p>
        </w:tc>
        <w:tc>
          <w:tcPr>
            <w:tcW w:w="1300" w:type="dxa"/>
            <w:vAlign w:val="center"/>
          </w:tcPr>
          <w:p w14:paraId="136DFEA1"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r w:rsidR="005330B5" w:rsidRPr="00FF5D72" w14:paraId="0B41EB13" w14:textId="77777777" w:rsidTr="00840CCD">
        <w:trPr>
          <w:trHeight w:hRule="exact" w:val="340"/>
        </w:trPr>
        <w:tc>
          <w:tcPr>
            <w:tcW w:w="1405" w:type="dxa"/>
            <w:vAlign w:val="center"/>
          </w:tcPr>
          <w:p w14:paraId="69CF077B" w14:textId="77777777" w:rsidR="005330B5" w:rsidRPr="00FF5D72" w:rsidRDefault="005330B5" w:rsidP="00840CCD">
            <w:pPr>
              <w:spacing w:after="0"/>
              <w:jc w:val="center"/>
              <w:rPr>
                <w:rFonts w:asciiTheme="minorHAnsi" w:hAnsiTheme="minorHAnsi" w:cstheme="minorHAnsi"/>
                <w:sz w:val="16"/>
                <w:szCs w:val="16"/>
              </w:rPr>
            </w:pPr>
            <w:r w:rsidRPr="00FF5D72">
              <w:rPr>
                <w:rFonts w:asciiTheme="minorHAnsi" w:hAnsiTheme="minorHAnsi" w:cstheme="minorHAnsi"/>
                <w:sz w:val="16"/>
                <w:szCs w:val="16"/>
              </w:rPr>
              <w:t>Zn</w:t>
            </w:r>
          </w:p>
        </w:tc>
        <w:tc>
          <w:tcPr>
            <w:tcW w:w="1300" w:type="dxa"/>
            <w:vAlign w:val="center"/>
          </w:tcPr>
          <w:p w14:paraId="465EF949"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0,003-0,030</w:t>
            </w:r>
          </w:p>
        </w:tc>
        <w:tc>
          <w:tcPr>
            <w:tcW w:w="1300" w:type="dxa"/>
            <w:vAlign w:val="center"/>
          </w:tcPr>
          <w:p w14:paraId="448E4C2C"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25%</w:t>
            </w:r>
          </w:p>
        </w:tc>
        <w:tc>
          <w:tcPr>
            <w:tcW w:w="1300" w:type="dxa"/>
            <w:vAlign w:val="center"/>
          </w:tcPr>
          <w:p w14:paraId="220D07FB"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&gt;0,030-20</w:t>
            </w:r>
          </w:p>
        </w:tc>
        <w:tc>
          <w:tcPr>
            <w:tcW w:w="1300" w:type="dxa"/>
            <w:vAlign w:val="center"/>
          </w:tcPr>
          <w:p w14:paraId="68F7F369" w14:textId="77777777" w:rsidR="005330B5" w:rsidRPr="00FF5D72" w:rsidRDefault="005330B5" w:rsidP="00840CCD">
            <w:pPr>
              <w:jc w:val="center"/>
              <w:rPr>
                <w:rFonts w:asciiTheme="minorHAnsi" w:hAnsiTheme="minorHAnsi" w:cstheme="minorHAnsi"/>
                <w:sz w:val="16"/>
                <w:szCs w:val="16"/>
              </w:rPr>
            </w:pPr>
            <w:r w:rsidRPr="00FF5D72">
              <w:rPr>
                <w:rFonts w:asciiTheme="minorHAnsi" w:hAnsiTheme="minorHAnsi" w:cstheme="minorHAnsi"/>
                <w:sz w:val="16"/>
                <w:szCs w:val="16"/>
              </w:rPr>
              <w:t>15%</w:t>
            </w:r>
          </w:p>
        </w:tc>
      </w:tr>
    </w:tbl>
    <w:p w14:paraId="7AE3E8E7" w14:textId="77777777" w:rsidR="005330B5" w:rsidRPr="00FF5D72" w:rsidRDefault="005330B5" w:rsidP="005330B5">
      <w:pPr>
        <w:tabs>
          <w:tab w:val="left" w:pos="1328"/>
        </w:tabs>
        <w:jc w:val="left"/>
        <w:rPr>
          <w:rFonts w:asciiTheme="minorHAnsi" w:hAnsiTheme="minorHAnsi" w:cstheme="minorHAnsi"/>
          <w:sz w:val="16"/>
          <w:szCs w:val="16"/>
        </w:rPr>
      </w:pPr>
    </w:p>
    <w:p w14:paraId="146ADE2E" w14:textId="77777777" w:rsidR="005330B5" w:rsidRPr="00FF5D72" w:rsidRDefault="005330B5" w:rsidP="005330B5">
      <w:pPr>
        <w:rPr>
          <w:rFonts w:asciiTheme="minorHAnsi" w:hAnsiTheme="minorHAnsi" w:cstheme="minorHAnsi"/>
          <w:sz w:val="16"/>
          <w:szCs w:val="16"/>
        </w:rPr>
      </w:pPr>
    </w:p>
    <w:p w14:paraId="62DA52B7" w14:textId="77777777" w:rsidR="005330B5" w:rsidRPr="00FF5D72" w:rsidRDefault="005330B5" w:rsidP="005330B5">
      <w:pPr>
        <w:rPr>
          <w:rFonts w:asciiTheme="minorHAnsi" w:hAnsiTheme="minorHAnsi" w:cstheme="minorHAnsi"/>
          <w:sz w:val="16"/>
          <w:szCs w:val="16"/>
        </w:rPr>
      </w:pPr>
    </w:p>
    <w:p w14:paraId="6CA425AC" w14:textId="77777777" w:rsidR="005330B5" w:rsidRPr="00FF5D72" w:rsidRDefault="005330B5" w:rsidP="005330B5">
      <w:pPr>
        <w:rPr>
          <w:rFonts w:asciiTheme="minorHAnsi" w:hAnsiTheme="minorHAnsi" w:cstheme="minorHAnsi"/>
          <w:sz w:val="16"/>
          <w:szCs w:val="16"/>
        </w:rPr>
      </w:pPr>
    </w:p>
    <w:p w14:paraId="7046269A" w14:textId="77777777" w:rsidR="005330B5" w:rsidRPr="00FF5D72" w:rsidRDefault="005330B5" w:rsidP="005330B5">
      <w:pPr>
        <w:rPr>
          <w:rFonts w:asciiTheme="minorHAnsi" w:hAnsiTheme="minorHAnsi" w:cstheme="minorHAnsi"/>
          <w:sz w:val="16"/>
          <w:szCs w:val="16"/>
        </w:rPr>
      </w:pPr>
    </w:p>
    <w:p w14:paraId="4E43CA2C" w14:textId="77777777" w:rsidR="005330B5" w:rsidRPr="00FF5D72" w:rsidRDefault="005330B5" w:rsidP="005330B5">
      <w:pPr>
        <w:rPr>
          <w:rFonts w:asciiTheme="minorHAnsi" w:hAnsiTheme="minorHAnsi" w:cstheme="minorHAnsi"/>
          <w:sz w:val="16"/>
          <w:szCs w:val="16"/>
        </w:rPr>
      </w:pPr>
    </w:p>
    <w:p w14:paraId="19AFC6F0" w14:textId="77777777" w:rsidR="005330B5" w:rsidRPr="00FF5D72" w:rsidRDefault="005330B5" w:rsidP="005330B5">
      <w:pPr>
        <w:rPr>
          <w:rFonts w:asciiTheme="minorHAnsi" w:hAnsiTheme="minorHAnsi" w:cstheme="minorHAnsi"/>
          <w:sz w:val="16"/>
          <w:szCs w:val="16"/>
        </w:rPr>
      </w:pPr>
    </w:p>
    <w:p w14:paraId="076FAD92" w14:textId="77777777" w:rsidR="005330B5" w:rsidRPr="00FF5D72" w:rsidRDefault="005330B5" w:rsidP="005330B5">
      <w:pPr>
        <w:rPr>
          <w:rFonts w:asciiTheme="minorHAnsi" w:hAnsiTheme="minorHAnsi" w:cstheme="minorHAnsi"/>
          <w:sz w:val="16"/>
          <w:szCs w:val="16"/>
        </w:rPr>
      </w:pPr>
    </w:p>
    <w:p w14:paraId="62627F59" w14:textId="77777777" w:rsidR="005330B5" w:rsidRPr="00FF5D72" w:rsidRDefault="005330B5" w:rsidP="005330B5">
      <w:pPr>
        <w:rPr>
          <w:rFonts w:asciiTheme="minorHAnsi" w:hAnsiTheme="minorHAnsi" w:cstheme="minorHAnsi"/>
          <w:sz w:val="16"/>
          <w:szCs w:val="16"/>
        </w:rPr>
      </w:pPr>
    </w:p>
    <w:p w14:paraId="77BC53D8" w14:textId="77777777" w:rsidR="005330B5" w:rsidRPr="00555411" w:rsidRDefault="005330B5" w:rsidP="005330B5">
      <w:pPr>
        <w:rPr>
          <w:rFonts w:asciiTheme="minorHAnsi" w:hAnsiTheme="minorHAnsi" w:cstheme="minorHAnsi"/>
        </w:rPr>
      </w:pPr>
    </w:p>
    <w:p w14:paraId="6FFAADB4" w14:textId="7EE6BB5D" w:rsidR="005330B5" w:rsidRDefault="005330B5" w:rsidP="005330B5"/>
    <w:p w14:paraId="74AECB0E" w14:textId="77777777" w:rsidR="005330B5" w:rsidRPr="005330B5" w:rsidRDefault="005330B5" w:rsidP="005330B5"/>
    <w:p w14:paraId="4C9F25E3" w14:textId="77777777" w:rsidR="00D55207" w:rsidRDefault="00D55207" w:rsidP="00B50FFD">
      <w:pPr>
        <w:pStyle w:val="Nagwek1"/>
        <w:numPr>
          <w:ilvl w:val="0"/>
          <w:numId w:val="0"/>
        </w:numPr>
        <w:ind w:left="432"/>
      </w:pPr>
    </w:p>
    <w:p w14:paraId="170D8B45" w14:textId="17123B1A" w:rsidR="00A32BE2" w:rsidRPr="00643A2C" w:rsidRDefault="00A32BE2" w:rsidP="00643A2C">
      <w:pPr>
        <w:pStyle w:val="rdo0"/>
      </w:pPr>
      <w:r w:rsidRPr="009D2E58">
        <w:t xml:space="preserve">Źródło: </w:t>
      </w:r>
      <w:r w:rsidR="00CA505B">
        <w:t>dane GIOŚ</w:t>
      </w:r>
    </w:p>
    <w:p w14:paraId="2E6B5F22" w14:textId="7C5D0173" w:rsidR="00A32BE2" w:rsidRPr="00A32BE2" w:rsidRDefault="00A32BE2" w:rsidP="00A32BE2">
      <w:pPr>
        <w:rPr>
          <w:b/>
          <w:bCs/>
        </w:rPr>
        <w:sectPr w:rsidR="00A32BE2" w:rsidRPr="00A32BE2" w:rsidSect="00070301">
          <w:headerReference w:type="even" r:id="rId95"/>
          <w:footerReference w:type="default" r:id="rId96"/>
          <w:headerReference w:type="first" r:id="rId97"/>
          <w:pgSz w:w="16838" w:h="11906" w:orient="landscape"/>
          <w:pgMar w:top="1440" w:right="1440" w:bottom="1416" w:left="1440" w:header="708" w:footer="708" w:gutter="0"/>
          <w:cols w:space="708"/>
          <w:docGrid w:linePitch="360"/>
        </w:sectPr>
      </w:pPr>
    </w:p>
    <w:p w14:paraId="32D946D7" w14:textId="4A326BDE" w:rsidR="005374A5" w:rsidRDefault="005374A5" w:rsidP="00B50FFD">
      <w:pPr>
        <w:pStyle w:val="Nagwek1"/>
      </w:pPr>
      <w:bookmarkStart w:id="524" w:name="_Toc68726926"/>
      <w:r w:rsidRPr="006467CB">
        <w:t>Uzasadnienie częstotliwości prowadzenia monitoringu substancji priorytetowych określonej w przepisach wydanych na podstawie art. 350 ust. 1</w:t>
      </w:r>
      <w:r>
        <w:t xml:space="preserve"> </w:t>
      </w:r>
      <w:r w:rsidR="00980B19">
        <w:t>ustawy Prawo wodne</w:t>
      </w:r>
      <w:bookmarkEnd w:id="524"/>
    </w:p>
    <w:p w14:paraId="4E9B2704" w14:textId="77777777" w:rsidR="00FA3415" w:rsidRPr="008A5012" w:rsidRDefault="00FA3415" w:rsidP="00FA3415">
      <w:pPr>
        <w:suppressAutoHyphens/>
        <w:spacing w:before="240"/>
        <w:rPr>
          <w:rFonts w:asciiTheme="minorHAnsi" w:hAnsiTheme="minorHAnsi" w:cstheme="minorHAnsi"/>
          <w:b/>
          <w:bCs/>
        </w:rPr>
      </w:pPr>
      <w:r w:rsidRPr="008A5012">
        <w:rPr>
          <w:rFonts w:asciiTheme="minorHAnsi" w:hAnsiTheme="minorHAnsi" w:cstheme="minorHAnsi"/>
          <w:b/>
          <w:bCs/>
        </w:rPr>
        <w:t xml:space="preserve">Warunki </w:t>
      </w:r>
      <w:r>
        <w:rPr>
          <w:rFonts w:asciiTheme="minorHAnsi" w:hAnsiTheme="minorHAnsi" w:cstheme="minorHAnsi"/>
          <w:b/>
          <w:bCs/>
        </w:rPr>
        <w:t>prowadzenia</w:t>
      </w:r>
      <w:r w:rsidRPr="008A5012">
        <w:rPr>
          <w:rFonts w:asciiTheme="minorHAnsi" w:hAnsiTheme="minorHAnsi" w:cstheme="minorHAnsi"/>
          <w:b/>
          <w:bCs/>
        </w:rPr>
        <w:t xml:space="preserve"> monitoringu </w:t>
      </w:r>
      <w:r>
        <w:rPr>
          <w:rFonts w:asciiTheme="minorHAnsi" w:hAnsiTheme="minorHAnsi" w:cstheme="minorHAnsi"/>
          <w:b/>
          <w:bCs/>
        </w:rPr>
        <w:t xml:space="preserve">substancji priorytetowych w </w:t>
      </w:r>
      <w:r w:rsidRPr="008A5012">
        <w:rPr>
          <w:rFonts w:asciiTheme="minorHAnsi" w:hAnsiTheme="minorHAnsi" w:cstheme="minorHAnsi"/>
          <w:b/>
          <w:bCs/>
        </w:rPr>
        <w:t>w</w:t>
      </w:r>
      <w:r>
        <w:rPr>
          <w:rFonts w:asciiTheme="minorHAnsi" w:hAnsiTheme="minorHAnsi" w:cstheme="minorHAnsi"/>
          <w:b/>
          <w:bCs/>
        </w:rPr>
        <w:t>odach</w:t>
      </w:r>
      <w:r w:rsidRPr="008A5012">
        <w:rPr>
          <w:rFonts w:asciiTheme="minorHAnsi" w:hAnsiTheme="minorHAnsi" w:cstheme="minorHAnsi"/>
          <w:b/>
          <w:bCs/>
        </w:rPr>
        <w:t xml:space="preserve"> powierzchniowych</w:t>
      </w:r>
    </w:p>
    <w:p w14:paraId="31349886" w14:textId="50911D01" w:rsidR="00FA3415" w:rsidRDefault="00FA3415" w:rsidP="00FA3415">
      <w:pPr>
        <w:suppressAutoHyphens/>
        <w:rPr>
          <w:rFonts w:asciiTheme="minorHAnsi" w:hAnsiTheme="minorHAnsi" w:cstheme="minorHAnsi"/>
        </w:rPr>
      </w:pPr>
      <w:r>
        <w:rPr>
          <w:rFonts w:asciiTheme="minorHAnsi" w:hAnsiTheme="minorHAnsi" w:cstheme="minorHAnsi"/>
        </w:rPr>
        <w:t>Zakres i c</w:t>
      </w:r>
      <w:r w:rsidRPr="008A5012">
        <w:rPr>
          <w:rFonts w:asciiTheme="minorHAnsi" w:hAnsiTheme="minorHAnsi" w:cstheme="minorHAnsi"/>
        </w:rPr>
        <w:t xml:space="preserve">zęstotliwość badań wskaźników </w:t>
      </w:r>
      <w:r>
        <w:rPr>
          <w:rFonts w:asciiTheme="minorHAnsi" w:hAnsiTheme="minorHAnsi" w:cstheme="minorHAnsi"/>
        </w:rPr>
        <w:t>jcwp</w:t>
      </w:r>
      <w:r w:rsidRPr="008A5012">
        <w:rPr>
          <w:rFonts w:asciiTheme="minorHAnsi" w:hAnsiTheme="minorHAnsi" w:cstheme="minorHAnsi"/>
        </w:rPr>
        <w:t xml:space="preserve"> w punktach pomiarowo-kontrolnych określana jest na</w:t>
      </w:r>
      <w:r>
        <w:rPr>
          <w:rFonts w:asciiTheme="minorHAnsi" w:hAnsiTheme="minorHAnsi" w:cstheme="minorHAnsi"/>
        </w:rPr>
        <w:t> </w:t>
      </w:r>
      <w:r w:rsidRPr="008A5012">
        <w:rPr>
          <w:rFonts w:asciiTheme="minorHAnsi" w:hAnsiTheme="minorHAnsi" w:cstheme="minorHAnsi"/>
        </w:rPr>
        <w:t>podstawie przepisów dotyczących form i sposobu prowadzenia monitoringu jednolitych części wód. W zakresie badania substancji priorytetowych dla fauny i flory oraz osadów dennych</w:t>
      </w:r>
      <w:r>
        <w:rPr>
          <w:rFonts w:asciiTheme="minorHAnsi" w:hAnsiTheme="minorHAnsi" w:cstheme="minorHAnsi"/>
        </w:rPr>
        <w:t xml:space="preserve"> w nowym cyklu planistycznym,</w:t>
      </w:r>
      <w:r w:rsidRPr="008A5012">
        <w:rPr>
          <w:rFonts w:asciiTheme="minorHAnsi" w:hAnsiTheme="minorHAnsi" w:cstheme="minorHAnsi"/>
        </w:rPr>
        <w:t xml:space="preserve"> wymogi te precyzują przepisy</w:t>
      </w:r>
      <w:r>
        <w:rPr>
          <w:rFonts w:asciiTheme="minorHAnsi" w:hAnsiTheme="minorHAnsi" w:cstheme="minorHAnsi"/>
        </w:rPr>
        <w:t xml:space="preserve"> r.m.jcw (2019). </w:t>
      </w:r>
    </w:p>
    <w:p w14:paraId="49CC2A57" w14:textId="77777777" w:rsidR="00FA3415" w:rsidRDefault="00FA3415" w:rsidP="00FA3415">
      <w:pPr>
        <w:suppressAutoHyphens/>
        <w:rPr>
          <w:rFonts w:asciiTheme="minorHAnsi" w:hAnsiTheme="minorHAnsi" w:cstheme="minorHAnsi"/>
        </w:rPr>
      </w:pPr>
      <w:r w:rsidRPr="008A5012">
        <w:rPr>
          <w:rFonts w:asciiTheme="minorHAnsi" w:hAnsiTheme="minorHAnsi" w:cstheme="minorHAnsi"/>
        </w:rPr>
        <w:t xml:space="preserve">Zakończony cykl aPGW </w:t>
      </w:r>
      <w:r>
        <w:rPr>
          <w:rFonts w:asciiTheme="minorHAnsi" w:hAnsiTheme="minorHAnsi" w:cstheme="minorHAnsi"/>
        </w:rPr>
        <w:t xml:space="preserve">opierał się na wymaganiach s.r.m (2016). </w:t>
      </w:r>
      <w:r w:rsidRPr="00DB6B75">
        <w:rPr>
          <w:rFonts w:asciiTheme="minorHAnsi" w:hAnsiTheme="minorHAnsi" w:cstheme="minorHAnsi"/>
        </w:rPr>
        <w:t>W zakresie oceny stanu chemicznego realizowane badania obejmowały wdrażanie</w:t>
      </w:r>
      <w:r>
        <w:rPr>
          <w:rFonts w:asciiTheme="minorHAnsi" w:hAnsiTheme="minorHAnsi" w:cstheme="minorHAnsi"/>
        </w:rPr>
        <w:t xml:space="preserve"> </w:t>
      </w:r>
      <w:r w:rsidRPr="00DB6B75">
        <w:rPr>
          <w:rFonts w:asciiTheme="minorHAnsi" w:hAnsiTheme="minorHAnsi" w:cstheme="minorHAnsi"/>
        </w:rPr>
        <w:t>wymagań</w:t>
      </w:r>
      <w:r>
        <w:rPr>
          <w:rFonts w:asciiTheme="minorHAnsi" w:hAnsiTheme="minorHAnsi" w:cstheme="minorHAnsi"/>
        </w:rPr>
        <w:t xml:space="preserve"> </w:t>
      </w:r>
      <w:r w:rsidRPr="00DB6B75">
        <w:rPr>
          <w:rFonts w:asciiTheme="minorHAnsi" w:hAnsiTheme="minorHAnsi" w:cstheme="minorHAnsi"/>
        </w:rPr>
        <w:t>dyrektywy</w:t>
      </w:r>
      <w:r>
        <w:rPr>
          <w:rFonts w:asciiTheme="minorHAnsi" w:hAnsiTheme="minorHAnsi" w:cstheme="minorHAnsi"/>
        </w:rPr>
        <w:t xml:space="preserve"> </w:t>
      </w:r>
      <w:r w:rsidRPr="00DB6B75">
        <w:rPr>
          <w:rFonts w:asciiTheme="minorHAnsi" w:hAnsiTheme="minorHAnsi" w:cstheme="minorHAnsi"/>
        </w:rPr>
        <w:t>Parlamentu</w:t>
      </w:r>
      <w:r>
        <w:rPr>
          <w:rFonts w:asciiTheme="minorHAnsi" w:hAnsiTheme="minorHAnsi" w:cstheme="minorHAnsi"/>
        </w:rPr>
        <w:t xml:space="preserve"> </w:t>
      </w:r>
      <w:r w:rsidRPr="00DB6B75">
        <w:rPr>
          <w:rFonts w:asciiTheme="minorHAnsi" w:hAnsiTheme="minorHAnsi" w:cstheme="minorHAnsi"/>
        </w:rPr>
        <w:t>Europejskiego</w:t>
      </w:r>
      <w:r>
        <w:rPr>
          <w:rFonts w:asciiTheme="minorHAnsi" w:hAnsiTheme="minorHAnsi" w:cstheme="minorHAnsi"/>
        </w:rPr>
        <w:t xml:space="preserve"> </w:t>
      </w:r>
      <w:r w:rsidRPr="00DB6B75">
        <w:rPr>
          <w:rFonts w:asciiTheme="minorHAnsi" w:hAnsiTheme="minorHAnsi" w:cstheme="minorHAnsi"/>
        </w:rPr>
        <w:t>i</w:t>
      </w:r>
      <w:r>
        <w:rPr>
          <w:rFonts w:asciiTheme="minorHAnsi" w:hAnsiTheme="minorHAnsi" w:cstheme="minorHAnsi"/>
        </w:rPr>
        <w:t xml:space="preserve"> </w:t>
      </w:r>
      <w:r w:rsidRPr="00DB6B75">
        <w:rPr>
          <w:rFonts w:asciiTheme="minorHAnsi" w:hAnsiTheme="minorHAnsi" w:cstheme="minorHAnsi"/>
        </w:rPr>
        <w:t>Rady</w:t>
      </w:r>
      <w:r>
        <w:rPr>
          <w:rFonts w:asciiTheme="minorHAnsi" w:hAnsiTheme="minorHAnsi" w:cstheme="minorHAnsi"/>
        </w:rPr>
        <w:t xml:space="preserve"> </w:t>
      </w:r>
      <w:r w:rsidRPr="00DB6B75">
        <w:rPr>
          <w:rFonts w:asciiTheme="minorHAnsi" w:hAnsiTheme="minorHAnsi" w:cstheme="minorHAnsi"/>
        </w:rPr>
        <w:t>2013/39/UE</w:t>
      </w:r>
      <w:r>
        <w:rPr>
          <w:rFonts w:asciiTheme="minorHAnsi" w:hAnsiTheme="minorHAnsi" w:cstheme="minorHAnsi"/>
        </w:rPr>
        <w:t xml:space="preserve"> </w:t>
      </w:r>
      <w:r w:rsidRPr="00DB6B75">
        <w:rPr>
          <w:rFonts w:asciiTheme="minorHAnsi" w:hAnsiTheme="minorHAnsi" w:cstheme="minorHAnsi"/>
        </w:rPr>
        <w:t>z dnia 12 sierpnia 2013 r. zmieniającej dyrektywy 2000/60/WE i 2008/105/WE w zakresie substancji priorytetowych w dziedzinie polityki wodnej</w:t>
      </w:r>
      <w:r>
        <w:rPr>
          <w:rFonts w:asciiTheme="minorHAnsi" w:hAnsiTheme="minorHAnsi" w:cstheme="minorHAnsi"/>
        </w:rPr>
        <w:t xml:space="preserve">, </w:t>
      </w:r>
      <w:r w:rsidRPr="008A5012">
        <w:rPr>
          <w:rFonts w:asciiTheme="minorHAnsi" w:hAnsiTheme="minorHAnsi" w:cstheme="minorHAnsi"/>
        </w:rPr>
        <w:t xml:space="preserve">w </w:t>
      </w:r>
      <w:r>
        <w:rPr>
          <w:rFonts w:asciiTheme="minorHAnsi" w:hAnsiTheme="minorHAnsi" w:cstheme="minorHAnsi"/>
        </w:rPr>
        <w:t>związku z czym</w:t>
      </w:r>
      <w:r w:rsidRPr="008A5012">
        <w:rPr>
          <w:rFonts w:asciiTheme="minorHAnsi" w:hAnsiTheme="minorHAnsi" w:cstheme="minorHAnsi"/>
        </w:rPr>
        <w:t xml:space="preserve"> </w:t>
      </w:r>
      <w:r>
        <w:rPr>
          <w:rFonts w:asciiTheme="minorHAnsi" w:hAnsiTheme="minorHAnsi" w:cstheme="minorHAnsi"/>
        </w:rPr>
        <w:t xml:space="preserve">uległ zmianie zakres </w:t>
      </w:r>
      <w:r w:rsidRPr="008A5012">
        <w:rPr>
          <w:rFonts w:asciiTheme="minorHAnsi" w:hAnsiTheme="minorHAnsi" w:cstheme="minorHAnsi"/>
        </w:rPr>
        <w:t>bada</w:t>
      </w:r>
      <w:r>
        <w:rPr>
          <w:rFonts w:asciiTheme="minorHAnsi" w:hAnsiTheme="minorHAnsi" w:cstheme="minorHAnsi"/>
        </w:rPr>
        <w:t>ń</w:t>
      </w:r>
      <w:r w:rsidRPr="008A5012">
        <w:rPr>
          <w:rFonts w:asciiTheme="minorHAnsi" w:hAnsiTheme="minorHAnsi" w:cstheme="minorHAnsi"/>
        </w:rPr>
        <w:t xml:space="preserve"> </w:t>
      </w:r>
      <w:r>
        <w:rPr>
          <w:rFonts w:asciiTheme="minorHAnsi" w:hAnsiTheme="minorHAnsi" w:cstheme="minorHAnsi"/>
        </w:rPr>
        <w:t xml:space="preserve">grupy wskaźników według rozszerzonej listy </w:t>
      </w:r>
      <w:r w:rsidRPr="008A5012">
        <w:rPr>
          <w:rFonts w:asciiTheme="minorHAnsi" w:hAnsiTheme="minorHAnsi" w:cstheme="minorHAnsi"/>
        </w:rPr>
        <w:t>substancji priorytetowych</w:t>
      </w:r>
      <w:r>
        <w:rPr>
          <w:rFonts w:asciiTheme="minorHAnsi" w:hAnsiTheme="minorHAnsi" w:cstheme="minorHAnsi"/>
        </w:rPr>
        <w:t xml:space="preserve">, wraz z koniecznością badania stężenia wybranych substancji </w:t>
      </w:r>
      <w:r w:rsidRPr="008A5012">
        <w:rPr>
          <w:rFonts w:asciiTheme="minorHAnsi" w:hAnsiTheme="minorHAnsi" w:cstheme="minorHAnsi"/>
        </w:rPr>
        <w:t>w biocie</w:t>
      </w:r>
      <w:r>
        <w:rPr>
          <w:rFonts w:asciiTheme="minorHAnsi" w:hAnsiTheme="minorHAnsi" w:cstheme="minorHAnsi"/>
        </w:rPr>
        <w:t xml:space="preserve">. </w:t>
      </w:r>
    </w:p>
    <w:p w14:paraId="38812765" w14:textId="77777777" w:rsidR="00FA3415" w:rsidRDefault="00FA3415" w:rsidP="00FA3415">
      <w:pPr>
        <w:suppressAutoHyphens/>
        <w:rPr>
          <w:rFonts w:asciiTheme="minorHAnsi" w:hAnsiTheme="minorHAnsi" w:cstheme="minorHAnsi"/>
        </w:rPr>
      </w:pPr>
      <w:r>
        <w:rPr>
          <w:rFonts w:asciiTheme="minorHAnsi" w:hAnsiTheme="minorHAnsi" w:cstheme="minorHAnsi"/>
        </w:rPr>
        <w:t>N</w:t>
      </w:r>
      <w:r w:rsidRPr="008A5012">
        <w:rPr>
          <w:rFonts w:asciiTheme="minorHAnsi" w:hAnsiTheme="minorHAnsi" w:cstheme="minorHAnsi"/>
        </w:rPr>
        <w:t xml:space="preserve">ormy jakościowe </w:t>
      </w:r>
      <w:r>
        <w:rPr>
          <w:rFonts w:asciiTheme="minorHAnsi" w:hAnsiTheme="minorHAnsi" w:cstheme="minorHAnsi"/>
        </w:rPr>
        <w:t xml:space="preserve">dla substancji priorytetowych </w:t>
      </w:r>
      <w:r w:rsidRPr="008A5012">
        <w:rPr>
          <w:rFonts w:asciiTheme="minorHAnsi" w:hAnsiTheme="minorHAnsi" w:cstheme="minorHAnsi"/>
        </w:rPr>
        <w:t xml:space="preserve">ustalone w </w:t>
      </w:r>
      <w:r w:rsidRPr="00A14F9B">
        <w:rPr>
          <w:rFonts w:asciiTheme="minorHAnsi" w:hAnsiTheme="minorHAnsi" w:cstheme="minorHAnsi"/>
        </w:rPr>
        <w:t>r.kl.jcwp</w:t>
      </w:r>
      <w:r>
        <w:rPr>
          <w:rFonts w:asciiTheme="minorHAnsi" w:hAnsiTheme="minorHAnsi" w:cstheme="minorHAnsi"/>
        </w:rPr>
        <w:t xml:space="preserve"> (2016)</w:t>
      </w:r>
      <w:r w:rsidRPr="008A5012">
        <w:rPr>
          <w:rFonts w:asciiTheme="minorHAnsi" w:hAnsiTheme="minorHAnsi" w:cstheme="minorHAnsi"/>
        </w:rPr>
        <w:t xml:space="preserve"> nie zmieniły się istotnie w nowych przepisach</w:t>
      </w:r>
      <w:r>
        <w:rPr>
          <w:rFonts w:asciiTheme="minorHAnsi" w:hAnsiTheme="minorHAnsi" w:cstheme="minorHAnsi"/>
        </w:rPr>
        <w:t xml:space="preserve"> wykonawczych z roku 2019.</w:t>
      </w:r>
    </w:p>
    <w:p w14:paraId="4DD114B9" w14:textId="77777777" w:rsidR="00FA3415" w:rsidRPr="008A5012" w:rsidRDefault="00FA3415" w:rsidP="00FA3415">
      <w:pPr>
        <w:suppressAutoHyphens/>
        <w:rPr>
          <w:rFonts w:asciiTheme="minorHAnsi" w:hAnsiTheme="minorHAnsi" w:cstheme="minorHAnsi"/>
        </w:rPr>
      </w:pPr>
      <w:r w:rsidRPr="008A5012">
        <w:rPr>
          <w:rFonts w:asciiTheme="minorHAnsi" w:hAnsiTheme="minorHAnsi" w:cstheme="minorHAnsi"/>
        </w:rPr>
        <w:t>Monitoring jednolitych części wód powierzchniowych prowadzony jest w formie:</w:t>
      </w:r>
    </w:p>
    <w:p w14:paraId="6914DE89" w14:textId="77777777" w:rsidR="00FA3415" w:rsidRPr="00D41A3A" w:rsidRDefault="00FA3415" w:rsidP="00D41A3A">
      <w:pPr>
        <w:pStyle w:val="Akapitzlist"/>
      </w:pPr>
      <w:r w:rsidRPr="00D41A3A">
        <w:t>pomiarów poziomu i objętości lub natężenia przepływu wód w zakresie stosownym dla stanu ekologicznego lub potencjału ekologicznego lub stanu chemicznego;</w:t>
      </w:r>
    </w:p>
    <w:p w14:paraId="60AA2C19" w14:textId="39C9CC99" w:rsidR="00FA3415" w:rsidRPr="00D41A3A" w:rsidRDefault="00FA3415" w:rsidP="00D41A3A">
      <w:pPr>
        <w:pStyle w:val="Akapitzlist"/>
      </w:pPr>
      <w:r w:rsidRPr="00D41A3A">
        <w:t>badań grup wskaźników lub poszczególnych wskaźników jakości wód m.in. na potrzeby analiz długoterminowych trendów zmian stężeń substancji priorytetowych, o których mowa w</w:t>
      </w:r>
      <w:r w:rsidR="006C4947">
        <w:t> </w:t>
      </w:r>
      <w:r w:rsidRPr="00D41A3A">
        <w:t xml:space="preserve">przepisach wydanych na podstawie art. 114 </w:t>
      </w:r>
      <w:r w:rsidR="00980B19" w:rsidRPr="00D41A3A">
        <w:t xml:space="preserve">ustawy </w:t>
      </w:r>
      <w:r w:rsidRPr="00D41A3A">
        <w:t xml:space="preserve">pr.w., i innych zanieczyszczeń, dla których określa się środowiskowe normy jakości, o których mowa w przepisach wydanych na podstawie art. 53 ust. 4 </w:t>
      </w:r>
      <w:r w:rsidR="00980B19" w:rsidRPr="00D41A3A">
        <w:t xml:space="preserve">ustawy </w:t>
      </w:r>
      <w:r w:rsidRPr="00D41A3A">
        <w:t>pr.w.</w:t>
      </w:r>
    </w:p>
    <w:p w14:paraId="7B6A9E5C" w14:textId="6A1298C9" w:rsidR="00FA3415" w:rsidRPr="00D440EE" w:rsidRDefault="00FA3415" w:rsidP="00FA3415">
      <w:pPr>
        <w:suppressAutoHyphens/>
        <w:rPr>
          <w:rFonts w:asciiTheme="minorHAnsi" w:hAnsiTheme="minorHAnsi" w:cstheme="minorHAnsi"/>
        </w:rPr>
      </w:pPr>
      <w:r w:rsidRPr="008A5012">
        <w:rPr>
          <w:rFonts w:asciiTheme="minorHAnsi" w:hAnsiTheme="minorHAnsi" w:cstheme="minorHAnsi"/>
        </w:rPr>
        <w:t xml:space="preserve">Badania grup wskaźników lub poszczególnych wskaźników jakości wód na potrzeby analiz obejmują również elementy chemiczne w </w:t>
      </w:r>
      <w:r>
        <w:rPr>
          <w:rFonts w:asciiTheme="minorHAnsi" w:hAnsiTheme="minorHAnsi" w:cstheme="minorHAnsi"/>
        </w:rPr>
        <w:t>biocie</w:t>
      </w:r>
      <w:r w:rsidRPr="008A5012">
        <w:rPr>
          <w:rFonts w:asciiTheme="minorHAnsi" w:hAnsiTheme="minorHAnsi" w:cstheme="minorHAnsi"/>
        </w:rPr>
        <w:t xml:space="preserve"> lub osadach dennych. Na potrzeby ustalenia stanu wód oraz planowania w gospodarowaniu wodami </w:t>
      </w:r>
      <w:r w:rsidR="002B4233">
        <w:rPr>
          <w:rFonts w:asciiTheme="minorHAnsi" w:hAnsiTheme="minorHAnsi" w:cstheme="minorHAnsi"/>
        </w:rPr>
        <w:t>odpowiada</w:t>
      </w:r>
      <w:r w:rsidR="002B4233" w:rsidRPr="008A5012">
        <w:rPr>
          <w:rFonts w:asciiTheme="minorHAnsi" w:hAnsiTheme="minorHAnsi" w:cstheme="minorHAnsi"/>
        </w:rPr>
        <w:t xml:space="preserve"> </w:t>
      </w:r>
      <w:r>
        <w:rPr>
          <w:rFonts w:asciiTheme="minorHAnsi" w:hAnsiTheme="minorHAnsi" w:cstheme="minorHAnsi"/>
        </w:rPr>
        <w:t>p</w:t>
      </w:r>
      <w:r w:rsidRPr="00D440EE">
        <w:rPr>
          <w:rFonts w:asciiTheme="minorHAnsi" w:hAnsiTheme="minorHAnsi" w:cstheme="minorHAnsi"/>
        </w:rPr>
        <w:t xml:space="preserve">rogram monitoringu realizowany w ramach: </w:t>
      </w:r>
    </w:p>
    <w:p w14:paraId="444A231C" w14:textId="77777777" w:rsidR="00FA3415" w:rsidRPr="00676DFC" w:rsidRDefault="00FA3415" w:rsidP="00F06393">
      <w:pPr>
        <w:pStyle w:val="Akapitzlist"/>
      </w:pPr>
      <w:r w:rsidRPr="00676DFC">
        <w:t xml:space="preserve">monitoringu diagnostycznego, </w:t>
      </w:r>
    </w:p>
    <w:p w14:paraId="6B31D464" w14:textId="77777777" w:rsidR="00FA3415" w:rsidRPr="00676DFC" w:rsidRDefault="00FA3415" w:rsidP="00F06393">
      <w:pPr>
        <w:pStyle w:val="Akapitzlist"/>
      </w:pPr>
      <w:r w:rsidRPr="00676DFC">
        <w:t xml:space="preserve">monitoringu operacyjnego, </w:t>
      </w:r>
    </w:p>
    <w:p w14:paraId="71ADFDC1" w14:textId="77777777" w:rsidR="00FA3415" w:rsidRPr="00676DFC" w:rsidRDefault="00FA3415" w:rsidP="00F06393">
      <w:pPr>
        <w:pStyle w:val="Akapitzlist"/>
      </w:pPr>
      <w:r w:rsidRPr="00676DFC">
        <w:t xml:space="preserve">monitoringu badawczego, </w:t>
      </w:r>
    </w:p>
    <w:p w14:paraId="3AECD803" w14:textId="77777777" w:rsidR="00FA3415" w:rsidRPr="00676DFC" w:rsidRDefault="00FA3415" w:rsidP="00F06393">
      <w:pPr>
        <w:pStyle w:val="Akapitzlist"/>
      </w:pPr>
      <w:r w:rsidRPr="00676DFC">
        <w:t>monitoringu obszarów chronionych.</w:t>
      </w:r>
    </w:p>
    <w:p w14:paraId="2B27D185" w14:textId="77777777" w:rsidR="00FA3415" w:rsidRPr="007F4434" w:rsidRDefault="00FA3415" w:rsidP="00FA3415">
      <w:pPr>
        <w:suppressAutoHyphens/>
        <w:rPr>
          <w:rFonts w:asciiTheme="minorHAnsi" w:hAnsiTheme="minorHAnsi" w:cstheme="minorHAnsi"/>
        </w:rPr>
      </w:pPr>
      <w:r>
        <w:rPr>
          <w:rFonts w:asciiTheme="minorHAnsi" w:hAnsiTheme="minorHAnsi" w:cstheme="minorHAnsi"/>
        </w:rPr>
        <w:t>Szczegółowe informacje dotyczące programów monitoringowych przedstawione są w rozdziale 5.</w:t>
      </w:r>
    </w:p>
    <w:p w14:paraId="319D9A68" w14:textId="77777777" w:rsidR="00FA3415" w:rsidRPr="008A5012" w:rsidRDefault="00FA3415" w:rsidP="00FA3415">
      <w:pPr>
        <w:suppressAutoHyphens/>
        <w:rPr>
          <w:rFonts w:asciiTheme="minorHAnsi" w:hAnsiTheme="minorHAnsi" w:cstheme="minorHAnsi"/>
        </w:rPr>
      </w:pPr>
      <w:r w:rsidRPr="008A5012">
        <w:rPr>
          <w:rFonts w:asciiTheme="minorHAnsi" w:hAnsiTheme="minorHAnsi" w:cstheme="minorHAnsi"/>
        </w:rPr>
        <w:t>Kryteria ustalania zakresu monitorowania jednolitych części wód powierzchniowych:</w:t>
      </w:r>
    </w:p>
    <w:p w14:paraId="06395F60" w14:textId="77777777" w:rsidR="00FA3415" w:rsidRPr="008A5012" w:rsidRDefault="00FA3415" w:rsidP="00AA3506">
      <w:pPr>
        <w:pStyle w:val="Numerowanie"/>
        <w:numPr>
          <w:ilvl w:val="0"/>
          <w:numId w:val="53"/>
        </w:numPr>
      </w:pPr>
      <w:r w:rsidRPr="008A5012">
        <w:t>w ramach monitoringu diagnostycznego do monitorowania wyznacza się jcwp, w liczbie wystarczającej do dokonania oceny ogólnego stanu wód powierzchniowych na obszarach dorzeczy lub w zlewniach, reprezentatywnej dla występujących oddziaływań antropogenicznych oraz występujących typów wód powierzchniowych.</w:t>
      </w:r>
    </w:p>
    <w:p w14:paraId="620CA650" w14:textId="00A14848" w:rsidR="00FA3415" w:rsidRPr="008A5012" w:rsidRDefault="00FA3415" w:rsidP="00F06393">
      <w:pPr>
        <w:pStyle w:val="Numerowanie"/>
      </w:pPr>
      <w:r w:rsidRPr="008A5012">
        <w:t>w ramach monitoringu operacyjnego wyznacza się jcwp uznane,</w:t>
      </w:r>
      <w:r>
        <w:t xml:space="preserve"> </w:t>
      </w:r>
      <w:r w:rsidRPr="008A5012">
        <w:t>na</w:t>
      </w:r>
      <w:r>
        <w:t xml:space="preserve"> </w:t>
      </w:r>
      <w:r w:rsidRPr="008A5012">
        <w:t>podstawie</w:t>
      </w:r>
      <w:r>
        <w:t xml:space="preserve"> </w:t>
      </w:r>
      <w:r w:rsidRPr="008A5012">
        <w:t>oceny</w:t>
      </w:r>
      <w:r>
        <w:t xml:space="preserve"> </w:t>
      </w:r>
      <w:r w:rsidRPr="008A5012">
        <w:t>wpływu znaczących oddziaływań na stan wód powierzchniowych lub na podstawie monitoringu diagnostycznego, jako zagrożone niespełnieniem określonych dla nich celów środowiskowych, w</w:t>
      </w:r>
      <w:r w:rsidR="00E147B8">
        <w:t> </w:t>
      </w:r>
      <w:r w:rsidRPr="008A5012">
        <w:t xml:space="preserve">szczególności dotyczy to jcwp: </w:t>
      </w:r>
    </w:p>
    <w:p w14:paraId="1A552CFF" w14:textId="054B515B" w:rsidR="00FA3415" w:rsidRPr="00676DFC" w:rsidRDefault="00FA3415" w:rsidP="00F06393">
      <w:pPr>
        <w:pStyle w:val="Akapitzlist"/>
      </w:pPr>
      <w:r w:rsidRPr="00676DFC">
        <w:t>zagrożonych znacznym oddziaływaniem ze strony punktowych, liniowych lub obszarowych źródeł zanieczyszczeń, wskazanych w dokumentacjach planistycznych, o których mowa w</w:t>
      </w:r>
      <w:r w:rsidR="00E147B8">
        <w:t> </w:t>
      </w:r>
      <w:r w:rsidRPr="00676DFC">
        <w:t xml:space="preserve">art. 317 ust. 1 pkt 3 lub 8 </w:t>
      </w:r>
      <w:r w:rsidR="00980B19">
        <w:t xml:space="preserve">ustawy </w:t>
      </w:r>
      <w:r w:rsidRPr="00676DFC">
        <w:t xml:space="preserve">pr.w.; </w:t>
      </w:r>
    </w:p>
    <w:p w14:paraId="50ABF59F" w14:textId="10007456" w:rsidR="00FA3415" w:rsidRPr="00676DFC" w:rsidRDefault="00FA3415" w:rsidP="00F06393">
      <w:pPr>
        <w:pStyle w:val="Akapitzlist"/>
      </w:pPr>
      <w:r w:rsidRPr="00676DFC">
        <w:t xml:space="preserve">zagrożonych znacznym oddziaływaniem mogącym mieć wpływ na hydromorfologię, wskazanych w dokumentacjach planistycznych, o których mowa w art. 317 ust. 1 pkt 3 </w:t>
      </w:r>
      <w:r w:rsidR="00980B19">
        <w:t xml:space="preserve">ustawy </w:t>
      </w:r>
      <w:r w:rsidRPr="00676DFC">
        <w:t xml:space="preserve">pr.w.; </w:t>
      </w:r>
    </w:p>
    <w:p w14:paraId="6FFABD6F" w14:textId="4DA596C5" w:rsidR="00FA3415" w:rsidRPr="00676DFC" w:rsidRDefault="00FA3415" w:rsidP="00F06393">
      <w:pPr>
        <w:pStyle w:val="Akapitzlist"/>
      </w:pPr>
      <w:r w:rsidRPr="00676DFC">
        <w:t xml:space="preserve">do których odprowadzane są substancje priorytetowe, o których mowa w przepisach wydanych na podstawie art. 114 </w:t>
      </w:r>
      <w:r w:rsidR="00980B19">
        <w:t xml:space="preserve">ustawy </w:t>
      </w:r>
      <w:r w:rsidRPr="00676DFC">
        <w:t xml:space="preserve">pr.w., oraz inne substancje odprowadzane w znacznych ilościach, wskazane w dokumentacji planistycznej, o której mowa w art. 317 ust. 1 pkt 8 </w:t>
      </w:r>
      <w:r w:rsidR="00980B19">
        <w:t xml:space="preserve">ustawy </w:t>
      </w:r>
      <w:r w:rsidRPr="00676DFC">
        <w:t xml:space="preserve">pr.w.; </w:t>
      </w:r>
    </w:p>
    <w:p w14:paraId="01424204" w14:textId="24E817F9" w:rsidR="00FA3415" w:rsidRPr="00676DFC" w:rsidRDefault="00FA3415" w:rsidP="00F06393">
      <w:pPr>
        <w:pStyle w:val="Akapitzlist"/>
      </w:pPr>
      <w:r w:rsidRPr="00676DFC">
        <w:t>w zlewniach, w których występują źródła zanieczyszczeń, o których mowa w</w:t>
      </w:r>
      <w:r w:rsidR="00E147B8">
        <w:t> </w:t>
      </w:r>
      <w:r w:rsidRPr="00676DFC">
        <w:t>rozporządzeniu (WE) nr 166/2006 Parlamentu Europejskiego i Rady z dnia 18 stycznia 2006 r. w sprawie ustanowienia Europejskiego Rejestru Uwalniania i Transferu Zanieczyszczeń i</w:t>
      </w:r>
      <w:r w:rsidR="00E147B8">
        <w:t> </w:t>
      </w:r>
      <w:r w:rsidRPr="00676DFC">
        <w:t>zmieniającym dyrektywę Rady 91/689/EWG i 96/61/WE.</w:t>
      </w:r>
    </w:p>
    <w:p w14:paraId="65EB3C23" w14:textId="667C46A9" w:rsidR="00FA3415" w:rsidRPr="008A5012" w:rsidRDefault="00FA3415" w:rsidP="00FA3415">
      <w:pPr>
        <w:suppressAutoHyphens/>
        <w:rPr>
          <w:rFonts w:asciiTheme="minorHAnsi" w:hAnsiTheme="minorHAnsi" w:cstheme="minorHAnsi"/>
        </w:rPr>
      </w:pPr>
      <w:r>
        <w:rPr>
          <w:rFonts w:asciiTheme="minorHAnsi" w:hAnsiTheme="minorHAnsi" w:cstheme="minorHAnsi"/>
        </w:rPr>
        <w:t>P</w:t>
      </w:r>
      <w:r w:rsidRPr="008A5012">
        <w:rPr>
          <w:rFonts w:asciiTheme="minorHAnsi" w:hAnsiTheme="minorHAnsi" w:cstheme="minorHAnsi"/>
        </w:rPr>
        <w:t>rzepisy umożliwiają wykonanie dodatkowego monitorowania</w:t>
      </w:r>
      <w:r>
        <w:rPr>
          <w:rFonts w:asciiTheme="minorHAnsi" w:hAnsiTheme="minorHAnsi" w:cstheme="minorHAnsi"/>
        </w:rPr>
        <w:t xml:space="preserve"> wód w</w:t>
      </w:r>
      <w:r w:rsidRPr="008A5012">
        <w:rPr>
          <w:rFonts w:asciiTheme="minorHAnsi" w:hAnsiTheme="minorHAnsi" w:cstheme="minorHAnsi"/>
        </w:rPr>
        <w:t xml:space="preserve"> ramach monitoringu badawczego</w:t>
      </w:r>
      <w:r>
        <w:rPr>
          <w:rFonts w:asciiTheme="minorHAnsi" w:hAnsiTheme="minorHAnsi" w:cstheme="minorHAnsi"/>
        </w:rPr>
        <w:t>,</w:t>
      </w:r>
      <w:r w:rsidRPr="008A5012">
        <w:rPr>
          <w:rFonts w:asciiTheme="minorHAnsi" w:hAnsiTheme="minorHAnsi" w:cstheme="minorHAnsi"/>
        </w:rPr>
        <w:t xml:space="preserve"> wykraczającego poza </w:t>
      </w:r>
      <w:r>
        <w:rPr>
          <w:rFonts w:asciiTheme="minorHAnsi" w:hAnsiTheme="minorHAnsi" w:cstheme="minorHAnsi"/>
        </w:rPr>
        <w:t>podane wyżej</w:t>
      </w:r>
      <w:r w:rsidRPr="008A5012">
        <w:rPr>
          <w:rFonts w:asciiTheme="minorHAnsi" w:hAnsiTheme="minorHAnsi" w:cstheme="minorHAnsi"/>
        </w:rPr>
        <w:t xml:space="preserve"> cele monitoringu diagnostycznego i operacyjnego. W</w:t>
      </w:r>
      <w:r>
        <w:rPr>
          <w:rFonts w:asciiTheme="minorHAnsi" w:hAnsiTheme="minorHAnsi" w:cstheme="minorHAnsi"/>
        </w:rPr>
        <w:t xml:space="preserve"> takim trybie </w:t>
      </w:r>
      <w:r w:rsidR="002B4233">
        <w:rPr>
          <w:rFonts w:asciiTheme="minorHAnsi" w:hAnsiTheme="minorHAnsi" w:cstheme="minorHAnsi"/>
        </w:rPr>
        <w:t>monitoruje</w:t>
      </w:r>
      <w:r w:rsidR="002B4233" w:rsidRPr="008A5012">
        <w:rPr>
          <w:rFonts w:asciiTheme="minorHAnsi" w:hAnsiTheme="minorHAnsi" w:cstheme="minorHAnsi"/>
        </w:rPr>
        <w:t xml:space="preserve"> </w:t>
      </w:r>
      <w:r w:rsidRPr="008A5012">
        <w:rPr>
          <w:rFonts w:asciiTheme="minorHAnsi" w:hAnsiTheme="minorHAnsi" w:cstheme="minorHAnsi"/>
        </w:rPr>
        <w:t>się jcwp, dla których jest konieczne:</w:t>
      </w:r>
    </w:p>
    <w:p w14:paraId="0C6EFCC3" w14:textId="77777777" w:rsidR="00FA3415" w:rsidRPr="00676DFC" w:rsidRDefault="00FA3415" w:rsidP="00F06393">
      <w:pPr>
        <w:pStyle w:val="Akapitzlist"/>
      </w:pPr>
      <w:r w:rsidRPr="00676DFC">
        <w:t xml:space="preserve">ustalenie przyczyn nieosiągnięcia celów środowiskowych, o ile wyjaśnienie tych przyczyn jest niemożliwe na podstawie danych oraz informacji uzyskanych w wyniku pomiarów lub badań prowadzonych w ramach monitoringu diagnostycznego lub monitoringu operacyjnego; </w:t>
      </w:r>
    </w:p>
    <w:p w14:paraId="18E36EF4" w14:textId="45722F36" w:rsidR="00FA3415" w:rsidRPr="00676DFC" w:rsidRDefault="00FA3415" w:rsidP="00F06393">
      <w:pPr>
        <w:pStyle w:val="Akapitzlist"/>
      </w:pPr>
      <w:r w:rsidRPr="00676DFC">
        <w:t>ustalenie przyczyn, które mogą uniemożliwić osiągnięcie celów środowiskowych, w</w:t>
      </w:r>
      <w:r w:rsidR="00E147B8">
        <w:t> </w:t>
      </w:r>
      <w:r w:rsidRPr="00676DFC">
        <w:t xml:space="preserve">przypadku gdy nie został ustanowiony monitoring operacyjny jednolitych części wód powierzchniowych; </w:t>
      </w:r>
    </w:p>
    <w:p w14:paraId="68243D43" w14:textId="77777777" w:rsidR="00FA3415" w:rsidRPr="00676DFC" w:rsidRDefault="00FA3415" w:rsidP="00F06393">
      <w:pPr>
        <w:pStyle w:val="Akapitzlist"/>
      </w:pPr>
      <w:r w:rsidRPr="00676DFC">
        <w:t xml:space="preserve">określenie wielkości lub wpływu przypadkowego zanieczyszczenia; </w:t>
      </w:r>
    </w:p>
    <w:p w14:paraId="514F1D23" w14:textId="565FFB9C" w:rsidR="00FA3415" w:rsidRPr="00676DFC" w:rsidRDefault="00FA3415" w:rsidP="00F06393">
      <w:pPr>
        <w:pStyle w:val="Akapitzlist"/>
      </w:pPr>
      <w:r w:rsidRPr="00676DFC">
        <w:t>ustalenie przyczyn rozbieżności między wynikami klasyfikacji stanu ekologicznego lub potencjału ekologicznego na podstawie elementów biologicznych, hydromorfologicznych i</w:t>
      </w:r>
      <w:r w:rsidR="006C4947">
        <w:t> </w:t>
      </w:r>
      <w:r w:rsidRPr="00676DFC">
        <w:t xml:space="preserve">fizykochemicznych; </w:t>
      </w:r>
    </w:p>
    <w:p w14:paraId="631DB3D6" w14:textId="77777777" w:rsidR="00FA3415" w:rsidRPr="00676DFC" w:rsidRDefault="00FA3415" w:rsidP="00F06393">
      <w:pPr>
        <w:pStyle w:val="Akapitzlist"/>
      </w:pPr>
      <w:r w:rsidRPr="00676DFC">
        <w:t>zebranie dodatkowych informacji o stanie wód w związku z uwarunkowaniami lokalnymi lub umowami międzynarodowymi, których Rzeczpospolita Polska jest stroną.</w:t>
      </w:r>
    </w:p>
    <w:p w14:paraId="726D28AF" w14:textId="77A7D91C" w:rsidR="00FA3415" w:rsidRDefault="00FA3415" w:rsidP="00FA3415">
      <w:pPr>
        <w:suppressAutoHyphens/>
        <w:rPr>
          <w:rFonts w:asciiTheme="minorHAnsi" w:hAnsiTheme="minorHAnsi" w:cstheme="minorHAnsi"/>
        </w:rPr>
      </w:pPr>
      <w:bookmarkStart w:id="525" w:name="_Hlk65042459"/>
      <w:r w:rsidRPr="00AD6DBC">
        <w:rPr>
          <w:rFonts w:asciiTheme="minorHAnsi" w:hAnsiTheme="minorHAnsi" w:cstheme="minorHAnsi"/>
        </w:rPr>
        <w:t>Zakres zadań państwowego monitoringu środowiska jest określony</w:t>
      </w:r>
      <w:r>
        <w:rPr>
          <w:rFonts w:asciiTheme="minorHAnsi" w:hAnsiTheme="minorHAnsi" w:cstheme="minorHAnsi"/>
        </w:rPr>
        <w:t xml:space="preserve"> </w:t>
      </w:r>
      <w:r w:rsidRPr="00AD6DBC">
        <w:rPr>
          <w:rFonts w:asciiTheme="minorHAnsi" w:hAnsiTheme="minorHAnsi" w:cstheme="minorHAnsi"/>
        </w:rPr>
        <w:t>w wieloletnich strategicznych programach państwowego monitoringu środowiska</w:t>
      </w:r>
      <w:r>
        <w:rPr>
          <w:rFonts w:asciiTheme="minorHAnsi" w:hAnsiTheme="minorHAnsi" w:cstheme="minorHAnsi"/>
        </w:rPr>
        <w:t xml:space="preserve"> </w:t>
      </w:r>
      <w:r w:rsidRPr="00AD6DBC">
        <w:rPr>
          <w:rFonts w:asciiTheme="minorHAnsi" w:hAnsiTheme="minorHAnsi" w:cstheme="minorHAnsi"/>
        </w:rPr>
        <w:t>i wykonawczych programach państwowego monitoringu środowiska</w:t>
      </w:r>
      <w:r>
        <w:rPr>
          <w:rFonts w:asciiTheme="minorHAnsi" w:hAnsiTheme="minorHAnsi" w:cstheme="minorHAnsi"/>
        </w:rPr>
        <w:t xml:space="preserve">. </w:t>
      </w:r>
      <w:r w:rsidRPr="00AD6DBC">
        <w:rPr>
          <w:rFonts w:asciiTheme="minorHAnsi" w:hAnsiTheme="minorHAnsi" w:cstheme="minorHAnsi"/>
        </w:rPr>
        <w:t>Główny Inspektor Ochrony Środowiska</w:t>
      </w:r>
      <w:r>
        <w:rPr>
          <w:rFonts w:asciiTheme="minorHAnsi" w:hAnsiTheme="minorHAnsi" w:cstheme="minorHAnsi"/>
        </w:rPr>
        <w:t xml:space="preserve"> </w:t>
      </w:r>
      <w:r w:rsidRPr="00AD6DBC">
        <w:rPr>
          <w:rFonts w:asciiTheme="minorHAnsi" w:hAnsiTheme="minorHAnsi" w:cstheme="minorHAnsi"/>
        </w:rPr>
        <w:t>opracowuje i realizuje wieloletnie strategiczne oraz wykonawcze programy</w:t>
      </w:r>
      <w:r>
        <w:rPr>
          <w:rFonts w:asciiTheme="minorHAnsi" w:hAnsiTheme="minorHAnsi" w:cstheme="minorHAnsi"/>
        </w:rPr>
        <w:t xml:space="preserve"> </w:t>
      </w:r>
      <w:r w:rsidRPr="00AD6DBC">
        <w:rPr>
          <w:rFonts w:asciiTheme="minorHAnsi" w:hAnsiTheme="minorHAnsi" w:cstheme="minorHAnsi"/>
        </w:rPr>
        <w:t>państwowego monitoringu środowiska</w:t>
      </w:r>
      <w:r>
        <w:rPr>
          <w:rFonts w:asciiTheme="minorHAnsi" w:hAnsiTheme="minorHAnsi" w:cstheme="minorHAnsi"/>
        </w:rPr>
        <w:t>, zgodnie z</w:t>
      </w:r>
      <w:r w:rsidR="00901E94">
        <w:rPr>
          <w:rFonts w:asciiTheme="minorHAnsi" w:hAnsiTheme="minorHAnsi" w:cstheme="minorHAnsi"/>
        </w:rPr>
        <w:t> </w:t>
      </w:r>
      <w:r>
        <w:rPr>
          <w:rFonts w:asciiTheme="minorHAnsi" w:hAnsiTheme="minorHAnsi" w:cstheme="minorHAnsi"/>
        </w:rPr>
        <w:t>określonym zakresem zadań według u.</w:t>
      </w:r>
      <w:r w:rsidRPr="00C7393F">
        <w:rPr>
          <w:rFonts w:asciiTheme="minorHAnsi" w:hAnsiTheme="minorHAnsi" w:cstheme="minorHAnsi"/>
        </w:rPr>
        <w:t xml:space="preserve"> o </w:t>
      </w:r>
      <w:r>
        <w:rPr>
          <w:rFonts w:asciiTheme="minorHAnsi" w:hAnsiTheme="minorHAnsi" w:cstheme="minorHAnsi"/>
        </w:rPr>
        <w:t xml:space="preserve">IOŚ. </w:t>
      </w:r>
    </w:p>
    <w:p w14:paraId="60BEC4D9" w14:textId="691F129D" w:rsidR="00FA3415" w:rsidRPr="00060F3A" w:rsidRDefault="00FA3415" w:rsidP="00FA3415">
      <w:pPr>
        <w:suppressAutoHyphens/>
        <w:rPr>
          <w:rFonts w:asciiTheme="minorHAnsi" w:hAnsiTheme="minorHAnsi" w:cstheme="minorHAnsi"/>
        </w:rPr>
      </w:pPr>
      <w:r>
        <w:rPr>
          <w:rFonts w:asciiTheme="minorHAnsi" w:hAnsiTheme="minorHAnsi" w:cstheme="minorHAnsi"/>
        </w:rPr>
        <w:t xml:space="preserve">Zakończone w cyklu aPGW wojewódzkie programy badań w ramach PMŚ uwzględniały </w:t>
      </w:r>
      <w:r w:rsidRPr="00E147B8">
        <w:rPr>
          <w:rFonts w:asciiTheme="minorHAnsi" w:hAnsiTheme="minorHAnsi" w:cstheme="minorHAnsi"/>
          <w:i/>
          <w:iCs/>
        </w:rPr>
        <w:t>Wytyczne do</w:t>
      </w:r>
      <w:r w:rsidR="00901E94" w:rsidRPr="00E147B8">
        <w:rPr>
          <w:rFonts w:asciiTheme="minorHAnsi" w:hAnsiTheme="minorHAnsi" w:cstheme="minorHAnsi"/>
          <w:i/>
          <w:iCs/>
        </w:rPr>
        <w:t> </w:t>
      </w:r>
      <w:r w:rsidRPr="00E147B8">
        <w:rPr>
          <w:rFonts w:asciiTheme="minorHAnsi" w:hAnsiTheme="minorHAnsi" w:cstheme="minorHAnsi"/>
          <w:i/>
          <w:iCs/>
        </w:rPr>
        <w:t>planowania monitoringu wód powierzchniowych na potrzeby aneksowania wojewódzkich programów monitoringu środowiska na lata 2016-2020</w:t>
      </w:r>
      <w:r w:rsidRPr="00060F3A">
        <w:rPr>
          <w:rFonts w:asciiTheme="minorHAnsi" w:hAnsiTheme="minorHAnsi" w:cstheme="minorHAnsi"/>
        </w:rPr>
        <w:t xml:space="preserve"> </w:t>
      </w:r>
      <w:r>
        <w:rPr>
          <w:rFonts w:asciiTheme="minorHAnsi" w:hAnsiTheme="minorHAnsi" w:cstheme="minorHAnsi"/>
        </w:rPr>
        <w:t>wydane przez</w:t>
      </w:r>
      <w:r w:rsidRPr="00060F3A">
        <w:rPr>
          <w:rFonts w:asciiTheme="minorHAnsi" w:hAnsiTheme="minorHAnsi" w:cstheme="minorHAnsi"/>
        </w:rPr>
        <w:t xml:space="preserve"> </w:t>
      </w:r>
      <w:r>
        <w:rPr>
          <w:rFonts w:asciiTheme="minorHAnsi" w:hAnsiTheme="minorHAnsi" w:cstheme="minorHAnsi"/>
        </w:rPr>
        <w:t>GIOŚ. Plan ujmował</w:t>
      </w:r>
      <w:r w:rsidRPr="00060F3A">
        <w:rPr>
          <w:rFonts w:asciiTheme="minorHAnsi" w:hAnsiTheme="minorHAnsi" w:cstheme="minorHAnsi"/>
        </w:rPr>
        <w:t xml:space="preserve"> zmiany prawne, jakie dokonały się w zakresie monitoringu wód w 2016 roku.</w:t>
      </w:r>
      <w:r>
        <w:rPr>
          <w:rFonts w:asciiTheme="minorHAnsi" w:hAnsiTheme="minorHAnsi" w:cstheme="minorHAnsi"/>
        </w:rPr>
        <w:t xml:space="preserve"> N</w:t>
      </w:r>
      <w:r w:rsidRPr="00060F3A">
        <w:rPr>
          <w:rFonts w:asciiTheme="minorHAnsi" w:hAnsiTheme="minorHAnsi" w:cstheme="minorHAnsi"/>
        </w:rPr>
        <w:t xml:space="preserve">owe </w:t>
      </w:r>
      <w:r>
        <w:rPr>
          <w:rFonts w:asciiTheme="minorHAnsi" w:hAnsiTheme="minorHAnsi" w:cstheme="minorHAnsi"/>
        </w:rPr>
        <w:t>normy</w:t>
      </w:r>
      <w:r w:rsidRPr="00060F3A">
        <w:rPr>
          <w:rFonts w:asciiTheme="minorHAnsi" w:hAnsiTheme="minorHAnsi" w:cstheme="minorHAnsi"/>
        </w:rPr>
        <w:t xml:space="preserve"> określ</w:t>
      </w:r>
      <w:r>
        <w:rPr>
          <w:rFonts w:asciiTheme="minorHAnsi" w:hAnsiTheme="minorHAnsi" w:cstheme="minorHAnsi"/>
        </w:rPr>
        <w:t>iły</w:t>
      </w:r>
      <w:r w:rsidRPr="00060F3A">
        <w:rPr>
          <w:rFonts w:asciiTheme="minorHAnsi" w:hAnsiTheme="minorHAnsi" w:cstheme="minorHAnsi"/>
        </w:rPr>
        <w:t xml:space="preserve"> </w:t>
      </w:r>
      <w:r>
        <w:rPr>
          <w:rFonts w:asciiTheme="minorHAnsi" w:hAnsiTheme="minorHAnsi" w:cstheme="minorHAnsi"/>
        </w:rPr>
        <w:t xml:space="preserve">zarówno </w:t>
      </w:r>
      <w:r w:rsidRPr="00060F3A">
        <w:rPr>
          <w:rFonts w:asciiTheme="minorHAnsi" w:hAnsiTheme="minorHAnsi" w:cstheme="minorHAnsi"/>
        </w:rPr>
        <w:t>zasady realizacji badań</w:t>
      </w:r>
      <w:r>
        <w:rPr>
          <w:rFonts w:asciiTheme="minorHAnsi" w:hAnsiTheme="minorHAnsi" w:cstheme="minorHAnsi"/>
        </w:rPr>
        <w:t xml:space="preserve"> i były podstawą do wyboru jcwp</w:t>
      </w:r>
      <w:r w:rsidRPr="00060F3A">
        <w:rPr>
          <w:rFonts w:asciiTheme="minorHAnsi" w:hAnsiTheme="minorHAnsi" w:cstheme="minorHAnsi"/>
        </w:rPr>
        <w:t xml:space="preserve"> właściw</w:t>
      </w:r>
      <w:r>
        <w:rPr>
          <w:rFonts w:asciiTheme="minorHAnsi" w:hAnsiTheme="minorHAnsi" w:cstheme="minorHAnsi"/>
        </w:rPr>
        <w:t>ych</w:t>
      </w:r>
      <w:r w:rsidRPr="00060F3A">
        <w:rPr>
          <w:rFonts w:asciiTheme="minorHAnsi" w:hAnsiTheme="minorHAnsi" w:cstheme="minorHAnsi"/>
        </w:rPr>
        <w:t xml:space="preserve"> do monitorowania </w:t>
      </w:r>
      <w:bookmarkEnd w:id="525"/>
      <w:r w:rsidRPr="00060F3A">
        <w:rPr>
          <w:rFonts w:asciiTheme="minorHAnsi" w:hAnsiTheme="minorHAnsi" w:cstheme="minorHAnsi"/>
        </w:rPr>
        <w:t>na postawie informacji zawartych w</w:t>
      </w:r>
      <w:r>
        <w:rPr>
          <w:rFonts w:asciiTheme="minorHAnsi" w:hAnsiTheme="minorHAnsi" w:cstheme="minorHAnsi"/>
        </w:rPr>
        <w:t xml:space="preserve"> p</w:t>
      </w:r>
      <w:r w:rsidRPr="00060F3A">
        <w:rPr>
          <w:rFonts w:asciiTheme="minorHAnsi" w:hAnsiTheme="minorHAnsi" w:cstheme="minorHAnsi"/>
        </w:rPr>
        <w:t>lan</w:t>
      </w:r>
      <w:r>
        <w:rPr>
          <w:rFonts w:asciiTheme="minorHAnsi" w:hAnsiTheme="minorHAnsi" w:cstheme="minorHAnsi"/>
        </w:rPr>
        <w:t xml:space="preserve">ach </w:t>
      </w:r>
      <w:r w:rsidRPr="00060F3A">
        <w:rPr>
          <w:rFonts w:asciiTheme="minorHAnsi" w:hAnsiTheme="minorHAnsi" w:cstheme="minorHAnsi"/>
        </w:rPr>
        <w:t>gospodarowania</w:t>
      </w:r>
      <w:r>
        <w:rPr>
          <w:rFonts w:asciiTheme="minorHAnsi" w:hAnsiTheme="minorHAnsi" w:cstheme="minorHAnsi"/>
        </w:rPr>
        <w:t xml:space="preserve"> </w:t>
      </w:r>
      <w:r w:rsidRPr="00060F3A">
        <w:rPr>
          <w:rFonts w:asciiTheme="minorHAnsi" w:hAnsiTheme="minorHAnsi" w:cstheme="minorHAnsi"/>
        </w:rPr>
        <w:t>wodami</w:t>
      </w:r>
      <w:r>
        <w:rPr>
          <w:rFonts w:asciiTheme="minorHAnsi" w:hAnsiTheme="minorHAnsi" w:cstheme="minorHAnsi"/>
        </w:rPr>
        <w:t xml:space="preserve"> dla dorzeczy.</w:t>
      </w:r>
    </w:p>
    <w:p w14:paraId="11929BAA" w14:textId="48AFB3F6" w:rsidR="00FA3415" w:rsidRDefault="00FA3415" w:rsidP="00FA3415">
      <w:pPr>
        <w:suppressAutoHyphens/>
        <w:rPr>
          <w:rFonts w:asciiTheme="minorHAnsi" w:hAnsiTheme="minorHAnsi" w:cstheme="minorHAnsi"/>
        </w:rPr>
      </w:pPr>
      <w:r>
        <w:rPr>
          <w:rFonts w:asciiTheme="minorHAnsi" w:hAnsiTheme="minorHAnsi" w:cstheme="minorHAnsi"/>
        </w:rPr>
        <w:t xml:space="preserve">Zakres oceny stanu chemicznego realizowany był w ramach </w:t>
      </w:r>
      <w:r w:rsidRPr="009E4BFD">
        <w:rPr>
          <w:rFonts w:asciiTheme="minorHAnsi" w:hAnsiTheme="minorHAnsi" w:cstheme="minorHAnsi"/>
        </w:rPr>
        <w:t>monitoring</w:t>
      </w:r>
      <w:r>
        <w:rPr>
          <w:rFonts w:asciiTheme="minorHAnsi" w:hAnsiTheme="minorHAnsi" w:cstheme="minorHAnsi"/>
        </w:rPr>
        <w:t>u</w:t>
      </w:r>
      <w:r w:rsidRPr="009E4BFD">
        <w:rPr>
          <w:rFonts w:asciiTheme="minorHAnsi" w:hAnsiTheme="minorHAnsi" w:cstheme="minorHAnsi"/>
        </w:rPr>
        <w:t xml:space="preserve"> diagnostyczn</w:t>
      </w:r>
      <w:r>
        <w:rPr>
          <w:rFonts w:asciiTheme="minorHAnsi" w:hAnsiTheme="minorHAnsi" w:cstheme="minorHAnsi"/>
        </w:rPr>
        <w:t>ego, którego zadaniem jest kompleksowy przegląd stanu wód oraz zgromadzenie</w:t>
      </w:r>
      <w:r w:rsidRPr="009E4BFD">
        <w:rPr>
          <w:rFonts w:asciiTheme="minorHAnsi" w:hAnsiTheme="minorHAnsi" w:cstheme="minorHAnsi"/>
        </w:rPr>
        <w:t xml:space="preserve"> informacji</w:t>
      </w:r>
      <w:r>
        <w:rPr>
          <w:rFonts w:asciiTheme="minorHAnsi" w:hAnsiTheme="minorHAnsi" w:cstheme="minorHAnsi"/>
        </w:rPr>
        <w:t xml:space="preserve"> </w:t>
      </w:r>
      <w:r w:rsidRPr="009E4BFD">
        <w:rPr>
          <w:rFonts w:asciiTheme="minorHAnsi" w:hAnsiTheme="minorHAnsi" w:cstheme="minorHAnsi"/>
        </w:rPr>
        <w:t>na</w:t>
      </w:r>
      <w:r>
        <w:rPr>
          <w:rFonts w:asciiTheme="minorHAnsi" w:hAnsiTheme="minorHAnsi" w:cstheme="minorHAnsi"/>
        </w:rPr>
        <w:t xml:space="preserve"> </w:t>
      </w:r>
      <w:r w:rsidRPr="009E4BFD">
        <w:rPr>
          <w:rFonts w:asciiTheme="minorHAnsi" w:hAnsiTheme="minorHAnsi" w:cstheme="minorHAnsi"/>
        </w:rPr>
        <w:t>temat długoterminowych</w:t>
      </w:r>
      <w:r>
        <w:rPr>
          <w:rFonts w:asciiTheme="minorHAnsi" w:hAnsiTheme="minorHAnsi" w:cstheme="minorHAnsi"/>
        </w:rPr>
        <w:t xml:space="preserve"> </w:t>
      </w:r>
      <w:r w:rsidRPr="009E4BFD">
        <w:rPr>
          <w:rFonts w:asciiTheme="minorHAnsi" w:hAnsiTheme="minorHAnsi" w:cstheme="minorHAnsi"/>
        </w:rPr>
        <w:t xml:space="preserve">zmian naturalnych </w:t>
      </w:r>
      <w:r>
        <w:rPr>
          <w:rFonts w:asciiTheme="minorHAnsi" w:hAnsiTheme="minorHAnsi" w:cstheme="minorHAnsi"/>
        </w:rPr>
        <w:t>i</w:t>
      </w:r>
      <w:r w:rsidRPr="009E4BFD">
        <w:rPr>
          <w:rFonts w:asciiTheme="minorHAnsi" w:hAnsiTheme="minorHAnsi" w:cstheme="minorHAnsi"/>
        </w:rPr>
        <w:t xml:space="preserve"> wynikających z </w:t>
      </w:r>
      <w:r>
        <w:rPr>
          <w:rFonts w:asciiTheme="minorHAnsi" w:hAnsiTheme="minorHAnsi" w:cstheme="minorHAnsi"/>
        </w:rPr>
        <w:t>presji antropogenicznych</w:t>
      </w:r>
      <w:r w:rsidRPr="009E4BFD">
        <w:rPr>
          <w:rFonts w:asciiTheme="minorHAnsi" w:hAnsiTheme="minorHAnsi" w:cstheme="minorHAnsi"/>
        </w:rPr>
        <w:t>.</w:t>
      </w:r>
      <w:r>
        <w:rPr>
          <w:rFonts w:asciiTheme="minorHAnsi" w:hAnsiTheme="minorHAnsi" w:cstheme="minorHAnsi"/>
        </w:rPr>
        <w:t xml:space="preserve"> Częstotliwość badań substancji, w tym z grupy elementów stanu chemicznego przyjęta była zgodnie z </w:t>
      </w:r>
      <w:r w:rsidR="002B4233">
        <w:rPr>
          <w:rFonts w:asciiTheme="minorHAnsi" w:hAnsiTheme="minorHAnsi" w:cstheme="minorHAnsi"/>
        </w:rPr>
        <w:t xml:space="preserve">zapisami </w:t>
      </w:r>
      <w:r>
        <w:rPr>
          <w:rFonts w:asciiTheme="minorHAnsi" w:hAnsiTheme="minorHAnsi" w:cstheme="minorHAnsi"/>
        </w:rPr>
        <w:t>r.m.jcw (2016).</w:t>
      </w:r>
    </w:p>
    <w:p w14:paraId="406A92A3" w14:textId="77777777" w:rsidR="00FA3415" w:rsidRDefault="00FA3415" w:rsidP="00FA3415">
      <w:pPr>
        <w:suppressAutoHyphens/>
        <w:rPr>
          <w:rFonts w:asciiTheme="minorHAnsi" w:hAnsiTheme="minorHAnsi" w:cstheme="minorHAnsi"/>
        </w:rPr>
      </w:pPr>
      <w:r>
        <w:rPr>
          <w:rFonts w:asciiTheme="minorHAnsi" w:hAnsiTheme="minorHAnsi" w:cstheme="minorHAnsi"/>
        </w:rPr>
        <w:t>Badania w ramach m</w:t>
      </w:r>
      <w:r w:rsidRPr="009E4BFD">
        <w:rPr>
          <w:rFonts w:asciiTheme="minorHAnsi" w:hAnsiTheme="minorHAnsi" w:cstheme="minorHAnsi"/>
        </w:rPr>
        <w:t>onitoring</w:t>
      </w:r>
      <w:r>
        <w:rPr>
          <w:rFonts w:asciiTheme="minorHAnsi" w:hAnsiTheme="minorHAnsi" w:cstheme="minorHAnsi"/>
        </w:rPr>
        <w:t>u</w:t>
      </w:r>
      <w:r w:rsidRPr="009E4BFD">
        <w:rPr>
          <w:rFonts w:asciiTheme="minorHAnsi" w:hAnsiTheme="minorHAnsi" w:cstheme="minorHAnsi"/>
        </w:rPr>
        <w:t xml:space="preserve"> operacyjn</w:t>
      </w:r>
      <w:r>
        <w:rPr>
          <w:rFonts w:asciiTheme="minorHAnsi" w:hAnsiTheme="minorHAnsi" w:cstheme="minorHAnsi"/>
        </w:rPr>
        <w:t>ego</w:t>
      </w:r>
      <w:r w:rsidRPr="009E4BFD">
        <w:rPr>
          <w:rFonts w:asciiTheme="minorHAnsi" w:hAnsiTheme="minorHAnsi" w:cstheme="minorHAnsi"/>
        </w:rPr>
        <w:t xml:space="preserve"> </w:t>
      </w:r>
      <w:r>
        <w:rPr>
          <w:rFonts w:asciiTheme="minorHAnsi" w:hAnsiTheme="minorHAnsi" w:cstheme="minorHAnsi"/>
        </w:rPr>
        <w:t xml:space="preserve">wykonywano w celu </w:t>
      </w:r>
      <w:r w:rsidRPr="009E4BFD">
        <w:rPr>
          <w:rFonts w:asciiTheme="minorHAnsi" w:hAnsiTheme="minorHAnsi" w:cstheme="minorHAnsi"/>
        </w:rPr>
        <w:t>określ</w:t>
      </w:r>
      <w:r>
        <w:rPr>
          <w:rFonts w:asciiTheme="minorHAnsi" w:hAnsiTheme="minorHAnsi" w:cstheme="minorHAnsi"/>
        </w:rPr>
        <w:t>e</w:t>
      </w:r>
      <w:r w:rsidRPr="009E4BFD">
        <w:rPr>
          <w:rFonts w:asciiTheme="minorHAnsi" w:hAnsiTheme="minorHAnsi" w:cstheme="minorHAnsi"/>
        </w:rPr>
        <w:t>ni</w:t>
      </w:r>
      <w:r>
        <w:rPr>
          <w:rFonts w:asciiTheme="minorHAnsi" w:hAnsiTheme="minorHAnsi" w:cstheme="minorHAnsi"/>
        </w:rPr>
        <w:t>a</w:t>
      </w:r>
      <w:r w:rsidRPr="009E4BFD">
        <w:rPr>
          <w:rFonts w:asciiTheme="minorHAnsi" w:hAnsiTheme="minorHAnsi" w:cstheme="minorHAnsi"/>
        </w:rPr>
        <w:t xml:space="preserve"> stanu wód</w:t>
      </w:r>
      <w:r>
        <w:rPr>
          <w:rFonts w:asciiTheme="minorHAnsi" w:hAnsiTheme="minorHAnsi" w:cstheme="minorHAnsi"/>
        </w:rPr>
        <w:t xml:space="preserve"> w przypadku, gdy </w:t>
      </w:r>
      <w:r w:rsidRPr="009E4BFD">
        <w:rPr>
          <w:rFonts w:asciiTheme="minorHAnsi" w:hAnsiTheme="minorHAnsi" w:cstheme="minorHAnsi"/>
        </w:rPr>
        <w:t>istni</w:t>
      </w:r>
      <w:r>
        <w:rPr>
          <w:rFonts w:asciiTheme="minorHAnsi" w:hAnsiTheme="minorHAnsi" w:cstheme="minorHAnsi"/>
        </w:rPr>
        <w:t>ało</w:t>
      </w:r>
      <w:r w:rsidRPr="009E4BFD">
        <w:rPr>
          <w:rFonts w:asciiTheme="minorHAnsi" w:hAnsiTheme="minorHAnsi" w:cstheme="minorHAnsi"/>
        </w:rPr>
        <w:t xml:space="preserve"> ryzyko, </w:t>
      </w:r>
      <w:r>
        <w:rPr>
          <w:rFonts w:asciiTheme="minorHAnsi" w:hAnsiTheme="minorHAnsi" w:cstheme="minorHAnsi"/>
        </w:rPr>
        <w:t>że</w:t>
      </w:r>
      <w:r w:rsidRPr="009E4BFD">
        <w:rPr>
          <w:rFonts w:asciiTheme="minorHAnsi" w:hAnsiTheme="minorHAnsi" w:cstheme="minorHAnsi"/>
        </w:rPr>
        <w:t xml:space="preserve"> cele środowiskowe dla tych wód nie </w:t>
      </w:r>
      <w:r>
        <w:rPr>
          <w:rFonts w:asciiTheme="minorHAnsi" w:hAnsiTheme="minorHAnsi" w:cstheme="minorHAnsi"/>
        </w:rPr>
        <w:t>będą</w:t>
      </w:r>
      <w:r w:rsidRPr="009E4BFD">
        <w:rPr>
          <w:rFonts w:asciiTheme="minorHAnsi" w:hAnsiTheme="minorHAnsi" w:cstheme="minorHAnsi"/>
        </w:rPr>
        <w:t xml:space="preserve"> osiągnięte.</w:t>
      </w:r>
      <w:r>
        <w:rPr>
          <w:rFonts w:asciiTheme="minorHAnsi" w:hAnsiTheme="minorHAnsi" w:cstheme="minorHAnsi"/>
        </w:rPr>
        <w:t xml:space="preserve"> Wyniki tego monitoringu są szczególnie istotne dla oceny realizacji planów gospodarowania wodami, ponieważ jest </w:t>
      </w:r>
      <w:r w:rsidRPr="009E4BFD">
        <w:rPr>
          <w:rFonts w:asciiTheme="minorHAnsi" w:hAnsiTheme="minorHAnsi" w:cstheme="minorHAnsi"/>
        </w:rPr>
        <w:t xml:space="preserve">wykorzystywany </w:t>
      </w:r>
      <w:r>
        <w:rPr>
          <w:rFonts w:asciiTheme="minorHAnsi" w:hAnsiTheme="minorHAnsi" w:cstheme="minorHAnsi"/>
        </w:rPr>
        <w:t xml:space="preserve">również </w:t>
      </w:r>
      <w:r w:rsidRPr="009E4BFD">
        <w:rPr>
          <w:rFonts w:asciiTheme="minorHAnsi" w:hAnsiTheme="minorHAnsi" w:cstheme="minorHAnsi"/>
        </w:rPr>
        <w:t xml:space="preserve">w ocenie realizacji programów działań. </w:t>
      </w:r>
    </w:p>
    <w:p w14:paraId="538854CD" w14:textId="4C7C2226" w:rsidR="00FA3415" w:rsidRDefault="00FA3415" w:rsidP="00FA3415">
      <w:pPr>
        <w:suppressAutoHyphens/>
        <w:rPr>
          <w:rFonts w:asciiTheme="minorHAnsi" w:hAnsiTheme="minorHAnsi" w:cstheme="minorHAnsi"/>
        </w:rPr>
      </w:pPr>
      <w:r>
        <w:rPr>
          <w:rFonts w:asciiTheme="minorHAnsi" w:hAnsiTheme="minorHAnsi" w:cstheme="minorHAnsi"/>
        </w:rPr>
        <w:t>W</w:t>
      </w:r>
      <w:r w:rsidRPr="009E4BFD">
        <w:rPr>
          <w:rFonts w:asciiTheme="minorHAnsi" w:hAnsiTheme="minorHAnsi" w:cstheme="minorHAnsi"/>
        </w:rPr>
        <w:t xml:space="preserve"> przypadku</w:t>
      </w:r>
      <w:r>
        <w:rPr>
          <w:rFonts w:asciiTheme="minorHAnsi" w:hAnsiTheme="minorHAnsi" w:cstheme="minorHAnsi"/>
        </w:rPr>
        <w:t xml:space="preserve">, gdy </w:t>
      </w:r>
      <w:r w:rsidRPr="009E4BFD">
        <w:rPr>
          <w:rFonts w:asciiTheme="minorHAnsi" w:hAnsiTheme="minorHAnsi" w:cstheme="minorHAnsi"/>
        </w:rPr>
        <w:t>na</w:t>
      </w:r>
      <w:r>
        <w:rPr>
          <w:rFonts w:asciiTheme="minorHAnsi" w:hAnsiTheme="minorHAnsi" w:cstheme="minorHAnsi"/>
        </w:rPr>
        <w:t xml:space="preserve"> </w:t>
      </w:r>
      <w:r w:rsidRPr="009E4BFD">
        <w:rPr>
          <w:rFonts w:asciiTheme="minorHAnsi" w:hAnsiTheme="minorHAnsi" w:cstheme="minorHAnsi"/>
        </w:rPr>
        <w:t>podstawie</w:t>
      </w:r>
      <w:r>
        <w:rPr>
          <w:rFonts w:asciiTheme="minorHAnsi" w:hAnsiTheme="minorHAnsi" w:cstheme="minorHAnsi"/>
        </w:rPr>
        <w:t xml:space="preserve"> </w:t>
      </w:r>
      <w:r w:rsidRPr="009E4BFD">
        <w:rPr>
          <w:rFonts w:asciiTheme="minorHAnsi" w:hAnsiTheme="minorHAnsi" w:cstheme="minorHAnsi"/>
        </w:rPr>
        <w:t>wyników</w:t>
      </w:r>
      <w:r>
        <w:rPr>
          <w:rFonts w:asciiTheme="minorHAnsi" w:hAnsiTheme="minorHAnsi" w:cstheme="minorHAnsi"/>
        </w:rPr>
        <w:t xml:space="preserve"> </w:t>
      </w:r>
      <w:r w:rsidRPr="009E4BFD">
        <w:rPr>
          <w:rFonts w:asciiTheme="minorHAnsi" w:hAnsiTheme="minorHAnsi" w:cstheme="minorHAnsi"/>
        </w:rPr>
        <w:t>badań</w:t>
      </w:r>
      <w:r>
        <w:rPr>
          <w:rFonts w:asciiTheme="minorHAnsi" w:hAnsiTheme="minorHAnsi" w:cstheme="minorHAnsi"/>
        </w:rPr>
        <w:t xml:space="preserve"> </w:t>
      </w:r>
      <w:r w:rsidRPr="009E4BFD">
        <w:rPr>
          <w:rFonts w:asciiTheme="minorHAnsi" w:hAnsiTheme="minorHAnsi" w:cstheme="minorHAnsi"/>
        </w:rPr>
        <w:t>monitoringu</w:t>
      </w:r>
      <w:r>
        <w:rPr>
          <w:rFonts w:asciiTheme="minorHAnsi" w:hAnsiTheme="minorHAnsi" w:cstheme="minorHAnsi"/>
        </w:rPr>
        <w:t xml:space="preserve"> </w:t>
      </w:r>
      <w:r w:rsidRPr="009E4BFD">
        <w:rPr>
          <w:rFonts w:asciiTheme="minorHAnsi" w:hAnsiTheme="minorHAnsi" w:cstheme="minorHAnsi"/>
        </w:rPr>
        <w:t>diagnostycznego stwierdzono</w:t>
      </w:r>
      <w:r>
        <w:rPr>
          <w:rFonts w:asciiTheme="minorHAnsi" w:hAnsiTheme="minorHAnsi" w:cstheme="minorHAnsi"/>
        </w:rPr>
        <w:t xml:space="preserve"> przekroczenia stężeń </w:t>
      </w:r>
      <w:r w:rsidRPr="009E4BFD">
        <w:rPr>
          <w:rFonts w:asciiTheme="minorHAnsi" w:hAnsiTheme="minorHAnsi" w:cstheme="minorHAnsi"/>
        </w:rPr>
        <w:t>substancji priorytetowych</w:t>
      </w:r>
      <w:r>
        <w:rPr>
          <w:rFonts w:asciiTheme="minorHAnsi" w:hAnsiTheme="minorHAnsi" w:cstheme="minorHAnsi"/>
        </w:rPr>
        <w:t>,</w:t>
      </w:r>
      <w:r w:rsidRPr="009E4BFD">
        <w:rPr>
          <w:rFonts w:asciiTheme="minorHAnsi" w:hAnsiTheme="minorHAnsi" w:cstheme="minorHAnsi"/>
        </w:rPr>
        <w:t xml:space="preserve"> </w:t>
      </w:r>
      <w:r>
        <w:rPr>
          <w:rFonts w:asciiTheme="minorHAnsi" w:hAnsiTheme="minorHAnsi" w:cstheme="minorHAnsi"/>
        </w:rPr>
        <w:t>m</w:t>
      </w:r>
      <w:r w:rsidRPr="009E4BFD">
        <w:rPr>
          <w:rFonts w:asciiTheme="minorHAnsi" w:hAnsiTheme="minorHAnsi" w:cstheme="minorHAnsi"/>
        </w:rPr>
        <w:t>onitoringiem operacyjnym ob</w:t>
      </w:r>
      <w:r>
        <w:rPr>
          <w:rFonts w:asciiTheme="minorHAnsi" w:hAnsiTheme="minorHAnsi" w:cstheme="minorHAnsi"/>
        </w:rPr>
        <w:t>ejmowano</w:t>
      </w:r>
      <w:r w:rsidRPr="009E4BFD">
        <w:rPr>
          <w:rFonts w:asciiTheme="minorHAnsi" w:hAnsiTheme="minorHAnsi" w:cstheme="minorHAnsi"/>
        </w:rPr>
        <w:t xml:space="preserve"> </w:t>
      </w:r>
      <w:r>
        <w:rPr>
          <w:rFonts w:asciiTheme="minorHAnsi" w:hAnsiTheme="minorHAnsi" w:cstheme="minorHAnsi"/>
        </w:rPr>
        <w:t>również te</w:t>
      </w:r>
      <w:r w:rsidR="006C4947">
        <w:rPr>
          <w:rFonts w:asciiTheme="minorHAnsi" w:hAnsiTheme="minorHAnsi" w:cstheme="minorHAnsi"/>
        </w:rPr>
        <w:t> </w:t>
      </w:r>
      <w:r w:rsidRPr="009E4BFD">
        <w:rPr>
          <w:rFonts w:asciiTheme="minorHAnsi" w:hAnsiTheme="minorHAnsi" w:cstheme="minorHAnsi"/>
        </w:rPr>
        <w:t>części wód</w:t>
      </w:r>
      <w:r>
        <w:rPr>
          <w:rFonts w:asciiTheme="minorHAnsi" w:hAnsiTheme="minorHAnsi" w:cstheme="minorHAnsi"/>
        </w:rPr>
        <w:t xml:space="preserve">, </w:t>
      </w:r>
      <w:r w:rsidRPr="009E4BFD">
        <w:rPr>
          <w:rFonts w:asciiTheme="minorHAnsi" w:hAnsiTheme="minorHAnsi" w:cstheme="minorHAnsi"/>
        </w:rPr>
        <w:t>prowadz</w:t>
      </w:r>
      <w:r>
        <w:rPr>
          <w:rFonts w:asciiTheme="minorHAnsi" w:hAnsiTheme="minorHAnsi" w:cstheme="minorHAnsi"/>
        </w:rPr>
        <w:t>ąc</w:t>
      </w:r>
      <w:r w:rsidRPr="009E4BFD">
        <w:rPr>
          <w:rFonts w:asciiTheme="minorHAnsi" w:hAnsiTheme="minorHAnsi" w:cstheme="minorHAnsi"/>
        </w:rPr>
        <w:t xml:space="preserve"> coroczne</w:t>
      </w:r>
      <w:r>
        <w:rPr>
          <w:rFonts w:asciiTheme="minorHAnsi" w:hAnsiTheme="minorHAnsi" w:cstheme="minorHAnsi"/>
        </w:rPr>
        <w:t xml:space="preserve"> badania</w:t>
      </w:r>
      <w:r w:rsidRPr="009E4BFD">
        <w:rPr>
          <w:rFonts w:asciiTheme="minorHAnsi" w:hAnsiTheme="minorHAnsi" w:cstheme="minorHAnsi"/>
        </w:rPr>
        <w:t xml:space="preserve"> w zakresie wskaźników</w:t>
      </w:r>
      <w:r>
        <w:rPr>
          <w:rFonts w:asciiTheme="minorHAnsi" w:hAnsiTheme="minorHAnsi" w:cstheme="minorHAnsi"/>
        </w:rPr>
        <w:t xml:space="preserve"> chemicznych</w:t>
      </w:r>
      <w:r w:rsidRPr="009E4BFD">
        <w:rPr>
          <w:rFonts w:asciiTheme="minorHAnsi" w:hAnsiTheme="minorHAnsi" w:cstheme="minorHAnsi"/>
        </w:rPr>
        <w:t>.</w:t>
      </w:r>
    </w:p>
    <w:p w14:paraId="302A114B" w14:textId="635A2CB9" w:rsidR="00FA3415" w:rsidRDefault="00FA3415" w:rsidP="00FA3415">
      <w:pPr>
        <w:suppressAutoHyphens/>
        <w:rPr>
          <w:rFonts w:asciiTheme="minorHAnsi" w:hAnsiTheme="minorHAnsi" w:cstheme="minorHAnsi"/>
        </w:rPr>
      </w:pPr>
      <w:r>
        <w:rPr>
          <w:rFonts w:asciiTheme="minorHAnsi" w:hAnsiTheme="minorHAnsi" w:cstheme="minorHAnsi"/>
        </w:rPr>
        <w:t xml:space="preserve">Poniżej </w:t>
      </w:r>
      <w:r w:rsidR="008E22FA">
        <w:rPr>
          <w:rFonts w:asciiTheme="minorHAnsi" w:hAnsiTheme="minorHAnsi" w:cstheme="minorHAnsi"/>
        </w:rPr>
        <w:t xml:space="preserve">(tabela 15-1) </w:t>
      </w:r>
      <w:r>
        <w:rPr>
          <w:rFonts w:asciiTheme="minorHAnsi" w:hAnsiTheme="minorHAnsi" w:cstheme="minorHAnsi"/>
        </w:rPr>
        <w:t xml:space="preserve">zestawiono wyniki oceny stanu chemicznego dla dorzecza Pregoły na podstawie wyników </w:t>
      </w:r>
      <w:r w:rsidRPr="00C815AF">
        <w:rPr>
          <w:rFonts w:asciiTheme="minorHAnsi" w:hAnsiTheme="minorHAnsi" w:cstheme="minorHAnsi"/>
        </w:rPr>
        <w:t>klasyfikacji i oceny stanu jednolitych części wód</w:t>
      </w:r>
      <w:r>
        <w:rPr>
          <w:rFonts w:asciiTheme="minorHAnsi" w:hAnsiTheme="minorHAnsi" w:cstheme="minorHAnsi"/>
        </w:rPr>
        <w:t xml:space="preserve"> </w:t>
      </w:r>
      <w:r w:rsidRPr="00C815AF">
        <w:rPr>
          <w:rFonts w:asciiTheme="minorHAnsi" w:hAnsiTheme="minorHAnsi" w:cstheme="minorHAnsi"/>
        </w:rPr>
        <w:t>powierzchniowych</w:t>
      </w:r>
      <w:r>
        <w:rPr>
          <w:rFonts w:asciiTheme="minorHAnsi" w:hAnsiTheme="minorHAnsi" w:cstheme="minorHAnsi"/>
        </w:rPr>
        <w:t xml:space="preserve"> </w:t>
      </w:r>
      <w:r w:rsidRPr="00C815AF">
        <w:rPr>
          <w:rFonts w:asciiTheme="minorHAnsi" w:hAnsiTheme="minorHAnsi" w:cstheme="minorHAnsi"/>
        </w:rPr>
        <w:t xml:space="preserve">wykonanej </w:t>
      </w:r>
      <w:r>
        <w:rPr>
          <w:rFonts w:asciiTheme="minorHAnsi" w:hAnsiTheme="minorHAnsi" w:cstheme="minorHAnsi"/>
        </w:rPr>
        <w:t xml:space="preserve">przez GIOŚ </w:t>
      </w:r>
      <w:r w:rsidRPr="00C815AF">
        <w:rPr>
          <w:rFonts w:asciiTheme="minorHAnsi" w:hAnsiTheme="minorHAnsi" w:cstheme="minorHAnsi"/>
        </w:rPr>
        <w:t>za 2019 rok na podstawie danych z lat 2014-2019</w:t>
      </w:r>
      <w:r>
        <w:rPr>
          <w:rFonts w:asciiTheme="minorHAnsi" w:hAnsiTheme="minorHAnsi" w:cstheme="minorHAnsi"/>
        </w:rPr>
        <w:t xml:space="preserve"> </w:t>
      </w:r>
      <w:r w:rsidRPr="005852E7">
        <w:rPr>
          <w:rFonts w:asciiTheme="minorHAnsi" w:hAnsiTheme="minorHAnsi" w:cstheme="minorHAnsi"/>
        </w:rPr>
        <w:t xml:space="preserve">wraz z uzupełnieniem oceny w przypadku zlewni niemonitorowanych o wartości </w:t>
      </w:r>
      <w:r w:rsidRPr="00060F3A">
        <w:rPr>
          <w:rFonts w:asciiTheme="minorHAnsi" w:hAnsiTheme="minorHAnsi" w:cstheme="minorHAnsi"/>
        </w:rPr>
        <w:t xml:space="preserve">wg wyników opracowania </w:t>
      </w:r>
      <w:r w:rsidRPr="004B1ECC">
        <w:rPr>
          <w:rFonts w:asciiTheme="minorHAnsi" w:hAnsiTheme="minorHAnsi" w:cstheme="minorHAnsi"/>
          <w:i/>
          <w:iCs/>
        </w:rPr>
        <w:t xml:space="preserve">Analiza znaczących oddziaływań </w:t>
      </w:r>
      <w:r w:rsidR="00442AB7">
        <w:rPr>
          <w:rFonts w:asciiTheme="minorHAnsi" w:hAnsiTheme="minorHAnsi" w:cstheme="minorHAnsi"/>
          <w:i/>
          <w:iCs/>
        </w:rPr>
        <w:t>-</w:t>
      </w:r>
      <w:r w:rsidRPr="004B1ECC">
        <w:rPr>
          <w:rFonts w:asciiTheme="minorHAnsi" w:hAnsiTheme="minorHAnsi" w:cstheme="minorHAnsi"/>
          <w:i/>
          <w:iCs/>
        </w:rPr>
        <w:t xml:space="preserve"> jcwp (…)</w:t>
      </w:r>
      <w:r>
        <w:rPr>
          <w:rFonts w:asciiTheme="minorHAnsi" w:hAnsiTheme="minorHAnsi" w:cstheme="minorHAnsi"/>
        </w:rPr>
        <w:t xml:space="preserve">. </w:t>
      </w:r>
    </w:p>
    <w:p w14:paraId="423BFD5C" w14:textId="3A07DBD0" w:rsidR="00901E94" w:rsidRDefault="00901E94" w:rsidP="006802BB">
      <w:pPr>
        <w:pStyle w:val="Tabela"/>
      </w:pPr>
      <w:bookmarkStart w:id="526" w:name="_Toc68727063"/>
      <w:r>
        <w:t xml:space="preserve">Tabela </w:t>
      </w:r>
      <w:fldSimple w:instr=" STYLEREF 1 \s ">
        <w:r w:rsidR="007B4050">
          <w:rPr>
            <w:noProof/>
          </w:rPr>
          <w:t>15</w:t>
        </w:r>
      </w:fldSimple>
      <w:r w:rsidR="007B4050">
        <w:noBreakHyphen/>
      </w:r>
      <w:fldSimple w:instr=" SEQ Tabela \* ARABIC \s 1 ">
        <w:r w:rsidR="007B4050">
          <w:rPr>
            <w:noProof/>
          </w:rPr>
          <w:t>1</w:t>
        </w:r>
      </w:fldSimple>
      <w:r>
        <w:tab/>
        <w:t xml:space="preserve">Ocena stanu chemicznego wód dla kategorii wód w </w:t>
      </w:r>
      <w:r w:rsidR="00215474">
        <w:t xml:space="preserve">obszarze </w:t>
      </w:r>
      <w:r>
        <w:t>dorzecz</w:t>
      </w:r>
      <w:r w:rsidR="00215474">
        <w:t>a</w:t>
      </w:r>
      <w:r>
        <w:t xml:space="preserve"> Pregoły w oparciu o wyniki oceny stanu GIOŚ za lata 2014-2019 oraz wartości wg. </w:t>
      </w:r>
      <w:r w:rsidRPr="004B1ECC">
        <w:rPr>
          <w:i/>
        </w:rPr>
        <w:t xml:space="preserve">Analizy znaczących oddziaływań </w:t>
      </w:r>
      <w:r w:rsidR="00442AB7">
        <w:rPr>
          <w:i/>
        </w:rPr>
        <w:t>-</w:t>
      </w:r>
      <w:r w:rsidRPr="004B1ECC">
        <w:rPr>
          <w:i/>
        </w:rPr>
        <w:t xml:space="preserve"> jcwp (…)</w:t>
      </w:r>
      <w:r>
        <w:t xml:space="preserve"> w zlewniach niemonitorowanych</w:t>
      </w:r>
      <w:bookmarkEnd w:id="526"/>
    </w:p>
    <w:tbl>
      <w:tblPr>
        <w:tblW w:w="5000" w:type="pct"/>
        <w:jc w:val="center"/>
        <w:tblCellMar>
          <w:left w:w="70" w:type="dxa"/>
          <w:right w:w="70" w:type="dxa"/>
        </w:tblCellMar>
        <w:tblLook w:val="04A0" w:firstRow="1" w:lastRow="0" w:firstColumn="1" w:lastColumn="0" w:noHBand="0" w:noVBand="1"/>
      </w:tblPr>
      <w:tblGrid>
        <w:gridCol w:w="386"/>
        <w:gridCol w:w="1160"/>
        <w:gridCol w:w="1115"/>
        <w:gridCol w:w="1203"/>
        <w:gridCol w:w="1821"/>
        <w:gridCol w:w="1106"/>
        <w:gridCol w:w="1142"/>
        <w:gridCol w:w="1107"/>
      </w:tblGrid>
      <w:tr w:rsidR="00FA3415" w:rsidRPr="00367F99" w14:paraId="4ED435E3" w14:textId="77777777" w:rsidTr="008E22FA">
        <w:trPr>
          <w:trHeight w:val="454"/>
          <w:jc w:val="center"/>
        </w:trPr>
        <w:tc>
          <w:tcPr>
            <w:tcW w:w="210"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52D93" w14:textId="77777777" w:rsidR="00FA3415" w:rsidRPr="00A16503" w:rsidRDefault="00FA3415" w:rsidP="008E22FA">
            <w:pPr>
              <w:pStyle w:val="Tabela-tekst"/>
              <w:jc w:val="center"/>
              <w:rPr>
                <w:b/>
                <w:bCs/>
              </w:rPr>
            </w:pPr>
            <w:r w:rsidRPr="00A16503">
              <w:rPr>
                <w:b/>
                <w:bCs/>
              </w:rPr>
              <w:t>Lp.</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92584A" w14:textId="77777777" w:rsidR="00FA3415" w:rsidRPr="00A16503" w:rsidRDefault="00FA3415" w:rsidP="008E22FA">
            <w:pPr>
              <w:pStyle w:val="Tabela-tekst"/>
              <w:jc w:val="center"/>
              <w:rPr>
                <w:b/>
                <w:bCs/>
              </w:rPr>
            </w:pPr>
            <w:r w:rsidRPr="00A16503">
              <w:rPr>
                <w:b/>
                <w:bCs/>
              </w:rPr>
              <w:t>Kategoria wód</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51DA55" w14:textId="77777777" w:rsidR="00FA3415" w:rsidRPr="00A16503" w:rsidRDefault="00FA3415" w:rsidP="008E22FA">
            <w:pPr>
              <w:pStyle w:val="Tabela-tekst"/>
              <w:jc w:val="center"/>
              <w:rPr>
                <w:b/>
                <w:bCs/>
              </w:rPr>
            </w:pPr>
            <w:r w:rsidRPr="00A16503">
              <w:rPr>
                <w:b/>
                <w:bCs/>
              </w:rPr>
              <w:t>Łączna liczba jcwp</w:t>
            </w:r>
          </w:p>
        </w:tc>
        <w:tc>
          <w:tcPr>
            <w:tcW w:w="670"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3331EBB6" w14:textId="798568D2" w:rsidR="00FA3415" w:rsidRPr="00A16503" w:rsidRDefault="00FA3415" w:rsidP="008E22FA">
            <w:pPr>
              <w:pStyle w:val="Tabela-tekst"/>
              <w:jc w:val="center"/>
              <w:rPr>
                <w:b/>
                <w:bCs/>
              </w:rPr>
            </w:pPr>
            <w:r w:rsidRPr="00A16503">
              <w:rPr>
                <w:b/>
                <w:bCs/>
              </w:rPr>
              <w:t>Liczba jcwp ocenianych</w:t>
            </w:r>
            <w:r w:rsidR="00336F2E" w:rsidRPr="00A16503">
              <w:rPr>
                <w:b/>
                <w:bCs/>
              </w:rPr>
              <w:t xml:space="preserve"> </w:t>
            </w:r>
            <w:r w:rsidRPr="00A16503">
              <w:rPr>
                <w:b/>
                <w:bCs/>
              </w:rPr>
              <w:t>w monitoringu GIOŚ</w:t>
            </w:r>
          </w:p>
        </w:tc>
        <w:tc>
          <w:tcPr>
            <w:tcW w:w="985"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D2C701F" w14:textId="77777777" w:rsidR="00FA3415" w:rsidRPr="00A16503" w:rsidRDefault="00FA3415" w:rsidP="008E22FA">
            <w:pPr>
              <w:pStyle w:val="Tabela-tekst"/>
              <w:jc w:val="center"/>
              <w:rPr>
                <w:b/>
                <w:bCs/>
              </w:rPr>
            </w:pPr>
            <w:r w:rsidRPr="00A16503">
              <w:rPr>
                <w:b/>
                <w:bCs/>
              </w:rPr>
              <w:t xml:space="preserve">Liczba jcwp </w:t>
            </w:r>
            <w:r w:rsidRPr="00A16503">
              <w:rPr>
                <w:b/>
                <w:bCs/>
              </w:rPr>
              <w:br/>
              <w:t xml:space="preserve">niemonitorowanych </w:t>
            </w:r>
            <w:r w:rsidRPr="00A16503">
              <w:rPr>
                <w:b/>
                <w:bCs/>
              </w:rPr>
              <w:br/>
              <w:t xml:space="preserve">- z oceną wg wyniku </w:t>
            </w:r>
            <w:r w:rsidRPr="00D41A3A">
              <w:rPr>
                <w:b/>
                <w:bCs/>
                <w:i/>
                <w:iCs/>
              </w:rPr>
              <w:t>Analizy znaczących oddziaływań (…)</w:t>
            </w:r>
          </w:p>
        </w:tc>
        <w:tc>
          <w:tcPr>
            <w:tcW w:w="1868" w:type="pct"/>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CD62848" w14:textId="77777777" w:rsidR="00FA3415" w:rsidRPr="00A16503" w:rsidRDefault="00FA3415" w:rsidP="008E22FA">
            <w:pPr>
              <w:pStyle w:val="Tabela-tekst"/>
              <w:jc w:val="center"/>
              <w:rPr>
                <w:b/>
                <w:bCs/>
              </w:rPr>
            </w:pPr>
            <w:r w:rsidRPr="00A16503">
              <w:rPr>
                <w:b/>
                <w:bCs/>
              </w:rPr>
              <w:t>Ocena stanu chemicznego</w:t>
            </w:r>
          </w:p>
        </w:tc>
      </w:tr>
      <w:tr w:rsidR="00FA3415" w:rsidRPr="00367F99" w14:paraId="74361A15" w14:textId="77777777" w:rsidTr="008E22FA">
        <w:trPr>
          <w:trHeight w:val="454"/>
          <w:jc w:val="center"/>
        </w:trPr>
        <w:tc>
          <w:tcPr>
            <w:tcW w:w="210"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24163D" w14:textId="77777777" w:rsidR="00FA3415" w:rsidRPr="00A16503" w:rsidRDefault="00FA3415" w:rsidP="008E22FA">
            <w:pPr>
              <w:pStyle w:val="Tabela-tekst"/>
              <w:jc w:val="center"/>
              <w:rPr>
                <w:b/>
                <w:bCs/>
              </w:rPr>
            </w:pPr>
          </w:p>
        </w:tc>
        <w:tc>
          <w:tcPr>
            <w:tcW w:w="646"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5F4A9" w14:textId="77777777" w:rsidR="00FA3415" w:rsidRPr="00A16503" w:rsidRDefault="00FA3415" w:rsidP="008E22FA">
            <w:pPr>
              <w:pStyle w:val="Tabela-tekst"/>
              <w:jc w:val="center"/>
              <w:rPr>
                <w:b/>
                <w:bCs/>
              </w:rPr>
            </w:pPr>
          </w:p>
        </w:tc>
        <w:tc>
          <w:tcPr>
            <w:tcW w:w="621"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37AA59" w14:textId="77777777" w:rsidR="00FA3415" w:rsidRPr="00A16503" w:rsidRDefault="00FA3415" w:rsidP="008E22FA">
            <w:pPr>
              <w:pStyle w:val="Tabela-tekst"/>
              <w:jc w:val="center"/>
              <w:rPr>
                <w:b/>
                <w:bCs/>
              </w:rPr>
            </w:pPr>
          </w:p>
        </w:tc>
        <w:tc>
          <w:tcPr>
            <w:tcW w:w="670"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B8EDF97" w14:textId="77777777" w:rsidR="00FA3415" w:rsidRPr="00A16503" w:rsidRDefault="00FA3415" w:rsidP="008E22FA">
            <w:pPr>
              <w:pStyle w:val="Tabela-tekst"/>
              <w:jc w:val="center"/>
              <w:rPr>
                <w:b/>
                <w:bCs/>
              </w:rPr>
            </w:pPr>
          </w:p>
        </w:tc>
        <w:tc>
          <w:tcPr>
            <w:tcW w:w="985"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32473BB" w14:textId="77777777" w:rsidR="00FA3415" w:rsidRPr="00A16503" w:rsidRDefault="00FA3415" w:rsidP="008E22FA">
            <w:pPr>
              <w:pStyle w:val="Tabela-tekst"/>
              <w:jc w:val="center"/>
              <w:rPr>
                <w:b/>
                <w:bCs/>
              </w:rPr>
            </w:pPr>
          </w:p>
        </w:tc>
        <w:tc>
          <w:tcPr>
            <w:tcW w:w="616" w:type="pct"/>
            <w:tcBorders>
              <w:top w:val="nil"/>
              <w:left w:val="nil"/>
              <w:bottom w:val="single" w:sz="4" w:space="0" w:color="auto"/>
              <w:right w:val="single" w:sz="4" w:space="0" w:color="auto"/>
            </w:tcBorders>
            <w:shd w:val="clear" w:color="auto" w:fill="BFBFBF" w:themeFill="background1" w:themeFillShade="BF"/>
            <w:vAlign w:val="center"/>
            <w:hideMark/>
          </w:tcPr>
          <w:p w14:paraId="48789889" w14:textId="77777777" w:rsidR="00FA3415" w:rsidRPr="00A16503" w:rsidRDefault="00FA3415" w:rsidP="008E22FA">
            <w:pPr>
              <w:pStyle w:val="Tabela-tekst"/>
              <w:jc w:val="center"/>
              <w:rPr>
                <w:b/>
                <w:bCs/>
              </w:rPr>
            </w:pPr>
            <w:r w:rsidRPr="00A16503">
              <w:rPr>
                <w:b/>
                <w:bCs/>
              </w:rPr>
              <w:t>Dobry</w:t>
            </w:r>
          </w:p>
        </w:tc>
        <w:tc>
          <w:tcPr>
            <w:tcW w:w="636" w:type="pct"/>
            <w:tcBorders>
              <w:top w:val="nil"/>
              <w:left w:val="nil"/>
              <w:bottom w:val="single" w:sz="4" w:space="0" w:color="auto"/>
              <w:right w:val="single" w:sz="4" w:space="0" w:color="auto"/>
            </w:tcBorders>
            <w:shd w:val="clear" w:color="auto" w:fill="BFBFBF" w:themeFill="background1" w:themeFillShade="BF"/>
            <w:vAlign w:val="center"/>
            <w:hideMark/>
          </w:tcPr>
          <w:p w14:paraId="4327151C" w14:textId="7A28D3B5" w:rsidR="00FA3415" w:rsidRPr="00A16503" w:rsidRDefault="00FA3415" w:rsidP="008E22FA">
            <w:pPr>
              <w:pStyle w:val="Tabela-tekst"/>
              <w:jc w:val="center"/>
              <w:rPr>
                <w:b/>
                <w:bCs/>
              </w:rPr>
            </w:pPr>
            <w:r w:rsidRPr="00A16503">
              <w:rPr>
                <w:b/>
                <w:bCs/>
              </w:rPr>
              <w:t>Poniżej dobrego</w:t>
            </w:r>
          </w:p>
        </w:tc>
        <w:tc>
          <w:tcPr>
            <w:tcW w:w="615" w:type="pct"/>
            <w:tcBorders>
              <w:top w:val="nil"/>
              <w:left w:val="nil"/>
              <w:bottom w:val="single" w:sz="4" w:space="0" w:color="auto"/>
              <w:right w:val="single" w:sz="4" w:space="0" w:color="auto"/>
            </w:tcBorders>
            <w:shd w:val="clear" w:color="auto" w:fill="BFBFBF" w:themeFill="background1" w:themeFillShade="BF"/>
            <w:vAlign w:val="center"/>
            <w:hideMark/>
          </w:tcPr>
          <w:p w14:paraId="364E483D" w14:textId="0B4EC1A4" w:rsidR="00FA3415" w:rsidRPr="00A16503" w:rsidRDefault="00FA3415" w:rsidP="008E22FA">
            <w:pPr>
              <w:pStyle w:val="Tabela-tekst"/>
              <w:jc w:val="center"/>
              <w:rPr>
                <w:b/>
                <w:bCs/>
              </w:rPr>
            </w:pPr>
            <w:r w:rsidRPr="00A16503">
              <w:rPr>
                <w:b/>
                <w:bCs/>
              </w:rPr>
              <w:t>Brak oceny</w:t>
            </w:r>
          </w:p>
        </w:tc>
      </w:tr>
      <w:tr w:rsidR="00FA3415" w:rsidRPr="00367F99" w14:paraId="3AAA9002" w14:textId="77777777" w:rsidTr="008E22FA">
        <w:trPr>
          <w:trHeight w:val="454"/>
          <w:jc w:val="center"/>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93943C" w14:textId="3A80DD58" w:rsidR="00FA3415" w:rsidRPr="00367F99" w:rsidRDefault="00FA3415" w:rsidP="008E22FA">
            <w:pPr>
              <w:pStyle w:val="Tabela-tekst"/>
              <w:jc w:val="center"/>
            </w:pPr>
            <w:r w:rsidRPr="00367F99">
              <w:t>1</w:t>
            </w:r>
            <w:r w:rsidR="00A32BE2">
              <w:t>.</w:t>
            </w:r>
          </w:p>
        </w:tc>
        <w:tc>
          <w:tcPr>
            <w:tcW w:w="646" w:type="pct"/>
            <w:tcBorders>
              <w:top w:val="nil"/>
              <w:left w:val="nil"/>
              <w:bottom w:val="single" w:sz="4" w:space="0" w:color="auto"/>
              <w:right w:val="single" w:sz="4" w:space="0" w:color="auto"/>
            </w:tcBorders>
            <w:shd w:val="clear" w:color="auto" w:fill="auto"/>
            <w:vAlign w:val="center"/>
            <w:hideMark/>
          </w:tcPr>
          <w:p w14:paraId="6AAA9E55" w14:textId="6B29F8F7" w:rsidR="00FA3415" w:rsidRPr="00367F99" w:rsidRDefault="00D41A3A" w:rsidP="008E22FA">
            <w:pPr>
              <w:pStyle w:val="Tabela-tekst"/>
              <w:jc w:val="center"/>
            </w:pPr>
            <w:r>
              <w:t>jcwp LW</w:t>
            </w:r>
          </w:p>
        </w:tc>
        <w:tc>
          <w:tcPr>
            <w:tcW w:w="621" w:type="pct"/>
            <w:tcBorders>
              <w:top w:val="nil"/>
              <w:left w:val="nil"/>
              <w:bottom w:val="single" w:sz="4" w:space="0" w:color="auto"/>
              <w:right w:val="single" w:sz="4" w:space="0" w:color="auto"/>
            </w:tcBorders>
            <w:shd w:val="clear" w:color="auto" w:fill="auto"/>
            <w:vAlign w:val="center"/>
            <w:hideMark/>
          </w:tcPr>
          <w:p w14:paraId="2E89093B" w14:textId="77777777" w:rsidR="00FA3415" w:rsidRPr="00367F99" w:rsidRDefault="00FA3415" w:rsidP="008E22FA">
            <w:pPr>
              <w:pStyle w:val="Tabela-tekst"/>
              <w:jc w:val="center"/>
            </w:pPr>
            <w:r w:rsidRPr="00367F99">
              <w:t>105</w:t>
            </w:r>
          </w:p>
        </w:tc>
        <w:tc>
          <w:tcPr>
            <w:tcW w:w="670" w:type="pct"/>
            <w:tcBorders>
              <w:top w:val="nil"/>
              <w:left w:val="nil"/>
              <w:bottom w:val="single" w:sz="4" w:space="0" w:color="auto"/>
              <w:right w:val="single" w:sz="4" w:space="0" w:color="auto"/>
            </w:tcBorders>
            <w:shd w:val="clear" w:color="auto" w:fill="auto"/>
            <w:vAlign w:val="center"/>
            <w:hideMark/>
          </w:tcPr>
          <w:p w14:paraId="5A33FAEB" w14:textId="77777777" w:rsidR="00FA3415" w:rsidRPr="00367F99" w:rsidRDefault="00FA3415" w:rsidP="008E22FA">
            <w:pPr>
              <w:pStyle w:val="Tabela-tekst"/>
              <w:jc w:val="center"/>
            </w:pPr>
            <w:r w:rsidRPr="00367F99">
              <w:t>47</w:t>
            </w:r>
          </w:p>
        </w:tc>
        <w:tc>
          <w:tcPr>
            <w:tcW w:w="985" w:type="pct"/>
            <w:tcBorders>
              <w:top w:val="nil"/>
              <w:left w:val="nil"/>
              <w:bottom w:val="single" w:sz="4" w:space="0" w:color="auto"/>
              <w:right w:val="single" w:sz="4" w:space="0" w:color="auto"/>
            </w:tcBorders>
            <w:shd w:val="clear" w:color="auto" w:fill="auto"/>
            <w:vAlign w:val="center"/>
            <w:hideMark/>
          </w:tcPr>
          <w:p w14:paraId="172DE516" w14:textId="77777777" w:rsidR="00FA3415" w:rsidRPr="00367F99" w:rsidRDefault="00FA3415" w:rsidP="008E22FA">
            <w:pPr>
              <w:pStyle w:val="Tabela-tekst"/>
              <w:jc w:val="center"/>
            </w:pPr>
            <w:r w:rsidRPr="00367F99">
              <w:t>58</w:t>
            </w:r>
          </w:p>
        </w:tc>
        <w:tc>
          <w:tcPr>
            <w:tcW w:w="616" w:type="pct"/>
            <w:tcBorders>
              <w:top w:val="nil"/>
              <w:left w:val="nil"/>
              <w:bottom w:val="single" w:sz="4" w:space="0" w:color="auto"/>
              <w:right w:val="single" w:sz="4" w:space="0" w:color="auto"/>
            </w:tcBorders>
            <w:shd w:val="clear" w:color="auto" w:fill="auto"/>
            <w:vAlign w:val="center"/>
            <w:hideMark/>
          </w:tcPr>
          <w:p w14:paraId="56BA3D0E" w14:textId="77777777" w:rsidR="00FA3415" w:rsidRPr="00367F99" w:rsidRDefault="00FA3415" w:rsidP="008E22FA">
            <w:pPr>
              <w:pStyle w:val="Tabela-tekst"/>
              <w:jc w:val="center"/>
            </w:pPr>
            <w:r w:rsidRPr="00367F99">
              <w:t>61</w:t>
            </w:r>
          </w:p>
        </w:tc>
        <w:tc>
          <w:tcPr>
            <w:tcW w:w="636" w:type="pct"/>
            <w:tcBorders>
              <w:top w:val="nil"/>
              <w:left w:val="nil"/>
              <w:bottom w:val="single" w:sz="4" w:space="0" w:color="auto"/>
              <w:right w:val="single" w:sz="4" w:space="0" w:color="auto"/>
            </w:tcBorders>
            <w:shd w:val="clear" w:color="auto" w:fill="auto"/>
            <w:vAlign w:val="center"/>
            <w:hideMark/>
          </w:tcPr>
          <w:p w14:paraId="41C5278A" w14:textId="77777777" w:rsidR="00FA3415" w:rsidRPr="00367F99" w:rsidRDefault="00FA3415" w:rsidP="008E22FA">
            <w:pPr>
              <w:pStyle w:val="Tabela-tekst"/>
              <w:jc w:val="center"/>
            </w:pPr>
            <w:r w:rsidRPr="00367F99">
              <w:t>44</w:t>
            </w:r>
          </w:p>
        </w:tc>
        <w:tc>
          <w:tcPr>
            <w:tcW w:w="615" w:type="pct"/>
            <w:tcBorders>
              <w:top w:val="nil"/>
              <w:left w:val="nil"/>
              <w:bottom w:val="single" w:sz="4" w:space="0" w:color="auto"/>
              <w:right w:val="single" w:sz="4" w:space="0" w:color="auto"/>
            </w:tcBorders>
            <w:shd w:val="clear" w:color="auto" w:fill="auto"/>
            <w:vAlign w:val="center"/>
            <w:hideMark/>
          </w:tcPr>
          <w:p w14:paraId="438AB0B9" w14:textId="77777777" w:rsidR="00FA3415" w:rsidRPr="00367F99" w:rsidRDefault="00FA3415" w:rsidP="008E22FA">
            <w:pPr>
              <w:pStyle w:val="Tabela-tekst"/>
              <w:jc w:val="center"/>
            </w:pPr>
            <w:r w:rsidRPr="00367F99">
              <w:t>-</w:t>
            </w:r>
          </w:p>
        </w:tc>
      </w:tr>
      <w:tr w:rsidR="00FA3415" w:rsidRPr="00367F99" w14:paraId="3FC973B6" w14:textId="77777777" w:rsidTr="008E22FA">
        <w:trPr>
          <w:trHeight w:val="454"/>
          <w:jc w:val="center"/>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637EA9" w14:textId="7CB856DA" w:rsidR="00FA3415" w:rsidRPr="00367F99" w:rsidRDefault="00FA3415" w:rsidP="008E22FA">
            <w:pPr>
              <w:pStyle w:val="Tabela-tekst"/>
              <w:jc w:val="center"/>
            </w:pPr>
            <w:r w:rsidRPr="00367F99">
              <w:t>2</w:t>
            </w:r>
            <w:r w:rsidR="00A32BE2">
              <w:t>.</w:t>
            </w:r>
          </w:p>
        </w:tc>
        <w:tc>
          <w:tcPr>
            <w:tcW w:w="646" w:type="pct"/>
            <w:tcBorders>
              <w:top w:val="nil"/>
              <w:left w:val="nil"/>
              <w:bottom w:val="single" w:sz="4" w:space="0" w:color="auto"/>
              <w:right w:val="single" w:sz="4" w:space="0" w:color="auto"/>
            </w:tcBorders>
            <w:shd w:val="clear" w:color="auto" w:fill="auto"/>
            <w:vAlign w:val="center"/>
            <w:hideMark/>
          </w:tcPr>
          <w:p w14:paraId="4FFEDC61" w14:textId="74D1C992" w:rsidR="00FA3415" w:rsidRPr="00367F99" w:rsidRDefault="00D41A3A" w:rsidP="008E22FA">
            <w:pPr>
              <w:pStyle w:val="Tabela-tekst"/>
              <w:jc w:val="center"/>
            </w:pPr>
            <w:r>
              <w:t>jcwp RW</w:t>
            </w:r>
          </w:p>
        </w:tc>
        <w:tc>
          <w:tcPr>
            <w:tcW w:w="621" w:type="pct"/>
            <w:tcBorders>
              <w:top w:val="nil"/>
              <w:left w:val="nil"/>
              <w:bottom w:val="single" w:sz="4" w:space="0" w:color="auto"/>
              <w:right w:val="single" w:sz="4" w:space="0" w:color="auto"/>
            </w:tcBorders>
            <w:shd w:val="clear" w:color="auto" w:fill="auto"/>
            <w:vAlign w:val="center"/>
            <w:hideMark/>
          </w:tcPr>
          <w:p w14:paraId="7F595DE9" w14:textId="77777777" w:rsidR="00FA3415" w:rsidRPr="00367F99" w:rsidRDefault="00FA3415" w:rsidP="008E22FA">
            <w:pPr>
              <w:pStyle w:val="Tabela-tekst"/>
              <w:jc w:val="center"/>
            </w:pPr>
            <w:r w:rsidRPr="00367F99">
              <w:t>82</w:t>
            </w:r>
          </w:p>
        </w:tc>
        <w:tc>
          <w:tcPr>
            <w:tcW w:w="670" w:type="pct"/>
            <w:tcBorders>
              <w:top w:val="nil"/>
              <w:left w:val="nil"/>
              <w:bottom w:val="single" w:sz="4" w:space="0" w:color="auto"/>
              <w:right w:val="single" w:sz="4" w:space="0" w:color="auto"/>
            </w:tcBorders>
            <w:shd w:val="clear" w:color="auto" w:fill="auto"/>
            <w:vAlign w:val="center"/>
            <w:hideMark/>
          </w:tcPr>
          <w:p w14:paraId="2274AA55" w14:textId="77777777" w:rsidR="00FA3415" w:rsidRPr="00367F99" w:rsidRDefault="00FA3415" w:rsidP="008E22FA">
            <w:pPr>
              <w:pStyle w:val="Tabela-tekst"/>
              <w:jc w:val="center"/>
            </w:pPr>
            <w:r w:rsidRPr="00367F99">
              <w:t>36</w:t>
            </w:r>
          </w:p>
        </w:tc>
        <w:tc>
          <w:tcPr>
            <w:tcW w:w="985" w:type="pct"/>
            <w:tcBorders>
              <w:top w:val="nil"/>
              <w:left w:val="nil"/>
              <w:bottom w:val="single" w:sz="4" w:space="0" w:color="auto"/>
              <w:right w:val="single" w:sz="4" w:space="0" w:color="auto"/>
            </w:tcBorders>
            <w:shd w:val="clear" w:color="auto" w:fill="auto"/>
            <w:vAlign w:val="center"/>
            <w:hideMark/>
          </w:tcPr>
          <w:p w14:paraId="70B74DED" w14:textId="77777777" w:rsidR="00FA3415" w:rsidRPr="00367F99" w:rsidRDefault="00FA3415" w:rsidP="008E22FA">
            <w:pPr>
              <w:pStyle w:val="Tabela-tekst"/>
              <w:jc w:val="center"/>
            </w:pPr>
            <w:r w:rsidRPr="00367F99">
              <w:t>6</w:t>
            </w:r>
          </w:p>
        </w:tc>
        <w:tc>
          <w:tcPr>
            <w:tcW w:w="616" w:type="pct"/>
            <w:tcBorders>
              <w:top w:val="nil"/>
              <w:left w:val="nil"/>
              <w:bottom w:val="single" w:sz="4" w:space="0" w:color="auto"/>
              <w:right w:val="single" w:sz="4" w:space="0" w:color="auto"/>
            </w:tcBorders>
            <w:shd w:val="clear" w:color="auto" w:fill="auto"/>
            <w:vAlign w:val="center"/>
            <w:hideMark/>
          </w:tcPr>
          <w:p w14:paraId="43356F23" w14:textId="77777777" w:rsidR="00FA3415" w:rsidRPr="00367F99" w:rsidRDefault="00FA3415" w:rsidP="008E22FA">
            <w:pPr>
              <w:pStyle w:val="Tabela-tekst"/>
              <w:jc w:val="center"/>
            </w:pPr>
            <w:r w:rsidRPr="00367F99">
              <w:t>9</w:t>
            </w:r>
          </w:p>
        </w:tc>
        <w:tc>
          <w:tcPr>
            <w:tcW w:w="636" w:type="pct"/>
            <w:tcBorders>
              <w:top w:val="nil"/>
              <w:left w:val="nil"/>
              <w:bottom w:val="single" w:sz="4" w:space="0" w:color="auto"/>
              <w:right w:val="single" w:sz="4" w:space="0" w:color="auto"/>
            </w:tcBorders>
            <w:shd w:val="clear" w:color="auto" w:fill="auto"/>
            <w:vAlign w:val="center"/>
            <w:hideMark/>
          </w:tcPr>
          <w:p w14:paraId="73F57D3C" w14:textId="77777777" w:rsidR="00FA3415" w:rsidRPr="00367F99" w:rsidRDefault="00FA3415" w:rsidP="008E22FA">
            <w:pPr>
              <w:pStyle w:val="Tabela-tekst"/>
              <w:jc w:val="center"/>
            </w:pPr>
            <w:r w:rsidRPr="00367F99">
              <w:t>33</w:t>
            </w:r>
          </w:p>
        </w:tc>
        <w:tc>
          <w:tcPr>
            <w:tcW w:w="615" w:type="pct"/>
            <w:tcBorders>
              <w:top w:val="nil"/>
              <w:left w:val="nil"/>
              <w:bottom w:val="single" w:sz="4" w:space="0" w:color="auto"/>
              <w:right w:val="single" w:sz="4" w:space="0" w:color="auto"/>
            </w:tcBorders>
            <w:shd w:val="clear" w:color="auto" w:fill="auto"/>
            <w:vAlign w:val="center"/>
            <w:hideMark/>
          </w:tcPr>
          <w:p w14:paraId="2BD259BD" w14:textId="77777777" w:rsidR="00FA3415" w:rsidRPr="00367F99" w:rsidRDefault="00FA3415" w:rsidP="008E22FA">
            <w:pPr>
              <w:pStyle w:val="Tabela-tekst"/>
              <w:jc w:val="center"/>
            </w:pPr>
            <w:r w:rsidRPr="00367F99">
              <w:t>40</w:t>
            </w:r>
          </w:p>
        </w:tc>
      </w:tr>
      <w:tr w:rsidR="00FA3415" w:rsidRPr="00367F99" w14:paraId="7050DF0D" w14:textId="77777777" w:rsidTr="00D41A3A">
        <w:trPr>
          <w:trHeight w:val="454"/>
          <w:jc w:val="center"/>
        </w:trPr>
        <w:tc>
          <w:tcPr>
            <w:tcW w:w="85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68F4F8" w14:textId="38AFD591" w:rsidR="00FA3415" w:rsidRPr="00D41A3A" w:rsidRDefault="00FA3415" w:rsidP="008E22FA">
            <w:pPr>
              <w:pStyle w:val="Tabela-tekst"/>
              <w:jc w:val="center"/>
              <w:rPr>
                <w:b/>
                <w:bCs/>
              </w:rPr>
            </w:pPr>
            <w:r w:rsidRPr="00D41A3A">
              <w:rPr>
                <w:b/>
                <w:bCs/>
              </w:rPr>
              <w:t>Łącznie jcwp</w:t>
            </w:r>
          </w:p>
        </w:tc>
        <w:tc>
          <w:tcPr>
            <w:tcW w:w="621" w:type="pct"/>
            <w:tcBorders>
              <w:top w:val="nil"/>
              <w:left w:val="nil"/>
              <w:bottom w:val="single" w:sz="4" w:space="0" w:color="auto"/>
              <w:right w:val="single" w:sz="4" w:space="0" w:color="auto"/>
            </w:tcBorders>
            <w:shd w:val="clear" w:color="auto" w:fill="BFBFBF" w:themeFill="background1" w:themeFillShade="BF"/>
            <w:vAlign w:val="center"/>
            <w:hideMark/>
          </w:tcPr>
          <w:p w14:paraId="0B8A9E7F" w14:textId="77777777" w:rsidR="00FA3415" w:rsidRPr="00D41A3A" w:rsidRDefault="00FA3415" w:rsidP="008E22FA">
            <w:pPr>
              <w:pStyle w:val="Tabela-tekst"/>
              <w:jc w:val="center"/>
              <w:rPr>
                <w:b/>
                <w:bCs/>
              </w:rPr>
            </w:pPr>
            <w:r w:rsidRPr="00D41A3A">
              <w:rPr>
                <w:b/>
                <w:bCs/>
              </w:rPr>
              <w:t>187</w:t>
            </w:r>
          </w:p>
        </w:tc>
        <w:tc>
          <w:tcPr>
            <w:tcW w:w="670" w:type="pct"/>
            <w:tcBorders>
              <w:top w:val="nil"/>
              <w:left w:val="nil"/>
              <w:bottom w:val="single" w:sz="4" w:space="0" w:color="auto"/>
              <w:right w:val="single" w:sz="4" w:space="0" w:color="auto"/>
            </w:tcBorders>
            <w:shd w:val="clear" w:color="auto" w:fill="BFBFBF" w:themeFill="background1" w:themeFillShade="BF"/>
            <w:vAlign w:val="center"/>
            <w:hideMark/>
          </w:tcPr>
          <w:p w14:paraId="5FEF1DCA" w14:textId="77777777" w:rsidR="00FA3415" w:rsidRPr="00D41A3A" w:rsidRDefault="00FA3415" w:rsidP="008E22FA">
            <w:pPr>
              <w:pStyle w:val="Tabela-tekst"/>
              <w:jc w:val="center"/>
              <w:rPr>
                <w:b/>
                <w:bCs/>
              </w:rPr>
            </w:pPr>
            <w:r w:rsidRPr="00D41A3A">
              <w:rPr>
                <w:b/>
                <w:bCs/>
              </w:rPr>
              <w:t>83</w:t>
            </w:r>
          </w:p>
        </w:tc>
        <w:tc>
          <w:tcPr>
            <w:tcW w:w="985" w:type="pct"/>
            <w:tcBorders>
              <w:top w:val="nil"/>
              <w:left w:val="nil"/>
              <w:bottom w:val="single" w:sz="4" w:space="0" w:color="auto"/>
              <w:right w:val="single" w:sz="4" w:space="0" w:color="auto"/>
            </w:tcBorders>
            <w:shd w:val="clear" w:color="auto" w:fill="BFBFBF" w:themeFill="background1" w:themeFillShade="BF"/>
            <w:vAlign w:val="center"/>
            <w:hideMark/>
          </w:tcPr>
          <w:p w14:paraId="7356BC4D" w14:textId="77777777" w:rsidR="00FA3415" w:rsidRPr="00D41A3A" w:rsidRDefault="00FA3415" w:rsidP="008E22FA">
            <w:pPr>
              <w:pStyle w:val="Tabela-tekst"/>
              <w:jc w:val="center"/>
              <w:rPr>
                <w:b/>
                <w:bCs/>
              </w:rPr>
            </w:pPr>
            <w:r w:rsidRPr="00D41A3A">
              <w:rPr>
                <w:b/>
                <w:bCs/>
              </w:rPr>
              <w:t>64</w:t>
            </w:r>
          </w:p>
        </w:tc>
        <w:tc>
          <w:tcPr>
            <w:tcW w:w="616" w:type="pct"/>
            <w:tcBorders>
              <w:top w:val="nil"/>
              <w:left w:val="nil"/>
              <w:bottom w:val="single" w:sz="4" w:space="0" w:color="auto"/>
              <w:right w:val="single" w:sz="4" w:space="0" w:color="auto"/>
            </w:tcBorders>
            <w:shd w:val="clear" w:color="auto" w:fill="BFBFBF" w:themeFill="background1" w:themeFillShade="BF"/>
            <w:vAlign w:val="center"/>
            <w:hideMark/>
          </w:tcPr>
          <w:p w14:paraId="6182C1B8" w14:textId="77777777" w:rsidR="00FA3415" w:rsidRPr="00D41A3A" w:rsidRDefault="00FA3415" w:rsidP="008E22FA">
            <w:pPr>
              <w:pStyle w:val="Tabela-tekst"/>
              <w:jc w:val="center"/>
              <w:rPr>
                <w:b/>
                <w:bCs/>
              </w:rPr>
            </w:pPr>
            <w:r w:rsidRPr="00D41A3A">
              <w:rPr>
                <w:b/>
                <w:bCs/>
              </w:rPr>
              <w:t>70</w:t>
            </w:r>
          </w:p>
        </w:tc>
        <w:tc>
          <w:tcPr>
            <w:tcW w:w="636" w:type="pct"/>
            <w:tcBorders>
              <w:top w:val="nil"/>
              <w:left w:val="nil"/>
              <w:bottom w:val="single" w:sz="4" w:space="0" w:color="auto"/>
              <w:right w:val="single" w:sz="4" w:space="0" w:color="auto"/>
            </w:tcBorders>
            <w:shd w:val="clear" w:color="auto" w:fill="BFBFBF" w:themeFill="background1" w:themeFillShade="BF"/>
            <w:vAlign w:val="center"/>
            <w:hideMark/>
          </w:tcPr>
          <w:p w14:paraId="704E9179" w14:textId="77777777" w:rsidR="00FA3415" w:rsidRPr="00D41A3A" w:rsidRDefault="00FA3415" w:rsidP="008E22FA">
            <w:pPr>
              <w:pStyle w:val="Tabela-tekst"/>
              <w:jc w:val="center"/>
              <w:rPr>
                <w:b/>
                <w:bCs/>
              </w:rPr>
            </w:pPr>
            <w:r w:rsidRPr="00D41A3A">
              <w:rPr>
                <w:b/>
                <w:bCs/>
              </w:rPr>
              <w:t>77</w:t>
            </w:r>
          </w:p>
        </w:tc>
        <w:tc>
          <w:tcPr>
            <w:tcW w:w="615" w:type="pct"/>
            <w:tcBorders>
              <w:top w:val="nil"/>
              <w:left w:val="nil"/>
              <w:bottom w:val="single" w:sz="4" w:space="0" w:color="auto"/>
              <w:right w:val="single" w:sz="4" w:space="0" w:color="auto"/>
            </w:tcBorders>
            <w:shd w:val="clear" w:color="auto" w:fill="BFBFBF" w:themeFill="background1" w:themeFillShade="BF"/>
            <w:vAlign w:val="center"/>
            <w:hideMark/>
          </w:tcPr>
          <w:p w14:paraId="112FC2CD" w14:textId="77777777" w:rsidR="00FA3415" w:rsidRPr="00D41A3A" w:rsidRDefault="00FA3415" w:rsidP="008E22FA">
            <w:pPr>
              <w:pStyle w:val="Tabela-tekst"/>
              <w:jc w:val="center"/>
              <w:rPr>
                <w:b/>
                <w:bCs/>
              </w:rPr>
            </w:pPr>
            <w:r w:rsidRPr="00D41A3A">
              <w:rPr>
                <w:b/>
                <w:bCs/>
              </w:rPr>
              <w:t>40</w:t>
            </w:r>
          </w:p>
        </w:tc>
      </w:tr>
    </w:tbl>
    <w:p w14:paraId="6D1C71E0" w14:textId="7BDEB016" w:rsidR="00FA3415" w:rsidRPr="00E20F30" w:rsidRDefault="00FA3415" w:rsidP="0022748E">
      <w:pPr>
        <w:pStyle w:val="rdo0"/>
      </w:pPr>
      <w:r w:rsidRPr="00E20F30">
        <w:t xml:space="preserve">Źródło: opracowanie </w:t>
      </w:r>
      <w:r w:rsidR="00F340C7">
        <w:t xml:space="preserve">własne </w:t>
      </w:r>
      <w:r w:rsidRPr="00E20F30">
        <w:t xml:space="preserve">na podstawie wykazu GIOŚ </w:t>
      </w:r>
    </w:p>
    <w:p w14:paraId="59843D11" w14:textId="3FE435D5" w:rsidR="00FA3415" w:rsidRPr="00B309B4" w:rsidRDefault="00467C96" w:rsidP="00FA3415">
      <w:pPr>
        <w:suppressAutoHyphens/>
        <w:rPr>
          <w:rFonts w:asciiTheme="minorHAnsi" w:hAnsiTheme="minorHAnsi" w:cstheme="minorHAnsi"/>
        </w:rPr>
      </w:pPr>
      <w:r w:rsidRPr="00467C96">
        <w:rPr>
          <w:rFonts w:asciiTheme="minorHAnsi" w:hAnsiTheme="minorHAnsi" w:cstheme="minorHAnsi"/>
        </w:rPr>
        <w:t>Dla zaplanowanego programu monitoringu oraz w przypadku przekroczeń dodatkowych elementów oceny stanu wód - w obrębie jcwp są stosowane różne rodzaje monitoringu. Ponadto rodzaj przypisanego monitoringu może ulec zmianie w ciągu jednego cyklu planistycznego w zależności od występowania presji w jcwp. Jednakże pomimo dążenia do objęcia monitoringiem coraz większej liczby jcwp, ciągle pozostaje odsetek jednolitych części wód powierzchniowych niemonitorowanych. W</w:t>
      </w:r>
      <w:r w:rsidR="006C4947">
        <w:rPr>
          <w:rFonts w:asciiTheme="minorHAnsi" w:hAnsiTheme="minorHAnsi" w:cstheme="minorHAnsi"/>
        </w:rPr>
        <w:t> </w:t>
      </w:r>
      <w:r w:rsidRPr="00467C96">
        <w:rPr>
          <w:rFonts w:asciiTheme="minorHAnsi" w:hAnsiTheme="minorHAnsi" w:cstheme="minorHAnsi"/>
        </w:rPr>
        <w:t>konsekwencji prowadzi to do tego, że nie do każdej jcwp został dopisany rodzaj planowanego/zrealizowanego monitoringu w cyklu planistycznym 2016-2021, co zostało przedstawione w tabeli 15-2</w:t>
      </w:r>
      <w:r w:rsidR="00FA3415" w:rsidRPr="00B309B4">
        <w:rPr>
          <w:rFonts w:asciiTheme="minorHAnsi" w:hAnsiTheme="minorHAnsi" w:cstheme="minorHAnsi"/>
        </w:rPr>
        <w:t>.</w:t>
      </w:r>
    </w:p>
    <w:p w14:paraId="145E3E60" w14:textId="19AC2D9A" w:rsidR="0022748E" w:rsidRDefault="0022748E" w:rsidP="006802BB">
      <w:pPr>
        <w:pStyle w:val="Tabela"/>
      </w:pPr>
      <w:bookmarkStart w:id="527" w:name="_Toc68727064"/>
      <w:r>
        <w:t xml:space="preserve">Tabela </w:t>
      </w:r>
      <w:fldSimple w:instr=" STYLEREF 1 \s ">
        <w:r w:rsidR="007B4050">
          <w:rPr>
            <w:noProof/>
          </w:rPr>
          <w:t>15</w:t>
        </w:r>
      </w:fldSimple>
      <w:r w:rsidR="007B4050">
        <w:noBreakHyphen/>
      </w:r>
      <w:fldSimple w:instr=" SEQ Tabela \* ARABIC \s 1 ">
        <w:r w:rsidR="007B4050">
          <w:rPr>
            <w:noProof/>
          </w:rPr>
          <w:t>2</w:t>
        </w:r>
      </w:fldSimple>
      <w:r>
        <w:tab/>
        <w:t xml:space="preserve">Udział wód objętych programami monitoringu w </w:t>
      </w:r>
      <w:r w:rsidR="00215474">
        <w:t xml:space="preserve">obszarze </w:t>
      </w:r>
      <w:r>
        <w:t>dorzecz</w:t>
      </w:r>
      <w:r w:rsidR="00215474">
        <w:t>a</w:t>
      </w:r>
      <w:r>
        <w:t xml:space="preserve"> Pregoły</w:t>
      </w:r>
      <w:bookmarkEnd w:id="527"/>
    </w:p>
    <w:tbl>
      <w:tblPr>
        <w:tblW w:w="5000" w:type="pct"/>
        <w:tblCellMar>
          <w:left w:w="70" w:type="dxa"/>
          <w:right w:w="70" w:type="dxa"/>
        </w:tblCellMar>
        <w:tblLook w:val="04A0" w:firstRow="1" w:lastRow="0" w:firstColumn="1" w:lastColumn="0" w:noHBand="0" w:noVBand="1"/>
      </w:tblPr>
      <w:tblGrid>
        <w:gridCol w:w="386"/>
        <w:gridCol w:w="1170"/>
        <w:gridCol w:w="1247"/>
        <w:gridCol w:w="1248"/>
        <w:gridCol w:w="1247"/>
        <w:gridCol w:w="1248"/>
        <w:gridCol w:w="1247"/>
        <w:gridCol w:w="1247"/>
      </w:tblGrid>
      <w:tr w:rsidR="00FA3415" w:rsidRPr="00367F99" w14:paraId="519078DB" w14:textId="77777777" w:rsidTr="008E22FA">
        <w:trPr>
          <w:trHeight w:val="454"/>
          <w:tblHeader/>
        </w:trPr>
        <w:tc>
          <w:tcPr>
            <w:tcW w:w="210"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27285" w14:textId="77777777" w:rsidR="00FA3415" w:rsidRPr="00A16503" w:rsidRDefault="00FA3415" w:rsidP="008E22FA">
            <w:pPr>
              <w:pStyle w:val="Tabela-tekst"/>
              <w:jc w:val="center"/>
              <w:rPr>
                <w:b/>
                <w:bCs/>
              </w:rPr>
            </w:pPr>
            <w:r w:rsidRPr="00A16503">
              <w:rPr>
                <w:b/>
                <w:bCs/>
              </w:rPr>
              <w:t>Lp.</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C05418" w14:textId="77777777" w:rsidR="00FA3415" w:rsidRPr="00A16503" w:rsidRDefault="00FA3415" w:rsidP="008E22FA">
            <w:pPr>
              <w:pStyle w:val="Tabela-tekst"/>
              <w:jc w:val="center"/>
              <w:rPr>
                <w:b/>
                <w:bCs/>
              </w:rPr>
            </w:pPr>
            <w:r w:rsidRPr="00A16503">
              <w:rPr>
                <w:b/>
                <w:bCs/>
              </w:rPr>
              <w:t>Kategoria wód</w:t>
            </w:r>
          </w:p>
        </w:tc>
        <w:tc>
          <w:tcPr>
            <w:tcW w:w="1381"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B671F9E" w14:textId="77777777" w:rsidR="00FA3415" w:rsidRPr="00A16503" w:rsidRDefault="00FA3415" w:rsidP="008E22FA">
            <w:pPr>
              <w:pStyle w:val="Tabela-tekst"/>
              <w:jc w:val="center"/>
              <w:rPr>
                <w:b/>
                <w:bCs/>
              </w:rPr>
            </w:pPr>
            <w:r w:rsidRPr="00A16503">
              <w:rPr>
                <w:b/>
                <w:bCs/>
              </w:rPr>
              <w:t>Monitoring operacyjny</w:t>
            </w:r>
          </w:p>
        </w:tc>
        <w:tc>
          <w:tcPr>
            <w:tcW w:w="1381"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E34D6D3" w14:textId="77777777" w:rsidR="00FA3415" w:rsidRPr="00A16503" w:rsidRDefault="00FA3415" w:rsidP="008E22FA">
            <w:pPr>
              <w:pStyle w:val="Tabela-tekst"/>
              <w:jc w:val="center"/>
              <w:rPr>
                <w:b/>
                <w:bCs/>
              </w:rPr>
            </w:pPr>
            <w:r w:rsidRPr="00A16503">
              <w:rPr>
                <w:b/>
                <w:bCs/>
              </w:rPr>
              <w:t>Monitoring diagnostyczny</w:t>
            </w:r>
          </w:p>
        </w:tc>
        <w:tc>
          <w:tcPr>
            <w:tcW w:w="1381"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C22421B" w14:textId="64BF8A5A" w:rsidR="00FA3415" w:rsidRPr="00A16503" w:rsidRDefault="00FA3415" w:rsidP="008E22FA">
            <w:pPr>
              <w:pStyle w:val="Tabela-tekst"/>
              <w:jc w:val="center"/>
              <w:rPr>
                <w:b/>
                <w:bCs/>
              </w:rPr>
            </w:pPr>
            <w:r w:rsidRPr="00A16503">
              <w:rPr>
                <w:b/>
                <w:bCs/>
              </w:rPr>
              <w:t>Monitoring diagnostyczny</w:t>
            </w:r>
          </w:p>
          <w:p w14:paraId="294EDD67" w14:textId="77777777" w:rsidR="00FA3415" w:rsidRPr="00A16503" w:rsidRDefault="00FA3415" w:rsidP="008E22FA">
            <w:pPr>
              <w:pStyle w:val="Tabela-tekst"/>
              <w:jc w:val="center"/>
              <w:rPr>
                <w:b/>
                <w:bCs/>
              </w:rPr>
            </w:pPr>
            <w:r w:rsidRPr="00A16503">
              <w:rPr>
                <w:b/>
                <w:bCs/>
              </w:rPr>
              <w:t>i operacyjny</w:t>
            </w:r>
          </w:p>
        </w:tc>
      </w:tr>
      <w:tr w:rsidR="00FA3415" w:rsidRPr="00367F99" w14:paraId="51396CB8" w14:textId="77777777" w:rsidTr="008E22FA">
        <w:trPr>
          <w:trHeight w:val="454"/>
          <w:tblHeader/>
        </w:trPr>
        <w:tc>
          <w:tcPr>
            <w:tcW w:w="210"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794B7E" w14:textId="77777777" w:rsidR="00FA3415" w:rsidRPr="00A16503" w:rsidRDefault="00FA3415" w:rsidP="008E22FA">
            <w:pPr>
              <w:pStyle w:val="Tabela-tekst"/>
              <w:jc w:val="center"/>
              <w:rPr>
                <w:b/>
                <w:bCs/>
              </w:rPr>
            </w:pPr>
          </w:p>
        </w:tc>
        <w:tc>
          <w:tcPr>
            <w:tcW w:w="648"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51E3C1" w14:textId="77777777" w:rsidR="00FA3415" w:rsidRPr="00A16503" w:rsidRDefault="00FA3415" w:rsidP="008E22FA">
            <w:pPr>
              <w:pStyle w:val="Tabela-tekst"/>
              <w:jc w:val="center"/>
              <w:rPr>
                <w:b/>
                <w:bCs/>
              </w:rPr>
            </w:pP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269B7227" w14:textId="232B78D6" w:rsidR="00FA3415" w:rsidRPr="00A16503" w:rsidRDefault="00FA3415" w:rsidP="008E22FA">
            <w:pPr>
              <w:pStyle w:val="Tabela-tekst"/>
              <w:jc w:val="center"/>
              <w:rPr>
                <w:b/>
                <w:bCs/>
              </w:rPr>
            </w:pPr>
            <w:r w:rsidRPr="00A16503">
              <w:rPr>
                <w:b/>
                <w:bCs/>
              </w:rPr>
              <w:t>Liczba jcwp</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34771291" w14:textId="5468BB28" w:rsidR="00FA3415" w:rsidRPr="00A16503" w:rsidRDefault="00FA3415" w:rsidP="008E22FA">
            <w:pPr>
              <w:pStyle w:val="Tabela-tekst"/>
              <w:jc w:val="center"/>
              <w:rPr>
                <w:b/>
                <w:bCs/>
              </w:rPr>
            </w:pPr>
            <w:r w:rsidRPr="00A16503">
              <w:rPr>
                <w:b/>
                <w:bCs/>
              </w:rPr>
              <w:t>Odsetek jcwp</w:t>
            </w:r>
            <w:r w:rsidR="008E22FA">
              <w:rPr>
                <w:b/>
                <w:bCs/>
              </w:rPr>
              <w:t xml:space="preserve"> (%)</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57101AB1" w14:textId="55C770EC" w:rsidR="00FA3415" w:rsidRPr="00A16503" w:rsidRDefault="00FA3415" w:rsidP="008E22FA">
            <w:pPr>
              <w:pStyle w:val="Tabela-tekst"/>
              <w:jc w:val="center"/>
              <w:rPr>
                <w:b/>
                <w:bCs/>
              </w:rPr>
            </w:pPr>
            <w:r w:rsidRPr="00A16503">
              <w:rPr>
                <w:b/>
                <w:bCs/>
              </w:rPr>
              <w:t>Liczba jcwp</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1FDCE639" w14:textId="13364F50" w:rsidR="00FA3415" w:rsidRPr="00A16503" w:rsidRDefault="00FA3415" w:rsidP="008E22FA">
            <w:pPr>
              <w:pStyle w:val="Tabela-tekst"/>
              <w:jc w:val="center"/>
              <w:rPr>
                <w:b/>
                <w:bCs/>
              </w:rPr>
            </w:pPr>
            <w:r w:rsidRPr="00A16503">
              <w:rPr>
                <w:b/>
                <w:bCs/>
              </w:rPr>
              <w:t>Odsetek jcwp</w:t>
            </w:r>
            <w:r w:rsidR="008E22FA">
              <w:rPr>
                <w:b/>
                <w:bCs/>
              </w:rPr>
              <w:t xml:space="preserve"> (%)</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7878DE16" w14:textId="5F43FD00" w:rsidR="00FA3415" w:rsidRPr="00A16503" w:rsidRDefault="00FA3415" w:rsidP="008E22FA">
            <w:pPr>
              <w:pStyle w:val="Tabela-tekst"/>
              <w:jc w:val="center"/>
              <w:rPr>
                <w:b/>
                <w:bCs/>
              </w:rPr>
            </w:pPr>
            <w:r w:rsidRPr="00A16503">
              <w:rPr>
                <w:b/>
                <w:bCs/>
              </w:rPr>
              <w:t>Liczba jcwp</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4FECF9D6" w14:textId="3FCB487E" w:rsidR="00FA3415" w:rsidRPr="00A16503" w:rsidRDefault="00FA3415" w:rsidP="008E22FA">
            <w:pPr>
              <w:pStyle w:val="Tabela-tekst"/>
              <w:jc w:val="center"/>
              <w:rPr>
                <w:b/>
                <w:bCs/>
              </w:rPr>
            </w:pPr>
            <w:r w:rsidRPr="00A16503">
              <w:rPr>
                <w:b/>
                <w:bCs/>
              </w:rPr>
              <w:t>Odsetek jcwp</w:t>
            </w:r>
            <w:r w:rsidR="008E22FA">
              <w:rPr>
                <w:b/>
                <w:bCs/>
              </w:rPr>
              <w:t xml:space="preserve"> (%)</w:t>
            </w:r>
          </w:p>
        </w:tc>
      </w:tr>
      <w:tr w:rsidR="00FA3415" w:rsidRPr="00367F99" w14:paraId="635A31D0" w14:textId="77777777" w:rsidTr="008E22FA">
        <w:trPr>
          <w:trHeight w:val="454"/>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0CB0DA" w14:textId="46E8D9E3" w:rsidR="00FA3415" w:rsidRPr="00367F99" w:rsidRDefault="00FA3415" w:rsidP="008E22FA">
            <w:pPr>
              <w:pStyle w:val="Tabela-tekst"/>
              <w:jc w:val="center"/>
            </w:pPr>
            <w:r w:rsidRPr="00367F99">
              <w:t>1</w:t>
            </w:r>
            <w:r w:rsidR="00A32BE2">
              <w:t>.</w:t>
            </w:r>
          </w:p>
        </w:tc>
        <w:tc>
          <w:tcPr>
            <w:tcW w:w="648" w:type="pct"/>
            <w:tcBorders>
              <w:top w:val="nil"/>
              <w:left w:val="nil"/>
              <w:bottom w:val="single" w:sz="4" w:space="0" w:color="auto"/>
              <w:right w:val="single" w:sz="4" w:space="0" w:color="auto"/>
            </w:tcBorders>
            <w:shd w:val="clear" w:color="auto" w:fill="auto"/>
            <w:vAlign w:val="center"/>
            <w:hideMark/>
          </w:tcPr>
          <w:p w14:paraId="38E96526" w14:textId="0EF86EFC" w:rsidR="00FA3415" w:rsidRPr="00367F99" w:rsidRDefault="00D41A3A" w:rsidP="008E22FA">
            <w:pPr>
              <w:pStyle w:val="Tabela-tekst"/>
              <w:jc w:val="center"/>
            </w:pPr>
            <w:r>
              <w:t>jcwp LW</w:t>
            </w:r>
          </w:p>
        </w:tc>
        <w:tc>
          <w:tcPr>
            <w:tcW w:w="690" w:type="pct"/>
            <w:tcBorders>
              <w:top w:val="nil"/>
              <w:left w:val="nil"/>
              <w:bottom w:val="single" w:sz="4" w:space="0" w:color="auto"/>
              <w:right w:val="single" w:sz="4" w:space="0" w:color="auto"/>
            </w:tcBorders>
            <w:shd w:val="clear" w:color="auto" w:fill="auto"/>
            <w:noWrap/>
            <w:vAlign w:val="center"/>
            <w:hideMark/>
          </w:tcPr>
          <w:p w14:paraId="6CDA475B" w14:textId="77777777" w:rsidR="00FA3415" w:rsidRPr="00367F99" w:rsidRDefault="00FA3415" w:rsidP="008E22FA">
            <w:pPr>
              <w:pStyle w:val="Tabela-tekst"/>
              <w:jc w:val="center"/>
            </w:pPr>
            <w:r w:rsidRPr="00367F99">
              <w:t>49</w:t>
            </w:r>
          </w:p>
        </w:tc>
        <w:tc>
          <w:tcPr>
            <w:tcW w:w="690" w:type="pct"/>
            <w:tcBorders>
              <w:top w:val="nil"/>
              <w:left w:val="nil"/>
              <w:bottom w:val="single" w:sz="4" w:space="0" w:color="auto"/>
              <w:right w:val="single" w:sz="4" w:space="0" w:color="auto"/>
            </w:tcBorders>
            <w:shd w:val="clear" w:color="auto" w:fill="auto"/>
            <w:vAlign w:val="center"/>
            <w:hideMark/>
          </w:tcPr>
          <w:p w14:paraId="0CF06520" w14:textId="50E0E2A5" w:rsidR="00FA3415" w:rsidRPr="00367F99" w:rsidRDefault="00FA3415" w:rsidP="008E22FA">
            <w:pPr>
              <w:pStyle w:val="Tabela-tekst"/>
              <w:jc w:val="center"/>
            </w:pPr>
            <w:r w:rsidRPr="00367F99">
              <w:t>46,7</w:t>
            </w:r>
          </w:p>
        </w:tc>
        <w:tc>
          <w:tcPr>
            <w:tcW w:w="690" w:type="pct"/>
            <w:tcBorders>
              <w:top w:val="nil"/>
              <w:left w:val="nil"/>
              <w:bottom w:val="single" w:sz="4" w:space="0" w:color="auto"/>
              <w:right w:val="single" w:sz="4" w:space="0" w:color="auto"/>
            </w:tcBorders>
            <w:shd w:val="clear" w:color="auto" w:fill="auto"/>
            <w:noWrap/>
            <w:vAlign w:val="center"/>
            <w:hideMark/>
          </w:tcPr>
          <w:p w14:paraId="7D6421DC" w14:textId="77777777" w:rsidR="00FA3415" w:rsidRPr="00367F99" w:rsidRDefault="00FA3415" w:rsidP="008E22FA">
            <w:pPr>
              <w:pStyle w:val="Tabela-tekst"/>
              <w:jc w:val="center"/>
            </w:pPr>
            <w:r w:rsidRPr="00367F99">
              <w:t>38</w:t>
            </w:r>
          </w:p>
        </w:tc>
        <w:tc>
          <w:tcPr>
            <w:tcW w:w="690" w:type="pct"/>
            <w:tcBorders>
              <w:top w:val="nil"/>
              <w:left w:val="nil"/>
              <w:bottom w:val="single" w:sz="4" w:space="0" w:color="auto"/>
              <w:right w:val="single" w:sz="4" w:space="0" w:color="auto"/>
            </w:tcBorders>
            <w:shd w:val="clear" w:color="auto" w:fill="auto"/>
            <w:vAlign w:val="center"/>
            <w:hideMark/>
          </w:tcPr>
          <w:p w14:paraId="0573FFB1" w14:textId="7E226242" w:rsidR="00FA3415" w:rsidRPr="00367F99" w:rsidRDefault="00FA3415" w:rsidP="008E22FA">
            <w:pPr>
              <w:pStyle w:val="Tabela-tekst"/>
              <w:jc w:val="center"/>
            </w:pPr>
            <w:r w:rsidRPr="00367F99">
              <w:t>36,2</w:t>
            </w:r>
          </w:p>
        </w:tc>
        <w:tc>
          <w:tcPr>
            <w:tcW w:w="690" w:type="pct"/>
            <w:tcBorders>
              <w:top w:val="nil"/>
              <w:left w:val="nil"/>
              <w:bottom w:val="single" w:sz="4" w:space="0" w:color="auto"/>
              <w:right w:val="single" w:sz="4" w:space="0" w:color="auto"/>
            </w:tcBorders>
            <w:shd w:val="clear" w:color="auto" w:fill="auto"/>
            <w:noWrap/>
            <w:vAlign w:val="center"/>
            <w:hideMark/>
          </w:tcPr>
          <w:p w14:paraId="4E24EC10" w14:textId="77777777" w:rsidR="00FA3415" w:rsidRPr="00367F99" w:rsidRDefault="00FA3415" w:rsidP="008E22FA">
            <w:pPr>
              <w:pStyle w:val="Tabela-tekst"/>
              <w:jc w:val="center"/>
            </w:pPr>
            <w:r w:rsidRPr="00367F99">
              <w:t>38</w:t>
            </w:r>
          </w:p>
        </w:tc>
        <w:tc>
          <w:tcPr>
            <w:tcW w:w="690" w:type="pct"/>
            <w:tcBorders>
              <w:top w:val="nil"/>
              <w:left w:val="nil"/>
              <w:bottom w:val="single" w:sz="4" w:space="0" w:color="auto"/>
              <w:right w:val="single" w:sz="4" w:space="0" w:color="auto"/>
            </w:tcBorders>
            <w:shd w:val="clear" w:color="auto" w:fill="auto"/>
            <w:vAlign w:val="center"/>
            <w:hideMark/>
          </w:tcPr>
          <w:p w14:paraId="7980F594" w14:textId="7DA2C89D" w:rsidR="00FA3415" w:rsidRPr="00367F99" w:rsidRDefault="00FA3415" w:rsidP="008E22FA">
            <w:pPr>
              <w:pStyle w:val="Tabela-tekst"/>
              <w:jc w:val="center"/>
            </w:pPr>
            <w:r w:rsidRPr="00367F99">
              <w:t>36,2</w:t>
            </w:r>
          </w:p>
        </w:tc>
      </w:tr>
      <w:tr w:rsidR="00FA3415" w:rsidRPr="00367F99" w14:paraId="2BF1725F" w14:textId="77777777" w:rsidTr="008E22FA">
        <w:trPr>
          <w:trHeight w:val="454"/>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635ECEE" w14:textId="6DFBBA7F" w:rsidR="00FA3415" w:rsidRPr="00367F99" w:rsidRDefault="00FA3415" w:rsidP="008E22FA">
            <w:pPr>
              <w:pStyle w:val="Tabela-tekst"/>
              <w:jc w:val="center"/>
            </w:pPr>
            <w:r w:rsidRPr="00367F99">
              <w:t>2</w:t>
            </w:r>
            <w:r w:rsidR="00A32BE2">
              <w:t>.</w:t>
            </w:r>
          </w:p>
        </w:tc>
        <w:tc>
          <w:tcPr>
            <w:tcW w:w="648" w:type="pct"/>
            <w:tcBorders>
              <w:top w:val="nil"/>
              <w:left w:val="nil"/>
              <w:bottom w:val="single" w:sz="4" w:space="0" w:color="auto"/>
              <w:right w:val="single" w:sz="4" w:space="0" w:color="auto"/>
            </w:tcBorders>
            <w:shd w:val="clear" w:color="auto" w:fill="auto"/>
            <w:vAlign w:val="center"/>
            <w:hideMark/>
          </w:tcPr>
          <w:p w14:paraId="2DCF1D4F" w14:textId="687901CD" w:rsidR="00FA3415" w:rsidRPr="00367F99" w:rsidRDefault="00D41A3A" w:rsidP="008E22FA">
            <w:pPr>
              <w:pStyle w:val="Tabela-tekst"/>
              <w:jc w:val="center"/>
            </w:pPr>
            <w:r>
              <w:t>jcwp RW</w:t>
            </w:r>
          </w:p>
        </w:tc>
        <w:tc>
          <w:tcPr>
            <w:tcW w:w="690" w:type="pct"/>
            <w:tcBorders>
              <w:top w:val="nil"/>
              <w:left w:val="nil"/>
              <w:bottom w:val="single" w:sz="4" w:space="0" w:color="auto"/>
              <w:right w:val="single" w:sz="4" w:space="0" w:color="auto"/>
            </w:tcBorders>
            <w:shd w:val="clear" w:color="auto" w:fill="auto"/>
            <w:noWrap/>
            <w:vAlign w:val="center"/>
            <w:hideMark/>
          </w:tcPr>
          <w:p w14:paraId="7DA43809" w14:textId="77777777" w:rsidR="00FA3415" w:rsidRPr="00367F99" w:rsidRDefault="00FA3415" w:rsidP="008E22FA">
            <w:pPr>
              <w:pStyle w:val="Tabela-tekst"/>
              <w:jc w:val="center"/>
            </w:pPr>
            <w:r w:rsidRPr="00367F99">
              <w:t>34</w:t>
            </w:r>
          </w:p>
        </w:tc>
        <w:tc>
          <w:tcPr>
            <w:tcW w:w="690" w:type="pct"/>
            <w:tcBorders>
              <w:top w:val="nil"/>
              <w:left w:val="nil"/>
              <w:bottom w:val="single" w:sz="4" w:space="0" w:color="auto"/>
              <w:right w:val="single" w:sz="4" w:space="0" w:color="auto"/>
            </w:tcBorders>
            <w:shd w:val="clear" w:color="auto" w:fill="auto"/>
            <w:vAlign w:val="center"/>
            <w:hideMark/>
          </w:tcPr>
          <w:p w14:paraId="2006B765" w14:textId="5E63AA1B" w:rsidR="00FA3415" w:rsidRPr="00367F99" w:rsidRDefault="00FA3415" w:rsidP="008E22FA">
            <w:pPr>
              <w:pStyle w:val="Tabela-tekst"/>
              <w:jc w:val="center"/>
            </w:pPr>
            <w:r w:rsidRPr="00367F99">
              <w:t>41,5</w:t>
            </w:r>
          </w:p>
        </w:tc>
        <w:tc>
          <w:tcPr>
            <w:tcW w:w="690" w:type="pct"/>
            <w:tcBorders>
              <w:top w:val="nil"/>
              <w:left w:val="nil"/>
              <w:bottom w:val="single" w:sz="4" w:space="0" w:color="auto"/>
              <w:right w:val="single" w:sz="4" w:space="0" w:color="auto"/>
            </w:tcBorders>
            <w:shd w:val="clear" w:color="auto" w:fill="auto"/>
            <w:noWrap/>
            <w:vAlign w:val="center"/>
            <w:hideMark/>
          </w:tcPr>
          <w:p w14:paraId="3CB65690" w14:textId="77777777" w:rsidR="00FA3415" w:rsidRPr="00367F99" w:rsidRDefault="00FA3415" w:rsidP="008E22FA">
            <w:pPr>
              <w:pStyle w:val="Tabela-tekst"/>
              <w:jc w:val="center"/>
            </w:pPr>
            <w:r w:rsidRPr="00367F99">
              <w:t>43</w:t>
            </w:r>
          </w:p>
        </w:tc>
        <w:tc>
          <w:tcPr>
            <w:tcW w:w="690" w:type="pct"/>
            <w:tcBorders>
              <w:top w:val="nil"/>
              <w:left w:val="nil"/>
              <w:bottom w:val="single" w:sz="4" w:space="0" w:color="auto"/>
              <w:right w:val="single" w:sz="4" w:space="0" w:color="auto"/>
            </w:tcBorders>
            <w:shd w:val="clear" w:color="auto" w:fill="auto"/>
            <w:vAlign w:val="center"/>
            <w:hideMark/>
          </w:tcPr>
          <w:p w14:paraId="3A23A6FB" w14:textId="08208693" w:rsidR="00FA3415" w:rsidRPr="00367F99" w:rsidRDefault="00FA3415" w:rsidP="008E22FA">
            <w:pPr>
              <w:pStyle w:val="Tabela-tekst"/>
              <w:jc w:val="center"/>
            </w:pPr>
            <w:r w:rsidRPr="00367F99">
              <w:t>52,4</w:t>
            </w:r>
          </w:p>
        </w:tc>
        <w:tc>
          <w:tcPr>
            <w:tcW w:w="690" w:type="pct"/>
            <w:tcBorders>
              <w:top w:val="nil"/>
              <w:left w:val="nil"/>
              <w:bottom w:val="single" w:sz="4" w:space="0" w:color="auto"/>
              <w:right w:val="single" w:sz="4" w:space="0" w:color="auto"/>
            </w:tcBorders>
            <w:shd w:val="clear" w:color="auto" w:fill="auto"/>
            <w:noWrap/>
            <w:vAlign w:val="center"/>
            <w:hideMark/>
          </w:tcPr>
          <w:p w14:paraId="04C9CEC4" w14:textId="77777777" w:rsidR="00FA3415" w:rsidRPr="00367F99" w:rsidRDefault="00FA3415" w:rsidP="008E22FA">
            <w:pPr>
              <w:pStyle w:val="Tabela-tekst"/>
              <w:jc w:val="center"/>
            </w:pPr>
            <w:r w:rsidRPr="00367F99">
              <w:t>25</w:t>
            </w:r>
          </w:p>
        </w:tc>
        <w:tc>
          <w:tcPr>
            <w:tcW w:w="690" w:type="pct"/>
            <w:tcBorders>
              <w:top w:val="nil"/>
              <w:left w:val="nil"/>
              <w:bottom w:val="single" w:sz="4" w:space="0" w:color="auto"/>
              <w:right w:val="single" w:sz="4" w:space="0" w:color="auto"/>
            </w:tcBorders>
            <w:shd w:val="clear" w:color="auto" w:fill="auto"/>
            <w:vAlign w:val="center"/>
            <w:hideMark/>
          </w:tcPr>
          <w:p w14:paraId="4D0DF80A" w14:textId="68F72319" w:rsidR="00FA3415" w:rsidRPr="00367F99" w:rsidRDefault="00FA3415" w:rsidP="008E22FA">
            <w:pPr>
              <w:pStyle w:val="Tabela-tekst"/>
              <w:jc w:val="center"/>
            </w:pPr>
            <w:r w:rsidRPr="00367F99">
              <w:t>30,5</w:t>
            </w:r>
          </w:p>
        </w:tc>
      </w:tr>
      <w:tr w:rsidR="00FA3415" w:rsidRPr="00367F99" w14:paraId="070CFF1A" w14:textId="77777777" w:rsidTr="00D41A3A">
        <w:trPr>
          <w:trHeight w:val="454"/>
        </w:trPr>
        <w:tc>
          <w:tcPr>
            <w:tcW w:w="85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BD7F13" w14:textId="6BC67CD5" w:rsidR="00FA3415" w:rsidRPr="00D41A3A" w:rsidRDefault="00FA3415" w:rsidP="008E22FA">
            <w:pPr>
              <w:pStyle w:val="Tabela-tekst"/>
              <w:jc w:val="center"/>
              <w:rPr>
                <w:b/>
                <w:bCs/>
              </w:rPr>
            </w:pPr>
            <w:r w:rsidRPr="00D41A3A">
              <w:rPr>
                <w:b/>
                <w:bCs/>
              </w:rPr>
              <w:t>Łącznie jcwp</w:t>
            </w:r>
            <w:r w:rsidR="00467C96" w:rsidRPr="00D41A3A">
              <w:rPr>
                <w:b/>
                <w:bCs/>
              </w:rPr>
              <w:t xml:space="preserve"> w skali </w:t>
            </w:r>
            <w:r w:rsidR="00D41A3A">
              <w:rPr>
                <w:b/>
                <w:bCs/>
              </w:rPr>
              <w:t xml:space="preserve">obszaru </w:t>
            </w:r>
            <w:r w:rsidR="00467C96" w:rsidRPr="00D41A3A">
              <w:rPr>
                <w:b/>
                <w:bCs/>
              </w:rPr>
              <w:t>dorzecza</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48C0F091" w14:textId="77777777" w:rsidR="00FA3415" w:rsidRPr="00D41A3A" w:rsidRDefault="00FA3415" w:rsidP="008E22FA">
            <w:pPr>
              <w:pStyle w:val="Tabela-tekst"/>
              <w:jc w:val="center"/>
              <w:rPr>
                <w:b/>
                <w:bCs/>
              </w:rPr>
            </w:pPr>
            <w:r w:rsidRPr="00D41A3A">
              <w:rPr>
                <w:b/>
                <w:bCs/>
              </w:rPr>
              <w:t>83</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2CD9BD66" w14:textId="3081C9AB" w:rsidR="00FA3415" w:rsidRPr="00D41A3A" w:rsidRDefault="00FA3415" w:rsidP="008E22FA">
            <w:pPr>
              <w:pStyle w:val="Tabela-tekst"/>
              <w:jc w:val="center"/>
              <w:rPr>
                <w:b/>
                <w:bCs/>
              </w:rPr>
            </w:pPr>
            <w:r w:rsidRPr="00D41A3A">
              <w:rPr>
                <w:b/>
                <w:bCs/>
              </w:rPr>
              <w:t>44,4</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3843B9E9" w14:textId="77777777" w:rsidR="00FA3415" w:rsidRPr="00D41A3A" w:rsidRDefault="00FA3415" w:rsidP="008E22FA">
            <w:pPr>
              <w:pStyle w:val="Tabela-tekst"/>
              <w:jc w:val="center"/>
              <w:rPr>
                <w:b/>
                <w:bCs/>
              </w:rPr>
            </w:pPr>
            <w:r w:rsidRPr="00D41A3A">
              <w:rPr>
                <w:b/>
                <w:bCs/>
              </w:rPr>
              <w:t>81</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194000E7" w14:textId="62D76DF9" w:rsidR="00FA3415" w:rsidRPr="00D41A3A" w:rsidRDefault="00FA3415" w:rsidP="008E22FA">
            <w:pPr>
              <w:pStyle w:val="Tabela-tekst"/>
              <w:jc w:val="center"/>
              <w:rPr>
                <w:b/>
                <w:bCs/>
              </w:rPr>
            </w:pPr>
            <w:r w:rsidRPr="00D41A3A">
              <w:rPr>
                <w:b/>
                <w:bCs/>
              </w:rPr>
              <w:t>43,3</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476F6EEA" w14:textId="77777777" w:rsidR="00FA3415" w:rsidRPr="00D41A3A" w:rsidRDefault="00FA3415" w:rsidP="008E22FA">
            <w:pPr>
              <w:pStyle w:val="Tabela-tekst"/>
              <w:jc w:val="center"/>
              <w:rPr>
                <w:b/>
                <w:bCs/>
              </w:rPr>
            </w:pPr>
            <w:r w:rsidRPr="00D41A3A">
              <w:rPr>
                <w:b/>
                <w:bCs/>
              </w:rPr>
              <w:t>63</w:t>
            </w:r>
          </w:p>
        </w:tc>
        <w:tc>
          <w:tcPr>
            <w:tcW w:w="690" w:type="pct"/>
            <w:tcBorders>
              <w:top w:val="nil"/>
              <w:left w:val="nil"/>
              <w:bottom w:val="single" w:sz="4" w:space="0" w:color="auto"/>
              <w:right w:val="single" w:sz="4" w:space="0" w:color="auto"/>
            </w:tcBorders>
            <w:shd w:val="clear" w:color="auto" w:fill="BFBFBF" w:themeFill="background1" w:themeFillShade="BF"/>
            <w:vAlign w:val="center"/>
            <w:hideMark/>
          </w:tcPr>
          <w:p w14:paraId="18FEEE69" w14:textId="6C0A5DDB" w:rsidR="00FA3415" w:rsidRPr="00D41A3A" w:rsidRDefault="00FA3415" w:rsidP="008E22FA">
            <w:pPr>
              <w:pStyle w:val="Tabela-tekst"/>
              <w:jc w:val="center"/>
              <w:rPr>
                <w:b/>
                <w:bCs/>
              </w:rPr>
            </w:pPr>
            <w:r w:rsidRPr="00D41A3A">
              <w:rPr>
                <w:b/>
                <w:bCs/>
              </w:rPr>
              <w:t>33,7</w:t>
            </w:r>
          </w:p>
        </w:tc>
      </w:tr>
    </w:tbl>
    <w:p w14:paraId="46A0DC8A" w14:textId="56CDD571" w:rsidR="00FA3415" w:rsidRPr="00E20F30" w:rsidRDefault="00FA3415" w:rsidP="00336F2E">
      <w:pPr>
        <w:pStyle w:val="rdo0"/>
      </w:pPr>
      <w:r w:rsidRPr="00E20F30">
        <w:t xml:space="preserve">Źródło: opracowanie </w:t>
      </w:r>
      <w:r w:rsidR="00F340C7">
        <w:t>własne</w:t>
      </w:r>
      <w:r w:rsidRPr="00E20F30">
        <w:t xml:space="preserve"> na podstawie wykazu GIOŚ </w:t>
      </w:r>
    </w:p>
    <w:p w14:paraId="4DD0D94A" w14:textId="428DA85D" w:rsidR="00FA3415" w:rsidRPr="003863A0" w:rsidRDefault="00FA3415" w:rsidP="003863A0">
      <w:pPr>
        <w:pStyle w:val="Nagwek5"/>
      </w:pPr>
      <w:r w:rsidRPr="003863A0">
        <w:t>Prowadzenie monitoringu substancji priorytetowych w cyklu planistycznym IIaPGW</w:t>
      </w:r>
    </w:p>
    <w:p w14:paraId="602CBE61" w14:textId="77777777" w:rsidR="00FA3415" w:rsidRPr="00D440EE" w:rsidRDefault="00FA3415" w:rsidP="00FA3415">
      <w:pPr>
        <w:suppressAutoHyphens/>
        <w:rPr>
          <w:rFonts w:asciiTheme="minorHAnsi" w:hAnsiTheme="minorHAnsi" w:cstheme="minorHAnsi"/>
        </w:rPr>
      </w:pPr>
      <w:r>
        <w:rPr>
          <w:rFonts w:asciiTheme="minorHAnsi" w:hAnsiTheme="minorHAnsi" w:cstheme="minorHAnsi"/>
        </w:rPr>
        <w:t>Realizacja oceny stanu chemicznego w nowym cyklu oparta jest na wymogach r.m.jcw (2019),</w:t>
      </w:r>
      <w:r w:rsidRPr="008A5012">
        <w:rPr>
          <w:rFonts w:asciiTheme="minorHAnsi" w:hAnsiTheme="minorHAnsi" w:cstheme="minorHAnsi"/>
        </w:rPr>
        <w:t xml:space="preserve"> które określa zasady prowadzenia monitoringu wód. Standardy jakościowe w zakresie badania substancji priorytetowych w wodzie i biocie określa </w:t>
      </w:r>
      <w:r>
        <w:rPr>
          <w:rFonts w:asciiTheme="minorHAnsi" w:hAnsiTheme="minorHAnsi" w:cstheme="minorHAnsi"/>
        </w:rPr>
        <w:t>r.kl. jcwp (2019)</w:t>
      </w:r>
      <w:r w:rsidRPr="008A5012">
        <w:rPr>
          <w:rFonts w:asciiTheme="minorHAnsi" w:hAnsiTheme="minorHAnsi" w:cstheme="minorHAnsi"/>
        </w:rPr>
        <w:t>.</w:t>
      </w:r>
    </w:p>
    <w:p w14:paraId="2F90688E" w14:textId="77777777" w:rsidR="00FA3415" w:rsidRPr="0016607B" w:rsidRDefault="00FA3415" w:rsidP="00AA0CAB">
      <w:pPr>
        <w:pStyle w:val="Nagwek5"/>
      </w:pPr>
      <w:r w:rsidRPr="0016607B">
        <w:t>Częstotliwość prowadzenia monitoringu substancji priorytetowych</w:t>
      </w:r>
    </w:p>
    <w:p w14:paraId="5207D6D8" w14:textId="2F283896" w:rsidR="00FA3415" w:rsidRPr="008A5ADC" w:rsidRDefault="00FA3415" w:rsidP="00FA3415">
      <w:pPr>
        <w:suppressAutoHyphens/>
        <w:rPr>
          <w:rFonts w:asciiTheme="minorHAnsi" w:hAnsiTheme="minorHAnsi" w:cstheme="minorHAnsi"/>
        </w:rPr>
      </w:pPr>
      <w:r w:rsidRPr="008A5ADC">
        <w:rPr>
          <w:rFonts w:asciiTheme="minorHAnsi" w:hAnsiTheme="minorHAnsi" w:cstheme="minorHAnsi"/>
        </w:rPr>
        <w:t>Zakres i częstotliwość prowadzenia badań, w tym monitoringu substancji priorytetowych określa</w:t>
      </w:r>
      <w:r w:rsidR="00336F2E">
        <w:rPr>
          <w:rFonts w:asciiTheme="minorHAnsi" w:hAnsiTheme="minorHAnsi" w:cstheme="minorHAnsi"/>
        </w:rPr>
        <w:t xml:space="preserve"> </w:t>
      </w:r>
      <w:r w:rsidRPr="008A5ADC">
        <w:rPr>
          <w:rFonts w:asciiTheme="minorHAnsi" w:hAnsiTheme="minorHAnsi" w:cstheme="minorHAnsi"/>
        </w:rPr>
        <w:t>Załącznik nr 3</w:t>
      </w:r>
      <w:r w:rsidR="008B0C2A">
        <w:rPr>
          <w:rFonts w:asciiTheme="minorHAnsi" w:hAnsiTheme="minorHAnsi" w:cstheme="minorHAnsi"/>
        </w:rPr>
        <w:t>.1</w:t>
      </w:r>
      <w:r>
        <w:rPr>
          <w:rFonts w:asciiTheme="minorHAnsi" w:hAnsiTheme="minorHAnsi" w:cstheme="minorHAnsi"/>
        </w:rPr>
        <w:t xml:space="preserve"> r.m.jcw (2019). </w:t>
      </w:r>
    </w:p>
    <w:p w14:paraId="11C9EC58" w14:textId="77777777" w:rsidR="00FA3415" w:rsidRPr="00336F2E" w:rsidRDefault="00FA3415" w:rsidP="00AA0CAB">
      <w:pPr>
        <w:pStyle w:val="Nagwek5"/>
        <w:rPr>
          <w:rStyle w:val="Pogrubienie"/>
        </w:rPr>
      </w:pPr>
      <w:r>
        <w:t>Kryteria zmiany częstotliwości</w:t>
      </w:r>
      <w:r w:rsidRPr="0016607B">
        <w:t> monitoringu jednolitych części wód powierzchniowych</w:t>
      </w:r>
    </w:p>
    <w:p w14:paraId="0A7CB793" w14:textId="06B66CFF" w:rsidR="00FA3415" w:rsidRDefault="00FA3415" w:rsidP="00FA3415">
      <w:pPr>
        <w:suppressAutoHyphens/>
        <w:rPr>
          <w:rFonts w:asciiTheme="minorHAnsi" w:hAnsiTheme="minorHAnsi" w:cstheme="minorHAnsi"/>
        </w:rPr>
      </w:pPr>
      <w:bookmarkStart w:id="528" w:name="_Hlk64984863"/>
      <w:r>
        <w:rPr>
          <w:rFonts w:asciiTheme="minorHAnsi" w:hAnsiTheme="minorHAnsi" w:cstheme="minorHAnsi"/>
        </w:rPr>
        <w:t>Z</w:t>
      </w:r>
      <w:r w:rsidRPr="008A5012">
        <w:rPr>
          <w:rFonts w:asciiTheme="minorHAnsi" w:hAnsiTheme="minorHAnsi" w:cstheme="minorHAnsi"/>
        </w:rPr>
        <w:t>mian</w:t>
      </w:r>
      <w:r>
        <w:rPr>
          <w:rFonts w:asciiTheme="minorHAnsi" w:hAnsiTheme="minorHAnsi" w:cstheme="minorHAnsi"/>
        </w:rPr>
        <w:t>a</w:t>
      </w:r>
      <w:r w:rsidRPr="008A5012">
        <w:rPr>
          <w:rFonts w:asciiTheme="minorHAnsi" w:hAnsiTheme="minorHAnsi" w:cstheme="minorHAnsi"/>
        </w:rPr>
        <w:t xml:space="preserve"> w realizacji monitoringu </w:t>
      </w:r>
      <w:r>
        <w:rPr>
          <w:rFonts w:asciiTheme="minorHAnsi" w:hAnsiTheme="minorHAnsi" w:cstheme="minorHAnsi"/>
        </w:rPr>
        <w:t xml:space="preserve">możliwa jest </w:t>
      </w:r>
      <w:r w:rsidRPr="008A5012">
        <w:rPr>
          <w:rFonts w:asciiTheme="minorHAnsi" w:hAnsiTheme="minorHAnsi" w:cstheme="minorHAnsi"/>
        </w:rPr>
        <w:t>w przypadku spełnienia przesłanek</w:t>
      </w:r>
      <w:r>
        <w:rPr>
          <w:rFonts w:asciiTheme="minorHAnsi" w:hAnsiTheme="minorHAnsi" w:cstheme="minorHAnsi"/>
        </w:rPr>
        <w:t xml:space="preserve"> określonych w</w:t>
      </w:r>
      <w:r w:rsidR="00336F2E">
        <w:rPr>
          <w:rFonts w:asciiTheme="minorHAnsi" w:hAnsiTheme="minorHAnsi" w:cstheme="minorHAnsi"/>
        </w:rPr>
        <w:t> </w:t>
      </w:r>
      <w:r>
        <w:rPr>
          <w:rFonts w:asciiTheme="minorHAnsi" w:hAnsiTheme="minorHAnsi" w:cstheme="minorHAnsi"/>
        </w:rPr>
        <w:t>Załącznik nr 4 r.m.jcw (2019):</w:t>
      </w:r>
    </w:p>
    <w:p w14:paraId="6D9B4071" w14:textId="77777777" w:rsidR="00FA3415" w:rsidRPr="008A5012" w:rsidRDefault="00FA3415" w:rsidP="00AA3506">
      <w:pPr>
        <w:pStyle w:val="Numerowanie"/>
        <w:numPr>
          <w:ilvl w:val="0"/>
          <w:numId w:val="54"/>
        </w:numPr>
      </w:pPr>
      <w:r w:rsidRPr="008A5012">
        <w:t>Jeżeli</w:t>
      </w:r>
      <w:r>
        <w:t xml:space="preserve"> </w:t>
      </w:r>
      <w:r w:rsidRPr="008A5012">
        <w:t>na</w:t>
      </w:r>
      <w:r>
        <w:t xml:space="preserve"> </w:t>
      </w:r>
      <w:r w:rsidRPr="008A5012">
        <w:t>podstawie</w:t>
      </w:r>
      <w:r>
        <w:t xml:space="preserve"> </w:t>
      </w:r>
      <w:r w:rsidRPr="008A5012">
        <w:t>wyników</w:t>
      </w:r>
      <w:r>
        <w:t xml:space="preserve"> </w:t>
      </w:r>
      <w:r w:rsidRPr="008A5012">
        <w:t>uzyskanych</w:t>
      </w:r>
      <w:r>
        <w:t xml:space="preserve"> </w:t>
      </w:r>
      <w:r w:rsidRPr="008A5012">
        <w:t>w</w:t>
      </w:r>
      <w:r>
        <w:t xml:space="preserve"> </w:t>
      </w:r>
      <w:r w:rsidRPr="008A5012">
        <w:t>ramach</w:t>
      </w:r>
      <w:r>
        <w:t xml:space="preserve"> </w:t>
      </w:r>
      <w:r w:rsidRPr="008A5012">
        <w:t>zrealizowanego</w:t>
      </w:r>
      <w:r>
        <w:t xml:space="preserve"> </w:t>
      </w:r>
      <w:r w:rsidRPr="008A5012">
        <w:t>monitoringu diagnostycznego prowadzonego w danej jednolitej części wód powierzchniowych oceniono jej</w:t>
      </w:r>
      <w:r>
        <w:t xml:space="preserve"> </w:t>
      </w:r>
      <w:r w:rsidRPr="008A5012">
        <w:t>stan</w:t>
      </w:r>
      <w:r>
        <w:t xml:space="preserve"> </w:t>
      </w:r>
      <w:r w:rsidRPr="008A5012">
        <w:t>jako</w:t>
      </w:r>
      <w:r>
        <w:t xml:space="preserve"> </w:t>
      </w:r>
      <w:r w:rsidRPr="008A5012">
        <w:t>dobry</w:t>
      </w:r>
      <w:r>
        <w:t xml:space="preserve"> </w:t>
      </w:r>
      <w:r w:rsidRPr="008A5012">
        <w:t>i</w:t>
      </w:r>
      <w:r>
        <w:t xml:space="preserve"> </w:t>
      </w:r>
      <w:r w:rsidRPr="008A5012">
        <w:t>na</w:t>
      </w:r>
      <w:r>
        <w:t xml:space="preserve"> </w:t>
      </w:r>
      <w:r w:rsidRPr="008A5012">
        <w:t>podstawie</w:t>
      </w:r>
      <w:r>
        <w:t xml:space="preserve"> </w:t>
      </w:r>
      <w:r w:rsidRPr="008A5012">
        <w:t>oceny</w:t>
      </w:r>
      <w:r>
        <w:t xml:space="preserve"> </w:t>
      </w:r>
      <w:r w:rsidRPr="008A5012">
        <w:t>wpływu</w:t>
      </w:r>
      <w:r>
        <w:t xml:space="preserve"> </w:t>
      </w:r>
      <w:r w:rsidRPr="008A5012">
        <w:t>znaczących</w:t>
      </w:r>
      <w:r>
        <w:t xml:space="preserve"> </w:t>
      </w:r>
      <w:r w:rsidRPr="008A5012">
        <w:t>oddziaływań,</w:t>
      </w:r>
      <w:r>
        <w:t xml:space="preserve"> </w:t>
      </w:r>
      <w:r w:rsidRPr="008A5012">
        <w:t>w</w:t>
      </w:r>
      <w:r>
        <w:t xml:space="preserve"> </w:t>
      </w:r>
      <w:r w:rsidRPr="008A5012">
        <w:t>tym oddziaływań antropogenicznych,</w:t>
      </w:r>
      <w:r>
        <w:t xml:space="preserve"> </w:t>
      </w:r>
      <w:r w:rsidRPr="008A5012">
        <w:t>nie</w:t>
      </w:r>
      <w:r>
        <w:t xml:space="preserve"> </w:t>
      </w:r>
      <w:r w:rsidRPr="008A5012">
        <w:t>można</w:t>
      </w:r>
      <w:r>
        <w:t xml:space="preserve"> </w:t>
      </w:r>
      <w:r w:rsidRPr="008A5012">
        <w:t>stwierdzić</w:t>
      </w:r>
      <w:r>
        <w:t xml:space="preserve"> </w:t>
      </w:r>
      <w:r w:rsidRPr="008A5012">
        <w:t>zmian</w:t>
      </w:r>
      <w:r>
        <w:t xml:space="preserve"> </w:t>
      </w:r>
      <w:r w:rsidRPr="008A5012">
        <w:t>w</w:t>
      </w:r>
      <w:r>
        <w:t xml:space="preserve"> </w:t>
      </w:r>
      <w:r w:rsidRPr="008A5012">
        <w:t>tych</w:t>
      </w:r>
      <w:r>
        <w:t xml:space="preserve"> </w:t>
      </w:r>
      <w:r w:rsidRPr="008A5012">
        <w:t>oddziaływaniach</w:t>
      </w:r>
      <w:r>
        <w:t xml:space="preserve"> </w:t>
      </w:r>
      <w:r w:rsidRPr="008A5012">
        <w:t>na ocenianą</w:t>
      </w:r>
      <w:r>
        <w:t xml:space="preserve"> </w:t>
      </w:r>
      <w:r w:rsidRPr="008A5012">
        <w:t>jednolitą</w:t>
      </w:r>
      <w:r>
        <w:t xml:space="preserve"> </w:t>
      </w:r>
      <w:r w:rsidRPr="008A5012">
        <w:t>część</w:t>
      </w:r>
      <w:r>
        <w:t xml:space="preserve"> </w:t>
      </w:r>
      <w:r w:rsidRPr="008A5012">
        <w:t>wód</w:t>
      </w:r>
      <w:r>
        <w:t xml:space="preserve"> </w:t>
      </w:r>
      <w:r w:rsidRPr="008A5012">
        <w:t>powierzchniowych,</w:t>
      </w:r>
      <w:r>
        <w:t xml:space="preserve"> </w:t>
      </w:r>
      <w:r w:rsidRPr="008A5012">
        <w:t>monitoring</w:t>
      </w:r>
      <w:r>
        <w:t xml:space="preserve"> </w:t>
      </w:r>
      <w:r w:rsidRPr="008A5012">
        <w:t>diagnostyczny</w:t>
      </w:r>
      <w:r>
        <w:t xml:space="preserve"> </w:t>
      </w:r>
      <w:r w:rsidRPr="008A5012">
        <w:t>może</w:t>
      </w:r>
      <w:r>
        <w:t xml:space="preserve"> </w:t>
      </w:r>
      <w:r w:rsidRPr="008A5012">
        <w:t>być prowadzony</w:t>
      </w:r>
      <w:r>
        <w:t xml:space="preserve"> </w:t>
      </w:r>
      <w:r w:rsidRPr="008A5012">
        <w:t>w</w:t>
      </w:r>
      <w:r>
        <w:t xml:space="preserve"> </w:t>
      </w:r>
      <w:r w:rsidRPr="008A5012">
        <w:t>okresie</w:t>
      </w:r>
      <w:r>
        <w:t xml:space="preserve"> </w:t>
      </w:r>
      <w:r w:rsidRPr="008A5012">
        <w:t>obowiązywania</w:t>
      </w:r>
      <w:r>
        <w:t xml:space="preserve"> </w:t>
      </w:r>
      <w:r w:rsidRPr="008A5012">
        <w:t>co</w:t>
      </w:r>
      <w:r>
        <w:t xml:space="preserve"> </w:t>
      </w:r>
      <w:r w:rsidRPr="008A5012">
        <w:t>trzeciego</w:t>
      </w:r>
      <w:r>
        <w:t xml:space="preserve"> </w:t>
      </w:r>
      <w:r w:rsidRPr="008A5012">
        <w:t>planu</w:t>
      </w:r>
      <w:r>
        <w:t xml:space="preserve"> </w:t>
      </w:r>
      <w:r w:rsidRPr="008A5012">
        <w:t>gospodarowania</w:t>
      </w:r>
      <w:r>
        <w:t xml:space="preserve"> </w:t>
      </w:r>
      <w:r w:rsidRPr="008A5012">
        <w:t>wodami</w:t>
      </w:r>
      <w:r>
        <w:t xml:space="preserve"> </w:t>
      </w:r>
      <w:r w:rsidRPr="008A5012">
        <w:t>na obszarze dorzecza.</w:t>
      </w:r>
    </w:p>
    <w:p w14:paraId="7804182C" w14:textId="4F868848" w:rsidR="00FA3415" w:rsidRPr="008A5012" w:rsidRDefault="00FA3415" w:rsidP="00F06393">
      <w:pPr>
        <w:pStyle w:val="Numerowanie"/>
      </w:pPr>
      <w:r w:rsidRPr="008A5012">
        <w:t>Dopuszcza</w:t>
      </w:r>
      <w:r>
        <w:t xml:space="preserve"> </w:t>
      </w:r>
      <w:r w:rsidRPr="008A5012">
        <w:t>się</w:t>
      </w:r>
      <w:r>
        <w:t xml:space="preserve"> </w:t>
      </w:r>
      <w:r w:rsidRPr="008A5012">
        <w:t>zmianę</w:t>
      </w:r>
      <w:r>
        <w:t xml:space="preserve"> </w:t>
      </w:r>
      <w:r w:rsidRPr="008A5012">
        <w:t>w</w:t>
      </w:r>
      <w:r>
        <w:t xml:space="preserve"> </w:t>
      </w:r>
      <w:r w:rsidRPr="008A5012">
        <w:t>realizacji</w:t>
      </w:r>
      <w:r>
        <w:t xml:space="preserve"> </w:t>
      </w:r>
      <w:r w:rsidRPr="008A5012">
        <w:t>monitoringu</w:t>
      </w:r>
      <w:r>
        <w:t xml:space="preserve"> </w:t>
      </w:r>
      <w:r w:rsidRPr="008A5012">
        <w:t>operacyjnego,</w:t>
      </w:r>
      <w:r>
        <w:t xml:space="preserve"> </w:t>
      </w:r>
      <w:r w:rsidRPr="008A5012">
        <w:t>w</w:t>
      </w:r>
      <w:r>
        <w:t xml:space="preserve"> </w:t>
      </w:r>
      <w:r w:rsidRPr="008A5012">
        <w:t>trakcie</w:t>
      </w:r>
      <w:r>
        <w:t xml:space="preserve"> </w:t>
      </w:r>
      <w:r w:rsidRPr="008A5012">
        <w:t>okresu obowiązywania</w:t>
      </w:r>
      <w:r>
        <w:t xml:space="preserve"> </w:t>
      </w:r>
      <w:r w:rsidRPr="008A5012">
        <w:t>planu</w:t>
      </w:r>
      <w:r>
        <w:t xml:space="preserve"> </w:t>
      </w:r>
      <w:r w:rsidRPr="008A5012">
        <w:t>gospodarowania</w:t>
      </w:r>
      <w:r>
        <w:t xml:space="preserve"> </w:t>
      </w:r>
      <w:r w:rsidRPr="008A5012">
        <w:t>wodami</w:t>
      </w:r>
      <w:r>
        <w:t xml:space="preserve"> </w:t>
      </w:r>
      <w:r w:rsidRPr="008A5012">
        <w:t>na</w:t>
      </w:r>
      <w:r>
        <w:t xml:space="preserve"> </w:t>
      </w:r>
      <w:r w:rsidRPr="008A5012">
        <w:t>obszarze</w:t>
      </w:r>
      <w:r>
        <w:t xml:space="preserve"> </w:t>
      </w:r>
      <w:r w:rsidRPr="008A5012">
        <w:t>dorzecza,</w:t>
      </w:r>
      <w:r>
        <w:t xml:space="preserve"> </w:t>
      </w:r>
      <w:r w:rsidRPr="008A5012">
        <w:t>na</w:t>
      </w:r>
      <w:r>
        <w:t xml:space="preserve"> </w:t>
      </w:r>
      <w:r w:rsidRPr="008A5012">
        <w:t>podstawie informacji pozyskanych w</w:t>
      </w:r>
      <w:r w:rsidR="006C4947">
        <w:t> </w:t>
      </w:r>
      <w:r w:rsidRPr="008A5012">
        <w:t>wyniku przeprowadzonej oceny wpływu znaczących oddziaływań, w</w:t>
      </w:r>
      <w:r>
        <w:t xml:space="preserve"> </w:t>
      </w:r>
      <w:r w:rsidRPr="008A5012">
        <w:t>tym</w:t>
      </w:r>
      <w:r>
        <w:t xml:space="preserve"> </w:t>
      </w:r>
      <w:r w:rsidRPr="008A5012">
        <w:t>oddziaływań</w:t>
      </w:r>
      <w:r>
        <w:t xml:space="preserve"> </w:t>
      </w:r>
      <w:r w:rsidRPr="008A5012">
        <w:t>antropogenicznych</w:t>
      </w:r>
      <w:r>
        <w:t xml:space="preserve"> </w:t>
      </w:r>
      <w:r w:rsidRPr="008A5012">
        <w:t>na</w:t>
      </w:r>
      <w:r>
        <w:t xml:space="preserve"> </w:t>
      </w:r>
      <w:r w:rsidRPr="008A5012">
        <w:t>jednolite</w:t>
      </w:r>
      <w:r>
        <w:t xml:space="preserve"> </w:t>
      </w:r>
      <w:r w:rsidRPr="008A5012">
        <w:t>części</w:t>
      </w:r>
      <w:r>
        <w:t xml:space="preserve"> </w:t>
      </w:r>
      <w:r w:rsidRPr="008A5012">
        <w:t>wód</w:t>
      </w:r>
      <w:r>
        <w:t xml:space="preserve"> </w:t>
      </w:r>
      <w:r w:rsidRPr="008A5012">
        <w:t>powierzchniowych, w szczególności</w:t>
      </w:r>
      <w:r>
        <w:t xml:space="preserve"> </w:t>
      </w:r>
      <w:r w:rsidRPr="008A5012">
        <w:t>polegającą</w:t>
      </w:r>
      <w:r>
        <w:t xml:space="preserve"> </w:t>
      </w:r>
      <w:r w:rsidRPr="008A5012">
        <w:t>na</w:t>
      </w:r>
      <w:r>
        <w:t xml:space="preserve"> </w:t>
      </w:r>
      <w:r w:rsidRPr="008A5012">
        <w:t>zmniejszeniu</w:t>
      </w:r>
      <w:r>
        <w:t xml:space="preserve"> </w:t>
      </w:r>
      <w:r w:rsidRPr="008A5012">
        <w:t>rocznej</w:t>
      </w:r>
      <w:r>
        <w:t xml:space="preserve"> </w:t>
      </w:r>
      <w:r w:rsidRPr="008A5012">
        <w:t>częstotliwości</w:t>
      </w:r>
      <w:r>
        <w:t xml:space="preserve"> </w:t>
      </w:r>
      <w:r w:rsidRPr="008A5012">
        <w:t>pomiarów</w:t>
      </w:r>
      <w:r>
        <w:t xml:space="preserve"> </w:t>
      </w:r>
      <w:r w:rsidRPr="008A5012">
        <w:t>lub</w:t>
      </w:r>
      <w:r>
        <w:t xml:space="preserve"> </w:t>
      </w:r>
      <w:r w:rsidRPr="008A5012">
        <w:t>badań, jeżeli stwierdzone oddziaływanie nie jest znaczne lub oddziaływanie to zostało usunięte.</w:t>
      </w:r>
    </w:p>
    <w:p w14:paraId="50204A31" w14:textId="77777777" w:rsidR="00FA3415" w:rsidRPr="008A5012" w:rsidRDefault="00FA3415" w:rsidP="00F06393">
      <w:pPr>
        <w:pStyle w:val="Numerowanie"/>
      </w:pPr>
      <w:r w:rsidRPr="008A5012">
        <w:t>Dopuszcza</w:t>
      </w:r>
      <w:r>
        <w:t xml:space="preserve"> </w:t>
      </w:r>
      <w:r w:rsidRPr="008A5012">
        <w:t>się</w:t>
      </w:r>
      <w:r>
        <w:t xml:space="preserve"> </w:t>
      </w:r>
      <w:r w:rsidRPr="008A5012">
        <w:t>skrócenie</w:t>
      </w:r>
      <w:r>
        <w:t xml:space="preserve"> </w:t>
      </w:r>
      <w:r w:rsidRPr="008A5012">
        <w:t>okresu</w:t>
      </w:r>
      <w:r>
        <w:t xml:space="preserve"> </w:t>
      </w:r>
      <w:r w:rsidRPr="008A5012">
        <w:t>prowadzenia</w:t>
      </w:r>
      <w:r>
        <w:t xml:space="preserve"> </w:t>
      </w:r>
      <w:r w:rsidRPr="008A5012">
        <w:t>monitoringu</w:t>
      </w:r>
      <w:r>
        <w:t xml:space="preserve"> </w:t>
      </w:r>
      <w:r w:rsidRPr="008A5012">
        <w:t>operacyjnego</w:t>
      </w:r>
      <w:r>
        <w:t xml:space="preserve"> </w:t>
      </w:r>
      <w:r w:rsidRPr="008A5012">
        <w:t>w</w:t>
      </w:r>
      <w:r>
        <w:t xml:space="preserve"> </w:t>
      </w:r>
      <w:r w:rsidRPr="008A5012">
        <w:t>innym niż</w:t>
      </w:r>
      <w:r>
        <w:t xml:space="preserve"> </w:t>
      </w:r>
      <w:r w:rsidRPr="008A5012">
        <w:t>reperowy</w:t>
      </w:r>
      <w:r>
        <w:t xml:space="preserve"> </w:t>
      </w:r>
      <w:r w:rsidRPr="008A5012">
        <w:t>reprezentatywnym</w:t>
      </w:r>
      <w:r>
        <w:t xml:space="preserve"> </w:t>
      </w:r>
      <w:r w:rsidRPr="008A5012">
        <w:t>punkcie</w:t>
      </w:r>
      <w:r>
        <w:t xml:space="preserve"> </w:t>
      </w:r>
      <w:r w:rsidRPr="008A5012">
        <w:t>pomiarowo-kontrolnym</w:t>
      </w:r>
      <w:r>
        <w:t xml:space="preserve"> </w:t>
      </w:r>
      <w:r w:rsidRPr="008A5012">
        <w:t>do</w:t>
      </w:r>
      <w:r>
        <w:t xml:space="preserve"> </w:t>
      </w:r>
      <w:r w:rsidRPr="008A5012">
        <w:t>okresu</w:t>
      </w:r>
      <w:r>
        <w:t xml:space="preserve"> </w:t>
      </w:r>
      <w:r w:rsidRPr="008A5012">
        <w:t>objętego działaniami</w:t>
      </w:r>
      <w:r>
        <w:t xml:space="preserve"> </w:t>
      </w:r>
      <w:r w:rsidRPr="008A5012">
        <w:t>zmierzającymi</w:t>
      </w:r>
      <w:r>
        <w:t xml:space="preserve"> </w:t>
      </w:r>
      <w:r w:rsidRPr="008A5012">
        <w:t>do</w:t>
      </w:r>
      <w:r>
        <w:t xml:space="preserve"> </w:t>
      </w:r>
      <w:r w:rsidRPr="008A5012">
        <w:t>poprawy</w:t>
      </w:r>
      <w:r>
        <w:t xml:space="preserve"> </w:t>
      </w:r>
      <w:r w:rsidRPr="008A5012">
        <w:t>lub</w:t>
      </w:r>
      <w:r>
        <w:t xml:space="preserve"> </w:t>
      </w:r>
      <w:r w:rsidRPr="008A5012">
        <w:t>utrzymania</w:t>
      </w:r>
      <w:r>
        <w:t xml:space="preserve"> </w:t>
      </w:r>
      <w:r w:rsidRPr="008A5012">
        <w:t>dobrego</w:t>
      </w:r>
      <w:r>
        <w:t xml:space="preserve"> </w:t>
      </w:r>
      <w:r w:rsidRPr="008A5012">
        <w:t>stanu</w:t>
      </w:r>
      <w:r>
        <w:t xml:space="preserve"> </w:t>
      </w:r>
      <w:r w:rsidRPr="008A5012">
        <w:t>wód</w:t>
      </w:r>
      <w:r>
        <w:t xml:space="preserve"> </w:t>
      </w:r>
      <w:r w:rsidRPr="008A5012">
        <w:t>określonymi</w:t>
      </w:r>
      <w:r>
        <w:t xml:space="preserve"> </w:t>
      </w:r>
      <w:r w:rsidRPr="008A5012">
        <w:t>w zestawie działań, o którym mowa w art. 318 ust. 1 pkt 7 ustawy.</w:t>
      </w:r>
    </w:p>
    <w:p w14:paraId="01CB1D89" w14:textId="77777777" w:rsidR="00FA3415" w:rsidRPr="008A5012" w:rsidRDefault="00FA3415" w:rsidP="00F06393">
      <w:pPr>
        <w:pStyle w:val="Numerowanie"/>
      </w:pPr>
      <w:r w:rsidRPr="008A5012">
        <w:t>Monitoring obszarów chronionych jest prowadzony, dopóki obszary te nie spełnią wymagań zawartych w przepisach szczególnych, na mocy których zostały utworzone, oraz nie spełnią określonych dla nich celów środowiskowych. Jeżeli spełnione zostaną te wymagania, monitoring obszarów chronionych może być przeprowadzony w ramach co trzeciego 6-letniego cyklu aktualizacji planu gospodarowania wodami na obszarze dorzecza.</w:t>
      </w:r>
    </w:p>
    <w:p w14:paraId="6838BB2D" w14:textId="77777777" w:rsidR="00FA3415" w:rsidRPr="0016607B" w:rsidRDefault="00FA3415" w:rsidP="00F06393">
      <w:pPr>
        <w:pStyle w:val="Numerowanie"/>
      </w:pPr>
      <w:r w:rsidRPr="0016607B">
        <w:t>Analizy długoterminowych trendów zmian stężeń substancji priorytetowych i innych zanieczyszczeń</w:t>
      </w:r>
      <w:r>
        <w:t xml:space="preserve"> </w:t>
      </w:r>
      <w:r w:rsidRPr="0016607B">
        <w:t>ulegających</w:t>
      </w:r>
      <w:r>
        <w:t xml:space="preserve"> </w:t>
      </w:r>
      <w:r w:rsidRPr="0016607B">
        <w:t>akumulacji</w:t>
      </w:r>
      <w:r>
        <w:t xml:space="preserve"> </w:t>
      </w:r>
      <w:r w:rsidRPr="0016607B">
        <w:t>w</w:t>
      </w:r>
      <w:r>
        <w:t xml:space="preserve"> </w:t>
      </w:r>
      <w:r w:rsidRPr="0016607B">
        <w:t>osadach</w:t>
      </w:r>
      <w:r>
        <w:t xml:space="preserve"> </w:t>
      </w:r>
      <w:r w:rsidRPr="0016607B">
        <w:t>dennych</w:t>
      </w:r>
      <w:r>
        <w:t xml:space="preserve"> </w:t>
      </w:r>
      <w:r w:rsidRPr="0016607B">
        <w:t>przeprowadza</w:t>
      </w:r>
      <w:r>
        <w:t xml:space="preserve"> </w:t>
      </w:r>
      <w:r w:rsidRPr="0016607B">
        <w:t>się,</w:t>
      </w:r>
      <w:r>
        <w:t xml:space="preserve"> </w:t>
      </w:r>
      <w:r w:rsidRPr="0016607B">
        <w:t>wykonując badania</w:t>
      </w:r>
      <w:r>
        <w:t xml:space="preserve"> </w:t>
      </w:r>
      <w:r w:rsidRPr="0016607B">
        <w:t>osadów</w:t>
      </w:r>
      <w:r>
        <w:t xml:space="preserve"> </w:t>
      </w:r>
      <w:r w:rsidRPr="0016607B">
        <w:t>dennych</w:t>
      </w:r>
      <w:r>
        <w:t xml:space="preserve"> </w:t>
      </w:r>
      <w:r w:rsidRPr="0016607B">
        <w:t>w</w:t>
      </w:r>
      <w:r>
        <w:t xml:space="preserve"> </w:t>
      </w:r>
      <w:r w:rsidRPr="0016607B">
        <w:t>jednolitych</w:t>
      </w:r>
      <w:r>
        <w:t xml:space="preserve"> </w:t>
      </w:r>
      <w:r w:rsidRPr="0016607B">
        <w:t>częściach</w:t>
      </w:r>
      <w:r>
        <w:t xml:space="preserve"> </w:t>
      </w:r>
      <w:r w:rsidRPr="0016607B">
        <w:t>wód</w:t>
      </w:r>
      <w:r>
        <w:t xml:space="preserve"> </w:t>
      </w:r>
      <w:r w:rsidRPr="0016607B">
        <w:t>powierzchniowych,</w:t>
      </w:r>
      <w:r>
        <w:t xml:space="preserve"> </w:t>
      </w:r>
      <w:r w:rsidRPr="0016607B">
        <w:t>w</w:t>
      </w:r>
      <w:r>
        <w:t xml:space="preserve"> </w:t>
      </w:r>
      <w:r w:rsidRPr="0016607B">
        <w:t>których zlokalizowano</w:t>
      </w:r>
      <w:r>
        <w:t xml:space="preserve"> </w:t>
      </w:r>
      <w:r w:rsidRPr="0016607B">
        <w:t>reperowe</w:t>
      </w:r>
      <w:r>
        <w:t xml:space="preserve"> </w:t>
      </w:r>
      <w:r w:rsidRPr="0016607B">
        <w:t>punkty</w:t>
      </w:r>
      <w:r>
        <w:t xml:space="preserve"> </w:t>
      </w:r>
      <w:r w:rsidRPr="0016607B">
        <w:t>pomiarowo-kontrolne</w:t>
      </w:r>
      <w:r>
        <w:t xml:space="preserve"> </w:t>
      </w:r>
      <w:r w:rsidRPr="0016607B">
        <w:t>z częstotliwością nie mniejszą niż co 3 lata, co najmniej 2 razy w każdym okresie obowiązywania danego planu gospodarowania wodami na obszarze dorzecza.</w:t>
      </w:r>
    </w:p>
    <w:bookmarkEnd w:id="528"/>
    <w:p w14:paraId="6371A635" w14:textId="77777777" w:rsidR="00FA3415" w:rsidRPr="00B93852" w:rsidRDefault="00FA3415" w:rsidP="00FA3415">
      <w:pPr>
        <w:suppressAutoHyphens/>
        <w:rPr>
          <w:rFonts w:asciiTheme="minorHAnsi" w:hAnsiTheme="minorHAnsi" w:cstheme="minorHAnsi"/>
        </w:rPr>
      </w:pPr>
      <w:r>
        <w:rPr>
          <w:rFonts w:asciiTheme="minorHAnsi" w:hAnsiTheme="minorHAnsi" w:cstheme="minorHAnsi"/>
        </w:rPr>
        <w:t>P</w:t>
      </w:r>
      <w:r w:rsidRPr="008A5ADC">
        <w:rPr>
          <w:rFonts w:asciiTheme="minorHAnsi" w:hAnsiTheme="minorHAnsi" w:cstheme="minorHAnsi"/>
        </w:rPr>
        <w:t>lan sie</w:t>
      </w:r>
      <w:r>
        <w:rPr>
          <w:rFonts w:asciiTheme="minorHAnsi" w:hAnsiTheme="minorHAnsi" w:cstheme="minorHAnsi"/>
        </w:rPr>
        <w:t>ci</w:t>
      </w:r>
      <w:r w:rsidRPr="008A5ADC">
        <w:rPr>
          <w:rFonts w:asciiTheme="minorHAnsi" w:hAnsiTheme="minorHAnsi" w:cstheme="minorHAnsi"/>
        </w:rPr>
        <w:t xml:space="preserve"> i program</w:t>
      </w:r>
      <w:r>
        <w:rPr>
          <w:rFonts w:asciiTheme="minorHAnsi" w:hAnsiTheme="minorHAnsi" w:cstheme="minorHAnsi"/>
        </w:rPr>
        <w:t>u</w:t>
      </w:r>
      <w:r w:rsidRPr="008A5ADC">
        <w:rPr>
          <w:rFonts w:asciiTheme="minorHAnsi" w:hAnsiTheme="minorHAnsi" w:cstheme="minorHAnsi"/>
        </w:rPr>
        <w:t xml:space="preserve"> monitoringu </w:t>
      </w:r>
      <w:r>
        <w:rPr>
          <w:rFonts w:asciiTheme="minorHAnsi" w:hAnsiTheme="minorHAnsi" w:cstheme="minorHAnsi"/>
        </w:rPr>
        <w:t xml:space="preserve">na cykl planistyczny IIaPGW jest elementem </w:t>
      </w:r>
      <w:r w:rsidRPr="008A5ADC">
        <w:rPr>
          <w:rFonts w:asciiTheme="minorHAnsi" w:hAnsiTheme="minorHAnsi" w:cstheme="minorHAnsi"/>
        </w:rPr>
        <w:t>Program</w:t>
      </w:r>
      <w:r>
        <w:rPr>
          <w:rFonts w:asciiTheme="minorHAnsi" w:hAnsiTheme="minorHAnsi" w:cstheme="minorHAnsi"/>
        </w:rPr>
        <w:t>u</w:t>
      </w:r>
      <w:r w:rsidRPr="008A5ADC">
        <w:rPr>
          <w:rFonts w:asciiTheme="minorHAnsi" w:hAnsiTheme="minorHAnsi" w:cstheme="minorHAnsi"/>
        </w:rPr>
        <w:t xml:space="preserve"> PMŚ</w:t>
      </w:r>
      <w:r>
        <w:rPr>
          <w:rFonts w:asciiTheme="minorHAnsi" w:hAnsiTheme="minorHAnsi" w:cstheme="minorHAnsi"/>
        </w:rPr>
        <w:t xml:space="preserve"> realizowanego na podstawie założeń określonych w </w:t>
      </w:r>
      <w:r w:rsidRPr="00B93852">
        <w:rPr>
          <w:rFonts w:asciiTheme="minorHAnsi" w:hAnsiTheme="minorHAnsi" w:cstheme="minorHAnsi"/>
        </w:rPr>
        <w:t>Strategiczny</w:t>
      </w:r>
      <w:r>
        <w:rPr>
          <w:rFonts w:asciiTheme="minorHAnsi" w:hAnsiTheme="minorHAnsi" w:cstheme="minorHAnsi"/>
        </w:rPr>
        <w:t>m</w:t>
      </w:r>
      <w:r w:rsidRPr="00B93852">
        <w:rPr>
          <w:rFonts w:asciiTheme="minorHAnsi" w:hAnsiTheme="minorHAnsi" w:cstheme="minorHAnsi"/>
        </w:rPr>
        <w:t xml:space="preserve"> Program</w:t>
      </w:r>
      <w:r>
        <w:rPr>
          <w:rFonts w:asciiTheme="minorHAnsi" w:hAnsiTheme="minorHAnsi" w:cstheme="minorHAnsi"/>
        </w:rPr>
        <w:t>ie</w:t>
      </w:r>
      <w:r w:rsidRPr="00B93852">
        <w:rPr>
          <w:rFonts w:asciiTheme="minorHAnsi" w:hAnsiTheme="minorHAnsi" w:cstheme="minorHAnsi"/>
        </w:rPr>
        <w:t xml:space="preserve"> Państwowego Monitoringu Środowiska na lata 2020-2025</w:t>
      </w:r>
      <w:r>
        <w:rPr>
          <w:rFonts w:asciiTheme="minorHAnsi" w:hAnsiTheme="minorHAnsi" w:cstheme="minorHAnsi"/>
        </w:rPr>
        <w:t>. W</w:t>
      </w:r>
      <w:r w:rsidRPr="00B93852">
        <w:rPr>
          <w:rFonts w:asciiTheme="minorHAnsi" w:hAnsiTheme="minorHAnsi" w:cstheme="minorHAnsi"/>
        </w:rPr>
        <w:t xml:space="preserve"> przypadku monitoringu chemicznego wód </w:t>
      </w:r>
      <w:r>
        <w:rPr>
          <w:rFonts w:asciiTheme="minorHAnsi" w:hAnsiTheme="minorHAnsi" w:cstheme="minorHAnsi"/>
        </w:rPr>
        <w:t xml:space="preserve">program </w:t>
      </w:r>
      <w:r w:rsidRPr="00B93852">
        <w:rPr>
          <w:rFonts w:asciiTheme="minorHAnsi" w:hAnsiTheme="minorHAnsi" w:cstheme="minorHAnsi"/>
        </w:rPr>
        <w:t>odnosi się do</w:t>
      </w:r>
      <w:r>
        <w:rPr>
          <w:rFonts w:asciiTheme="minorHAnsi" w:hAnsiTheme="minorHAnsi" w:cstheme="minorHAnsi"/>
        </w:rPr>
        <w:t xml:space="preserve"> konieczności</w:t>
      </w:r>
      <w:r w:rsidRPr="00B93852">
        <w:rPr>
          <w:rFonts w:asciiTheme="minorHAnsi" w:hAnsiTheme="minorHAnsi" w:cstheme="minorHAnsi"/>
        </w:rPr>
        <w:t xml:space="preserve"> zapewnienia poprawności danych determinując</w:t>
      </w:r>
      <w:r>
        <w:rPr>
          <w:rFonts w:asciiTheme="minorHAnsi" w:hAnsiTheme="minorHAnsi" w:cstheme="minorHAnsi"/>
        </w:rPr>
        <w:t>ych</w:t>
      </w:r>
      <w:r w:rsidRPr="00B93852">
        <w:rPr>
          <w:rFonts w:asciiTheme="minorHAnsi" w:hAnsiTheme="minorHAnsi" w:cstheme="minorHAnsi"/>
        </w:rPr>
        <w:t xml:space="preserve"> odpowiednią jakość oznaczeń w monitoringu chemicznym</w:t>
      </w:r>
      <w:r>
        <w:rPr>
          <w:rFonts w:asciiTheme="minorHAnsi" w:hAnsiTheme="minorHAnsi" w:cstheme="minorHAnsi"/>
        </w:rPr>
        <w:t xml:space="preserve">, co osiągnięte będzie </w:t>
      </w:r>
      <w:r w:rsidRPr="00B93852">
        <w:rPr>
          <w:rFonts w:asciiTheme="minorHAnsi" w:hAnsiTheme="minorHAnsi" w:cstheme="minorHAnsi"/>
        </w:rPr>
        <w:t xml:space="preserve">poprzez: </w:t>
      </w:r>
    </w:p>
    <w:p w14:paraId="1A022F93" w14:textId="1C743306" w:rsidR="00FA3415" w:rsidRPr="00676DFC" w:rsidRDefault="00FA3415" w:rsidP="00F06393">
      <w:pPr>
        <w:pStyle w:val="Akapitzlist"/>
      </w:pPr>
      <w:r w:rsidRPr="00676DFC">
        <w:t>stosowanie metod analizy w zakresie parametrów fizykochemicznych i chemicznych z</w:t>
      </w:r>
      <w:r w:rsidR="008E22FA">
        <w:t> </w:t>
      </w:r>
      <w:r w:rsidRPr="00676DFC">
        <w:t>przyjęciem minimalnych kryteriów w zakresie wyników dla niepewności rozszerzonej pomiaru równej lub mniejszej 50% (dla k=2 i prawdopodobieństwa 95%),</w:t>
      </w:r>
    </w:p>
    <w:p w14:paraId="60E7D897" w14:textId="77777777" w:rsidR="00FA3415" w:rsidRPr="00676DFC" w:rsidRDefault="00FA3415" w:rsidP="00F06393">
      <w:pPr>
        <w:pStyle w:val="Akapitzlist"/>
      </w:pPr>
      <w:r w:rsidRPr="00676DFC">
        <w:t>zapewnienie, że granica oznaczalności nie przekracza wartości 30% odpowiednich norm jakości środowiska.</w:t>
      </w:r>
    </w:p>
    <w:p w14:paraId="0F2C90F9" w14:textId="08FB103C" w:rsidR="00AC4716" w:rsidRDefault="00FA3415" w:rsidP="00FA3415">
      <w:r w:rsidRPr="00B93852">
        <w:rPr>
          <w:rFonts w:asciiTheme="minorHAnsi" w:hAnsiTheme="minorHAnsi" w:cstheme="minorHAnsi"/>
        </w:rPr>
        <w:t xml:space="preserve">Badania wykonywane w ramach monitoringu chemicznego wód powierzchniowych muszą uwzględniać wymagania zawarte w </w:t>
      </w:r>
      <w:r>
        <w:rPr>
          <w:rFonts w:asciiTheme="minorHAnsi" w:hAnsiTheme="minorHAnsi" w:cstheme="minorHAnsi"/>
        </w:rPr>
        <w:t>r.kl.jcwp</w:t>
      </w:r>
      <w:r w:rsidRPr="00B93852">
        <w:rPr>
          <w:rFonts w:asciiTheme="minorHAnsi" w:hAnsiTheme="minorHAnsi" w:cstheme="minorHAnsi"/>
        </w:rPr>
        <w:t>, w szczególności w załączniku nr 25 (do 31 grudnia 2021</w:t>
      </w:r>
      <w:r w:rsidR="00336F2E">
        <w:rPr>
          <w:rFonts w:asciiTheme="minorHAnsi" w:hAnsiTheme="minorHAnsi" w:cstheme="minorHAnsi"/>
        </w:rPr>
        <w:t> </w:t>
      </w:r>
      <w:r w:rsidRPr="00B93852">
        <w:rPr>
          <w:rFonts w:asciiTheme="minorHAnsi" w:hAnsiTheme="minorHAnsi" w:cstheme="minorHAnsi"/>
        </w:rPr>
        <w:t xml:space="preserve">r.) </w:t>
      </w:r>
      <w:r w:rsidR="00336F2E">
        <w:rPr>
          <w:rFonts w:asciiTheme="minorHAnsi" w:hAnsiTheme="minorHAnsi" w:cstheme="minorHAnsi"/>
        </w:rPr>
        <w:br/>
      </w:r>
      <w:r w:rsidRPr="00B93852">
        <w:rPr>
          <w:rFonts w:asciiTheme="minorHAnsi" w:hAnsiTheme="minorHAnsi" w:cstheme="minorHAnsi"/>
        </w:rPr>
        <w:t>i w załączniku nr 11 (od 1 stycznia 2022 r.), dotyczących wartości granicznych wskaźników jakości wód z grupy substancji szczególnie szkodliwych dla środowiska wodnego oraz załączniku nr 14 dotyczącym środowiskowych norm jakości dla substancji priorytetowych oraz dla innych zanieczyszczeń.</w:t>
      </w:r>
    </w:p>
    <w:p w14:paraId="04319F46" w14:textId="1D52C8CB" w:rsidR="00332A4E" w:rsidRDefault="00FA3415" w:rsidP="00B50FFD">
      <w:pPr>
        <w:pStyle w:val="Nagwek1"/>
      </w:pPr>
      <w:r>
        <w:br w:type="column"/>
      </w:r>
      <w:bookmarkStart w:id="529" w:name="_Toc68726927"/>
      <w:r w:rsidR="00332A4E">
        <w:t>Wykaz inwestycji</w:t>
      </w:r>
      <w:r w:rsidR="00A40805">
        <w:t xml:space="preserve"> i działań</w:t>
      </w:r>
      <w:r w:rsidR="000A4BD3">
        <w:t xml:space="preserve"> </w:t>
      </w:r>
      <w:r w:rsidR="000A4BD3" w:rsidRPr="000A4BD3">
        <w:t>które mogą spowodować nieosiągnięcie dobrego stanu wód lub pogorszenie dobrego stanu wód</w:t>
      </w:r>
      <w:bookmarkEnd w:id="529"/>
    </w:p>
    <w:p w14:paraId="13D3E262" w14:textId="77777777" w:rsidR="0053280F" w:rsidRPr="000674BB" w:rsidRDefault="0053280F" w:rsidP="0053280F">
      <w:pPr>
        <w:rPr>
          <w:rFonts w:cs="Calibri"/>
          <w:i/>
          <w:iCs/>
          <w:color w:val="000000" w:themeColor="text1"/>
        </w:rPr>
      </w:pPr>
      <w:r w:rsidRPr="000674BB">
        <w:rPr>
          <w:rFonts w:cs="Calibri"/>
          <w:i/>
          <w:iCs/>
          <w:color w:val="000000" w:themeColor="text1"/>
        </w:rPr>
        <w:t>Ramowa Dyrektywa Wodna w art. 4 ust. 7 mówi, że państwa członkowskie nie naruszają RDW, gdy:</w:t>
      </w:r>
    </w:p>
    <w:p w14:paraId="42A08EB0" w14:textId="22EFB86D" w:rsidR="0053280F" w:rsidRPr="000674BB" w:rsidRDefault="0053280F" w:rsidP="00F06393">
      <w:pPr>
        <w:pStyle w:val="Akapitzlist"/>
      </w:pPr>
      <w:r w:rsidRPr="000674BB">
        <w:t>nieosiągnięcie dobrego stanu wód podziemnych, dobrego stanu ekologicznego lub, gdzie stosowne, dobrego potencjału ekologicznego lub niezapobieganie pogarszaniu się stanu części wód powierzchniowych czy podziemnych jest wynikiem nowych zmian w</w:t>
      </w:r>
      <w:r w:rsidR="008E22FA" w:rsidRPr="000674BB">
        <w:t> </w:t>
      </w:r>
      <w:r w:rsidRPr="000674BB">
        <w:t>charakterystyce fizycznej części wód powierzchniowych lub zmian poziomu części wód podziemnych, lub</w:t>
      </w:r>
    </w:p>
    <w:p w14:paraId="248EBB8C" w14:textId="77777777" w:rsidR="0053280F" w:rsidRPr="000674BB" w:rsidRDefault="0053280F" w:rsidP="00F06393">
      <w:pPr>
        <w:pStyle w:val="Akapitzlist"/>
      </w:pPr>
      <w:r w:rsidRPr="000674BB">
        <w:t xml:space="preserve">niezapobieganie pogorszeniu się ze stanu bardzo dobrego do dobrego danej części wód powierzchniowych jest wynikiem nowych zrównoważonych form działalności gospodarczej człowieka </w:t>
      </w:r>
    </w:p>
    <w:p w14:paraId="12BDB9E3" w14:textId="77777777" w:rsidR="0053280F" w:rsidRPr="000674BB" w:rsidRDefault="0053280F" w:rsidP="0053280F">
      <w:pPr>
        <w:rPr>
          <w:i/>
          <w:iCs/>
        </w:rPr>
      </w:pPr>
      <w:r w:rsidRPr="000674BB">
        <w:rPr>
          <w:rFonts w:cs="Calibri"/>
          <w:i/>
          <w:iCs/>
          <w:color w:val="000000" w:themeColor="text1"/>
        </w:rPr>
        <w:t>i spełnione są wszystkie następujące warunki:</w:t>
      </w:r>
    </w:p>
    <w:p w14:paraId="412D999D" w14:textId="77777777" w:rsidR="008E22FA" w:rsidRPr="000674BB" w:rsidRDefault="0053280F" w:rsidP="00170636">
      <w:pPr>
        <w:pStyle w:val="Italicnumerowany"/>
        <w:rPr>
          <w:sz w:val="24"/>
          <w:szCs w:val="24"/>
        </w:rPr>
      </w:pPr>
      <w:r w:rsidRPr="000674BB">
        <w:t>zostały podjęte wszystkie praktyczne kroki, aby ograniczyć niekorzystny wpływ na stan części wód;</w:t>
      </w:r>
    </w:p>
    <w:p w14:paraId="7C3D1E4F" w14:textId="77777777" w:rsidR="008E22FA" w:rsidRPr="000674BB" w:rsidRDefault="0053280F" w:rsidP="00170636">
      <w:pPr>
        <w:pStyle w:val="Italicnumerowany"/>
        <w:rPr>
          <w:sz w:val="24"/>
          <w:szCs w:val="24"/>
        </w:rPr>
      </w:pPr>
      <w:r w:rsidRPr="000674BB">
        <w:t>przyczyny tych modyfikacji lub zmian są szczegółowo określone i wyjaśnione w planie gospodarowania wodami na obszarze dorzecza wymaganym na mocy art. 13, a cele podlegają ocenie co sześć lat;</w:t>
      </w:r>
    </w:p>
    <w:p w14:paraId="0E66510D" w14:textId="77777777" w:rsidR="008E22FA" w:rsidRPr="000674BB" w:rsidRDefault="0053280F" w:rsidP="00170636">
      <w:pPr>
        <w:pStyle w:val="Italicnumerowany"/>
        <w:rPr>
          <w:sz w:val="24"/>
          <w:szCs w:val="24"/>
        </w:rPr>
      </w:pPr>
      <w:r w:rsidRPr="000674BB">
        <w:t>przyczyny tych modyfikacji lub zmian stanowią nadrzędny interes społeczny i/lub korzyści dla środowiska i dla społeczeństwa płynące z osiągnięcia celów wymienionych w ust. 1 są przeważone przez wpływ korzyści wynikających z nowych modyfikacji czy zmian na ludzkie zdrowie, utrzymanie ludzkiego bezpieczeństwa lub zrównoważony rozwój; oraz</w:t>
      </w:r>
    </w:p>
    <w:p w14:paraId="7A8FE37E" w14:textId="734DE565" w:rsidR="0053280F" w:rsidRPr="000674BB" w:rsidRDefault="0053280F" w:rsidP="00170636">
      <w:pPr>
        <w:pStyle w:val="Italicnumerowany"/>
        <w:rPr>
          <w:sz w:val="24"/>
          <w:szCs w:val="24"/>
        </w:rPr>
      </w:pPr>
      <w:r w:rsidRPr="000674BB">
        <w:t>korzystne cele, którym służą te modyfikacje lub zmiany części wód, nie mogą, z przyczyn możliwości technicznych czy nieproporcjonalnych kosztów, być osiągnięte innymi środkami, stanowiącymi znacznie korzystniejszą opcję środowiskową.</w:t>
      </w:r>
    </w:p>
    <w:p w14:paraId="7D1758F9" w14:textId="77777777" w:rsidR="0053280F" w:rsidRDefault="0053280F" w:rsidP="0053280F">
      <w:r>
        <w:t>Krajowym odpowiednikiem ww. przepisu jest art. 66-68 ustawy pr.w.</w:t>
      </w:r>
    </w:p>
    <w:p w14:paraId="03BD4092" w14:textId="77777777" w:rsidR="0053280F" w:rsidRDefault="0053280F" w:rsidP="0053280F">
      <w:pPr>
        <w:rPr>
          <w:rFonts w:cs="Calibri"/>
          <w:color w:val="000000" w:themeColor="text1"/>
        </w:rPr>
      </w:pPr>
      <w:r>
        <w:rPr>
          <w:rFonts w:cs="Calibri"/>
          <w:color w:val="000000" w:themeColor="text1"/>
        </w:rPr>
        <w:t xml:space="preserve">W odniesieniu do warunku określonego w art. </w:t>
      </w:r>
      <w:r w:rsidRPr="00B20B2D">
        <w:rPr>
          <w:rFonts w:cs="Calibri"/>
          <w:color w:val="000000" w:themeColor="text1"/>
        </w:rPr>
        <w:t xml:space="preserve">4 ust. 7 lit. b </w:t>
      </w:r>
      <w:r>
        <w:rPr>
          <w:rFonts w:cs="Calibri"/>
          <w:color w:val="000000" w:themeColor="text1"/>
        </w:rPr>
        <w:t xml:space="preserve">RDW </w:t>
      </w:r>
      <w:r w:rsidRPr="00B20B2D">
        <w:rPr>
          <w:rFonts w:cs="Calibri"/>
          <w:color w:val="000000" w:themeColor="text1"/>
        </w:rPr>
        <w:t xml:space="preserve">dokument pn. </w:t>
      </w:r>
      <w:bookmarkStart w:id="530" w:name="_Hlk61778132"/>
      <w:r w:rsidRPr="00B20B2D">
        <w:rPr>
          <w:rFonts w:cs="Calibri"/>
          <w:i/>
          <w:iCs/>
          <w:color w:val="000000" w:themeColor="text1"/>
        </w:rPr>
        <w:t xml:space="preserve">Guidance Document No. 20. </w:t>
      </w:r>
      <w:r w:rsidRPr="002707CF">
        <w:rPr>
          <w:rFonts w:cs="Calibri"/>
          <w:i/>
          <w:iCs/>
          <w:color w:val="000000" w:themeColor="text1"/>
        </w:rPr>
        <w:t>Guidance Document on Exemptions to the Environmental Objectives</w:t>
      </w:r>
      <w:bookmarkEnd w:id="530"/>
      <w:r>
        <w:rPr>
          <w:rStyle w:val="Odwoanieprzypisudolnego"/>
          <w:color w:val="000000" w:themeColor="text1"/>
        </w:rPr>
        <w:footnoteReference w:id="37"/>
      </w:r>
      <w:r>
        <w:rPr>
          <w:rFonts w:cs="Calibri"/>
          <w:color w:val="000000" w:themeColor="text1"/>
        </w:rPr>
        <w:t xml:space="preserve"> </w:t>
      </w:r>
      <w:r w:rsidRPr="002B75FF">
        <w:rPr>
          <w:rFonts w:cs="Calibri"/>
          <w:color w:val="000000" w:themeColor="text1"/>
        </w:rPr>
        <w:t>(</w:t>
      </w:r>
      <w:r w:rsidRPr="002B75FF">
        <w:rPr>
          <w:rFonts w:cs="Calibri"/>
          <w:i/>
          <w:iCs/>
          <w:color w:val="000000" w:themeColor="text1"/>
        </w:rPr>
        <w:t>Wytyczne CIS nr 20 dotycząc</w:t>
      </w:r>
      <w:r>
        <w:rPr>
          <w:rFonts w:cs="Calibri"/>
          <w:i/>
          <w:iCs/>
          <w:color w:val="000000" w:themeColor="text1"/>
        </w:rPr>
        <w:t>e</w:t>
      </w:r>
      <w:r w:rsidRPr="002B75FF">
        <w:rPr>
          <w:rFonts w:cs="Calibri"/>
          <w:i/>
          <w:iCs/>
          <w:color w:val="000000" w:themeColor="text1"/>
        </w:rPr>
        <w:t xml:space="preserve"> wyłączeń z realizacji celów środowiskowych</w:t>
      </w:r>
      <w:r>
        <w:rPr>
          <w:rFonts w:cs="Calibri"/>
          <w:color w:val="000000" w:themeColor="text1"/>
        </w:rPr>
        <w:t>)</w:t>
      </w:r>
      <w:r w:rsidRPr="002B75FF">
        <w:rPr>
          <w:rFonts w:cs="Calibri"/>
          <w:color w:val="000000" w:themeColor="text1"/>
        </w:rPr>
        <w:t xml:space="preserve"> </w:t>
      </w:r>
      <w:r>
        <w:rPr>
          <w:rFonts w:cs="Calibri"/>
          <w:color w:val="000000" w:themeColor="text1"/>
        </w:rPr>
        <w:t xml:space="preserve">wskazuje, że przedstawienie informacji </w:t>
      </w:r>
      <w:r>
        <w:rPr>
          <w:rFonts w:cs="Calibri"/>
          <w:color w:val="000000" w:themeColor="text1"/>
        </w:rPr>
        <w:br/>
        <w:t>w planie gospodarowania wodami ma charakter sprawozdawczy.</w:t>
      </w:r>
    </w:p>
    <w:p w14:paraId="0E62DB1D" w14:textId="77777777" w:rsidR="0053280F" w:rsidRDefault="0053280F" w:rsidP="0053280F">
      <w:pPr>
        <w:rPr>
          <w:rFonts w:cs="Calibri"/>
          <w:color w:val="000000" w:themeColor="text1"/>
        </w:rPr>
      </w:pPr>
      <w:r w:rsidRPr="6536067A">
        <w:rPr>
          <w:rFonts w:cs="Calibri"/>
          <w:color w:val="000000" w:themeColor="text1"/>
        </w:rPr>
        <w:t>W polskim systemie prawnym przyjęto, że analiza zgodności planowanego działania</w:t>
      </w:r>
      <w:r>
        <w:rPr>
          <w:rFonts w:cs="Calibri"/>
          <w:color w:val="000000" w:themeColor="text1"/>
        </w:rPr>
        <w:t>,</w:t>
      </w:r>
      <w:r w:rsidRPr="6536067A">
        <w:rPr>
          <w:rFonts w:cs="Calibri"/>
          <w:color w:val="000000" w:themeColor="text1"/>
        </w:rPr>
        <w:t xml:space="preserve"> inwestycji lub przedsięwzięcia z celami środowiskowymi </w:t>
      </w:r>
      <w:r>
        <w:rPr>
          <w:rFonts w:cs="Calibri"/>
          <w:color w:val="000000" w:themeColor="text1"/>
        </w:rPr>
        <w:t>jcw</w:t>
      </w:r>
      <w:r w:rsidRPr="6536067A">
        <w:rPr>
          <w:rFonts w:cs="Calibri"/>
          <w:color w:val="000000" w:themeColor="text1"/>
        </w:rPr>
        <w:t xml:space="preserve"> jest:</w:t>
      </w:r>
    </w:p>
    <w:p w14:paraId="017C9240" w14:textId="1F156F8A" w:rsidR="0053280F" w:rsidRPr="006C4947" w:rsidRDefault="0053280F" w:rsidP="006C4947">
      <w:pPr>
        <w:pStyle w:val="Numerowanie"/>
        <w:numPr>
          <w:ilvl w:val="0"/>
          <w:numId w:val="141"/>
        </w:numPr>
        <w:rPr>
          <w:rFonts w:cs="Calibri"/>
          <w:color w:val="000000" w:themeColor="text1"/>
        </w:rPr>
      </w:pPr>
      <w:r>
        <w:t>e</w:t>
      </w:r>
      <w:r w:rsidRPr="2B8472CF">
        <w:t xml:space="preserve">lementem postępowań administracyjnych w sprawie ocen wodnoprawnych (art. 429 </w:t>
      </w:r>
      <w:r>
        <w:t>ustawy pr.w.</w:t>
      </w:r>
      <w:r w:rsidRPr="2B8472CF">
        <w:t>), pozwoleń wodnoprawnych (</w:t>
      </w:r>
      <w:r>
        <w:t>art.</w:t>
      </w:r>
      <w:r w:rsidRPr="2B8472CF">
        <w:t xml:space="preserve"> 396 ust. 1 </w:t>
      </w:r>
      <w:r>
        <w:t>ustawy pr.w.</w:t>
      </w:r>
      <w:r w:rsidRPr="2B8472CF">
        <w:t>), decyzji o środowiskowych uwarunkowaniach (</w:t>
      </w:r>
      <w:r w:rsidRPr="00003D65">
        <w:t xml:space="preserve">art. 81 ust. 3 </w:t>
      </w:r>
      <w:r>
        <w:t>u</w:t>
      </w:r>
      <w:r w:rsidR="008315EC">
        <w:t xml:space="preserve">stawy </w:t>
      </w:r>
      <w:r>
        <w:t>u.i.o.ś.</w:t>
      </w:r>
      <w:r w:rsidRPr="00003D65">
        <w:t>)</w:t>
      </w:r>
      <w:r w:rsidRPr="2B8472CF">
        <w:t xml:space="preserve"> oraz decyzji wykonawczych (pozwolenie na budowę, zezwolenie na realizację inwestycji drogowej itp.) w przypadku przeprowadzania ponownej oceny oddziaływania na środowisko (art. 90 ust. 2 pkt 2 </w:t>
      </w:r>
      <w:r>
        <w:t>u</w:t>
      </w:r>
      <w:r w:rsidR="008315EC">
        <w:t xml:space="preserve">stawy </w:t>
      </w:r>
      <w:r>
        <w:t>u.i.o.ś.</w:t>
      </w:r>
      <w:r w:rsidRPr="2B8472CF">
        <w:t>)</w:t>
      </w:r>
      <w:r>
        <w:t>;</w:t>
      </w:r>
    </w:p>
    <w:p w14:paraId="230342E5" w14:textId="77777777" w:rsidR="0053280F" w:rsidRDefault="0053280F" w:rsidP="00F06393">
      <w:pPr>
        <w:pStyle w:val="Numerowanie"/>
        <w:rPr>
          <w:rFonts w:cs="Calibri"/>
          <w:color w:val="000000" w:themeColor="text1"/>
        </w:rPr>
      </w:pPr>
      <w:r>
        <w:t>p</w:t>
      </w:r>
      <w:r w:rsidRPr="2B8472CF">
        <w:t xml:space="preserve">rzedmiotem analizy przy rozpatrywaniu zgłoszeń wodnoprawnych (art. 423 ust. 5 pkt 3 </w:t>
      </w:r>
      <w:r>
        <w:t>ustawy pr.w.</w:t>
      </w:r>
      <w:r w:rsidRPr="2B8472CF">
        <w:t>)</w:t>
      </w:r>
      <w:r>
        <w:t>;</w:t>
      </w:r>
    </w:p>
    <w:p w14:paraId="4F2A1406" w14:textId="77777777" w:rsidR="0053280F" w:rsidRDefault="0053280F" w:rsidP="006C4947">
      <w:pPr>
        <w:pStyle w:val="Numerowanie"/>
        <w:rPr>
          <w:rFonts w:cs="Calibri"/>
          <w:color w:val="000000" w:themeColor="text1"/>
        </w:rPr>
      </w:pPr>
      <w:r>
        <w:t>p</w:t>
      </w:r>
      <w:r w:rsidRPr="2B8472CF">
        <w:t xml:space="preserve">rzedmiotem analizy przy przeglądzie pozwoleń wodnoprawnych (art. 416 ust. 2 oraz art. 325 ust. 1 pkt 2 </w:t>
      </w:r>
      <w:r>
        <w:t>ustawy pr.w.</w:t>
      </w:r>
      <w:r w:rsidRPr="2B8472CF">
        <w:t>)</w:t>
      </w:r>
      <w:r>
        <w:t>;</w:t>
      </w:r>
    </w:p>
    <w:p w14:paraId="1C4EFE70" w14:textId="77777777" w:rsidR="0053280F" w:rsidRDefault="0053280F" w:rsidP="00F06393">
      <w:pPr>
        <w:pStyle w:val="Numerowanie"/>
        <w:rPr>
          <w:rFonts w:cs="Calibri"/>
          <w:color w:val="000000" w:themeColor="text1"/>
        </w:rPr>
      </w:pPr>
      <w:r>
        <w:t>u</w:t>
      </w:r>
      <w:r w:rsidRPr="2B8472CF">
        <w:t xml:space="preserve">względniana w ramach utrzymywania wód (art. 226 ust. 1-2, art. 229, art. 231 </w:t>
      </w:r>
      <w:r>
        <w:t>ustawy pr.w.</w:t>
      </w:r>
      <w:r w:rsidRPr="2B8472CF">
        <w:t xml:space="preserve">) oraz innych czynności związanych z gospodarką wodną (art. 236 ust. 4, art. 164 ust. 1, art. 187 ust. 1, art. 198 </w:t>
      </w:r>
      <w:r>
        <w:t>ustawy pr.w.</w:t>
      </w:r>
      <w:r w:rsidRPr="2B8472CF">
        <w:t>)</w:t>
      </w:r>
      <w:r>
        <w:t>;</w:t>
      </w:r>
    </w:p>
    <w:p w14:paraId="1D83DF2A" w14:textId="77777777" w:rsidR="0053280F" w:rsidRDefault="0053280F" w:rsidP="00F06393">
      <w:pPr>
        <w:pStyle w:val="Numerowanie"/>
        <w:rPr>
          <w:rFonts w:cs="Calibri"/>
          <w:color w:val="000000" w:themeColor="text1"/>
        </w:rPr>
      </w:pPr>
      <w:r>
        <w:t>p</w:t>
      </w:r>
      <w:r w:rsidRPr="2B8472CF">
        <w:t xml:space="preserve">rzedmiotem analizy przy wydawaniu deklaracji zgodności z RDW (art. 439-440a </w:t>
      </w:r>
      <w:r>
        <w:t>ustawy pr.w.</w:t>
      </w:r>
      <w:r w:rsidRPr="2B8472CF">
        <w:t>).</w:t>
      </w:r>
    </w:p>
    <w:p w14:paraId="671504E1" w14:textId="77777777" w:rsidR="0053280F" w:rsidRDefault="0053280F" w:rsidP="0053280F">
      <w:pPr>
        <w:suppressAutoHyphens/>
      </w:pPr>
      <w:r>
        <w:t>Każdy przypadek realizacji działania, inwestycji lub przedsięwzięcia mogącego zagrażać celom środowiskowym jcw wymaga autoryzacji w formie decyzji administracyjnej.</w:t>
      </w:r>
    </w:p>
    <w:p w14:paraId="2C69158A" w14:textId="42F5387A" w:rsidR="0053280F" w:rsidRDefault="0053280F" w:rsidP="0053280F">
      <w:pPr>
        <w:suppressAutoHyphens/>
      </w:pPr>
      <w:r>
        <w:t xml:space="preserve">Zgodnie ze stanem prawnym obowiązującym w Polsce od 1 stycznia 2018 r. wydanie zgody wodnoprawnej lub decyzji o środowiskowych uwarunkowaniach jest możliwe nawet w przypadku, gdy dane przedsięwzięcie pogarsza stan wód lub uniemożliwia osiągnięcie celu środowiskowego </w:t>
      </w:r>
      <w:r>
        <w:br/>
        <w:t xml:space="preserve">jcw </w:t>
      </w:r>
      <w:r w:rsidR="00442AB7">
        <w:t>-</w:t>
      </w:r>
      <w:r>
        <w:t xml:space="preserve"> pod warunkiem, że spełnione są przesłanki wskazane w art. 68 pkt 1, 3 i 4 ustawy pr.w. (przepis będący odpowiednikiem art. 4.7 RDW). </w:t>
      </w:r>
      <w:r w:rsidR="001F17DA">
        <w:t xml:space="preserve">Widoczny brak pkt 2 wynika z treści art. 81 ustawy u.i.o.ś. oraz art. 432 ustawy pr.w. </w:t>
      </w:r>
      <w:r>
        <w:t>Według stanu prawnego obowiązującego między datą przyjęcia aPGW a 1 stycznia 2018 r. wydanie decyzji o środowiskowych uwarunkowaniach oraz pozwolenia wodnoprawnego dla przedsięwzięcia lub działania mogącego kolidować z celami środowiskowymi jcw było dopuszczalne tylko w sytuacji, gdy były spełnione wszystkie warunki wynikające z art. 4 ust. 7 RDW, tzn. gdy inwestycja była ujęta w aPGW.</w:t>
      </w:r>
    </w:p>
    <w:p w14:paraId="566C14E4" w14:textId="77777777" w:rsidR="0053280F" w:rsidRDefault="0053280F" w:rsidP="0053280F">
      <w:pPr>
        <w:suppressAutoHyphens/>
      </w:pPr>
      <w:r>
        <w:t xml:space="preserve">Obligatoryjnym </w:t>
      </w:r>
      <w:r w:rsidRPr="6326211A">
        <w:t xml:space="preserve">elementem </w:t>
      </w:r>
      <w:r>
        <w:t>planu gospodarowania wodami</w:t>
      </w:r>
      <w:r w:rsidRPr="6326211A">
        <w:t xml:space="preserve"> </w:t>
      </w:r>
      <w:r>
        <w:t>jest w</w:t>
      </w:r>
      <w:r w:rsidRPr="006862EB">
        <w:t xml:space="preserve">ykaz inwestycji lub działań </w:t>
      </w:r>
      <w:r w:rsidRPr="6326211A">
        <w:t>spełniając</w:t>
      </w:r>
      <w:r>
        <w:t>ych</w:t>
      </w:r>
      <w:r w:rsidRPr="6326211A">
        <w:t xml:space="preserve"> łącznie następujące kryteria:</w:t>
      </w:r>
    </w:p>
    <w:p w14:paraId="0B6A4CCB" w14:textId="77777777" w:rsidR="0053280F" w:rsidRPr="0053280F" w:rsidRDefault="0053280F" w:rsidP="00F06393">
      <w:pPr>
        <w:pStyle w:val="Akapitzlist"/>
      </w:pPr>
      <w:r w:rsidRPr="0053280F">
        <w:t xml:space="preserve">mogą one wpłynąć na możliwość osiągnięcia celów środowiskowych, o których mowa </w:t>
      </w:r>
      <w:r w:rsidRPr="0053280F">
        <w:br/>
        <w:t>w art. 56, art. 57, art. 59 oraz w art. 61 ustawy pr.w.;</w:t>
      </w:r>
    </w:p>
    <w:p w14:paraId="0810B2AF" w14:textId="77777777" w:rsidR="0053280F" w:rsidRPr="0053280F" w:rsidRDefault="0053280F" w:rsidP="00F06393">
      <w:pPr>
        <w:pStyle w:val="Akapitzlist"/>
      </w:pPr>
      <w:r w:rsidRPr="0053280F">
        <w:t xml:space="preserve">spełniają warunki, o których mowa w art. 68 ustawy pr.w. </w:t>
      </w:r>
    </w:p>
    <w:p w14:paraId="03A39A20" w14:textId="6A5FC8B5" w:rsidR="0053280F" w:rsidRDefault="0053280F" w:rsidP="0053280F">
      <w:pPr>
        <w:suppressAutoHyphens/>
        <w:spacing w:after="0"/>
        <w:jc w:val="left"/>
        <w:rPr>
          <w:rFonts w:ascii="Times New Roman" w:hAnsi="Times New Roman"/>
          <w:sz w:val="24"/>
          <w:szCs w:val="24"/>
          <w:lang w:eastAsia="pl-PL"/>
        </w:rPr>
      </w:pPr>
      <w:r w:rsidRPr="006753A0">
        <w:t xml:space="preserve">Tak określony wykaz inwestycji i działań, które mogą spowodować nieosiągnięcie dobrego stanu wód lub pogorszenie dobrego stanu wód, stanowi załącznik nr </w:t>
      </w:r>
      <w:r w:rsidR="00CA67AE">
        <w:t>6</w:t>
      </w:r>
      <w:r w:rsidRPr="006753A0">
        <w:t xml:space="preserve"> do IIaPGW</w:t>
      </w:r>
      <w:r w:rsidR="00CA67AE">
        <w:t xml:space="preserve"> (Wykaz inwestycji i działań).</w:t>
      </w:r>
      <w:r w:rsidRPr="64F2E33F">
        <w:rPr>
          <w:rFonts w:ascii="Times New Roman" w:hAnsi="Times New Roman"/>
          <w:sz w:val="24"/>
          <w:szCs w:val="24"/>
          <w:lang w:eastAsia="pl-PL"/>
        </w:rPr>
        <w:t xml:space="preserve"> </w:t>
      </w:r>
    </w:p>
    <w:p w14:paraId="365C7A18" w14:textId="709BF9CD" w:rsidR="0053280F" w:rsidRDefault="0053280F" w:rsidP="0053280F">
      <w:pPr>
        <w:suppressAutoHyphens/>
      </w:pPr>
      <w:r>
        <w:t xml:space="preserve">Zestawiając informacje wynikające z powyższej treści, należy </w:t>
      </w:r>
      <w:r w:rsidRPr="008E22FA">
        <w:t>podkreślić, że wykaz ten ma funkcję sprawozdawczą. Przedstawia on informacje wynikające z decyzji</w:t>
      </w:r>
      <w:r>
        <w:t xml:space="preserve"> administracyjnych (decyzje o środowiskowych uwarunkowaniach, oceny wodnoprawne) na temat działań i przedsięwzięć, dla których wydano (w okresie od daty przyjęcia aPGW do 21 grudnia 2020 r.) ostateczną decyzję potwierdzającą spełnienie warunków, o których mowa w art. 68 pkt 1, 3 i 4 ustawy pr.w. Ponadto, uwzględnia on informacje o planowanych i realizowanych inwestycjach i działaniach, dla których w aPGW z 2016 r. potwierdzono warunki spełniania odstępstwa w trybie art. 4.7 RDW.</w:t>
      </w:r>
    </w:p>
    <w:p w14:paraId="14C4B49A" w14:textId="77777777" w:rsidR="0053280F" w:rsidRPr="001B4FBC" w:rsidRDefault="0053280F" w:rsidP="0053280F">
      <w:pPr>
        <w:suppressAutoHyphens/>
      </w:pPr>
      <w:r>
        <w:t xml:space="preserve">Źródłem informacji do wykazu była </w:t>
      </w:r>
      <w:r w:rsidRPr="001B4FBC">
        <w:t>ankietyzacj</w:t>
      </w:r>
      <w:r>
        <w:t>a</w:t>
      </w:r>
      <w:r w:rsidRPr="001B4FBC">
        <w:t>, którą objęt</w:t>
      </w:r>
      <w:r>
        <w:t xml:space="preserve">o </w:t>
      </w:r>
      <w:r w:rsidRPr="001B4FBC">
        <w:t>następujące podmioty:</w:t>
      </w:r>
    </w:p>
    <w:p w14:paraId="59512F2B" w14:textId="1C9BF105" w:rsidR="0053280F" w:rsidRPr="00B573C3" w:rsidRDefault="0053280F" w:rsidP="006C4947">
      <w:pPr>
        <w:pStyle w:val="Numerowanie"/>
        <w:numPr>
          <w:ilvl w:val="0"/>
          <w:numId w:val="142"/>
        </w:numPr>
      </w:pPr>
      <w:r w:rsidRPr="00B573C3">
        <w:t>podmioty określone jako „Inwestor” w wykazach inwestycji stanowiących załącznik do aPGW z 2016 r.; uwzględniono włączenie Zarządów Melioracji i Urządzeń Wodnych (wskazanych w</w:t>
      </w:r>
      <w:r w:rsidR="0062445E" w:rsidRPr="00B573C3">
        <w:t> </w:t>
      </w:r>
      <w:r w:rsidRPr="00B573C3">
        <w:t>aPGW z 2016 r. jako „Inwestor”) w struktury PGW</w:t>
      </w:r>
      <w:r w:rsidR="001B1731">
        <w:t xml:space="preserve"> </w:t>
      </w:r>
      <w:r w:rsidRPr="00B573C3">
        <w:t>WP; w przypadku innych inwestorów skierowano ankiety do podmiotów kontynuujących zamierzenie inwestycyjne;</w:t>
      </w:r>
    </w:p>
    <w:p w14:paraId="1A8B5971" w14:textId="77777777" w:rsidR="0053280F" w:rsidRPr="00B573C3" w:rsidRDefault="0053280F" w:rsidP="00F06393">
      <w:pPr>
        <w:pStyle w:val="Numerowanie"/>
      </w:pPr>
      <w:r w:rsidRPr="00B573C3">
        <w:t>organy właściwe w sprawach ocen wodnoprawnych (które wydawały oceny wodnoprawne, brały udział w postępowaniach w sprawie wydania decyzji o środowiskowych uwarunkowaniach oraz prowadziły wykazy inwestycji zgodnie z art. 435-436 ustawy pr.w.);</w:t>
      </w:r>
    </w:p>
    <w:p w14:paraId="6EF30F34" w14:textId="77777777" w:rsidR="0053280F" w:rsidRPr="00B573C3" w:rsidRDefault="0053280F" w:rsidP="006C4947">
      <w:pPr>
        <w:pStyle w:val="Numerowanie"/>
      </w:pPr>
      <w:r w:rsidRPr="00B573C3">
        <w:t>organy wydające decyzje o środowiskowych uwarunkowaniach, przy wydawaniu których zastosowano art. 68 ustawy pr.w. (wskazane przez organy właściwe w sprawach ocen wodnoprawnych).</w:t>
      </w:r>
    </w:p>
    <w:p w14:paraId="7D9B1ED8" w14:textId="77777777" w:rsidR="0053280F" w:rsidRDefault="0053280F" w:rsidP="009D60D7">
      <w:pPr>
        <w:suppressAutoHyphens/>
      </w:pPr>
      <w:r w:rsidRPr="001B4FBC">
        <w:t xml:space="preserve">Ponadto w przypadku, gdy uzyskane </w:t>
      </w:r>
      <w:r>
        <w:t xml:space="preserve">dane były </w:t>
      </w:r>
      <w:r w:rsidRPr="001B4FBC">
        <w:t xml:space="preserve">niewystarczające, </w:t>
      </w:r>
      <w:r>
        <w:t xml:space="preserve">uwzględniono dane wynikające </w:t>
      </w:r>
      <w:r>
        <w:br/>
        <w:t>z treści decyzji administracyjnych</w:t>
      </w:r>
      <w:r w:rsidRPr="001B4FBC">
        <w:t>.</w:t>
      </w:r>
    </w:p>
    <w:p w14:paraId="68800F32" w14:textId="3BE6C88B" w:rsidR="0053280F" w:rsidRDefault="0053280F" w:rsidP="009D60D7">
      <w:pPr>
        <w:spacing w:before="0" w:after="0"/>
      </w:pPr>
      <w:r>
        <w:t xml:space="preserve">Z wykonanej analizy wynika, że na obszarze dorzecza Pregoły zidentyfikowano 21 inwestycji i działań spełniających przesłanki wskazane w art. 4 ust. 7 RDW. Informacje o nich są przedstawione </w:t>
      </w:r>
      <w:r>
        <w:br/>
        <w:t xml:space="preserve">w załączniku nr </w:t>
      </w:r>
      <w:r w:rsidR="0006613B">
        <w:t>6</w:t>
      </w:r>
      <w:r>
        <w:t xml:space="preserve"> do IIaPGW</w:t>
      </w:r>
      <w:r w:rsidR="00CA67AE">
        <w:t xml:space="preserve"> (</w:t>
      </w:r>
      <w:r w:rsidR="0006613B" w:rsidRPr="0006613B">
        <w:rPr>
          <w:rFonts w:eastAsia="Times New Roman" w:cs="Calibri"/>
          <w:lang w:eastAsia="pl-PL"/>
        </w:rPr>
        <w:t>Wykaz inwestycji i działań</w:t>
      </w:r>
      <w:r w:rsidR="00CA67AE">
        <w:t>)</w:t>
      </w:r>
      <w:r>
        <w:t>.</w:t>
      </w:r>
      <w:r w:rsidR="009D60D7">
        <w:t xml:space="preserve"> </w:t>
      </w:r>
    </w:p>
    <w:p w14:paraId="548275CB" w14:textId="22FF1648" w:rsidR="005374A5" w:rsidRDefault="0053280F" w:rsidP="00B50FFD">
      <w:pPr>
        <w:pStyle w:val="Nagwek1"/>
      </w:pPr>
      <w:bookmarkStart w:id="531" w:name="_Hlk54268402"/>
      <w:r>
        <w:br w:type="column"/>
      </w:r>
      <w:bookmarkStart w:id="532" w:name="_Toc68726928"/>
      <w:r w:rsidR="005374A5">
        <w:t>Zagrożenia dla swobodnego przepływu wód oraz spływu lodów</w:t>
      </w:r>
      <w:bookmarkEnd w:id="532"/>
    </w:p>
    <w:p w14:paraId="6479821D" w14:textId="77777777" w:rsidR="002F2A0D" w:rsidRDefault="002F2A0D" w:rsidP="002F2A0D">
      <w:pPr>
        <w:suppressAutoHyphens/>
      </w:pPr>
      <w:r>
        <w:t>Zgodnie z art. 318 ust 2 ustawy pr.w. oraz wymaganym zakresem opracowania planu gospodarowania wodami wskazanym w r.p.g.w. w planie gospodarowania wodami prezentowane są informacje dotyczące odcinków śródlądowych wód powierzchniowych, w obrębie których występują zagrożenia dla swobodnego przepływu wód oraz spływu lodu wraz z identyfikacją tych zagrożeń.</w:t>
      </w:r>
    </w:p>
    <w:p w14:paraId="24817F42" w14:textId="642E8335" w:rsidR="002F2A0D" w:rsidRDefault="002F2A0D" w:rsidP="002F2A0D">
      <w:pPr>
        <w:suppressAutoHyphens/>
      </w:pPr>
      <w:r>
        <w:t>Na potrzeby określania odcinków śródlądowych wód powierzchniowych, w obrębie których występują zagrożenia dla swobodnego przepływu wód oraz spływu lodu konieczne jest uwzględnienie wskaźników hydromorfologicznych związanych z czynnikami naturalnymi oraz ingerencją człowieka w</w:t>
      </w:r>
      <w:r w:rsidR="006C4947">
        <w:t> </w:t>
      </w:r>
      <w:r>
        <w:t>koryto rzeczne. Podstawowym źródłem informacji dotyczących odcinków zagrożenia spływu lodu są PUW przygotowywane przez poszczególne RZGW WP. Informacje i dane dotyczące potencjalnych miejsc zagrożenia dla swobodnego spływu gromadzone przez PGW WP podlegają corocznym aktualizacjom podczas przygotowania do sezonu zimowego. Przedstawione w niniejszym rozdziale dane pochodzą z PUW z roku 2016 r. oraz danych PGW WP w zakresie miejsc potencjalnie zatorogennych (oszacowanie z roku 2020).</w:t>
      </w:r>
    </w:p>
    <w:p w14:paraId="16FBCFF6" w14:textId="091B13BF" w:rsidR="002F2A0D" w:rsidRDefault="0041540B" w:rsidP="002F2A0D">
      <w:pPr>
        <w:suppressAutoHyphens/>
      </w:pPr>
      <w:r>
        <w:t xml:space="preserve">Na podstawie dostępnych danych z roku 2020, ogółem w obszarze dorzecza Pregoły, zidentyfikowano </w:t>
      </w:r>
      <w:r w:rsidRPr="00700DA4">
        <w:t xml:space="preserve">2 odcinki </w:t>
      </w:r>
      <w:r>
        <w:t>potencjalnego zagrożenia swobodnego</w:t>
      </w:r>
      <w:r w:rsidRPr="00700DA4">
        <w:t xml:space="preserve"> spływu lodu w obrębie 2 jcwp. Zgodnie</w:t>
      </w:r>
      <w:r>
        <w:t xml:space="preserve"> z PUW wg. stanu na rok 2016 liczba jcwp RW ze zidentyfikowanymi odcinkami zagrożenia swobodnego przepływu oraz spływu lodu wyniosła </w:t>
      </w:r>
      <w:r w:rsidRPr="00700DA4">
        <w:t>67 jcwp co stanowi ponad 82% wszystkich jcwp</w:t>
      </w:r>
      <w:r>
        <w:t xml:space="preserve"> RW w obszarze dorzecza Pregoły.</w:t>
      </w:r>
    </w:p>
    <w:p w14:paraId="5565C0B2" w14:textId="560AEB18" w:rsidR="002F2A0D" w:rsidRDefault="002F2A0D" w:rsidP="002F2A0D">
      <w:pPr>
        <w:suppressAutoHyphens/>
      </w:pPr>
      <w:r>
        <w:t xml:space="preserve">Zestawienie liczby odcinków potencjalnie zagrożonych w </w:t>
      </w:r>
      <w:r w:rsidR="00C92367">
        <w:t>obszarze</w:t>
      </w:r>
      <w:r>
        <w:t xml:space="preserve"> dorzecza </w:t>
      </w:r>
      <w:r w:rsidR="00C66D17">
        <w:t>Pregoły</w:t>
      </w:r>
      <w:r>
        <w:t xml:space="preserve"> prezentuje </w:t>
      </w:r>
      <w:r w:rsidRPr="0041540B">
        <w:t>poniższa tabela 17-1.</w:t>
      </w:r>
    </w:p>
    <w:p w14:paraId="3B9E4C93" w14:textId="517E824E" w:rsidR="002F2A0D" w:rsidRDefault="002F2A0D" w:rsidP="006802BB">
      <w:pPr>
        <w:pStyle w:val="Tabela"/>
      </w:pPr>
      <w:bookmarkStart w:id="533" w:name="_Toc66261872"/>
      <w:bookmarkStart w:id="534" w:name="_Toc66311377"/>
      <w:bookmarkStart w:id="535" w:name="_Toc68727065"/>
      <w:r>
        <w:t xml:space="preserve">Tabela </w:t>
      </w:r>
      <w:fldSimple w:instr=" STYLEREF 1 \s ">
        <w:r w:rsidR="007B4050">
          <w:rPr>
            <w:noProof/>
          </w:rPr>
          <w:t>17</w:t>
        </w:r>
      </w:fldSimple>
      <w:r w:rsidR="007B4050">
        <w:noBreakHyphen/>
      </w:r>
      <w:fldSimple w:instr=" SEQ Tabela \* ARABIC \s 1 ">
        <w:r w:rsidR="007B4050">
          <w:rPr>
            <w:noProof/>
          </w:rPr>
          <w:t>1</w:t>
        </w:r>
      </w:fldSimple>
      <w:r>
        <w:tab/>
      </w:r>
      <w:r w:rsidRPr="0065087C">
        <w:t xml:space="preserve">Zestawienie liczby odcinków potencjalnie zagrożonych w </w:t>
      </w:r>
      <w:r w:rsidR="00C92367">
        <w:t>obszarze</w:t>
      </w:r>
      <w:r w:rsidRPr="0065087C">
        <w:t xml:space="preserve"> dorzecza </w:t>
      </w:r>
      <w:bookmarkEnd w:id="533"/>
      <w:bookmarkEnd w:id="534"/>
      <w:r w:rsidR="00C66D17">
        <w:t>Pregoły</w:t>
      </w:r>
      <w:bookmarkEnd w:id="535"/>
    </w:p>
    <w:tbl>
      <w:tblPr>
        <w:tblStyle w:val="Tabela-Siatka"/>
        <w:tblW w:w="5000" w:type="pct"/>
        <w:jc w:val="center"/>
        <w:tblLook w:val="04A0" w:firstRow="1" w:lastRow="0" w:firstColumn="1" w:lastColumn="0" w:noHBand="0" w:noVBand="1"/>
      </w:tblPr>
      <w:tblGrid>
        <w:gridCol w:w="2516"/>
        <w:gridCol w:w="1319"/>
        <w:gridCol w:w="1057"/>
        <w:gridCol w:w="1057"/>
        <w:gridCol w:w="1090"/>
        <w:gridCol w:w="1057"/>
        <w:gridCol w:w="944"/>
      </w:tblGrid>
      <w:tr w:rsidR="002F2A0D" w:rsidRPr="005931E0" w14:paraId="5FB338DA" w14:textId="77777777" w:rsidTr="00C92367">
        <w:trPr>
          <w:tblHeader/>
          <w:jc w:val="center"/>
        </w:trPr>
        <w:tc>
          <w:tcPr>
            <w:tcW w:w="1394" w:type="pct"/>
            <w:vMerge w:val="restart"/>
            <w:shd w:val="clear" w:color="auto" w:fill="BFBFBF" w:themeFill="background1" w:themeFillShade="BF"/>
            <w:vAlign w:val="center"/>
          </w:tcPr>
          <w:p w14:paraId="42EC6A0F" w14:textId="77777777" w:rsidR="002F2A0D" w:rsidRPr="0050266E" w:rsidRDefault="002F2A0D" w:rsidP="000674BB">
            <w:pPr>
              <w:pStyle w:val="Tabela-tekst"/>
              <w:jc w:val="center"/>
              <w:rPr>
                <w:b/>
              </w:rPr>
            </w:pPr>
            <w:r w:rsidRPr="0050266E">
              <w:rPr>
                <w:b/>
              </w:rPr>
              <w:t>Region wodny</w:t>
            </w:r>
          </w:p>
        </w:tc>
        <w:tc>
          <w:tcPr>
            <w:tcW w:w="732" w:type="pct"/>
            <w:vMerge w:val="restart"/>
            <w:shd w:val="clear" w:color="auto" w:fill="BFBFBF" w:themeFill="background1" w:themeFillShade="BF"/>
            <w:vAlign w:val="center"/>
          </w:tcPr>
          <w:p w14:paraId="02ADA64F" w14:textId="0C263711" w:rsidR="002F2A0D" w:rsidRPr="0050266E" w:rsidRDefault="002F2A0D" w:rsidP="00C92367">
            <w:pPr>
              <w:pStyle w:val="Tabela-tekst"/>
              <w:jc w:val="center"/>
              <w:rPr>
                <w:b/>
              </w:rPr>
            </w:pPr>
            <w:r w:rsidRPr="0050266E">
              <w:rPr>
                <w:b/>
              </w:rPr>
              <w:t>Liczba jcwp RW w region</w:t>
            </w:r>
            <w:r w:rsidR="000674BB">
              <w:rPr>
                <w:b/>
              </w:rPr>
              <w:t>ie</w:t>
            </w:r>
            <w:r w:rsidRPr="0050266E">
              <w:rPr>
                <w:b/>
              </w:rPr>
              <w:t xml:space="preserve"> wodny</w:t>
            </w:r>
            <w:r w:rsidR="000674BB">
              <w:rPr>
                <w:b/>
              </w:rPr>
              <w:t>m</w:t>
            </w:r>
          </w:p>
        </w:tc>
        <w:tc>
          <w:tcPr>
            <w:tcW w:w="1174" w:type="pct"/>
            <w:gridSpan w:val="2"/>
            <w:shd w:val="clear" w:color="auto" w:fill="BFBFBF" w:themeFill="background1" w:themeFillShade="BF"/>
            <w:vAlign w:val="center"/>
          </w:tcPr>
          <w:p w14:paraId="5AD1C48B" w14:textId="77777777" w:rsidR="002F2A0D" w:rsidRPr="0050266E" w:rsidRDefault="002F2A0D" w:rsidP="00C92367">
            <w:pPr>
              <w:pStyle w:val="Tabela-tekst"/>
              <w:jc w:val="center"/>
              <w:rPr>
                <w:b/>
              </w:rPr>
            </w:pPr>
            <w:r w:rsidRPr="0050266E">
              <w:rPr>
                <w:b/>
              </w:rPr>
              <w:t>PUW 2016</w:t>
            </w:r>
          </w:p>
        </w:tc>
        <w:tc>
          <w:tcPr>
            <w:tcW w:w="1700" w:type="pct"/>
            <w:gridSpan w:val="3"/>
            <w:shd w:val="clear" w:color="auto" w:fill="BFBFBF" w:themeFill="background1" w:themeFillShade="BF"/>
            <w:vAlign w:val="center"/>
          </w:tcPr>
          <w:p w14:paraId="3C6DE9E8" w14:textId="77777777" w:rsidR="002F2A0D" w:rsidRPr="0050266E" w:rsidRDefault="002F2A0D" w:rsidP="00C92367">
            <w:pPr>
              <w:pStyle w:val="Tabela-tekst"/>
              <w:jc w:val="center"/>
              <w:rPr>
                <w:b/>
              </w:rPr>
            </w:pPr>
            <w:r w:rsidRPr="0050266E">
              <w:rPr>
                <w:b/>
              </w:rPr>
              <w:t>Dane PGW WP - oszacowanie 2020</w:t>
            </w:r>
          </w:p>
        </w:tc>
      </w:tr>
      <w:tr w:rsidR="002F2A0D" w:rsidRPr="005931E0" w14:paraId="721AFFFC" w14:textId="77777777" w:rsidTr="00C92367">
        <w:trPr>
          <w:tblHeader/>
          <w:jc w:val="center"/>
        </w:trPr>
        <w:tc>
          <w:tcPr>
            <w:tcW w:w="1394" w:type="pct"/>
            <w:vMerge/>
            <w:shd w:val="clear" w:color="auto" w:fill="BFBFBF" w:themeFill="background1" w:themeFillShade="BF"/>
            <w:vAlign w:val="center"/>
          </w:tcPr>
          <w:p w14:paraId="7998FFA6" w14:textId="77777777" w:rsidR="002F2A0D" w:rsidRPr="0050266E" w:rsidRDefault="002F2A0D" w:rsidP="000674BB">
            <w:pPr>
              <w:pStyle w:val="Tabela-tekst"/>
              <w:jc w:val="center"/>
              <w:rPr>
                <w:b/>
              </w:rPr>
            </w:pPr>
          </w:p>
        </w:tc>
        <w:tc>
          <w:tcPr>
            <w:tcW w:w="732" w:type="pct"/>
            <w:vMerge/>
            <w:shd w:val="clear" w:color="auto" w:fill="BFBFBF" w:themeFill="background1" w:themeFillShade="BF"/>
            <w:vAlign w:val="center"/>
          </w:tcPr>
          <w:p w14:paraId="7D947830" w14:textId="77777777" w:rsidR="002F2A0D" w:rsidRPr="0050266E" w:rsidRDefault="002F2A0D" w:rsidP="00C92367">
            <w:pPr>
              <w:pStyle w:val="Tabela-tekst"/>
              <w:jc w:val="center"/>
              <w:rPr>
                <w:b/>
              </w:rPr>
            </w:pPr>
          </w:p>
        </w:tc>
        <w:tc>
          <w:tcPr>
            <w:tcW w:w="587" w:type="pct"/>
            <w:shd w:val="clear" w:color="auto" w:fill="BFBFBF" w:themeFill="background1" w:themeFillShade="BF"/>
            <w:vAlign w:val="center"/>
          </w:tcPr>
          <w:p w14:paraId="43D3D76D" w14:textId="77777777" w:rsidR="002F2A0D" w:rsidRPr="00EF3610" w:rsidRDefault="002F2A0D" w:rsidP="00C92367">
            <w:pPr>
              <w:pStyle w:val="Tabela-tekst"/>
              <w:jc w:val="center"/>
            </w:pPr>
            <w:r w:rsidRPr="0050266E">
              <w:rPr>
                <w:b/>
              </w:rPr>
              <w:t>Liczba jcwp</w:t>
            </w:r>
            <w:r w:rsidRPr="00F03656">
              <w:rPr>
                <w:vertAlign w:val="superscript"/>
              </w:rPr>
              <w:t>1</w:t>
            </w:r>
          </w:p>
        </w:tc>
        <w:tc>
          <w:tcPr>
            <w:tcW w:w="587" w:type="pct"/>
            <w:shd w:val="clear" w:color="auto" w:fill="BFBFBF" w:themeFill="background1" w:themeFillShade="BF"/>
            <w:vAlign w:val="center"/>
          </w:tcPr>
          <w:p w14:paraId="30FC5288" w14:textId="7E88349F" w:rsidR="002F2A0D" w:rsidRPr="00C92367" w:rsidRDefault="002F2A0D" w:rsidP="00C92367">
            <w:pPr>
              <w:pStyle w:val="Tabela-tekst"/>
              <w:jc w:val="center"/>
            </w:pPr>
            <w:r w:rsidRPr="0050266E">
              <w:rPr>
                <w:b/>
              </w:rPr>
              <w:t xml:space="preserve">Udział </w:t>
            </w:r>
            <w:r w:rsidRPr="00C92367">
              <w:rPr>
                <w:b/>
              </w:rPr>
              <w:t>jcwp</w:t>
            </w:r>
            <w:r w:rsidRPr="00C92367">
              <w:rPr>
                <w:b/>
                <w:vertAlign w:val="superscript"/>
              </w:rPr>
              <w:t>2</w:t>
            </w:r>
            <w:r w:rsidR="00C92367" w:rsidRPr="00C92367">
              <w:rPr>
                <w:b/>
              </w:rPr>
              <w:t xml:space="preserve"> (%)</w:t>
            </w:r>
          </w:p>
        </w:tc>
        <w:tc>
          <w:tcPr>
            <w:tcW w:w="603" w:type="pct"/>
            <w:shd w:val="clear" w:color="auto" w:fill="BFBFBF" w:themeFill="background1" w:themeFillShade="BF"/>
            <w:vAlign w:val="center"/>
          </w:tcPr>
          <w:p w14:paraId="5AF6EE64" w14:textId="77777777" w:rsidR="002F2A0D" w:rsidRPr="00EF3610" w:rsidRDefault="002F2A0D" w:rsidP="00C92367">
            <w:pPr>
              <w:pStyle w:val="Tabela-tekst"/>
              <w:jc w:val="center"/>
            </w:pPr>
            <w:r w:rsidRPr="0050266E">
              <w:rPr>
                <w:b/>
              </w:rPr>
              <w:t>Liczba odcinków</w:t>
            </w:r>
            <w:r w:rsidRPr="00F03656">
              <w:rPr>
                <w:vertAlign w:val="superscript"/>
              </w:rPr>
              <w:t>3</w:t>
            </w:r>
          </w:p>
        </w:tc>
        <w:tc>
          <w:tcPr>
            <w:tcW w:w="587" w:type="pct"/>
            <w:shd w:val="clear" w:color="auto" w:fill="BFBFBF" w:themeFill="background1" w:themeFillShade="BF"/>
            <w:vAlign w:val="center"/>
          </w:tcPr>
          <w:p w14:paraId="4E245B01" w14:textId="77777777" w:rsidR="002F2A0D" w:rsidRPr="00EF3610" w:rsidRDefault="002F2A0D" w:rsidP="00C92367">
            <w:pPr>
              <w:pStyle w:val="Tabela-tekst"/>
              <w:jc w:val="center"/>
            </w:pPr>
            <w:r w:rsidRPr="0050266E">
              <w:rPr>
                <w:b/>
              </w:rPr>
              <w:t>Liczba jcwp</w:t>
            </w:r>
            <w:r w:rsidRPr="00F03656">
              <w:rPr>
                <w:vertAlign w:val="superscript"/>
              </w:rPr>
              <w:t>1</w:t>
            </w:r>
          </w:p>
        </w:tc>
        <w:tc>
          <w:tcPr>
            <w:tcW w:w="510" w:type="pct"/>
            <w:shd w:val="clear" w:color="auto" w:fill="BFBFBF" w:themeFill="background1" w:themeFillShade="BF"/>
            <w:vAlign w:val="center"/>
          </w:tcPr>
          <w:p w14:paraId="63C405AF" w14:textId="09EC5C1C" w:rsidR="002F2A0D" w:rsidRPr="00C92367" w:rsidRDefault="002F2A0D" w:rsidP="00C92367">
            <w:pPr>
              <w:pStyle w:val="Tabela-tekst"/>
              <w:jc w:val="center"/>
              <w:rPr>
                <w:b/>
              </w:rPr>
            </w:pPr>
            <w:r w:rsidRPr="00C92367">
              <w:rPr>
                <w:b/>
              </w:rPr>
              <w:t>Udział jcwp</w:t>
            </w:r>
            <w:r w:rsidRPr="00C92367">
              <w:rPr>
                <w:b/>
                <w:vertAlign w:val="superscript"/>
              </w:rPr>
              <w:t>2</w:t>
            </w:r>
            <w:r w:rsidR="00C92367" w:rsidRPr="00C92367">
              <w:rPr>
                <w:b/>
              </w:rPr>
              <w:t>(%)</w:t>
            </w:r>
          </w:p>
        </w:tc>
      </w:tr>
      <w:tr w:rsidR="0041540B" w:rsidRPr="005931E0" w14:paraId="430E7663" w14:textId="77777777" w:rsidTr="00C92367">
        <w:trPr>
          <w:jc w:val="center"/>
        </w:trPr>
        <w:tc>
          <w:tcPr>
            <w:tcW w:w="1394" w:type="pct"/>
            <w:vAlign w:val="bottom"/>
          </w:tcPr>
          <w:p w14:paraId="586660EC" w14:textId="1CC08B4A" w:rsidR="0041540B" w:rsidRPr="005931E0" w:rsidRDefault="0041540B" w:rsidP="000674BB">
            <w:pPr>
              <w:pStyle w:val="Tabela-tekst"/>
            </w:pPr>
            <w:r w:rsidRPr="00700DA4">
              <w:t>Łyny i Węgorapy</w:t>
            </w:r>
          </w:p>
        </w:tc>
        <w:tc>
          <w:tcPr>
            <w:tcW w:w="732" w:type="pct"/>
            <w:vAlign w:val="center"/>
          </w:tcPr>
          <w:p w14:paraId="6AA11027" w14:textId="69DA7C57" w:rsidR="0041540B" w:rsidRPr="006633EE" w:rsidRDefault="0041540B" w:rsidP="00C92367">
            <w:pPr>
              <w:pStyle w:val="Tabela-tekst"/>
              <w:jc w:val="center"/>
            </w:pPr>
            <w:r w:rsidRPr="00700DA4">
              <w:rPr>
                <w:color w:val="000000"/>
              </w:rPr>
              <w:t>82</w:t>
            </w:r>
          </w:p>
        </w:tc>
        <w:tc>
          <w:tcPr>
            <w:tcW w:w="587" w:type="pct"/>
            <w:vAlign w:val="center"/>
          </w:tcPr>
          <w:p w14:paraId="3FF5A0E1" w14:textId="3E53A047" w:rsidR="0041540B" w:rsidRPr="006633EE" w:rsidRDefault="0041540B" w:rsidP="00C92367">
            <w:pPr>
              <w:pStyle w:val="Tabela-tekst"/>
              <w:jc w:val="center"/>
            </w:pPr>
            <w:r w:rsidRPr="00700DA4">
              <w:rPr>
                <w:color w:val="000000"/>
              </w:rPr>
              <w:t>67</w:t>
            </w:r>
          </w:p>
        </w:tc>
        <w:tc>
          <w:tcPr>
            <w:tcW w:w="587" w:type="pct"/>
            <w:vAlign w:val="center"/>
          </w:tcPr>
          <w:p w14:paraId="4D29A31E" w14:textId="4B96444F" w:rsidR="0041540B" w:rsidRDefault="0041540B" w:rsidP="00C92367">
            <w:pPr>
              <w:pStyle w:val="Tabela-tekst"/>
              <w:jc w:val="center"/>
              <w:rPr>
                <w:rFonts w:ascii="Calibri" w:hAnsi="Calibri" w:cs="Calibri"/>
              </w:rPr>
            </w:pPr>
            <w:r w:rsidRPr="00700DA4">
              <w:rPr>
                <w:color w:val="000000"/>
              </w:rPr>
              <w:t>82</w:t>
            </w:r>
          </w:p>
        </w:tc>
        <w:tc>
          <w:tcPr>
            <w:tcW w:w="603" w:type="pct"/>
            <w:vAlign w:val="center"/>
          </w:tcPr>
          <w:p w14:paraId="51638566" w14:textId="35C87D00" w:rsidR="0041540B" w:rsidRPr="005931E0" w:rsidRDefault="0041540B" w:rsidP="00C92367">
            <w:pPr>
              <w:pStyle w:val="Tabela-tekst"/>
              <w:jc w:val="center"/>
            </w:pPr>
            <w:r w:rsidRPr="00700DA4">
              <w:rPr>
                <w:color w:val="000000"/>
              </w:rPr>
              <w:t>2</w:t>
            </w:r>
          </w:p>
        </w:tc>
        <w:tc>
          <w:tcPr>
            <w:tcW w:w="587" w:type="pct"/>
            <w:vAlign w:val="center"/>
          </w:tcPr>
          <w:p w14:paraId="7201692D" w14:textId="59539D2E" w:rsidR="0041540B" w:rsidRDefault="0041540B" w:rsidP="00C92367">
            <w:pPr>
              <w:pStyle w:val="Tabela-tekst"/>
              <w:jc w:val="center"/>
              <w:rPr>
                <w:rFonts w:ascii="Calibri" w:hAnsi="Calibri" w:cs="Calibri"/>
              </w:rPr>
            </w:pPr>
            <w:r w:rsidRPr="00700DA4">
              <w:rPr>
                <w:color w:val="000000"/>
              </w:rPr>
              <w:t>2</w:t>
            </w:r>
          </w:p>
        </w:tc>
        <w:tc>
          <w:tcPr>
            <w:tcW w:w="510" w:type="pct"/>
            <w:vAlign w:val="center"/>
          </w:tcPr>
          <w:p w14:paraId="3B2CDC5C" w14:textId="250695AC" w:rsidR="0041540B" w:rsidRPr="005931E0" w:rsidRDefault="0041540B" w:rsidP="00C92367">
            <w:pPr>
              <w:pStyle w:val="Tabela-tekst"/>
              <w:jc w:val="center"/>
              <w:rPr>
                <w:color w:val="000000"/>
              </w:rPr>
            </w:pPr>
            <w:r w:rsidRPr="00700DA4">
              <w:rPr>
                <w:color w:val="000000"/>
              </w:rPr>
              <w:t>100,00</w:t>
            </w:r>
          </w:p>
        </w:tc>
      </w:tr>
      <w:tr w:rsidR="0041540B" w:rsidRPr="005931E0" w14:paraId="27771AC7" w14:textId="77777777" w:rsidTr="00B16BD9">
        <w:trPr>
          <w:jc w:val="center"/>
        </w:trPr>
        <w:tc>
          <w:tcPr>
            <w:tcW w:w="1394" w:type="pct"/>
            <w:shd w:val="clear" w:color="auto" w:fill="BFBFBF" w:themeFill="background1" w:themeFillShade="BF"/>
            <w:vAlign w:val="center"/>
          </w:tcPr>
          <w:p w14:paraId="1CE079F3" w14:textId="77777777" w:rsidR="0041540B" w:rsidRPr="000674BB" w:rsidRDefault="0041540B" w:rsidP="000674BB">
            <w:pPr>
              <w:pStyle w:val="Tabela-tekst"/>
              <w:jc w:val="center"/>
              <w:rPr>
                <w:b/>
                <w:bCs/>
                <w:color w:val="000000"/>
              </w:rPr>
            </w:pPr>
            <w:r w:rsidRPr="000674BB">
              <w:rPr>
                <w:b/>
                <w:bCs/>
                <w:color w:val="000000"/>
              </w:rPr>
              <w:t>Ogółem</w:t>
            </w:r>
          </w:p>
        </w:tc>
        <w:tc>
          <w:tcPr>
            <w:tcW w:w="732" w:type="pct"/>
            <w:shd w:val="clear" w:color="auto" w:fill="BFBFBF" w:themeFill="background1" w:themeFillShade="BF"/>
            <w:vAlign w:val="center"/>
          </w:tcPr>
          <w:p w14:paraId="6AB32BC7" w14:textId="6CC71FD3" w:rsidR="0041540B" w:rsidRPr="000674BB" w:rsidRDefault="0041540B" w:rsidP="00C92367">
            <w:pPr>
              <w:pStyle w:val="Tabela-tekst"/>
              <w:jc w:val="center"/>
              <w:rPr>
                <w:b/>
                <w:bCs/>
                <w:color w:val="000000"/>
              </w:rPr>
            </w:pPr>
            <w:r w:rsidRPr="000674BB">
              <w:rPr>
                <w:b/>
                <w:bCs/>
                <w:color w:val="000000"/>
              </w:rPr>
              <w:t>82</w:t>
            </w:r>
          </w:p>
        </w:tc>
        <w:tc>
          <w:tcPr>
            <w:tcW w:w="587" w:type="pct"/>
            <w:shd w:val="clear" w:color="auto" w:fill="BFBFBF" w:themeFill="background1" w:themeFillShade="BF"/>
            <w:vAlign w:val="center"/>
          </w:tcPr>
          <w:p w14:paraId="76A35C96" w14:textId="2185092D" w:rsidR="0041540B" w:rsidRPr="000674BB" w:rsidRDefault="0041540B" w:rsidP="00C92367">
            <w:pPr>
              <w:pStyle w:val="Tabela-tekst"/>
              <w:jc w:val="center"/>
              <w:rPr>
                <w:b/>
                <w:bCs/>
                <w:color w:val="000000"/>
              </w:rPr>
            </w:pPr>
            <w:r w:rsidRPr="000674BB">
              <w:rPr>
                <w:b/>
                <w:bCs/>
                <w:color w:val="000000"/>
              </w:rPr>
              <w:t>67</w:t>
            </w:r>
          </w:p>
        </w:tc>
        <w:tc>
          <w:tcPr>
            <w:tcW w:w="587" w:type="pct"/>
            <w:shd w:val="clear" w:color="auto" w:fill="BFBFBF" w:themeFill="background1" w:themeFillShade="BF"/>
            <w:vAlign w:val="center"/>
          </w:tcPr>
          <w:p w14:paraId="7423EAE3" w14:textId="5EC775FF" w:rsidR="0041540B" w:rsidRPr="000674BB" w:rsidRDefault="0041540B" w:rsidP="00C92367">
            <w:pPr>
              <w:pStyle w:val="Tabela-tekst"/>
              <w:jc w:val="center"/>
              <w:rPr>
                <w:b/>
                <w:bCs/>
                <w:color w:val="000000"/>
              </w:rPr>
            </w:pPr>
            <w:r w:rsidRPr="000674BB">
              <w:rPr>
                <w:b/>
                <w:bCs/>
                <w:color w:val="000000"/>
              </w:rPr>
              <w:t>82</w:t>
            </w:r>
          </w:p>
        </w:tc>
        <w:tc>
          <w:tcPr>
            <w:tcW w:w="603" w:type="pct"/>
            <w:shd w:val="clear" w:color="auto" w:fill="BFBFBF" w:themeFill="background1" w:themeFillShade="BF"/>
            <w:vAlign w:val="center"/>
          </w:tcPr>
          <w:p w14:paraId="20F7052C" w14:textId="0A3621B0" w:rsidR="0041540B" w:rsidRPr="000674BB" w:rsidRDefault="0041540B" w:rsidP="00C92367">
            <w:pPr>
              <w:pStyle w:val="Tabela-tekst"/>
              <w:jc w:val="center"/>
              <w:rPr>
                <w:b/>
                <w:bCs/>
                <w:color w:val="000000"/>
              </w:rPr>
            </w:pPr>
            <w:r w:rsidRPr="000674BB">
              <w:rPr>
                <w:b/>
                <w:bCs/>
                <w:color w:val="000000"/>
              </w:rPr>
              <w:t>2</w:t>
            </w:r>
          </w:p>
        </w:tc>
        <w:tc>
          <w:tcPr>
            <w:tcW w:w="587" w:type="pct"/>
            <w:shd w:val="clear" w:color="auto" w:fill="BFBFBF" w:themeFill="background1" w:themeFillShade="BF"/>
            <w:vAlign w:val="center"/>
          </w:tcPr>
          <w:p w14:paraId="3F8E2274" w14:textId="603C95D3" w:rsidR="0041540B" w:rsidRPr="000674BB" w:rsidRDefault="0041540B" w:rsidP="00C92367">
            <w:pPr>
              <w:pStyle w:val="Tabela-tekst"/>
              <w:jc w:val="center"/>
              <w:rPr>
                <w:b/>
                <w:bCs/>
                <w:color w:val="000000"/>
              </w:rPr>
            </w:pPr>
            <w:r w:rsidRPr="000674BB">
              <w:rPr>
                <w:b/>
                <w:bCs/>
                <w:color w:val="000000"/>
              </w:rPr>
              <w:t>2</w:t>
            </w:r>
          </w:p>
        </w:tc>
        <w:tc>
          <w:tcPr>
            <w:tcW w:w="510" w:type="pct"/>
            <w:shd w:val="clear" w:color="auto" w:fill="BFBFBF" w:themeFill="background1" w:themeFillShade="BF"/>
            <w:vAlign w:val="center"/>
          </w:tcPr>
          <w:p w14:paraId="4ACCA231" w14:textId="08A8BFC1" w:rsidR="0041540B" w:rsidRPr="000674BB" w:rsidRDefault="0041540B" w:rsidP="00C92367">
            <w:pPr>
              <w:pStyle w:val="Tabela-tekst"/>
              <w:jc w:val="center"/>
              <w:rPr>
                <w:b/>
                <w:bCs/>
                <w:color w:val="000000"/>
              </w:rPr>
            </w:pPr>
            <w:r w:rsidRPr="000674BB">
              <w:rPr>
                <w:b/>
                <w:bCs/>
                <w:color w:val="000000"/>
              </w:rPr>
              <w:t>100,00</w:t>
            </w:r>
          </w:p>
        </w:tc>
      </w:tr>
    </w:tbl>
    <w:p w14:paraId="1F4B0A21" w14:textId="77777777" w:rsidR="002F2A0D" w:rsidRPr="006633EE" w:rsidRDefault="002F2A0D" w:rsidP="002F2A0D">
      <w:pPr>
        <w:suppressAutoHyphens/>
        <w:spacing w:before="0" w:after="0"/>
        <w:rPr>
          <w:rFonts w:cstheme="minorHAnsi"/>
          <w:i/>
          <w:iCs/>
          <w:sz w:val="16"/>
          <w:szCs w:val="16"/>
        </w:rPr>
      </w:pPr>
      <w:r w:rsidRPr="006633EE">
        <w:rPr>
          <w:rFonts w:cstheme="minorHAnsi"/>
          <w:b/>
          <w:bCs/>
          <w:i/>
          <w:iCs/>
          <w:sz w:val="16"/>
          <w:szCs w:val="16"/>
          <w:vertAlign w:val="superscript"/>
        </w:rPr>
        <w:t>1</w:t>
      </w:r>
      <w:r w:rsidRPr="006633EE">
        <w:rPr>
          <w:rFonts w:cstheme="minorHAnsi"/>
          <w:b/>
          <w:bCs/>
          <w:i/>
          <w:iCs/>
          <w:sz w:val="16"/>
          <w:szCs w:val="16"/>
        </w:rPr>
        <w:t>Liczba jcwp</w:t>
      </w:r>
      <w:r w:rsidRPr="006633EE">
        <w:rPr>
          <w:rFonts w:cstheme="minorHAnsi"/>
          <w:i/>
          <w:iCs/>
          <w:sz w:val="16"/>
          <w:szCs w:val="16"/>
        </w:rPr>
        <w:t xml:space="preserve"> </w:t>
      </w:r>
      <w:r>
        <w:rPr>
          <w:rFonts w:cstheme="minorHAnsi"/>
          <w:i/>
          <w:iCs/>
          <w:sz w:val="16"/>
          <w:szCs w:val="16"/>
        </w:rPr>
        <w:t>-</w:t>
      </w:r>
      <w:r w:rsidRPr="006633EE">
        <w:rPr>
          <w:rFonts w:cstheme="minorHAnsi"/>
          <w:i/>
          <w:iCs/>
          <w:sz w:val="16"/>
          <w:szCs w:val="16"/>
        </w:rPr>
        <w:t xml:space="preserve"> liczba jcwp ze zidentyfikowanymi odcinkami zagrożenia swobodnego przepływu wód oraz spływu lodu;</w:t>
      </w:r>
    </w:p>
    <w:p w14:paraId="1CD0528E" w14:textId="77777777" w:rsidR="002F2A0D" w:rsidRPr="006633EE" w:rsidRDefault="002F2A0D" w:rsidP="002F2A0D">
      <w:pPr>
        <w:suppressAutoHyphens/>
        <w:spacing w:before="0" w:after="0"/>
        <w:rPr>
          <w:rFonts w:cstheme="minorHAnsi"/>
          <w:i/>
          <w:iCs/>
          <w:sz w:val="16"/>
          <w:szCs w:val="16"/>
        </w:rPr>
      </w:pPr>
      <w:r w:rsidRPr="006633EE">
        <w:rPr>
          <w:rFonts w:cstheme="minorHAnsi"/>
          <w:b/>
          <w:bCs/>
          <w:i/>
          <w:iCs/>
          <w:sz w:val="16"/>
          <w:szCs w:val="16"/>
          <w:vertAlign w:val="superscript"/>
        </w:rPr>
        <w:t>2</w:t>
      </w:r>
      <w:r w:rsidRPr="006633EE">
        <w:rPr>
          <w:rFonts w:cstheme="minorHAnsi"/>
          <w:b/>
          <w:bCs/>
          <w:i/>
          <w:iCs/>
          <w:sz w:val="16"/>
          <w:szCs w:val="16"/>
        </w:rPr>
        <w:t>Udział jcwp</w:t>
      </w:r>
      <w:r w:rsidRPr="006633EE">
        <w:rPr>
          <w:rFonts w:cstheme="minorHAnsi"/>
          <w:i/>
          <w:iCs/>
          <w:sz w:val="16"/>
          <w:szCs w:val="16"/>
        </w:rPr>
        <w:t xml:space="preserve"> </w:t>
      </w:r>
      <w:r>
        <w:rPr>
          <w:rFonts w:cstheme="minorHAnsi"/>
          <w:i/>
          <w:iCs/>
          <w:sz w:val="16"/>
          <w:szCs w:val="16"/>
        </w:rPr>
        <w:t>-</w:t>
      </w:r>
      <w:r w:rsidRPr="006633EE">
        <w:rPr>
          <w:rFonts w:cstheme="minorHAnsi"/>
          <w:i/>
          <w:iCs/>
          <w:sz w:val="16"/>
          <w:szCs w:val="16"/>
        </w:rPr>
        <w:t xml:space="preserve"> udział jcwp ze zidentyfikowanym zagrożeniem swobodnego przepływu wód oraz spływu lodu w ogólnej liczbie jcwp</w:t>
      </w:r>
    </w:p>
    <w:p w14:paraId="7EFBDEC2" w14:textId="77777777" w:rsidR="002F2A0D" w:rsidRDefault="002F2A0D" w:rsidP="002F2A0D">
      <w:pPr>
        <w:suppressAutoHyphens/>
        <w:spacing w:before="0" w:after="0"/>
        <w:rPr>
          <w:rFonts w:cstheme="minorHAnsi"/>
          <w:i/>
          <w:iCs/>
          <w:sz w:val="16"/>
          <w:szCs w:val="16"/>
        </w:rPr>
      </w:pPr>
      <w:r w:rsidRPr="006633EE">
        <w:rPr>
          <w:rFonts w:cstheme="minorHAnsi"/>
          <w:i/>
          <w:iCs/>
          <w:sz w:val="16"/>
          <w:szCs w:val="16"/>
          <w:vertAlign w:val="superscript"/>
        </w:rPr>
        <w:t>3</w:t>
      </w:r>
      <w:r w:rsidRPr="006633EE">
        <w:rPr>
          <w:rFonts w:cstheme="minorHAnsi"/>
          <w:b/>
          <w:bCs/>
          <w:i/>
          <w:iCs/>
          <w:sz w:val="16"/>
          <w:szCs w:val="16"/>
        </w:rPr>
        <w:t xml:space="preserve">Liczba odcinków </w:t>
      </w:r>
      <w:r>
        <w:rPr>
          <w:rFonts w:cstheme="minorHAnsi"/>
          <w:i/>
          <w:iCs/>
          <w:sz w:val="16"/>
          <w:szCs w:val="16"/>
        </w:rPr>
        <w:t>-</w:t>
      </w:r>
      <w:r w:rsidRPr="006633EE">
        <w:rPr>
          <w:rFonts w:cstheme="minorHAnsi"/>
          <w:i/>
          <w:iCs/>
          <w:sz w:val="16"/>
          <w:szCs w:val="16"/>
        </w:rPr>
        <w:t xml:space="preserve"> liczba odcinków ze zidentyfikowanym zagrożeniem dla swobodnego spływu wód lub lodu</w:t>
      </w:r>
    </w:p>
    <w:p w14:paraId="1F9DBC21" w14:textId="77777777" w:rsidR="002F2A0D" w:rsidRPr="006633EE" w:rsidRDefault="002F2A0D" w:rsidP="002F2A0D">
      <w:pPr>
        <w:suppressAutoHyphens/>
        <w:spacing w:before="0" w:after="0"/>
        <w:rPr>
          <w:rFonts w:cstheme="minorHAnsi"/>
          <w:i/>
          <w:iCs/>
          <w:sz w:val="16"/>
          <w:szCs w:val="16"/>
          <w:vertAlign w:val="superscript"/>
        </w:rPr>
      </w:pPr>
      <w:r w:rsidRPr="0065087C">
        <w:rPr>
          <w:rFonts w:cstheme="minorHAnsi"/>
          <w:b/>
          <w:bCs/>
          <w:i/>
          <w:iCs/>
          <w:sz w:val="16"/>
          <w:szCs w:val="16"/>
        </w:rPr>
        <w:t xml:space="preserve">bd </w:t>
      </w:r>
      <w:r>
        <w:rPr>
          <w:rFonts w:cstheme="minorHAnsi"/>
          <w:i/>
          <w:iCs/>
          <w:sz w:val="16"/>
          <w:szCs w:val="16"/>
        </w:rPr>
        <w:t>- brak danych możliwych do przeniesienia na nowy układ planistyczny</w:t>
      </w:r>
    </w:p>
    <w:p w14:paraId="0146F703" w14:textId="5455B67F" w:rsidR="002F2A0D" w:rsidRDefault="002F2A0D" w:rsidP="00C92367">
      <w:pPr>
        <w:pStyle w:val="rdo0"/>
      </w:pPr>
      <w:r w:rsidRPr="006633EE">
        <w:t xml:space="preserve">Źródło: opracowanie </w:t>
      </w:r>
      <w:r w:rsidR="00F340C7">
        <w:t>własne</w:t>
      </w:r>
      <w:r w:rsidRPr="006633EE">
        <w:t xml:space="preserve"> na </w:t>
      </w:r>
      <w:r w:rsidRPr="00C92367">
        <w:t>podstawie</w:t>
      </w:r>
      <w:r w:rsidRPr="006633EE">
        <w:t xml:space="preserve"> PUW 2016, oraz wykazów PGW WP z roku </w:t>
      </w:r>
      <w:r>
        <w:t>2020</w:t>
      </w:r>
      <w:r w:rsidRPr="006633EE">
        <w:t xml:space="preserve"> dotyczących potencjalnych miejsc zatorogennych na obszarze administrowanym przez poszczególne RZGW WP</w:t>
      </w:r>
    </w:p>
    <w:p w14:paraId="4CC7A9CC" w14:textId="77777777" w:rsidR="0041540B" w:rsidRDefault="0041540B" w:rsidP="0041540B">
      <w:pPr>
        <w:suppressAutoHyphens/>
      </w:pPr>
      <w:r>
        <w:t xml:space="preserve">Wśród występujących na obszarze dorzecza Pregoły odcinków zagrożenia swobodnego spływu lodu najczęstszą wskazywaną jest obecność jazów. </w:t>
      </w:r>
    </w:p>
    <w:p w14:paraId="01B6BBAD" w14:textId="74A7BD86" w:rsidR="002F2A0D" w:rsidRPr="00990CA1" w:rsidRDefault="0041540B" w:rsidP="0041540B">
      <w:pPr>
        <w:suppressAutoHyphens/>
      </w:pPr>
      <w:r>
        <w:t xml:space="preserve">Wskazanie jcwp ze zidentyfikowanym zagrożeniem swobodnego przepływu wód oraz spływu lodu dla poszczególnych jcwp wg. danych z roku 2019 zawiera załącznik nr 1 </w:t>
      </w:r>
      <w:r w:rsidR="009906D1">
        <w:t>(</w:t>
      </w:r>
      <w:r>
        <w:t>Zestawienie główne</w:t>
      </w:r>
      <w:r w:rsidR="009906D1">
        <w:t xml:space="preserve">) oraz dodatkowo w załączniku nr </w:t>
      </w:r>
      <w:r w:rsidR="009E1FEB">
        <w:t>9</w:t>
      </w:r>
      <w:r w:rsidR="009906D1">
        <w:t xml:space="preserve"> zawarty jest wykaz odcinków potencjalnie utrudnionego spływu lodu wraz ze wskazaniem kilometrażu oraz przyczyn zagrożenia</w:t>
      </w:r>
      <w:r>
        <w:t xml:space="preserve">. Lokalizację </w:t>
      </w:r>
      <w:r w:rsidRPr="0041540B">
        <w:t xml:space="preserve">przestrzenną miejsc potencjalnie zatorogennych na obszarze dorzecza Pregoły prezentuje załącznik graficzny nr </w:t>
      </w:r>
      <w:r w:rsidR="009906D1">
        <w:t>35</w:t>
      </w:r>
      <w:r w:rsidR="002F2A0D" w:rsidRPr="0041540B">
        <w:t>.</w:t>
      </w:r>
    </w:p>
    <w:p w14:paraId="6DB3A45F" w14:textId="5B20F0B3" w:rsidR="005374A5" w:rsidRDefault="002F2A0D" w:rsidP="00B50FFD">
      <w:pPr>
        <w:pStyle w:val="Nagwek1"/>
      </w:pPr>
      <w:r>
        <w:br w:type="column"/>
      </w:r>
      <w:bookmarkStart w:id="536" w:name="_Toc51050043"/>
      <w:bookmarkEnd w:id="531"/>
      <w:r w:rsidR="000653F2">
        <w:t xml:space="preserve"> </w:t>
      </w:r>
      <w:bookmarkStart w:id="537" w:name="_Toc68726929"/>
      <w:r w:rsidR="005374A5">
        <w:t>Budowle regulacyjne i urządzenia wodne</w:t>
      </w:r>
      <w:bookmarkEnd w:id="537"/>
    </w:p>
    <w:p w14:paraId="390F37FE" w14:textId="77777777" w:rsidR="009B1C61" w:rsidRDefault="009B1C61" w:rsidP="009B1C61">
      <w:pPr>
        <w:suppressAutoHyphens/>
        <w:rPr>
          <w:rFonts w:asciiTheme="minorHAnsi" w:hAnsiTheme="minorHAnsi" w:cstheme="minorHAnsi"/>
        </w:rPr>
      </w:pPr>
      <w:bookmarkStart w:id="538" w:name="_Hlk54011303"/>
      <w:r>
        <w:rPr>
          <w:rFonts w:asciiTheme="minorHAnsi" w:hAnsiTheme="minorHAnsi" w:cstheme="minorHAnsi"/>
        </w:rPr>
        <w:t>Zgodnie z art.318 ust. 2 pkt 2 ustawy pr.w. oraz par. 2 ust. 1 pkt 33 r.p.g.w plan gospodarowania wodami prezentuje informacje dotyczące budowli regulacyjnych i urządzeń wodnych będących własnością Skarbu Państwa o istotnym znaczeniu dla zarządzania wodami.</w:t>
      </w:r>
    </w:p>
    <w:p w14:paraId="17E3D229" w14:textId="26FA794E" w:rsidR="009B1C61" w:rsidRDefault="009B1C61" w:rsidP="009B1C61">
      <w:pPr>
        <w:suppressAutoHyphens/>
        <w:rPr>
          <w:rFonts w:asciiTheme="minorHAnsi" w:hAnsiTheme="minorHAnsi" w:cstheme="minorBidi"/>
        </w:rPr>
      </w:pPr>
      <w:r>
        <w:rPr>
          <w:rFonts w:asciiTheme="minorHAnsi" w:hAnsiTheme="minorHAnsi" w:cstheme="minorHAnsi"/>
        </w:rPr>
        <w:t xml:space="preserve">Budowle regulacyjne zgodnie z art. 16 </w:t>
      </w:r>
      <w:r w:rsidR="00980B19">
        <w:rPr>
          <w:rFonts w:asciiTheme="minorHAnsi" w:hAnsiTheme="minorHAnsi" w:cstheme="minorHAnsi"/>
        </w:rPr>
        <w:t xml:space="preserve">ustawy </w:t>
      </w:r>
      <w:r>
        <w:rPr>
          <w:rFonts w:asciiTheme="minorHAnsi" w:hAnsiTheme="minorHAnsi" w:cstheme="minorHAnsi"/>
        </w:rPr>
        <w:t xml:space="preserve">pr.w. są jedną z kategorii budowli przeciwpowodziowych a jednocześnie hydrotechniczną, która zgodnie z rozporządzeniem </w:t>
      </w:r>
      <w:r w:rsidRPr="00401E10">
        <w:rPr>
          <w:rFonts w:asciiTheme="minorHAnsi" w:hAnsiTheme="minorHAnsi" w:cstheme="minorHAnsi"/>
        </w:rPr>
        <w:t>Ministra Środowiska z dnia 20</w:t>
      </w:r>
      <w:r>
        <w:rPr>
          <w:rFonts w:asciiTheme="minorHAnsi" w:hAnsiTheme="minorHAnsi" w:cstheme="minorHAnsi"/>
        </w:rPr>
        <w:t> </w:t>
      </w:r>
      <w:r w:rsidRPr="00401E10">
        <w:rPr>
          <w:rFonts w:asciiTheme="minorHAnsi" w:hAnsiTheme="minorHAnsi" w:cstheme="minorHAnsi"/>
        </w:rPr>
        <w:t>kwietnia 2007 r. w sprawie warunków technicznych, jakim powinny odpowiadać budowle hydrotechniczne i ich usytuowanie</w:t>
      </w:r>
      <w:r>
        <w:rPr>
          <w:rFonts w:asciiTheme="minorHAnsi" w:hAnsiTheme="minorHAnsi" w:cstheme="minorHAnsi"/>
        </w:rPr>
        <w:t xml:space="preserve"> (Dz.U. z 2007 r. </w:t>
      </w:r>
      <w:hyperlink r:id="rId98" w:history="1">
        <w:r w:rsidRPr="00005676">
          <w:rPr>
            <w:rFonts w:asciiTheme="minorHAnsi" w:hAnsiTheme="minorHAnsi" w:cstheme="minorHAnsi"/>
          </w:rPr>
          <w:t>nr 86</w:t>
        </w:r>
        <w:r>
          <w:rPr>
            <w:rFonts w:asciiTheme="minorHAnsi" w:hAnsiTheme="minorHAnsi" w:cstheme="minorHAnsi"/>
          </w:rPr>
          <w:t>,</w:t>
        </w:r>
        <w:r w:rsidRPr="00005676">
          <w:rPr>
            <w:rFonts w:asciiTheme="minorHAnsi" w:hAnsiTheme="minorHAnsi" w:cstheme="minorHAnsi"/>
          </w:rPr>
          <w:t xml:space="preserve"> poz. 579</w:t>
        </w:r>
      </w:hyperlink>
      <w:r>
        <w:rPr>
          <w:rFonts w:asciiTheme="minorHAnsi" w:hAnsiTheme="minorHAnsi" w:cstheme="minorHAnsi"/>
        </w:rPr>
        <w:t xml:space="preserve">) rozumiana jest jako </w:t>
      </w:r>
      <w:r w:rsidRPr="00AE2605">
        <w:rPr>
          <w:rFonts w:asciiTheme="minorHAnsi" w:hAnsiTheme="minorHAnsi" w:cstheme="minorHAnsi"/>
          <w:i/>
          <w:iCs/>
        </w:rPr>
        <w:t>budowle wraz z urz</w:t>
      </w:r>
      <w:r>
        <w:rPr>
          <w:rFonts w:asciiTheme="minorHAnsi" w:hAnsiTheme="minorHAnsi" w:cstheme="minorHAnsi"/>
          <w:i/>
          <w:iCs/>
        </w:rPr>
        <w:t>ą</w:t>
      </w:r>
      <w:r w:rsidRPr="00AE2605">
        <w:rPr>
          <w:rFonts w:asciiTheme="minorHAnsi" w:hAnsiTheme="minorHAnsi" w:cstheme="minorHAnsi"/>
          <w:i/>
          <w:iCs/>
        </w:rPr>
        <w:t>dzeniami i instalacjami technicznymi z nimi zwi</w:t>
      </w:r>
      <w:r>
        <w:rPr>
          <w:rFonts w:asciiTheme="minorHAnsi" w:hAnsiTheme="minorHAnsi" w:cstheme="minorHAnsi"/>
          <w:i/>
          <w:iCs/>
        </w:rPr>
        <w:t>ą</w:t>
      </w:r>
      <w:r w:rsidRPr="00AE2605">
        <w:rPr>
          <w:rFonts w:asciiTheme="minorHAnsi" w:hAnsiTheme="minorHAnsi" w:cstheme="minorHAnsi"/>
          <w:i/>
          <w:iCs/>
        </w:rPr>
        <w:t xml:space="preserve">zanymi, </w:t>
      </w:r>
      <w:r>
        <w:rPr>
          <w:rFonts w:asciiTheme="minorHAnsi" w:hAnsiTheme="minorHAnsi" w:cstheme="minorHAnsi"/>
          <w:i/>
          <w:iCs/>
        </w:rPr>
        <w:t>służące</w:t>
      </w:r>
      <w:r w:rsidRPr="00AE2605">
        <w:rPr>
          <w:rFonts w:asciiTheme="minorHAnsi" w:hAnsiTheme="minorHAnsi" w:cstheme="minorHAnsi"/>
          <w:i/>
          <w:iCs/>
        </w:rPr>
        <w:t xml:space="preserve"> gospodarce wodnej oraz kszta</w:t>
      </w:r>
      <w:r>
        <w:rPr>
          <w:rFonts w:asciiTheme="minorHAnsi" w:hAnsiTheme="minorHAnsi" w:cstheme="minorHAnsi"/>
          <w:i/>
          <w:iCs/>
        </w:rPr>
        <w:t>ł</w:t>
      </w:r>
      <w:r w:rsidRPr="00AE2605">
        <w:rPr>
          <w:rFonts w:asciiTheme="minorHAnsi" w:hAnsiTheme="minorHAnsi" w:cstheme="minorHAnsi"/>
          <w:i/>
          <w:iCs/>
        </w:rPr>
        <w:t xml:space="preserve">towaniu zasobów wodnych i korzystaniu z nich, w tym: zapory ziemne i betonowe, jazy, budowle </w:t>
      </w:r>
      <w:r w:rsidRPr="4DD9283B">
        <w:rPr>
          <w:rFonts w:asciiTheme="minorHAnsi" w:hAnsiTheme="minorHAnsi" w:cstheme="minorBidi"/>
          <w:i/>
          <w:iCs/>
        </w:rPr>
        <w:t>upustowe z przelewami i spustami, przepusty wałowe i mnichy, śluzy żeglugowe, wały przeciwpowodziowe, siłownie i elektrownie wodne, ujęcie śródlądowych wód powierzchniowych, wyloty ścieków, czasze zbiorników wodnych wraz ze zboczami i skarpami, pompownie, kanały, sztolnie, rurociągi hydrotechniczne, syfony, lewary, akwedukty, budowle regulacyjne na rzekach i potokach, progi, grodzie, nadpoziomowe zbiorniki gromadzące substancje płynne i półpłynne, porty, baseny, zimowiska, pirsy, mola, pomosty, nabrzeża, bulwary, pochylnie i falochrony na wodach śródlądowych, przepławki dla ryb.</w:t>
      </w:r>
    </w:p>
    <w:p w14:paraId="1A021BEE" w14:textId="6756E5AE" w:rsidR="009B1C61" w:rsidRPr="00BB0E3B" w:rsidRDefault="009B1C61" w:rsidP="009B1C61">
      <w:pPr>
        <w:suppressAutoHyphens/>
        <w:rPr>
          <w:rFonts w:asciiTheme="minorHAnsi" w:hAnsiTheme="minorHAnsi" w:cstheme="minorHAnsi"/>
        </w:rPr>
      </w:pPr>
      <w:r>
        <w:rPr>
          <w:rFonts w:asciiTheme="minorHAnsi" w:hAnsiTheme="minorHAnsi" w:cstheme="minorHAnsi"/>
        </w:rPr>
        <w:t xml:space="preserve">Podstawę dla przygotowania </w:t>
      </w:r>
      <w:r w:rsidRPr="00BB0E3B">
        <w:rPr>
          <w:rFonts w:asciiTheme="minorHAnsi" w:hAnsiTheme="minorHAnsi" w:cstheme="minorHAnsi"/>
        </w:rPr>
        <w:t xml:space="preserve">przedstawionych w rozdziale informacji stanowiły dane bazy HYMO (baza projektu </w:t>
      </w:r>
      <w:r w:rsidRPr="00BB0E3B">
        <w:rPr>
          <w:rFonts w:asciiTheme="minorHAnsi" w:hAnsiTheme="minorHAnsi" w:cstheme="minorHAnsi"/>
          <w:i/>
          <w:iCs/>
        </w:rPr>
        <w:t>Identyfikacja presji (…</w:t>
      </w:r>
      <w:r w:rsidRPr="00BB0E3B">
        <w:rPr>
          <w:rFonts w:asciiTheme="minorHAnsi" w:hAnsiTheme="minorHAnsi" w:cstheme="minorHAnsi"/>
        </w:rPr>
        <w:t>), aktualizacja 09.2020r.) oraz dane PGW</w:t>
      </w:r>
      <w:r w:rsidR="003A6741" w:rsidRPr="00BB0E3B">
        <w:rPr>
          <w:rFonts w:asciiTheme="minorHAnsi" w:hAnsiTheme="minorHAnsi" w:cstheme="minorHAnsi"/>
        </w:rPr>
        <w:t> </w:t>
      </w:r>
      <w:r w:rsidRPr="00BB0E3B">
        <w:rPr>
          <w:rFonts w:asciiTheme="minorHAnsi" w:hAnsiTheme="minorHAnsi" w:cstheme="minorHAnsi"/>
        </w:rPr>
        <w:t xml:space="preserve">WP. </w:t>
      </w:r>
    </w:p>
    <w:p w14:paraId="5DF6334E" w14:textId="1F02C0A4" w:rsidR="009B1C61" w:rsidRPr="00BB0E3B" w:rsidRDefault="009B1C61" w:rsidP="009B1C61">
      <w:pPr>
        <w:suppressAutoHyphens/>
        <w:rPr>
          <w:rFonts w:asciiTheme="minorHAnsi" w:hAnsiTheme="minorHAnsi" w:cstheme="minorBidi"/>
        </w:rPr>
      </w:pPr>
      <w:r w:rsidRPr="00BB0E3B">
        <w:rPr>
          <w:rFonts w:asciiTheme="minorHAnsi" w:hAnsiTheme="minorHAnsi" w:cstheme="minorBidi"/>
        </w:rPr>
        <w:t>Łączna liczba uwzględnionych w bazie budowli regulacyjnych na obszarze dorzecza Pr</w:t>
      </w:r>
      <w:r w:rsidR="003A6741" w:rsidRPr="00BB0E3B">
        <w:rPr>
          <w:rFonts w:asciiTheme="minorHAnsi" w:hAnsiTheme="minorHAnsi" w:cstheme="minorBidi"/>
        </w:rPr>
        <w:t>e</w:t>
      </w:r>
      <w:r w:rsidRPr="00BB0E3B">
        <w:rPr>
          <w:rFonts w:asciiTheme="minorHAnsi" w:hAnsiTheme="minorHAnsi" w:cstheme="minorBidi"/>
        </w:rPr>
        <w:t xml:space="preserve">goły </w:t>
      </w:r>
      <w:r w:rsidR="00BB0E3B" w:rsidRPr="00BB0E3B">
        <w:rPr>
          <w:rFonts w:asciiTheme="minorHAnsi" w:hAnsiTheme="minorHAnsi" w:cstheme="minorBidi"/>
        </w:rPr>
        <w:t>-</w:t>
      </w:r>
      <w:r w:rsidR="003A6741" w:rsidRPr="00BB0E3B">
        <w:rPr>
          <w:rFonts w:asciiTheme="minorHAnsi" w:hAnsiTheme="minorHAnsi" w:cstheme="minorBidi"/>
        </w:rPr>
        <w:t xml:space="preserve"> </w:t>
      </w:r>
      <w:r w:rsidRPr="00BB0E3B">
        <w:rPr>
          <w:rFonts w:asciiTheme="minorHAnsi" w:hAnsiTheme="minorHAnsi" w:cstheme="minorBidi"/>
        </w:rPr>
        <w:t>64</w:t>
      </w:r>
      <w:r w:rsidR="003A6741" w:rsidRPr="00BB0E3B">
        <w:rPr>
          <w:rFonts w:asciiTheme="minorHAnsi" w:hAnsiTheme="minorHAnsi" w:cstheme="minorBidi"/>
        </w:rPr>
        <w:t> </w:t>
      </w:r>
      <w:r w:rsidRPr="00BB0E3B">
        <w:rPr>
          <w:rFonts w:asciiTheme="minorHAnsi" w:hAnsiTheme="minorHAnsi" w:cstheme="minorBidi"/>
        </w:rPr>
        <w:t>budowli. Wśród nich występuje 5 budowli nowych lub zmodernizowanych w latach 2017-2019 będące własnością Skarbu Państwa.</w:t>
      </w:r>
    </w:p>
    <w:p w14:paraId="491B19DE" w14:textId="184CD6B1" w:rsidR="009B1C61" w:rsidRPr="00BB0E3B" w:rsidRDefault="009B1C61" w:rsidP="009B1C61">
      <w:pPr>
        <w:suppressAutoHyphens/>
        <w:rPr>
          <w:rFonts w:asciiTheme="minorHAnsi" w:hAnsiTheme="minorHAnsi" w:cstheme="minorHAnsi"/>
        </w:rPr>
      </w:pPr>
      <w:r w:rsidRPr="00BB0E3B">
        <w:rPr>
          <w:rFonts w:asciiTheme="minorHAnsi" w:hAnsiTheme="minorHAnsi" w:cstheme="minorHAnsi"/>
        </w:rPr>
        <w:t xml:space="preserve">Zestawienie udziału liczby budowli regulacyjnych zlokalizowanych </w:t>
      </w:r>
      <w:r w:rsidR="00C92367">
        <w:rPr>
          <w:rFonts w:asciiTheme="minorHAnsi" w:hAnsiTheme="minorHAnsi" w:cstheme="minorHAnsi"/>
        </w:rPr>
        <w:t>na</w:t>
      </w:r>
      <w:r w:rsidRPr="00BB0E3B">
        <w:rPr>
          <w:rFonts w:asciiTheme="minorHAnsi" w:hAnsiTheme="minorHAnsi" w:cstheme="minorHAnsi"/>
        </w:rPr>
        <w:t xml:space="preserve"> obszarze dorzecza Pr</w:t>
      </w:r>
      <w:r w:rsidR="00D13901" w:rsidRPr="00BB0E3B">
        <w:rPr>
          <w:rFonts w:asciiTheme="minorHAnsi" w:hAnsiTheme="minorHAnsi" w:cstheme="minorHAnsi"/>
        </w:rPr>
        <w:t>e</w:t>
      </w:r>
      <w:r w:rsidRPr="00BB0E3B">
        <w:rPr>
          <w:rFonts w:asciiTheme="minorHAnsi" w:hAnsiTheme="minorHAnsi" w:cstheme="minorHAnsi"/>
        </w:rPr>
        <w:t>goły prezentuje poniższa tabela.</w:t>
      </w:r>
    </w:p>
    <w:p w14:paraId="4166A5E7" w14:textId="3568A6CF" w:rsidR="00D13901" w:rsidRPr="00D13901" w:rsidRDefault="00D13901" w:rsidP="006802BB">
      <w:pPr>
        <w:pStyle w:val="Tabela"/>
      </w:pPr>
      <w:bookmarkStart w:id="539" w:name="_Toc68727066"/>
      <w:r w:rsidRPr="00BB0E3B">
        <w:t xml:space="preserve">Tabela </w:t>
      </w:r>
      <w:fldSimple w:instr=" STYLEREF 1 \s ">
        <w:r w:rsidR="007B4050">
          <w:rPr>
            <w:noProof/>
          </w:rPr>
          <w:t>18</w:t>
        </w:r>
      </w:fldSimple>
      <w:r w:rsidR="007B4050">
        <w:noBreakHyphen/>
      </w:r>
      <w:fldSimple w:instr=" SEQ Tabela \* ARABIC \s 1 ">
        <w:r w:rsidR="007B4050">
          <w:rPr>
            <w:noProof/>
          </w:rPr>
          <w:t>1</w:t>
        </w:r>
      </w:fldSimple>
      <w:r w:rsidRPr="00BB0E3B">
        <w:tab/>
        <w:t>Budowle regulacyjne na obszarze dorzecza Pregoły</w:t>
      </w:r>
      <w:bookmarkEnd w:id="539"/>
    </w:p>
    <w:tbl>
      <w:tblPr>
        <w:tblW w:w="5000" w:type="pct"/>
        <w:tblCellMar>
          <w:left w:w="70" w:type="dxa"/>
          <w:right w:w="70" w:type="dxa"/>
        </w:tblCellMar>
        <w:tblLook w:val="04A0" w:firstRow="1" w:lastRow="0" w:firstColumn="1" w:lastColumn="0" w:noHBand="0" w:noVBand="1"/>
      </w:tblPr>
      <w:tblGrid>
        <w:gridCol w:w="3695"/>
        <w:gridCol w:w="1647"/>
        <w:gridCol w:w="1342"/>
        <w:gridCol w:w="2356"/>
      </w:tblGrid>
      <w:tr w:rsidR="009B1C61" w:rsidRPr="0069332C" w14:paraId="5B34578E" w14:textId="77777777" w:rsidTr="00C92367">
        <w:trPr>
          <w:trHeight w:val="454"/>
        </w:trPr>
        <w:tc>
          <w:tcPr>
            <w:tcW w:w="20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3E3D85" w14:textId="77777777" w:rsidR="009B1C61" w:rsidRPr="0069332C" w:rsidRDefault="009B1C61" w:rsidP="00B16BD9">
            <w:pPr>
              <w:pStyle w:val="Tabela-tekst"/>
              <w:jc w:val="center"/>
              <w:rPr>
                <w:rFonts w:cs="Calibri"/>
                <w:b/>
                <w:color w:val="000000"/>
              </w:rPr>
            </w:pPr>
            <w:r w:rsidRPr="00A16503">
              <w:rPr>
                <w:b/>
                <w:bCs/>
              </w:rPr>
              <w:t>Region wodny</w:t>
            </w:r>
          </w:p>
        </w:tc>
        <w:tc>
          <w:tcPr>
            <w:tcW w:w="91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BCB1100" w14:textId="77777777" w:rsidR="009B1C61" w:rsidRPr="0069332C" w:rsidRDefault="009B1C61" w:rsidP="00C92367">
            <w:pPr>
              <w:pStyle w:val="Tabela-tekst"/>
              <w:jc w:val="center"/>
              <w:rPr>
                <w:rFonts w:cs="Calibri"/>
                <w:b/>
                <w:color w:val="000000"/>
              </w:rPr>
            </w:pPr>
            <w:r w:rsidRPr="00A16503">
              <w:rPr>
                <w:b/>
                <w:bCs/>
              </w:rPr>
              <w:t>Liczba budowli regulacyjnych</w:t>
            </w:r>
          </w:p>
        </w:tc>
        <w:tc>
          <w:tcPr>
            <w:tcW w:w="742"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858063E" w14:textId="59DFF092" w:rsidR="009B1C61" w:rsidRPr="0069332C" w:rsidRDefault="009B1C61" w:rsidP="00C92367">
            <w:pPr>
              <w:pStyle w:val="Tabela-tekst"/>
              <w:jc w:val="center"/>
              <w:rPr>
                <w:rFonts w:cs="Calibri"/>
                <w:b/>
                <w:color w:val="000000"/>
              </w:rPr>
            </w:pPr>
            <w:r w:rsidRPr="00A16503">
              <w:rPr>
                <w:b/>
                <w:bCs/>
              </w:rPr>
              <w:t>Udział w ogólnej liczbie budowli</w:t>
            </w:r>
            <w:r w:rsidR="00C92367">
              <w:rPr>
                <w:b/>
                <w:bCs/>
              </w:rPr>
              <w:t xml:space="preserve"> (%)</w:t>
            </w:r>
          </w:p>
        </w:tc>
        <w:tc>
          <w:tcPr>
            <w:tcW w:w="130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3F438D0" w14:textId="77777777" w:rsidR="009B1C61" w:rsidRPr="0069332C" w:rsidRDefault="009B1C61" w:rsidP="00C92367">
            <w:pPr>
              <w:pStyle w:val="Tabela-tekst"/>
              <w:jc w:val="center"/>
              <w:rPr>
                <w:rFonts w:cs="Calibri"/>
                <w:b/>
                <w:color w:val="000000"/>
              </w:rPr>
            </w:pPr>
            <w:r w:rsidRPr="00A16503">
              <w:rPr>
                <w:b/>
                <w:bCs/>
              </w:rPr>
              <w:t xml:space="preserve">Budowle nowe lub zmodernizowane w latach </w:t>
            </w:r>
            <w:r w:rsidRPr="0069332C">
              <w:rPr>
                <w:rFonts w:cs="Calibri"/>
                <w:b/>
                <w:color w:val="000000"/>
              </w:rPr>
              <w:t>2017-2019 będące własnością Skarbu Państwa</w:t>
            </w:r>
          </w:p>
        </w:tc>
      </w:tr>
      <w:tr w:rsidR="009B1C61" w:rsidRPr="0069332C" w14:paraId="58BA26F4" w14:textId="77777777" w:rsidTr="00C92367">
        <w:trPr>
          <w:trHeight w:val="454"/>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FD42E" w14:textId="77777777" w:rsidR="009B1C61" w:rsidRPr="00C92367" w:rsidRDefault="009B1C61" w:rsidP="00A16503">
            <w:pPr>
              <w:pStyle w:val="Tabela-tekst"/>
              <w:rPr>
                <w:rFonts w:cs="Calibri"/>
                <w:color w:val="000000"/>
              </w:rPr>
            </w:pPr>
            <w:r w:rsidRPr="00C92367">
              <w:t>Region wodny Łyny i Węgorapy</w:t>
            </w: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14:paraId="344BAA46" w14:textId="77777777" w:rsidR="009B1C61" w:rsidRPr="00C92367" w:rsidRDefault="009B1C61" w:rsidP="00C92367">
            <w:pPr>
              <w:pStyle w:val="Tabela-tekst"/>
              <w:jc w:val="center"/>
              <w:rPr>
                <w:rFonts w:cs="Calibri"/>
                <w:color w:val="000000"/>
              </w:rPr>
            </w:pPr>
            <w:r w:rsidRPr="00C92367">
              <w:t>640</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5D016CC" w14:textId="7F1CE63B" w:rsidR="009B1C61" w:rsidRPr="00C92367" w:rsidRDefault="009B1C61" w:rsidP="00C92367">
            <w:pPr>
              <w:pStyle w:val="Tabela-tekst"/>
              <w:jc w:val="center"/>
              <w:rPr>
                <w:rFonts w:cs="Calibri"/>
                <w:color w:val="000000"/>
              </w:rPr>
            </w:pPr>
            <w:r w:rsidRPr="00C92367">
              <w:t>100</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2B077903" w14:textId="77777777" w:rsidR="009B1C61" w:rsidRPr="00C92367" w:rsidRDefault="009B1C61" w:rsidP="00C92367">
            <w:pPr>
              <w:pStyle w:val="Tabela-tekst"/>
              <w:jc w:val="center"/>
              <w:rPr>
                <w:rFonts w:cs="Calibri"/>
                <w:color w:val="000000"/>
              </w:rPr>
            </w:pPr>
            <w:r w:rsidRPr="00C92367">
              <w:t>5</w:t>
            </w:r>
          </w:p>
        </w:tc>
      </w:tr>
      <w:tr w:rsidR="00B16BD9" w:rsidRPr="0069332C" w14:paraId="267219EA" w14:textId="77777777" w:rsidTr="000674BB">
        <w:trPr>
          <w:trHeight w:val="454"/>
        </w:trPr>
        <w:tc>
          <w:tcPr>
            <w:tcW w:w="2044"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787547B0" w14:textId="506A2639" w:rsidR="00B16BD9" w:rsidRPr="00C92367" w:rsidRDefault="00B16BD9" w:rsidP="00B16BD9">
            <w:pPr>
              <w:pStyle w:val="Tabela-tekst"/>
              <w:jc w:val="center"/>
              <w:rPr>
                <w:rFonts w:cs="Calibri"/>
                <w:b/>
                <w:bCs/>
              </w:rPr>
            </w:pPr>
            <w:r w:rsidRPr="000674BB">
              <w:rPr>
                <w:b/>
                <w:bCs/>
                <w:color w:val="000000"/>
              </w:rPr>
              <w:t>Ogółem</w:t>
            </w:r>
          </w:p>
        </w:tc>
        <w:tc>
          <w:tcPr>
            <w:tcW w:w="911" w:type="pct"/>
            <w:tcBorders>
              <w:top w:val="nil"/>
              <w:left w:val="nil"/>
              <w:bottom w:val="single" w:sz="4" w:space="0" w:color="auto"/>
              <w:right w:val="single" w:sz="4" w:space="0" w:color="auto"/>
            </w:tcBorders>
            <w:shd w:val="clear" w:color="auto" w:fill="BFBFBF" w:themeFill="background1" w:themeFillShade="BF"/>
            <w:noWrap/>
            <w:vAlign w:val="center"/>
            <w:hideMark/>
          </w:tcPr>
          <w:p w14:paraId="464C1E1A" w14:textId="77777777" w:rsidR="00B16BD9" w:rsidRPr="00C92367" w:rsidRDefault="00B16BD9" w:rsidP="00B16BD9">
            <w:pPr>
              <w:pStyle w:val="Tabela-tekst"/>
              <w:jc w:val="center"/>
              <w:rPr>
                <w:rFonts w:cs="Calibri"/>
                <w:b/>
                <w:bCs/>
              </w:rPr>
            </w:pPr>
            <w:r w:rsidRPr="00C92367">
              <w:rPr>
                <w:b/>
                <w:bCs/>
              </w:rPr>
              <w:t>640</w:t>
            </w:r>
          </w:p>
        </w:tc>
        <w:tc>
          <w:tcPr>
            <w:tcW w:w="742" w:type="pct"/>
            <w:tcBorders>
              <w:top w:val="nil"/>
              <w:left w:val="nil"/>
              <w:bottom w:val="single" w:sz="4" w:space="0" w:color="auto"/>
              <w:right w:val="single" w:sz="4" w:space="0" w:color="auto"/>
            </w:tcBorders>
            <w:shd w:val="clear" w:color="auto" w:fill="BFBFBF" w:themeFill="background1" w:themeFillShade="BF"/>
            <w:noWrap/>
            <w:vAlign w:val="center"/>
            <w:hideMark/>
          </w:tcPr>
          <w:p w14:paraId="712BAC53" w14:textId="12B9536E" w:rsidR="00B16BD9" w:rsidRPr="00C92367" w:rsidRDefault="00B16BD9" w:rsidP="00B16BD9">
            <w:pPr>
              <w:pStyle w:val="Tabela-tekst"/>
              <w:jc w:val="center"/>
              <w:rPr>
                <w:rFonts w:cs="Calibri"/>
                <w:b/>
                <w:bCs/>
              </w:rPr>
            </w:pPr>
            <w:r w:rsidRPr="00C92367">
              <w:rPr>
                <w:b/>
                <w:bCs/>
              </w:rPr>
              <w:t>100</w:t>
            </w:r>
          </w:p>
        </w:tc>
        <w:tc>
          <w:tcPr>
            <w:tcW w:w="1303" w:type="pct"/>
            <w:tcBorders>
              <w:top w:val="nil"/>
              <w:left w:val="nil"/>
              <w:bottom w:val="single" w:sz="4" w:space="0" w:color="auto"/>
              <w:right w:val="single" w:sz="4" w:space="0" w:color="auto"/>
            </w:tcBorders>
            <w:shd w:val="clear" w:color="auto" w:fill="BFBFBF" w:themeFill="background1" w:themeFillShade="BF"/>
            <w:noWrap/>
            <w:vAlign w:val="center"/>
            <w:hideMark/>
          </w:tcPr>
          <w:p w14:paraId="337EE709" w14:textId="77777777" w:rsidR="00B16BD9" w:rsidRPr="00C92367" w:rsidRDefault="00B16BD9" w:rsidP="00B16BD9">
            <w:pPr>
              <w:pStyle w:val="Tabela-tekst"/>
              <w:jc w:val="center"/>
              <w:rPr>
                <w:rFonts w:cs="Calibri"/>
                <w:b/>
                <w:bCs/>
                <w:color w:val="000000"/>
              </w:rPr>
            </w:pPr>
            <w:r w:rsidRPr="00C92367">
              <w:rPr>
                <w:b/>
                <w:bCs/>
              </w:rPr>
              <w:t>5</w:t>
            </w:r>
          </w:p>
        </w:tc>
      </w:tr>
    </w:tbl>
    <w:p w14:paraId="0258F117" w14:textId="3B7C65CB" w:rsidR="009B1C61" w:rsidRDefault="009B1C61" w:rsidP="00D13901">
      <w:pPr>
        <w:pStyle w:val="rdo0"/>
        <w:rPr>
          <w:lang w:eastAsia="zh-CN"/>
        </w:rPr>
      </w:pPr>
      <w:r w:rsidRPr="001D32AB">
        <w:rPr>
          <w:lang w:eastAsia="zh-CN"/>
        </w:rPr>
        <w:t xml:space="preserve">Źródło: </w:t>
      </w:r>
      <w:r w:rsidR="001B1731">
        <w:rPr>
          <w:lang w:eastAsia="zh-CN"/>
        </w:rPr>
        <w:t xml:space="preserve">opracowanie </w:t>
      </w:r>
      <w:r w:rsidR="00F340C7">
        <w:rPr>
          <w:lang w:eastAsia="zh-CN"/>
        </w:rPr>
        <w:t>własne</w:t>
      </w:r>
      <w:r w:rsidRPr="001D32AB">
        <w:rPr>
          <w:lang w:eastAsia="zh-CN"/>
        </w:rPr>
        <w:t xml:space="preserve"> na podstawie </w:t>
      </w:r>
      <w:r>
        <w:rPr>
          <w:lang w:eastAsia="zh-CN"/>
        </w:rPr>
        <w:t>Bazy HYMO (09.2020) oraz wykazu budowli nowych lub modernizowanych w latach 2017-2019, będących własnością Skarb</w:t>
      </w:r>
      <w:r w:rsidR="000674BB">
        <w:rPr>
          <w:lang w:eastAsia="zh-CN"/>
        </w:rPr>
        <w:t>u</w:t>
      </w:r>
      <w:r>
        <w:rPr>
          <w:lang w:eastAsia="zh-CN"/>
        </w:rPr>
        <w:t xml:space="preserve"> Państwa</w:t>
      </w:r>
    </w:p>
    <w:p w14:paraId="265026CC" w14:textId="4978BB89" w:rsidR="009B1C61" w:rsidRDefault="009B1C61" w:rsidP="009B1C61">
      <w:pPr>
        <w:suppressAutoHyphens/>
        <w:rPr>
          <w:rFonts w:asciiTheme="minorHAnsi" w:hAnsiTheme="minorHAnsi" w:cstheme="minorHAnsi"/>
        </w:rPr>
      </w:pPr>
      <w:r>
        <w:rPr>
          <w:rFonts w:asciiTheme="minorHAnsi" w:hAnsiTheme="minorHAnsi" w:cstheme="minorHAnsi"/>
        </w:rPr>
        <w:t>Rozmieszczenie przestrzenne budowli regulacyjnych na obszarze dorzecza Pr</w:t>
      </w:r>
      <w:r w:rsidR="0069332C">
        <w:rPr>
          <w:rFonts w:asciiTheme="minorHAnsi" w:hAnsiTheme="minorHAnsi" w:cstheme="minorHAnsi"/>
        </w:rPr>
        <w:t>e</w:t>
      </w:r>
      <w:r>
        <w:rPr>
          <w:rFonts w:asciiTheme="minorHAnsi" w:hAnsiTheme="minorHAnsi" w:cstheme="minorHAnsi"/>
        </w:rPr>
        <w:t xml:space="preserve">goły przedstawione </w:t>
      </w:r>
      <w:r w:rsidRPr="00A03AFF">
        <w:rPr>
          <w:rFonts w:asciiTheme="minorHAnsi" w:hAnsiTheme="minorHAnsi" w:cstheme="minorHAnsi"/>
        </w:rPr>
        <w:t xml:space="preserve">zostało na załączniku graficznym nr </w:t>
      </w:r>
      <w:r w:rsidR="000653F2" w:rsidRPr="00A03AFF">
        <w:rPr>
          <w:rFonts w:asciiTheme="minorHAnsi" w:hAnsiTheme="minorHAnsi" w:cstheme="minorHAnsi"/>
        </w:rPr>
        <w:t>25</w:t>
      </w:r>
      <w:r w:rsidRPr="00A03AFF">
        <w:rPr>
          <w:rFonts w:asciiTheme="minorHAnsi" w:hAnsiTheme="minorHAnsi" w:cstheme="minorHAnsi"/>
        </w:rPr>
        <w:t>.</w:t>
      </w:r>
    </w:p>
    <w:p w14:paraId="44B36539" w14:textId="49420E69" w:rsidR="00977F72" w:rsidRDefault="009B1C61" w:rsidP="009B1C61">
      <w:r w:rsidRPr="00307663">
        <w:rPr>
          <w:rFonts w:asciiTheme="minorHAnsi" w:hAnsiTheme="minorHAnsi" w:cstheme="minorHAnsi"/>
        </w:rPr>
        <w:t xml:space="preserve">Informacja o </w:t>
      </w:r>
      <w:r>
        <w:rPr>
          <w:rFonts w:asciiTheme="minorHAnsi" w:hAnsiTheme="minorHAnsi" w:cstheme="minorHAnsi"/>
        </w:rPr>
        <w:t xml:space="preserve">występowaniu </w:t>
      </w:r>
      <w:r w:rsidRPr="00307663">
        <w:rPr>
          <w:rFonts w:asciiTheme="minorHAnsi" w:hAnsiTheme="minorHAnsi" w:cstheme="minorHAnsi"/>
        </w:rPr>
        <w:t>budowli regulacyjn</w:t>
      </w:r>
      <w:r>
        <w:rPr>
          <w:rFonts w:asciiTheme="minorHAnsi" w:hAnsiTheme="minorHAnsi" w:cstheme="minorHAnsi"/>
        </w:rPr>
        <w:t>ych</w:t>
      </w:r>
      <w:r w:rsidRPr="00307663">
        <w:rPr>
          <w:rFonts w:asciiTheme="minorHAnsi" w:hAnsiTheme="minorHAnsi" w:cstheme="minorHAnsi"/>
        </w:rPr>
        <w:t xml:space="preserve"> i urządzeń wodnych </w:t>
      </w:r>
      <w:r>
        <w:rPr>
          <w:rFonts w:asciiTheme="minorHAnsi" w:hAnsiTheme="minorHAnsi" w:cstheme="minorHAnsi"/>
        </w:rPr>
        <w:t>w obrębie danej jcwp wraz z</w:t>
      </w:r>
      <w:r w:rsidR="0069332C">
        <w:rPr>
          <w:rFonts w:asciiTheme="minorHAnsi" w:hAnsiTheme="minorHAnsi" w:cstheme="minorHAnsi"/>
        </w:rPr>
        <w:t> </w:t>
      </w:r>
      <w:r>
        <w:rPr>
          <w:rFonts w:asciiTheme="minorHAnsi" w:hAnsiTheme="minorHAnsi" w:cstheme="minorHAnsi"/>
        </w:rPr>
        <w:t xml:space="preserve">określeniem rodzaju budowli </w:t>
      </w:r>
      <w:r w:rsidRPr="00307663">
        <w:rPr>
          <w:rFonts w:asciiTheme="minorHAnsi" w:hAnsiTheme="minorHAnsi" w:cstheme="minorHAnsi"/>
        </w:rPr>
        <w:t xml:space="preserve">uwzględniona </w:t>
      </w:r>
      <w:r>
        <w:rPr>
          <w:rFonts w:asciiTheme="minorHAnsi" w:hAnsiTheme="minorHAnsi" w:cstheme="minorHAnsi"/>
        </w:rPr>
        <w:t>jest w załączniku nr 1 (załącznik nr 1 zestawienie główne prezentuje szczegółowo informacje dotyczące każdej jcw w zakresie objętym planem gospodarowania wodami).</w:t>
      </w:r>
    </w:p>
    <w:bookmarkEnd w:id="536"/>
    <w:bookmarkEnd w:id="538"/>
    <w:p w14:paraId="08DDCB25" w14:textId="7D7FD467" w:rsidR="00700568" w:rsidRDefault="00E83DC4" w:rsidP="00B50FFD">
      <w:pPr>
        <w:pStyle w:val="Nagwek1"/>
      </w:pPr>
      <w:r>
        <w:br w:type="column"/>
      </w:r>
      <w:bookmarkStart w:id="540" w:name="_Toc68726930"/>
      <w:r w:rsidR="00700568">
        <w:t>Wykaz szczegółowych programów i planów gospodarowania dla obszaru dorzecza</w:t>
      </w:r>
      <w:bookmarkEnd w:id="540"/>
    </w:p>
    <w:p w14:paraId="2E892938"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 xml:space="preserve">W celu sporządzenia wykazu programów i planów gospodarowania dla obszaru dorzecza </w:t>
      </w:r>
      <w:r>
        <w:rPr>
          <w:rFonts w:asciiTheme="minorHAnsi" w:hAnsiTheme="minorHAnsi" w:cstheme="minorHAnsi"/>
        </w:rPr>
        <w:t xml:space="preserve">Pregoły </w:t>
      </w:r>
      <w:r w:rsidRPr="000923F6">
        <w:rPr>
          <w:rFonts w:asciiTheme="minorHAnsi" w:hAnsiTheme="minorHAnsi" w:cstheme="minorHAnsi"/>
        </w:rPr>
        <w:t xml:space="preserve">dokonano przeglądu dokumentów (w tym również projektów i aktualizacji) na wszystkich poziomach systemu zarządzania polityką rozwoju (krajowym, regionalnym oraz </w:t>
      </w:r>
      <w:r w:rsidRPr="00F1066E">
        <w:rPr>
          <w:rFonts w:asciiTheme="minorHAnsi" w:hAnsiTheme="minorHAnsi" w:cstheme="minorHAnsi"/>
        </w:rPr>
        <w:t>lokalnym)</w:t>
      </w:r>
      <w:r>
        <w:rPr>
          <w:rStyle w:val="Odwoanieprzypisudolnego"/>
          <w:rFonts w:asciiTheme="minorHAnsi" w:hAnsiTheme="minorHAnsi" w:cstheme="minorHAnsi"/>
        </w:rPr>
        <w:footnoteReference w:id="38"/>
      </w:r>
      <w:r w:rsidRPr="000923F6">
        <w:rPr>
          <w:rFonts w:asciiTheme="minorHAnsi" w:hAnsiTheme="minorHAnsi" w:cstheme="minorHAnsi"/>
        </w:rPr>
        <w:t xml:space="preserve">. </w:t>
      </w:r>
    </w:p>
    <w:p w14:paraId="5EFF1D1D"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Identyfikacja dokumentów powiązanych miała charakter wielopłaszczyznowy i została przeprowadzona z uwzględnieniem: aspektu przestrzennego (podziału na jednostki planistyczne); sektorów gospodarki; problemów (np. susza, powódź, transport wodny itp.); typów wód (podział na</w:t>
      </w:r>
      <w:r>
        <w:rPr>
          <w:rFonts w:asciiTheme="minorHAnsi" w:hAnsiTheme="minorHAnsi" w:cstheme="minorHAnsi"/>
        </w:rPr>
        <w:t xml:space="preserve"> wody powierzchniowe: </w:t>
      </w:r>
      <w:r w:rsidRPr="000923F6">
        <w:rPr>
          <w:rFonts w:asciiTheme="minorHAnsi" w:hAnsiTheme="minorHAnsi" w:cstheme="minorHAnsi"/>
        </w:rPr>
        <w:t>rzeki</w:t>
      </w:r>
      <w:r w:rsidRPr="00F1066E">
        <w:rPr>
          <w:rFonts w:asciiTheme="minorHAnsi" w:hAnsiTheme="minorHAnsi" w:cstheme="minorHAnsi"/>
        </w:rPr>
        <w:t>, zbiorniki, jeziora;</w:t>
      </w:r>
      <w:r>
        <w:rPr>
          <w:rFonts w:asciiTheme="minorHAnsi" w:hAnsiTheme="minorHAnsi" w:cstheme="minorHAnsi"/>
        </w:rPr>
        <w:t xml:space="preserve"> oraz wody podziemne</w:t>
      </w:r>
      <w:r w:rsidRPr="000923F6">
        <w:rPr>
          <w:rFonts w:asciiTheme="minorHAnsi" w:hAnsiTheme="minorHAnsi" w:cstheme="minorHAnsi"/>
        </w:rPr>
        <w:t>).</w:t>
      </w:r>
    </w:p>
    <w:p w14:paraId="7C0CBE38" w14:textId="720C61E0" w:rsidR="0062113F" w:rsidRPr="000923F6" w:rsidRDefault="0062113F" w:rsidP="0062113F">
      <w:pPr>
        <w:rPr>
          <w:rFonts w:asciiTheme="minorHAnsi" w:hAnsiTheme="minorHAnsi" w:cstheme="minorHAnsi"/>
        </w:rPr>
      </w:pPr>
      <w:r w:rsidRPr="000923F6">
        <w:rPr>
          <w:rFonts w:asciiTheme="minorHAnsi" w:hAnsiTheme="minorHAnsi" w:cstheme="minorHAnsi"/>
        </w:rPr>
        <w:t>Układ dokumentów odzwierciedla nowo przyjęty porządek w zakresie prowadzenia polityki rozwoju wprowadzony uchwałą nr 162/2018 Rady Ministrów z dnia 29 października 2018 r. w sprawie przyjęcia „Systemu zarządzania rozwojem Polski” i usankcjonowany ustawą z dnia 15 lipca 2020 r. o zmianie ustawy o zasadach prowadzenia polityki rozwoju oraz niektórych innych ustaw (Dz.U. z 2020 poz.</w:t>
      </w:r>
      <w:r w:rsidR="00C92367">
        <w:rPr>
          <w:rFonts w:asciiTheme="minorHAnsi" w:hAnsiTheme="minorHAnsi" w:cstheme="minorHAnsi"/>
        </w:rPr>
        <w:t> </w:t>
      </w:r>
      <w:r w:rsidRPr="000923F6">
        <w:rPr>
          <w:rFonts w:asciiTheme="minorHAnsi" w:hAnsiTheme="minorHAnsi" w:cstheme="minorHAnsi"/>
        </w:rPr>
        <w:t>1378).</w:t>
      </w:r>
      <w:r>
        <w:rPr>
          <w:rStyle w:val="Odwoanieprzypisudolnego"/>
          <w:rFonts w:asciiTheme="minorHAnsi" w:hAnsiTheme="minorHAnsi" w:cstheme="minorHAnsi"/>
        </w:rPr>
        <w:footnoteReference w:id="39"/>
      </w:r>
    </w:p>
    <w:p w14:paraId="0FEA5EA3" w14:textId="77777777" w:rsidR="0062113F" w:rsidRPr="00C92367" w:rsidRDefault="0062113F" w:rsidP="0062113F">
      <w:pPr>
        <w:rPr>
          <w:rFonts w:asciiTheme="minorHAnsi" w:hAnsiTheme="minorHAnsi" w:cstheme="minorHAnsi"/>
        </w:rPr>
      </w:pPr>
      <w:r w:rsidRPr="000923F6">
        <w:rPr>
          <w:rFonts w:asciiTheme="minorHAnsi" w:hAnsiTheme="minorHAnsi" w:cstheme="minorHAnsi"/>
        </w:rPr>
        <w:t xml:space="preserve">Zaprezentowana poniżej lista dokumentów </w:t>
      </w:r>
      <w:r w:rsidRPr="00C92367">
        <w:rPr>
          <w:rFonts w:asciiTheme="minorHAnsi" w:hAnsiTheme="minorHAnsi" w:cstheme="minorHAnsi"/>
        </w:rPr>
        <w:t xml:space="preserve">różnicuje je na dokumenty o charakterze strategicznym (planistycznym), wyznaczające obszary i kierunki działań, pełniące podstawową rolę programującą </w:t>
      </w:r>
      <w:r w:rsidRPr="00C92367">
        <w:rPr>
          <w:rFonts w:asciiTheme="minorHAnsi" w:hAnsiTheme="minorHAnsi" w:cstheme="minorHAnsi"/>
        </w:rPr>
        <w:br/>
        <w:t xml:space="preserve">- tj. identyfikującą wyzwania, określającą cele rozwoju i obszary priorytetowe oraz wskazującą na oczekiwane rezultaty; oraz na dokumenty i instrumenty o charakterze operacyjno-wdrożeniowym, ustanawiane w celu realizacji strategii rozwoju, określające niezbędne zadania, w tym inwestycyjne. </w:t>
      </w:r>
    </w:p>
    <w:p w14:paraId="2D3D4318"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 xml:space="preserve">Poniższy schemat prezentuje charakter relacji pomiędzy ww. dokumentami a dokumentem IIaPGW. Można wyróżnić dwie grupy dokumentów: dokumenty powiązane mające wpływ na ustalenia IIaPGW oraz dokumenty, których zakres i zawartość determinowały będą zapisy m.in. IIaPGW. </w:t>
      </w:r>
    </w:p>
    <w:p w14:paraId="2243CC2F" w14:textId="77777777" w:rsidR="0062113F" w:rsidRDefault="0062113F" w:rsidP="0062113F">
      <w:pPr>
        <w:rPr>
          <w:rFonts w:asciiTheme="minorHAnsi" w:hAnsiTheme="minorHAnsi" w:cstheme="minorHAnsi"/>
        </w:rPr>
        <w:sectPr w:rsidR="0062113F" w:rsidSect="00442AB7">
          <w:pgSz w:w="11906" w:h="16838"/>
          <w:pgMar w:top="1440" w:right="1416" w:bottom="1440" w:left="1440" w:header="708" w:footer="708" w:gutter="0"/>
          <w:cols w:space="708"/>
          <w:docGrid w:linePitch="360"/>
        </w:sectPr>
      </w:pPr>
      <w:r w:rsidRPr="00F4630C">
        <w:rPr>
          <w:rFonts w:asciiTheme="minorHAnsi" w:hAnsiTheme="minorHAnsi" w:cstheme="minorHAnsi"/>
        </w:rPr>
        <w:t>W pierwszej grupie znajdują się zarówno dokumenty o charakterze strategicznym i o ogólnokrajowym zasięgu, jak również dokumenty i instrumenty wdrożeniowe, wśród których wyodrębnić należy grupę dokumentów komplementarnych względem IIaPGW, stanowiących swoisty pakiet dokumentów planistycznych kształtujących gospodarkę wodną w kraju.</w:t>
      </w:r>
      <w:r>
        <w:rPr>
          <w:rFonts w:asciiTheme="minorHAnsi" w:hAnsiTheme="minorHAnsi" w:cstheme="minorHAnsi"/>
        </w:rPr>
        <w:t xml:space="preserve"> Drugą grupę dokumentów tworzą regionalne oraz lokalne strategie rozwoju oraz akty planowania przestrzennego, które przez wzgląd na zasadę synergii i komplementarności, uwzględniają zapisy dokumentów strategicznych oraz operacyjno-wdrożeniowych obowiązujących na wyższych szczeblach.</w:t>
      </w:r>
    </w:p>
    <w:p w14:paraId="2BF7B018" w14:textId="78DCF43E" w:rsidR="00A565BC" w:rsidRDefault="0062113F" w:rsidP="00B573C3">
      <w:pPr>
        <w:jc w:val="center"/>
      </w:pPr>
      <w:r>
        <w:rPr>
          <w:noProof/>
        </w:rPr>
        <w:drawing>
          <wp:inline distT="0" distB="0" distL="0" distR="0" wp14:anchorId="4A688DF1" wp14:editId="236B29AE">
            <wp:extent cx="7361112" cy="446400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pic:nvPicPr>
                  <pic:blipFill>
                    <a:blip r:embed="rId99">
                      <a:extLst>
                        <a:ext uri="{28A0092B-C50C-407E-A947-70E740481C1C}">
                          <a14:useLocalDpi xmlns:a14="http://schemas.microsoft.com/office/drawing/2010/main" val="0"/>
                        </a:ext>
                      </a:extLst>
                    </a:blip>
                    <a:stretch>
                      <a:fillRect/>
                    </a:stretch>
                  </pic:blipFill>
                  <pic:spPr>
                    <a:xfrm>
                      <a:off x="0" y="0"/>
                      <a:ext cx="7361112" cy="4464000"/>
                    </a:xfrm>
                    <a:prstGeom prst="rect">
                      <a:avLst/>
                    </a:prstGeom>
                  </pic:spPr>
                </pic:pic>
              </a:graphicData>
            </a:graphic>
          </wp:inline>
        </w:drawing>
      </w:r>
    </w:p>
    <w:p w14:paraId="092DDB54" w14:textId="1B1B7A6B" w:rsidR="0062113F" w:rsidRPr="000923F6" w:rsidRDefault="0062113F" w:rsidP="006802BB">
      <w:pPr>
        <w:pStyle w:val="Rysunek"/>
        <w:rPr>
          <w:i/>
        </w:rPr>
      </w:pPr>
      <w:bookmarkStart w:id="541" w:name="_Toc54305102"/>
      <w:bookmarkStart w:id="542" w:name="_Toc68727078"/>
      <w:r w:rsidRPr="000923F6">
        <w:t xml:space="preserve">Rysunek </w:t>
      </w:r>
      <w:fldSimple w:instr=" STYLEREF 1 \s ">
        <w:r w:rsidR="00860BC1">
          <w:rPr>
            <w:noProof/>
          </w:rPr>
          <w:t>19</w:t>
        </w:r>
      </w:fldSimple>
      <w:r w:rsidR="00860BC1">
        <w:noBreakHyphen/>
      </w:r>
      <w:fldSimple w:instr=" SEQ Rysunek \* ARABIC \s 1 ">
        <w:r w:rsidR="00860BC1">
          <w:rPr>
            <w:noProof/>
          </w:rPr>
          <w:t>1</w:t>
        </w:r>
      </w:fldSimple>
      <w:r w:rsidRPr="000923F6">
        <w:tab/>
        <w:t xml:space="preserve">Schemat </w:t>
      </w:r>
      <w:bookmarkEnd w:id="541"/>
      <w:r>
        <w:t>-</w:t>
      </w:r>
      <w:r w:rsidRPr="000923F6">
        <w:t xml:space="preserve"> relacje pomiędzy wybranymi dokumentami systemu zarządzania polityką rozwoju a dokumentem IIaPGW</w:t>
      </w:r>
      <w:bookmarkEnd w:id="542"/>
    </w:p>
    <w:p w14:paraId="3F43DA7E" w14:textId="6AA6D53E" w:rsidR="0062113F" w:rsidRPr="000923F6" w:rsidRDefault="0062113F" w:rsidP="0062113F">
      <w:pPr>
        <w:pStyle w:val="rdo0"/>
        <w:rPr>
          <w:lang w:eastAsia="zh-CN"/>
        </w:rPr>
        <w:sectPr w:rsidR="0062113F" w:rsidRPr="000923F6" w:rsidSect="000D52FF">
          <w:pgSz w:w="16838" w:h="11906" w:orient="landscape"/>
          <w:pgMar w:top="1440" w:right="1440" w:bottom="1440" w:left="1440" w:header="708" w:footer="708" w:gutter="0"/>
          <w:cols w:space="708"/>
          <w:docGrid w:linePitch="360"/>
        </w:sectPr>
      </w:pPr>
      <w:r w:rsidRPr="000923F6">
        <w:rPr>
          <w:lang w:eastAsia="zh-CN"/>
        </w:rPr>
        <w:t xml:space="preserve">Źródło: </w:t>
      </w:r>
      <w:r w:rsidR="00C92367">
        <w:rPr>
          <w:lang w:eastAsia="zh-CN"/>
        </w:rPr>
        <w:t xml:space="preserve">opracowanie </w:t>
      </w:r>
      <w:r w:rsidR="00F340C7">
        <w:rPr>
          <w:lang w:eastAsia="zh-CN"/>
        </w:rPr>
        <w:t>własne</w:t>
      </w:r>
    </w:p>
    <w:p w14:paraId="2921D75C" w14:textId="664A1FDB" w:rsidR="0062113F" w:rsidRPr="000923F6" w:rsidRDefault="0062113F" w:rsidP="0062113F">
      <w:pPr>
        <w:rPr>
          <w:rFonts w:asciiTheme="minorHAnsi" w:hAnsiTheme="minorHAnsi" w:cstheme="minorBidi"/>
        </w:rPr>
      </w:pPr>
      <w:r w:rsidRPr="0206C3D2">
        <w:rPr>
          <w:rFonts w:asciiTheme="minorHAnsi" w:hAnsiTheme="minorHAnsi" w:cstheme="minorBidi"/>
        </w:rPr>
        <w:t xml:space="preserve">Zaprezentowaną na powyższym schemacie kategoryzację dokumentów powiązanych z IIaPGW odzwierciedla układ kolejnych podrozdziałów, zawierających syntetyczne ich opisy. </w:t>
      </w:r>
    </w:p>
    <w:p w14:paraId="124FB81F" w14:textId="77777777" w:rsidR="0062113F" w:rsidRPr="00EE34EC" w:rsidRDefault="0062113F" w:rsidP="00B50FFD">
      <w:pPr>
        <w:pStyle w:val="Nagwek2"/>
      </w:pPr>
      <w:bookmarkStart w:id="543" w:name="_Toc68726931"/>
      <w:r w:rsidRPr="00EE34EC">
        <w:t xml:space="preserve">Dokumenty powiązane </w:t>
      </w:r>
      <w:bookmarkStart w:id="544" w:name="_Hlk60089403"/>
      <w:r w:rsidRPr="00EE34EC">
        <w:t>mające wpływ na ustalenia IIaPGW</w:t>
      </w:r>
      <w:bookmarkEnd w:id="543"/>
      <w:bookmarkEnd w:id="544"/>
    </w:p>
    <w:p w14:paraId="17572C9F" w14:textId="77777777" w:rsidR="0062113F" w:rsidRPr="000923F6" w:rsidRDefault="0062113F" w:rsidP="00B50FFD">
      <w:pPr>
        <w:pStyle w:val="Nagwek3"/>
      </w:pPr>
      <w:bookmarkStart w:id="545" w:name="_Toc68726932"/>
      <w:r w:rsidRPr="000923F6">
        <w:t>Dokumenty o charakterze strategicznym</w:t>
      </w:r>
      <w:bookmarkEnd w:id="545"/>
    </w:p>
    <w:tbl>
      <w:tblPr>
        <w:tblStyle w:val="Tabela-Siatka"/>
        <w:tblW w:w="5000" w:type="pct"/>
        <w:tblLook w:val="04A0" w:firstRow="1" w:lastRow="0" w:firstColumn="1" w:lastColumn="0" w:noHBand="0" w:noVBand="1"/>
      </w:tblPr>
      <w:tblGrid>
        <w:gridCol w:w="9062"/>
      </w:tblGrid>
      <w:tr w:rsidR="0062113F" w:rsidRPr="000923F6" w14:paraId="3B569C24" w14:textId="77777777" w:rsidTr="000D52FF">
        <w:tc>
          <w:tcPr>
            <w:tcW w:w="5000" w:type="pct"/>
            <w:shd w:val="clear" w:color="auto" w:fill="003399"/>
          </w:tcPr>
          <w:p w14:paraId="06577B73" w14:textId="77777777" w:rsidR="0062113F" w:rsidRPr="00EE34EC" w:rsidRDefault="0062113F" w:rsidP="00EE34EC">
            <w:pPr>
              <w:ind w:left="5132"/>
              <w:rPr>
                <w:b/>
                <w:bCs/>
                <w:i/>
              </w:rPr>
            </w:pPr>
            <w:r w:rsidRPr="00EE34EC">
              <w:rPr>
                <w:b/>
                <w:bCs/>
              </w:rPr>
              <w:t>Poziom krajowy - dokumenty, których zapisy znajdują odzwierciedlenie w krajowych dokumentach strategicznych w dziedzinie rozwoju Polski</w:t>
            </w:r>
          </w:p>
          <w:p w14:paraId="65279A48" w14:textId="77777777" w:rsidR="0062113F" w:rsidRPr="000923F6" w:rsidRDefault="0062113F" w:rsidP="000D52FF">
            <w:pPr>
              <w:rPr>
                <w:rFonts w:asciiTheme="minorHAnsi" w:hAnsiTheme="minorHAnsi" w:cstheme="minorHAnsi"/>
                <w:i/>
                <w:iCs/>
              </w:rPr>
            </w:pPr>
            <w:bookmarkStart w:id="546" w:name="_Hlk60761815"/>
            <w:r w:rsidRPr="000923F6">
              <w:rPr>
                <w:rFonts w:asciiTheme="minorHAnsi" w:hAnsiTheme="minorHAnsi" w:cstheme="minorHAnsi"/>
                <w:b/>
                <w:bCs/>
              </w:rPr>
              <w:t>Strategia Bezpieczeństwa Narodowego Rzeczypospolitej Polskiej</w:t>
            </w:r>
            <w:bookmarkEnd w:id="546"/>
          </w:p>
        </w:tc>
      </w:tr>
    </w:tbl>
    <w:p w14:paraId="04B0DEB5"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Zapewnienie zdolności państwa do przeciwdziałania zagrożeniom (w tym dla obszaru ochrony środowiska) i sprostania wyzwaniom spowodowanym zmieniającymi się uwarunkowaniami bezpieczeństwa Polski.</w:t>
      </w:r>
    </w:p>
    <w:p w14:paraId="105C8020"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Dokument prezentuje wizję kształtowania bezpieczeństwa narodowego kraju we wszystkich wymiarach, w tym środowiskowym. Interesy narodowe w dziedzinie bezpieczeństwa narodowego obejmują m.in. ochronę środowiska naturalnego, co jest wskazywane jako jeden z czterech filarów bezpieczeństwa narodowego Rzeczypospolitej Polskiej. Wśród zagrożeń dla bezpieczeństwa w dziedzinie ochrony środowiska naturalnego wymienia się m.in. postępujące zmiany klimatu, które mogą się przyczyniać do groźnych i wcześniej niewystępujących na obszarze kraju anomalii pogodowych (np. długotrwałych susz), a także zanieczyszczeń oraz emisji szkodliwych substancji. Przekłada się to na pogorszenie funkcjonowania gospodarki wodnej, co może negatywnie oddziaływać na bezpieczeństwo żywnościowe kraju i dostępność zasobów wodnych dobrej jakości.</w:t>
      </w:r>
    </w:p>
    <w:p w14:paraId="47AC1235" w14:textId="6F581E29"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Dokument wśród działań ukierunkowanych na zapewnienie bezpieczeństwa narodowego wskazuje m.in. stworzenie spójnej polityki ochrony, odbudowy i zagospodarowania zasobów wodnych z uwzględnieniem bezpieczeństwa żywnościowego kraju. Dokument wyznacza również kierunki działań w zakresie rozwoju transportu wodnego. W celu rozwinięcia współpracy w formule bilateralnej, regionalnej oraz w wymiarze globalnym przewiduje m.in. realizację programu rozwoju śródlądowych dróg wodnych o szczególnym znaczeniu transportowym, w tym służącym m.in. poprawie dostępu do portów morskich oraz włączenie ich do sieci TEN-T. W obszarze zwiększenia odporności państwa na zagrożenia przewiduje z kolei realizowanie polityki dotyczącej planowania i zagospodarowania przestrzennego kraju, w tym na obszarach morskich Rzeczypospolitej Polskiej, w ramach inwestycji celu publicznego, z uwzględnieniem wymogów bezpieczeństwa i</w:t>
      </w:r>
      <w:r>
        <w:rPr>
          <w:rFonts w:asciiTheme="minorHAnsi" w:hAnsiTheme="minorHAnsi" w:cstheme="minorHAnsi"/>
        </w:rPr>
        <w:t> </w:t>
      </w:r>
      <w:r w:rsidRPr="000923F6">
        <w:rPr>
          <w:rFonts w:asciiTheme="minorHAnsi" w:hAnsiTheme="minorHAnsi" w:cstheme="minorHAnsi"/>
        </w:rPr>
        <w:t>obronności państwa oraz wynikających z tego potrzeb w zakresie ich finansowania.</w:t>
      </w:r>
    </w:p>
    <w:tbl>
      <w:tblPr>
        <w:tblStyle w:val="Tabela-Siatka"/>
        <w:tblW w:w="5000" w:type="pct"/>
        <w:tblLook w:val="04A0" w:firstRow="1" w:lastRow="0" w:firstColumn="1" w:lastColumn="0" w:noHBand="0" w:noVBand="1"/>
      </w:tblPr>
      <w:tblGrid>
        <w:gridCol w:w="9062"/>
      </w:tblGrid>
      <w:tr w:rsidR="0062113F" w:rsidRPr="000923F6" w14:paraId="5F476AD0" w14:textId="77777777" w:rsidTr="000D52FF">
        <w:tc>
          <w:tcPr>
            <w:tcW w:w="5000" w:type="pct"/>
            <w:shd w:val="clear" w:color="auto" w:fill="003399"/>
          </w:tcPr>
          <w:p w14:paraId="2F435924" w14:textId="77777777" w:rsidR="0062113F" w:rsidRPr="00EE34EC" w:rsidRDefault="0062113F" w:rsidP="00EE34EC">
            <w:pPr>
              <w:ind w:left="5132"/>
              <w:rPr>
                <w:b/>
                <w:bCs/>
              </w:rPr>
            </w:pPr>
            <w:r w:rsidRPr="00EE34EC">
              <w:rPr>
                <w:b/>
                <w:bCs/>
              </w:rPr>
              <w:t>Poziom krajowy - dokumenty, których zapisy znajdują odzwierciedlenie w krajowych dokumentach strategicznych w dziedzinie rozwoju Polski</w:t>
            </w:r>
          </w:p>
          <w:p w14:paraId="45BF8468" w14:textId="77777777" w:rsidR="0062113F" w:rsidRPr="000923F6" w:rsidRDefault="0062113F" w:rsidP="000D52FF">
            <w:pPr>
              <w:jc w:val="left"/>
              <w:rPr>
                <w:rFonts w:asciiTheme="minorHAnsi" w:hAnsiTheme="minorHAnsi" w:cstheme="minorHAnsi"/>
                <w:i/>
                <w:iCs/>
              </w:rPr>
            </w:pPr>
            <w:bookmarkStart w:id="547" w:name="_Hlk60761834"/>
            <w:r w:rsidRPr="000923F6">
              <w:rPr>
                <w:rFonts w:asciiTheme="minorHAnsi" w:hAnsiTheme="minorHAnsi" w:cstheme="minorHAnsi"/>
                <w:b/>
                <w:bCs/>
              </w:rPr>
              <w:t>Krajowy Plan Zarządzania Kryzysowego (KPZK). Część A</w:t>
            </w:r>
            <w:bookmarkEnd w:id="547"/>
            <w:r w:rsidRPr="000923F6">
              <w:rPr>
                <w:rFonts w:asciiTheme="minorHAnsi" w:hAnsiTheme="minorHAnsi" w:cstheme="minorHAnsi"/>
                <w:b/>
                <w:bCs/>
              </w:rPr>
              <w:br/>
            </w:r>
            <w:r w:rsidRPr="000923F6">
              <w:rPr>
                <w:rFonts w:asciiTheme="minorHAnsi" w:hAnsiTheme="minorHAnsi" w:cstheme="minorHAnsi"/>
                <w:i/>
                <w:iCs/>
              </w:rPr>
              <w:t>Aktualizacja Krajowego Planu Zarządzania Kryzysowego, 2020</w:t>
            </w:r>
          </w:p>
        </w:tc>
      </w:tr>
    </w:tbl>
    <w:p w14:paraId="51D99004"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KPZK to narzędzie planistyczne wspomagające ogólnokrajowy system zarządzania kryzysowego m.in. w obszarze gospodarki wodnej oraz morskiej. Głównym celem jest wzmocnienie systemu zarządzania kryzysowego, prowadzące m.in. do poprawy ochrony przeciwpowodziowej oraz minimalizacji skutków suszy, a także służące przeciwdziałaniu innym zagrożeniom mającym wpływ na zasoby wodne w Polsce.</w:t>
      </w:r>
    </w:p>
    <w:p w14:paraId="2276DD38"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KPZK koncentruje się na działaniach realizowanych na rzecz minimalizacji ryzyka wystąpienia sytuacji kryzysowych, takich jak np.: susza/upał, powódź, skażenie chemiczne na morzu, katastrofa morska, intensywne opady śniegu itp., oraz niwelowania ich skutków. Część A obejmuje działania realizowane przez organy administracji publicznej w fazach zarządzania kryzysowego, takich jak zapobieganie i przygotowanie. Dokument zawiera krótki opis potencjonalnych zagrożeń oraz ocenę ryzyka ich wystąpienia.</w:t>
      </w:r>
    </w:p>
    <w:p w14:paraId="4511792C"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Wśród działań wskazanych w KPZK, ukierunkowanych na zapobieganie określonym w nim sytuacjom kryzysowym, minimalizowanie ich oraz przygotowanie do nich, pojawia się m.in.: (1) uzgadnianie planów przeciwdziałania skutkom suszy na obszarach dorzeczy oraz (2) opracowanie planów zarządzania ryzykiem powodziowym dla obszarów dorzeczy.</w:t>
      </w:r>
    </w:p>
    <w:tbl>
      <w:tblPr>
        <w:tblStyle w:val="Tabela-Siatka"/>
        <w:tblW w:w="5000" w:type="pct"/>
        <w:tblLook w:val="04A0" w:firstRow="1" w:lastRow="0" w:firstColumn="1" w:lastColumn="0" w:noHBand="0" w:noVBand="1"/>
      </w:tblPr>
      <w:tblGrid>
        <w:gridCol w:w="9062"/>
      </w:tblGrid>
      <w:tr w:rsidR="0062113F" w:rsidRPr="000923F6" w14:paraId="1820019B" w14:textId="77777777" w:rsidTr="000D52FF">
        <w:tc>
          <w:tcPr>
            <w:tcW w:w="5000" w:type="pct"/>
            <w:shd w:val="clear" w:color="auto" w:fill="003399"/>
          </w:tcPr>
          <w:p w14:paraId="4A625FEE" w14:textId="77777777" w:rsidR="0062113F" w:rsidRPr="00EE34EC" w:rsidRDefault="0062113F" w:rsidP="00EE34EC">
            <w:pPr>
              <w:ind w:left="5132"/>
              <w:rPr>
                <w:b/>
                <w:bCs/>
              </w:rPr>
            </w:pPr>
            <w:r w:rsidRPr="00EE34EC">
              <w:rPr>
                <w:b/>
                <w:bCs/>
              </w:rPr>
              <w:t>Poziom krajowy - dokumenty, których zapisy znajdują odzwierciedlenie w krajowych dokumentach strategicznych w dziedzinie rozwoju Polski</w:t>
            </w:r>
          </w:p>
          <w:p w14:paraId="3B070A39" w14:textId="77777777" w:rsidR="0062113F" w:rsidRPr="000923F6" w:rsidRDefault="0062113F" w:rsidP="000D52FF">
            <w:pPr>
              <w:jc w:val="left"/>
              <w:rPr>
                <w:rFonts w:asciiTheme="minorHAnsi" w:hAnsiTheme="minorHAnsi" w:cstheme="minorHAnsi"/>
                <w:i/>
                <w:iCs/>
              </w:rPr>
            </w:pPr>
            <w:bookmarkStart w:id="548" w:name="_Hlk60761846"/>
            <w:r w:rsidRPr="000923F6">
              <w:rPr>
                <w:rFonts w:asciiTheme="minorHAnsi" w:hAnsiTheme="minorHAnsi" w:cstheme="minorHAnsi"/>
                <w:b/>
                <w:bCs/>
                <w:color w:val="FFFFFF" w:themeColor="background1"/>
              </w:rPr>
              <w:t>Narodowy Program Zdrowia na lata 2021-2025</w:t>
            </w:r>
            <w:bookmarkEnd w:id="548"/>
          </w:p>
        </w:tc>
      </w:tr>
    </w:tbl>
    <w:p w14:paraId="1EEA4312"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Wydłużenie życia w zdrowiu, poprawa zdrowia i związanej z nim jakości życia ludności oraz zmniejszenie nierówności społecznych w zdrowiu. </w:t>
      </w:r>
    </w:p>
    <w:p w14:paraId="1C1BC004"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Zwiększanie świadomości oraz pogłębianie wiedzy w zakresie wpływu stanu środowiska na stan zdrowia i jakość życia, nadzór i kontrola wpływu.</w:t>
      </w:r>
    </w:p>
    <w:p w14:paraId="6FA20EF3" w14:textId="2F3405B6" w:rsidR="009B4C25"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Program wyróżnia takie zadania jak m.in.: prowadzanie działalności informacyjno-edukacyjnych dotyczących uświadamiania ryzyka związanego z nadmiernym narażeniem na zanieczyszczenie wody oraz upowszechnianie wiedzy na temat źródeł emisji i powstawania zanieczyszczeń w środowisku, ich rozpraszania i migracji. Ponadto w dokumencie podkreśla się istotność działań związanych z prowadzeniem Państwowego Monitoringu Środowiska. W ramach programu jako zadania wspierające przewidziano realizację prac naukowych związanych z badaniem i oceną wpływu jakości środowiska na stan zdrowia, z uwzględnieniem komponentów środowiska i elementów </w:t>
      </w:r>
      <w:r>
        <w:rPr>
          <w:rFonts w:asciiTheme="minorHAnsi" w:hAnsiTheme="minorHAnsi" w:cstheme="minorHAnsi"/>
        </w:rPr>
        <w:t xml:space="preserve">presji </w:t>
      </w:r>
      <w:r w:rsidRPr="000923F6">
        <w:rPr>
          <w:rFonts w:asciiTheme="minorHAnsi" w:hAnsiTheme="minorHAnsi" w:cstheme="minorHAnsi"/>
        </w:rPr>
        <w:t>z nim powiązanych, takich jak m.in.: odpady i ścieki odprowadzane do środowiska (w tym farmaceutyki i substancje endokrynopodobne), woda przeznaczona do spożycia oraz wykorzystywana do celów rekreacyjnych, klimat (w tym susze i zjawiska ekstremalne, choroby wektorowe, osuwiska ziemi, powodzie i podtopienia) i działania związane z adaptacją do jego zmian.</w:t>
      </w:r>
    </w:p>
    <w:tbl>
      <w:tblPr>
        <w:tblStyle w:val="Tabela-Siatka"/>
        <w:tblW w:w="0" w:type="auto"/>
        <w:tblLook w:val="04A0" w:firstRow="1" w:lastRow="0" w:firstColumn="1" w:lastColumn="0" w:noHBand="0" w:noVBand="1"/>
      </w:tblPr>
      <w:tblGrid>
        <w:gridCol w:w="9016"/>
      </w:tblGrid>
      <w:tr w:rsidR="0062113F" w:rsidRPr="000923F6" w14:paraId="7CD1BFDA" w14:textId="77777777" w:rsidTr="000D52FF">
        <w:tc>
          <w:tcPr>
            <w:tcW w:w="9016" w:type="dxa"/>
            <w:shd w:val="clear" w:color="auto" w:fill="003399"/>
          </w:tcPr>
          <w:p w14:paraId="0C9B94DE"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47AAC198" w14:textId="77777777" w:rsidR="0062113F" w:rsidRPr="000923F6" w:rsidRDefault="0062113F" w:rsidP="000D52FF">
            <w:pPr>
              <w:jc w:val="left"/>
              <w:rPr>
                <w:rFonts w:asciiTheme="minorHAnsi" w:hAnsiTheme="minorHAnsi" w:cstheme="minorHAnsi"/>
                <w:i/>
                <w:iCs/>
              </w:rPr>
            </w:pPr>
            <w:bookmarkStart w:id="549" w:name="_Hlk60761877"/>
            <w:r w:rsidRPr="000923F6">
              <w:rPr>
                <w:rFonts w:asciiTheme="minorHAnsi" w:hAnsiTheme="minorHAnsi" w:cstheme="minorHAnsi"/>
                <w:b/>
                <w:bCs/>
              </w:rPr>
              <w:t xml:space="preserve">Polityka ekologiczna państwa 2030 </w:t>
            </w:r>
            <w:r>
              <w:rPr>
                <w:rFonts w:asciiTheme="minorHAnsi" w:hAnsiTheme="minorHAnsi" w:cstheme="minorHAnsi"/>
                <w:b/>
                <w:bCs/>
              </w:rPr>
              <w:t>-</w:t>
            </w:r>
            <w:r w:rsidRPr="000923F6">
              <w:rPr>
                <w:rFonts w:asciiTheme="minorHAnsi" w:hAnsiTheme="minorHAnsi" w:cstheme="minorHAnsi"/>
                <w:b/>
                <w:bCs/>
              </w:rPr>
              <w:t xml:space="preserve"> strategia rozwoju w obszarze środowiska i gospodarki wodnej (</w:t>
            </w:r>
            <w:r>
              <w:rPr>
                <w:rFonts w:asciiTheme="minorHAnsi" w:hAnsiTheme="minorHAnsi" w:cstheme="minorHAnsi"/>
                <w:b/>
                <w:bCs/>
              </w:rPr>
              <w:t>PEP2030</w:t>
            </w:r>
            <w:r w:rsidRPr="000923F6">
              <w:rPr>
                <w:rFonts w:asciiTheme="minorHAnsi" w:hAnsiTheme="minorHAnsi" w:cstheme="minorHAnsi"/>
                <w:b/>
                <w:bCs/>
              </w:rPr>
              <w:t>)</w:t>
            </w:r>
            <w:bookmarkEnd w:id="549"/>
            <w:r w:rsidRPr="000923F6">
              <w:rPr>
                <w:rFonts w:asciiTheme="minorHAnsi" w:hAnsiTheme="minorHAnsi" w:cstheme="minorHAnsi"/>
                <w:b/>
                <w:bCs/>
              </w:rPr>
              <w:br/>
            </w:r>
            <w:r w:rsidRPr="000923F6">
              <w:rPr>
                <w:rFonts w:asciiTheme="minorHAnsi" w:hAnsiTheme="minorHAnsi" w:cstheme="minorHAnsi"/>
                <w:i/>
                <w:iCs/>
              </w:rPr>
              <w:t>Jedna z dziewięciu horyzontalnych zintegrowanych strategii rozwoju</w:t>
            </w:r>
          </w:p>
        </w:tc>
      </w:tr>
    </w:tbl>
    <w:p w14:paraId="15BA1405"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Wzmocnienie działań rządu dążących do budowy innowacyjnej gospodarki z zachowaniem zasad zrównoważonego rozwoju, które prowadzą do zapewnienia bezpieczeństwa ekologicznego kraju oraz poprawy jakości środowiska, w tym zasobów wodnych. </w:t>
      </w:r>
    </w:p>
    <w:p w14:paraId="1E9EC72E"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Polityka wśród najważniejszych obszarów problemowych w sektorze środowiska wskazuje m.in.: (1) przybierający na znaczeniu negatywny wpływ </w:t>
      </w:r>
      <w:r>
        <w:rPr>
          <w:rFonts w:asciiTheme="minorHAnsi" w:hAnsiTheme="minorHAnsi" w:cstheme="minorHAnsi"/>
        </w:rPr>
        <w:t xml:space="preserve">zanieczyszczonego </w:t>
      </w:r>
      <w:r w:rsidRPr="000923F6">
        <w:rPr>
          <w:rFonts w:asciiTheme="minorHAnsi" w:hAnsiTheme="minorHAnsi" w:cstheme="minorHAnsi"/>
        </w:rPr>
        <w:t>środowiska na</w:t>
      </w:r>
      <w:r>
        <w:rPr>
          <w:rFonts w:asciiTheme="minorHAnsi" w:hAnsiTheme="minorHAnsi" w:cstheme="minorHAnsi"/>
        </w:rPr>
        <w:t> </w:t>
      </w:r>
      <w:r w:rsidRPr="000923F6">
        <w:rPr>
          <w:rFonts w:asciiTheme="minorHAnsi" w:hAnsiTheme="minorHAnsi" w:cstheme="minorHAnsi"/>
        </w:rPr>
        <w:t>zdrowie ludzi</w:t>
      </w:r>
      <w:r>
        <w:rPr>
          <w:rStyle w:val="Odwoanieprzypisudolnego"/>
          <w:rFonts w:asciiTheme="minorHAnsi" w:hAnsiTheme="minorHAnsi" w:cstheme="minorHAnsi"/>
        </w:rPr>
        <w:footnoteReference w:id="40"/>
      </w:r>
      <w:r w:rsidRPr="000923F6">
        <w:rPr>
          <w:rFonts w:asciiTheme="minorHAnsi" w:hAnsiTheme="minorHAnsi" w:cstheme="minorHAnsi"/>
        </w:rPr>
        <w:t>; (2) zwiększającą się konkurencję o zasoby; (3) rosnącą presję na ekosystemy; (4)</w:t>
      </w:r>
      <w:r>
        <w:rPr>
          <w:rFonts w:asciiTheme="minorHAnsi" w:hAnsiTheme="minorHAnsi" w:cstheme="minorHAnsi"/>
        </w:rPr>
        <w:t> </w:t>
      </w:r>
      <w:r w:rsidRPr="000923F6">
        <w:rPr>
          <w:rFonts w:asciiTheme="minorHAnsi" w:hAnsiTheme="minorHAnsi" w:cstheme="minorHAnsi"/>
        </w:rPr>
        <w:t>nasilające się skutki zmian klimatu</w:t>
      </w:r>
      <w:r>
        <w:rPr>
          <w:rFonts w:asciiTheme="minorHAnsi" w:hAnsiTheme="minorHAnsi" w:cstheme="minorHAnsi"/>
        </w:rPr>
        <w:t>; (5) rosnącą ilość wytwarzanych odpadów, niewłaściwą gospodarkę nimi, przyczyniającą się do zmian klimatu, zanieczyszczenia powietrza, gleb i wody; oraz na problem unieszkodliwiania odpadów zgodnie z przyjętą hierarchią sposobów postępowania z odpadami (z</w:t>
      </w:r>
      <w:r w:rsidRPr="000923F6">
        <w:rPr>
          <w:rFonts w:asciiTheme="minorHAnsi" w:hAnsiTheme="minorHAnsi" w:cstheme="minorHAnsi"/>
        </w:rPr>
        <w:t>równoważona gospodarka wodna została wydzielona w</w:t>
      </w:r>
      <w:r>
        <w:rPr>
          <w:rFonts w:asciiTheme="minorHAnsi" w:hAnsiTheme="minorHAnsi" w:cstheme="minorHAnsi"/>
        </w:rPr>
        <w:t> </w:t>
      </w:r>
      <w:r w:rsidRPr="000923F6">
        <w:rPr>
          <w:rFonts w:asciiTheme="minorHAnsi" w:hAnsiTheme="minorHAnsi" w:cstheme="minorHAnsi"/>
        </w:rPr>
        <w:t>dokumencie jako osobny obszar polityki środowiskowej, w ramach którego przewidziano szereg działań oraz zadań</w:t>
      </w:r>
      <w:r>
        <w:rPr>
          <w:rFonts w:asciiTheme="minorHAnsi" w:hAnsiTheme="minorHAnsi" w:cstheme="minorHAnsi"/>
        </w:rPr>
        <w:t>)</w:t>
      </w:r>
      <w:r w:rsidRPr="000923F6">
        <w:rPr>
          <w:rFonts w:asciiTheme="minorHAnsi" w:hAnsiTheme="minorHAnsi" w:cstheme="minorHAnsi"/>
        </w:rPr>
        <w:t>.</w:t>
      </w:r>
    </w:p>
    <w:p w14:paraId="4C4BEE80" w14:textId="7F3F03EF" w:rsidR="009B4C25" w:rsidRDefault="0062113F" w:rsidP="0062113F">
      <w:pPr>
        <w:rPr>
          <w:rFonts w:asciiTheme="minorHAnsi" w:hAnsiTheme="minorHAnsi" w:cstheme="minorHAnsi"/>
        </w:rPr>
      </w:pPr>
      <w:r w:rsidRPr="6A94AFD2">
        <w:rPr>
          <w:rFonts w:asciiTheme="minorHAnsi" w:hAnsiTheme="minorHAnsi" w:cstheme="minorBidi"/>
          <w:b/>
          <w:bCs/>
        </w:rPr>
        <w:t xml:space="preserve">Sposób osiągnięcia zakładanych celów i/lub rozwiązania zidentyfikowanych problemów: </w:t>
      </w:r>
      <w:r w:rsidRPr="6A94AFD2">
        <w:rPr>
          <w:rFonts w:asciiTheme="minorHAnsi" w:hAnsiTheme="minorHAnsi" w:cstheme="minorBidi"/>
        </w:rPr>
        <w:t xml:space="preserve">Polityka </w:t>
      </w:r>
      <w:r w:rsidRPr="006506BE">
        <w:rPr>
          <w:rFonts w:asciiTheme="minorHAnsi" w:hAnsiTheme="minorHAnsi" w:cstheme="minorBidi"/>
        </w:rPr>
        <w:t xml:space="preserve">wyznacza kierunki interwencji, działania i zadania. W obszarze zasobów wodnych są to: (1) zrównoważone gospodarowanie wodami, w tym zapewnienie dostępu do czystej wody dla społeczeństwa i gospodarki oraz osiągnięcie dobrego stanu wód; (2) zarządzanie zasobami dziedzictwa przyrodniczego; (3) wspieranie wdrażania ekoinnowacji odgrywających ważną rolę w rozpowszechnianiu zrównoważonego korzystania z zasobów wodnych i zapewniania ich dobrej jakości; (4) wspieranie wielofunkcyjnej i trwale zrównoważonej gospodarki leśnej (w tym zwłaszcza wykorzystywanie potencjału lasów w zakresie łagodzenia zmian klimatu); (5) przeciwdziałanie </w:t>
      </w:r>
      <w:r w:rsidRPr="006506BE">
        <w:rPr>
          <w:rFonts w:asciiTheme="minorHAnsi" w:hAnsiTheme="minorHAnsi" w:cstheme="minorHAnsi"/>
        </w:rPr>
        <w:t>zmianom klimatu, adaptacja do jego zmian i zarządzanie ryzykiem klęsk żywiołowych; (6) edukacja ekologiczna, m.in. w zakresie kształtowania wzorców zrównoważonej konsumpcji</w:t>
      </w:r>
      <w:r w:rsidRPr="00D83FCE">
        <w:rPr>
          <w:rFonts w:asciiTheme="minorHAnsi" w:hAnsiTheme="minorHAnsi" w:cstheme="minorHAnsi"/>
        </w:rPr>
        <w:t xml:space="preserve">; (7) </w:t>
      </w:r>
      <w:r w:rsidR="00B34D2F" w:rsidRPr="00B34D2F">
        <w:rPr>
          <w:rFonts w:asciiTheme="minorHAnsi" w:hAnsiTheme="minorHAnsi" w:cstheme="minorHAnsi"/>
        </w:rPr>
        <w:t>Wdrażanie gospodarki o obiegu zamkniętym mającej m.in. znaczenie w gospodarce wodno-ściekowej - w kontekście zagospodarowywania osadów ściekowych i wykorzystania oczyszczonych ścieków jako wody technologicznej lub do celów utrzymania zieleni miejskiej; oraz w energetyce, a także w zagospodarowaniu wód opadowych i roztopowych (recykling wody, zmniejszanie tzw. „śladu wodnego”).</w:t>
      </w:r>
    </w:p>
    <w:tbl>
      <w:tblPr>
        <w:tblStyle w:val="Tabela-Siatka"/>
        <w:tblW w:w="0" w:type="auto"/>
        <w:tblLook w:val="04A0" w:firstRow="1" w:lastRow="0" w:firstColumn="1" w:lastColumn="0" w:noHBand="0" w:noVBand="1"/>
      </w:tblPr>
      <w:tblGrid>
        <w:gridCol w:w="9062"/>
      </w:tblGrid>
      <w:tr w:rsidR="0062113F" w:rsidRPr="000923F6" w14:paraId="0FB97A29" w14:textId="77777777" w:rsidTr="000D52FF">
        <w:tc>
          <w:tcPr>
            <w:tcW w:w="9062" w:type="dxa"/>
            <w:shd w:val="clear" w:color="auto" w:fill="003399"/>
          </w:tcPr>
          <w:p w14:paraId="18098695"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407CD30D" w14:textId="77777777" w:rsidR="0062113F" w:rsidRPr="000923F6" w:rsidRDefault="0062113F" w:rsidP="000D52FF">
            <w:pPr>
              <w:jc w:val="left"/>
              <w:rPr>
                <w:rFonts w:asciiTheme="minorHAnsi" w:hAnsiTheme="minorHAnsi" w:cstheme="minorHAnsi"/>
                <w:i/>
                <w:iCs/>
              </w:rPr>
            </w:pPr>
            <w:bookmarkStart w:id="550" w:name="_Hlk60761898"/>
            <w:r w:rsidRPr="000923F6">
              <w:rPr>
                <w:rFonts w:asciiTheme="minorHAnsi" w:hAnsiTheme="minorHAnsi" w:cstheme="minorHAnsi"/>
                <w:b/>
                <w:bCs/>
              </w:rPr>
              <w:t xml:space="preserve">Polityka energetyczna Polski do 2040 r. </w:t>
            </w:r>
            <w:r>
              <w:rPr>
                <w:rFonts w:asciiTheme="minorHAnsi" w:hAnsiTheme="minorHAnsi" w:cstheme="minorHAnsi"/>
                <w:b/>
                <w:bCs/>
              </w:rPr>
              <w:t>-</w:t>
            </w:r>
            <w:r w:rsidRPr="000923F6">
              <w:rPr>
                <w:rFonts w:asciiTheme="minorHAnsi" w:hAnsiTheme="minorHAnsi" w:cstheme="minorHAnsi"/>
                <w:b/>
                <w:bCs/>
              </w:rPr>
              <w:t xml:space="preserve"> strategia rozwoju sektora paliwowo-energetycznego (</w:t>
            </w:r>
            <w:bookmarkEnd w:id="550"/>
            <w:r>
              <w:rPr>
                <w:rFonts w:asciiTheme="minorHAnsi" w:hAnsiTheme="minorHAnsi" w:cstheme="minorHAnsi"/>
                <w:b/>
                <w:bCs/>
              </w:rPr>
              <w:t>PEP2040</w:t>
            </w:r>
            <w:r w:rsidRPr="000923F6">
              <w:rPr>
                <w:rFonts w:asciiTheme="minorHAnsi" w:hAnsiTheme="minorHAnsi" w:cstheme="minorHAnsi"/>
                <w:b/>
                <w:bCs/>
              </w:rPr>
              <w:t>)</w:t>
            </w:r>
            <w:r w:rsidRPr="000923F6">
              <w:rPr>
                <w:rFonts w:asciiTheme="minorHAnsi" w:hAnsiTheme="minorHAnsi" w:cstheme="minorHAnsi"/>
                <w:b/>
                <w:bCs/>
              </w:rPr>
              <w:br/>
            </w:r>
            <w:r w:rsidRPr="000923F6">
              <w:rPr>
                <w:rFonts w:asciiTheme="minorHAnsi" w:hAnsiTheme="minorHAnsi" w:cstheme="minorHAnsi"/>
                <w:i/>
                <w:iCs/>
              </w:rPr>
              <w:t>Jedna z dziewięciu horyzontalnych zintegrowanych strategii rozwoju</w:t>
            </w:r>
          </w:p>
        </w:tc>
      </w:tr>
    </w:tbl>
    <w:p w14:paraId="5990219A"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Bezpieczeństwo energetyczne przy zapewnieniu konkurencyjności gospodarki, efektywności energetycznej i zmniejszeniu oddziaływania sektora energii na środowisko z optymalnym wykorzystaniem własnych zasobów energetycznych.</w:t>
      </w:r>
    </w:p>
    <w:p w14:paraId="0965FF51" w14:textId="77777777" w:rsidR="0062113F"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Ze względu na ograniczony krajowy potencjał wodny </w:t>
      </w:r>
      <w:r>
        <w:rPr>
          <w:rFonts w:asciiTheme="minorHAnsi" w:hAnsiTheme="minorHAnsi" w:cstheme="minorHAnsi"/>
        </w:rPr>
        <w:t>PEP2040</w:t>
      </w:r>
      <w:r w:rsidRPr="000923F6">
        <w:rPr>
          <w:rFonts w:asciiTheme="minorHAnsi" w:hAnsiTheme="minorHAnsi" w:cstheme="minorHAnsi"/>
        </w:rPr>
        <w:t xml:space="preserve"> nie przewiduje znaczącego wzrostu wykorzystania energii wód płynących. W dokumencie wskazano natomiast, </w:t>
      </w:r>
      <w:r w:rsidRPr="000923F6">
        <w:rPr>
          <w:rFonts w:asciiTheme="minorHAnsi" w:hAnsiTheme="minorHAnsi" w:cstheme="minorHAnsi"/>
        </w:rPr>
        <w:br/>
        <w:t>że w horyzoncie długoterminowym na rozwój energetyki wodnej może wpłynąć rozwój śródlądowych dróg wodnych oraz rewitalizacja piętrzeń wodnych, które są istotne z punktu widzenia regulacji cieków i gospodarki przeciwpowodziowej.</w:t>
      </w:r>
    </w:p>
    <w:p w14:paraId="29008F42" w14:textId="3C558314" w:rsidR="00380657" w:rsidRDefault="0062113F" w:rsidP="0062113F">
      <w:pPr>
        <w:spacing w:after="160" w:line="259" w:lineRule="auto"/>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Polityka zwraca m.in. uwagę na konieczność zmniejszania wpływu sektora energii na środowisko, w szczególności poprzez modernizację mocy wytwórczych oraz dywersyfikację struktury wytwarzania energii.</w:t>
      </w:r>
    </w:p>
    <w:tbl>
      <w:tblPr>
        <w:tblStyle w:val="Tabela-Siatka"/>
        <w:tblW w:w="0" w:type="auto"/>
        <w:tblLook w:val="04A0" w:firstRow="1" w:lastRow="0" w:firstColumn="1" w:lastColumn="0" w:noHBand="0" w:noVBand="1"/>
      </w:tblPr>
      <w:tblGrid>
        <w:gridCol w:w="9016"/>
      </w:tblGrid>
      <w:tr w:rsidR="0062113F" w:rsidRPr="000923F6" w14:paraId="7BC65EE6" w14:textId="77777777" w:rsidTr="000D52FF">
        <w:tc>
          <w:tcPr>
            <w:tcW w:w="9016" w:type="dxa"/>
            <w:shd w:val="clear" w:color="auto" w:fill="003399"/>
          </w:tcPr>
          <w:p w14:paraId="15849FBC"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1BF0B116" w14:textId="77777777" w:rsidR="0062113F" w:rsidRPr="000923F6" w:rsidRDefault="0062113F" w:rsidP="000D52FF">
            <w:pPr>
              <w:jc w:val="left"/>
              <w:rPr>
                <w:rFonts w:asciiTheme="minorHAnsi" w:hAnsiTheme="minorHAnsi" w:cstheme="minorHAnsi"/>
                <w:i/>
                <w:iCs/>
              </w:rPr>
            </w:pPr>
            <w:bookmarkStart w:id="551" w:name="_Hlk60761920"/>
            <w:r w:rsidRPr="000923F6">
              <w:rPr>
                <w:rFonts w:asciiTheme="minorHAnsi" w:hAnsiTheme="minorHAnsi" w:cstheme="minorHAnsi"/>
                <w:b/>
                <w:bCs/>
              </w:rPr>
              <w:t>Strategia zrównoważonego rozwoju wsi, rolnictwa i rybactwa 2030 (SZRWRiR 2030</w:t>
            </w:r>
            <w:bookmarkEnd w:id="551"/>
            <w:r w:rsidRPr="000923F6">
              <w:rPr>
                <w:rFonts w:asciiTheme="minorHAnsi" w:hAnsiTheme="minorHAnsi" w:cstheme="minorHAnsi"/>
                <w:b/>
                <w:bCs/>
              </w:rPr>
              <w:t>)</w:t>
            </w:r>
            <w:r w:rsidRPr="000923F6">
              <w:rPr>
                <w:rFonts w:asciiTheme="minorHAnsi" w:hAnsiTheme="minorHAnsi" w:cstheme="minorHAnsi"/>
                <w:b/>
                <w:bCs/>
              </w:rPr>
              <w:br/>
            </w:r>
            <w:r w:rsidRPr="000923F6">
              <w:rPr>
                <w:rFonts w:asciiTheme="minorHAnsi" w:hAnsiTheme="minorHAnsi" w:cstheme="minorHAnsi"/>
                <w:i/>
                <w:iCs/>
                <w:color w:val="FFFFFF" w:themeColor="background1"/>
              </w:rPr>
              <w:t>Jedna z dziewięciu horyzontalnych zintegrowanych strategii rozwoju</w:t>
            </w:r>
          </w:p>
        </w:tc>
      </w:tr>
    </w:tbl>
    <w:p w14:paraId="04338975"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Rozwój gospodarczy wsi, który umożliwia trwały wzrost dochodów jej mieszkańców poprzez m.in. poprawę stanu środowiska naturalnego, w tym zasobów wodnych (w rozumieniu osiągnięcia lub utrzymania dobrego stanu wód oraz ekosystemów zależnych od wód, a także ochrony, poprawy i zapobiegania dalszemu pogarszaniu stanu ekosystemów wodnych).</w:t>
      </w:r>
    </w:p>
    <w:p w14:paraId="482CF032"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SZRWRiR 2030 porusza problematykę związaną z wyzwaniami, które stoją przed polskimi gospodarstwami. Dotyczą one m.in. </w:t>
      </w:r>
      <w:r>
        <w:rPr>
          <w:rFonts w:asciiTheme="minorHAnsi" w:hAnsiTheme="minorHAnsi" w:cstheme="minorHAnsi"/>
        </w:rPr>
        <w:t xml:space="preserve">ochrony </w:t>
      </w:r>
      <w:r w:rsidRPr="000923F6">
        <w:rPr>
          <w:rFonts w:asciiTheme="minorHAnsi" w:hAnsiTheme="minorHAnsi" w:cstheme="minorHAnsi"/>
        </w:rPr>
        <w:t>zasobów wodnych, ich dostępności i sposobów gospodarowania nimi</w:t>
      </w:r>
      <w:r>
        <w:rPr>
          <w:rFonts w:asciiTheme="minorHAnsi" w:hAnsiTheme="minorHAnsi" w:cstheme="minorHAnsi"/>
        </w:rPr>
        <w:t xml:space="preserve">, </w:t>
      </w:r>
      <w:r w:rsidRPr="005E3C83">
        <w:rPr>
          <w:rFonts w:asciiTheme="minorHAnsi" w:hAnsiTheme="minorHAnsi" w:cstheme="minorHAnsi"/>
        </w:rPr>
        <w:t>a także sposobów ograniczania emisji zanieczyszczeń do środowiska</w:t>
      </w:r>
      <w:r w:rsidRPr="000923F6">
        <w:rPr>
          <w:rFonts w:asciiTheme="minorHAnsi" w:hAnsiTheme="minorHAnsi" w:cstheme="minorHAnsi"/>
        </w:rPr>
        <w:t>. Dostępność oraz jakość zasobów wodnych są wskazywane w dokumencie jako jedno z kryteriów umożliwiające rozwój działalności rolniczej oraz rybackiej.</w:t>
      </w:r>
      <w:r>
        <w:rPr>
          <w:rFonts w:asciiTheme="minorHAnsi" w:hAnsiTheme="minorHAnsi" w:cstheme="minorHAnsi"/>
        </w:rPr>
        <w:t xml:space="preserve"> </w:t>
      </w:r>
      <w:r w:rsidRPr="00083D3E">
        <w:rPr>
          <w:rFonts w:asciiTheme="minorHAnsi" w:hAnsiTheme="minorHAnsi" w:cstheme="minorHAnsi"/>
        </w:rPr>
        <w:t>Ważnym punktem odniesienia w pracach nad SZRWRiR 2030 były kierunki zmian polityk wspólnotowych, w tym przede wszystkim Wspólna Polityka Rolna (WPR)</w:t>
      </w:r>
      <w:r w:rsidRPr="00083D3E">
        <w:rPr>
          <w:rStyle w:val="Odwoanieprzypisudolnego"/>
          <w:rFonts w:asciiTheme="minorHAnsi" w:hAnsiTheme="minorHAnsi" w:cstheme="minorHAnsi"/>
        </w:rPr>
        <w:footnoteReference w:id="41"/>
      </w:r>
      <w:r w:rsidRPr="00083D3E">
        <w:rPr>
          <w:rFonts w:asciiTheme="minorHAnsi" w:hAnsiTheme="minorHAnsi" w:cstheme="minorHAnsi"/>
        </w:rPr>
        <w:t>, Wspólna polityka rybołówstwa (WPRyb) i polityki spójności zarysowane w</w:t>
      </w:r>
      <w:r>
        <w:rPr>
          <w:rFonts w:asciiTheme="minorHAnsi" w:hAnsiTheme="minorHAnsi" w:cstheme="minorHAnsi"/>
        </w:rPr>
        <w:t> </w:t>
      </w:r>
      <w:r w:rsidRPr="00083D3E">
        <w:rPr>
          <w:rFonts w:asciiTheme="minorHAnsi" w:hAnsiTheme="minorHAnsi" w:cstheme="minorHAnsi"/>
        </w:rPr>
        <w:t>propozycjach legislacyjnych przedstawionych przez służby KE</w:t>
      </w:r>
      <w:r w:rsidRPr="005E3C83">
        <w:rPr>
          <w:rFonts w:asciiTheme="minorHAnsi" w:hAnsiTheme="minorHAnsi" w:cstheme="minorHAnsi"/>
        </w:rPr>
        <w:t>.</w:t>
      </w:r>
    </w:p>
    <w:p w14:paraId="7F078BD2" w14:textId="77777777" w:rsidR="0062113F"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W dokumencie wskazano działania horyzontalne związane m.in. z proekologicznym zarządzaniem lokalnymi zasobami wodnymi, obejmującym kształtowanie krajobrazów sprzyjających zatrzymywaniu wody.</w:t>
      </w:r>
    </w:p>
    <w:p w14:paraId="5F8BF970"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Wśród kierunków interwencji SZRWRiR 2030 wskazuje m.in.: zrównoważone gospodarowanie i ochronę zasobów środowiska, a także adaptację do zmian klimatu oraz przeciwdziałanie tym zmianom. Działania mające na uwadze ochronę zasobów wodnych, gleby i różnorodności biologicznej powiązano z działaniami na rzecz adaptacji rolnictwa do zmian klimatu i ograniczającymi emisje.</w:t>
      </w:r>
    </w:p>
    <w:tbl>
      <w:tblPr>
        <w:tblStyle w:val="Tabela-Siatka"/>
        <w:tblW w:w="0" w:type="auto"/>
        <w:tblLook w:val="04A0" w:firstRow="1" w:lastRow="0" w:firstColumn="1" w:lastColumn="0" w:noHBand="0" w:noVBand="1"/>
      </w:tblPr>
      <w:tblGrid>
        <w:gridCol w:w="9016"/>
      </w:tblGrid>
      <w:tr w:rsidR="0062113F" w:rsidRPr="000923F6" w14:paraId="36241039" w14:textId="77777777" w:rsidTr="000D52FF">
        <w:tc>
          <w:tcPr>
            <w:tcW w:w="9016" w:type="dxa"/>
            <w:shd w:val="clear" w:color="auto" w:fill="003399"/>
          </w:tcPr>
          <w:p w14:paraId="17ED2B29"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009D85D6" w14:textId="77777777" w:rsidR="0062113F" w:rsidRPr="000923F6" w:rsidRDefault="0062113F" w:rsidP="000D52FF">
            <w:pPr>
              <w:jc w:val="left"/>
              <w:rPr>
                <w:rFonts w:asciiTheme="minorHAnsi" w:hAnsiTheme="minorHAnsi" w:cstheme="minorHAnsi"/>
                <w:i/>
                <w:iCs/>
              </w:rPr>
            </w:pPr>
            <w:bookmarkStart w:id="552" w:name="_Hlk60761930"/>
            <w:r w:rsidRPr="000923F6">
              <w:rPr>
                <w:rFonts w:asciiTheme="minorHAnsi" w:hAnsiTheme="minorHAnsi" w:cstheme="minorHAnsi"/>
                <w:b/>
                <w:bCs/>
              </w:rPr>
              <w:t>Krajowa Strategia Rozwoju Regionalnego 2030 (KSRR 2030)</w:t>
            </w:r>
            <w:r w:rsidRPr="000923F6">
              <w:rPr>
                <w:rFonts w:asciiTheme="minorHAnsi" w:hAnsiTheme="minorHAnsi" w:cstheme="minorHAnsi"/>
                <w:b/>
                <w:bCs/>
              </w:rPr>
              <w:br/>
            </w:r>
            <w:bookmarkEnd w:id="552"/>
            <w:r w:rsidRPr="000923F6">
              <w:rPr>
                <w:rFonts w:asciiTheme="minorHAnsi" w:hAnsiTheme="minorHAnsi" w:cstheme="minorHAnsi"/>
                <w:i/>
                <w:iCs/>
              </w:rPr>
              <w:t>Jedna z dziewięciu horyzontalnych zintegrowanych strategii rozwoju</w:t>
            </w:r>
          </w:p>
        </w:tc>
      </w:tr>
    </w:tbl>
    <w:p w14:paraId="208F3E5D"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R</w:t>
      </w:r>
      <w:r w:rsidRPr="000923F6">
        <w:rPr>
          <w:rFonts w:asciiTheme="minorHAnsi" w:hAnsiTheme="minorHAnsi" w:cstheme="minorHAnsi"/>
          <w:color w:val="1B1B1B"/>
          <w:shd w:val="clear" w:color="auto" w:fill="FFFFFF"/>
        </w:rPr>
        <w:t>ozwój państwa jako społecznie i terytorialnie zrównoważonego, dzięki czemu lokalne zasoby i potencjały wszystkich regionów będą efektywnie rozwijane oraz wykorzystywane. Istotnym celem takiego mechanizmu jest wspomaganie obszarów</w:t>
      </w:r>
      <w:r w:rsidRPr="000923F6">
        <w:rPr>
          <w:rFonts w:asciiTheme="minorHAnsi" w:hAnsiTheme="minorHAnsi" w:cstheme="minorHAnsi"/>
          <w:color w:val="000000"/>
          <w:bdr w:val="none" w:sz="0" w:space="0" w:color="auto" w:frame="1"/>
        </w:rPr>
        <w:t xml:space="preserve"> wiejskich i miejskich</w:t>
      </w:r>
      <w:r w:rsidRPr="000923F6">
        <w:rPr>
          <w:rFonts w:asciiTheme="minorHAnsi" w:hAnsiTheme="minorHAnsi" w:cstheme="minorHAnsi"/>
          <w:color w:val="1B1B1B"/>
          <w:shd w:val="clear" w:color="auto" w:fill="FFFFFF"/>
        </w:rPr>
        <w:t>, zwłaszcza tych, które nie mogą w pełni wykorzystywać i rozwijać swojego potencjału.</w:t>
      </w:r>
    </w:p>
    <w:p w14:paraId="32584B0E"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Efektywne wykorzystanie endogenicznych potencjałów obszarów </w:t>
      </w:r>
      <w:r>
        <w:rPr>
          <w:rFonts w:asciiTheme="minorHAnsi" w:hAnsiTheme="minorHAnsi" w:cstheme="minorHAnsi"/>
        </w:rPr>
        <w:br/>
      </w:r>
      <w:r w:rsidRPr="000923F6">
        <w:rPr>
          <w:rFonts w:asciiTheme="minorHAnsi" w:hAnsiTheme="minorHAnsi" w:cstheme="minorHAnsi"/>
        </w:rPr>
        <w:t>i ich specjalizacji dla zrealizowania zrównoważonego rozwoju w celu stworzenia w przyszłości warunków do wzrostu dochodów społeczeństwa przy jednoznacznym osiąganiu spójności w obszarze społecznym, gospodarczym, środowiskowym oraz przestrzennym.</w:t>
      </w:r>
    </w:p>
    <w:p w14:paraId="004426B1"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83D3E">
        <w:rPr>
          <w:rFonts w:asciiTheme="minorHAnsi" w:hAnsiTheme="minorHAnsi" w:cstheme="minorHAnsi"/>
          <w:shd w:val="clear" w:color="auto" w:fill="FFFFFF" w:themeFill="background1"/>
        </w:rPr>
        <w:t>W</w:t>
      </w:r>
      <w:r>
        <w:rPr>
          <w:rFonts w:asciiTheme="minorHAnsi" w:hAnsiTheme="minorHAnsi" w:cstheme="minorHAnsi"/>
        </w:rPr>
        <w:t> dokumencie przewidziano</w:t>
      </w:r>
      <w:r w:rsidRPr="000923F6">
        <w:rPr>
          <w:rFonts w:asciiTheme="minorHAnsi" w:hAnsiTheme="minorHAnsi" w:cstheme="minorHAnsi"/>
        </w:rPr>
        <w:t xml:space="preserve"> inicjatywy na rzecz</w:t>
      </w:r>
      <w:r>
        <w:rPr>
          <w:rFonts w:asciiTheme="minorHAnsi" w:hAnsiTheme="minorHAnsi" w:cstheme="minorHAnsi"/>
        </w:rPr>
        <w:t xml:space="preserve"> m.in.</w:t>
      </w:r>
      <w:r w:rsidRPr="000923F6">
        <w:rPr>
          <w:rFonts w:asciiTheme="minorHAnsi" w:hAnsiTheme="minorHAnsi" w:cstheme="minorHAnsi"/>
        </w:rPr>
        <w:t xml:space="preserve">: ochrony i poprawy stanu środowiska, ograniczenia ekstremalnych skutków zmian klimatu, zapewnienia dostępu do czystej wody oraz ochrony przed powodziami i suszą. W ramach polityki regionalnej wdrożone będą działania związane m.in. z rozwojem infrastruktury komunalnej. Dotyczyć będą m.in. usług w zakresie zaopatrzenia w wodę oraz oczyszczania ścieków. Ponadto w ramach realizacji celów i kierunków działań wskazanych w KSRR 2030 będą realizowane inwestycje związane z śródlądowymi drogami wodnymi czy portami morskimi. Dokument wskazuje również konieczność zastosowania nowoczesnych zasad gospodarowania wodą oraz zarządzania ryzykiem powodziowym. </w:t>
      </w:r>
    </w:p>
    <w:p w14:paraId="518CF62B" w14:textId="7225EE3A" w:rsidR="0062113F" w:rsidRPr="000923F6" w:rsidRDefault="0062113F" w:rsidP="0062113F">
      <w:pPr>
        <w:rPr>
          <w:rFonts w:asciiTheme="minorHAnsi" w:hAnsiTheme="minorHAnsi" w:cstheme="minorHAnsi"/>
        </w:rPr>
      </w:pPr>
      <w:r w:rsidRPr="000923F6">
        <w:rPr>
          <w:rFonts w:asciiTheme="minorHAnsi" w:hAnsiTheme="minorHAnsi" w:cstheme="minorHAnsi"/>
        </w:rPr>
        <w:t xml:space="preserve">Realizacja działań w KSRR 2030 powiązana jest z celami wskazanymi w </w:t>
      </w:r>
      <w:r w:rsidRPr="000923F6">
        <w:rPr>
          <w:rFonts w:asciiTheme="minorHAnsi" w:hAnsiTheme="minorHAnsi" w:cstheme="minorHAnsi"/>
          <w:i/>
          <w:iCs/>
        </w:rPr>
        <w:t xml:space="preserve">Polityce ekologicznej państwa 2030 </w:t>
      </w:r>
      <w:r>
        <w:rPr>
          <w:rFonts w:asciiTheme="minorHAnsi" w:hAnsiTheme="minorHAnsi" w:cstheme="minorHAnsi"/>
          <w:i/>
          <w:iCs/>
        </w:rPr>
        <w:t>-</w:t>
      </w:r>
      <w:r w:rsidRPr="000923F6">
        <w:rPr>
          <w:rFonts w:asciiTheme="minorHAnsi" w:hAnsiTheme="minorHAnsi" w:cstheme="minorHAnsi"/>
          <w:i/>
          <w:iCs/>
        </w:rPr>
        <w:t xml:space="preserve"> strategii rozwoju w obszarze środowiska i gospodarki wodnej</w:t>
      </w:r>
      <w:r w:rsidRPr="000923F6">
        <w:rPr>
          <w:rFonts w:asciiTheme="minorHAnsi" w:hAnsiTheme="minorHAnsi" w:cstheme="minorHAnsi"/>
        </w:rPr>
        <w:t xml:space="preserve"> (</w:t>
      </w:r>
      <w:r>
        <w:rPr>
          <w:rFonts w:asciiTheme="minorHAnsi" w:hAnsiTheme="minorHAnsi" w:cstheme="minorHAnsi"/>
        </w:rPr>
        <w:t>PEP2030</w:t>
      </w:r>
      <w:r w:rsidRPr="000923F6">
        <w:rPr>
          <w:rFonts w:asciiTheme="minorHAnsi" w:hAnsiTheme="minorHAnsi" w:cstheme="minorHAnsi"/>
        </w:rPr>
        <w:t xml:space="preserve">) oraz w </w:t>
      </w:r>
      <w:r w:rsidRPr="000923F6">
        <w:rPr>
          <w:rFonts w:asciiTheme="minorHAnsi" w:hAnsiTheme="minorHAnsi" w:cstheme="minorHAnsi"/>
          <w:i/>
          <w:iCs/>
        </w:rPr>
        <w:t xml:space="preserve">Polityce Energetycznej Polski do 2040 r. - strategia rozwoju sektora paliwowo-energetycznego </w:t>
      </w:r>
      <w:r w:rsidRPr="000923F6">
        <w:rPr>
          <w:rFonts w:asciiTheme="minorHAnsi" w:hAnsiTheme="minorHAnsi" w:cstheme="minorHAnsi"/>
        </w:rPr>
        <w:t>(</w:t>
      </w:r>
      <w:r>
        <w:rPr>
          <w:rFonts w:asciiTheme="minorHAnsi" w:hAnsiTheme="minorHAnsi" w:cstheme="minorHAnsi"/>
        </w:rPr>
        <w:t>PEP2040</w:t>
      </w:r>
      <w:r w:rsidRPr="000923F6">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62113F" w:rsidRPr="000923F6" w14:paraId="54212201" w14:textId="77777777" w:rsidTr="000D52FF">
        <w:tc>
          <w:tcPr>
            <w:tcW w:w="9062" w:type="dxa"/>
            <w:shd w:val="clear" w:color="auto" w:fill="003399"/>
          </w:tcPr>
          <w:p w14:paraId="27CCAD5C"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72236D33" w14:textId="77777777" w:rsidR="0062113F" w:rsidRPr="000923F6" w:rsidRDefault="0062113F" w:rsidP="000D52FF">
            <w:pPr>
              <w:jc w:val="left"/>
              <w:rPr>
                <w:rFonts w:asciiTheme="minorHAnsi" w:hAnsiTheme="minorHAnsi" w:cstheme="minorHAnsi"/>
                <w:b/>
                <w:bCs/>
              </w:rPr>
            </w:pPr>
            <w:bookmarkStart w:id="553" w:name="_Hlk60760887"/>
            <w:r w:rsidRPr="000923F6">
              <w:rPr>
                <w:rFonts w:asciiTheme="minorHAnsi" w:hAnsiTheme="minorHAnsi" w:cstheme="minorHAnsi"/>
                <w:b/>
                <w:bCs/>
              </w:rPr>
              <w:t>Strategia „Sprawne i Nowoczesne Państwo 2030” (SiNP</w:t>
            </w:r>
            <w:bookmarkEnd w:id="553"/>
            <w:r w:rsidRPr="000923F6">
              <w:rPr>
                <w:rFonts w:asciiTheme="minorHAnsi" w:hAnsiTheme="minorHAnsi" w:cstheme="minorHAnsi"/>
                <w:b/>
                <w:bCs/>
              </w:rPr>
              <w:t>)</w:t>
            </w:r>
            <w:r w:rsidRPr="000923F6">
              <w:rPr>
                <w:rFonts w:asciiTheme="minorHAnsi" w:hAnsiTheme="minorHAnsi" w:cstheme="minorHAnsi"/>
                <w:b/>
                <w:bCs/>
              </w:rPr>
              <w:br/>
            </w:r>
            <w:r w:rsidRPr="000923F6">
              <w:rPr>
                <w:rFonts w:asciiTheme="minorHAnsi" w:hAnsiTheme="minorHAnsi" w:cstheme="minorHAnsi"/>
                <w:i/>
                <w:iCs/>
              </w:rPr>
              <w:t>Aktualizacja</w:t>
            </w:r>
            <w:r w:rsidRPr="000923F6">
              <w:rPr>
                <w:rFonts w:asciiTheme="minorHAnsi" w:hAnsiTheme="minorHAnsi" w:cstheme="minorHAnsi"/>
              </w:rPr>
              <w:br/>
            </w:r>
            <w:r w:rsidRPr="000923F6">
              <w:rPr>
                <w:rFonts w:asciiTheme="minorHAnsi" w:hAnsiTheme="minorHAnsi" w:cstheme="minorHAnsi"/>
                <w:i/>
                <w:iCs/>
              </w:rPr>
              <w:t>Jedna z dziewięciu horyzontalnych zintegrowanych strategii rozwoju</w:t>
            </w:r>
          </w:p>
        </w:tc>
      </w:tr>
    </w:tbl>
    <w:p w14:paraId="16227089"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Budowa sprawnego i nowoczesnego państwa służącego obywatelom, środowisku oraz gospodarce.</w:t>
      </w:r>
    </w:p>
    <w:p w14:paraId="4243E806" w14:textId="77777777" w:rsidR="0062113F" w:rsidRPr="00662949" w:rsidRDefault="0062113F" w:rsidP="0062113F">
      <w:pPr>
        <w:rPr>
          <w:rFonts w:asciiTheme="minorHAnsi" w:hAnsi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Wzmocnienie bezpieczeństwa zewnętrznego i wewnętrznego, w tym ochrona przed zagrożeniami oraz klęskami żywiołowymi (powodzie i susze).</w:t>
      </w:r>
    </w:p>
    <w:p w14:paraId="4229071F"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Działania przewidziane w SiNP przyczyniają się do zapewniania bezpieczeństwa wewnętrznego państwa w celu ratowania i ochrony m.in. zasobów środowiska naturalnego (w tym zasobów wodnych) w przypadku klęsk żywiołowych lub innych miejscowych zagrożeń. Promowane w dokumencie programy </w:t>
      </w:r>
      <w:bookmarkStart w:id="554" w:name="_Hlk60760964"/>
      <w:r w:rsidRPr="000923F6">
        <w:rPr>
          <w:rFonts w:asciiTheme="minorHAnsi" w:hAnsiTheme="minorHAnsi" w:cstheme="minorHAnsi"/>
        </w:rPr>
        <w:t>Społecznej Odpowiedzialności Nauki (SON)</w:t>
      </w:r>
      <w:bookmarkEnd w:id="554"/>
      <w:r w:rsidRPr="000923F6">
        <w:rPr>
          <w:rFonts w:asciiTheme="minorHAnsi" w:hAnsiTheme="minorHAnsi" w:cstheme="minorHAnsi"/>
        </w:rPr>
        <w:t xml:space="preserve"> mają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16"/>
      </w:tblGrid>
      <w:tr w:rsidR="0062113F" w:rsidRPr="000923F6" w14:paraId="5FC98943" w14:textId="77777777" w:rsidTr="000D52FF">
        <w:tc>
          <w:tcPr>
            <w:tcW w:w="9016" w:type="dxa"/>
            <w:shd w:val="clear" w:color="auto" w:fill="003399"/>
          </w:tcPr>
          <w:p w14:paraId="3B02FB0A"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7C65931C" w14:textId="77777777" w:rsidR="0062113F" w:rsidRPr="000923F6" w:rsidRDefault="0062113F" w:rsidP="000D52FF">
            <w:pPr>
              <w:jc w:val="left"/>
              <w:rPr>
                <w:rFonts w:asciiTheme="minorHAnsi" w:hAnsiTheme="minorHAnsi" w:cstheme="minorHAnsi"/>
                <w:b/>
                <w:bCs/>
              </w:rPr>
            </w:pPr>
            <w:bookmarkStart w:id="555" w:name="_Hlk60761001"/>
            <w:r w:rsidRPr="000923F6">
              <w:rPr>
                <w:rFonts w:asciiTheme="minorHAnsi" w:hAnsiTheme="minorHAnsi" w:cstheme="minorHAnsi"/>
                <w:b/>
                <w:bCs/>
              </w:rPr>
              <w:t>Strategia Rozwoju Kapitału Społecznego (współdziałanie, kultura, kreatywność) 2030 (SRKS)</w:t>
            </w:r>
            <w:bookmarkEnd w:id="555"/>
            <w:r w:rsidRPr="000923F6">
              <w:rPr>
                <w:rFonts w:asciiTheme="minorHAnsi" w:hAnsiTheme="minorHAnsi" w:cstheme="minorHAnsi"/>
                <w:b/>
                <w:bCs/>
              </w:rPr>
              <w:br/>
            </w:r>
            <w:r w:rsidRPr="000923F6">
              <w:rPr>
                <w:rFonts w:asciiTheme="minorHAnsi" w:hAnsiTheme="minorHAnsi" w:cstheme="minorHAnsi"/>
                <w:i/>
                <w:iCs/>
              </w:rPr>
              <w:t>Aktualizacja</w:t>
            </w:r>
            <w:r w:rsidRPr="000923F6">
              <w:rPr>
                <w:rFonts w:asciiTheme="minorHAnsi" w:hAnsiTheme="minorHAnsi" w:cstheme="minorHAnsi"/>
              </w:rPr>
              <w:br/>
            </w:r>
            <w:r w:rsidRPr="000923F6">
              <w:rPr>
                <w:rFonts w:asciiTheme="minorHAnsi" w:hAnsiTheme="minorHAnsi" w:cstheme="minorHAnsi"/>
                <w:i/>
                <w:iCs/>
              </w:rPr>
              <w:t>Jedna z dziewięciu horyzontalnych zintegrowanych strategii rozwoju</w:t>
            </w:r>
          </w:p>
        </w:tc>
      </w:tr>
    </w:tbl>
    <w:p w14:paraId="51A3C55A"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Wzrost jakości życia społecznego i kulturalnego Polaków.</w:t>
      </w:r>
    </w:p>
    <w:p w14:paraId="12D6EAC2"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Realizacja głównego celu SRKS odbywa się przez wdrażanie kierunków interwencji zaplanowanych do realizacji w trzech obszarach: (1) współdziałanie </w:t>
      </w:r>
      <w:r>
        <w:rPr>
          <w:rFonts w:asciiTheme="minorHAnsi" w:hAnsiTheme="minorHAnsi" w:cstheme="minorHAnsi"/>
        </w:rPr>
        <w:t>-</w:t>
      </w:r>
      <w:r w:rsidRPr="000923F6">
        <w:rPr>
          <w:rFonts w:asciiTheme="minorHAnsi" w:hAnsiTheme="minorHAnsi" w:cstheme="minorHAnsi"/>
        </w:rPr>
        <w:t xml:space="preserve"> społeczeństwo obywatelskie; (2) kultura </w:t>
      </w:r>
      <w:r>
        <w:rPr>
          <w:rFonts w:asciiTheme="minorHAnsi" w:hAnsiTheme="minorHAnsi" w:cstheme="minorHAnsi"/>
        </w:rPr>
        <w:t>-</w:t>
      </w:r>
      <w:r w:rsidRPr="000923F6">
        <w:rPr>
          <w:rFonts w:asciiTheme="minorHAnsi" w:hAnsiTheme="minorHAnsi" w:cstheme="minorHAnsi"/>
        </w:rPr>
        <w:t xml:space="preserve"> tożsamość i postawy obywatelskie; (3) kreatywność </w:t>
      </w:r>
      <w:r>
        <w:rPr>
          <w:rFonts w:asciiTheme="minorHAnsi" w:hAnsiTheme="minorHAnsi" w:cstheme="minorHAnsi"/>
        </w:rPr>
        <w:t>-</w:t>
      </w:r>
      <w:r w:rsidRPr="000923F6">
        <w:rPr>
          <w:rFonts w:asciiTheme="minorHAnsi" w:hAnsiTheme="minorHAnsi" w:cstheme="minorHAnsi"/>
        </w:rPr>
        <w:t xml:space="preserve"> potencjał kulturowy i kreatywny.</w:t>
      </w:r>
    </w:p>
    <w:p w14:paraId="59F8DEE1" w14:textId="2DE99189" w:rsidR="00380657"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SRKS wspiera inicjatywy w zakresie zmian w treściach nauczania, nastawione na kształtowanie postaw proinnowacyjnych. Działania mogą być związane m.in. z ochroną środowiska. Również promowane przez SRKS programy w zakresie </w:t>
      </w:r>
      <w:r w:rsidRPr="000923F6">
        <w:rPr>
          <w:rFonts w:asciiTheme="minorHAnsi" w:hAnsiTheme="minorHAnsi" w:cstheme="minorHAnsi"/>
          <w:bCs/>
        </w:rPr>
        <w:t>Społecznej Odpowiedzialności Nauki (SON) ma</w:t>
      </w:r>
      <w:r w:rsidRPr="000923F6">
        <w:rPr>
          <w:rFonts w:asciiTheme="minorHAnsi" w:hAnsiTheme="minorHAnsi" w:cstheme="minorHAnsi"/>
        </w:rPr>
        <w:t>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62"/>
      </w:tblGrid>
      <w:tr w:rsidR="0062113F" w:rsidRPr="000923F6" w14:paraId="2393A16A" w14:textId="77777777" w:rsidTr="000D52FF">
        <w:tc>
          <w:tcPr>
            <w:tcW w:w="9062" w:type="dxa"/>
            <w:shd w:val="clear" w:color="auto" w:fill="003399"/>
          </w:tcPr>
          <w:p w14:paraId="3B8B45BD"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strategie rozwoju</w:t>
            </w:r>
          </w:p>
          <w:p w14:paraId="68FF41FE" w14:textId="77777777" w:rsidR="0062113F" w:rsidRPr="000923F6" w:rsidRDefault="0062113F" w:rsidP="000D52FF">
            <w:pPr>
              <w:jc w:val="left"/>
              <w:rPr>
                <w:rFonts w:asciiTheme="minorHAnsi" w:hAnsiTheme="minorHAnsi" w:cstheme="minorHAnsi"/>
                <w:b/>
                <w:bCs/>
              </w:rPr>
            </w:pPr>
            <w:bookmarkStart w:id="556" w:name="_Hlk60761097"/>
            <w:r w:rsidRPr="000923F6">
              <w:rPr>
                <w:rFonts w:asciiTheme="minorHAnsi" w:hAnsiTheme="minorHAnsi" w:cstheme="minorHAnsi"/>
                <w:b/>
                <w:bCs/>
              </w:rPr>
              <w:t>Strategia produktywności 2030 (SP 2030)</w:t>
            </w:r>
            <w:bookmarkEnd w:id="556"/>
            <w:r w:rsidRPr="000923F6">
              <w:rPr>
                <w:rFonts w:asciiTheme="minorHAnsi" w:hAnsiTheme="minorHAnsi" w:cstheme="minorHAnsi"/>
                <w:b/>
                <w:bCs/>
                <w:highlight w:val="red"/>
              </w:rPr>
              <w:br/>
            </w:r>
            <w:r w:rsidRPr="000923F6">
              <w:rPr>
                <w:rFonts w:asciiTheme="minorHAnsi" w:hAnsiTheme="minorHAnsi" w:cstheme="minorHAnsi"/>
                <w:i/>
                <w:iCs/>
              </w:rPr>
              <w:t>Jedna z dziewięciu horyzontalnych zintegrowanych strategii rozwoju</w:t>
            </w:r>
          </w:p>
        </w:tc>
      </w:tr>
    </w:tbl>
    <w:p w14:paraId="71A427D0"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Progresywny wzrost produktywności w warunkach gospodarki: neutralnej klimatycznie, o obiegu zamkniętym, opartej na danych. Dokument określa cele związane z zasobami naturalnymi (w tym zasobami wodnymi), do których zalicza się wzrost wydajności surowcowej gospodarki oraz wykorzystania surowców odnawialnych i biomasy w gospodarce.</w:t>
      </w:r>
    </w:p>
    <w:p w14:paraId="41983B44"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Projekt SP 2030 identyfikuje siedem obszarów istotnych dla transformacji gospodarki w przyszłości. Pięć z nich to zasoby komplementarne, synergiczne, które pozwalają na wzrost produktywności i innowacyjności oraz przystosowanie do ogólnoświatowych makrotrendów. Zalicza się do nich m.in. zasoby naturalne, w tym zasoby wodne.</w:t>
      </w:r>
    </w:p>
    <w:p w14:paraId="08267E57" w14:textId="5D3DDFD2"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SP 2030 określa kierunki interwencji oraz instrumenty wsparcia stosowane przez struktury rządzące w kolejnych latach w celu pobudzenia wzrostu poziomu inwestycji i produktywności przedsiębiorstw w kraju, z uwzględnieniem aspektów środowiskowych (m.in. zużycia wody w produkcji). Określone </w:t>
      </w:r>
      <w:r w:rsidRPr="00E21E75">
        <w:rPr>
          <w:rFonts w:asciiTheme="minorHAnsi" w:hAnsiTheme="minorHAnsi" w:cstheme="minorHAnsi"/>
        </w:rPr>
        <w:t xml:space="preserve">w dokumencie cele </w:t>
      </w:r>
      <w:r w:rsidRPr="00083D3E">
        <w:rPr>
          <w:rFonts w:asciiTheme="minorHAnsi" w:hAnsiTheme="minorHAnsi" w:cstheme="minorHAnsi"/>
        </w:rPr>
        <w:t xml:space="preserve">dotyczące aspektów </w:t>
      </w:r>
      <w:r w:rsidRPr="00E21E75">
        <w:rPr>
          <w:rFonts w:asciiTheme="minorHAnsi" w:hAnsiTheme="minorHAnsi" w:cstheme="minorHAnsi"/>
        </w:rPr>
        <w:t>środowiskow</w:t>
      </w:r>
      <w:r w:rsidRPr="00083D3E">
        <w:rPr>
          <w:rFonts w:asciiTheme="minorHAnsi" w:hAnsiTheme="minorHAnsi" w:cstheme="minorHAnsi"/>
        </w:rPr>
        <w:t>ych</w:t>
      </w:r>
      <w:r w:rsidRPr="000923F6">
        <w:rPr>
          <w:rFonts w:asciiTheme="minorHAnsi" w:hAnsiTheme="minorHAnsi" w:cstheme="minorHAnsi"/>
        </w:rPr>
        <w:t xml:space="preserve"> mają zostać spełnione dzięki optymalizacji gospodarowania surowcami nieodnawialnymi ze szczególnym uwzględnieniem ich jakości, wartości i</w:t>
      </w:r>
      <w:r>
        <w:rPr>
          <w:rFonts w:asciiTheme="minorHAnsi" w:hAnsiTheme="minorHAnsi" w:cstheme="minorHAnsi"/>
        </w:rPr>
        <w:t> </w:t>
      </w:r>
      <w:r w:rsidRPr="000923F6">
        <w:rPr>
          <w:rFonts w:asciiTheme="minorHAnsi" w:hAnsiTheme="minorHAnsi" w:cstheme="minorHAnsi"/>
        </w:rPr>
        <w:t xml:space="preserve">możliwości wielokrotnego użycia. Jest to związane z działaniem polegającym na zwiększaniu wydajności gospodarowania surowcami w całym cyklu życia, tj. upowszechnianiem narzędzia pomiaru śladu środowiskowego. </w:t>
      </w:r>
    </w:p>
    <w:p w14:paraId="47C992E4" w14:textId="77777777" w:rsidR="0062113F" w:rsidRDefault="0062113F" w:rsidP="0062113F">
      <w:pPr>
        <w:rPr>
          <w:rFonts w:asciiTheme="minorHAnsi" w:hAnsiTheme="minorHAnsi" w:cstheme="minorHAnsi"/>
        </w:rPr>
      </w:pPr>
      <w:r w:rsidRPr="000923F6">
        <w:rPr>
          <w:rFonts w:asciiTheme="minorHAnsi" w:hAnsiTheme="minorHAnsi" w:cstheme="minorHAnsi"/>
        </w:rPr>
        <w:t>W dokumencie zwraca się również uwagę na działania związane z ekoprojektowaniem, które w założeniu ma się przekładać na optymalizację procesów produkcji, zmniejszenie zużycia wody bądź redukcję emisji do wody.</w:t>
      </w:r>
    </w:p>
    <w:tbl>
      <w:tblPr>
        <w:tblStyle w:val="Tabela-Siatka"/>
        <w:tblW w:w="0" w:type="auto"/>
        <w:tblLook w:val="04A0" w:firstRow="1" w:lastRow="0" w:firstColumn="1" w:lastColumn="0" w:noHBand="0" w:noVBand="1"/>
      </w:tblPr>
      <w:tblGrid>
        <w:gridCol w:w="9016"/>
      </w:tblGrid>
      <w:tr w:rsidR="0062113F" w:rsidRPr="000923F6" w14:paraId="69BA4DCB" w14:textId="77777777" w:rsidTr="000D52FF">
        <w:tc>
          <w:tcPr>
            <w:tcW w:w="9016" w:type="dxa"/>
            <w:shd w:val="clear" w:color="auto" w:fill="003399"/>
          </w:tcPr>
          <w:p w14:paraId="1B151304" w14:textId="77777777" w:rsidR="0062113F" w:rsidRPr="000923F6" w:rsidRDefault="0062113F" w:rsidP="000D52FF">
            <w:pPr>
              <w:jc w:val="right"/>
              <w:rPr>
                <w:rFonts w:asciiTheme="minorHAnsi" w:hAnsiTheme="minorHAnsi" w:cstheme="minorHAnsi"/>
                <w:b/>
                <w:bCs/>
              </w:rPr>
            </w:pPr>
            <w:bookmarkStart w:id="557" w:name="_Hlk60824931"/>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polityki publiczne</w:t>
            </w:r>
          </w:p>
          <w:p w14:paraId="1287404C" w14:textId="77777777" w:rsidR="0062113F" w:rsidRPr="000923F6" w:rsidRDefault="0062113F" w:rsidP="000D52FF">
            <w:pPr>
              <w:jc w:val="left"/>
              <w:rPr>
                <w:rFonts w:asciiTheme="minorHAnsi" w:hAnsiTheme="minorHAnsi" w:cstheme="minorHAnsi"/>
                <w:b/>
                <w:bCs/>
              </w:rPr>
            </w:pPr>
            <w:bookmarkStart w:id="558" w:name="_Hlk60761321"/>
            <w:r w:rsidRPr="000923F6">
              <w:rPr>
                <w:rFonts w:asciiTheme="minorHAnsi" w:hAnsiTheme="minorHAnsi" w:cstheme="minorHAnsi"/>
                <w:b/>
                <w:bCs/>
              </w:rPr>
              <w:t>Krajowy plan na rzecz energii i klimatu na lata 2021-2030 (KPEiK)</w:t>
            </w:r>
            <w:bookmarkEnd w:id="558"/>
          </w:p>
        </w:tc>
      </w:tr>
    </w:tbl>
    <w:bookmarkEnd w:id="557"/>
    <w:p w14:paraId="2B4748B4"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Zrównoważona, ekonomicznie efektywna i sprawiedliwa transformacja w kierunku gospodarki niskoemisyjnej.</w:t>
      </w:r>
    </w:p>
    <w:p w14:paraId="68BCE0B4"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Obniżenie emisyjności m.in. w obszarze gospodarki wodnej.</w:t>
      </w:r>
    </w:p>
    <w:p w14:paraId="310545E3" w14:textId="4C14FFD5" w:rsidR="00380657"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Dokument wyróżnia m.in. działania na rzecz dostosowania sektora gospodarki wodnej do zmian klimatu. </w:t>
      </w:r>
      <w:r w:rsidRPr="000923F6">
        <w:rPr>
          <w:rFonts w:asciiTheme="minorHAnsi" w:hAnsiTheme="minorHAnsi" w:cstheme="minorHAnsi"/>
        </w:rPr>
        <w:br/>
        <w:t>Są to m.in. inicjatywy w zakresie: opracowania i wdrożenia metod oceny ryzyka powodziowego na obszarach miejskich; zwiększenia odporności systemu zarządzania ryzykiem powodziowym na skutki zmian klimatu; zwiększenia możliwości retencyjnych i renaturyzacji cieków wodnych; przywracania i utrzymania dobrego stanu wód, ekosystemów wodnych i od wody zależnych, w tym realizacji działań wynikających z ustaleń planów gospodarowania wodami na obszarach dorzeczy lub aktualizacji tych planów. Ponadto dokument wskazuje istotną rolę poszczególnych technologii OZE w miksie energetycznym w podziale na źródła sterowalne i niesterowalne, zwłaszcza w obszarze hydroenergii wykorzystującej zasoby wodne. W KPEiK zaprezentowano również działania związane z łagodzeniem zmian klimatu i adaptacją do nich, a także zapobieganiem ryzyku klęsk żywiołowych.</w:t>
      </w:r>
    </w:p>
    <w:tbl>
      <w:tblPr>
        <w:tblStyle w:val="Tabela-Siatka"/>
        <w:tblW w:w="0" w:type="auto"/>
        <w:tblLook w:val="04A0" w:firstRow="1" w:lastRow="0" w:firstColumn="1" w:lastColumn="0" w:noHBand="0" w:noVBand="1"/>
      </w:tblPr>
      <w:tblGrid>
        <w:gridCol w:w="9016"/>
      </w:tblGrid>
      <w:tr w:rsidR="0062113F" w:rsidRPr="000923F6" w14:paraId="0E28563F" w14:textId="77777777" w:rsidTr="000D52FF">
        <w:tc>
          <w:tcPr>
            <w:tcW w:w="9016" w:type="dxa"/>
            <w:shd w:val="clear" w:color="auto" w:fill="003399"/>
          </w:tcPr>
          <w:p w14:paraId="3256EFE8"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polityki publiczne</w:t>
            </w:r>
          </w:p>
          <w:p w14:paraId="4C3E53F9" w14:textId="77777777" w:rsidR="0062113F" w:rsidRPr="000923F6" w:rsidRDefault="0062113F" w:rsidP="000D52FF">
            <w:pPr>
              <w:jc w:val="left"/>
              <w:rPr>
                <w:rFonts w:asciiTheme="minorHAnsi" w:hAnsiTheme="minorHAnsi" w:cstheme="minorHAnsi"/>
                <w:b/>
                <w:bCs/>
              </w:rPr>
            </w:pPr>
            <w:bookmarkStart w:id="559" w:name="_Hlk60761993"/>
            <w:r w:rsidRPr="000923F6">
              <w:rPr>
                <w:rFonts w:asciiTheme="minorHAnsi" w:hAnsiTheme="minorHAnsi" w:cstheme="minorHAnsi"/>
                <w:b/>
                <w:bCs/>
              </w:rPr>
              <w:t>Krajowa Polityka Miejska 2023</w:t>
            </w:r>
            <w:bookmarkEnd w:id="559"/>
          </w:p>
        </w:tc>
      </w:tr>
    </w:tbl>
    <w:p w14:paraId="3C8159BF"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Zrównoważony rozwój miast oraz ich obszarów funkcjonalnych z wykorzystaniem ich potencjału w procesach rozwoju państwa. </w:t>
      </w:r>
    </w:p>
    <w:p w14:paraId="495CCA54" w14:textId="777777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Wzmocnienie zdolności miast oraz obszarów zurbanizowanych do promowania zrównoważonego rozwoju poprzez dbałość o wysoką jakość polityki miejskiej na poziomie krajowym oraz samorządowym. </w:t>
      </w:r>
    </w:p>
    <w:p w14:paraId="07CADF79"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Dokument wskazuje kierunki interwencji, takie jak zarządzanie wodą w mieście, uwzględniające lepsze wykorzystanie układu hydrograficznego w układzie miejskim czy zwiększenie możliwości obszarów miejskich. W zakresie monitoringu i ostrzegania o zagrożeniach środowiskowych (m.in. powodzi) przewiduje działania mające na celu rozbudowę systemów monitorowania zjawisk przyrodniczych. </w:t>
      </w:r>
    </w:p>
    <w:p w14:paraId="0CEBC81A" w14:textId="7D7FC3C3" w:rsidR="0062113F" w:rsidRDefault="0062113F" w:rsidP="0062113F">
      <w:pPr>
        <w:rPr>
          <w:rFonts w:asciiTheme="minorHAnsi" w:hAnsiTheme="minorHAnsi" w:cstheme="minorHAnsi"/>
        </w:rPr>
      </w:pPr>
      <w:r w:rsidRPr="000923F6">
        <w:rPr>
          <w:rFonts w:asciiTheme="minorHAnsi" w:hAnsiTheme="minorHAnsi" w:cstheme="minorHAnsi"/>
        </w:rPr>
        <w:t xml:space="preserve">Ponadto dokument wskazuje potrzebę przeglądu skuteczności stosowania prawa dotyczącego gospodarki wodnej w zakresie zasad inwestowania na obszarach narażonych na niebezpieczeństwo powodzi (tereny zalewowe). </w:t>
      </w:r>
    </w:p>
    <w:p w14:paraId="4C684830" w14:textId="77777777" w:rsidR="0062113F" w:rsidRPr="000923F6" w:rsidRDefault="0062113F" w:rsidP="00B50FFD">
      <w:pPr>
        <w:pStyle w:val="Nagwek3"/>
      </w:pPr>
      <w:bookmarkStart w:id="560" w:name="_Toc68726933"/>
      <w:r w:rsidRPr="000923F6">
        <w:t xml:space="preserve">Dokumenty i inne instrumenty o charakterze operacyjno-wdrożeniowym </w:t>
      </w:r>
      <w:r>
        <w:t>-</w:t>
      </w:r>
      <w:r w:rsidRPr="000923F6">
        <w:t xml:space="preserve"> komplementarne względem zapisów IIaPGW</w:t>
      </w:r>
      <w:bookmarkEnd w:id="560"/>
    </w:p>
    <w:tbl>
      <w:tblPr>
        <w:tblStyle w:val="Tabela-Siatka"/>
        <w:tblW w:w="0" w:type="auto"/>
        <w:tblLook w:val="04A0" w:firstRow="1" w:lastRow="0" w:firstColumn="1" w:lastColumn="0" w:noHBand="0" w:noVBand="1"/>
      </w:tblPr>
      <w:tblGrid>
        <w:gridCol w:w="9062"/>
      </w:tblGrid>
      <w:tr w:rsidR="0062113F" w:rsidRPr="000923F6" w14:paraId="195D43E1" w14:textId="77777777" w:rsidTr="000D52FF">
        <w:tc>
          <w:tcPr>
            <w:tcW w:w="9062" w:type="dxa"/>
            <w:shd w:val="clear" w:color="auto" w:fill="003399"/>
          </w:tcPr>
          <w:p w14:paraId="57A642DC"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205FE191" w14:textId="77777777" w:rsidR="0062113F" w:rsidRPr="000923F6" w:rsidRDefault="0062113F" w:rsidP="000D52FF">
            <w:pPr>
              <w:jc w:val="left"/>
              <w:rPr>
                <w:rFonts w:asciiTheme="minorHAnsi" w:hAnsiTheme="minorHAnsi" w:cstheme="minorHAnsi"/>
                <w:i/>
                <w:iCs/>
              </w:rPr>
            </w:pPr>
            <w:bookmarkStart w:id="561" w:name="_Hlk60769880"/>
            <w:r w:rsidRPr="000923F6">
              <w:rPr>
                <w:rFonts w:asciiTheme="minorHAnsi" w:hAnsiTheme="minorHAnsi" w:cstheme="minorHAnsi"/>
                <w:b/>
                <w:bCs/>
              </w:rPr>
              <w:t>Krajowy Program Oczyszczania Ścieków Komunalnych (KPOŚK</w:t>
            </w:r>
            <w:bookmarkEnd w:id="561"/>
            <w:r w:rsidRPr="000923F6">
              <w:rPr>
                <w:rFonts w:asciiTheme="minorHAnsi" w:hAnsiTheme="minorHAnsi" w:cstheme="minorHAnsi"/>
                <w:b/>
                <w:bCs/>
              </w:rPr>
              <w:t>)</w:t>
            </w:r>
            <w:r w:rsidRPr="000923F6">
              <w:rPr>
                <w:rFonts w:asciiTheme="minorHAnsi" w:hAnsiTheme="minorHAnsi" w:cstheme="minorHAnsi"/>
                <w:b/>
                <w:bCs/>
              </w:rPr>
              <w:br/>
            </w:r>
            <w:r w:rsidRPr="000923F6">
              <w:rPr>
                <w:rFonts w:asciiTheme="minorHAnsi" w:hAnsiTheme="minorHAnsi" w:cstheme="minorHAnsi"/>
                <w:i/>
                <w:iCs/>
              </w:rPr>
              <w:t>Aktualizacja</w:t>
            </w:r>
          </w:p>
        </w:tc>
      </w:tr>
    </w:tbl>
    <w:p w14:paraId="2A01DE2A" w14:textId="52F0306C"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Zidentyfikowanie faktycznych potrzeb w zakresie uporządkowania gospodarki ściekowej oraz uszeregowanie ich realizacji w taki sposób, aby wywiązać się z wymagań wynikających z dyrektywy Rady 91/</w:t>
      </w:r>
      <w:r w:rsidR="00C95BFC">
        <w:rPr>
          <w:rFonts w:asciiTheme="minorHAnsi" w:hAnsiTheme="minorHAnsi" w:cstheme="minorHAnsi"/>
        </w:rPr>
        <w:t>676</w:t>
      </w:r>
      <w:r w:rsidRPr="000923F6">
        <w:rPr>
          <w:rFonts w:asciiTheme="minorHAnsi" w:hAnsiTheme="minorHAnsi" w:cstheme="minorHAnsi"/>
        </w:rPr>
        <w:t xml:space="preserve">/EWG z dnia </w:t>
      </w:r>
      <w:r w:rsidR="00C95BFC">
        <w:rPr>
          <w:rFonts w:asciiTheme="minorHAnsi" w:hAnsiTheme="minorHAnsi" w:cstheme="minorHAnsi"/>
        </w:rPr>
        <w:t>12</w:t>
      </w:r>
      <w:r w:rsidRPr="000923F6">
        <w:rPr>
          <w:rFonts w:asciiTheme="minorHAnsi" w:hAnsiTheme="minorHAnsi" w:cstheme="minorHAnsi"/>
        </w:rPr>
        <w:t xml:space="preserve"> </w:t>
      </w:r>
      <w:r w:rsidR="00C95BFC">
        <w:rPr>
          <w:rFonts w:asciiTheme="minorHAnsi" w:hAnsiTheme="minorHAnsi" w:cstheme="minorHAnsi"/>
        </w:rPr>
        <w:t>grudnia</w:t>
      </w:r>
      <w:r w:rsidRPr="000923F6">
        <w:rPr>
          <w:rFonts w:asciiTheme="minorHAnsi" w:hAnsiTheme="minorHAnsi" w:cstheme="minorHAnsi"/>
        </w:rPr>
        <w:t xml:space="preserve"> 1991 r., dotyczącej oczyszczania ścieków komunalnych, oraz z zobowiązań traktatu akcesyjnego.</w:t>
      </w:r>
    </w:p>
    <w:p w14:paraId="24B4B96A" w14:textId="31034077" w:rsidR="0062113F" w:rsidRPr="000923F6" w:rsidRDefault="0062113F" w:rsidP="0062113F">
      <w:pPr>
        <w:rPr>
          <w:rFonts w:asciiTheme="minorHAnsi" w:hAnsiTheme="minorHAnsi" w:cstheme="minorHAnsi"/>
          <w:b/>
          <w:bCs/>
        </w:rPr>
      </w:pPr>
      <w:r w:rsidRPr="000923F6">
        <w:rPr>
          <w:rFonts w:asciiTheme="minorHAnsi" w:hAnsiTheme="minorHAnsi" w:cstheme="minorHAnsi"/>
          <w:b/>
          <w:bCs/>
        </w:rPr>
        <w:t>Obszar problemowy:</w:t>
      </w:r>
      <w:r w:rsidRPr="000923F6">
        <w:rPr>
          <w:rFonts w:asciiTheme="minorHAnsi" w:hAnsiTheme="minorHAnsi" w:cstheme="minorHAnsi"/>
        </w:rPr>
        <w:t xml:space="preserve"> [ANTROPOPREJSA </w:t>
      </w:r>
      <w:r>
        <w:rPr>
          <w:rFonts w:asciiTheme="minorHAnsi" w:hAnsiTheme="minorHAnsi" w:cstheme="minorHAnsi"/>
        </w:rPr>
        <w:t>-</w:t>
      </w:r>
      <w:r w:rsidRPr="000923F6">
        <w:rPr>
          <w:rFonts w:asciiTheme="minorHAnsi" w:hAnsiTheme="minorHAnsi" w:cstheme="minorHAnsi"/>
        </w:rPr>
        <w:t xml:space="preserve"> ZANIECZYSZCZENIE WÓD] </w:t>
      </w:r>
      <w:r>
        <w:rPr>
          <w:rFonts w:asciiTheme="minorHAnsi" w:hAnsiTheme="minorHAnsi" w:cstheme="minorHAnsi"/>
        </w:rPr>
        <w:t>Zmniejszenie</w:t>
      </w:r>
      <w:r w:rsidRPr="000923F6">
        <w:rPr>
          <w:rFonts w:asciiTheme="minorHAnsi" w:hAnsiTheme="minorHAnsi" w:cstheme="minorHAnsi"/>
        </w:rPr>
        <w:t xml:space="preserve"> zanieczyszczeni</w:t>
      </w:r>
      <w:r>
        <w:rPr>
          <w:rFonts w:asciiTheme="minorHAnsi" w:hAnsiTheme="minorHAnsi" w:cstheme="minorHAnsi"/>
        </w:rPr>
        <w:t>a</w:t>
      </w:r>
      <w:r w:rsidRPr="000923F6">
        <w:rPr>
          <w:rFonts w:asciiTheme="minorHAnsi" w:hAnsiTheme="minorHAnsi" w:cstheme="minorHAnsi"/>
        </w:rPr>
        <w:t xml:space="preserve"> wód biogenami </w:t>
      </w:r>
      <w:r w:rsidR="00B34D2F">
        <w:rPr>
          <w:rFonts w:asciiTheme="minorHAnsi" w:hAnsiTheme="minorHAnsi" w:cstheme="minorHAnsi"/>
        </w:rPr>
        <w:t xml:space="preserve">pochodzenia komunalnego </w:t>
      </w:r>
      <w:r>
        <w:rPr>
          <w:rFonts w:asciiTheme="minorHAnsi" w:hAnsiTheme="minorHAnsi" w:cstheme="minorHAnsi"/>
        </w:rPr>
        <w:t xml:space="preserve">poprzez redukcję </w:t>
      </w:r>
      <w:r w:rsidRPr="000923F6">
        <w:rPr>
          <w:rFonts w:asciiTheme="minorHAnsi" w:hAnsiTheme="minorHAnsi" w:cstheme="minorHAnsi"/>
        </w:rPr>
        <w:t>zanieczyszczeń biodegradowalnych oraz związków azotu i fosforu z</w:t>
      </w:r>
      <w:r>
        <w:rPr>
          <w:rFonts w:asciiTheme="minorHAnsi" w:hAnsiTheme="minorHAnsi" w:cstheme="minorHAnsi"/>
        </w:rPr>
        <w:t> </w:t>
      </w:r>
      <w:r w:rsidRPr="000923F6">
        <w:rPr>
          <w:rFonts w:asciiTheme="minorHAnsi" w:hAnsiTheme="minorHAnsi" w:cstheme="minorHAnsi"/>
        </w:rPr>
        <w:t>oczyszczalni ścieków.</w:t>
      </w:r>
      <w:r w:rsidRPr="000923F6">
        <w:rPr>
          <w:rFonts w:asciiTheme="minorHAnsi" w:hAnsiTheme="minorHAnsi" w:cstheme="minorHAnsi"/>
          <w:b/>
          <w:bCs/>
        </w:rPr>
        <w:t xml:space="preserve"> </w:t>
      </w:r>
    </w:p>
    <w:p w14:paraId="4439EE4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KPOŚK jest dokumentem o charakterze programowym, obejmującym wykaz aglomeracji, które w określonych w nim terminach muszą zostać wyposażone w systemy kanalizacji zbiorczej i oczyszczalnie ścieków.</w:t>
      </w:r>
    </w:p>
    <w:p w14:paraId="7D76DA4E" w14:textId="007F9B4A" w:rsidR="00E26C4D" w:rsidRDefault="0062113F" w:rsidP="0062113F">
      <w:pPr>
        <w:rPr>
          <w:rFonts w:asciiTheme="minorHAnsi" w:hAnsiTheme="minorHAnsi" w:cstheme="minorHAnsi"/>
        </w:rPr>
      </w:pPr>
      <w:r w:rsidRPr="000923F6">
        <w:rPr>
          <w:rFonts w:asciiTheme="minorHAnsi" w:hAnsiTheme="minorHAnsi" w:cstheme="minorHAnsi"/>
        </w:rPr>
        <w:t xml:space="preserve">Po raz pierwszy KPOŚK przygotowany został w 2003 r. Obecnie </w:t>
      </w:r>
      <w:r>
        <w:rPr>
          <w:rFonts w:asciiTheme="minorHAnsi" w:hAnsiTheme="minorHAnsi" w:cstheme="minorHAnsi"/>
        </w:rPr>
        <w:t>dokonano</w:t>
      </w:r>
      <w:r w:rsidRPr="000923F6">
        <w:rPr>
          <w:rFonts w:asciiTheme="minorHAnsi" w:hAnsiTheme="minorHAnsi" w:cstheme="minorHAnsi"/>
        </w:rPr>
        <w:t xml:space="preserve"> VI aktualizacji KPOŚK</w:t>
      </w:r>
      <w:r>
        <w:rPr>
          <w:rFonts w:asciiTheme="minorHAnsi" w:hAnsiTheme="minorHAnsi" w:cstheme="minorHAnsi"/>
        </w:rPr>
        <w:t>, w ramach której za</w:t>
      </w:r>
      <w:r w:rsidRPr="000923F6">
        <w:rPr>
          <w:rFonts w:asciiTheme="minorHAnsi" w:hAnsiTheme="minorHAnsi" w:cstheme="minorHAnsi"/>
        </w:rPr>
        <w:t>planowan</w:t>
      </w:r>
      <w:r>
        <w:rPr>
          <w:rFonts w:asciiTheme="minorHAnsi" w:hAnsiTheme="minorHAnsi" w:cstheme="minorHAnsi"/>
        </w:rPr>
        <w:t xml:space="preserve">o kolejne przedsięwzięcia z zakresu budowy nowych </w:t>
      </w:r>
      <w:r w:rsidRPr="000923F6">
        <w:rPr>
          <w:rFonts w:asciiTheme="minorHAnsi" w:hAnsiTheme="minorHAnsi" w:cstheme="minorHAnsi"/>
        </w:rPr>
        <w:t>oczyszczalni ścieków oraz</w:t>
      </w:r>
      <w:r>
        <w:rPr>
          <w:rFonts w:asciiTheme="minorHAnsi" w:hAnsiTheme="minorHAnsi" w:cstheme="minorHAnsi"/>
        </w:rPr>
        <w:t xml:space="preserve"> </w:t>
      </w:r>
      <w:r w:rsidRPr="000923F6">
        <w:rPr>
          <w:rFonts w:asciiTheme="minorHAnsi" w:hAnsiTheme="minorHAnsi" w:cstheme="minorHAnsi"/>
        </w:rPr>
        <w:t>modernizacj</w:t>
      </w:r>
      <w:r>
        <w:rPr>
          <w:rFonts w:asciiTheme="minorHAnsi" w:hAnsiTheme="minorHAnsi" w:cstheme="minorHAnsi"/>
        </w:rPr>
        <w:t>i</w:t>
      </w:r>
      <w:r w:rsidRPr="000923F6">
        <w:rPr>
          <w:rFonts w:asciiTheme="minorHAnsi" w:hAnsiTheme="minorHAnsi" w:cstheme="minorHAnsi"/>
        </w:rPr>
        <w:t>, rozbudow</w:t>
      </w:r>
      <w:r>
        <w:rPr>
          <w:rFonts w:asciiTheme="minorHAnsi" w:hAnsiTheme="minorHAnsi" w:cstheme="minorHAnsi"/>
        </w:rPr>
        <w:t xml:space="preserve">y bądź </w:t>
      </w:r>
      <w:r w:rsidRPr="000923F6">
        <w:rPr>
          <w:rFonts w:asciiTheme="minorHAnsi" w:hAnsiTheme="minorHAnsi" w:cstheme="minorHAnsi"/>
        </w:rPr>
        <w:t>likwidacj</w:t>
      </w:r>
      <w:r>
        <w:rPr>
          <w:rFonts w:asciiTheme="minorHAnsi" w:hAnsiTheme="minorHAnsi" w:cstheme="minorHAnsi"/>
        </w:rPr>
        <w:t>i istniejących</w:t>
      </w:r>
      <w:r w:rsidRPr="000923F6">
        <w:rPr>
          <w:rFonts w:asciiTheme="minorHAnsi" w:hAnsiTheme="minorHAnsi" w:cstheme="minorHAnsi"/>
        </w:rPr>
        <w:t xml:space="preserve"> oczyszczalni</w:t>
      </w:r>
      <w:r>
        <w:rPr>
          <w:rFonts w:asciiTheme="minorHAnsi" w:hAnsiTheme="minorHAnsi" w:cstheme="minorHAnsi"/>
        </w:rPr>
        <w:t>. W KPOŚK</w:t>
      </w:r>
      <w:r w:rsidRPr="000923F6">
        <w:rPr>
          <w:rFonts w:asciiTheme="minorHAnsi" w:hAnsiTheme="minorHAnsi" w:cstheme="minorHAnsi"/>
        </w:rPr>
        <w:t xml:space="preserve"> zakłada się również </w:t>
      </w:r>
      <w:r>
        <w:rPr>
          <w:rFonts w:asciiTheme="minorHAnsi" w:hAnsiTheme="minorHAnsi" w:cstheme="minorHAnsi"/>
        </w:rPr>
        <w:t xml:space="preserve">dalszą </w:t>
      </w:r>
      <w:r w:rsidRPr="000923F6">
        <w:rPr>
          <w:rFonts w:asciiTheme="minorHAnsi" w:hAnsiTheme="minorHAnsi" w:cstheme="minorHAnsi"/>
        </w:rPr>
        <w:t xml:space="preserve">rozbudowę sieci kanalizacyjnej, </w:t>
      </w:r>
      <w:r>
        <w:rPr>
          <w:rFonts w:asciiTheme="minorHAnsi" w:hAnsiTheme="minorHAnsi" w:cstheme="minorHAnsi"/>
        </w:rPr>
        <w:t xml:space="preserve">wsparcie działań ukierunkowanych na </w:t>
      </w:r>
      <w:r w:rsidRPr="000923F6">
        <w:rPr>
          <w:rFonts w:asciiTheme="minorHAnsi" w:hAnsiTheme="minorHAnsi" w:cstheme="minorHAnsi"/>
        </w:rPr>
        <w:t>minimalizację ilości wytwarzanych osadów oraz udoskon</w:t>
      </w:r>
      <w:r>
        <w:rPr>
          <w:rFonts w:asciiTheme="minorHAnsi" w:hAnsiTheme="minorHAnsi" w:cstheme="minorHAnsi"/>
        </w:rPr>
        <w:t>a</w:t>
      </w:r>
      <w:r w:rsidRPr="000923F6">
        <w:rPr>
          <w:rFonts w:asciiTheme="minorHAnsi" w:hAnsiTheme="minorHAnsi" w:cstheme="minorHAnsi"/>
        </w:rPr>
        <w:t>l</w:t>
      </w:r>
      <w:r>
        <w:rPr>
          <w:rFonts w:asciiTheme="minorHAnsi" w:hAnsiTheme="minorHAnsi" w:cstheme="minorHAnsi"/>
        </w:rPr>
        <w:t>a</w:t>
      </w:r>
      <w:r w:rsidRPr="000923F6">
        <w:rPr>
          <w:rFonts w:asciiTheme="minorHAnsi" w:hAnsiTheme="minorHAnsi" w:cstheme="minorHAnsi"/>
        </w:rPr>
        <w:t>nie linii technologicznych przeróbki osadów.</w:t>
      </w:r>
    </w:p>
    <w:tbl>
      <w:tblPr>
        <w:tblStyle w:val="Tabela-Siatka"/>
        <w:tblW w:w="5000" w:type="pct"/>
        <w:tblLook w:val="04A0" w:firstRow="1" w:lastRow="0" w:firstColumn="1" w:lastColumn="0" w:noHBand="0" w:noVBand="1"/>
      </w:tblPr>
      <w:tblGrid>
        <w:gridCol w:w="9062"/>
      </w:tblGrid>
      <w:tr w:rsidR="0062113F" w:rsidRPr="000923F6" w14:paraId="439AA93B" w14:textId="77777777" w:rsidTr="000D52FF">
        <w:trPr>
          <w:cantSplit/>
          <w:trHeight w:val="1134"/>
        </w:trPr>
        <w:tc>
          <w:tcPr>
            <w:tcW w:w="5000" w:type="pct"/>
            <w:shd w:val="clear" w:color="auto" w:fill="003399"/>
          </w:tcPr>
          <w:p w14:paraId="53A1CB3C"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00FEA207" w14:textId="77777777" w:rsidR="0062113F" w:rsidRPr="000923F6" w:rsidRDefault="0062113F" w:rsidP="000D52FF">
            <w:pPr>
              <w:jc w:val="left"/>
              <w:rPr>
                <w:rFonts w:asciiTheme="minorHAnsi" w:hAnsiTheme="minorHAnsi" w:cstheme="minorHAnsi"/>
                <w:i/>
                <w:iCs/>
              </w:rPr>
            </w:pPr>
            <w:bookmarkStart w:id="562" w:name="_Hlk60770118"/>
            <w:r w:rsidRPr="000923F6">
              <w:rPr>
                <w:rFonts w:asciiTheme="minorHAnsi" w:hAnsiTheme="minorHAnsi" w:cstheme="minorHAnsi"/>
                <w:b/>
                <w:bCs/>
              </w:rPr>
              <w:t xml:space="preserve">Program działań mających na celu zmniejszenie zanieczyszczenia wód azotanami pochodzącymi ze źródeł rolniczych oraz zapobieganie dalszemu zanieczyszczeniu </w:t>
            </w:r>
            <w:bookmarkEnd w:id="562"/>
            <w:r w:rsidRPr="000923F6">
              <w:rPr>
                <w:rFonts w:asciiTheme="minorHAnsi" w:hAnsiTheme="minorHAnsi" w:cstheme="minorHAnsi"/>
                <w:b/>
                <w:bCs/>
              </w:rPr>
              <w:br/>
            </w:r>
            <w:r w:rsidRPr="000923F6">
              <w:rPr>
                <w:rFonts w:asciiTheme="minorHAnsi" w:hAnsiTheme="minorHAnsi" w:cstheme="minorHAnsi"/>
              </w:rPr>
              <w:t>wraz ze</w:t>
            </w:r>
            <w:r w:rsidRPr="000923F6">
              <w:rPr>
                <w:rFonts w:asciiTheme="minorHAnsi" w:hAnsiTheme="minorHAnsi" w:cstheme="minorHAnsi"/>
                <w:i/>
                <w:iCs/>
              </w:rPr>
              <w:t xml:space="preserve"> Zbiorem zaleceń dobrej praktyki rolnej mający na celu ochronę wód przed zanieczyszczeniem azotanami pochodzącymi ze źródeł rolniczych (Warszawa, luty 2019 r.)</w:t>
            </w:r>
          </w:p>
        </w:tc>
      </w:tr>
    </w:tbl>
    <w:p w14:paraId="1F5B093D" w14:textId="64222D3E"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Pr>
          <w:rFonts w:asciiTheme="minorHAnsi" w:hAnsiTheme="minorHAnsi" w:cstheme="minorHAnsi"/>
        </w:rPr>
        <w:t>O</w:t>
      </w:r>
      <w:r w:rsidRPr="00C50151">
        <w:rPr>
          <w:rFonts w:asciiTheme="minorHAnsi" w:hAnsiTheme="minorHAnsi" w:cstheme="minorHAnsi"/>
        </w:rPr>
        <w:t>granicz</w:t>
      </w:r>
      <w:r>
        <w:rPr>
          <w:rFonts w:asciiTheme="minorHAnsi" w:hAnsiTheme="minorHAnsi" w:cstheme="minorHAnsi"/>
        </w:rPr>
        <w:t>e</w:t>
      </w:r>
      <w:r w:rsidRPr="00C50151">
        <w:rPr>
          <w:rFonts w:asciiTheme="minorHAnsi" w:hAnsiTheme="minorHAnsi" w:cstheme="minorHAnsi"/>
        </w:rPr>
        <w:t>nie wprowadzania azotanów poch</w:t>
      </w:r>
      <w:r>
        <w:rPr>
          <w:rFonts w:asciiTheme="minorHAnsi" w:hAnsiTheme="minorHAnsi" w:cstheme="minorHAnsi"/>
        </w:rPr>
        <w:t xml:space="preserve">odzenia </w:t>
      </w:r>
      <w:r w:rsidRPr="00C50151">
        <w:rPr>
          <w:rFonts w:asciiTheme="minorHAnsi" w:hAnsiTheme="minorHAnsi" w:cstheme="minorHAnsi"/>
        </w:rPr>
        <w:t>roln</w:t>
      </w:r>
      <w:r>
        <w:rPr>
          <w:rFonts w:asciiTheme="minorHAnsi" w:hAnsiTheme="minorHAnsi" w:cstheme="minorHAnsi"/>
        </w:rPr>
        <w:t>iczego</w:t>
      </w:r>
      <w:r w:rsidRPr="00C50151">
        <w:rPr>
          <w:rFonts w:asciiTheme="minorHAnsi" w:hAnsiTheme="minorHAnsi" w:cstheme="minorHAnsi"/>
        </w:rPr>
        <w:t xml:space="preserve"> do wód powierzchniowych i podziemnych</w:t>
      </w:r>
      <w:r w:rsidR="00B34D2F">
        <w:rPr>
          <w:rFonts w:asciiTheme="minorHAnsi" w:hAnsiTheme="minorHAnsi" w:cstheme="minorHAnsi"/>
        </w:rPr>
        <w:t xml:space="preserve">, </w:t>
      </w:r>
      <w:r w:rsidR="00B34D2F" w:rsidRPr="00B34D2F">
        <w:rPr>
          <w:rFonts w:asciiTheme="minorHAnsi" w:hAnsiTheme="minorHAnsi" w:cstheme="minorHAnsi"/>
        </w:rPr>
        <w:t>aby wywiązać się z wymagań wynikających z dyrektywy Rady 91/</w:t>
      </w:r>
      <w:r w:rsidR="00B67B71">
        <w:rPr>
          <w:rFonts w:asciiTheme="minorHAnsi" w:hAnsiTheme="minorHAnsi" w:cstheme="minorHAnsi"/>
        </w:rPr>
        <w:t>676</w:t>
      </w:r>
      <w:r w:rsidR="00B34D2F" w:rsidRPr="00B34D2F">
        <w:rPr>
          <w:rFonts w:asciiTheme="minorHAnsi" w:hAnsiTheme="minorHAnsi" w:cstheme="minorHAnsi"/>
        </w:rPr>
        <w:t xml:space="preserve">/EWG z dnia </w:t>
      </w:r>
      <w:r w:rsidR="00B67B71">
        <w:rPr>
          <w:rFonts w:asciiTheme="minorHAnsi" w:hAnsiTheme="minorHAnsi" w:cstheme="minorHAnsi"/>
        </w:rPr>
        <w:t>12</w:t>
      </w:r>
      <w:r w:rsidR="00B34D2F" w:rsidRPr="00B34D2F">
        <w:rPr>
          <w:rFonts w:asciiTheme="minorHAnsi" w:hAnsiTheme="minorHAnsi" w:cstheme="minorHAnsi"/>
        </w:rPr>
        <w:t xml:space="preserve"> </w:t>
      </w:r>
      <w:r w:rsidR="00B67B71">
        <w:rPr>
          <w:rFonts w:asciiTheme="minorHAnsi" w:hAnsiTheme="minorHAnsi" w:cstheme="minorHAnsi"/>
        </w:rPr>
        <w:t>grudnia</w:t>
      </w:r>
      <w:r w:rsidR="00B34D2F" w:rsidRPr="00B34D2F">
        <w:rPr>
          <w:rFonts w:asciiTheme="minorHAnsi" w:hAnsiTheme="minorHAnsi" w:cstheme="minorHAnsi"/>
        </w:rPr>
        <w:t xml:space="preserve"> 1991 r</w:t>
      </w:r>
      <w:r>
        <w:rPr>
          <w:rFonts w:asciiTheme="minorHAnsi" w:hAnsiTheme="minorHAnsi" w:cstheme="minorHAnsi"/>
        </w:rPr>
        <w:t>.</w:t>
      </w:r>
      <w:r w:rsidRPr="00B138A4">
        <w:rPr>
          <w:rFonts w:asciiTheme="minorHAnsi" w:hAnsiTheme="minorHAnsi" w:cstheme="minorHAnsi"/>
          <w:b/>
          <w:bCs/>
        </w:rPr>
        <w:t xml:space="preserve"> </w:t>
      </w:r>
    </w:p>
    <w:p w14:paraId="027E2F13"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[ANTROPOPRESJA </w:t>
      </w:r>
      <w:r>
        <w:rPr>
          <w:rFonts w:asciiTheme="minorHAnsi" w:hAnsiTheme="minorHAnsi" w:cstheme="minorHAnsi"/>
        </w:rPr>
        <w:t>-</w:t>
      </w:r>
      <w:r w:rsidRPr="000923F6">
        <w:rPr>
          <w:rFonts w:asciiTheme="minorHAnsi" w:hAnsiTheme="minorHAnsi" w:cstheme="minorHAnsi"/>
        </w:rPr>
        <w:t xml:space="preserve"> ZANIECZYSZCZENIE WÓD] </w:t>
      </w:r>
      <w:r w:rsidRPr="003B6673">
        <w:rPr>
          <w:rFonts w:asciiTheme="minorHAnsi" w:hAnsiTheme="minorHAnsi" w:cstheme="minorHAnsi"/>
        </w:rPr>
        <w:t>Ograniczenie wprowadzania azotanów pochodzenia rolniczego do wód powierzchniowych i podziemnych</w:t>
      </w:r>
      <w:r w:rsidRPr="000923F6">
        <w:rPr>
          <w:rFonts w:asciiTheme="minorHAnsi" w:hAnsiTheme="minorHAnsi" w:cstheme="minorHAnsi"/>
        </w:rPr>
        <w:t>.</w:t>
      </w:r>
    </w:p>
    <w:p w14:paraId="3DE08B13" w14:textId="2F86DB24"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Program obliguje wszystkich prowadzących produkcję rolną oraz działalność, w ramach której </w:t>
      </w:r>
      <w:r w:rsidR="00C470B0">
        <w:rPr>
          <w:rFonts w:asciiTheme="minorHAnsi" w:hAnsiTheme="minorHAnsi" w:cstheme="minorHAnsi"/>
        </w:rPr>
        <w:t xml:space="preserve">są </w:t>
      </w:r>
      <w:r w:rsidRPr="000923F6">
        <w:rPr>
          <w:rFonts w:asciiTheme="minorHAnsi" w:hAnsiTheme="minorHAnsi" w:cstheme="minorHAnsi"/>
        </w:rPr>
        <w:t xml:space="preserve">wykorzystywane </w:t>
      </w:r>
      <w:r>
        <w:rPr>
          <w:rFonts w:asciiTheme="minorHAnsi" w:hAnsiTheme="minorHAnsi" w:cstheme="minorHAnsi"/>
        </w:rPr>
        <w:t xml:space="preserve">lub </w:t>
      </w:r>
      <w:r w:rsidRPr="000923F6">
        <w:rPr>
          <w:rFonts w:asciiTheme="minorHAnsi" w:hAnsiTheme="minorHAnsi" w:cstheme="minorHAnsi"/>
        </w:rPr>
        <w:t>przechowywane nawozy</w:t>
      </w:r>
      <w:r>
        <w:rPr>
          <w:rFonts w:asciiTheme="minorHAnsi" w:hAnsiTheme="minorHAnsi" w:cstheme="minorHAnsi"/>
        </w:rPr>
        <w:t xml:space="preserve"> -</w:t>
      </w:r>
      <w:r w:rsidRPr="000923F6">
        <w:rPr>
          <w:rFonts w:asciiTheme="minorHAnsi" w:hAnsiTheme="minorHAnsi" w:cstheme="minorHAnsi"/>
        </w:rPr>
        <w:t xml:space="preserve"> do gospodarowania nimi w zrównoważony sposób. W celu rozwiązania problemu emisji zanieczyszczeń z terenów rolniczych w programie wskazuje się zasady postępowania z nawozami</w:t>
      </w:r>
      <w:r>
        <w:rPr>
          <w:rFonts w:asciiTheme="minorHAnsi" w:hAnsiTheme="minorHAnsi" w:cstheme="minorHAnsi"/>
        </w:rPr>
        <w:t>:</w:t>
      </w:r>
      <w:r w:rsidRPr="000923F6">
        <w:rPr>
          <w:rFonts w:asciiTheme="minorHAnsi" w:hAnsiTheme="minorHAnsi" w:cstheme="minorHAnsi"/>
        </w:rPr>
        <w:t xml:space="preserve"> (</w:t>
      </w:r>
      <w:r>
        <w:rPr>
          <w:rFonts w:asciiTheme="minorHAnsi" w:hAnsiTheme="minorHAnsi" w:cstheme="minorHAnsi"/>
        </w:rPr>
        <w:t>1</w:t>
      </w:r>
      <w:r w:rsidRPr="000923F6">
        <w:rPr>
          <w:rFonts w:asciiTheme="minorHAnsi" w:hAnsiTheme="minorHAnsi" w:cstheme="minorHAnsi"/>
        </w:rPr>
        <w:t>) warunk</w:t>
      </w:r>
      <w:r>
        <w:rPr>
          <w:rFonts w:asciiTheme="minorHAnsi" w:hAnsiTheme="minorHAnsi" w:cstheme="minorHAnsi"/>
        </w:rPr>
        <w:t>i</w:t>
      </w:r>
      <w:r w:rsidRPr="000923F6">
        <w:rPr>
          <w:rFonts w:asciiTheme="minorHAnsi" w:hAnsiTheme="minorHAnsi" w:cstheme="minorHAnsi"/>
        </w:rPr>
        <w:t xml:space="preserve"> rolniczego wykorzystania nawozów w pobliżu wód, na terenach o dużym nachyleniu, a także na glebach zamarzniętych, zalanych wodą</w:t>
      </w:r>
      <w:r>
        <w:rPr>
          <w:rFonts w:asciiTheme="minorHAnsi" w:hAnsiTheme="minorHAnsi" w:cstheme="minorHAnsi"/>
        </w:rPr>
        <w:t>, nasyconych wodą</w:t>
      </w:r>
      <w:r w:rsidRPr="000923F6">
        <w:rPr>
          <w:rFonts w:asciiTheme="minorHAnsi" w:hAnsiTheme="minorHAnsi" w:cstheme="minorHAnsi"/>
        </w:rPr>
        <w:t xml:space="preserve"> lub przykrytych śniegiem; (</w:t>
      </w:r>
      <w:r>
        <w:rPr>
          <w:rFonts w:asciiTheme="minorHAnsi" w:hAnsiTheme="minorHAnsi" w:cstheme="minorHAnsi"/>
        </w:rPr>
        <w:t>2</w:t>
      </w:r>
      <w:r w:rsidRPr="000923F6">
        <w:rPr>
          <w:rFonts w:asciiTheme="minorHAnsi" w:hAnsiTheme="minorHAnsi" w:cstheme="minorHAnsi"/>
        </w:rPr>
        <w:t>) termin</w:t>
      </w:r>
      <w:r>
        <w:rPr>
          <w:rFonts w:asciiTheme="minorHAnsi" w:hAnsiTheme="minorHAnsi" w:cstheme="minorHAnsi"/>
        </w:rPr>
        <w:t>y</w:t>
      </w:r>
      <w:r w:rsidRPr="000923F6">
        <w:rPr>
          <w:rFonts w:asciiTheme="minorHAnsi" w:hAnsiTheme="minorHAnsi" w:cstheme="minorHAnsi"/>
        </w:rPr>
        <w:t>, w których dozwolone jest wykorzystanie nawozów</w:t>
      </w:r>
      <w:r>
        <w:rPr>
          <w:rFonts w:asciiTheme="minorHAnsi" w:hAnsiTheme="minorHAnsi" w:cstheme="minorHAnsi"/>
        </w:rPr>
        <w:t xml:space="preserve"> (3) dawki i</w:t>
      </w:r>
      <w:r w:rsidR="00973B4F">
        <w:rPr>
          <w:rFonts w:asciiTheme="minorHAnsi" w:hAnsiTheme="minorHAnsi" w:cstheme="minorHAnsi"/>
        </w:rPr>
        <w:t> </w:t>
      </w:r>
      <w:r>
        <w:rPr>
          <w:rFonts w:asciiTheme="minorHAnsi" w:hAnsiTheme="minorHAnsi" w:cstheme="minorHAnsi"/>
        </w:rPr>
        <w:t>sposoby nawożenia azotem</w:t>
      </w:r>
      <w:r w:rsidRPr="000923F6">
        <w:rPr>
          <w:rFonts w:asciiTheme="minorHAnsi" w:hAnsiTheme="minorHAnsi" w:cstheme="minorHAnsi"/>
        </w:rPr>
        <w:t xml:space="preserve"> oraz (4) warunk</w:t>
      </w:r>
      <w:r>
        <w:rPr>
          <w:rFonts w:asciiTheme="minorHAnsi" w:hAnsiTheme="minorHAnsi" w:cstheme="minorHAnsi"/>
        </w:rPr>
        <w:t>i przechowywania nawozów naturalnych oraz postępowanie z odciekami</w:t>
      </w:r>
      <w:r w:rsidRPr="000923F6">
        <w:rPr>
          <w:rFonts w:asciiTheme="minorHAnsi" w:hAnsiTheme="minorHAnsi" w:cstheme="minorHAnsi"/>
        </w:rPr>
        <w:t>.</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62113F" w:rsidRPr="000923F6" w14:paraId="76B0B1D7" w14:textId="77777777" w:rsidTr="000D52FF">
        <w:tc>
          <w:tcPr>
            <w:tcW w:w="9062" w:type="dxa"/>
            <w:shd w:val="clear" w:color="auto" w:fill="003399"/>
          </w:tcPr>
          <w:p w14:paraId="6A4420F5"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52B14BAB" w14:textId="77777777" w:rsidR="0062113F" w:rsidRPr="000923F6" w:rsidRDefault="0062113F" w:rsidP="000D52FF">
            <w:pPr>
              <w:jc w:val="left"/>
              <w:rPr>
                <w:rFonts w:asciiTheme="minorHAnsi" w:hAnsiTheme="minorHAnsi" w:cstheme="minorHAnsi"/>
                <w:i/>
                <w:iCs/>
              </w:rPr>
            </w:pPr>
            <w:bookmarkStart w:id="563" w:name="_Hlk60770323"/>
            <w:r w:rsidRPr="000923F6">
              <w:rPr>
                <w:rFonts w:asciiTheme="minorHAnsi" w:hAnsiTheme="minorHAnsi" w:cstheme="minorHAnsi"/>
                <w:b/>
                <w:bCs/>
              </w:rPr>
              <w:t>Krajowy program renaturyzacji wód powierzchniowych (KPRWP)</w:t>
            </w:r>
            <w:bookmarkEnd w:id="563"/>
            <w:r w:rsidRPr="000923F6">
              <w:rPr>
                <w:rFonts w:asciiTheme="minorHAnsi" w:hAnsiTheme="minorHAnsi" w:cstheme="minorHAnsi"/>
                <w:b/>
                <w:bCs/>
              </w:rPr>
              <w:br/>
            </w:r>
            <w:r w:rsidRPr="000923F6">
              <w:rPr>
                <w:rFonts w:asciiTheme="minorHAnsi" w:hAnsiTheme="minorHAnsi" w:cstheme="minorHAnsi"/>
                <w:i/>
                <w:iCs/>
              </w:rPr>
              <w:t>wraz z „Podręcznikiem dobrych praktyk renaturyzacji wód powierzchniowych”</w:t>
            </w:r>
          </w:p>
        </w:tc>
      </w:tr>
    </w:tbl>
    <w:p w14:paraId="73A37352" w14:textId="5FECCE5F"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4E0065">
        <w:rPr>
          <w:rFonts w:asciiTheme="minorHAnsi" w:hAnsiTheme="minorHAnsi" w:cstheme="minorHAnsi"/>
        </w:rPr>
        <w:t>W</w:t>
      </w:r>
      <w:r w:rsidRPr="00A076FF">
        <w:rPr>
          <w:rFonts w:asciiTheme="minorHAnsi" w:hAnsiTheme="minorHAnsi" w:cstheme="minorHAnsi"/>
        </w:rPr>
        <w:t>skazanie kierunku działań oraz zaproponowanie Obszarów Priorytetowych (OP), w których działania renaturyzacyjne powinny zostać zrealizowane w</w:t>
      </w:r>
      <w:r w:rsidR="00973B4F">
        <w:rPr>
          <w:rFonts w:asciiTheme="minorHAnsi" w:hAnsiTheme="minorHAnsi" w:cstheme="minorHAnsi"/>
        </w:rPr>
        <w:t> </w:t>
      </w:r>
      <w:r w:rsidRPr="00A076FF">
        <w:rPr>
          <w:rFonts w:asciiTheme="minorHAnsi" w:hAnsiTheme="minorHAnsi" w:cstheme="minorHAnsi"/>
        </w:rPr>
        <w:t>pierwszej kolejności, biorąc pod uwagę uwarunkowania środowiskowe i ekonomiczne.</w:t>
      </w:r>
    </w:p>
    <w:p w14:paraId="608C187C"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[ANTROPOPRESJA </w:t>
      </w:r>
      <w:r>
        <w:rPr>
          <w:rFonts w:asciiTheme="minorHAnsi" w:hAnsiTheme="minorHAnsi" w:cstheme="minorHAnsi"/>
        </w:rPr>
        <w:t>-</w:t>
      </w:r>
      <w:r w:rsidRPr="000923F6">
        <w:rPr>
          <w:rFonts w:asciiTheme="minorHAnsi" w:hAnsiTheme="minorHAnsi" w:cstheme="minorHAnsi"/>
        </w:rPr>
        <w:t xml:space="preserve"> RENATURYZACJA] </w:t>
      </w:r>
      <w:r w:rsidRPr="004E0065">
        <w:rPr>
          <w:rFonts w:asciiTheme="minorHAnsi" w:hAnsiTheme="minorHAnsi" w:cstheme="minorHAnsi"/>
        </w:rPr>
        <w:t>Dokonany na poziomie jcwp, które zostały zaliczone do Obszarów Wymagających Renaturyzacji (OWR) oraz Obszarów Priorytetowych (OP), dobór działań wpływających na poprawę odporności, czyli adaptację ekosystemów i ciągłość dostarczanych przez nie usług ekosystemowych.</w:t>
      </w:r>
    </w:p>
    <w:p w14:paraId="79942516" w14:textId="50CBA3C5"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4E0065">
        <w:rPr>
          <w:rFonts w:asciiTheme="minorHAnsi" w:hAnsiTheme="minorHAnsi" w:cstheme="minorHAnsi"/>
        </w:rPr>
        <w:t xml:space="preserve">Każdej </w:t>
      </w:r>
      <w:r>
        <w:rPr>
          <w:rFonts w:asciiTheme="minorHAnsi" w:hAnsiTheme="minorHAnsi" w:cstheme="minorHAnsi"/>
        </w:rPr>
        <w:t>jcwp</w:t>
      </w:r>
      <w:r w:rsidRPr="004E0065">
        <w:rPr>
          <w:rFonts w:asciiTheme="minorHAnsi" w:hAnsiTheme="minorHAnsi" w:cstheme="minorHAnsi"/>
        </w:rPr>
        <w:t>, która została zaliczona do OWR oraz OP, przypisano potencjalne zestawy działań renaturyzacyjnych</w:t>
      </w:r>
      <w:r w:rsidRPr="000923F6">
        <w:rPr>
          <w:rFonts w:asciiTheme="minorHAnsi" w:hAnsiTheme="minorHAnsi" w:cstheme="minorHAnsi"/>
        </w:rPr>
        <w:t>. Zaplanowana w dokumencie renaturyzacja wód powierzchniowych uwzględnia takie działania, jak: (1) poprawa retencji korytowej, dolinowej; (2) normalizacja stosunków wodnych w</w:t>
      </w:r>
      <w:r w:rsidR="00973B4F">
        <w:rPr>
          <w:rFonts w:asciiTheme="minorHAnsi" w:hAnsiTheme="minorHAnsi" w:cstheme="minorHAnsi"/>
        </w:rPr>
        <w:t> </w:t>
      </w:r>
      <w:r w:rsidRPr="000923F6">
        <w:rPr>
          <w:rFonts w:asciiTheme="minorHAnsi" w:hAnsiTheme="minorHAnsi" w:cstheme="minorHAnsi"/>
        </w:rPr>
        <w:t>zlewni; (3) renatur</w:t>
      </w:r>
      <w:r>
        <w:rPr>
          <w:rFonts w:asciiTheme="minorHAnsi" w:hAnsiTheme="minorHAnsi" w:cstheme="minorHAnsi"/>
        </w:rPr>
        <w:t>yzacja</w:t>
      </w:r>
      <w:r w:rsidRPr="000923F6">
        <w:rPr>
          <w:rFonts w:asciiTheme="minorHAnsi" w:hAnsiTheme="minorHAnsi" w:cstheme="minorHAnsi"/>
        </w:rPr>
        <w:t xml:space="preserve"> mokradeł i torfowisk; (4) przywracanie ciągłości i różnorodności hydromorfologicznej cieków i jezior.</w:t>
      </w:r>
    </w:p>
    <w:p w14:paraId="435FA73E"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Ponadto KPRWP przewiduje realizację działań ukierunkowanych na rozpoznanie zagrożeń i przyczyn zmian hydromorfologicznych cieków i zbiorników wodnych oraz zaplanowanie działań naprawczych, które pozwolą na osiągnięcie celów środowiskowych dla tych części wód.</w:t>
      </w:r>
    </w:p>
    <w:p w14:paraId="479FBEE1" w14:textId="0B87EE34" w:rsidR="00E26C4D" w:rsidRDefault="0062113F" w:rsidP="0062113F">
      <w:pPr>
        <w:rPr>
          <w:rFonts w:asciiTheme="minorHAnsi" w:hAnsiTheme="minorHAnsi" w:cstheme="minorHAnsi"/>
        </w:rPr>
      </w:pPr>
      <w:r w:rsidRPr="000923F6">
        <w:rPr>
          <w:rFonts w:asciiTheme="minorHAnsi" w:hAnsiTheme="minorHAnsi" w:cstheme="minorHAnsi"/>
        </w:rPr>
        <w:t>Na potrzeby wsparcia procesu wdrażania KPRWP został opracowany „Podręcznik dobrych praktyk renaturyzacji wód powierzchniowych”, stanowiący kompendium wiedzy nt. renaturyzacji rzek, jezior, wód przejściowych i przybrzeżnych.</w:t>
      </w:r>
    </w:p>
    <w:tbl>
      <w:tblPr>
        <w:tblStyle w:val="Tabela-Siatka"/>
        <w:tblW w:w="0" w:type="auto"/>
        <w:tblInd w:w="5" w:type="dxa"/>
        <w:tblLook w:val="04A0" w:firstRow="1" w:lastRow="0" w:firstColumn="1" w:lastColumn="0" w:noHBand="0" w:noVBand="1"/>
      </w:tblPr>
      <w:tblGrid>
        <w:gridCol w:w="9062"/>
      </w:tblGrid>
      <w:tr w:rsidR="0062113F" w:rsidRPr="000923F6" w14:paraId="065F03D0" w14:textId="77777777" w:rsidTr="000D52FF">
        <w:tc>
          <w:tcPr>
            <w:tcW w:w="9062" w:type="dxa"/>
            <w:tcBorders>
              <w:top w:val="nil"/>
              <w:left w:val="nil"/>
              <w:bottom w:val="nil"/>
              <w:right w:val="nil"/>
            </w:tcBorders>
            <w:shd w:val="clear" w:color="auto" w:fill="003399"/>
          </w:tcPr>
          <w:p w14:paraId="566A90E8"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514605F2" w14:textId="77777777" w:rsidR="0062113F" w:rsidRPr="000923F6" w:rsidRDefault="0062113F" w:rsidP="000D52FF">
            <w:pPr>
              <w:jc w:val="left"/>
              <w:rPr>
                <w:rFonts w:asciiTheme="minorHAnsi" w:hAnsiTheme="minorHAnsi" w:cstheme="minorHAnsi"/>
                <w:i/>
                <w:iCs/>
              </w:rPr>
            </w:pPr>
            <w:bookmarkStart w:id="564" w:name="_Hlk60304497"/>
            <w:r w:rsidRPr="000923F6">
              <w:rPr>
                <w:rFonts w:asciiTheme="minorHAnsi" w:hAnsiTheme="minorHAnsi" w:cstheme="minorHAnsi"/>
                <w:b/>
                <w:bCs/>
              </w:rPr>
              <w:t>Program przeciwdziałania niedoborowi wody na lata 2021-2027 z perspektywą do 2030 r. (zwany Programem Rozwoju Retencji) (PRR)</w:t>
            </w:r>
            <w:r w:rsidRPr="000923F6">
              <w:rPr>
                <w:rFonts w:asciiTheme="minorHAnsi" w:hAnsiTheme="minorHAnsi" w:cstheme="minorHAnsi"/>
                <w:b/>
                <w:bCs/>
              </w:rPr>
              <w:br/>
            </w:r>
            <w:bookmarkEnd w:id="564"/>
            <w:r w:rsidRPr="000923F6">
              <w:rPr>
                <w:rFonts w:asciiTheme="minorHAnsi" w:hAnsiTheme="minorHAnsi" w:cstheme="minorHAnsi"/>
                <w:i/>
                <w:iCs/>
              </w:rPr>
              <w:t>Projekt założeń do Programu</w:t>
            </w:r>
          </w:p>
        </w:tc>
      </w:tr>
    </w:tbl>
    <w:p w14:paraId="0621EF73"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Poprawa stanu zasobów wodnych, w tym wód podziemnych, oraz rozwój retencji.</w:t>
      </w:r>
    </w:p>
    <w:p w14:paraId="5EEBBAAF"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[RETENCJA] Ocena możliwości i wskazanie niezbędnych kierunków działań w zakresie rozwoju retencji wodnej na poziomie dorzeczy i regionów wodnych. Zgodnie z założeniami wskazano w Projekcie trzy priorytety: (1) określenie i realizacja działań z zakresu budowy zintegrowanego systemu naturalnej i sztucznej retencji wodnej; (2) stworzenie warunków do zrównoważonego wykorzystania zasobów wodnych; (3) wzmocnienie świadomości społecznej w zakresie potrzeby retencjonowania i oszczędzania wody.</w:t>
      </w:r>
    </w:p>
    <w:p w14:paraId="1465B65A"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W dokumencie zostaną wskazane działania, których realizacja zwiększy retencję wody na obszarze kraju. Program będzie uwzględniał wszystkie rodzaje retencji wód powierzchniowych wyróżniane ze względu na skalę (tj. dużą, małą i mikroretencję) oraz charakter retencji (naturalną i sztuczną). Program obejmie również retencję krajobrazową oraz glebową. Kolejnym krokiem będzie przygotowanie zestawienia działań z uwzględnieniem m.in. podziału na obszary dorzeczy i regiony wodne.</w:t>
      </w:r>
    </w:p>
    <w:p w14:paraId="1D1147F4"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Załącznik do przyjętych założeń programu stanowi wykaz 94 inwestycji, które zostaną zrealizowane do 2027 r.</w:t>
      </w:r>
      <w:bookmarkStart w:id="565" w:name="_Hlk60304477"/>
    </w:p>
    <w:tbl>
      <w:tblPr>
        <w:tblStyle w:val="Tabela-Siatka"/>
        <w:tblW w:w="0" w:type="auto"/>
        <w:tblInd w:w="5" w:type="dxa"/>
        <w:tblLook w:val="04A0" w:firstRow="1" w:lastRow="0" w:firstColumn="1" w:lastColumn="0" w:noHBand="0" w:noVBand="1"/>
      </w:tblPr>
      <w:tblGrid>
        <w:gridCol w:w="9062"/>
      </w:tblGrid>
      <w:tr w:rsidR="0062113F" w:rsidRPr="000923F6" w14:paraId="57291DB9" w14:textId="77777777" w:rsidTr="000D52FF">
        <w:tc>
          <w:tcPr>
            <w:tcW w:w="9062" w:type="dxa"/>
            <w:tcBorders>
              <w:top w:val="nil"/>
              <w:left w:val="nil"/>
              <w:bottom w:val="nil"/>
              <w:right w:val="nil"/>
            </w:tcBorders>
            <w:shd w:val="clear" w:color="auto" w:fill="003399"/>
          </w:tcPr>
          <w:bookmarkEnd w:id="565"/>
          <w:p w14:paraId="3B022A64"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5D21147F" w14:textId="77777777" w:rsidR="0062113F" w:rsidRPr="000923F6" w:rsidRDefault="0062113F" w:rsidP="000D52FF">
            <w:pPr>
              <w:jc w:val="left"/>
              <w:rPr>
                <w:rFonts w:asciiTheme="minorHAnsi" w:hAnsiTheme="minorHAnsi" w:cstheme="minorHAnsi"/>
                <w:b/>
                <w:bCs/>
              </w:rPr>
            </w:pPr>
            <w:bookmarkStart w:id="566" w:name="_Hlk60770705"/>
            <w:r w:rsidRPr="000923F6">
              <w:rPr>
                <w:rFonts w:asciiTheme="minorHAnsi" w:hAnsiTheme="minorHAnsi" w:cstheme="minorHAnsi"/>
                <w:b/>
                <w:bCs/>
              </w:rPr>
              <w:t>Programy wspomagające małą retencję na terenach wiejskich i miejskich:</w:t>
            </w:r>
          </w:p>
          <w:p w14:paraId="591C21A1" w14:textId="77777777" w:rsidR="0062113F" w:rsidRPr="000923F6" w:rsidRDefault="0062113F" w:rsidP="000D52FF">
            <w:pPr>
              <w:jc w:val="left"/>
              <w:rPr>
                <w:rFonts w:asciiTheme="minorHAnsi" w:hAnsiTheme="minorHAnsi" w:cstheme="minorHAnsi"/>
                <w:b/>
                <w:bCs/>
              </w:rPr>
            </w:pPr>
            <w:r w:rsidRPr="000923F6">
              <w:rPr>
                <w:rFonts w:asciiTheme="minorHAnsi" w:hAnsiTheme="minorHAnsi" w:cstheme="minorHAnsi"/>
                <w:b/>
                <w:bCs/>
              </w:rPr>
              <w:t xml:space="preserve">- „Modernizacja gospodarstw rolnych </w:t>
            </w:r>
            <w:r>
              <w:rPr>
                <w:rFonts w:asciiTheme="minorHAnsi" w:hAnsiTheme="minorHAnsi" w:cstheme="minorHAnsi"/>
                <w:b/>
                <w:bCs/>
              </w:rPr>
              <w:t>-</w:t>
            </w:r>
            <w:r w:rsidRPr="000923F6">
              <w:rPr>
                <w:rFonts w:asciiTheme="minorHAnsi" w:hAnsiTheme="minorHAnsi" w:cstheme="minorHAnsi"/>
                <w:b/>
                <w:bCs/>
              </w:rPr>
              <w:t xml:space="preserve"> obszar nawadniania w gospodarstwie”</w:t>
            </w:r>
          </w:p>
          <w:p w14:paraId="274300FF" w14:textId="77777777" w:rsidR="0062113F" w:rsidRPr="000923F6" w:rsidRDefault="0062113F" w:rsidP="000D52FF">
            <w:pPr>
              <w:jc w:val="left"/>
              <w:rPr>
                <w:rFonts w:asciiTheme="minorHAnsi" w:hAnsiTheme="minorHAnsi" w:cstheme="minorHAnsi"/>
                <w:b/>
                <w:bCs/>
              </w:rPr>
            </w:pPr>
            <w:r w:rsidRPr="000923F6">
              <w:rPr>
                <w:rFonts w:asciiTheme="minorHAnsi" w:hAnsiTheme="minorHAnsi" w:cstheme="minorHAnsi"/>
                <w:b/>
                <w:bCs/>
              </w:rPr>
              <w:t xml:space="preserve">- „Miasto z Klimatem </w:t>
            </w:r>
            <w:r>
              <w:rPr>
                <w:rFonts w:asciiTheme="minorHAnsi" w:hAnsiTheme="minorHAnsi" w:cstheme="minorHAnsi"/>
                <w:b/>
                <w:bCs/>
              </w:rPr>
              <w:t>-</w:t>
            </w:r>
            <w:r w:rsidRPr="000923F6">
              <w:rPr>
                <w:rFonts w:asciiTheme="minorHAnsi" w:hAnsiTheme="minorHAnsi" w:cstheme="minorHAnsi"/>
                <w:b/>
                <w:bCs/>
              </w:rPr>
              <w:t xml:space="preserve"> zielono-niebieska infrastruktura”</w:t>
            </w:r>
          </w:p>
          <w:p w14:paraId="5089F281" w14:textId="77777777" w:rsidR="0062113F" w:rsidRPr="000923F6" w:rsidRDefault="0062113F" w:rsidP="000D52FF">
            <w:pPr>
              <w:jc w:val="left"/>
              <w:rPr>
                <w:rFonts w:asciiTheme="minorHAnsi" w:hAnsiTheme="minorHAnsi" w:cstheme="minorHAnsi"/>
                <w:b/>
                <w:bCs/>
              </w:rPr>
            </w:pPr>
            <w:r w:rsidRPr="000923F6">
              <w:rPr>
                <w:rFonts w:asciiTheme="minorHAnsi" w:hAnsiTheme="minorHAnsi" w:cstheme="minorHAnsi"/>
                <w:b/>
                <w:bCs/>
              </w:rPr>
              <w:t xml:space="preserve">- „Retencja korytowa </w:t>
            </w:r>
            <w:r>
              <w:rPr>
                <w:rFonts w:asciiTheme="minorHAnsi" w:hAnsiTheme="minorHAnsi" w:cstheme="minorHAnsi"/>
                <w:b/>
                <w:bCs/>
              </w:rPr>
              <w:t>-</w:t>
            </w:r>
            <w:r w:rsidRPr="000923F6">
              <w:rPr>
                <w:rFonts w:asciiTheme="minorHAnsi" w:hAnsiTheme="minorHAnsi" w:cstheme="minorHAnsi"/>
                <w:b/>
                <w:bCs/>
              </w:rPr>
              <w:t xml:space="preserve"> program kształtowania zasobów wodnych na terenach rolniczych”</w:t>
            </w:r>
            <w:bookmarkEnd w:id="566"/>
          </w:p>
        </w:tc>
      </w:tr>
    </w:tbl>
    <w:p w14:paraId="5F661A65"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Wsparcie małej retencji na terenach wiejskich i miejskich.</w:t>
      </w:r>
    </w:p>
    <w:p w14:paraId="6B0F8CE0"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[RETENCJA] Adaptacja zlewni rolniczych/miejskich do zachodzących zmian klimatu, a co za tym idzie </w:t>
      </w:r>
      <w:r>
        <w:rPr>
          <w:rFonts w:asciiTheme="minorHAnsi" w:hAnsiTheme="minorHAnsi" w:cstheme="minorHAnsi"/>
        </w:rPr>
        <w:t>-</w:t>
      </w:r>
      <w:r w:rsidRPr="000923F6">
        <w:rPr>
          <w:rFonts w:asciiTheme="minorHAnsi" w:hAnsiTheme="minorHAnsi" w:cstheme="minorHAnsi"/>
        </w:rPr>
        <w:t xml:space="preserve"> poprawa bilansu wodnego na obszarze kraju.</w:t>
      </w:r>
    </w:p>
    <w:p w14:paraId="4E9C54B3" w14:textId="25C72476" w:rsidR="0062113F" w:rsidRPr="000923F6" w:rsidRDefault="0062113F" w:rsidP="0062113F">
      <w:pPr>
        <w:rPr>
          <w:rFonts w:asciiTheme="minorHAnsi" w:hAnsiTheme="minorHAnsi" w:cstheme="minorBidi"/>
        </w:rPr>
      </w:pPr>
      <w:r w:rsidRPr="6A94AFD2">
        <w:rPr>
          <w:rFonts w:asciiTheme="minorHAnsi" w:hAnsiTheme="minorHAnsi" w:cstheme="minorBidi"/>
          <w:b/>
          <w:bCs/>
        </w:rPr>
        <w:t xml:space="preserve">Sposób osiągnięcia zakładanych celów i/lub rozwiązania zidentyfikowanych problemów: </w:t>
      </w:r>
      <w:r w:rsidRPr="6A94AFD2">
        <w:rPr>
          <w:rFonts w:asciiTheme="minorHAnsi" w:hAnsiTheme="minorHAnsi" w:cstheme="minorBidi"/>
        </w:rPr>
        <w:t xml:space="preserve">„Modernizacja gospodarstw rolnych - obszar nawadniania w gospodarstwie” stanowi program dopłat do nawodnień dla gospodarstw rolnych realizowany przez </w:t>
      </w:r>
      <w:r w:rsidRPr="3BE05DAD">
        <w:rPr>
          <w:rFonts w:asciiTheme="minorHAnsi" w:hAnsiTheme="minorHAnsi" w:cstheme="minorBidi"/>
        </w:rPr>
        <w:t>AR</w:t>
      </w:r>
      <w:r w:rsidR="587B8A57" w:rsidRPr="3BE05DAD">
        <w:rPr>
          <w:rFonts w:asciiTheme="minorHAnsi" w:hAnsiTheme="minorHAnsi" w:cstheme="minorBidi"/>
        </w:rPr>
        <w:t>i</w:t>
      </w:r>
      <w:r w:rsidRPr="3BE05DAD">
        <w:rPr>
          <w:rFonts w:asciiTheme="minorHAnsi" w:hAnsiTheme="minorHAnsi" w:cstheme="minorBidi"/>
        </w:rPr>
        <w:t>MR.</w:t>
      </w:r>
      <w:r w:rsidRPr="6A94AFD2">
        <w:rPr>
          <w:rFonts w:asciiTheme="minorHAnsi" w:hAnsiTheme="minorHAnsi" w:cstheme="minorBidi"/>
        </w:rPr>
        <w:t xml:space="preserve"> „Miasto z Klimatem - zielono-niebieska infrastruktura” to konkurs dla samorządów ogłoszony przez NFOŚiGW wraz Ministerstwem Klimatu. Zakłada dofinansowanie przedsięwzięć z zakresu zagospodarowania wód opadowych i kształtowania zieleni miejskiej. „Retencja korytowa - program kształtowania zasobów wodnych na terenach rolniczych” to program realizowany przez PGW</w:t>
      </w:r>
      <w:r w:rsidR="001B1731">
        <w:rPr>
          <w:rFonts w:asciiTheme="minorHAnsi" w:hAnsiTheme="minorHAnsi" w:cstheme="minorBidi"/>
        </w:rPr>
        <w:t xml:space="preserve"> </w:t>
      </w:r>
      <w:r w:rsidRPr="6A94AFD2">
        <w:rPr>
          <w:rFonts w:asciiTheme="minorHAnsi" w:hAnsiTheme="minorHAnsi" w:cstheme="minorBidi"/>
        </w:rPr>
        <w:t xml:space="preserve">WP. Program jest działaniem międzyresortowym, realizowanym wraz z Ministerstwem Klimatu i Środowiska, Ministerstwem Rolnictwa i Rozwoju Wsi oraz z samorządami i spółkami wodnymi skupiającymi rolników. Celem jest przywrócenie dwufunkcyjności urządzeń melioracyjnych, co zapewni retencję wód na użytkach rolnych w okresach suszy oraz jej bezpieczne odprowadzenie w okresie wzmożonych opadów. </w:t>
      </w:r>
    </w:p>
    <w:p w14:paraId="5E6A4372"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Podjęte działania przełożą się bezpośrednio na wzrost ilości zgromadzonej wody i będą stanowiły odpowiedź na pogarszające się warunki wodne. Dzięki działaniom podjętym w ramach ww.</w:t>
      </w:r>
      <w:r>
        <w:rPr>
          <w:rFonts w:asciiTheme="minorHAnsi" w:hAnsiTheme="minorHAnsi" w:cstheme="minorHAnsi"/>
        </w:rPr>
        <w:t> </w:t>
      </w:r>
      <w:r w:rsidRPr="000923F6">
        <w:rPr>
          <w:rFonts w:asciiTheme="minorHAnsi" w:hAnsiTheme="minorHAnsi" w:cstheme="minorHAnsi"/>
        </w:rPr>
        <w:t>programów poprawie ulegnie również ochrona przeciwpowodziowa oraz złagodzone zostaną negatywne skutki suszy.</w:t>
      </w:r>
    </w:p>
    <w:tbl>
      <w:tblPr>
        <w:tblStyle w:val="Tabela-Siatka"/>
        <w:tblW w:w="0" w:type="auto"/>
        <w:tblInd w:w="5" w:type="dxa"/>
        <w:tblLook w:val="04A0" w:firstRow="1" w:lastRow="0" w:firstColumn="1" w:lastColumn="0" w:noHBand="0" w:noVBand="1"/>
      </w:tblPr>
      <w:tblGrid>
        <w:gridCol w:w="9062"/>
      </w:tblGrid>
      <w:tr w:rsidR="0062113F" w:rsidRPr="000923F6" w14:paraId="0555523A" w14:textId="77777777" w:rsidTr="000D52FF">
        <w:tc>
          <w:tcPr>
            <w:tcW w:w="9062" w:type="dxa"/>
            <w:tcBorders>
              <w:top w:val="nil"/>
              <w:left w:val="nil"/>
              <w:bottom w:val="nil"/>
              <w:right w:val="nil"/>
            </w:tcBorders>
            <w:shd w:val="clear" w:color="auto" w:fill="003399"/>
          </w:tcPr>
          <w:p w14:paraId="2DAA6640"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regionalny </w:t>
            </w:r>
            <w:r>
              <w:rPr>
                <w:rFonts w:asciiTheme="minorHAnsi" w:hAnsiTheme="minorHAnsi" w:cstheme="minorHAnsi"/>
                <w:b/>
                <w:bCs/>
              </w:rPr>
              <w:t>-</w:t>
            </w:r>
            <w:r w:rsidRPr="000923F6">
              <w:rPr>
                <w:rFonts w:asciiTheme="minorHAnsi" w:hAnsiTheme="minorHAnsi" w:cstheme="minorHAnsi"/>
                <w:b/>
                <w:bCs/>
              </w:rPr>
              <w:t xml:space="preserve"> programy rozwoju</w:t>
            </w:r>
          </w:p>
          <w:p w14:paraId="7D21660F" w14:textId="77777777" w:rsidR="0062113F" w:rsidRPr="000923F6" w:rsidRDefault="0062113F" w:rsidP="000D52FF">
            <w:pPr>
              <w:jc w:val="left"/>
              <w:rPr>
                <w:rFonts w:asciiTheme="minorHAnsi" w:hAnsiTheme="minorHAnsi" w:cstheme="minorHAnsi"/>
                <w:b/>
                <w:bCs/>
              </w:rPr>
            </w:pPr>
            <w:bookmarkStart w:id="567" w:name="_Hlk60771020"/>
            <w:r w:rsidRPr="000923F6">
              <w:rPr>
                <w:rFonts w:asciiTheme="minorHAnsi" w:hAnsiTheme="minorHAnsi" w:cstheme="minorHAnsi"/>
                <w:b/>
                <w:bCs/>
              </w:rPr>
              <w:t>Wojewódzkie programy małej retencji</w:t>
            </w:r>
            <w:bookmarkEnd w:id="567"/>
          </w:p>
        </w:tc>
      </w:tr>
    </w:tbl>
    <w:p w14:paraId="35402974"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Wsparcie małej retencji na poziomie województwa.</w:t>
      </w:r>
    </w:p>
    <w:p w14:paraId="79830B52"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[RETENCJA] Zwiększenie zasobów wodnych i oszczędne gospodarowanie nimi.</w:t>
      </w:r>
    </w:p>
    <w:p w14:paraId="3356543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Działania ujęte w programach to m.in. plany budowy i przebudowy obiektów do retencjonowania wody.</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62113F" w:rsidRPr="000923F6" w14:paraId="2E3A80DE" w14:textId="77777777" w:rsidTr="000D52FF">
        <w:tc>
          <w:tcPr>
            <w:tcW w:w="9062" w:type="dxa"/>
            <w:shd w:val="clear" w:color="auto" w:fill="003399"/>
          </w:tcPr>
          <w:p w14:paraId="11EA36A0"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613E4DC6" w14:textId="77777777" w:rsidR="0062113F" w:rsidRPr="000923F6" w:rsidRDefault="0062113F" w:rsidP="000D52FF">
            <w:pPr>
              <w:rPr>
                <w:rFonts w:asciiTheme="minorHAnsi" w:hAnsiTheme="minorHAnsi" w:cstheme="minorHAnsi"/>
                <w:b/>
                <w:bCs/>
              </w:rPr>
            </w:pPr>
            <w:bookmarkStart w:id="568" w:name="_Hlk60771050"/>
            <w:r w:rsidRPr="000923F6">
              <w:rPr>
                <w:rFonts w:asciiTheme="minorHAnsi" w:hAnsiTheme="minorHAnsi" w:cstheme="minorHAnsi"/>
                <w:b/>
                <w:bCs/>
              </w:rPr>
              <w:t>Plan Przeciwdziałania Skutkom Suszy (PPSS)</w:t>
            </w:r>
            <w:bookmarkEnd w:id="568"/>
          </w:p>
        </w:tc>
      </w:tr>
    </w:tbl>
    <w:p w14:paraId="156E999F"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Cel główny: Przeciwdziałanie skutkom suszy, doprecyzowany przez cztery cele szczegółowe: (1) skuteczne zarządzanie zasobami wodnymi dla zwiększenia dostępnych zasobów wodnych; (2) zwiększanie retencjonowania (magazynowania) wód; (3) edukacja w zakresie suszy i koordynacja działań powiązanych z suszą; (4) stworzenie mechanizmów realizacji i finansowania działań służących przeciwdziałaniu skutkom suszy.</w:t>
      </w:r>
    </w:p>
    <w:p w14:paraId="4F081B7D"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SUSZA] Analizowane na poziomie dorzeczy: (1) możliwości powiększenia dyspozycyjnych zasobów wodnych; (2) potrzeby w zakresie budowy lub przebudowy urządzeń wodnych; (3) potrzeby wprowadzenia oraz charakter niezbędnych zmian w zakresie korzystania z zasobów wodnych oraz zmian naturalnej i sztucznej retencji; (4) możliwe do</w:t>
      </w:r>
      <w:r>
        <w:rPr>
          <w:rFonts w:asciiTheme="minorHAnsi" w:hAnsiTheme="minorHAnsi" w:cstheme="minorHAnsi"/>
        </w:rPr>
        <w:t> </w:t>
      </w:r>
      <w:r w:rsidRPr="000923F6">
        <w:rPr>
          <w:rFonts w:asciiTheme="minorHAnsi" w:hAnsiTheme="minorHAnsi" w:cstheme="minorHAnsi"/>
        </w:rPr>
        <w:t>zastosowania działania służące przeciwdziałaniu skutkom suszy.</w:t>
      </w:r>
    </w:p>
    <w:p w14:paraId="05136321"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PPSS nie ma charakteru odrębnego planu inwestycyjnego, scala jedynie informacje nt. planów budowy, przebudowy i remontu urządzeń wodnych, które zostały zawarte w innych dokumentach planistycznych z zakresu gospodarki wodnej.</w:t>
      </w:r>
    </w:p>
    <w:p w14:paraId="53CE9EDC"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 xml:space="preserve">Najważniejszą składową PPSS jest katalog działań zawierający konkretne, mierzalne rozwiązania, które należy wdrożyć, aby ograniczyć skutki suszy. Katalog ma wymiar operacyjny wobec pozostałych elementów PPSS, które są sformułowane w charakterze analizy lub propozycji. </w:t>
      </w:r>
    </w:p>
    <w:p w14:paraId="38B14EC4"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Wskazane w dokumencie działania, które mają posłużyć realizacji celów, to m.in.: propagowanie ponownego wykorzystania wód, przeprowadzenie weryfikacji zasad gospodarowania wodą w zbiornikach retencyjnych, czasowe ograniczenie korzystania z wód, budowa i przebudowa ujęć wód podziemnych oraz rurociągów wodociągowych magistralnych do przesyłania wody do obszarów zagrożonych suszą hydrologiczną.</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62113F" w:rsidRPr="000923F6" w14:paraId="4B34902E" w14:textId="77777777" w:rsidTr="000D52FF">
        <w:tc>
          <w:tcPr>
            <w:tcW w:w="9062" w:type="dxa"/>
            <w:shd w:val="clear" w:color="auto" w:fill="003399"/>
          </w:tcPr>
          <w:p w14:paraId="05277DD0"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57124869" w14:textId="77777777" w:rsidR="0062113F" w:rsidRPr="000923F6" w:rsidRDefault="0062113F" w:rsidP="000D52FF">
            <w:pPr>
              <w:jc w:val="left"/>
              <w:rPr>
                <w:rFonts w:asciiTheme="minorHAnsi" w:hAnsiTheme="minorHAnsi" w:cstheme="minorHAnsi"/>
                <w:b/>
                <w:bCs/>
              </w:rPr>
            </w:pPr>
            <w:bookmarkStart w:id="569" w:name="_Hlk60771181"/>
            <w:r w:rsidRPr="000923F6">
              <w:rPr>
                <w:rFonts w:asciiTheme="minorHAnsi" w:hAnsiTheme="minorHAnsi" w:cstheme="minorHAnsi"/>
                <w:b/>
                <w:bCs/>
              </w:rPr>
              <w:t>Plany Zarządzania Ryzykiem Powodziowym dla obszarów dorzeczy (PZRP)</w:t>
            </w:r>
            <w:bookmarkEnd w:id="569"/>
          </w:p>
          <w:p w14:paraId="7370D8A8" w14:textId="77777777" w:rsidR="0062113F" w:rsidRPr="000923F6" w:rsidRDefault="0062113F" w:rsidP="000D52FF">
            <w:pPr>
              <w:jc w:val="left"/>
              <w:rPr>
                <w:rFonts w:asciiTheme="minorHAnsi" w:hAnsiTheme="minorHAnsi" w:cstheme="minorHAnsi"/>
                <w:i/>
                <w:iCs/>
              </w:rPr>
            </w:pPr>
            <w:r w:rsidRPr="000923F6">
              <w:rPr>
                <w:rFonts w:asciiTheme="minorHAnsi" w:hAnsiTheme="minorHAnsi" w:cstheme="minorHAnsi"/>
                <w:i/>
                <w:iCs/>
              </w:rPr>
              <w:t>Aktualizacja</w:t>
            </w:r>
          </w:p>
        </w:tc>
      </w:tr>
    </w:tbl>
    <w:p w14:paraId="3A8C04F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Zarządzanie ryzykiem powodziowym skutkujące ograniczeniem potencjalnych negatywnych skutków powodzi dla życia i zdrowia ludzi, środowiska, dziedzictwa kulturowego oraz działalności gospodarczej.</w:t>
      </w:r>
    </w:p>
    <w:p w14:paraId="28A71973"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POWÓDŹ] Ocena ryzyka powodziowego i identyfikacja obszarów zagrożonych powodzią na poziomie dorzeczy i regionów wodnych oraz dobór działań służących minimalizacji zidentyfikowanych zagrożeń i ich skutków.</w:t>
      </w:r>
    </w:p>
    <w:p w14:paraId="2D882094"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PZRP obejmują wszystkie aspekty zarządzania ryzykiem powodziowym; w szczególności działania ukierunkowane na zapobieganie powodzi, ochronę i właściwe przygotowanie do powodzi, w tym prognozowanie powodzi oraz systemy wczesnego ostrzegania, z uwzględnieniem specyfiki poszczególnych obszarów dorzecza. PZRP zawierają katalog działań służących osiągnięciu celów zarządzania ryzykiem powodziowym, z uwzględnieniem ich priorytetu.</w:t>
      </w:r>
    </w:p>
    <w:p w14:paraId="5A569266" w14:textId="77777777" w:rsidR="0062113F" w:rsidRDefault="0062113F" w:rsidP="0062113F">
      <w:pPr>
        <w:rPr>
          <w:rFonts w:asciiTheme="minorHAnsi" w:hAnsiTheme="minorHAnsi" w:cstheme="minorHAnsi"/>
        </w:rPr>
      </w:pPr>
      <w:r w:rsidRPr="000923F6">
        <w:rPr>
          <w:rFonts w:asciiTheme="minorHAnsi" w:hAnsiTheme="minorHAnsi" w:cstheme="minorHAnsi"/>
        </w:rPr>
        <w:t>PZRP wprowadzają dwie kategorie działań: (1) działania techniczne, obejmujące głównie prace związane z budową zbiorników wodnych, wałów czy przebudową aktualnie funkcjonujących urządzeń wodnych oraz innych budowli wpływających na cieki wodne; (2) działania nietechniczne, skupiające się przede wszystkim na zwiększaniu retencji, przywracaniu naturalnych warunków przepływu, konieczności budowy nowych systemów informujących o zagrożeniu, dostosowaniu zagospodarowania przestrzennego do określonego zagrożenia powodziowego.</w:t>
      </w:r>
      <w:bookmarkStart w:id="570" w:name="_Hlk60304775"/>
    </w:p>
    <w:p w14:paraId="463B3B94" w14:textId="6391BC88" w:rsidR="0062113F" w:rsidRDefault="0062113F" w:rsidP="0062113F">
      <w:pPr>
        <w:spacing w:after="160" w:line="259" w:lineRule="auto"/>
        <w:rPr>
          <w:rFonts w:asciiTheme="minorHAnsi" w:hAnsiTheme="minorHAnsi" w:cstheme="minorHAnsi"/>
        </w:rPr>
      </w:pPr>
      <w:r w:rsidRPr="00CA132B">
        <w:rPr>
          <w:rFonts w:asciiTheme="minorHAnsi" w:hAnsiTheme="minorHAnsi" w:cstheme="minorHAnsi"/>
        </w:rPr>
        <w:t xml:space="preserve">Obecna aktualizacja PZRP stanowi dokument będący jednym ze źródeł dobieranych działań na potrzeby IIaPGW. Działania innych planów/programów, które poprzez swoją specyfikę i zakres wpisują się jednocześnie w cele IIaPGW (działania ukierunkowane na poprawę stanu jcwp oraz </w:t>
      </w:r>
      <w:r w:rsidR="00122C71">
        <w:rPr>
          <w:rFonts w:asciiTheme="minorHAnsi" w:hAnsiTheme="minorHAnsi" w:cstheme="minorHAnsi"/>
        </w:rPr>
        <w:t>osiągnięcie</w:t>
      </w:r>
      <w:r w:rsidR="00122C71" w:rsidRPr="00CA132B">
        <w:rPr>
          <w:rFonts w:asciiTheme="minorHAnsi" w:hAnsiTheme="minorHAnsi" w:cstheme="minorHAnsi"/>
        </w:rPr>
        <w:t xml:space="preserve"> </w:t>
      </w:r>
      <w:r w:rsidRPr="00CA132B">
        <w:rPr>
          <w:rFonts w:asciiTheme="minorHAnsi" w:hAnsiTheme="minorHAnsi" w:cstheme="minorHAnsi"/>
        </w:rPr>
        <w:t>celów środowiskowych) włączane mogą być do katalogów działań IIaPGW i tym samym stanowić element budowanych zestawów działań.</w:t>
      </w:r>
    </w:p>
    <w:tbl>
      <w:tblPr>
        <w:tblStyle w:val="Tabela-Siatka"/>
        <w:tblW w:w="0" w:type="auto"/>
        <w:tblLook w:val="04A0" w:firstRow="1" w:lastRow="0" w:firstColumn="1" w:lastColumn="0" w:noHBand="0" w:noVBand="1"/>
      </w:tblPr>
      <w:tblGrid>
        <w:gridCol w:w="9016"/>
      </w:tblGrid>
      <w:tr w:rsidR="0062113F" w:rsidRPr="000923F6" w14:paraId="5FF8FCFA" w14:textId="77777777" w:rsidTr="000D52FF">
        <w:tc>
          <w:tcPr>
            <w:tcW w:w="9016" w:type="dxa"/>
            <w:shd w:val="clear" w:color="auto" w:fill="003399"/>
          </w:tcPr>
          <w:bookmarkEnd w:id="570"/>
          <w:p w14:paraId="69698583"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regionalny </w:t>
            </w:r>
            <w:r>
              <w:rPr>
                <w:rFonts w:asciiTheme="minorHAnsi" w:hAnsiTheme="minorHAnsi" w:cstheme="minorHAnsi"/>
                <w:b/>
                <w:bCs/>
              </w:rPr>
              <w:t>-</w:t>
            </w:r>
            <w:r w:rsidRPr="000923F6">
              <w:rPr>
                <w:rFonts w:asciiTheme="minorHAnsi" w:hAnsiTheme="minorHAnsi" w:cstheme="minorHAnsi"/>
                <w:b/>
                <w:bCs/>
              </w:rPr>
              <w:t xml:space="preserve"> instrumenty wdrożeniowe</w:t>
            </w:r>
          </w:p>
          <w:p w14:paraId="1033F03F" w14:textId="77777777" w:rsidR="0062113F" w:rsidRPr="000923F6" w:rsidRDefault="0062113F" w:rsidP="000D52FF">
            <w:pPr>
              <w:jc w:val="left"/>
              <w:rPr>
                <w:rFonts w:asciiTheme="minorHAnsi" w:hAnsiTheme="minorHAnsi" w:cstheme="minorHAnsi"/>
                <w:b/>
                <w:bCs/>
              </w:rPr>
            </w:pPr>
            <w:bookmarkStart w:id="571" w:name="_Hlk60772685"/>
            <w:r w:rsidRPr="000923F6">
              <w:rPr>
                <w:rFonts w:asciiTheme="minorHAnsi" w:hAnsiTheme="minorHAnsi" w:cstheme="minorHAnsi"/>
                <w:b/>
                <w:bCs/>
              </w:rPr>
              <w:t>Plany utrzymania wód (PUW)</w:t>
            </w:r>
            <w:bookmarkEnd w:id="571"/>
          </w:p>
          <w:p w14:paraId="33946BD1" w14:textId="77777777" w:rsidR="0062113F" w:rsidRPr="00B40570" w:rsidRDefault="0062113F" w:rsidP="000D52FF">
            <w:pPr>
              <w:jc w:val="left"/>
              <w:rPr>
                <w:rFonts w:asciiTheme="minorHAnsi" w:hAnsiTheme="minorHAnsi" w:cstheme="minorHAnsi"/>
                <w:i/>
                <w:iCs/>
              </w:rPr>
            </w:pPr>
            <w:bookmarkStart w:id="572" w:name="_Hlk60772709"/>
            <w:r w:rsidRPr="00662949">
              <w:rPr>
                <w:rFonts w:asciiTheme="minorHAnsi" w:hAnsiTheme="minorHAnsi"/>
                <w:i/>
              </w:rPr>
              <w:t>wraz z Katalogiem dobrych praktyk w zakresie robót hydrotechnicznych i prac utrzymaniowych wraz z ustaleniem zasad ich wdrażania (opracowanym w ramach realizacji aPWŚK)</w:t>
            </w:r>
            <w:bookmarkEnd w:id="572"/>
          </w:p>
        </w:tc>
      </w:tr>
    </w:tbl>
    <w:p w14:paraId="6E0DEAA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Ochrona przed powodzią oraz osiągnięcie dobrego stanu wszystkich wód. </w:t>
      </w:r>
    </w:p>
    <w:p w14:paraId="26F098E2" w14:textId="5E2F8419"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POWÓDŹ] Zapewnienie skutecznej ochrony przeciwpowodziowej jako odpowiedzialność każdego RZGW </w:t>
      </w:r>
      <w:r w:rsidR="00F53455">
        <w:rPr>
          <w:rFonts w:asciiTheme="minorHAnsi" w:hAnsiTheme="minorHAnsi" w:cstheme="minorHAnsi"/>
        </w:rPr>
        <w:t xml:space="preserve">WP </w:t>
      </w:r>
      <w:r w:rsidRPr="000923F6">
        <w:rPr>
          <w:rFonts w:asciiTheme="minorHAnsi" w:hAnsiTheme="minorHAnsi" w:cstheme="minorHAnsi"/>
        </w:rPr>
        <w:t>w obszarze jego jurysdykcji.</w:t>
      </w:r>
    </w:p>
    <w:p w14:paraId="7725EC31"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Plan utrzymania wód zawiera określenie odcinków śródlądowych wód powierzchniowych, na terenie których mogą wystąpić zagrożenia dla swobodnego przepływu wód i spływu lodów, oraz identyfikuje te zagrożenia. W dokumencie gromadzone i kojarzone są wszystkie planowane roboty utrzymaniowe na ciekach administrowanych przez różne organy w danym regionie wodnym. Zawiera się w nim również wykazy budowli regulacyjnych oraz urządzeń wodnych, które mają istotne znaczenie dla zarządzania wodami, a także wykazy planowanych działań utrzymaniowych (takich jak m.in.: odmulanie, usuwanie zatorów, zabezpieczanie brzegów koryta, dbanie o dobry stan techniczny budowli hydrotechnicznych), zgodnych z </w:t>
      </w:r>
      <w:r w:rsidRPr="000923F6">
        <w:rPr>
          <w:rFonts w:asciiTheme="minorHAnsi" w:hAnsiTheme="minorHAnsi" w:cstheme="minorHAnsi"/>
          <w:i/>
          <w:iCs/>
        </w:rPr>
        <w:t>Katalogiem dobrych praktyk w zakresie robót hydrotechnicznych i prac utrzymaniowych wraz z ustaleniem zasad ich wdrażania</w:t>
      </w:r>
      <w:r w:rsidRPr="000923F6">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62113F" w:rsidRPr="000923F6" w14:paraId="6D0D1900" w14:textId="77777777" w:rsidTr="000D52FF">
        <w:tc>
          <w:tcPr>
            <w:tcW w:w="9062" w:type="dxa"/>
            <w:shd w:val="clear" w:color="auto" w:fill="003399"/>
          </w:tcPr>
          <w:p w14:paraId="14D12F91"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regionalny </w:t>
            </w:r>
            <w:r>
              <w:rPr>
                <w:rFonts w:asciiTheme="minorHAnsi" w:hAnsiTheme="minorHAnsi" w:cstheme="minorHAnsi"/>
                <w:b/>
                <w:bCs/>
              </w:rPr>
              <w:t>-</w:t>
            </w:r>
            <w:r w:rsidRPr="000923F6">
              <w:rPr>
                <w:rFonts w:asciiTheme="minorHAnsi" w:hAnsiTheme="minorHAnsi" w:cstheme="minorHAnsi"/>
                <w:b/>
                <w:bCs/>
              </w:rPr>
              <w:t xml:space="preserve"> programy rozwoju</w:t>
            </w:r>
          </w:p>
          <w:p w14:paraId="381A892B" w14:textId="77777777" w:rsidR="0062113F" w:rsidRPr="000923F6" w:rsidRDefault="0062113F" w:rsidP="000D52FF">
            <w:pPr>
              <w:jc w:val="left"/>
              <w:rPr>
                <w:rFonts w:asciiTheme="minorHAnsi" w:hAnsiTheme="minorHAnsi" w:cstheme="minorHAnsi"/>
                <w:i/>
                <w:iCs/>
              </w:rPr>
            </w:pPr>
            <w:bookmarkStart w:id="573" w:name="_Hlk60772887"/>
            <w:r w:rsidRPr="000923F6">
              <w:rPr>
                <w:rFonts w:asciiTheme="minorHAnsi" w:hAnsiTheme="minorHAnsi" w:cstheme="minorHAnsi"/>
                <w:b/>
                <w:bCs/>
              </w:rPr>
              <w:t>Wojewódzkie programy ochrony zasobów wodnych</w:t>
            </w:r>
            <w:bookmarkEnd w:id="573"/>
          </w:p>
        </w:tc>
      </w:tr>
    </w:tbl>
    <w:p w14:paraId="2A8501CC" w14:textId="77777777" w:rsidR="0062113F" w:rsidRPr="000923F6" w:rsidRDefault="0062113F" w:rsidP="0062113F">
      <w:pPr>
        <w:rPr>
          <w:rFonts w:asciiTheme="minorHAnsi" w:hAnsiTheme="minorHAnsi" w:cstheme="minorBidi"/>
        </w:rPr>
      </w:pPr>
      <w:r w:rsidRPr="0206C3D2">
        <w:rPr>
          <w:rFonts w:asciiTheme="minorHAnsi" w:hAnsiTheme="minorHAnsi" w:cstheme="minorBidi"/>
          <w:b/>
          <w:bCs/>
        </w:rPr>
        <w:t xml:space="preserve">Cele i oczekiwane rezultaty wdrożenia dokumentu: </w:t>
      </w:r>
      <w:r w:rsidRPr="00B9505E">
        <w:rPr>
          <w:rFonts w:asciiTheme="minorHAnsi" w:hAnsiTheme="minorHAnsi" w:cstheme="minorHAnsi"/>
        </w:rPr>
        <w:t>Przywrócenie rzekom ich funkcji ekologicznych - ożywienie rzek poprzez wprowadzenie występujących w nich gatunków ryb lub odtworzenie właściwości wpływających na życie i rozwój organizmów wodnych.</w:t>
      </w:r>
    </w:p>
    <w:p w14:paraId="4BA2BF0F"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[ZASOBY WODNE/DROŻNOŚĆ CIEKÓW]</w:t>
      </w:r>
      <w:r w:rsidRPr="000923F6">
        <w:rPr>
          <w:rFonts w:asciiTheme="minorHAnsi" w:hAnsiTheme="minorHAnsi" w:cstheme="minorHAnsi"/>
          <w:color w:val="000000"/>
          <w:shd w:val="clear" w:color="auto" w:fill="FFFFFF"/>
        </w:rPr>
        <w:t xml:space="preserve"> Stworzenie stabilnych podstaw przyrodniczych do prowadzenia racjonalnej gospodarki rybackiej w wodach śródlądowych danego województwa z zachowaniem równowagi i różnorodności biologicznej w środowisku wodnym.</w:t>
      </w:r>
    </w:p>
    <w:p w14:paraId="3D887505" w14:textId="77777777" w:rsidR="0062113F" w:rsidRPr="000923F6" w:rsidRDefault="0062113F" w:rsidP="0062113F">
      <w:pPr>
        <w:rPr>
          <w:rFonts w:asciiTheme="minorHAnsi" w:hAnsiTheme="minorHAnsi" w:cstheme="minorBidi"/>
        </w:rPr>
      </w:pPr>
      <w:r w:rsidRPr="0206C3D2">
        <w:rPr>
          <w:rFonts w:asciiTheme="minorHAnsi" w:hAnsiTheme="minorHAnsi" w:cstheme="minorBidi"/>
          <w:b/>
          <w:bCs/>
        </w:rPr>
        <w:t xml:space="preserve">Sposób osiągnięcia zakładanych celów i/lub rozwiązania zidentyfikowanych problemów: </w:t>
      </w:r>
      <w:r w:rsidRPr="00B9505E">
        <w:rPr>
          <w:rFonts w:asciiTheme="minorHAnsi" w:hAnsiTheme="minorHAnsi" w:cstheme="minorHAnsi"/>
        </w:rPr>
        <w:t>Wojewódzkie programy ochrony zasobów wodnych wyznaczają kierunki działań, jakie należy podjąć, aby osiągnąć zakładany cel, jakim jest udrożnienie rzek dla umożliwienia wędrówki ryb. Opracowywane na potrzeby dokumentów programy budowy przepławek dla ryb stanowią pierwszy krok w kierunku renaturyzacji rzek, co w konsekwencji doprowadzić powinno do ich rewitalizacji.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62113F" w:rsidRPr="000923F6" w14:paraId="54051560" w14:textId="77777777" w:rsidTr="000D52FF">
        <w:tc>
          <w:tcPr>
            <w:tcW w:w="9016" w:type="dxa"/>
            <w:shd w:val="clear" w:color="auto" w:fill="003399"/>
          </w:tcPr>
          <w:p w14:paraId="36FE211A"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operacyjne</w:t>
            </w:r>
          </w:p>
          <w:p w14:paraId="4E48A595" w14:textId="77777777" w:rsidR="0062113F" w:rsidRPr="000923F6" w:rsidRDefault="0062113F" w:rsidP="000D52FF">
            <w:pPr>
              <w:jc w:val="left"/>
              <w:rPr>
                <w:rFonts w:asciiTheme="minorHAnsi" w:hAnsiTheme="minorHAnsi" w:cstheme="minorBidi"/>
                <w:i/>
                <w:iCs/>
              </w:rPr>
            </w:pPr>
            <w:r w:rsidRPr="0206C3D2">
              <w:rPr>
                <w:rFonts w:asciiTheme="minorHAnsi" w:hAnsiTheme="minorHAnsi" w:cstheme="minorBidi"/>
                <w:b/>
                <w:bCs/>
              </w:rPr>
              <w:t>Programy operacyjne perspektywy finansowej 2021-2027</w:t>
            </w:r>
            <w:r>
              <w:br/>
            </w:r>
            <w:r w:rsidRPr="00D84792">
              <w:rPr>
                <w:rFonts w:asciiTheme="minorHAnsi" w:hAnsiTheme="minorHAnsi" w:cstheme="minorBidi"/>
                <w:i/>
                <w:iCs/>
              </w:rPr>
              <w:t xml:space="preserve">Programy operacyjne </w:t>
            </w:r>
            <w:r>
              <w:rPr>
                <w:rFonts w:asciiTheme="minorHAnsi" w:hAnsiTheme="minorHAnsi" w:cstheme="minorBidi"/>
                <w:i/>
                <w:iCs/>
              </w:rPr>
              <w:t xml:space="preserve">(krajowe i regionalne) </w:t>
            </w:r>
            <w:r w:rsidRPr="00D84792">
              <w:rPr>
                <w:rFonts w:asciiTheme="minorHAnsi" w:hAnsiTheme="minorHAnsi" w:cstheme="minorBidi"/>
                <w:i/>
                <w:iCs/>
              </w:rPr>
              <w:t>opracowane na potrzeby wykorzystania funduszy europejskich kolejnej perspektywy finansowej 2021-2027</w:t>
            </w:r>
          </w:p>
        </w:tc>
      </w:tr>
    </w:tbl>
    <w:p w14:paraId="6211F251"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Cele i oczekiwane rezultaty wdrożenia dokumentu</w:t>
      </w:r>
      <w:r w:rsidRPr="000923F6">
        <w:rPr>
          <w:rFonts w:asciiTheme="minorHAnsi" w:hAnsiTheme="minorHAnsi" w:cstheme="minorHAnsi"/>
        </w:rPr>
        <w:t>: W latach 2021-2027 Polska będzie realizować działania w ramach 5 celów polityki spójności: CP1. Bardziej inteligentna Europa; CP2 Bardziej przyjazna dla środowiska niskoemisyjna Europa; CP3 Lepiej połączona Europa; CP4 Europa o</w:t>
      </w:r>
      <w:r>
        <w:rPr>
          <w:rFonts w:asciiTheme="minorHAnsi" w:hAnsiTheme="minorHAnsi" w:cstheme="minorHAnsi"/>
        </w:rPr>
        <w:t> </w:t>
      </w:r>
      <w:r w:rsidRPr="000923F6">
        <w:rPr>
          <w:rFonts w:asciiTheme="minorHAnsi" w:hAnsiTheme="minorHAnsi" w:cstheme="minorHAnsi"/>
        </w:rPr>
        <w:t>silniejszym wymiarze społecznym; CP5 Europa bliżej obywateli.</w:t>
      </w:r>
    </w:p>
    <w:p w14:paraId="658A039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Działania planowane w nowej perspektywie finansowej w ramach poszczególnych celów polityki odpowiadać będą na wyzwania krajowe zidentyfikowane w obszarach wsparcia z EFSI, jak również uwzględniać kontekst europejski. Dlatego też opisy celów polityki odnoszą się do zaleceń Rady UE dla Polski oraz wpisują się w założenia i cele Europejskiego Zielonego Ładu, założenia gospodarki o obiegu zamkniętym (GOZ), której wdrażanie jest jednym z priorytetowych celów Unii Europejskiej oraz Europejskiej Agendy Cyfrowej.</w:t>
      </w:r>
    </w:p>
    <w:p w14:paraId="7AB87C7D"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Za kształt oraz zakres programów operacyjnych na poziomie kraju odpowiada Minister Rozwoju Regionalnego we współpracy z innymi ministrami. Regionalne programy operacyjne przygotowują natomiast zarządy województw we współpracy z Ministrem Rozwoju Regionalnego. </w:t>
      </w:r>
    </w:p>
    <w:p w14:paraId="128CAFF0" w14:textId="77777777" w:rsidR="0062113F" w:rsidRPr="000923F6" w:rsidRDefault="0062113F" w:rsidP="0062113F">
      <w:pPr>
        <w:rPr>
          <w:rFonts w:asciiTheme="minorHAnsi" w:hAnsiTheme="minorHAnsi" w:cstheme="minorHAnsi"/>
        </w:rPr>
      </w:pPr>
      <w:r w:rsidRPr="000923F6">
        <w:rPr>
          <w:rFonts w:asciiTheme="minorHAnsi" w:hAnsiTheme="minorHAnsi" w:cstheme="minorHAnsi"/>
        </w:rPr>
        <w:t>Programy zawierają całość spójnych priorytetów strategicznych, do osiągnięcia których będzie się dążyć za pomocą Europejskiego Funduszu Rozwoju Regionalnego (EFRR) i Funduszu Spójności (FS). Wśród celów polityki spójności nowej perspektywy finansowej istotne z punktu widzenia wsparcia gospodarki wodnej są cele szczegółowe CP2., w tym przede wszystkim cele w zakresie wspierania: (1) działań w zakresie dostosowania do zmiany klimatu, zapobiegania ryzyku i odporności na klęski żywiołowe; (2) zrównoważonej gospodarki wodnej.</w:t>
      </w:r>
    </w:p>
    <w:p w14:paraId="3A464CA6" w14:textId="77777777" w:rsidR="0062113F" w:rsidRPr="00D84792" w:rsidRDefault="0062113F" w:rsidP="0062113F">
      <w:pPr>
        <w:rPr>
          <w:rFonts w:asciiTheme="minorHAnsi" w:hAnsiTheme="minorHAnsi" w:cstheme="minorHAnsi"/>
        </w:rPr>
      </w:pPr>
      <w:r w:rsidRPr="000923F6">
        <w:rPr>
          <w:rFonts w:asciiTheme="minorHAnsi" w:hAnsiTheme="minorHAnsi" w:cstheme="minorHAnsi"/>
        </w:rPr>
        <w:t xml:space="preserve">Wsparcia z EFRR udziela się m.in. na inwestycje w infrastrukturę. Środki z </w:t>
      </w:r>
      <w:r>
        <w:rPr>
          <w:rFonts w:asciiTheme="minorHAnsi" w:hAnsiTheme="minorHAnsi" w:cstheme="minorHAnsi"/>
        </w:rPr>
        <w:t>FS</w:t>
      </w:r>
      <w:r w:rsidRPr="000923F6">
        <w:rPr>
          <w:rFonts w:asciiTheme="minorHAnsi" w:hAnsiTheme="minorHAnsi" w:cstheme="minorHAnsi"/>
        </w:rPr>
        <w:t xml:space="preserve"> przeznaczane były i będą na: inwestycje na rzecz środowiska, w tym korzystne dla środowiska </w:t>
      </w:r>
      <w:r w:rsidRPr="00D84792">
        <w:rPr>
          <w:rFonts w:asciiTheme="minorHAnsi" w:hAnsiTheme="minorHAnsi" w:cstheme="minorHAnsi"/>
        </w:rPr>
        <w:t>inwestycje związane ze</w:t>
      </w:r>
      <w:r>
        <w:rPr>
          <w:rFonts w:asciiTheme="minorHAnsi" w:hAnsiTheme="minorHAnsi" w:cstheme="minorHAnsi"/>
        </w:rPr>
        <w:t> </w:t>
      </w:r>
      <w:r w:rsidRPr="00D84792">
        <w:rPr>
          <w:rFonts w:asciiTheme="minorHAnsi" w:hAnsiTheme="minorHAnsi" w:cstheme="minorHAnsi"/>
        </w:rPr>
        <w:t>zrównoważonym rozwojem oraz energią oraz inwestycje w TEN-T.</w:t>
      </w:r>
    </w:p>
    <w:p w14:paraId="35F75A91" w14:textId="77777777" w:rsidR="0062113F" w:rsidRDefault="0062113F" w:rsidP="0062113F">
      <w:pPr>
        <w:rPr>
          <w:rFonts w:asciiTheme="minorHAnsi" w:hAnsiTheme="minorHAnsi" w:cstheme="minorHAnsi"/>
        </w:rPr>
      </w:pPr>
      <w:r w:rsidRPr="00D84792">
        <w:rPr>
          <w:rFonts w:asciiTheme="minorHAnsi" w:hAnsiTheme="minorHAnsi" w:cstheme="minorHAnsi"/>
        </w:rPr>
        <w:t>Odrębną grupę stanowią środki Europejskiego Funduszu Rolnego na rzecz Rozwoju Obszarów Wiejskich (EFRROW). EFRROW stanowi instrument finansowania Wspólnej Polityki Rolnej (WPR) wspierającej dynamiczny rozwój i efektywność gospodarczą społeczności wiejskich w ramach działań podejmowanych na rzecz rozwoju obszarów wiejskich. Do takich działań należą realizacja strategii i finansowanie mające wzmocnić sektory rolno-spożywcze i leśne, zrównoważenie środowiskowe oraz ogólny dobrostan obszarów wiejskich. EFRROW ma za zadanie wpierać strategie i projekty realizujące długoterminowe cele rozwoju obszarów wiejskich przyjęte na szczeblu wspólnotowym. W tym m.in. cele w zakresie zapewniania zrównoważonego zarządzania zasobami naturalnymi oraz podejmowania działań w dziedzinie klimatu, co znajduje odzwierciedlenie również w celach polityki wodnej. Wspólna polityka rolna poprzez zapewnienie środków bezpośredniego wsparcia i rozwoju obszarów wiejskich zapewnia ponadto zaplecze dla realizacji zobowiązań wynikających z dyrektyw unijnych, w tym np.</w:t>
      </w:r>
      <w:r>
        <w:rPr>
          <w:rFonts w:asciiTheme="minorHAnsi" w:hAnsiTheme="minorHAnsi" w:cstheme="minorHAnsi"/>
        </w:rPr>
        <w:t> </w:t>
      </w:r>
      <w:r w:rsidRPr="00D84792">
        <w:rPr>
          <w:rFonts w:asciiTheme="minorHAnsi" w:hAnsiTheme="minorHAnsi" w:cstheme="minorHAnsi"/>
        </w:rPr>
        <w:t>dyrektywy azotanowej. Uzyskanie bezpośredniego wsparcia jest z kolei uzależnione od</w:t>
      </w:r>
      <w:r>
        <w:rPr>
          <w:rFonts w:asciiTheme="minorHAnsi" w:hAnsiTheme="minorHAnsi" w:cstheme="minorHAnsi"/>
        </w:rPr>
        <w:t> </w:t>
      </w:r>
      <w:r w:rsidRPr="00D84792">
        <w:rPr>
          <w:rFonts w:asciiTheme="minorHAnsi" w:hAnsiTheme="minorHAnsi" w:cstheme="minorHAnsi"/>
        </w:rPr>
        <w:t>przestrzegania przepisów UE dotyczących ochrony środowiska, między innymi ustanowionych w</w:t>
      </w:r>
      <w:r>
        <w:rPr>
          <w:rFonts w:asciiTheme="minorHAnsi" w:hAnsiTheme="minorHAnsi" w:cstheme="minorHAnsi"/>
        </w:rPr>
        <w:t> </w:t>
      </w:r>
      <w:r w:rsidRPr="00D84792">
        <w:rPr>
          <w:rFonts w:asciiTheme="minorHAnsi" w:hAnsiTheme="minorHAnsi" w:cstheme="minorHAnsi"/>
        </w:rPr>
        <w:t>dyrektywie azotanowej.</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62113F" w:rsidRPr="000923F6" w14:paraId="091C28AE" w14:textId="77777777" w:rsidTr="000D52FF">
        <w:tc>
          <w:tcPr>
            <w:tcW w:w="9016" w:type="dxa"/>
            <w:shd w:val="clear" w:color="auto" w:fill="003399"/>
          </w:tcPr>
          <w:p w14:paraId="6D5A337B"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Dokumenty stanowiące wynik współpracy międzynarodowej</w:t>
            </w:r>
          </w:p>
          <w:p w14:paraId="3875E879" w14:textId="77777777" w:rsidR="0062113F" w:rsidRPr="000923F6" w:rsidRDefault="0062113F" w:rsidP="000D52FF">
            <w:pPr>
              <w:jc w:val="left"/>
              <w:rPr>
                <w:rFonts w:asciiTheme="minorHAnsi" w:hAnsiTheme="minorHAnsi" w:cstheme="minorHAnsi"/>
                <w:b/>
                <w:bCs/>
              </w:rPr>
            </w:pPr>
            <w:r w:rsidRPr="000923F6">
              <w:rPr>
                <w:rFonts w:asciiTheme="minorHAnsi" w:hAnsiTheme="minorHAnsi" w:cstheme="minorHAnsi"/>
                <w:b/>
                <w:bCs/>
              </w:rPr>
              <w:t xml:space="preserve">- Protokoły z posiedzeń komisji ds. wód granicznych </w:t>
            </w:r>
          </w:p>
          <w:p w14:paraId="1E644E4A" w14:textId="77777777" w:rsidR="0062113F" w:rsidRPr="000923F6" w:rsidRDefault="0062113F" w:rsidP="000D52FF">
            <w:pPr>
              <w:jc w:val="left"/>
              <w:rPr>
                <w:rFonts w:asciiTheme="minorHAnsi" w:hAnsiTheme="minorHAnsi" w:cstheme="minorHAnsi"/>
                <w:i/>
                <w:iCs/>
              </w:rPr>
            </w:pPr>
            <w:r w:rsidRPr="000923F6">
              <w:rPr>
                <w:rFonts w:asciiTheme="minorHAnsi" w:hAnsiTheme="minorHAnsi" w:cstheme="minorHAnsi"/>
                <w:b/>
                <w:bCs/>
              </w:rPr>
              <w:t xml:space="preserve">- </w:t>
            </w:r>
            <w:r>
              <w:rPr>
                <w:rFonts w:asciiTheme="minorHAnsi" w:hAnsiTheme="minorHAnsi" w:cstheme="minorHAnsi"/>
                <w:b/>
                <w:bCs/>
              </w:rPr>
              <w:t>K</w:t>
            </w:r>
            <w:r w:rsidRPr="000923F6">
              <w:rPr>
                <w:rFonts w:asciiTheme="minorHAnsi" w:hAnsiTheme="minorHAnsi" w:cstheme="minorHAnsi"/>
                <w:b/>
                <w:bCs/>
              </w:rPr>
              <w:t xml:space="preserve">onwencje / porozumienia / </w:t>
            </w:r>
            <w:r>
              <w:rPr>
                <w:rFonts w:asciiTheme="minorHAnsi" w:hAnsiTheme="minorHAnsi" w:cstheme="minorHAnsi"/>
                <w:b/>
                <w:bCs/>
              </w:rPr>
              <w:t xml:space="preserve">dwustronne i </w:t>
            </w:r>
            <w:r w:rsidRPr="000923F6">
              <w:rPr>
                <w:rFonts w:asciiTheme="minorHAnsi" w:hAnsiTheme="minorHAnsi" w:cstheme="minorHAnsi"/>
                <w:b/>
                <w:bCs/>
              </w:rPr>
              <w:t>wielostronne umowy międzynarodowe</w:t>
            </w:r>
          </w:p>
        </w:tc>
      </w:tr>
    </w:tbl>
    <w:p w14:paraId="18514CBE"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Cele i oczekiwane rezultaty wdrożenia dokumentu</w:t>
      </w:r>
      <w:r w:rsidRPr="000923F6">
        <w:rPr>
          <w:rFonts w:asciiTheme="minorHAnsi" w:hAnsiTheme="minorHAnsi" w:cstheme="minorHAnsi"/>
        </w:rPr>
        <w:t>: Realizacja zobowiązań wynikających z dwustronnych oraz wielostronnych umów międzynarodowych.</w:t>
      </w:r>
    </w:p>
    <w:p w14:paraId="01F9CAFA"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Realizacja działań wynikających z umów/porozumień</w:t>
      </w:r>
      <w:r>
        <w:rPr>
          <w:rFonts w:asciiTheme="minorHAnsi" w:hAnsiTheme="minorHAnsi" w:cstheme="minorHAnsi"/>
        </w:rPr>
        <w:t xml:space="preserve"> dwustronnych z Państwami ościennymi,</w:t>
      </w:r>
      <w:r w:rsidRPr="000923F6">
        <w:rPr>
          <w:rFonts w:asciiTheme="minorHAnsi" w:hAnsiTheme="minorHAnsi" w:cstheme="minorHAnsi"/>
        </w:rPr>
        <w:t xml:space="preserve"> o współpracy międzynarodowej w dziedzinie gospodarki wodnej na wodach granicznych, podejmowanych w ramach posiedzeń komisji ds. Wód Granicznych.</w:t>
      </w:r>
    </w:p>
    <w:p w14:paraId="66EC83E7" w14:textId="6D0A9D30" w:rsidR="0062113F" w:rsidRDefault="0062113F" w:rsidP="0062113F">
      <w:pPr>
        <w:rPr>
          <w:rFonts w:asciiTheme="minorHAnsi" w:hAnsiTheme="minorHAnsi" w:cstheme="minorHAnsi"/>
        </w:rPr>
      </w:pPr>
      <w:r w:rsidRPr="000923F6">
        <w:rPr>
          <w:rFonts w:asciiTheme="minorHAnsi" w:hAnsiTheme="minorHAnsi" w:cstheme="minorHAnsi"/>
        </w:rPr>
        <w:t>Realizacja zobowiązań wynikających z: (1) Konwencji o obszarach wodno-błotnych mających znaczenie międzynarodowe, zwłaszcza jako środowisko życiowe ptactwa wodnego, sporządzon</w:t>
      </w:r>
      <w:r>
        <w:rPr>
          <w:rFonts w:asciiTheme="minorHAnsi" w:hAnsiTheme="minorHAnsi" w:cstheme="minorHAnsi"/>
        </w:rPr>
        <w:t>ej</w:t>
      </w:r>
      <w:r w:rsidRPr="000923F6">
        <w:rPr>
          <w:rFonts w:asciiTheme="minorHAnsi" w:hAnsiTheme="minorHAnsi" w:cstheme="minorHAnsi"/>
        </w:rPr>
        <w:t xml:space="preserve"> w Ramsarze dnia 2 lutego 1971 r. (Dz.U. 1978 Nr 7, poz. 24); (2) Konwencji o ochronie i użytkowaniu cieków transgranicznych i jezior międzynarodowych, sporządzonej w Helsinkach dnia 17 marca 1992 r. </w:t>
      </w:r>
      <w:r w:rsidRPr="000923F6">
        <w:rPr>
          <w:rFonts w:asciiTheme="minorHAnsi" w:hAnsiTheme="minorHAnsi" w:cstheme="minorHAnsi"/>
        </w:rPr>
        <w:br/>
        <w:t>(Dz.U. 2003 nr 78 poz. 702); (3) Porozumienia o ochronie małych waleni Bałtyku i Morza Północnego, sporządzonego w Nowym Jorku dnia 17 marca 1992 r. [ASCOBANS]</w:t>
      </w:r>
      <w:r>
        <w:rPr>
          <w:rFonts w:asciiTheme="minorHAnsi" w:hAnsiTheme="minorHAnsi" w:cstheme="minorHAnsi"/>
        </w:rPr>
        <w:t xml:space="preserve"> </w:t>
      </w:r>
      <w:r w:rsidR="00CD3F7A">
        <w:rPr>
          <w:rFonts w:asciiTheme="minorHAnsi" w:hAnsiTheme="minorHAnsi" w:cstheme="minorHAnsi"/>
        </w:rPr>
        <w:t>(</w:t>
      </w:r>
      <w:r w:rsidRPr="000923F6">
        <w:rPr>
          <w:rFonts w:asciiTheme="minorHAnsi" w:hAnsiTheme="minorHAnsi" w:cstheme="minorHAnsi"/>
        </w:rPr>
        <w:t>Dz.U. 1999 Nr 96, poz. 1108 1108</w:t>
      </w:r>
      <w:r>
        <w:rPr>
          <w:rFonts w:asciiTheme="minorHAnsi" w:hAnsiTheme="minorHAnsi" w:cstheme="minorHAnsi"/>
        </w:rPr>
        <w:t>.</w:t>
      </w:r>
    </w:p>
    <w:p w14:paraId="1A8D1FC5" w14:textId="39EBC9DE" w:rsidR="0062113F" w:rsidRDefault="0062113F" w:rsidP="0062113F">
      <w:pPr>
        <w:rPr>
          <w:rFonts w:asciiTheme="minorHAnsi" w:hAnsiTheme="minorHAnsi" w:cstheme="minorBidi"/>
        </w:rPr>
      </w:pPr>
      <w:r w:rsidRPr="6A94AFD2">
        <w:rPr>
          <w:rFonts w:asciiTheme="minorHAnsi" w:hAnsiTheme="minorHAnsi" w:cstheme="minorBidi"/>
          <w:b/>
          <w:bCs/>
        </w:rPr>
        <w:t xml:space="preserve">Sposób osiągnięcia zakładanych celów i/lub rozwiązania zidentyfikowanych problemów: </w:t>
      </w:r>
      <w:r w:rsidRPr="6A94AFD2">
        <w:rPr>
          <w:rFonts w:asciiTheme="minorHAnsi" w:hAnsiTheme="minorHAnsi" w:cstheme="minorBidi"/>
        </w:rPr>
        <w:t>Przedmiot oraz zakres międzynarodowych uzgodnień w dziedzinie gospodarki wodnej zostały szczegółowo omówione w rozdziale 13.10</w:t>
      </w:r>
      <w:r>
        <w:rPr>
          <w:rFonts w:asciiTheme="minorHAnsi" w:hAnsiTheme="minorHAnsi" w:cstheme="minorBidi"/>
        </w:rPr>
        <w:t>, dotyczącym i</w:t>
      </w:r>
      <w:r w:rsidRPr="004C605C">
        <w:rPr>
          <w:rFonts w:asciiTheme="minorHAnsi" w:hAnsiTheme="minorHAnsi" w:cstheme="minorBidi"/>
        </w:rPr>
        <w:t>nformacji o pozostałych działaniach, innych niż wskazane w</w:t>
      </w:r>
      <w:r w:rsidR="00973B4F">
        <w:rPr>
          <w:rFonts w:asciiTheme="minorHAnsi" w:hAnsiTheme="minorHAnsi" w:cstheme="minorBidi"/>
        </w:rPr>
        <w:t> </w:t>
      </w:r>
      <w:r w:rsidRPr="004C605C">
        <w:rPr>
          <w:rFonts w:asciiTheme="minorHAnsi" w:hAnsiTheme="minorHAnsi" w:cstheme="minorBidi"/>
        </w:rPr>
        <w:t>art. 318 ust. 1 pkt 8-16 ustawy pr.w., w tym podsumowani</w:t>
      </w:r>
      <w:r>
        <w:rPr>
          <w:rFonts w:asciiTheme="minorHAnsi" w:hAnsiTheme="minorHAnsi" w:cstheme="minorBidi"/>
        </w:rPr>
        <w:t>a</w:t>
      </w:r>
      <w:r w:rsidRPr="004C605C">
        <w:rPr>
          <w:rFonts w:asciiTheme="minorHAnsi" w:hAnsiTheme="minorHAnsi" w:cstheme="minorBidi"/>
        </w:rPr>
        <w:t xml:space="preserve"> działań dot</w:t>
      </w:r>
      <w:r>
        <w:rPr>
          <w:rFonts w:asciiTheme="minorHAnsi" w:hAnsiTheme="minorHAnsi" w:cstheme="minorBidi"/>
        </w:rPr>
        <w:t>yczących</w:t>
      </w:r>
      <w:r w:rsidRPr="004C605C">
        <w:rPr>
          <w:rFonts w:asciiTheme="minorHAnsi" w:hAnsiTheme="minorHAnsi" w:cstheme="minorBidi"/>
        </w:rPr>
        <w:t xml:space="preserve"> współpracy międzynarodowej (art. 320 ustawy pr.w.).</w:t>
      </w:r>
    </w:p>
    <w:p w14:paraId="330893CC" w14:textId="77777777" w:rsidR="0062113F" w:rsidRPr="000923F6" w:rsidRDefault="0062113F" w:rsidP="00B50FFD">
      <w:pPr>
        <w:pStyle w:val="Nagwek3"/>
      </w:pPr>
      <w:bookmarkStart w:id="574" w:name="_Toc68726934"/>
      <w:r w:rsidRPr="000923F6">
        <w:t xml:space="preserve">Dokumenty i inne instrumenty o charakterze operacyjno-wdrożeniowym </w:t>
      </w:r>
      <w:r>
        <w:t>-</w:t>
      </w:r>
      <w:r w:rsidRPr="000923F6">
        <w:t xml:space="preserve"> inne powiązane</w:t>
      </w:r>
      <w:bookmarkEnd w:id="574"/>
    </w:p>
    <w:tbl>
      <w:tblPr>
        <w:tblStyle w:val="Tabela-Siatka"/>
        <w:tblW w:w="0" w:type="auto"/>
        <w:tblLook w:val="04A0" w:firstRow="1" w:lastRow="0" w:firstColumn="1" w:lastColumn="0" w:noHBand="0" w:noVBand="1"/>
      </w:tblPr>
      <w:tblGrid>
        <w:gridCol w:w="9016"/>
      </w:tblGrid>
      <w:tr w:rsidR="0062113F" w:rsidRPr="000923F6" w14:paraId="4CD0903E" w14:textId="77777777" w:rsidTr="000D52FF">
        <w:tc>
          <w:tcPr>
            <w:tcW w:w="9016" w:type="dxa"/>
            <w:tcBorders>
              <w:top w:val="single" w:sz="4" w:space="0" w:color="auto"/>
              <w:left w:val="single" w:sz="4" w:space="0" w:color="auto"/>
              <w:bottom w:val="nil"/>
              <w:right w:val="single" w:sz="4" w:space="0" w:color="auto"/>
            </w:tcBorders>
            <w:shd w:val="clear" w:color="auto" w:fill="003399"/>
          </w:tcPr>
          <w:p w14:paraId="6B1ABAAB"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7B782FD9" w14:textId="77777777" w:rsidR="0062113F" w:rsidRPr="000923F6" w:rsidRDefault="0062113F" w:rsidP="000D52FF">
            <w:pPr>
              <w:jc w:val="left"/>
              <w:rPr>
                <w:rFonts w:asciiTheme="minorHAnsi" w:hAnsiTheme="minorHAnsi" w:cstheme="minorHAnsi"/>
                <w:i/>
                <w:iCs/>
              </w:rPr>
            </w:pPr>
            <w:bookmarkStart w:id="575" w:name="_Hlk60771331"/>
            <w:r w:rsidRPr="000923F6">
              <w:rPr>
                <w:rFonts w:asciiTheme="minorHAnsi" w:hAnsiTheme="minorHAnsi" w:cstheme="minorHAnsi"/>
                <w:b/>
                <w:bCs/>
              </w:rPr>
              <w:t xml:space="preserve">Strategiczny plan adaptacji dla sektorów i obszarów wrażliwych na zmiany klimatu do 2020 r. z perspektywą do 2030 r. (SPA 2020) </w:t>
            </w:r>
            <w:r w:rsidRPr="000923F6">
              <w:rPr>
                <w:rFonts w:asciiTheme="minorHAnsi" w:hAnsiTheme="minorHAnsi" w:cstheme="minorHAnsi"/>
                <w:b/>
                <w:bCs/>
              </w:rPr>
              <w:br/>
            </w:r>
            <w:bookmarkEnd w:id="575"/>
            <w:r w:rsidRPr="000923F6">
              <w:rPr>
                <w:rFonts w:asciiTheme="minorHAnsi" w:hAnsiTheme="minorHAnsi" w:cstheme="minorHAnsi"/>
              </w:rPr>
              <w:t xml:space="preserve">wraz z </w:t>
            </w:r>
            <w:r w:rsidRPr="000923F6">
              <w:rPr>
                <w:rFonts w:asciiTheme="minorHAnsi" w:hAnsiTheme="minorHAnsi" w:cstheme="minorHAnsi"/>
                <w:i/>
                <w:iCs/>
              </w:rPr>
              <w:t>„Poradnikiem przygotowania inwestycji z uwzględnieniem zmian klimatu, ich łagodzenia i przystosowania do tych zmian oraz odporności na klęski żywiołowe”</w:t>
            </w:r>
          </w:p>
        </w:tc>
      </w:tr>
    </w:tbl>
    <w:p w14:paraId="783A7077"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Poprawa odporności na aktualne i oczekiwane zmiany klimatu, ze zwróceniem szczególnej uwagi na lepsze przygotowanie do ekstremalnych zjawisk klimatycznych i pogodowych oraz redukcję kosztów społeczno-ekonomicznych z tym związanych.</w:t>
      </w:r>
    </w:p>
    <w:p w14:paraId="74F96C2E"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ADAPTACJA] Zapewnienie zrównoważonego rozwoju oraz efektywnego funkcjonowania gospodarki i społeczeństwa w warunkach zmieniającego się klimatu.</w:t>
      </w:r>
    </w:p>
    <w:p w14:paraId="1FB810B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W dokumencie wskazano priorytetowe kierunki działań adaptacyjnych, które należy podjąć w najbardziej wrażliwych na zmiany klimatu obszarach, takich jak m.in.: gospodarka wodna, rolnictwo, leśnictwo, różnorodność biologiczna, zdrowie, energetyka, budownictwo i gospodarka przestrzenna, obszary zurbanizowane, transport, obszary górskie i strefy wybrzeża.</w:t>
      </w:r>
    </w:p>
    <w:p w14:paraId="73669EB0" w14:textId="77777777" w:rsidR="0062113F" w:rsidRDefault="0062113F" w:rsidP="0062113F">
      <w:pPr>
        <w:rPr>
          <w:rFonts w:asciiTheme="minorHAnsi" w:hAnsiTheme="minorHAnsi" w:cstheme="minorHAnsi"/>
        </w:rPr>
      </w:pPr>
      <w:r w:rsidRPr="000923F6">
        <w:rPr>
          <w:rFonts w:asciiTheme="minorHAnsi" w:hAnsiTheme="minorHAnsi" w:cstheme="minorHAnsi"/>
        </w:rPr>
        <w:t>Działania podejmowane zarówno przez podmioty publiczne, jak i prywatne będą dokonywane poprzez inwestycje w infrastrukturę oraz rozwój technologii. Dotyczą przedsięwzięć technicznych, takich jak np. budowa niezbędnej infrastruktury przeciwpowodziowej i ochrony wybrzeża, oraz zmian regulacji prawnych, np. w systemie planowania przestrzennego (ograniczanie możliwości zabudowy terenów zagrożonych powodziami).</w:t>
      </w:r>
    </w:p>
    <w:tbl>
      <w:tblPr>
        <w:tblStyle w:val="Tabela-Siatka"/>
        <w:tblW w:w="0" w:type="auto"/>
        <w:tblLook w:val="04A0" w:firstRow="1" w:lastRow="0" w:firstColumn="1" w:lastColumn="0" w:noHBand="0" w:noVBand="1"/>
      </w:tblPr>
      <w:tblGrid>
        <w:gridCol w:w="9016"/>
      </w:tblGrid>
      <w:tr w:rsidR="0062113F" w:rsidRPr="000923F6" w14:paraId="08C1ABFB" w14:textId="77777777" w:rsidTr="000D52FF">
        <w:tc>
          <w:tcPr>
            <w:tcW w:w="9016" w:type="dxa"/>
            <w:tcBorders>
              <w:top w:val="single" w:sz="4" w:space="0" w:color="auto"/>
              <w:left w:val="single" w:sz="4" w:space="0" w:color="auto"/>
              <w:bottom w:val="nil"/>
              <w:right w:val="single" w:sz="4" w:space="0" w:color="auto"/>
            </w:tcBorders>
            <w:shd w:val="clear" w:color="auto" w:fill="003399"/>
          </w:tcPr>
          <w:p w14:paraId="42E2AE17"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0D3D6E6B" w14:textId="77777777" w:rsidR="0062113F" w:rsidRPr="000923F6" w:rsidRDefault="0062113F" w:rsidP="000D52FF">
            <w:pPr>
              <w:jc w:val="left"/>
              <w:rPr>
                <w:rFonts w:asciiTheme="minorHAnsi" w:hAnsiTheme="minorHAnsi" w:cstheme="minorHAnsi"/>
                <w:i/>
                <w:iCs/>
              </w:rPr>
            </w:pPr>
            <w:bookmarkStart w:id="576" w:name="_Hlk60771449"/>
            <w:r w:rsidRPr="000923F6">
              <w:rPr>
                <w:rFonts w:asciiTheme="minorHAnsi" w:hAnsiTheme="minorHAnsi" w:cstheme="minorHAnsi"/>
                <w:b/>
                <w:bCs/>
              </w:rPr>
              <w:t xml:space="preserve">Plany adaptacji do zmian klimatu w miastach powyżej 100 tys. Mieszkańców </w:t>
            </w:r>
            <w:r>
              <w:rPr>
                <w:rFonts w:asciiTheme="minorHAnsi" w:hAnsiTheme="minorHAnsi" w:cstheme="minorHAnsi"/>
                <w:b/>
                <w:bCs/>
              </w:rPr>
              <w:t>-</w:t>
            </w:r>
            <w:r w:rsidRPr="000923F6">
              <w:rPr>
                <w:rFonts w:asciiTheme="minorHAnsi" w:hAnsiTheme="minorHAnsi" w:cstheme="minorHAnsi"/>
                <w:b/>
                <w:bCs/>
              </w:rPr>
              <w:t xml:space="preserve"> Miejskie plany adaptacji do zmian klimatu (MPA)</w:t>
            </w:r>
            <w:bookmarkEnd w:id="576"/>
            <w:r w:rsidRPr="000923F6">
              <w:rPr>
                <w:rFonts w:asciiTheme="minorHAnsi" w:hAnsiTheme="minorHAnsi" w:cstheme="minorHAnsi"/>
                <w:b/>
                <w:bCs/>
              </w:rPr>
              <w:br/>
            </w:r>
            <w:r w:rsidRPr="00662949">
              <w:rPr>
                <w:rFonts w:asciiTheme="minorHAnsi" w:hAnsiTheme="minorHAnsi"/>
                <w:i/>
              </w:rPr>
              <w:t>jako realizacja wskazań SPA 2020</w:t>
            </w:r>
          </w:p>
        </w:tc>
      </w:tr>
    </w:tbl>
    <w:p w14:paraId="08EF7D00"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Zwiększenie odporności na zmiany klimatu zgodnie z ideą zrównoważonego rozwoju wg zasady 3Z </w:t>
      </w:r>
      <w:r>
        <w:rPr>
          <w:rFonts w:asciiTheme="minorHAnsi" w:hAnsiTheme="minorHAnsi" w:cstheme="minorHAnsi"/>
        </w:rPr>
        <w:t>-</w:t>
      </w:r>
      <w:r w:rsidRPr="000923F6">
        <w:rPr>
          <w:rFonts w:asciiTheme="minorHAnsi" w:hAnsiTheme="minorHAnsi" w:cstheme="minorHAnsi"/>
        </w:rPr>
        <w:t xml:space="preserve"> zdrowie, zieleń, zadowolenie.</w:t>
      </w:r>
    </w:p>
    <w:p w14:paraId="669B210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ADAPTACJA] Adaptacja miast do zmian klimatu objawiających się m.in. wzrostem średniej temperatury powietrza, częstotliwości występowania intensywnych opadów deszczu i silnego oraz bardzo silnego wiatru, które mogą prowadzić do powodzi i sztormów oraz do większego stężenia glonów w wodzie czy też bakterii w sieci i zbiornikach. Jako jeden z sektorów, który należy zabezpieczyć przed szkodliwymi zmianami klimatu, MPA wskazuje gospodarkę wodną. W przedmiotowym obszarze głównym celem jest: obniżenie występowania lokalnych powodzi oraz podtopień, także efektywne korzystanie z zasobów wód dla poprawy stanu przyrodniczego środowiska miejskiego.</w:t>
      </w:r>
    </w:p>
    <w:p w14:paraId="684F9E1A"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Działania wskazane w MPA to m.in.: (1) kampanie społeczne mające na celu edukowanie mieszkańców o</w:t>
      </w:r>
      <w:r>
        <w:rPr>
          <w:rFonts w:asciiTheme="minorHAnsi" w:hAnsiTheme="minorHAnsi" w:cstheme="minorHAnsi"/>
        </w:rPr>
        <w:t> </w:t>
      </w:r>
      <w:r w:rsidRPr="000923F6">
        <w:rPr>
          <w:rFonts w:asciiTheme="minorHAnsi" w:hAnsiTheme="minorHAnsi" w:cstheme="minorHAnsi"/>
        </w:rPr>
        <w:t>wpływie ich decyzji na ochronę środowiska; (2) opracowanie systemu gospodarowania wodami opadowymi wraz z budową układu retencjonowania wód opadowych oraz zmniejszenie tempa ich</w:t>
      </w:r>
      <w:r>
        <w:rPr>
          <w:rFonts w:asciiTheme="minorHAnsi" w:hAnsiTheme="minorHAnsi" w:cstheme="minorHAnsi"/>
        </w:rPr>
        <w:t> </w:t>
      </w:r>
      <w:r w:rsidRPr="000923F6">
        <w:rPr>
          <w:rFonts w:asciiTheme="minorHAnsi" w:hAnsiTheme="minorHAnsi" w:cstheme="minorHAnsi"/>
        </w:rPr>
        <w:t>odpływu; (3) budowa „zielonych przystanków” (m.in. w celu zwiększenia retencji wód opadowych na terenach miejskich).</w:t>
      </w:r>
    </w:p>
    <w:tbl>
      <w:tblPr>
        <w:tblStyle w:val="Tabela-Siatka"/>
        <w:tblW w:w="0" w:type="auto"/>
        <w:tblLook w:val="04A0" w:firstRow="1" w:lastRow="0" w:firstColumn="1" w:lastColumn="0" w:noHBand="0" w:noVBand="1"/>
      </w:tblPr>
      <w:tblGrid>
        <w:gridCol w:w="9016"/>
      </w:tblGrid>
      <w:tr w:rsidR="0062113F" w:rsidRPr="000923F6" w14:paraId="1DFEF5CF" w14:textId="77777777" w:rsidTr="000D52FF">
        <w:tc>
          <w:tcPr>
            <w:tcW w:w="9016" w:type="dxa"/>
            <w:tcBorders>
              <w:top w:val="single" w:sz="4" w:space="0" w:color="auto"/>
              <w:left w:val="single" w:sz="4" w:space="0" w:color="auto"/>
              <w:bottom w:val="nil"/>
              <w:right w:val="single" w:sz="4" w:space="0" w:color="auto"/>
            </w:tcBorders>
            <w:shd w:val="clear" w:color="auto" w:fill="003399"/>
          </w:tcPr>
          <w:p w14:paraId="517135FE"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7F313659" w14:textId="77777777" w:rsidR="0062113F" w:rsidRPr="000923F6" w:rsidRDefault="0062113F" w:rsidP="000D52FF">
            <w:pPr>
              <w:jc w:val="left"/>
              <w:rPr>
                <w:rFonts w:asciiTheme="minorHAnsi" w:hAnsiTheme="minorHAnsi" w:cstheme="minorHAnsi"/>
                <w:i/>
                <w:iCs/>
              </w:rPr>
            </w:pPr>
            <w:bookmarkStart w:id="577" w:name="_Hlk60772122"/>
            <w:r w:rsidRPr="000923F6">
              <w:rPr>
                <w:rFonts w:asciiTheme="minorHAnsi" w:hAnsiTheme="minorHAnsi" w:cstheme="minorHAnsi"/>
                <w:b/>
                <w:bCs/>
              </w:rPr>
              <w:t>Krajowy Program Zwiększania Lesistości (KPZL)</w:t>
            </w:r>
            <w:bookmarkEnd w:id="577"/>
            <w:r w:rsidRPr="000923F6">
              <w:rPr>
                <w:rFonts w:asciiTheme="minorHAnsi" w:hAnsiTheme="minorHAnsi" w:cstheme="minorHAnsi"/>
                <w:b/>
                <w:bCs/>
              </w:rPr>
              <w:br/>
            </w:r>
            <w:r w:rsidRPr="000923F6">
              <w:rPr>
                <w:rFonts w:asciiTheme="minorHAnsi" w:hAnsiTheme="minorHAnsi" w:cstheme="minorHAnsi"/>
                <w:i/>
                <w:iCs/>
              </w:rPr>
              <w:t>Aktualizacja</w:t>
            </w:r>
          </w:p>
        </w:tc>
      </w:tr>
    </w:tbl>
    <w:p w14:paraId="5928DB3E"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KPZL jest opracowaniem stanowiącym instrument polityki leśnej w zakresie kształtowania przestrzeni przyrodniczej kraju. Zawiera ogólne wytyczne sporządzania regionalnych planów przestrzennego zagospodarowania w dziedzinie zwiększania lesistości. Przyjęte w KPZL założenia metodyczne i kryteria określania preferencji zalesieniowych mogą być pomocne w tworzeniu oryginalnych rozwiązań regionalnych oraz lokalnych, wspierających ochronę przyrody. Program realizuje pośrednio cele, jakie przyświecają gospodarce wodnej w zakresie osiągania celów środowiskowych. Przeciwdziała negatywnym skutkom suszy oraz poprawia ochronę przeciwpowodziową.</w:t>
      </w:r>
    </w:p>
    <w:p w14:paraId="0F6FB99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[ZMIANY KLIMATU </w:t>
      </w:r>
      <w:r>
        <w:rPr>
          <w:rFonts w:asciiTheme="minorHAnsi" w:hAnsiTheme="minorHAnsi" w:cstheme="minorHAnsi"/>
        </w:rPr>
        <w:t>-</w:t>
      </w:r>
      <w:r w:rsidRPr="000923F6">
        <w:rPr>
          <w:rFonts w:asciiTheme="minorHAnsi" w:hAnsiTheme="minorHAnsi" w:cstheme="minorHAnsi"/>
        </w:rPr>
        <w:t xml:space="preserve"> ADAPTACJA] Zwiększenie lesistości z uwzględnieniem wpływu na zwiększenie naturalnej retencji, ograniczenie spływu powierzchniowego, redukcja spływu biogenów oraz ochrona wód podziemnych.</w:t>
      </w:r>
    </w:p>
    <w:p w14:paraId="4C2F5DB9"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Zwiększanie powierzchni leśnych na obszarach poszczególnych jednostek administracyjnych odbywa się poprzez wprowadzenie dotacji na zalesienie dla rolników, aktualizację miejscowych planów zagospodarowania przestrzennego, sterowanie rozmieszczeń zalesień w skali regionalnej i krajowej oraz usprawnienie procedur przeklasyfikowywania zalesionych gruntów na lasy.</w:t>
      </w:r>
    </w:p>
    <w:tbl>
      <w:tblPr>
        <w:tblStyle w:val="Tabela-Siatka"/>
        <w:tblW w:w="0" w:type="auto"/>
        <w:tblLook w:val="04A0" w:firstRow="1" w:lastRow="0" w:firstColumn="1" w:lastColumn="0" w:noHBand="0" w:noVBand="1"/>
      </w:tblPr>
      <w:tblGrid>
        <w:gridCol w:w="9016"/>
      </w:tblGrid>
      <w:tr w:rsidR="0062113F" w:rsidRPr="000923F6" w14:paraId="23F5FC41" w14:textId="77777777" w:rsidTr="000D52FF">
        <w:tc>
          <w:tcPr>
            <w:tcW w:w="9016" w:type="dxa"/>
            <w:shd w:val="clear" w:color="auto" w:fill="003399"/>
          </w:tcPr>
          <w:p w14:paraId="502B5ED1"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krajowy </w:t>
            </w:r>
            <w:r>
              <w:rPr>
                <w:rFonts w:asciiTheme="minorHAnsi" w:hAnsiTheme="minorHAnsi" w:cstheme="minorHAnsi"/>
                <w:b/>
                <w:bCs/>
              </w:rPr>
              <w:t>-</w:t>
            </w:r>
            <w:r w:rsidRPr="000923F6">
              <w:rPr>
                <w:rFonts w:asciiTheme="minorHAnsi" w:hAnsiTheme="minorHAnsi" w:cstheme="minorHAnsi"/>
                <w:b/>
                <w:bCs/>
              </w:rPr>
              <w:t xml:space="preserve"> programy rozwoju</w:t>
            </w:r>
          </w:p>
          <w:p w14:paraId="2AE1653F" w14:textId="77777777" w:rsidR="0062113F" w:rsidRPr="000923F6" w:rsidRDefault="0062113F" w:rsidP="000D52FF">
            <w:pPr>
              <w:jc w:val="left"/>
              <w:rPr>
                <w:rFonts w:asciiTheme="minorHAnsi" w:hAnsiTheme="minorHAnsi" w:cstheme="minorHAnsi"/>
                <w:i/>
                <w:iCs/>
              </w:rPr>
            </w:pPr>
            <w:bookmarkStart w:id="578" w:name="_Hlk60772620"/>
            <w:r w:rsidRPr="000923F6">
              <w:rPr>
                <w:rFonts w:asciiTheme="minorHAnsi" w:hAnsiTheme="minorHAnsi" w:cstheme="minorHAnsi"/>
                <w:b/>
                <w:bCs/>
              </w:rPr>
              <w:t>Program polskiej energetyki jądrowej (PEJ)</w:t>
            </w:r>
            <w:bookmarkEnd w:id="578"/>
          </w:p>
        </w:tc>
      </w:tr>
    </w:tbl>
    <w:p w14:paraId="2EDAFF57"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 xml:space="preserve">Budowa oraz oddanie do eksploatacji w Polsce elektrowni jądrowych z zachowaniem dobrego stanu wód oraz przy wdrożeniu wszelkich możliwych środków mających na celu minimalizację ryzyka pogorszenia stanu ekosystemów wodnych, lądowych i podmokłych. </w:t>
      </w:r>
    </w:p>
    <w:p w14:paraId="2282692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[ANTROPOPRESJA </w:t>
      </w:r>
      <w:r>
        <w:rPr>
          <w:rFonts w:asciiTheme="minorHAnsi" w:hAnsiTheme="minorHAnsi" w:cstheme="minorHAnsi"/>
        </w:rPr>
        <w:t>-</w:t>
      </w:r>
      <w:r w:rsidRPr="000923F6">
        <w:rPr>
          <w:rFonts w:asciiTheme="minorHAnsi" w:hAnsiTheme="minorHAnsi" w:cstheme="minorHAnsi"/>
        </w:rPr>
        <w:t xml:space="preserve"> ZANIECZYSZCZENIE WÓD] Budowa elektrowni jądrowej to</w:t>
      </w:r>
      <w:r>
        <w:rPr>
          <w:rFonts w:asciiTheme="minorHAnsi" w:hAnsiTheme="minorHAnsi" w:cstheme="minorHAnsi"/>
        </w:rPr>
        <w:t> </w:t>
      </w:r>
      <w:r w:rsidRPr="000923F6">
        <w:rPr>
          <w:rFonts w:asciiTheme="minorHAnsi" w:hAnsiTheme="minorHAnsi" w:cstheme="minorHAnsi"/>
        </w:rPr>
        <w:t>inwestycja strategiczna dla zrównoważonego rozwoju Polski. Stopniowe eliminowanie źródeł niskiej emisji na rzecz energii jądrowej poprawia kondycję ekosystemów naturalnych. Jest to</w:t>
      </w:r>
      <w:r>
        <w:rPr>
          <w:rFonts w:asciiTheme="minorHAnsi" w:hAnsiTheme="minorHAnsi" w:cstheme="minorHAnsi"/>
        </w:rPr>
        <w:t> </w:t>
      </w:r>
      <w:r w:rsidRPr="000923F6">
        <w:rPr>
          <w:rFonts w:asciiTheme="minorHAnsi" w:hAnsiTheme="minorHAnsi" w:cstheme="minorHAnsi"/>
        </w:rPr>
        <w:t>skomplikowany i wieloetapowy proces, podczas którego powinny zostać zachowane zasady ochrony środowiska.</w:t>
      </w:r>
    </w:p>
    <w:p w14:paraId="0008A7A8"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Sposób osiągnięcia zakładanych celów i/lub rozwiązania zidentyfikowanych problemów:</w:t>
      </w:r>
      <w:r w:rsidRPr="000923F6">
        <w:rPr>
          <w:rFonts w:asciiTheme="minorHAnsi" w:hAnsiTheme="minorHAnsi" w:cstheme="minorHAnsi"/>
        </w:rPr>
        <w:t xml:space="preserve"> Do działań przewidzianych do realizacji wyznaczonego celu należą rozwój niezbędnej infrastruktury, w tym rozbudowa sieci wodociągowej i kanalizacyjnej wokół placu budowy elektrowni jądrowej, budowa oczyszczalni oraz zrzut ścieków oczyszczonych do odbiornika.</w:t>
      </w:r>
    </w:p>
    <w:tbl>
      <w:tblPr>
        <w:tblStyle w:val="Tabela-Siatka"/>
        <w:tblW w:w="0" w:type="auto"/>
        <w:tblLook w:val="04A0" w:firstRow="1" w:lastRow="0" w:firstColumn="1" w:lastColumn="0" w:noHBand="0" w:noVBand="1"/>
      </w:tblPr>
      <w:tblGrid>
        <w:gridCol w:w="9062"/>
      </w:tblGrid>
      <w:tr w:rsidR="0062113F" w:rsidRPr="000923F6" w14:paraId="68930C20" w14:textId="77777777" w:rsidTr="000D52FF">
        <w:tc>
          <w:tcPr>
            <w:tcW w:w="9062" w:type="dxa"/>
            <w:shd w:val="clear" w:color="auto" w:fill="003399"/>
          </w:tcPr>
          <w:p w14:paraId="67148B21"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Poziom regionalny - programy rozwoju</w:t>
            </w:r>
          </w:p>
          <w:p w14:paraId="1A2A6C8D" w14:textId="77777777" w:rsidR="0062113F" w:rsidRPr="000923F6" w:rsidRDefault="0062113F" w:rsidP="000D52FF">
            <w:pPr>
              <w:jc w:val="left"/>
              <w:rPr>
                <w:rFonts w:asciiTheme="minorHAnsi" w:hAnsiTheme="minorHAnsi" w:cstheme="minorHAnsi"/>
                <w:i/>
                <w:iCs/>
              </w:rPr>
            </w:pPr>
            <w:bookmarkStart w:id="579" w:name="_Hlk60773031"/>
            <w:r w:rsidRPr="000923F6">
              <w:rPr>
                <w:rFonts w:asciiTheme="minorHAnsi" w:hAnsiTheme="minorHAnsi" w:cstheme="minorHAnsi"/>
                <w:b/>
                <w:bCs/>
              </w:rPr>
              <w:t>Wojewódzkie programy ochrony środowiska</w:t>
            </w:r>
            <w:r w:rsidRPr="000923F6">
              <w:rPr>
                <w:rFonts w:asciiTheme="minorHAnsi" w:hAnsiTheme="minorHAnsi" w:cstheme="minorHAnsi"/>
                <w:b/>
                <w:bCs/>
              </w:rPr>
              <w:br/>
            </w:r>
            <w:r w:rsidRPr="000923F6">
              <w:rPr>
                <w:rFonts w:asciiTheme="minorHAnsi" w:hAnsiTheme="minorHAnsi" w:cstheme="minorHAnsi"/>
                <w:i/>
                <w:iCs/>
              </w:rPr>
              <w:t>wraz z raportami z ich wykonania</w:t>
            </w:r>
            <w:bookmarkEnd w:id="579"/>
          </w:p>
        </w:tc>
      </w:tr>
    </w:tbl>
    <w:p w14:paraId="6C451C9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Realizacja przez jednostki samorządu terytorialnego polityki ochrony środowiska zbieżnej z założeniami najważniejszych dokumentów strategicznych i programowych. Programy ochrony środowiska powinny stanowić podstawę funkcjonowania systemu zarządzania środowiskiem, spajającą wszystkie działania i dokumenty dotyczące ochrony środowiska i przyrody na szczeblu danej jednostki samorządu terytorialnego. Programy realizują cele i zadania wynikające z polityki ekologicznej poszczególnych województw i dotyczą m.in. poprawy jakości wód powierzchniowych, zachowania i ochrony środowiska naturalnego oraz wsparcia efektywnego gospodarowania zasobami.</w:t>
      </w:r>
    </w:p>
    <w:p w14:paraId="32669516"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 xml:space="preserve">Dokumenty identyfikują najważniejsze atuty środowiska naturalnego, zagrożenia wynikające z zanieczyszczenia środowiska, cele i kierunki inwestycyjne oraz działania, które mają poprawić stan środowiska i pomóc w zachowaniu równowagi ekologiczno-społeczno-gospodarczej. </w:t>
      </w:r>
    </w:p>
    <w:p w14:paraId="24724ABB" w14:textId="77777777" w:rsidR="0062113F"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Przykładowe działania przewidziane do realizacji: (1) zwiększenie udziału wytwarzania energii z OZE, głównie z biomasy oraz słońca, edukacja społeczeństwa w zakresie ochrony powietrza i przeciwdziałania zmianom klimatu; (2) odtwarzanie ciągłości ekologicznej i renaturyzacja rzek, ochrona zasobów wodnych; (3) rozbudowa i modernizacja sieci wodociągowej oraz ujęć wody; (4) uwzględnienie w procesie planowania przestrzennego ograniczeń związanych z zaopatrzeniem w wodę; (5) ochrona siedlisk i gatunków; (6) planowanie działań ochronnych na terenach cennych przyrodniczo.</w:t>
      </w:r>
    </w:p>
    <w:tbl>
      <w:tblPr>
        <w:tblStyle w:val="Tabela-Siatka"/>
        <w:tblW w:w="0" w:type="auto"/>
        <w:tblLook w:val="04A0" w:firstRow="1" w:lastRow="0" w:firstColumn="1" w:lastColumn="0" w:noHBand="0" w:noVBand="1"/>
      </w:tblPr>
      <w:tblGrid>
        <w:gridCol w:w="9016"/>
      </w:tblGrid>
      <w:tr w:rsidR="0062113F" w:rsidRPr="000923F6" w14:paraId="5CCE504D" w14:textId="77777777" w:rsidTr="00973B4F">
        <w:tc>
          <w:tcPr>
            <w:tcW w:w="9016" w:type="dxa"/>
            <w:shd w:val="clear" w:color="auto" w:fill="003399"/>
          </w:tcPr>
          <w:p w14:paraId="4FA9A453"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lokalny </w:t>
            </w:r>
            <w:r>
              <w:rPr>
                <w:rFonts w:asciiTheme="minorHAnsi" w:hAnsiTheme="minorHAnsi" w:cstheme="minorHAnsi"/>
                <w:b/>
                <w:bCs/>
              </w:rPr>
              <w:t>-</w:t>
            </w:r>
            <w:r w:rsidRPr="000923F6">
              <w:rPr>
                <w:rFonts w:asciiTheme="minorHAnsi" w:hAnsiTheme="minorHAnsi" w:cstheme="minorHAnsi"/>
                <w:b/>
                <w:bCs/>
              </w:rPr>
              <w:t xml:space="preserve"> instrumenty wdrożeniowe</w:t>
            </w:r>
          </w:p>
          <w:p w14:paraId="3A11ED6D" w14:textId="77777777" w:rsidR="0062113F" w:rsidRPr="000923F6" w:rsidRDefault="0062113F" w:rsidP="000D52FF">
            <w:pPr>
              <w:jc w:val="left"/>
              <w:rPr>
                <w:rFonts w:asciiTheme="minorHAnsi" w:hAnsiTheme="minorHAnsi" w:cstheme="minorHAnsi"/>
                <w:i/>
                <w:iCs/>
              </w:rPr>
            </w:pPr>
            <w:bookmarkStart w:id="580" w:name="_Hlk60773137"/>
            <w:r w:rsidRPr="000923F6">
              <w:rPr>
                <w:rFonts w:asciiTheme="minorHAnsi" w:hAnsiTheme="minorHAnsi" w:cstheme="minorHAnsi"/>
                <w:b/>
                <w:bCs/>
              </w:rPr>
              <w:t>Plany ochrony parków narodowych, rezerwatów przyrody, parków krajobrazowych, obszaru Natura 2000 lub jego części oraz Plany Zadań Ochronnych (PZO) obszarów Natura 2000</w:t>
            </w:r>
            <w:bookmarkEnd w:id="580"/>
          </w:p>
        </w:tc>
      </w:tr>
    </w:tbl>
    <w:p w14:paraId="71EB94C7"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Plany zawierają cele ochrony przyrody oraz wskazanie: (1) uwarunkowań ich realizacji, nakreślenie sposobów identyfikacji i eliminacji wystąpienia możliwych zagrożeń; (2) obszarów oraz określenie działań ochronnych na obszarach ochrony ścisłej, czynnej i krajobrazowej; (3) miejsc możliwych do udostępnienia do celów naukowych oraz edukacyjnych, w których może być prowadzona działalność handlowa i turystyczna.</w:t>
      </w:r>
    </w:p>
    <w:p w14:paraId="75B78B54"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Zachowanie oraz popularyzacja wartości przyrodniczych i naukowych, społecznych, historycznych, kulturowych, edukacyjnych oraz walorów krajobrazowych w warunkach zrównoważonego rozwoju.</w:t>
      </w:r>
    </w:p>
    <w:p w14:paraId="1D690B3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Działania przewidziane do realizacji w ramach planów obejmują ochronę obszarów chronionych, ekosystemów, ostoi i siedlisk przyrodniczych, a także siedlisk roślin, zwierząt i grzybów oraz tworów i składników przyrody nieożywionej, wyróżniających się szczególnymi wartościami oraz walorami. W ramach </w:t>
      </w:r>
      <w:r w:rsidRPr="000923F6">
        <w:rPr>
          <w:rFonts w:asciiTheme="minorHAnsi" w:hAnsiTheme="minorHAnsi" w:cstheme="minorHAnsi"/>
          <w:i/>
          <w:iCs/>
        </w:rPr>
        <w:t>Planu ochrony obszaru Natura 2000</w:t>
      </w:r>
      <w:r w:rsidRPr="000923F6">
        <w:rPr>
          <w:rFonts w:asciiTheme="minorHAnsi" w:hAnsiTheme="minorHAnsi" w:cstheme="minorHAnsi"/>
        </w:rPr>
        <w:t xml:space="preserve"> obejmują ochronę: obszarów specjalnej ochrony ptaków, specjalnych obszarów ochrony siedlisk, obszarów mających znaczenie dla „Wspólnoty” oraz część lub całość obszarów i obiektów objętych formami ochrony przyrody, o których mowa w art. 6 ust. 1 pkt 1-4 i 6-9 ustawy o ochronie przyrody.</w:t>
      </w:r>
    </w:p>
    <w:p w14:paraId="61E097B2" w14:textId="77777777" w:rsidR="0062113F" w:rsidRDefault="0062113F" w:rsidP="0062113F">
      <w:pPr>
        <w:rPr>
          <w:rFonts w:asciiTheme="minorHAnsi" w:hAnsiTheme="minorHAnsi" w:cstheme="minorHAnsi"/>
          <w:color w:val="000000"/>
          <w:shd w:val="clear" w:color="auto" w:fill="FFFFFF"/>
        </w:rPr>
      </w:pPr>
      <w:r w:rsidRPr="000923F6">
        <w:rPr>
          <w:rFonts w:asciiTheme="minorHAnsi" w:hAnsiTheme="minorHAnsi" w:cstheme="minorHAnsi"/>
          <w:color w:val="000000"/>
          <w:bdr w:val="none" w:sz="0" w:space="0" w:color="auto" w:frame="1"/>
        </w:rPr>
        <w:t>PZO w swej treści określają konkretne zadania ochronne, w tym w szczególności działania dotyczące ochrony czynnej siedlisk przyrodniczych, gatunków roślin i zwierząt oraz ich siedlisk, monitoringu stanu przedmiotów ochrony oraz monitoringu realizacji celów, uzupełnienia stanu wiedzy o</w:t>
      </w:r>
      <w:r>
        <w:rPr>
          <w:rFonts w:asciiTheme="minorHAnsi" w:hAnsiTheme="minorHAnsi" w:cstheme="minorHAnsi"/>
          <w:color w:val="000000"/>
          <w:bdr w:val="none" w:sz="0" w:space="0" w:color="auto" w:frame="1"/>
        </w:rPr>
        <w:t> </w:t>
      </w:r>
      <w:r w:rsidRPr="000923F6">
        <w:rPr>
          <w:rFonts w:asciiTheme="minorHAnsi" w:hAnsiTheme="minorHAnsi" w:cstheme="minorHAnsi"/>
          <w:color w:val="000000"/>
          <w:bdr w:val="none" w:sz="0" w:space="0" w:color="auto" w:frame="1"/>
        </w:rPr>
        <w:t xml:space="preserve">przedmiotach ochrony i uwarunkowaniach ich ochrony, a także </w:t>
      </w:r>
      <w:r w:rsidRPr="000923F6">
        <w:rPr>
          <w:rFonts w:asciiTheme="minorHAnsi" w:hAnsiTheme="minorHAnsi" w:cstheme="minorHAnsi"/>
          <w:color w:val="000000"/>
          <w:shd w:val="clear" w:color="auto" w:fill="FFFFFF"/>
        </w:rPr>
        <w:t>wskazania zmian w obowiązujących dokumentach zagospodarowania przestrzennego dotyczących eliminacji lub ograniczenia zagrożeń wewnętrznych lub zewnętrznych, jeżeli są niezbędne dla utrzymania lub odtworzenia właściwego stanu ochrony siedlisk przyrodniczych oraz gatunków roślin i zwierząt, dla których ochrony wyznaczono obszar Natura 2000.</w:t>
      </w:r>
    </w:p>
    <w:tbl>
      <w:tblPr>
        <w:tblStyle w:val="Tabela-Siatka"/>
        <w:tblW w:w="0" w:type="auto"/>
        <w:tblLook w:val="04A0" w:firstRow="1" w:lastRow="0" w:firstColumn="1" w:lastColumn="0" w:noHBand="0" w:noVBand="1"/>
      </w:tblPr>
      <w:tblGrid>
        <w:gridCol w:w="9062"/>
      </w:tblGrid>
      <w:tr w:rsidR="0062113F" w:rsidRPr="000923F6" w14:paraId="21329A77" w14:textId="77777777" w:rsidTr="000D52FF">
        <w:tc>
          <w:tcPr>
            <w:tcW w:w="9062" w:type="dxa"/>
            <w:shd w:val="clear" w:color="auto" w:fill="003399"/>
          </w:tcPr>
          <w:p w14:paraId="00286986"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 xml:space="preserve">Poziom </w:t>
            </w:r>
            <w:r>
              <w:rPr>
                <w:rFonts w:asciiTheme="minorHAnsi" w:hAnsiTheme="minorHAnsi" w:cstheme="minorHAnsi"/>
                <w:b/>
                <w:bCs/>
              </w:rPr>
              <w:t>krajowy</w:t>
            </w:r>
            <w:r w:rsidRPr="000923F6">
              <w:rPr>
                <w:rFonts w:asciiTheme="minorHAnsi" w:hAnsiTheme="minorHAnsi" w:cstheme="minorHAnsi"/>
                <w:b/>
                <w:bCs/>
              </w:rPr>
              <w:t xml:space="preserve"> - programy rozwoju</w:t>
            </w:r>
          </w:p>
          <w:p w14:paraId="2964F5B3" w14:textId="77777777" w:rsidR="0062113F" w:rsidRPr="000923F6" w:rsidRDefault="0062113F" w:rsidP="000D52FF">
            <w:pPr>
              <w:jc w:val="left"/>
              <w:rPr>
                <w:rFonts w:asciiTheme="minorHAnsi" w:hAnsiTheme="minorHAnsi" w:cstheme="minorHAnsi"/>
                <w:i/>
                <w:iCs/>
              </w:rPr>
            </w:pPr>
            <w:r>
              <w:rPr>
                <w:rFonts w:asciiTheme="minorHAnsi" w:hAnsiTheme="minorHAnsi" w:cstheme="minorHAnsi"/>
                <w:b/>
                <w:bCs/>
              </w:rPr>
              <w:t>Krajowy plan gospodarki odpadami</w:t>
            </w:r>
            <w:r w:rsidRPr="000923F6">
              <w:rPr>
                <w:rFonts w:asciiTheme="minorHAnsi" w:hAnsiTheme="minorHAnsi" w:cstheme="minorHAnsi"/>
                <w:b/>
                <w:bCs/>
              </w:rPr>
              <w:t xml:space="preserve"> [</w:t>
            </w:r>
            <w:r>
              <w:rPr>
                <w:rFonts w:asciiTheme="minorHAnsi" w:hAnsiTheme="minorHAnsi" w:cstheme="minorHAnsi"/>
                <w:b/>
                <w:bCs/>
              </w:rPr>
              <w:t>KPGO 2022</w:t>
            </w:r>
            <w:r w:rsidRPr="000923F6">
              <w:rPr>
                <w:rFonts w:asciiTheme="minorHAnsi" w:hAnsiTheme="minorHAnsi" w:cstheme="minorHAnsi"/>
                <w:b/>
                <w:bCs/>
              </w:rPr>
              <w:t>]</w:t>
            </w:r>
          </w:p>
        </w:tc>
      </w:tr>
    </w:tbl>
    <w:p w14:paraId="2D5C7F34"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3F2E30">
        <w:rPr>
          <w:rFonts w:asciiTheme="minorHAnsi" w:hAnsiTheme="minorHAnsi" w:cstheme="minorHAnsi"/>
        </w:rPr>
        <w:t>W</w:t>
      </w:r>
      <w:r w:rsidRPr="006A7822">
        <w:rPr>
          <w:rFonts w:asciiTheme="minorHAnsi" w:hAnsiTheme="minorHAnsi" w:cstheme="minorHAnsi"/>
        </w:rPr>
        <w:t>dr</w:t>
      </w:r>
      <w:r>
        <w:rPr>
          <w:rFonts w:asciiTheme="minorHAnsi" w:hAnsiTheme="minorHAnsi" w:cstheme="minorHAnsi"/>
        </w:rPr>
        <w:t>o</w:t>
      </w:r>
      <w:r w:rsidRPr="006A7822">
        <w:rPr>
          <w:rFonts w:asciiTheme="minorHAnsi" w:hAnsiTheme="minorHAnsi" w:cstheme="minorHAnsi"/>
        </w:rPr>
        <w:t>ż</w:t>
      </w:r>
      <w:r>
        <w:rPr>
          <w:rFonts w:asciiTheme="minorHAnsi" w:hAnsiTheme="minorHAnsi" w:cstheme="minorHAnsi"/>
        </w:rPr>
        <w:t>e</w:t>
      </w:r>
      <w:r w:rsidRPr="006A7822">
        <w:rPr>
          <w:rFonts w:asciiTheme="minorHAnsi" w:hAnsiTheme="minorHAnsi" w:cstheme="minorHAnsi"/>
        </w:rPr>
        <w:t>ni</w:t>
      </w:r>
      <w:r>
        <w:rPr>
          <w:rFonts w:asciiTheme="minorHAnsi" w:hAnsiTheme="minorHAnsi" w:cstheme="minorHAnsi"/>
        </w:rPr>
        <w:t>e</w:t>
      </w:r>
      <w:r w:rsidRPr="006A7822">
        <w:rPr>
          <w:rFonts w:asciiTheme="minorHAnsi" w:hAnsiTheme="minorHAnsi" w:cstheme="minorHAnsi"/>
        </w:rPr>
        <w:t xml:space="preserve"> hierarchii sposobów postępowania z</w:t>
      </w:r>
      <w:r>
        <w:rPr>
          <w:rFonts w:asciiTheme="minorHAnsi" w:hAnsiTheme="minorHAnsi" w:cstheme="minorHAnsi"/>
        </w:rPr>
        <w:t> </w:t>
      </w:r>
      <w:r w:rsidRPr="006A7822">
        <w:rPr>
          <w:rFonts w:asciiTheme="minorHAnsi" w:hAnsiTheme="minorHAnsi" w:cstheme="minorHAnsi"/>
        </w:rPr>
        <w:t>odpadami</w:t>
      </w:r>
      <w:r>
        <w:rPr>
          <w:rFonts w:asciiTheme="minorHAnsi" w:hAnsiTheme="minorHAnsi" w:cstheme="minorHAnsi"/>
        </w:rPr>
        <w:t xml:space="preserve"> </w:t>
      </w:r>
      <w:r w:rsidRPr="006A7822">
        <w:rPr>
          <w:rFonts w:asciiTheme="minorHAnsi" w:hAnsiTheme="minorHAnsi" w:cstheme="minorHAnsi"/>
        </w:rPr>
        <w:t>oraz zasady samowystarczalności i bliskości, a także utworzeni</w:t>
      </w:r>
      <w:r>
        <w:rPr>
          <w:rFonts w:asciiTheme="minorHAnsi" w:hAnsiTheme="minorHAnsi" w:cstheme="minorHAnsi"/>
        </w:rPr>
        <w:t>e</w:t>
      </w:r>
      <w:r w:rsidRPr="006A7822">
        <w:rPr>
          <w:rFonts w:asciiTheme="minorHAnsi" w:hAnsiTheme="minorHAnsi" w:cstheme="minorHAnsi"/>
        </w:rPr>
        <w:t xml:space="preserve"> i utrzymani</w:t>
      </w:r>
      <w:r>
        <w:rPr>
          <w:rFonts w:asciiTheme="minorHAnsi" w:hAnsiTheme="minorHAnsi" w:cstheme="minorHAnsi"/>
        </w:rPr>
        <w:t>e</w:t>
      </w:r>
      <w:r w:rsidRPr="006A7822">
        <w:rPr>
          <w:rFonts w:asciiTheme="minorHAnsi" w:hAnsiTheme="minorHAnsi" w:cstheme="minorHAnsi"/>
        </w:rPr>
        <w:t xml:space="preserve"> zintegrowanej i wystarczającej sieci instalacji gospodarowania odpadami</w:t>
      </w:r>
      <w:r>
        <w:rPr>
          <w:rFonts w:asciiTheme="minorHAnsi" w:hAnsiTheme="minorHAnsi" w:cstheme="minorHAnsi"/>
        </w:rPr>
        <w:t>.</w:t>
      </w:r>
    </w:p>
    <w:p w14:paraId="5088BBAA"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Ograniczenie negatywnego wpływu na środowisko, w tym na wody, poprzez uporządkowanie gospodarki odpadami.</w:t>
      </w:r>
    </w:p>
    <w:p w14:paraId="2894576E" w14:textId="77777777" w:rsidR="0062113F" w:rsidRPr="00D02D32"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3F2E30">
        <w:rPr>
          <w:rFonts w:asciiTheme="minorHAnsi" w:hAnsiTheme="minorHAnsi" w:cstheme="minorHAnsi"/>
        </w:rPr>
        <w:t xml:space="preserve">KPGO 2022 stanowi instrument </w:t>
      </w:r>
      <w:r>
        <w:rPr>
          <w:rFonts w:asciiTheme="minorHAnsi" w:hAnsiTheme="minorHAnsi" w:cstheme="minorHAnsi"/>
        </w:rPr>
        <w:t>wdrożenia wymagań unijnych oraz celów PEP2030 z obszaru gospodarki odpadami.</w:t>
      </w:r>
      <w:r w:rsidRPr="003F2E30">
        <w:rPr>
          <w:rFonts w:asciiTheme="minorHAnsi" w:hAnsiTheme="minorHAnsi" w:cstheme="minorHAnsi"/>
        </w:rPr>
        <w:t xml:space="preserve"> </w:t>
      </w:r>
      <w:r>
        <w:rPr>
          <w:rFonts w:asciiTheme="minorHAnsi" w:hAnsiTheme="minorHAnsi" w:cstheme="minorHAnsi"/>
        </w:rPr>
        <w:t>O</w:t>
      </w:r>
      <w:r w:rsidRPr="00665514">
        <w:rPr>
          <w:rFonts w:asciiTheme="minorHAnsi" w:hAnsiTheme="minorHAnsi" w:cstheme="minorHAnsi"/>
        </w:rPr>
        <w:t>kreśla</w:t>
      </w:r>
      <w:r>
        <w:rPr>
          <w:rFonts w:asciiTheme="minorHAnsi" w:hAnsiTheme="minorHAnsi" w:cstheme="minorHAnsi"/>
        </w:rPr>
        <w:t xml:space="preserve"> </w:t>
      </w:r>
      <w:r w:rsidRPr="00665514">
        <w:rPr>
          <w:rFonts w:asciiTheme="minorHAnsi" w:hAnsiTheme="minorHAnsi" w:cstheme="minorHAnsi"/>
        </w:rPr>
        <w:t>kierunki działań w zakresie zapobiegania powstawaniu odpadów oraz kształtowania</w:t>
      </w:r>
      <w:r>
        <w:rPr>
          <w:rFonts w:asciiTheme="minorHAnsi" w:hAnsiTheme="minorHAnsi" w:cstheme="minorHAnsi"/>
        </w:rPr>
        <w:t xml:space="preserve"> </w:t>
      </w:r>
      <w:r w:rsidRPr="00665514">
        <w:rPr>
          <w:rFonts w:asciiTheme="minorHAnsi" w:hAnsiTheme="minorHAnsi" w:cstheme="minorHAnsi"/>
        </w:rPr>
        <w:t>systemu gospodarki odpadami. Kierunki te znajdują odzwierciedlenie w</w:t>
      </w:r>
      <w:r>
        <w:rPr>
          <w:rFonts w:asciiTheme="minorHAnsi" w:hAnsiTheme="minorHAnsi" w:cstheme="minorHAnsi"/>
        </w:rPr>
        <w:t> </w:t>
      </w:r>
      <w:r w:rsidRPr="00665514">
        <w:rPr>
          <w:rFonts w:asciiTheme="minorHAnsi" w:hAnsiTheme="minorHAnsi" w:cstheme="minorHAnsi"/>
        </w:rPr>
        <w:t>opracowywanych na poziomie regionalnym wojewódzkich planach gospodarki odpadami</w:t>
      </w:r>
      <w:r>
        <w:rPr>
          <w:rFonts w:asciiTheme="minorHAnsi" w:hAnsiTheme="minorHAnsi" w:cstheme="minorHAnsi"/>
        </w:rPr>
        <w:t xml:space="preserve"> </w:t>
      </w:r>
      <w:r w:rsidRPr="00665514">
        <w:rPr>
          <w:rFonts w:asciiTheme="minorHAnsi" w:hAnsiTheme="minorHAnsi" w:cstheme="minorHAnsi"/>
        </w:rPr>
        <w:t>(w tym planach inwestycyjnych).</w:t>
      </w:r>
      <w:r>
        <w:rPr>
          <w:rFonts w:asciiTheme="minorHAnsi" w:hAnsiTheme="minorHAnsi" w:cstheme="minorHAnsi"/>
        </w:rPr>
        <w:t xml:space="preserve"> KPGO 2022 przewiduje wsparcie inwestycji związanych z </w:t>
      </w:r>
      <w:r w:rsidRPr="00E052A5">
        <w:rPr>
          <w:rFonts w:asciiTheme="minorHAnsi" w:hAnsiTheme="minorHAnsi" w:cstheme="minorHAnsi"/>
        </w:rPr>
        <w:t>recyklingiem odpadów,</w:t>
      </w:r>
      <w:r>
        <w:rPr>
          <w:rFonts w:asciiTheme="minorHAnsi" w:hAnsiTheme="minorHAnsi" w:cstheme="minorHAnsi"/>
        </w:rPr>
        <w:t xml:space="preserve"> </w:t>
      </w:r>
      <w:r w:rsidRPr="00E052A5">
        <w:rPr>
          <w:rFonts w:asciiTheme="minorHAnsi" w:hAnsiTheme="minorHAnsi" w:cstheme="minorHAnsi"/>
        </w:rPr>
        <w:t>przeróbką i</w:t>
      </w:r>
      <w:r>
        <w:rPr>
          <w:rFonts w:asciiTheme="minorHAnsi" w:hAnsiTheme="minorHAnsi" w:cstheme="minorHAnsi"/>
        </w:rPr>
        <w:t> </w:t>
      </w:r>
      <w:r w:rsidRPr="00E052A5">
        <w:rPr>
          <w:rFonts w:asciiTheme="minorHAnsi" w:hAnsiTheme="minorHAnsi" w:cstheme="minorHAnsi"/>
        </w:rPr>
        <w:t>wykorzystaniem surowców z wtórnego obiegu, przedsięwzięcia</w:t>
      </w:r>
      <w:r>
        <w:rPr>
          <w:rFonts w:asciiTheme="minorHAnsi" w:hAnsiTheme="minorHAnsi" w:cstheme="minorHAnsi"/>
        </w:rPr>
        <w:t>mi</w:t>
      </w:r>
      <w:r w:rsidRPr="00E052A5">
        <w:rPr>
          <w:rFonts w:asciiTheme="minorHAnsi" w:hAnsiTheme="minorHAnsi" w:cstheme="minorHAnsi"/>
        </w:rPr>
        <w:t xml:space="preserve"> w zakresie wdrażania gospodarki odpadami o obiegu zamkniętym na poziomie gminnym</w:t>
      </w:r>
      <w:r>
        <w:rPr>
          <w:rFonts w:asciiTheme="minorHAnsi" w:hAnsiTheme="minorHAnsi" w:cstheme="minorHAnsi"/>
        </w:rPr>
        <w:t xml:space="preserve"> </w:t>
      </w:r>
      <w:r w:rsidRPr="00E052A5">
        <w:rPr>
          <w:rFonts w:asciiTheme="minorHAnsi" w:hAnsiTheme="minorHAnsi" w:cstheme="minorHAnsi"/>
        </w:rPr>
        <w:t>oraz prac</w:t>
      </w:r>
      <w:r>
        <w:rPr>
          <w:rFonts w:asciiTheme="minorHAnsi" w:hAnsiTheme="minorHAnsi" w:cstheme="minorHAnsi"/>
        </w:rPr>
        <w:t>ami</w:t>
      </w:r>
      <w:r w:rsidRPr="00E052A5">
        <w:rPr>
          <w:rFonts w:asciiTheme="minorHAnsi" w:hAnsiTheme="minorHAnsi" w:cstheme="minorHAnsi"/>
        </w:rPr>
        <w:t xml:space="preserve"> badawczo-rozwojow</w:t>
      </w:r>
      <w:r>
        <w:rPr>
          <w:rFonts w:asciiTheme="minorHAnsi" w:hAnsiTheme="minorHAnsi" w:cstheme="minorHAnsi"/>
        </w:rPr>
        <w:t>ymi</w:t>
      </w:r>
      <w:r w:rsidRPr="00E052A5">
        <w:rPr>
          <w:rFonts w:asciiTheme="minorHAnsi" w:hAnsiTheme="minorHAnsi" w:cstheme="minorHAnsi"/>
        </w:rPr>
        <w:t xml:space="preserve"> i</w:t>
      </w:r>
      <w:r>
        <w:rPr>
          <w:rFonts w:asciiTheme="minorHAnsi" w:hAnsiTheme="minorHAnsi" w:cstheme="minorHAnsi"/>
        </w:rPr>
        <w:t> </w:t>
      </w:r>
      <w:r w:rsidRPr="00E052A5">
        <w:rPr>
          <w:rFonts w:asciiTheme="minorHAnsi" w:hAnsiTheme="minorHAnsi" w:cstheme="minorHAnsi"/>
        </w:rPr>
        <w:t>wdrożeniow</w:t>
      </w:r>
      <w:r>
        <w:rPr>
          <w:rFonts w:asciiTheme="minorHAnsi" w:hAnsiTheme="minorHAnsi" w:cstheme="minorHAnsi"/>
        </w:rPr>
        <w:t>ymi</w:t>
      </w:r>
      <w:r w:rsidRPr="00E052A5">
        <w:rPr>
          <w:rFonts w:asciiTheme="minorHAnsi" w:hAnsiTheme="minorHAnsi" w:cstheme="minorHAnsi"/>
        </w:rPr>
        <w:t xml:space="preserve"> związan</w:t>
      </w:r>
      <w:r>
        <w:rPr>
          <w:rFonts w:asciiTheme="minorHAnsi" w:hAnsiTheme="minorHAnsi" w:cstheme="minorHAnsi"/>
        </w:rPr>
        <w:t>ymi</w:t>
      </w:r>
      <w:r w:rsidRPr="00E052A5">
        <w:rPr>
          <w:rFonts w:asciiTheme="minorHAnsi" w:hAnsiTheme="minorHAnsi" w:cstheme="minorHAnsi"/>
        </w:rPr>
        <w:t xml:space="preserve"> z innowacyjnymi technologiami środowiskowymi, dotyczącymi wykorzystania surowców wtórnych i gospodarki odpadami</w:t>
      </w:r>
      <w:r>
        <w:rPr>
          <w:rFonts w:asciiTheme="minorHAnsi" w:hAnsiTheme="minorHAnsi" w:cstheme="minorHAnsi"/>
        </w:rPr>
        <w:t>. W związku z przyjęciem pakietu odpadowego i transpozycją jego postanowień w aktualizacji KPGO 2022 w</w:t>
      </w:r>
      <w:r w:rsidRPr="00D02D32">
        <w:rPr>
          <w:rFonts w:asciiTheme="minorHAnsi" w:hAnsiTheme="minorHAnsi" w:cstheme="minorHAnsi"/>
        </w:rPr>
        <w:t>sparcie będzie nakierowane między innymi na uszczelnienie systemu zbierania,</w:t>
      </w:r>
      <w:r>
        <w:rPr>
          <w:rFonts w:asciiTheme="minorHAnsi" w:hAnsiTheme="minorHAnsi" w:cstheme="minorHAnsi"/>
        </w:rPr>
        <w:t xml:space="preserve"> </w:t>
      </w:r>
      <w:r w:rsidRPr="00D02D32">
        <w:rPr>
          <w:rFonts w:asciiTheme="minorHAnsi" w:hAnsiTheme="minorHAnsi" w:cstheme="minorHAnsi"/>
        </w:rPr>
        <w:t>transportu, przetwarzania i</w:t>
      </w:r>
      <w:r>
        <w:rPr>
          <w:rFonts w:asciiTheme="minorHAnsi" w:hAnsiTheme="minorHAnsi" w:cstheme="minorHAnsi"/>
        </w:rPr>
        <w:t> </w:t>
      </w:r>
      <w:r w:rsidRPr="00D02D32">
        <w:rPr>
          <w:rFonts w:asciiTheme="minorHAnsi" w:hAnsiTheme="minorHAnsi" w:cstheme="minorHAnsi"/>
        </w:rPr>
        <w:t>unieszkodliwiania odpadów, w szczególności z tworzyw</w:t>
      </w:r>
      <w:r>
        <w:rPr>
          <w:rFonts w:asciiTheme="minorHAnsi" w:hAnsiTheme="minorHAnsi" w:cstheme="minorHAnsi"/>
        </w:rPr>
        <w:t xml:space="preserve"> </w:t>
      </w:r>
      <w:r w:rsidRPr="00D02D32">
        <w:rPr>
          <w:rFonts w:asciiTheme="minorHAnsi" w:hAnsiTheme="minorHAnsi" w:cstheme="minorHAnsi"/>
        </w:rPr>
        <w:t>sztucznych tak, aby zapobiegać przedostawaniu się ich z lądu do</w:t>
      </w:r>
      <w:r>
        <w:rPr>
          <w:rFonts w:asciiTheme="minorHAnsi" w:hAnsiTheme="minorHAnsi" w:cstheme="minorHAnsi"/>
        </w:rPr>
        <w:t> </w:t>
      </w:r>
      <w:r w:rsidRPr="00D02D32">
        <w:rPr>
          <w:rFonts w:asciiTheme="minorHAnsi" w:hAnsiTheme="minorHAnsi" w:cstheme="minorHAnsi"/>
        </w:rPr>
        <w:t>wód, w tym morskich. Zapobieganie zanieczyszczeniu wód, w tym morskich, odpadami tworzyw</w:t>
      </w:r>
      <w:r>
        <w:rPr>
          <w:rFonts w:asciiTheme="minorHAnsi" w:hAnsiTheme="minorHAnsi" w:cstheme="minorHAnsi"/>
        </w:rPr>
        <w:t xml:space="preserve"> </w:t>
      </w:r>
      <w:r w:rsidRPr="00D02D32">
        <w:rPr>
          <w:rFonts w:asciiTheme="minorHAnsi" w:hAnsiTheme="minorHAnsi" w:cstheme="minorHAnsi"/>
        </w:rPr>
        <w:t>sztucznych będzie wspierane również dzięki modernizacji oczyszczalni ścieków komunalnych pod kątem pełnego wdrożenia w nich podejścia gospodarki o obiegu zamkniętym.</w:t>
      </w:r>
    </w:p>
    <w:p w14:paraId="5DEAD54D" w14:textId="7B9B807A" w:rsidR="00E26C4D" w:rsidRDefault="0062113F" w:rsidP="0062113F">
      <w:pPr>
        <w:rPr>
          <w:rFonts w:asciiTheme="minorHAnsi" w:hAnsiTheme="minorHAnsi" w:cstheme="minorHAnsi"/>
        </w:rPr>
      </w:pPr>
      <w:r w:rsidRPr="00D02D32">
        <w:rPr>
          <w:rFonts w:asciiTheme="minorHAnsi" w:hAnsiTheme="minorHAnsi" w:cstheme="minorHAnsi"/>
        </w:rPr>
        <w:t>Wspierane będą także działania edukacyjne, mające na celu zmniejszenie ilości tworzyw sztucznych docierających do wód morskich oraz działania ukierunkowane na</w:t>
      </w:r>
      <w:r>
        <w:rPr>
          <w:rFonts w:asciiTheme="minorHAnsi" w:hAnsiTheme="minorHAnsi" w:cstheme="minorHAnsi"/>
        </w:rPr>
        <w:t xml:space="preserve"> </w:t>
      </w:r>
      <w:r w:rsidRPr="00D02D32">
        <w:rPr>
          <w:rFonts w:asciiTheme="minorHAnsi" w:hAnsiTheme="minorHAnsi" w:cstheme="minorHAnsi"/>
        </w:rPr>
        <w:t>unowocześnienie portowych urządzeń do odbioru odpadów w celu zapewnienia, aby</w:t>
      </w:r>
      <w:r>
        <w:rPr>
          <w:rFonts w:asciiTheme="minorHAnsi" w:hAnsiTheme="minorHAnsi" w:cstheme="minorHAnsi"/>
        </w:rPr>
        <w:t xml:space="preserve"> </w:t>
      </w:r>
      <w:r w:rsidRPr="00D02D32">
        <w:rPr>
          <w:rFonts w:asciiTheme="minorHAnsi" w:hAnsiTheme="minorHAnsi" w:cstheme="minorHAnsi"/>
        </w:rPr>
        <w:t>odpady wytwarzane na statkach lub zebrane na morzu (np. stare sieci rybackie) dostarczano na ląd i właściwie nimi gospodarowano (segregacja, recykling, unieszkodliwienie).</w:t>
      </w:r>
    </w:p>
    <w:p w14:paraId="179CB7F7" w14:textId="77777777" w:rsidR="00E26C4D" w:rsidRDefault="00E26C4D">
      <w:pPr>
        <w:spacing w:before="0" w:after="0"/>
        <w:jc w:val="left"/>
        <w:rPr>
          <w:rFonts w:asciiTheme="minorHAnsi" w:hAnsiTheme="minorHAnsi" w:cstheme="minorHAnsi"/>
        </w:rPr>
      </w:pPr>
      <w:r>
        <w:rPr>
          <w:rFonts w:asciiTheme="minorHAnsi" w:hAnsiTheme="minorHAnsi" w:cstheme="minorHAnsi"/>
        </w:rPr>
        <w:br w:type="page"/>
      </w:r>
    </w:p>
    <w:tbl>
      <w:tblPr>
        <w:tblStyle w:val="Tabela-Siatka"/>
        <w:tblW w:w="0" w:type="auto"/>
        <w:tblLook w:val="04A0" w:firstRow="1" w:lastRow="0" w:firstColumn="1" w:lastColumn="0" w:noHBand="0" w:noVBand="1"/>
      </w:tblPr>
      <w:tblGrid>
        <w:gridCol w:w="9062"/>
      </w:tblGrid>
      <w:tr w:rsidR="0062113F" w:rsidRPr="000923F6" w14:paraId="12741D31" w14:textId="77777777" w:rsidTr="000D52FF">
        <w:tc>
          <w:tcPr>
            <w:tcW w:w="9062" w:type="dxa"/>
            <w:shd w:val="clear" w:color="auto" w:fill="003399"/>
          </w:tcPr>
          <w:p w14:paraId="1505C99C"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Poziom regionalny - programy rozwoju</w:t>
            </w:r>
          </w:p>
          <w:p w14:paraId="1A1428F6" w14:textId="77777777" w:rsidR="0062113F" w:rsidRPr="000923F6" w:rsidRDefault="0062113F" w:rsidP="000D52FF">
            <w:pPr>
              <w:jc w:val="left"/>
              <w:rPr>
                <w:rFonts w:asciiTheme="minorHAnsi" w:hAnsiTheme="minorHAnsi" w:cstheme="minorHAnsi"/>
                <w:i/>
                <w:iCs/>
              </w:rPr>
            </w:pPr>
            <w:bookmarkStart w:id="581" w:name="_Hlk60773341"/>
            <w:r w:rsidRPr="000923F6">
              <w:rPr>
                <w:rFonts w:asciiTheme="minorHAnsi" w:hAnsiTheme="minorHAnsi" w:cstheme="minorHAnsi"/>
                <w:b/>
                <w:bCs/>
              </w:rPr>
              <w:t>Wojewódzkie Plany Gospodarki Odpadami</w:t>
            </w:r>
            <w:bookmarkEnd w:id="581"/>
            <w:r w:rsidRPr="000923F6">
              <w:rPr>
                <w:rFonts w:asciiTheme="minorHAnsi" w:hAnsiTheme="minorHAnsi" w:cstheme="minorHAnsi"/>
                <w:b/>
                <w:bCs/>
              </w:rPr>
              <w:t xml:space="preserve"> [</w:t>
            </w:r>
            <w:r>
              <w:rPr>
                <w:rFonts w:asciiTheme="minorHAnsi" w:hAnsiTheme="minorHAnsi" w:cstheme="minorHAnsi"/>
                <w:b/>
                <w:bCs/>
              </w:rPr>
              <w:t>W</w:t>
            </w:r>
            <w:r w:rsidRPr="000923F6">
              <w:rPr>
                <w:rFonts w:asciiTheme="minorHAnsi" w:hAnsiTheme="minorHAnsi" w:cstheme="minorHAnsi"/>
                <w:b/>
                <w:bCs/>
              </w:rPr>
              <w:t>PGO]</w:t>
            </w:r>
          </w:p>
        </w:tc>
      </w:tr>
    </w:tbl>
    <w:p w14:paraId="0B90A0A5"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Cele i oczekiwane rezultaty wdrożenia dokumentu: </w:t>
      </w:r>
      <w:r w:rsidRPr="000923F6">
        <w:rPr>
          <w:rFonts w:asciiTheme="minorHAnsi" w:hAnsiTheme="minorHAnsi" w:cstheme="minorHAnsi"/>
        </w:rPr>
        <w:t>Opracowywane dla osiągnięcia celów założonych w polityce ekologicznej państw</w:t>
      </w:r>
      <w:r>
        <w:rPr>
          <w:rFonts w:asciiTheme="minorHAnsi" w:hAnsiTheme="minorHAnsi" w:cstheme="minorHAnsi"/>
        </w:rPr>
        <w:t>a</w:t>
      </w:r>
      <w:r w:rsidRPr="000923F6">
        <w:rPr>
          <w:rFonts w:asciiTheme="minorHAnsi" w:hAnsiTheme="minorHAnsi" w:cstheme="minorHAnsi"/>
        </w:rPr>
        <w:t xml:space="preserve"> i wdrażania hierarchii postępowania z odpadami.</w:t>
      </w:r>
    </w:p>
    <w:p w14:paraId="466F8420"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Obszar problemowy: </w:t>
      </w:r>
      <w:r w:rsidRPr="000923F6">
        <w:rPr>
          <w:rFonts w:asciiTheme="minorHAnsi" w:hAnsiTheme="minorHAnsi" w:cstheme="minorHAnsi"/>
        </w:rPr>
        <w:t>Ograniczenie negatywnego wpływu na środowisko, w tym na wody, poprzez uporządkowanie gospodarki odpadami.</w:t>
      </w:r>
    </w:p>
    <w:p w14:paraId="3F2CA394" w14:textId="77777777" w:rsidR="0062113F"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6C7D0A">
        <w:rPr>
          <w:rFonts w:asciiTheme="minorHAnsi" w:hAnsiTheme="minorHAnsi" w:cstheme="minorHAnsi"/>
        </w:rPr>
        <w:t>W</w:t>
      </w:r>
      <w:r w:rsidRPr="000923F6">
        <w:rPr>
          <w:rFonts w:asciiTheme="minorHAnsi" w:hAnsiTheme="minorHAnsi" w:cstheme="minorHAnsi"/>
        </w:rPr>
        <w:t>PGO obejmują pełen zakres zadań koniecznych do zapewnienia zintegrowanej gospodarki odpadami w poszczególnych województwach w sposób, który gwarantuje ochronę środowiska oraz uwzględnia obecne i przyszłe możliwości, a także uwarunkowania ekonomiczne oraz poziom technologiczny istniejącej infrastruktury. Celem jest zapewnienie środków, procedur i zasad postępowania zmierzających do zapobiegania występowaniu negatywnych dla środowiska skutków składowania odpadów lub ich zmniejszenia w największym możliwym stopniu, w trakcie całego cyklu istnienia składowisk; budowa kolejnych Punktów Selektywnej Zbiórki Odpadów na terenie poszczególnych województw; modernizacja instalacji do zagospodarowania odpadów oraz działania edukacyjne na rzecz selektywnej zbiórki odpadów.</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62113F" w14:paraId="36AE0CAA" w14:textId="77777777" w:rsidTr="000D52FF">
        <w:tc>
          <w:tcPr>
            <w:tcW w:w="9016" w:type="dxa"/>
            <w:shd w:val="clear" w:color="auto" w:fill="003399"/>
          </w:tcPr>
          <w:p w14:paraId="2E8C4A72" w14:textId="77777777" w:rsidR="0062113F" w:rsidRPr="000923F6" w:rsidRDefault="0062113F" w:rsidP="000D52FF">
            <w:pPr>
              <w:jc w:val="right"/>
              <w:rPr>
                <w:rFonts w:asciiTheme="minorHAnsi" w:hAnsiTheme="minorHAnsi" w:cstheme="minorHAnsi"/>
                <w:b/>
                <w:bCs/>
              </w:rPr>
            </w:pPr>
            <w:r w:rsidRPr="000923F6">
              <w:rPr>
                <w:rFonts w:asciiTheme="minorHAnsi" w:hAnsiTheme="minorHAnsi" w:cstheme="minorHAnsi"/>
                <w:b/>
                <w:bCs/>
              </w:rPr>
              <w:t>Poziom krajowy - programy monitoringu</w:t>
            </w:r>
          </w:p>
          <w:p w14:paraId="5710BD8C" w14:textId="77777777" w:rsidR="0062113F" w:rsidRDefault="0062113F" w:rsidP="000D52FF">
            <w:pPr>
              <w:rPr>
                <w:rFonts w:asciiTheme="minorHAnsi" w:hAnsiTheme="minorHAnsi" w:cstheme="minorHAnsi"/>
                <w:b/>
                <w:bCs/>
              </w:rPr>
            </w:pPr>
            <w:r w:rsidRPr="000923F6">
              <w:rPr>
                <w:rFonts w:asciiTheme="minorHAnsi" w:hAnsiTheme="minorHAnsi" w:cstheme="minorHAnsi"/>
                <w:b/>
                <w:bCs/>
              </w:rPr>
              <w:t>Strategiczny program państwowego monitoringu środowiska na lata 2020-2025</w:t>
            </w:r>
            <w:r>
              <w:rPr>
                <w:rFonts w:asciiTheme="minorHAnsi" w:hAnsiTheme="minorHAnsi" w:cstheme="minorHAnsi"/>
                <w:b/>
                <w:bCs/>
              </w:rPr>
              <w:t xml:space="preserve"> </w:t>
            </w:r>
          </w:p>
          <w:p w14:paraId="38447E4C" w14:textId="77777777" w:rsidR="0062113F" w:rsidRPr="000923F6" w:rsidRDefault="0062113F" w:rsidP="000D52FF">
            <w:pPr>
              <w:rPr>
                <w:rFonts w:asciiTheme="minorHAnsi" w:hAnsiTheme="minorHAnsi" w:cstheme="minorHAnsi"/>
                <w:i/>
                <w:iCs/>
              </w:rPr>
            </w:pPr>
            <w:r w:rsidRPr="001266BD">
              <w:rPr>
                <w:rFonts w:asciiTheme="minorHAnsi" w:hAnsiTheme="minorHAnsi" w:cstheme="minorHAnsi"/>
                <w:i/>
                <w:iCs/>
              </w:rPr>
              <w:t>wraz z wykonawczymi programami państwowego monitoringu środowiska</w:t>
            </w:r>
          </w:p>
        </w:tc>
      </w:tr>
    </w:tbl>
    <w:p w14:paraId="4E28B48B"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Cele i oczekiwane rezultaty wdrożenia dokumentu</w:t>
      </w:r>
      <w:r w:rsidRPr="000923F6">
        <w:rPr>
          <w:rFonts w:asciiTheme="minorHAnsi" w:hAnsiTheme="minorHAnsi" w:cstheme="minorHAnsi"/>
        </w:rPr>
        <w:t>: Zapewnienie wiarygodnych informacji o stanie środowiska.</w:t>
      </w:r>
    </w:p>
    <w:p w14:paraId="0AA309B9" w14:textId="706E2A25" w:rsidR="0062113F" w:rsidRPr="000923F6" w:rsidRDefault="0062113F" w:rsidP="0062113F">
      <w:pPr>
        <w:rPr>
          <w:rFonts w:asciiTheme="minorHAnsi" w:hAnsiTheme="minorHAnsi" w:cstheme="minorHAnsi"/>
        </w:rPr>
      </w:pPr>
      <w:r w:rsidRPr="000923F6">
        <w:rPr>
          <w:rFonts w:asciiTheme="minorHAnsi" w:hAnsiTheme="minorHAnsi" w:cstheme="minorHAnsi"/>
          <w:b/>
          <w:bCs/>
        </w:rPr>
        <w:t>Obszar problemowy:</w:t>
      </w:r>
      <w:r w:rsidRPr="000923F6">
        <w:rPr>
          <w:rFonts w:asciiTheme="minorHAnsi" w:hAnsiTheme="minorHAnsi" w:cstheme="minorHAnsi"/>
        </w:rPr>
        <w:t xml:space="preserve"> Zaplanowanie i uporządkowanie zadań pomiarowo/badawczo/analitycznych oraz informacyjnych w zakresie: </w:t>
      </w:r>
      <w:r>
        <w:rPr>
          <w:rFonts w:asciiTheme="minorHAnsi" w:hAnsiTheme="minorHAnsi" w:cstheme="minorHAnsi"/>
        </w:rPr>
        <w:t xml:space="preserve">kontroli </w:t>
      </w:r>
      <w:r w:rsidRPr="000923F6">
        <w:rPr>
          <w:rFonts w:asciiTheme="minorHAnsi" w:hAnsiTheme="minorHAnsi" w:cstheme="minorHAnsi"/>
        </w:rPr>
        <w:t xml:space="preserve">jakości elementów </w:t>
      </w:r>
      <w:r>
        <w:rPr>
          <w:rFonts w:asciiTheme="minorHAnsi" w:hAnsiTheme="minorHAnsi" w:cstheme="minorHAnsi"/>
        </w:rPr>
        <w:t xml:space="preserve">środowiskowych (w tym </w:t>
      </w:r>
      <w:r w:rsidRPr="000923F6">
        <w:rPr>
          <w:rFonts w:asciiTheme="minorHAnsi" w:hAnsiTheme="minorHAnsi" w:cstheme="minorHAnsi"/>
        </w:rPr>
        <w:t>przyrodniczych</w:t>
      </w:r>
      <w:r>
        <w:rPr>
          <w:rFonts w:asciiTheme="minorHAnsi" w:hAnsiTheme="minorHAnsi" w:cstheme="minorHAnsi"/>
        </w:rPr>
        <w:t>) i </w:t>
      </w:r>
      <w:r w:rsidRPr="000923F6">
        <w:rPr>
          <w:rFonts w:asciiTheme="minorHAnsi" w:hAnsiTheme="minorHAnsi" w:cstheme="minorHAnsi"/>
        </w:rPr>
        <w:t>dotrzymywani</w:t>
      </w:r>
      <w:r>
        <w:rPr>
          <w:rFonts w:asciiTheme="minorHAnsi" w:hAnsiTheme="minorHAnsi" w:cstheme="minorHAnsi"/>
        </w:rPr>
        <w:t>a</w:t>
      </w:r>
      <w:r w:rsidRPr="000923F6">
        <w:rPr>
          <w:rFonts w:asciiTheme="minorHAnsi" w:hAnsiTheme="minorHAnsi" w:cstheme="minorHAnsi"/>
        </w:rPr>
        <w:t xml:space="preserve"> standardów jakości środowiska określonych przepisami; występujących zmian jakości elementów </w:t>
      </w:r>
      <w:r>
        <w:rPr>
          <w:rFonts w:asciiTheme="minorHAnsi" w:hAnsiTheme="minorHAnsi" w:cstheme="minorHAnsi"/>
        </w:rPr>
        <w:t>środowiska</w:t>
      </w:r>
      <w:r w:rsidRPr="000923F6">
        <w:rPr>
          <w:rFonts w:asciiTheme="minorHAnsi" w:hAnsiTheme="minorHAnsi" w:cstheme="minorHAnsi"/>
        </w:rPr>
        <w:t xml:space="preserve"> i </w:t>
      </w:r>
      <w:r w:rsidR="009C047C">
        <w:rPr>
          <w:rFonts w:asciiTheme="minorHAnsi" w:hAnsiTheme="minorHAnsi" w:cstheme="minorHAnsi"/>
        </w:rPr>
        <w:t>przyczyn</w:t>
      </w:r>
      <w:r w:rsidR="009C047C" w:rsidRPr="000923F6">
        <w:rPr>
          <w:rFonts w:asciiTheme="minorHAnsi" w:hAnsiTheme="minorHAnsi" w:cstheme="minorHAnsi"/>
        </w:rPr>
        <w:t xml:space="preserve"> </w:t>
      </w:r>
      <w:r w:rsidRPr="000923F6">
        <w:rPr>
          <w:rFonts w:asciiTheme="minorHAnsi" w:hAnsiTheme="minorHAnsi" w:cstheme="minorHAnsi"/>
        </w:rPr>
        <w:t xml:space="preserve">tych zmian, w tym </w:t>
      </w:r>
      <w:r w:rsidR="009C047C" w:rsidRPr="000923F6">
        <w:rPr>
          <w:rFonts w:asciiTheme="minorHAnsi" w:hAnsiTheme="minorHAnsi" w:cstheme="minorHAnsi"/>
        </w:rPr>
        <w:t>powiąza</w:t>
      </w:r>
      <w:r w:rsidR="009C047C">
        <w:rPr>
          <w:rFonts w:asciiTheme="minorHAnsi" w:hAnsiTheme="minorHAnsi" w:cstheme="minorHAnsi"/>
        </w:rPr>
        <w:t>ń</w:t>
      </w:r>
      <w:r w:rsidR="009C047C" w:rsidRPr="000923F6">
        <w:rPr>
          <w:rFonts w:asciiTheme="minorHAnsi" w:hAnsiTheme="minorHAnsi" w:cstheme="minorHAnsi"/>
        </w:rPr>
        <w:t xml:space="preserve"> </w:t>
      </w:r>
      <w:r w:rsidRPr="000923F6">
        <w:rPr>
          <w:rFonts w:asciiTheme="minorHAnsi" w:hAnsiTheme="minorHAnsi" w:cstheme="minorHAnsi"/>
        </w:rPr>
        <w:t xml:space="preserve">przyczynowo skutkowych występujących pomiędzy emisjami i stanem elementów </w:t>
      </w:r>
      <w:r>
        <w:rPr>
          <w:rFonts w:asciiTheme="minorHAnsi" w:hAnsiTheme="minorHAnsi" w:cstheme="minorHAnsi"/>
        </w:rPr>
        <w:t>środowiska</w:t>
      </w:r>
      <w:r w:rsidRPr="000923F6">
        <w:rPr>
          <w:rFonts w:asciiTheme="minorHAnsi" w:hAnsiTheme="minorHAnsi" w:cstheme="minorHAnsi"/>
        </w:rPr>
        <w:t>. Informacje wytworzone w</w:t>
      </w:r>
      <w:r>
        <w:rPr>
          <w:rFonts w:asciiTheme="minorHAnsi" w:hAnsiTheme="minorHAnsi" w:cstheme="minorHAnsi"/>
        </w:rPr>
        <w:t> </w:t>
      </w:r>
      <w:r w:rsidRPr="000923F6">
        <w:rPr>
          <w:rFonts w:asciiTheme="minorHAnsi" w:hAnsiTheme="minorHAnsi" w:cstheme="minorHAnsi"/>
        </w:rPr>
        <w:t>ramach PMŚ wykorzystywane są także do celów monitorowania skuteczności działań i</w:t>
      </w:r>
      <w:r>
        <w:rPr>
          <w:rFonts w:asciiTheme="minorHAnsi" w:hAnsiTheme="minorHAnsi" w:cstheme="minorHAnsi"/>
        </w:rPr>
        <w:t> </w:t>
      </w:r>
      <w:r w:rsidRPr="000923F6">
        <w:rPr>
          <w:rFonts w:asciiTheme="minorHAnsi" w:hAnsiTheme="minorHAnsi" w:cstheme="minorHAnsi"/>
        </w:rPr>
        <w:t>strategicznego planowania w zakresie ochrony środowiska i zrównoważonego rozwoju na wszystkich poziomach zarządzania.</w:t>
      </w:r>
    </w:p>
    <w:p w14:paraId="2BB8ADCA" w14:textId="77777777" w:rsidR="0062113F" w:rsidRPr="000923F6" w:rsidRDefault="0062113F" w:rsidP="0062113F">
      <w:pPr>
        <w:rPr>
          <w:rFonts w:asciiTheme="minorHAnsi" w:hAnsiTheme="minorHAnsi" w:cstheme="minorHAnsi"/>
        </w:rPr>
      </w:pPr>
      <w:r w:rsidRPr="000923F6">
        <w:rPr>
          <w:rFonts w:asciiTheme="minorHAnsi" w:hAnsiTheme="minorHAnsi" w:cstheme="minorHAnsi"/>
          <w:b/>
          <w:bCs/>
        </w:rPr>
        <w:t xml:space="preserve">Sposób osiągnięcia zakładanych celów i/lub rozwiązania zidentyfikowanych problemów: </w:t>
      </w:r>
      <w:r w:rsidRPr="000923F6">
        <w:rPr>
          <w:rFonts w:asciiTheme="minorHAnsi" w:hAnsiTheme="minorHAnsi" w:cstheme="minorHAnsi"/>
        </w:rPr>
        <w:t xml:space="preserve">Zakres oraz zawartość programów monitoringu </w:t>
      </w:r>
      <w:r>
        <w:rPr>
          <w:rFonts w:asciiTheme="minorHAnsi" w:hAnsiTheme="minorHAnsi" w:cstheme="minorHAnsi"/>
        </w:rPr>
        <w:t xml:space="preserve">wód </w:t>
      </w:r>
      <w:r w:rsidRPr="000923F6">
        <w:rPr>
          <w:rFonts w:asciiTheme="minorHAnsi" w:hAnsiTheme="minorHAnsi" w:cstheme="minorHAnsi"/>
        </w:rPr>
        <w:t xml:space="preserve">w kontekście formułowania zapisów IIaPGW zostały szczegółowo omówione w </w:t>
      </w:r>
      <w:r w:rsidRPr="00D0691A">
        <w:rPr>
          <w:rFonts w:asciiTheme="minorHAnsi" w:hAnsiTheme="minorHAnsi" w:cstheme="minorHAnsi"/>
        </w:rPr>
        <w:t>rozdziale 5.</w:t>
      </w:r>
    </w:p>
    <w:p w14:paraId="66EFDEF8" w14:textId="77777777" w:rsidR="0062113F" w:rsidRPr="00EE34EC" w:rsidRDefault="0062113F" w:rsidP="00B50FFD">
      <w:pPr>
        <w:pStyle w:val="Nagwek2"/>
      </w:pPr>
      <w:bookmarkStart w:id="582" w:name="_Toc68726935"/>
      <w:r w:rsidRPr="00EE34EC">
        <w:t>Dokumenty powiązane, na które wpływ mają ustalenia IIaPGW</w:t>
      </w:r>
      <w:bookmarkEnd w:id="582"/>
    </w:p>
    <w:p w14:paraId="1B49BFF7" w14:textId="00212357" w:rsidR="0062113F" w:rsidRPr="000923F6" w:rsidRDefault="0062113F" w:rsidP="0062113F">
      <w:pPr>
        <w:shd w:val="clear" w:color="auto" w:fill="FFFFFF"/>
        <w:rPr>
          <w:rFonts w:asciiTheme="minorHAnsi" w:hAnsiTheme="minorHAnsi" w:cstheme="minorHAnsi"/>
        </w:rPr>
      </w:pPr>
      <w:r w:rsidRPr="000923F6">
        <w:rPr>
          <w:rFonts w:asciiTheme="minorHAnsi" w:hAnsiTheme="minorHAnsi" w:cstheme="minorHAnsi"/>
        </w:rPr>
        <w:t xml:space="preserve">Zgodnie z obowiązującym brzmieniem art. 326 ust. 1 </w:t>
      </w:r>
      <w:r w:rsidR="00980B19">
        <w:rPr>
          <w:rFonts w:asciiTheme="minorHAnsi" w:hAnsiTheme="minorHAnsi" w:cstheme="minorHAnsi"/>
        </w:rPr>
        <w:t xml:space="preserve">ustawy </w:t>
      </w:r>
      <w:r w:rsidRPr="000923F6">
        <w:rPr>
          <w:rFonts w:asciiTheme="minorHAnsi" w:hAnsiTheme="minorHAnsi" w:cstheme="minorHAnsi"/>
        </w:rPr>
        <w:t xml:space="preserve">pr.w. ustalenia planu gospodarowania wodami uwzględnia się w: </w:t>
      </w:r>
      <w:r w:rsidRPr="000923F6">
        <w:rPr>
          <w:rFonts w:asciiTheme="minorHAnsi" w:hAnsiTheme="minorHAnsi" w:cstheme="minorHAnsi"/>
          <w:i/>
          <w:iCs/>
        </w:rPr>
        <w:t>strategii rozwoju województwa, planach zagospodarowania przestrzennego województwa, strategii rozwoju gminy, strategii rozwoju ponadlokalnego, studium uwarunkowań i kierunków zagospodarowania przestrzennego gminy oraz w miejscowych planach zagospodarowania przestrzennego</w:t>
      </w:r>
      <w:r w:rsidRPr="000923F6">
        <w:rPr>
          <w:rFonts w:asciiTheme="minorHAnsi" w:hAnsiTheme="minorHAnsi" w:cstheme="minorHAnsi"/>
        </w:rPr>
        <w:t>.</w:t>
      </w:r>
    </w:p>
    <w:p w14:paraId="77562179" w14:textId="77777777" w:rsidR="0062113F" w:rsidRPr="00D0691A" w:rsidRDefault="0062113F" w:rsidP="0062113F">
      <w:pPr>
        <w:shd w:val="clear" w:color="auto" w:fill="FFFFFF"/>
        <w:rPr>
          <w:rFonts w:asciiTheme="minorHAnsi" w:hAnsiTheme="minorHAnsi" w:cstheme="minorHAnsi"/>
        </w:rPr>
      </w:pPr>
      <w:r w:rsidRPr="00D0691A">
        <w:rPr>
          <w:rFonts w:asciiTheme="minorHAnsi" w:hAnsiTheme="minorHAnsi" w:cstheme="minorHAnsi"/>
        </w:rPr>
        <w:t>Według założeń systemu zarządzania rozwojem Polski przyjętego w 2018 r. działania w przestrzeni powinny wynikać z aktów planowania przestrzennego, stanowiących z kolei narzędzie wykonawcze dla realizacji wszystkich polityk i strategii.</w:t>
      </w:r>
    </w:p>
    <w:p w14:paraId="3E4F0862" w14:textId="77777777" w:rsidR="0062113F" w:rsidRPr="00D0691A" w:rsidRDefault="0062113F" w:rsidP="0062113F">
      <w:pPr>
        <w:rPr>
          <w:rFonts w:asciiTheme="minorHAnsi" w:hAnsiTheme="minorHAnsi" w:cstheme="minorHAnsi"/>
        </w:rPr>
      </w:pPr>
      <w:r w:rsidRPr="00D0691A">
        <w:rPr>
          <w:rFonts w:asciiTheme="minorHAnsi" w:hAnsiTheme="minorHAnsi" w:cstheme="minorHAnsi"/>
        </w:rPr>
        <w:t xml:space="preserve">Zgodnie z zapisami u.p.i.z.p w dokumentach planistycznych - w celu zapewnienia spójności systemu - należy uwzględniać ustalenia strategii rozwoju i planów zagospodarowania przestrzennego wyższego szczebla. Każda aktualizacja strategii rozwoju w wymiarze przestrzennym wymaga każdorazowego dostosowania treści aktu planowania przestrzennego na adekwatnym poziomie. </w:t>
      </w:r>
    </w:p>
    <w:p w14:paraId="790160F4" w14:textId="77777777" w:rsidR="0062113F" w:rsidRPr="00D0691A" w:rsidRDefault="0062113F" w:rsidP="0062113F">
      <w:pPr>
        <w:shd w:val="clear" w:color="auto" w:fill="FFFFFF"/>
        <w:rPr>
          <w:rFonts w:asciiTheme="minorHAnsi" w:hAnsiTheme="minorHAnsi" w:cstheme="minorHAnsi"/>
        </w:rPr>
      </w:pPr>
      <w:r w:rsidRPr="00D0691A">
        <w:rPr>
          <w:rFonts w:asciiTheme="minorHAnsi" w:hAnsiTheme="minorHAnsi" w:cstheme="minorHAnsi"/>
        </w:rPr>
        <w:t xml:space="preserve">W myśl zapisów u.p.i.z.p. uwzględnia się elementy stanowiące składowe planów gospodarowania wodami, tj.: wymagania ochrony środowiska, w tym gospodarowania wodami (art. 1 ust. 2 pkt 3 u.p.i.z.p.), oraz potrzebę zapewnienia odpowiedniej ilości i jakości wody do celów zaopatrzenia ludności (art. 1 ust. 2 pkt 13 u.p.i.z.p.). </w:t>
      </w:r>
    </w:p>
    <w:p w14:paraId="44F16A2D" w14:textId="10AAD03C" w:rsidR="0062113F" w:rsidRPr="000923F6" w:rsidRDefault="0062113F" w:rsidP="0062113F">
      <w:pPr>
        <w:shd w:val="clear" w:color="auto" w:fill="FFFFFF"/>
        <w:rPr>
          <w:rFonts w:asciiTheme="minorHAnsi" w:hAnsiTheme="minorHAnsi" w:cstheme="minorHAnsi"/>
        </w:rPr>
      </w:pPr>
      <w:r w:rsidRPr="00D0691A">
        <w:rPr>
          <w:rFonts w:asciiTheme="minorHAnsi" w:hAnsiTheme="minorHAnsi" w:cstheme="minorHAnsi"/>
        </w:rPr>
        <w:t>Na etapie sporządzania dokumentów planistycznych bierze się pod uwagę uwarunkowania wynikające m.in.: ze stanu środowiska, w tym wielkości i jakości zasobów wodnych oraz wymogów ochrony środowiska, przyrody i krajobrazu; występowania obiektów i terenów chronionych na podstawie przepisów odrębnych; występowania udokumentowanych zasobów wód podziemnych; stanu systemów komunikacji i infrastruktury technicznej</w:t>
      </w:r>
      <w:r w:rsidRPr="000923F6">
        <w:rPr>
          <w:rFonts w:asciiTheme="minorHAnsi" w:hAnsiTheme="minorHAnsi" w:cstheme="minorHAnsi"/>
        </w:rPr>
        <w:t>, w tym stopnia uporządkowania gospodarki wodno-ściekowej; a także wymagań dotyczących ochrony przeciwpowodziowej.</w:t>
      </w:r>
    </w:p>
    <w:p w14:paraId="6A6A9CCB" w14:textId="7C830BCC" w:rsidR="006F2F3E" w:rsidRDefault="0062113F" w:rsidP="0062113F">
      <w:r w:rsidRPr="000923F6">
        <w:rPr>
          <w:rFonts w:asciiTheme="minorHAnsi" w:hAnsiTheme="minorHAnsi" w:cstheme="minorHAnsi"/>
        </w:rPr>
        <w:t xml:space="preserve">Wszystkie ww. elementy stanowią zakres przedmiotowy </w:t>
      </w:r>
      <w:r>
        <w:rPr>
          <w:rFonts w:asciiTheme="minorHAnsi" w:hAnsiTheme="minorHAnsi" w:cstheme="minorHAnsi"/>
        </w:rPr>
        <w:t>II</w:t>
      </w:r>
      <w:r w:rsidRPr="000923F6">
        <w:rPr>
          <w:rFonts w:asciiTheme="minorHAnsi" w:hAnsiTheme="minorHAnsi" w:cstheme="minorHAnsi"/>
        </w:rPr>
        <w:t xml:space="preserve">aPGW i jako takie (bezpośrednio lub pośrednio w ramach zapewniania spójności z zapisami </w:t>
      </w:r>
      <w:r>
        <w:rPr>
          <w:rFonts w:asciiTheme="minorHAnsi" w:hAnsiTheme="minorHAnsi" w:cstheme="minorHAnsi"/>
        </w:rPr>
        <w:t xml:space="preserve">krajowych </w:t>
      </w:r>
      <w:r w:rsidRPr="000923F6">
        <w:rPr>
          <w:rFonts w:asciiTheme="minorHAnsi" w:hAnsiTheme="minorHAnsi" w:cstheme="minorHAnsi"/>
        </w:rPr>
        <w:t>strategii i polityk) są</w:t>
      </w:r>
      <w:r>
        <w:rPr>
          <w:rFonts w:asciiTheme="minorHAnsi" w:hAnsiTheme="minorHAnsi" w:cstheme="minorHAnsi"/>
        </w:rPr>
        <w:t> </w:t>
      </w:r>
      <w:r w:rsidRPr="000923F6">
        <w:rPr>
          <w:rFonts w:asciiTheme="minorHAnsi" w:hAnsiTheme="minorHAnsi" w:cstheme="minorHAnsi"/>
        </w:rPr>
        <w:t>uwzględniane w aktach planowania przestrzennego</w:t>
      </w:r>
      <w:r>
        <w:rPr>
          <w:rFonts w:asciiTheme="minorHAnsi" w:hAnsiTheme="minorHAnsi" w:cstheme="minorHAnsi"/>
        </w:rPr>
        <w:t xml:space="preserve"> oraz regionalnych i lokalnych strategiach rozwoju</w:t>
      </w:r>
      <w:r w:rsidRPr="000923F6">
        <w:rPr>
          <w:rFonts w:asciiTheme="minorHAnsi" w:hAnsiTheme="minorHAnsi" w:cstheme="minorHAnsi"/>
        </w:rPr>
        <w:t>.</w:t>
      </w:r>
    </w:p>
    <w:p w14:paraId="7546AB64" w14:textId="4A7AF736" w:rsidR="002E5C96" w:rsidRPr="002E5C96" w:rsidRDefault="002E5C96" w:rsidP="002E5C96">
      <w:r>
        <w:br w:type="page"/>
      </w:r>
    </w:p>
    <w:p w14:paraId="47B1C3FE" w14:textId="15ABE481" w:rsidR="00332A4E" w:rsidRDefault="00332A4E" w:rsidP="00B50FFD">
      <w:pPr>
        <w:pStyle w:val="Nagwek1"/>
      </w:pPr>
      <w:bookmarkStart w:id="583" w:name="_Toc68726936"/>
      <w:r>
        <w:t>Konsultacje publiczne</w:t>
      </w:r>
      <w:bookmarkEnd w:id="520"/>
      <w:bookmarkEnd w:id="583"/>
    </w:p>
    <w:p w14:paraId="7F12CC57" w14:textId="0E8125CF" w:rsidR="007C32FA" w:rsidRPr="00D4624D" w:rsidRDefault="007C32FA" w:rsidP="007C32FA">
      <w:pPr>
        <w:widowControl w:val="0"/>
        <w:autoSpaceDE w:val="0"/>
        <w:autoSpaceDN w:val="0"/>
        <w:adjustRightInd w:val="0"/>
        <w:ind w:right="109"/>
        <w:rPr>
          <w:rFonts w:asciiTheme="minorHAnsi" w:eastAsiaTheme="minorEastAsia" w:hAnsiTheme="minorHAnsi" w:cstheme="minorBidi"/>
          <w:color w:val="000000" w:themeColor="text1"/>
        </w:rPr>
      </w:pPr>
      <w:r w:rsidRPr="457F2394">
        <w:rPr>
          <w:rFonts w:asciiTheme="minorHAnsi" w:eastAsiaTheme="minorEastAsia" w:hAnsiTheme="minorHAnsi" w:cstheme="minorBidi"/>
          <w:color w:val="000000" w:themeColor="text1"/>
        </w:rPr>
        <w:t xml:space="preserve">Udział społeczeństwa </w:t>
      </w:r>
      <w:r w:rsidRPr="00004081">
        <w:rPr>
          <w:rFonts w:asciiTheme="minorHAnsi" w:eastAsiaTheme="minorEastAsia" w:hAnsiTheme="minorHAnsi" w:cstheme="minorBidi"/>
          <w:color w:val="000000" w:themeColor="text1"/>
        </w:rPr>
        <w:t xml:space="preserve">jest </w:t>
      </w:r>
      <w:r w:rsidRPr="00D4624D">
        <w:rPr>
          <w:rFonts w:asciiTheme="minorHAnsi" w:eastAsiaTheme="minorEastAsia" w:hAnsiTheme="minorHAnsi" w:cstheme="minorBidi"/>
          <w:color w:val="000000" w:themeColor="text1"/>
        </w:rPr>
        <w:t>istotnym</w:t>
      </w:r>
      <w:r w:rsidRPr="00004081">
        <w:rPr>
          <w:rFonts w:asciiTheme="minorHAnsi" w:eastAsiaTheme="minorEastAsia" w:hAnsiTheme="minorHAnsi" w:cstheme="minorBidi"/>
          <w:color w:val="000000" w:themeColor="text1"/>
        </w:rPr>
        <w:t xml:space="preserve"> elementem procesu planowania w gospodarce wodnej, gdyż daje możliwość rozpoznania </w:t>
      </w:r>
      <w:r w:rsidRPr="00F05E9B">
        <w:rPr>
          <w:rFonts w:asciiTheme="minorHAnsi" w:eastAsiaTheme="minorEastAsia" w:hAnsiTheme="minorHAnsi" w:cstheme="minorBidi"/>
          <w:color w:val="000000" w:themeColor="text1"/>
        </w:rPr>
        <w:t>potrzeb</w:t>
      </w:r>
      <w:r w:rsidRPr="457F2394">
        <w:rPr>
          <w:rFonts w:asciiTheme="minorHAnsi" w:eastAsiaTheme="minorEastAsia" w:hAnsiTheme="minorHAnsi" w:cstheme="minorBidi"/>
          <w:color w:val="000000" w:themeColor="text1"/>
        </w:rPr>
        <w:t xml:space="preserve"> i oczekiwań oraz uzyskania akceptacji społecznej dla podejmowanych decyzji. W związku z tym powinien on być procesem ciągłym i nie ograniczać się jedynie do wybranych etapów cyklu planistycznego</w:t>
      </w:r>
      <w:r>
        <w:rPr>
          <w:rFonts w:asciiTheme="minorHAnsi" w:eastAsiaTheme="minorEastAsia" w:hAnsiTheme="minorHAnsi" w:cstheme="minorBidi"/>
          <w:color w:val="000000" w:themeColor="text1"/>
        </w:rPr>
        <w:t xml:space="preserve">. Zgodnie z art. 318 ust.1 pkt 19 ustawy pr.w. oraz par. 2 ust. 1 pkt 19 </w:t>
      </w:r>
      <w:r w:rsidR="00A15FFF">
        <w:rPr>
          <w:rFonts w:asciiTheme="minorHAnsi" w:eastAsiaTheme="minorEastAsia" w:hAnsiTheme="minorHAnsi" w:cstheme="minorBidi"/>
          <w:color w:val="000000" w:themeColor="text1"/>
        </w:rPr>
        <w:t>r.p.g.w.</w:t>
      </w:r>
      <w:r>
        <w:rPr>
          <w:rFonts w:asciiTheme="minorHAnsi" w:eastAsiaTheme="minorEastAsia" w:hAnsiTheme="minorHAnsi" w:cstheme="minorBidi"/>
          <w:color w:val="000000" w:themeColor="text1"/>
        </w:rPr>
        <w:t xml:space="preserve"> plan gospodarowania wodami przedstawia informacje podsumowujące proces konsultacji społecznych planu wraz z podsumowaniem procedury strategicznej oceny oddziaływania na środowisko, w tym wskazanie </w:t>
      </w:r>
      <w:r w:rsidRPr="00D4624D">
        <w:rPr>
          <w:rFonts w:asciiTheme="minorHAnsi" w:eastAsiaTheme="minorEastAsia" w:hAnsiTheme="minorHAnsi" w:cstheme="minorBidi"/>
          <w:color w:val="000000" w:themeColor="text1"/>
        </w:rPr>
        <w:t>informacji dotyczących działań zastosowanych w celu informowania społeczeństwa i konsultacji publicznych wraz z</w:t>
      </w:r>
      <w:r>
        <w:rPr>
          <w:rFonts w:asciiTheme="minorHAnsi" w:eastAsiaTheme="minorEastAsia" w:hAnsiTheme="minorHAnsi" w:cstheme="minorBidi"/>
          <w:color w:val="000000" w:themeColor="text1"/>
        </w:rPr>
        <w:t xml:space="preserve"> </w:t>
      </w:r>
      <w:r w:rsidRPr="00D4624D">
        <w:rPr>
          <w:rFonts w:asciiTheme="minorHAnsi" w:eastAsiaTheme="minorEastAsia" w:hAnsiTheme="minorHAnsi" w:cstheme="minorBidi"/>
          <w:color w:val="000000" w:themeColor="text1"/>
        </w:rPr>
        <w:t>opisem ich wyników i</w:t>
      </w:r>
      <w:r>
        <w:rPr>
          <w:rFonts w:asciiTheme="minorHAnsi" w:eastAsiaTheme="minorEastAsia" w:hAnsiTheme="minorHAnsi" w:cstheme="minorBidi"/>
          <w:color w:val="000000" w:themeColor="text1"/>
        </w:rPr>
        <w:t xml:space="preserve"> </w:t>
      </w:r>
      <w:r w:rsidRPr="00D4624D">
        <w:rPr>
          <w:rFonts w:asciiTheme="minorHAnsi" w:eastAsiaTheme="minorEastAsia" w:hAnsiTheme="minorHAnsi" w:cstheme="minorBidi"/>
          <w:color w:val="000000" w:themeColor="text1"/>
        </w:rPr>
        <w:t>dokonanych na tej podstawie zmian w</w:t>
      </w:r>
      <w:r>
        <w:rPr>
          <w:rFonts w:asciiTheme="minorHAnsi" w:eastAsiaTheme="minorEastAsia" w:hAnsiTheme="minorHAnsi" w:cstheme="minorBidi"/>
          <w:color w:val="000000" w:themeColor="text1"/>
        </w:rPr>
        <w:t> </w:t>
      </w:r>
      <w:r w:rsidRPr="00D4624D">
        <w:rPr>
          <w:rFonts w:asciiTheme="minorHAnsi" w:eastAsiaTheme="minorEastAsia" w:hAnsiTheme="minorHAnsi" w:cstheme="minorBidi"/>
          <w:color w:val="000000" w:themeColor="text1"/>
        </w:rPr>
        <w:t>planie gospodarowania wodami na obszarze dorzecza</w:t>
      </w:r>
      <w:r>
        <w:rPr>
          <w:rFonts w:asciiTheme="minorHAnsi" w:eastAsiaTheme="minorEastAsia" w:hAnsiTheme="minorHAnsi" w:cstheme="minorBidi"/>
          <w:color w:val="000000" w:themeColor="text1"/>
        </w:rPr>
        <w:t>.</w:t>
      </w:r>
    </w:p>
    <w:p w14:paraId="0F3624FD" w14:textId="5AFE961A" w:rsidR="007C32FA" w:rsidRPr="001238A7" w:rsidRDefault="007C32FA" w:rsidP="007C32FA">
      <w:pPr>
        <w:spacing w:after="0"/>
        <w:rPr>
          <w:rFonts w:asciiTheme="minorHAnsi" w:eastAsiaTheme="minorEastAsia" w:hAnsiTheme="minorHAnsi" w:cstheme="minorBidi"/>
          <w:color w:val="000000" w:themeColor="text1"/>
        </w:rPr>
      </w:pPr>
      <w:r w:rsidRPr="457F2394">
        <w:rPr>
          <w:rFonts w:asciiTheme="minorHAnsi" w:eastAsiaTheme="minorEastAsia" w:hAnsiTheme="minorHAnsi" w:cstheme="minorBidi"/>
          <w:color w:val="000000" w:themeColor="text1"/>
        </w:rPr>
        <w:t xml:space="preserve">Ramy konsultacji społecznych w tym zakresie wyznacza art. 319 ustawy pr.w. </w:t>
      </w:r>
      <w:r>
        <w:rPr>
          <w:rFonts w:asciiTheme="minorHAnsi" w:eastAsiaTheme="minorEastAsia" w:hAnsiTheme="minorHAnsi" w:cstheme="minorBidi"/>
          <w:color w:val="000000" w:themeColor="text1"/>
        </w:rPr>
        <w:t>Przepis</w:t>
      </w:r>
      <w:r w:rsidRPr="457F2394">
        <w:rPr>
          <w:rFonts w:asciiTheme="minorHAnsi" w:eastAsiaTheme="minorEastAsia" w:hAnsiTheme="minorHAnsi" w:cstheme="minorBidi"/>
          <w:color w:val="000000" w:themeColor="text1"/>
        </w:rPr>
        <w:t xml:space="preserve"> ten obliguje ministra właściwego do spraw gospodarki wodnej do zapewnienia aktywnego udziału wszystkich zainteresowanych w osiąganiu celów środowiskowych, </w:t>
      </w:r>
      <w:r w:rsidRPr="001238A7">
        <w:rPr>
          <w:rFonts w:asciiTheme="minorHAnsi" w:eastAsiaTheme="minorEastAsia" w:hAnsiTheme="minorHAnsi" w:cstheme="minorBidi"/>
          <w:color w:val="000000" w:themeColor="text1"/>
        </w:rPr>
        <w:t>o których mowa w art. 56 </w:t>
      </w:r>
      <w:r>
        <w:rPr>
          <w:rFonts w:asciiTheme="minorHAnsi" w:eastAsiaTheme="minorEastAsia" w:hAnsiTheme="minorHAnsi" w:cstheme="minorBidi"/>
          <w:color w:val="000000" w:themeColor="text1"/>
        </w:rPr>
        <w:t xml:space="preserve">ustawy pr.w. </w:t>
      </w:r>
      <w:r w:rsidRPr="001238A7">
        <w:rPr>
          <w:rFonts w:asciiTheme="minorHAnsi" w:eastAsiaTheme="minorEastAsia" w:hAnsiTheme="minorHAnsi" w:cstheme="minorBidi"/>
          <w:color w:val="000000" w:themeColor="text1"/>
        </w:rPr>
        <w:t>cel środowiskowy dla jednolitych części wód powierzchniowych, art. 57 cel środowiskowy dla sztucznych i silnie zmienionych jednolitych części wód powierzchniowych, art. 59 cel środowiskowy dla jednolitych części wód podziemnych oraz w art. 61 </w:t>
      </w:r>
      <w:r>
        <w:rPr>
          <w:rFonts w:asciiTheme="minorHAnsi" w:eastAsiaTheme="minorEastAsia" w:hAnsiTheme="minorHAnsi" w:cstheme="minorBidi"/>
          <w:color w:val="000000" w:themeColor="text1"/>
        </w:rPr>
        <w:t xml:space="preserve">ustawy pr.w. </w:t>
      </w:r>
      <w:r w:rsidRPr="001238A7">
        <w:rPr>
          <w:rFonts w:asciiTheme="minorHAnsi" w:eastAsiaTheme="minorEastAsia" w:hAnsiTheme="minorHAnsi" w:cstheme="minorBidi"/>
          <w:color w:val="000000" w:themeColor="text1"/>
        </w:rPr>
        <w:t>cel środowiskowy dla obszarów chronionych, w szczególności w opracowywaniu, przeglądzie i aktualizacji planu gospodarowania wodami na obszarze dorzecza, minister właściwy do spraw gospodarki wodnej podaje do publicznej wiadomości, na zasadach i w trybie określonych w przepisach ustawy z dnia 3 października 2008 r. o</w:t>
      </w:r>
      <w:r w:rsidR="00973B4F">
        <w:rPr>
          <w:rFonts w:asciiTheme="minorHAnsi" w:eastAsiaTheme="minorEastAsia" w:hAnsiTheme="minorHAnsi" w:cstheme="minorBidi"/>
          <w:color w:val="000000" w:themeColor="text1"/>
        </w:rPr>
        <w:t> </w:t>
      </w:r>
      <w:r w:rsidRPr="001238A7">
        <w:rPr>
          <w:rFonts w:asciiTheme="minorHAnsi" w:eastAsiaTheme="minorEastAsia" w:hAnsiTheme="minorHAnsi" w:cstheme="minorBidi"/>
          <w:color w:val="000000" w:themeColor="text1"/>
        </w:rPr>
        <w:t>udostępnianiu informacji o</w:t>
      </w:r>
      <w:r>
        <w:rPr>
          <w:rFonts w:asciiTheme="minorHAnsi" w:eastAsiaTheme="minorEastAsia" w:hAnsiTheme="minorHAnsi" w:cstheme="minorBidi"/>
          <w:color w:val="000000" w:themeColor="text1"/>
        </w:rPr>
        <w:t> </w:t>
      </w:r>
      <w:r w:rsidRPr="001238A7">
        <w:rPr>
          <w:rFonts w:asciiTheme="minorHAnsi" w:eastAsiaTheme="minorEastAsia" w:hAnsiTheme="minorHAnsi" w:cstheme="minorBidi"/>
          <w:color w:val="000000" w:themeColor="text1"/>
        </w:rPr>
        <w:t>środowisku i jego ochronie, udziale społeczeństwa w ochronie środowiska oraz o ocenach oddziaływania na środowisko, w celu zgłaszania uwag:</w:t>
      </w:r>
    </w:p>
    <w:p w14:paraId="2B35A94C" w14:textId="77777777" w:rsidR="007C32FA" w:rsidRPr="00B573C3" w:rsidRDefault="007C32FA" w:rsidP="00AA3506">
      <w:pPr>
        <w:pStyle w:val="Numerowanie"/>
        <w:numPr>
          <w:ilvl w:val="0"/>
          <w:numId w:val="102"/>
        </w:numPr>
      </w:pPr>
      <w:r w:rsidRPr="00B573C3">
        <w:t>harmonogramu i programu prac związanych ze sporządzaniem planu gospodarowania wodami na obszarze dorzecza, w tym zestawienia działań, które należy wprowadzić w drodze konsultacji;</w:t>
      </w:r>
    </w:p>
    <w:p w14:paraId="44AC829B" w14:textId="77777777" w:rsidR="007C32FA" w:rsidRPr="00B573C3" w:rsidRDefault="007C32FA" w:rsidP="00AA3506">
      <w:pPr>
        <w:pStyle w:val="Numerowanie"/>
        <w:numPr>
          <w:ilvl w:val="0"/>
          <w:numId w:val="102"/>
        </w:numPr>
      </w:pPr>
      <w:r w:rsidRPr="00B573C3">
        <w:t>przeglądu istotnych problemów gospodarki wodnej określonych dla danego obszaru;</w:t>
      </w:r>
    </w:p>
    <w:p w14:paraId="291B3E6A" w14:textId="77777777" w:rsidR="007C32FA" w:rsidRPr="00B573C3" w:rsidRDefault="007C32FA" w:rsidP="00AA3506">
      <w:pPr>
        <w:pStyle w:val="Numerowanie"/>
        <w:numPr>
          <w:ilvl w:val="0"/>
          <w:numId w:val="102"/>
        </w:numPr>
      </w:pPr>
      <w:r w:rsidRPr="00B573C3">
        <w:t>projektu planu gospodarowania wodami na obszarze dorzecza.</w:t>
      </w:r>
    </w:p>
    <w:p w14:paraId="153634A3" w14:textId="77777777" w:rsidR="007C32FA" w:rsidRPr="0080385C" w:rsidRDefault="007C32FA" w:rsidP="007C32FA">
      <w:pPr>
        <w:widowControl w:val="0"/>
        <w:autoSpaceDE w:val="0"/>
        <w:autoSpaceDN w:val="0"/>
        <w:adjustRightInd w:val="0"/>
        <w:rPr>
          <w:rFonts w:asciiTheme="minorHAnsi" w:eastAsiaTheme="minorHAnsi" w:hAnsiTheme="minorHAnsi" w:cstheme="minorHAnsi"/>
          <w:color w:val="000000"/>
        </w:rPr>
      </w:pPr>
      <w:r w:rsidRPr="0080385C">
        <w:rPr>
          <w:rFonts w:asciiTheme="minorHAnsi" w:eastAsiaTheme="minorHAnsi" w:hAnsiTheme="minorHAnsi" w:cstheme="minorHAnsi"/>
          <w:color w:val="000000"/>
        </w:rPr>
        <w:t>Działania konsultacyjne dotyczące harmonogramu oraz przeglądu istotnych problemów gospodarki wodnej zostały przeprowadzone przed przystąpieniem do opracowania IIaPGW.</w:t>
      </w:r>
    </w:p>
    <w:p w14:paraId="5B8E19AB" w14:textId="3C73BCBE" w:rsidR="007C32FA" w:rsidRPr="000A6384" w:rsidRDefault="007C32FA" w:rsidP="007C32FA">
      <w:pPr>
        <w:widowControl w:val="0"/>
        <w:autoSpaceDE w:val="0"/>
        <w:autoSpaceDN w:val="0"/>
        <w:adjustRightInd w:val="0"/>
        <w:rPr>
          <w:rFonts w:asciiTheme="minorHAnsi" w:eastAsiaTheme="minorHAnsi" w:hAnsiTheme="minorHAnsi" w:cstheme="minorHAnsi"/>
          <w:color w:val="000000"/>
        </w:rPr>
      </w:pPr>
      <w:r w:rsidRPr="00004081">
        <w:rPr>
          <w:rFonts w:asciiTheme="minorHAnsi" w:eastAsiaTheme="minorHAnsi" w:hAnsiTheme="minorHAnsi" w:cstheme="minorHAnsi"/>
          <w:color w:val="000000"/>
        </w:rPr>
        <w:t xml:space="preserve">Projekt </w:t>
      </w:r>
      <w:r>
        <w:rPr>
          <w:rFonts w:asciiTheme="minorHAnsi" w:eastAsiaTheme="minorHAnsi" w:hAnsiTheme="minorHAnsi" w:cstheme="minorHAnsi"/>
          <w:color w:val="000000"/>
        </w:rPr>
        <w:t>planu gospodarowania wodami</w:t>
      </w:r>
      <w:r w:rsidRPr="00004081">
        <w:rPr>
          <w:rFonts w:asciiTheme="minorHAnsi" w:eastAsiaTheme="minorHAnsi" w:hAnsiTheme="minorHAnsi" w:cstheme="minorHAnsi"/>
          <w:color w:val="000000"/>
        </w:rPr>
        <w:t xml:space="preserve"> jest podawany do publicznej wiadomości na zasadach i w trybie określonych w przepisach u</w:t>
      </w:r>
      <w:r w:rsidR="008315EC">
        <w:rPr>
          <w:rFonts w:asciiTheme="minorHAnsi" w:eastAsiaTheme="minorHAnsi" w:hAnsiTheme="minorHAnsi" w:cstheme="minorHAnsi"/>
          <w:color w:val="000000"/>
        </w:rPr>
        <w:t xml:space="preserve">stawy </w:t>
      </w:r>
      <w:r w:rsidRPr="00004081">
        <w:rPr>
          <w:rFonts w:asciiTheme="minorHAnsi" w:eastAsiaTheme="minorHAnsi" w:hAnsiTheme="minorHAnsi" w:cstheme="minorHAnsi"/>
          <w:color w:val="000000"/>
        </w:rPr>
        <w:t xml:space="preserve">u.i.o.ś. W okresie 6-miesięcznych konsultacji społecznych projektu </w:t>
      </w:r>
      <w:r>
        <w:rPr>
          <w:rFonts w:asciiTheme="minorHAnsi" w:eastAsiaTheme="minorHAnsi" w:hAnsiTheme="minorHAnsi" w:cstheme="minorHAnsi"/>
          <w:color w:val="000000"/>
        </w:rPr>
        <w:t>planu gospodarowania wodami</w:t>
      </w:r>
      <w:r w:rsidRPr="00004081">
        <w:rPr>
          <w:rFonts w:asciiTheme="minorHAnsi" w:eastAsiaTheme="minorHAnsi" w:hAnsiTheme="minorHAnsi" w:cstheme="minorHAnsi"/>
          <w:color w:val="000000"/>
        </w:rPr>
        <w:t xml:space="preserve"> zainteresowane strony mogą zgłaszać uwagi do ustaleń zawartych w tych dokumentach.</w:t>
      </w:r>
    </w:p>
    <w:p w14:paraId="757BA7C2" w14:textId="3E00817E" w:rsidR="007C32FA" w:rsidRPr="00495938" w:rsidRDefault="007C32FA" w:rsidP="007C32FA">
      <w:pPr>
        <w:widowControl w:val="0"/>
        <w:autoSpaceDE w:val="0"/>
        <w:autoSpaceDN w:val="0"/>
        <w:adjustRightInd w:val="0"/>
        <w:ind w:right="107"/>
        <w:rPr>
          <w:rFonts w:asciiTheme="minorHAnsi" w:eastAsiaTheme="minorEastAsia" w:hAnsiTheme="minorHAnsi" w:cstheme="minorBidi"/>
        </w:rPr>
      </w:pPr>
      <w:r w:rsidRPr="457F2394">
        <w:rPr>
          <w:rFonts w:asciiTheme="minorHAnsi" w:eastAsiaTheme="minorEastAsia" w:hAnsiTheme="minorHAnsi" w:cstheme="minorBidi"/>
          <w:color w:val="000000" w:themeColor="text1"/>
        </w:rPr>
        <w:t>Cały proces konsultacji społecznych ma na celu włączenie wszystkich zainteresowanych stron w</w:t>
      </w:r>
      <w:r w:rsidR="00973B4F">
        <w:rPr>
          <w:rFonts w:asciiTheme="minorHAnsi" w:eastAsiaTheme="minorEastAsia" w:hAnsiTheme="minorHAnsi" w:cstheme="minorBidi"/>
          <w:color w:val="000000" w:themeColor="text1"/>
        </w:rPr>
        <w:t> </w:t>
      </w:r>
      <w:r w:rsidRPr="457F2394">
        <w:rPr>
          <w:rFonts w:asciiTheme="minorHAnsi" w:eastAsiaTheme="minorEastAsia" w:hAnsiTheme="minorHAnsi" w:cstheme="minorBidi"/>
          <w:color w:val="000000" w:themeColor="text1"/>
        </w:rPr>
        <w:t xml:space="preserve">proces IIaPGW, tak aby stanowił on podstawę podejmowania decyzji kształtujących stan zasobów wodnych i zasad gospodarowania nimi w przyszłości. Planowane do przeprowadzenia konsultacje społeczne oraz kampania informacyjna skierowane </w:t>
      </w:r>
      <w:r>
        <w:rPr>
          <w:rFonts w:asciiTheme="minorHAnsi" w:eastAsiaTheme="minorEastAsia" w:hAnsiTheme="minorHAnsi" w:cstheme="minorBidi"/>
          <w:color w:val="000000" w:themeColor="text1"/>
        </w:rPr>
        <w:t xml:space="preserve">będą </w:t>
      </w:r>
      <w:r w:rsidRPr="457F2394">
        <w:rPr>
          <w:rFonts w:asciiTheme="minorHAnsi" w:eastAsiaTheme="minorEastAsia" w:hAnsiTheme="minorHAnsi" w:cstheme="minorBidi"/>
          <w:color w:val="000000" w:themeColor="text1"/>
        </w:rPr>
        <w:t xml:space="preserve">do </w:t>
      </w:r>
      <w:r>
        <w:rPr>
          <w:rFonts w:asciiTheme="minorHAnsi" w:eastAsiaTheme="minorEastAsia" w:hAnsiTheme="minorHAnsi" w:cstheme="minorBidi"/>
          <w:color w:val="000000" w:themeColor="text1"/>
        </w:rPr>
        <w:t xml:space="preserve">ogółu społeczeństwa, podmiotów korzystających ze środowiska, organizacji pozarządowych, zrzeszeń oraz </w:t>
      </w:r>
      <w:r w:rsidRPr="457F2394">
        <w:rPr>
          <w:rFonts w:asciiTheme="minorHAnsi" w:eastAsiaTheme="minorEastAsia" w:hAnsiTheme="minorHAnsi" w:cstheme="minorBidi"/>
          <w:color w:val="000000" w:themeColor="text1"/>
        </w:rPr>
        <w:t>organów odpowiedzialnych za gospodarowanie wodami.</w:t>
      </w:r>
    </w:p>
    <w:p w14:paraId="23DFBA3C" w14:textId="77777777" w:rsidR="007C32FA" w:rsidRPr="00495938" w:rsidRDefault="007C32FA" w:rsidP="007C32FA">
      <w:pPr>
        <w:widowControl w:val="0"/>
        <w:autoSpaceDE w:val="0"/>
        <w:autoSpaceDN w:val="0"/>
        <w:adjustRightInd w:val="0"/>
        <w:jc w:val="left"/>
        <w:rPr>
          <w:rFonts w:asciiTheme="minorHAnsi" w:eastAsiaTheme="minorHAnsi" w:hAnsiTheme="minorHAnsi" w:cstheme="minorHAnsi"/>
        </w:rPr>
      </w:pPr>
      <w:r>
        <w:rPr>
          <w:rFonts w:asciiTheme="minorHAnsi" w:eastAsiaTheme="minorHAnsi" w:hAnsiTheme="minorHAnsi" w:cstheme="minorHAnsi"/>
          <w:color w:val="000000"/>
        </w:rPr>
        <w:t>Przeprowadzane konsultacje mają na celu przede wszystkim</w:t>
      </w:r>
      <w:r w:rsidRPr="00495938">
        <w:rPr>
          <w:rFonts w:asciiTheme="minorHAnsi" w:eastAsiaTheme="minorHAnsi" w:hAnsiTheme="minorHAnsi" w:cstheme="minorHAnsi"/>
          <w:color w:val="000000"/>
        </w:rPr>
        <w:t>:</w:t>
      </w:r>
    </w:p>
    <w:p w14:paraId="58F853E8" w14:textId="77777777" w:rsidR="007C32FA" w:rsidRPr="00B573C3" w:rsidRDefault="007C32FA" w:rsidP="00F06393">
      <w:pPr>
        <w:pStyle w:val="Akapitzlist"/>
      </w:pPr>
      <w:r w:rsidRPr="00B573C3">
        <w:t>poinformowanie społeczeństwa o IIaPGW;</w:t>
      </w:r>
    </w:p>
    <w:p w14:paraId="49B7C964" w14:textId="77777777" w:rsidR="007C32FA" w:rsidRPr="00B573C3" w:rsidRDefault="007C32FA" w:rsidP="00F06393">
      <w:pPr>
        <w:pStyle w:val="Akapitzlist"/>
      </w:pPr>
      <w:r w:rsidRPr="00B573C3">
        <w:t>zachęcenie społeczeństwa do dialogu z grupami ekspertów oraz z władzami w celu uwzględnienia w IIaPGW społecznych potrzeb i oczekiwań;</w:t>
      </w:r>
    </w:p>
    <w:p w14:paraId="2AB5E090" w14:textId="77777777" w:rsidR="007C32FA" w:rsidRPr="00B573C3" w:rsidRDefault="007C32FA" w:rsidP="00F06393">
      <w:pPr>
        <w:pStyle w:val="Akapitzlist"/>
      </w:pPr>
      <w:r w:rsidRPr="00B573C3">
        <w:t>zwiększenie świadomości społecznej dotyczącej problematyki wody oraz gospodarki wodnej w Polsce przez dotarcie do różnych grup docelowych;</w:t>
      </w:r>
    </w:p>
    <w:p w14:paraId="1E74C8FC" w14:textId="77777777" w:rsidR="007C32FA" w:rsidRPr="00B573C3" w:rsidRDefault="007C32FA" w:rsidP="00F06393">
      <w:pPr>
        <w:pStyle w:val="Akapitzlist"/>
      </w:pPr>
      <w:r w:rsidRPr="00B573C3">
        <w:t>spełnienie wymogów KE co do zakresu PGW oraz przejrzystości informowania, udostępniania i zaangażowania zainteresowanych w ich opracowywanie.</w:t>
      </w:r>
    </w:p>
    <w:p w14:paraId="014F28C4" w14:textId="77ADD51A" w:rsidR="007C32FA" w:rsidRPr="00495938" w:rsidRDefault="007C32FA" w:rsidP="007C32FA">
      <w:pPr>
        <w:widowControl w:val="0"/>
        <w:autoSpaceDE w:val="0"/>
        <w:autoSpaceDN w:val="0"/>
        <w:adjustRightInd w:val="0"/>
        <w:ind w:left="1"/>
        <w:rPr>
          <w:rFonts w:asciiTheme="minorHAnsi" w:eastAsiaTheme="minorHAnsi" w:hAnsiTheme="minorHAnsi" w:cstheme="minorHAnsi"/>
          <w:color w:val="000000"/>
        </w:rPr>
      </w:pPr>
      <w:r w:rsidRPr="00495938">
        <w:rPr>
          <w:rFonts w:asciiTheme="minorHAnsi" w:eastAsiaTheme="minorHAnsi" w:hAnsiTheme="minorHAnsi" w:cstheme="minorHAnsi"/>
          <w:color w:val="000000"/>
        </w:rPr>
        <w:t>W trakcie trwania konsultacji IIaPGW realizowane będą zarówno działania informacyjne, jak i</w:t>
      </w:r>
      <w:r w:rsidR="00973B4F">
        <w:rPr>
          <w:rFonts w:asciiTheme="minorHAnsi" w:eastAsiaTheme="minorHAnsi" w:hAnsiTheme="minorHAnsi" w:cstheme="minorHAnsi"/>
          <w:color w:val="000000"/>
        </w:rPr>
        <w:t> </w:t>
      </w:r>
      <w:r w:rsidRPr="00495938">
        <w:rPr>
          <w:rFonts w:asciiTheme="minorHAnsi" w:eastAsiaTheme="minorHAnsi" w:hAnsiTheme="minorHAnsi" w:cstheme="minorHAnsi"/>
          <w:color w:val="000000"/>
        </w:rPr>
        <w:t xml:space="preserve">zachęcające społeczeństwo </w:t>
      </w:r>
      <w:r>
        <w:rPr>
          <w:rFonts w:asciiTheme="minorHAnsi" w:eastAsiaTheme="minorHAnsi" w:hAnsiTheme="minorHAnsi" w:cstheme="minorHAnsi"/>
          <w:color w:val="000000"/>
        </w:rPr>
        <w:t>oraz</w:t>
      </w:r>
      <w:r w:rsidRPr="00495938">
        <w:rPr>
          <w:rFonts w:asciiTheme="minorHAnsi" w:eastAsiaTheme="minorHAnsi" w:hAnsiTheme="minorHAnsi" w:cstheme="minorHAnsi"/>
          <w:color w:val="000000"/>
        </w:rPr>
        <w:t xml:space="preserve"> ekspertów do wyrażania opinii. Planowane działania konsultacyjne obejmują:</w:t>
      </w:r>
    </w:p>
    <w:p w14:paraId="2CAE8BC0" w14:textId="7BF1538C" w:rsidR="007E491E" w:rsidRDefault="006122B0" w:rsidP="00F06393">
      <w:pPr>
        <w:pStyle w:val="Akapitzlist"/>
      </w:pPr>
      <w:r w:rsidRPr="003C3F72">
        <w:t>wszystkie wymagane działania określone w ustawie u.i.o.ś. w dziale III rozdziale III;</w:t>
      </w:r>
    </w:p>
    <w:p w14:paraId="54DBAA0A" w14:textId="3ED92D60" w:rsidR="007C32FA" w:rsidRPr="00B573C3" w:rsidRDefault="007C32FA" w:rsidP="00F06393">
      <w:pPr>
        <w:pStyle w:val="Akapitzlist"/>
      </w:pPr>
      <w:r w:rsidRPr="00B573C3">
        <w:t>udostępnienie na stronie internetowej poświęconej IIaPGW formularza do zgłaszania opinii bądź uwag dotyczących IIaPGW. Formularz jest podstawową formą badania opinii grup interesariuszy i` mieszkańców obszaru dorzeczy;</w:t>
      </w:r>
    </w:p>
    <w:p w14:paraId="0A171C60" w14:textId="36E7041A" w:rsidR="007C32FA" w:rsidRPr="00B573C3" w:rsidRDefault="007C32FA" w:rsidP="00F06393">
      <w:pPr>
        <w:pStyle w:val="Akapitzlist"/>
      </w:pPr>
      <w:r w:rsidRPr="00B573C3">
        <w:t>organizację lokalnych spotkań konsultacyjnych, których celem jest włączenie zainteresowanych stron do prac nad sporządzeniem planów gospodarowania wodami na obszarze dorzecza. Spotkania będą poświęcone zagadnieniom dotyczącym poszczególnych obszarów dorzeczy, zgodnie z zaplanowaną lokalizacją spotkań odpowiednią dla siedzib RZGW</w:t>
      </w:r>
      <w:r w:rsidR="00F53455">
        <w:t xml:space="preserve"> WP</w:t>
      </w:r>
      <w:r w:rsidRPr="00B573C3">
        <w:t>;</w:t>
      </w:r>
    </w:p>
    <w:p w14:paraId="33A84C8B" w14:textId="77777777" w:rsidR="007C32FA" w:rsidRPr="00B573C3" w:rsidRDefault="007C32FA" w:rsidP="00F06393">
      <w:pPr>
        <w:pStyle w:val="Akapitzlist"/>
      </w:pPr>
      <w:r w:rsidRPr="00B573C3">
        <w:t>organizację ogólnopolskiej konferencji podsumowującej proces konsultacji IIaPGW.</w:t>
      </w:r>
    </w:p>
    <w:p w14:paraId="5A8D36C7" w14:textId="3123A0B6" w:rsidR="007C32FA" w:rsidRPr="00495938" w:rsidRDefault="007C32FA" w:rsidP="007C32FA">
      <w:pPr>
        <w:widowControl w:val="0"/>
        <w:autoSpaceDE w:val="0"/>
        <w:autoSpaceDN w:val="0"/>
        <w:adjustRightInd w:val="0"/>
        <w:ind w:left="1"/>
        <w:rPr>
          <w:rFonts w:asciiTheme="minorHAnsi" w:eastAsiaTheme="minorHAnsi" w:hAnsiTheme="minorHAnsi" w:cstheme="minorHAnsi"/>
          <w:color w:val="000000"/>
        </w:rPr>
      </w:pPr>
      <w:r w:rsidRPr="00495938">
        <w:rPr>
          <w:rFonts w:asciiTheme="minorHAnsi" w:eastAsiaTheme="minorHAnsi" w:hAnsiTheme="minorHAnsi" w:cstheme="minorHAnsi"/>
          <w:color w:val="000000"/>
        </w:rPr>
        <w:t xml:space="preserve">Wszelkie informacje </w:t>
      </w:r>
      <w:r>
        <w:rPr>
          <w:rFonts w:asciiTheme="minorHAnsi" w:eastAsiaTheme="minorHAnsi" w:hAnsiTheme="minorHAnsi" w:cstheme="minorHAnsi"/>
          <w:color w:val="000000"/>
        </w:rPr>
        <w:t xml:space="preserve">dotyczące </w:t>
      </w:r>
      <w:r w:rsidRPr="00495938">
        <w:rPr>
          <w:rFonts w:asciiTheme="minorHAnsi" w:eastAsiaTheme="minorHAnsi" w:hAnsiTheme="minorHAnsi" w:cstheme="minorHAnsi"/>
          <w:color w:val="000000"/>
        </w:rPr>
        <w:t xml:space="preserve">podejmowanych działań konsultacyjnych będą zamieszczane na stronie internetowej </w:t>
      </w:r>
      <w:hyperlink r:id="rId100" w:history="1">
        <w:r w:rsidRPr="00495938">
          <w:rPr>
            <w:rStyle w:val="Hipercze"/>
            <w:rFonts w:asciiTheme="minorHAnsi" w:eastAsiaTheme="minorHAnsi" w:hAnsiTheme="minorHAnsi" w:cstheme="minorHAnsi"/>
          </w:rPr>
          <w:t>www.apgw.gov.pl</w:t>
        </w:r>
      </w:hyperlink>
      <w:r w:rsidR="007E491E" w:rsidRPr="00821B28">
        <w:t xml:space="preserve">, </w:t>
      </w:r>
      <w:r w:rsidR="007E491E">
        <w:rPr>
          <w:rStyle w:val="Hipercze"/>
          <w:rFonts w:asciiTheme="minorHAnsi" w:eastAsiaTheme="minorHAnsi" w:hAnsiTheme="minorHAnsi" w:cstheme="minorHAnsi"/>
        </w:rPr>
        <w:t>www.gov.pl/web/infrastruktura</w:t>
      </w:r>
      <w:r w:rsidR="007E491E" w:rsidRPr="00B573C3">
        <w:t>.</w:t>
      </w:r>
    </w:p>
    <w:p w14:paraId="767B58AA" w14:textId="1D237CA1" w:rsidR="007C32FA" w:rsidRPr="00495938" w:rsidRDefault="007C32FA" w:rsidP="003C76C5">
      <w:r w:rsidRPr="457F2394">
        <w:t xml:space="preserve">Dodatkowo plany gospodarowania wodami </w:t>
      </w:r>
      <w:r>
        <w:t>na obszarach dorzeczy -</w:t>
      </w:r>
      <w:r w:rsidRPr="457F2394">
        <w:t xml:space="preserve"> jako </w:t>
      </w:r>
      <w:r w:rsidRPr="457F2394">
        <w:rPr>
          <w:shd w:val="clear" w:color="auto" w:fill="FFFFFF"/>
        </w:rPr>
        <w:t>dokument wyznaczający ramy dla późniejszej realizacji przedsięwzięć mogących znacząco oddziaływać na środowisko</w:t>
      </w:r>
      <w:r w:rsidRPr="457F2394">
        <w:t xml:space="preserve"> </w:t>
      </w:r>
      <w:r>
        <w:t>-</w:t>
      </w:r>
      <w:r w:rsidRPr="457F2394">
        <w:t xml:space="preserve"> wymagają przeprowadzenia strategicznej oceny oddziaływania na środowisko</w:t>
      </w:r>
      <w:r>
        <w:t xml:space="preserve"> (dalej SOOŚ)</w:t>
      </w:r>
      <w:r w:rsidRPr="457F2394">
        <w:t>, zgodnie z art. 46 u</w:t>
      </w:r>
      <w:r w:rsidR="008315EC">
        <w:t xml:space="preserve">stawy </w:t>
      </w:r>
      <w:r w:rsidRPr="457F2394">
        <w:t>u.i.o.ś.</w:t>
      </w:r>
      <w:r>
        <w:t xml:space="preserve"> Proces strategicznej oceny oddziaływania na środowisko przeprowadzany będzie w trakcie 6-</w:t>
      </w:r>
      <w:r w:rsidR="00973B4F">
        <w:t> </w:t>
      </w:r>
      <w:r>
        <w:t>cio miesięcznych konsultacji planu gospodarowania wodami. Za przeprowadzenie SOOŚ odpowiada organ przygotowujący projekt dokumentu - IIaPGW, tj. </w:t>
      </w:r>
      <w:r w:rsidRPr="001F2C63">
        <w:t xml:space="preserve">Prezes </w:t>
      </w:r>
      <w:r>
        <w:t>PGW WP.</w:t>
      </w:r>
    </w:p>
    <w:p w14:paraId="750572EE" w14:textId="77777777" w:rsidR="007C32FA" w:rsidRPr="00495938" w:rsidRDefault="007C32FA" w:rsidP="003C76C5">
      <w:r w:rsidRPr="457F2394">
        <w:t>Celem strategicznej oceny oddziaływania na środowisko, której elementem jest Prognoza</w:t>
      </w:r>
      <w:r>
        <w:t xml:space="preserve"> oddziaływania na środowisko (dalej</w:t>
      </w:r>
      <w:r w:rsidRPr="457F2394">
        <w:t xml:space="preserve"> </w:t>
      </w:r>
      <w:r>
        <w:t xml:space="preserve">Prognoza </w:t>
      </w:r>
      <w:r w:rsidRPr="457F2394">
        <w:t>OOŚ</w:t>
      </w:r>
      <w:r>
        <w:t>)</w:t>
      </w:r>
      <w:r w:rsidRPr="457F2394">
        <w:t xml:space="preserve">, jest ocena </w:t>
      </w:r>
      <w:r>
        <w:t>środowiskowych</w:t>
      </w:r>
      <w:r w:rsidRPr="457F2394">
        <w:t xml:space="preserve"> skutków realizacji ocenianego dokumentu</w:t>
      </w:r>
      <w:r>
        <w:t>,</w:t>
      </w:r>
      <w:r w:rsidRPr="457F2394">
        <w:t xml:space="preserve"> </w:t>
      </w:r>
      <w:r>
        <w:t xml:space="preserve">tj. </w:t>
      </w:r>
      <w:r w:rsidRPr="457F2394">
        <w:t>projekt</w:t>
      </w:r>
      <w:r>
        <w:t>u</w:t>
      </w:r>
      <w:r w:rsidRPr="457F2394">
        <w:t xml:space="preserve"> IIaPGW. </w:t>
      </w:r>
      <w:r w:rsidRPr="457F2394">
        <w:rPr>
          <w:lang w:eastAsia="pl-PL"/>
        </w:rPr>
        <w:t xml:space="preserve">Ocena potencjalnego wpływu realizacji postanowień dokumentu </w:t>
      </w:r>
      <w:r>
        <w:rPr>
          <w:lang w:eastAsia="pl-PL"/>
        </w:rPr>
        <w:t>-</w:t>
      </w:r>
      <w:r w:rsidRPr="457F2394">
        <w:rPr>
          <w:lang w:eastAsia="pl-PL"/>
        </w:rPr>
        <w:t xml:space="preserve"> z uwzględnieniem zarówno negatywnych, jak i pozytywnych oddziaływań </w:t>
      </w:r>
      <w:r>
        <w:rPr>
          <w:lang w:eastAsia="pl-PL"/>
        </w:rPr>
        <w:t>-</w:t>
      </w:r>
      <w:r w:rsidRPr="457F2394">
        <w:rPr>
          <w:lang w:eastAsia="pl-PL"/>
        </w:rPr>
        <w:t xml:space="preserve"> zostanie odniesiona </w:t>
      </w:r>
      <w:r>
        <w:rPr>
          <w:lang w:eastAsia="pl-PL"/>
        </w:rPr>
        <w:t xml:space="preserve">w Prognozie OOŚ </w:t>
      </w:r>
      <w:r w:rsidRPr="457F2394">
        <w:rPr>
          <w:lang w:eastAsia="pl-PL"/>
        </w:rPr>
        <w:t>do poszczególnych komponentów środowiska. Analizie i ocenie zostanie poddana również spójność projektów IIaPGW z dokumentami strategicznymi i planistycznymi odnoszącymi się</w:t>
      </w:r>
      <w:r>
        <w:rPr>
          <w:lang w:eastAsia="pl-PL"/>
        </w:rPr>
        <w:t> </w:t>
      </w:r>
      <w:r w:rsidRPr="457F2394">
        <w:rPr>
          <w:lang w:eastAsia="pl-PL"/>
        </w:rPr>
        <w:t>do</w:t>
      </w:r>
      <w:r>
        <w:rPr>
          <w:lang w:eastAsia="pl-PL"/>
        </w:rPr>
        <w:t> </w:t>
      </w:r>
      <w:r w:rsidRPr="457F2394">
        <w:rPr>
          <w:lang w:eastAsia="pl-PL"/>
        </w:rPr>
        <w:t>środowiska, obowiązującymi zarówno na szczeblu krajowym, jak i unijnym.</w:t>
      </w:r>
      <w:r w:rsidRPr="457F2394">
        <w:t xml:space="preserve"> </w:t>
      </w:r>
      <w:r w:rsidRPr="457F2394">
        <w:rPr>
          <w:lang w:eastAsia="pl-PL"/>
        </w:rPr>
        <w:t>Zgodnie z</w:t>
      </w:r>
      <w:r>
        <w:rPr>
          <w:lang w:eastAsia="pl-PL"/>
        </w:rPr>
        <w:t> </w:t>
      </w:r>
      <w:r w:rsidRPr="457F2394">
        <w:rPr>
          <w:lang w:eastAsia="pl-PL"/>
        </w:rPr>
        <w:t>obowiązującymi przepisami w Prognozie OOŚ zostaną zaprezentowane również wnioski w zakresie przeprowadzonej w ramach SOOŚ analizy oddziaływań transgranicznych oraz skumulowanych.</w:t>
      </w:r>
      <w:r w:rsidRPr="457F2394">
        <w:t xml:space="preserve"> </w:t>
      </w:r>
      <w:r w:rsidRPr="457F2394">
        <w:rPr>
          <w:lang w:eastAsia="pl-PL"/>
        </w:rPr>
        <w:t>Zostaną także zaprezentowane działania mające na celu zapobieganie, ograniczenie lub kompensację przyrodniczą negatywnych oddziaływań na środowisko mogących być rezultatem realizacji projektów IIaPGW, w szczególności na cele i przedmioty ochrony obszarów Natura 2000 oraz integralność tych obszarów.</w:t>
      </w:r>
      <w:r>
        <w:rPr>
          <w:rStyle w:val="Odwoanieprzypisudolnego"/>
          <w:rFonts w:asciiTheme="minorHAnsi" w:hAnsiTheme="minorHAnsi" w:cstheme="minorBidi"/>
          <w:lang w:eastAsia="pl-PL"/>
        </w:rPr>
        <w:footnoteReference w:id="42"/>
      </w:r>
    </w:p>
    <w:p w14:paraId="4879ADF1" w14:textId="64AEDC4C" w:rsidR="007C32FA" w:rsidRDefault="007C32FA" w:rsidP="007C32FA">
      <w:r w:rsidRPr="457F2394">
        <w:rPr>
          <w:rFonts w:asciiTheme="minorHAnsi" w:hAnsiTheme="minorHAnsi" w:cstheme="minorBidi"/>
        </w:rPr>
        <w:t xml:space="preserve">Prognoza </w:t>
      </w:r>
      <w:r>
        <w:rPr>
          <w:rFonts w:asciiTheme="minorHAnsi" w:hAnsiTheme="minorHAnsi" w:cstheme="minorBidi"/>
        </w:rPr>
        <w:t>OOŚ</w:t>
      </w:r>
      <w:r w:rsidRPr="457F2394">
        <w:rPr>
          <w:rFonts w:asciiTheme="minorHAnsi" w:hAnsiTheme="minorHAnsi" w:cstheme="minorBidi"/>
        </w:rPr>
        <w:t xml:space="preserve"> jako dokument podsumowujący wyniki strategicznej oceny oddziaływania na</w:t>
      </w:r>
      <w:r>
        <w:rPr>
          <w:rFonts w:asciiTheme="minorHAnsi" w:hAnsiTheme="minorHAnsi" w:cstheme="minorBidi"/>
        </w:rPr>
        <w:t> </w:t>
      </w:r>
      <w:r w:rsidRPr="457F2394">
        <w:rPr>
          <w:rFonts w:asciiTheme="minorHAnsi" w:hAnsiTheme="minorHAnsi" w:cstheme="minorBidi"/>
        </w:rPr>
        <w:t>środowisko zostanie podana do publicznej wiadomości w ramach przeprowadzanych zgodnie z</w:t>
      </w:r>
      <w:r>
        <w:rPr>
          <w:rFonts w:asciiTheme="minorHAnsi" w:hAnsiTheme="minorHAnsi" w:cstheme="minorBidi"/>
        </w:rPr>
        <w:t> </w:t>
      </w:r>
      <w:r w:rsidRPr="457F2394">
        <w:rPr>
          <w:rFonts w:asciiTheme="minorHAnsi" w:hAnsiTheme="minorHAnsi" w:cstheme="minorBidi"/>
        </w:rPr>
        <w:t>wymogami u</w:t>
      </w:r>
      <w:r w:rsidR="008315EC">
        <w:rPr>
          <w:rFonts w:asciiTheme="minorHAnsi" w:hAnsiTheme="minorHAnsi" w:cstheme="minorBidi"/>
        </w:rPr>
        <w:t xml:space="preserve">stawy </w:t>
      </w:r>
      <w:r w:rsidRPr="457F2394">
        <w:rPr>
          <w:rFonts w:asciiTheme="minorHAnsi" w:hAnsiTheme="minorHAnsi" w:cstheme="minorBidi"/>
        </w:rPr>
        <w:t>u.i.o.ś. konsultacji społecznych strategicznej oceny oddziaływania na środowisko. Wyniki konsultacji zostaną uwzględnione w ostatecznej wersji Prognozy OOŚ oraz IIaPGW.</w:t>
      </w:r>
    </w:p>
    <w:p w14:paraId="0D624601" w14:textId="531E323A" w:rsidR="002E5C96" w:rsidRPr="002E5C96" w:rsidRDefault="002E5C96" w:rsidP="002E5C96">
      <w:r>
        <w:br w:type="page"/>
      </w:r>
    </w:p>
    <w:p w14:paraId="574E9A02" w14:textId="6BC410A4" w:rsidR="00332A4E" w:rsidRDefault="00332A4E" w:rsidP="00B50FFD">
      <w:pPr>
        <w:pStyle w:val="Nagwek1"/>
      </w:pPr>
      <w:bookmarkStart w:id="584" w:name="_Toc51050138"/>
      <w:bookmarkStart w:id="585" w:name="_Toc68726937"/>
      <w:r>
        <w:t>Organy właściwe w sprawach gospodarowania wodami dla obszaru dorzecza</w:t>
      </w:r>
      <w:bookmarkEnd w:id="584"/>
      <w:bookmarkEnd w:id="585"/>
    </w:p>
    <w:p w14:paraId="16D53957" w14:textId="3742AF3A" w:rsidR="0066380E" w:rsidRDefault="0066380E" w:rsidP="002E5C96">
      <w:r w:rsidRPr="0066380E">
        <w:t>Zgodnie z art. 14 ustawy pr.w. organami właściwymi w sprawach gospodarowania wodami są: minister właściwy do spraw gospodarki wodnej, minister właściwy do spraw żeglugi śródlądowej, Prezes PGW WP, dyrektor RZGW WP, dyrektor ZZ WP, kierownik NW WP , dyrektor urzędu morskiego, wojewoda, starosta, wójt, burmistrz lub prezydent miasta.</w:t>
      </w:r>
    </w:p>
    <w:p w14:paraId="1925C0C0" w14:textId="497C8505" w:rsidR="00116591" w:rsidRDefault="00116591" w:rsidP="00116591">
      <w:pPr>
        <w:rPr>
          <w:rFonts w:asciiTheme="minorHAnsi" w:hAnsiTheme="minorHAnsi" w:cstheme="minorHAnsi"/>
        </w:rPr>
      </w:pPr>
      <w:r w:rsidRPr="00446165">
        <w:rPr>
          <w:rFonts w:asciiTheme="minorHAnsi" w:hAnsiTheme="minorHAnsi" w:cstheme="minorHAnsi"/>
        </w:rPr>
        <w:t xml:space="preserve">W </w:t>
      </w:r>
      <w:r>
        <w:rPr>
          <w:rFonts w:asciiTheme="minorHAnsi" w:hAnsiTheme="minorHAnsi" w:cstheme="minorHAnsi"/>
        </w:rPr>
        <w:t xml:space="preserve">poniższej </w:t>
      </w:r>
      <w:r w:rsidRPr="00446165">
        <w:rPr>
          <w:rFonts w:asciiTheme="minorHAnsi" w:hAnsiTheme="minorHAnsi" w:cstheme="minorHAnsi"/>
        </w:rPr>
        <w:t>tabel</w:t>
      </w:r>
      <w:r>
        <w:rPr>
          <w:rFonts w:asciiTheme="minorHAnsi" w:hAnsiTheme="minorHAnsi" w:cstheme="minorHAnsi"/>
        </w:rPr>
        <w:t>i</w:t>
      </w:r>
      <w:r w:rsidRPr="00446165">
        <w:rPr>
          <w:rFonts w:asciiTheme="minorHAnsi" w:hAnsiTheme="minorHAnsi" w:cstheme="minorHAnsi"/>
        </w:rPr>
        <w:t xml:space="preserve"> przedstawiono organy właściwe w sprawach gospodarowania wodami </w:t>
      </w:r>
      <w:r>
        <w:rPr>
          <w:rFonts w:asciiTheme="minorHAnsi" w:hAnsiTheme="minorHAnsi" w:cstheme="minorHAnsi"/>
        </w:rPr>
        <w:t>wraz z</w:t>
      </w:r>
      <w:r w:rsidR="006C4947">
        <w:rPr>
          <w:rFonts w:asciiTheme="minorHAnsi" w:hAnsiTheme="minorHAnsi" w:cstheme="minorHAnsi"/>
        </w:rPr>
        <w:t> </w:t>
      </w:r>
      <w:r>
        <w:rPr>
          <w:rFonts w:asciiTheme="minorHAnsi" w:hAnsiTheme="minorHAnsi" w:cstheme="minorHAnsi"/>
        </w:rPr>
        <w:t>informacjami adresowymi.</w:t>
      </w:r>
    </w:p>
    <w:p w14:paraId="7FA5059C" w14:textId="0CAAEB45" w:rsidR="00442AB7" w:rsidRDefault="00442AB7" w:rsidP="006802BB">
      <w:pPr>
        <w:pStyle w:val="Tabela"/>
      </w:pPr>
      <w:bookmarkStart w:id="586" w:name="_Toc68727067"/>
      <w:r>
        <w:t xml:space="preserve">Tabela </w:t>
      </w:r>
      <w:fldSimple w:instr=" STYLEREF 1 \s ">
        <w:r w:rsidR="007B4050">
          <w:rPr>
            <w:noProof/>
          </w:rPr>
          <w:t>21</w:t>
        </w:r>
      </w:fldSimple>
      <w:r w:rsidR="007B4050">
        <w:noBreakHyphen/>
      </w:r>
      <w:fldSimple w:instr=" SEQ Tabela \* ARABIC \s 1 ">
        <w:r w:rsidR="007B4050">
          <w:rPr>
            <w:noProof/>
          </w:rPr>
          <w:t>1</w:t>
        </w:r>
      </w:fldSimple>
      <w:r>
        <w:tab/>
      </w:r>
      <w:r w:rsidRPr="00A45A03">
        <w:t xml:space="preserve">Zestawienie organów właściwych w sprawach gospodarowania wodami dla obszaru dorzecza </w:t>
      </w:r>
      <w:r>
        <w:t>Pregoły</w:t>
      </w:r>
      <w:r w:rsidRPr="00A45A03">
        <w:t xml:space="preserve"> wraz z</w:t>
      </w:r>
      <w:r>
        <w:t xml:space="preserve">e statusem prawnym oraz danymi </w:t>
      </w:r>
      <w:r w:rsidRPr="00A45A03">
        <w:t>adresowymi</w:t>
      </w:r>
      <w:bookmarkEnd w:id="586"/>
    </w:p>
    <w:tbl>
      <w:tblPr>
        <w:tblStyle w:val="Tabela-Siatka1"/>
        <w:tblW w:w="5000" w:type="pct"/>
        <w:tblLayout w:type="fixed"/>
        <w:tblLook w:val="04A0" w:firstRow="1" w:lastRow="0" w:firstColumn="1" w:lastColumn="0" w:noHBand="0" w:noVBand="1"/>
      </w:tblPr>
      <w:tblGrid>
        <w:gridCol w:w="563"/>
        <w:gridCol w:w="1560"/>
        <w:gridCol w:w="4393"/>
        <w:gridCol w:w="2546"/>
      </w:tblGrid>
      <w:tr w:rsidR="00116591" w:rsidRPr="00116591" w14:paraId="6081A5D2" w14:textId="77777777" w:rsidTr="00A32BE2">
        <w:trPr>
          <w:trHeight w:val="454"/>
          <w:tblHeader/>
        </w:trPr>
        <w:tc>
          <w:tcPr>
            <w:tcW w:w="310" w:type="pct"/>
            <w:shd w:val="clear" w:color="auto" w:fill="BFBFBF" w:themeFill="background1" w:themeFillShade="BF"/>
            <w:vAlign w:val="center"/>
          </w:tcPr>
          <w:p w14:paraId="7FB0EA08" w14:textId="77777777" w:rsidR="00116591" w:rsidRPr="00A16503" w:rsidRDefault="00116591" w:rsidP="00A16503">
            <w:pPr>
              <w:pStyle w:val="Tabela-tekst"/>
              <w:rPr>
                <w:rFonts w:eastAsiaTheme="minorEastAsia"/>
                <w:b/>
                <w:bCs/>
              </w:rPr>
            </w:pPr>
            <w:bookmarkStart w:id="587" w:name="_Hlk64630625"/>
            <w:r w:rsidRPr="00A16503">
              <w:rPr>
                <w:rFonts w:eastAsiaTheme="minorEastAsia"/>
                <w:b/>
                <w:bCs/>
              </w:rPr>
              <w:t>Lp.</w:t>
            </w:r>
          </w:p>
        </w:tc>
        <w:tc>
          <w:tcPr>
            <w:tcW w:w="861" w:type="pct"/>
            <w:shd w:val="clear" w:color="auto" w:fill="BFBFBF" w:themeFill="background1" w:themeFillShade="BF"/>
            <w:vAlign w:val="center"/>
          </w:tcPr>
          <w:p w14:paraId="410F25D3" w14:textId="37CB2057" w:rsidR="00116591" w:rsidRPr="00A16503" w:rsidRDefault="00116591" w:rsidP="00A16503">
            <w:pPr>
              <w:pStyle w:val="Tabela-tekst"/>
              <w:rPr>
                <w:b/>
                <w:bCs/>
              </w:rPr>
            </w:pPr>
            <w:r w:rsidRPr="00A16503">
              <w:rPr>
                <w:b/>
                <w:bCs/>
              </w:rPr>
              <w:t>Organ</w:t>
            </w:r>
          </w:p>
        </w:tc>
        <w:tc>
          <w:tcPr>
            <w:tcW w:w="2424" w:type="pct"/>
            <w:shd w:val="clear" w:color="auto" w:fill="BFBFBF" w:themeFill="background1" w:themeFillShade="BF"/>
            <w:vAlign w:val="center"/>
          </w:tcPr>
          <w:p w14:paraId="7D2ADF4C" w14:textId="77777777" w:rsidR="00116591" w:rsidRPr="00A16503" w:rsidRDefault="00116591" w:rsidP="00A16503">
            <w:pPr>
              <w:pStyle w:val="Tabela-tekst"/>
              <w:rPr>
                <w:b/>
                <w:bCs/>
              </w:rPr>
            </w:pPr>
            <w:r w:rsidRPr="00A16503">
              <w:rPr>
                <w:b/>
                <w:bCs/>
              </w:rPr>
              <w:t>Status prawny organów właściwych w sprawach gospodarowania wodami dla obszaru dorzecza</w:t>
            </w:r>
          </w:p>
        </w:tc>
        <w:tc>
          <w:tcPr>
            <w:tcW w:w="1405" w:type="pct"/>
            <w:shd w:val="clear" w:color="auto" w:fill="BFBFBF" w:themeFill="background1" w:themeFillShade="BF"/>
            <w:vAlign w:val="center"/>
          </w:tcPr>
          <w:p w14:paraId="70C56A08" w14:textId="77777777" w:rsidR="00116591" w:rsidRPr="00A16503" w:rsidRDefault="00116591" w:rsidP="00A16503">
            <w:pPr>
              <w:pStyle w:val="Tabela-tekst"/>
              <w:rPr>
                <w:b/>
                <w:bCs/>
              </w:rPr>
            </w:pPr>
            <w:r w:rsidRPr="00A16503">
              <w:rPr>
                <w:b/>
                <w:bCs/>
              </w:rPr>
              <w:t>Adres</w:t>
            </w:r>
          </w:p>
        </w:tc>
      </w:tr>
      <w:tr w:rsidR="00116591" w:rsidRPr="00116591" w14:paraId="23899270" w14:textId="77777777" w:rsidTr="00A32BE2">
        <w:trPr>
          <w:trHeight w:val="454"/>
        </w:trPr>
        <w:tc>
          <w:tcPr>
            <w:tcW w:w="310" w:type="pct"/>
            <w:vAlign w:val="center"/>
          </w:tcPr>
          <w:p w14:paraId="68C35F4D" w14:textId="77777777" w:rsidR="00116591" w:rsidRPr="00116591" w:rsidRDefault="00116591" w:rsidP="00A16503">
            <w:pPr>
              <w:pStyle w:val="Tabela-tekst"/>
            </w:pPr>
            <w:r w:rsidRPr="00116591">
              <w:t>1.</w:t>
            </w:r>
          </w:p>
        </w:tc>
        <w:tc>
          <w:tcPr>
            <w:tcW w:w="861" w:type="pct"/>
            <w:vAlign w:val="center"/>
          </w:tcPr>
          <w:p w14:paraId="2A2BEA09" w14:textId="77777777" w:rsidR="00116591" w:rsidRPr="00116591" w:rsidRDefault="00116591" w:rsidP="00A16503">
            <w:pPr>
              <w:pStyle w:val="Tabela-tekst"/>
            </w:pPr>
            <w:r w:rsidRPr="00116591">
              <w:t>Minister właściwy do spraw gospodarki wodnej</w:t>
            </w:r>
          </w:p>
        </w:tc>
        <w:tc>
          <w:tcPr>
            <w:tcW w:w="2424" w:type="pct"/>
            <w:vAlign w:val="center"/>
          </w:tcPr>
          <w:p w14:paraId="71BE25AC" w14:textId="6098F033" w:rsidR="00116591" w:rsidRPr="00116591" w:rsidRDefault="00116591" w:rsidP="00A16503">
            <w:pPr>
              <w:pStyle w:val="Tabela-tekst"/>
              <w:rPr>
                <w:rFonts w:eastAsiaTheme="minorEastAsia"/>
              </w:rPr>
            </w:pPr>
            <w:r w:rsidRPr="00116591">
              <w:rPr>
                <w:rFonts w:eastAsiaTheme="minorEastAsia"/>
              </w:rPr>
              <w:t xml:space="preserve">Ustawa z dnia 4 września 1997 r. o działach administracji rządowej (tekst jednolity </w:t>
            </w:r>
            <w:hyperlink r:id="rId101" w:history="1">
              <w:r w:rsidRPr="00116591">
                <w:rPr>
                  <w:rFonts w:eastAsiaTheme="minorEastAsia"/>
                </w:rPr>
                <w:t>Dz.U. z 2020 r. poz. 1220</w:t>
              </w:r>
            </w:hyperlink>
            <w:r w:rsidRPr="00116591">
              <w:rPr>
                <w:rFonts w:eastAsiaTheme="minorEastAsia"/>
              </w:rPr>
              <w:t>)</w:t>
            </w:r>
          </w:p>
          <w:p w14:paraId="26B81F7D" w14:textId="79CC6041" w:rsidR="00116591" w:rsidRPr="00116591" w:rsidRDefault="00116591" w:rsidP="00A16503">
            <w:pPr>
              <w:pStyle w:val="Tabela-tekst"/>
              <w:rPr>
                <w:rFonts w:eastAsiaTheme="minorEastAsia"/>
              </w:rPr>
            </w:pPr>
            <w:r w:rsidRPr="00116591">
              <w:rPr>
                <w:rFonts w:eastAsiaTheme="minorEastAsia"/>
              </w:rPr>
              <w:t>Ustawa z dnia 20 lipca 2017 r. Prawo wodne (art. 14 ust. 1 pkt 1) (tekst jednolity Dz.U. z 2020 r. poz. 310)</w:t>
            </w:r>
          </w:p>
          <w:p w14:paraId="009CB663" w14:textId="23A0A13B" w:rsidR="00116591" w:rsidRPr="00116591" w:rsidRDefault="00116591" w:rsidP="00A16503">
            <w:pPr>
              <w:pStyle w:val="Tabela-tekst"/>
              <w:rPr>
                <w:rFonts w:eastAsiaTheme="minorEastAsia"/>
              </w:rPr>
            </w:pPr>
            <w:r w:rsidRPr="00116591">
              <w:rPr>
                <w:rFonts w:eastAsiaTheme="minorEastAsia"/>
              </w:rPr>
              <w:t>Rozporządzenie Prezesa Rady Ministrów z dnia 18 listopada 2019 r. w sprawie szczegółowego zakresu działania Ministra Infrastruktury (Dz.U. z 2019 r. poz. 2257 ze zm.)</w:t>
            </w:r>
          </w:p>
          <w:p w14:paraId="170D9B61" w14:textId="77777777" w:rsidR="00116591" w:rsidRPr="00116591" w:rsidRDefault="00116591" w:rsidP="00A16503">
            <w:pPr>
              <w:pStyle w:val="Tabela-tekst"/>
              <w:rPr>
                <w:rFonts w:eastAsiaTheme="minorEastAsia"/>
              </w:rPr>
            </w:pPr>
            <w:r w:rsidRPr="00116591">
              <w:rPr>
                <w:rFonts w:eastAsiaTheme="minorEastAsia"/>
              </w:rPr>
              <w:t>Zarządzenie nr 59 Prezesa Rady Ministrów z dnia 20 kwietnia 2018 r. w sprawie nadania statutu Ministerstwu Infrastruktury (M.P. 2018 poz. 420)</w:t>
            </w:r>
          </w:p>
        </w:tc>
        <w:tc>
          <w:tcPr>
            <w:tcW w:w="1405" w:type="pct"/>
            <w:vAlign w:val="center"/>
          </w:tcPr>
          <w:p w14:paraId="000EA08D" w14:textId="77777777" w:rsidR="00116591" w:rsidRPr="00116591" w:rsidRDefault="00116591" w:rsidP="00A16503">
            <w:pPr>
              <w:pStyle w:val="Tabela-tekst"/>
              <w:rPr>
                <w:rFonts w:eastAsiaTheme="minorEastAsia"/>
              </w:rPr>
            </w:pPr>
            <w:r w:rsidRPr="00116591">
              <w:rPr>
                <w:rFonts w:eastAsiaTheme="minorEastAsia"/>
              </w:rPr>
              <w:t>Ministerstwo Infrastruktury</w:t>
            </w:r>
          </w:p>
          <w:p w14:paraId="4C31E4B3" w14:textId="62D9876D" w:rsidR="00116591" w:rsidRPr="00116591" w:rsidRDefault="00116591" w:rsidP="00A16503">
            <w:pPr>
              <w:pStyle w:val="Tabela-tekst"/>
            </w:pPr>
            <w:r w:rsidRPr="00116591">
              <w:t xml:space="preserve">ul. Chałubińskiego 4/6, </w:t>
            </w:r>
            <w:r>
              <w:br/>
            </w:r>
            <w:r w:rsidRPr="00116591">
              <w:t>00-928 Warszawa</w:t>
            </w:r>
          </w:p>
          <w:p w14:paraId="311F9450" w14:textId="3853D195" w:rsidR="00116591" w:rsidRPr="00A16503" w:rsidRDefault="00CE57D6" w:rsidP="00A16503">
            <w:pPr>
              <w:pStyle w:val="Tabela-tekst"/>
            </w:pPr>
            <w:hyperlink r:id="rId102" w:history="1">
              <w:r w:rsidR="00116591" w:rsidRPr="005366EA">
                <w:rPr>
                  <w:rStyle w:val="Hipercze"/>
                  <w:rFonts w:cstheme="minorHAnsi"/>
                </w:rPr>
                <w:t>https://www.gov.pl/web/infrastruktura</w:t>
              </w:r>
            </w:hyperlink>
          </w:p>
        </w:tc>
      </w:tr>
      <w:tr w:rsidR="00116591" w:rsidRPr="00116591" w14:paraId="5A9ACEF6" w14:textId="77777777" w:rsidTr="00A32BE2">
        <w:trPr>
          <w:trHeight w:val="454"/>
        </w:trPr>
        <w:tc>
          <w:tcPr>
            <w:tcW w:w="310" w:type="pct"/>
            <w:vAlign w:val="center"/>
          </w:tcPr>
          <w:p w14:paraId="6FC39033" w14:textId="2B6EA0C5" w:rsidR="00116591" w:rsidRPr="00116591" w:rsidRDefault="00116591" w:rsidP="00A16503">
            <w:pPr>
              <w:pStyle w:val="Tabela-tekst"/>
              <w:rPr>
                <w:rFonts w:eastAsiaTheme="minorEastAsia"/>
              </w:rPr>
            </w:pPr>
            <w:r w:rsidRPr="00116591">
              <w:rPr>
                <w:rFonts w:eastAsiaTheme="minorEastAsia"/>
              </w:rPr>
              <w:t>2</w:t>
            </w:r>
            <w:r w:rsidR="00A32BE2">
              <w:rPr>
                <w:rFonts w:eastAsiaTheme="minorEastAsia"/>
              </w:rPr>
              <w:t>.</w:t>
            </w:r>
          </w:p>
        </w:tc>
        <w:tc>
          <w:tcPr>
            <w:tcW w:w="861" w:type="pct"/>
            <w:vAlign w:val="center"/>
          </w:tcPr>
          <w:p w14:paraId="3C7FF99A" w14:textId="77777777" w:rsidR="00116591" w:rsidRPr="00116591" w:rsidRDefault="00116591" w:rsidP="00A16503">
            <w:pPr>
              <w:pStyle w:val="Tabela-tekst"/>
              <w:rPr>
                <w:rFonts w:eastAsia="Calibri"/>
                <w:color w:val="000000" w:themeColor="text1"/>
              </w:rPr>
            </w:pPr>
            <w:r w:rsidRPr="00116591">
              <w:rPr>
                <w:rFonts w:eastAsia="Calibri"/>
                <w:color w:val="000000" w:themeColor="text1"/>
              </w:rPr>
              <w:t>Minister właściwy do spraw żeglugi śródlądowej,</w:t>
            </w:r>
          </w:p>
        </w:tc>
        <w:tc>
          <w:tcPr>
            <w:tcW w:w="2424" w:type="pct"/>
            <w:vAlign w:val="center"/>
          </w:tcPr>
          <w:p w14:paraId="14975334" w14:textId="6E91DD25" w:rsidR="00116591" w:rsidRPr="00116591" w:rsidRDefault="00116591" w:rsidP="00A16503">
            <w:pPr>
              <w:pStyle w:val="Tabela-tekst"/>
              <w:rPr>
                <w:rFonts w:eastAsiaTheme="minorEastAsia"/>
              </w:rPr>
            </w:pPr>
            <w:r w:rsidRPr="00116591">
              <w:rPr>
                <w:rFonts w:eastAsiaTheme="minorEastAsia"/>
              </w:rPr>
              <w:t xml:space="preserve">Ustawa z dnia 4 września 1997 r. o działach administracji rządowej (tekst jednolity </w:t>
            </w:r>
            <w:hyperlink r:id="rId103" w:history="1">
              <w:r w:rsidRPr="00116591">
                <w:rPr>
                  <w:rFonts w:eastAsiaTheme="minorEastAsia"/>
                </w:rPr>
                <w:t>Dz.U. z 2020 r. poz. 1220</w:t>
              </w:r>
            </w:hyperlink>
            <w:r w:rsidRPr="00116591">
              <w:rPr>
                <w:rFonts w:eastAsiaTheme="minorEastAsia"/>
              </w:rPr>
              <w:t>)</w:t>
            </w:r>
          </w:p>
          <w:p w14:paraId="0C5FA598" w14:textId="56ED6778" w:rsidR="00116591" w:rsidRPr="00116591" w:rsidRDefault="00116591" w:rsidP="00A16503">
            <w:pPr>
              <w:pStyle w:val="Tabela-tekst"/>
              <w:rPr>
                <w:rFonts w:eastAsiaTheme="minorEastAsia"/>
              </w:rPr>
            </w:pPr>
            <w:r w:rsidRPr="00116591">
              <w:rPr>
                <w:rFonts w:eastAsiaTheme="minorEastAsia"/>
              </w:rPr>
              <w:t xml:space="preserve">Ustawa z dnia 20 lipca 2017 r. Prawo wodne (art. 14 ust. 1 pkt 1) </w:t>
            </w:r>
            <w:r w:rsidR="00CD3F7A">
              <w:rPr>
                <w:rFonts w:eastAsiaTheme="minorEastAsia"/>
              </w:rPr>
              <w:t>(</w:t>
            </w:r>
            <w:r w:rsidRPr="00116591">
              <w:rPr>
                <w:rFonts w:eastAsiaTheme="minorEastAsia"/>
              </w:rPr>
              <w:t>tekst jednolity Dz.U. z 2020 r. poz. 310)</w:t>
            </w:r>
          </w:p>
          <w:p w14:paraId="4C60786F" w14:textId="51EF3DDD" w:rsidR="00116591" w:rsidRPr="00116591" w:rsidRDefault="00116591" w:rsidP="00A16503">
            <w:pPr>
              <w:pStyle w:val="Tabela-tekst"/>
              <w:rPr>
                <w:rFonts w:eastAsiaTheme="minorEastAsia"/>
              </w:rPr>
            </w:pPr>
            <w:r w:rsidRPr="00116591">
              <w:rPr>
                <w:rFonts w:eastAsiaTheme="minorEastAsia"/>
              </w:rPr>
              <w:t>Rozporządzenie Prezesa Rady Ministrów z dnia 18 listopada 2019 r. w sprawie szczegółowego zakresu działania Ministra Infrastruktury (Dz.U. z 2019 r. poz. 2257 ze zm.)</w:t>
            </w:r>
          </w:p>
          <w:p w14:paraId="2BF9075A" w14:textId="77777777" w:rsidR="00116591" w:rsidRPr="00116591" w:rsidRDefault="00116591" w:rsidP="00A16503">
            <w:pPr>
              <w:pStyle w:val="Tabela-tekst"/>
              <w:rPr>
                <w:rFonts w:eastAsiaTheme="minorEastAsia"/>
              </w:rPr>
            </w:pPr>
            <w:r w:rsidRPr="00116591">
              <w:rPr>
                <w:rFonts w:eastAsiaTheme="minorEastAsia"/>
              </w:rPr>
              <w:t>Zarządzenie nr 59 Prezesa Rady Ministrów z dnia 20 kwietnia 2018 r. w sprawie nadania statutu Ministerstwu Infrastruktury (M.P. 2018 poz. 420)</w:t>
            </w:r>
          </w:p>
        </w:tc>
        <w:tc>
          <w:tcPr>
            <w:tcW w:w="1405" w:type="pct"/>
            <w:vAlign w:val="center"/>
          </w:tcPr>
          <w:p w14:paraId="0B9BD70C" w14:textId="77777777" w:rsidR="00116591" w:rsidRPr="00116591" w:rsidRDefault="00116591" w:rsidP="00A16503">
            <w:pPr>
              <w:pStyle w:val="Tabela-tekst"/>
              <w:rPr>
                <w:rFonts w:eastAsiaTheme="minorEastAsia"/>
              </w:rPr>
            </w:pPr>
            <w:r w:rsidRPr="00116591">
              <w:rPr>
                <w:rFonts w:eastAsiaTheme="minorEastAsia"/>
              </w:rPr>
              <w:t>Ministerstwo Infrastruktury</w:t>
            </w:r>
          </w:p>
          <w:p w14:paraId="7495A88B" w14:textId="65F5719A" w:rsidR="00116591" w:rsidRPr="00116591" w:rsidRDefault="00116591" w:rsidP="00A16503">
            <w:pPr>
              <w:pStyle w:val="Tabela-tekst"/>
              <w:rPr>
                <w:rFonts w:eastAsiaTheme="minorEastAsia"/>
              </w:rPr>
            </w:pPr>
            <w:r w:rsidRPr="00116591">
              <w:rPr>
                <w:rFonts w:eastAsiaTheme="minorEastAsia"/>
              </w:rPr>
              <w:t xml:space="preserve">ul. Chałubińskiego 4/66, </w:t>
            </w:r>
            <w:r>
              <w:rPr>
                <w:rFonts w:eastAsiaTheme="minorEastAsia"/>
              </w:rPr>
              <w:br/>
            </w:r>
            <w:r w:rsidRPr="00116591">
              <w:rPr>
                <w:rFonts w:eastAsiaTheme="minorEastAsia"/>
              </w:rPr>
              <w:t>00-928 Warszawa</w:t>
            </w:r>
          </w:p>
          <w:p w14:paraId="2C6FDDC0" w14:textId="74986FA7" w:rsidR="00116591" w:rsidRPr="00116591" w:rsidRDefault="00CE57D6" w:rsidP="00A16503">
            <w:pPr>
              <w:pStyle w:val="Tabela-tekst"/>
              <w:rPr>
                <w:rFonts w:eastAsiaTheme="minorEastAsia"/>
                <w:highlight w:val="yellow"/>
              </w:rPr>
            </w:pPr>
            <w:hyperlink r:id="rId104" w:history="1">
              <w:r w:rsidR="00116591" w:rsidRPr="005366EA">
                <w:rPr>
                  <w:rStyle w:val="Hipercze"/>
                  <w:rFonts w:eastAsiaTheme="minorEastAsia" w:cstheme="minorHAnsi"/>
                </w:rPr>
                <w:t>https://www.gov.pl/web/infrastruktura</w:t>
              </w:r>
            </w:hyperlink>
          </w:p>
        </w:tc>
      </w:tr>
      <w:tr w:rsidR="00116591" w:rsidRPr="00116591" w14:paraId="6872F6FD" w14:textId="77777777" w:rsidTr="00A32BE2">
        <w:trPr>
          <w:trHeight w:val="454"/>
        </w:trPr>
        <w:tc>
          <w:tcPr>
            <w:tcW w:w="310" w:type="pct"/>
            <w:vAlign w:val="center"/>
          </w:tcPr>
          <w:p w14:paraId="0002A6C3" w14:textId="3B1EB4AE" w:rsidR="00116591" w:rsidRPr="00116591" w:rsidRDefault="00116591" w:rsidP="00A16503">
            <w:pPr>
              <w:pStyle w:val="Tabela-tekst"/>
            </w:pPr>
            <w:r w:rsidRPr="00116591">
              <w:t>3</w:t>
            </w:r>
            <w:r w:rsidR="00A32BE2">
              <w:t>.</w:t>
            </w:r>
          </w:p>
        </w:tc>
        <w:tc>
          <w:tcPr>
            <w:tcW w:w="861" w:type="pct"/>
            <w:vAlign w:val="center"/>
          </w:tcPr>
          <w:p w14:paraId="00C42FD4" w14:textId="77777777" w:rsidR="00116591" w:rsidRPr="00116591" w:rsidRDefault="00116591" w:rsidP="00A16503">
            <w:pPr>
              <w:pStyle w:val="Tabela-tekst"/>
              <w:rPr>
                <w:rFonts w:eastAsiaTheme="minorEastAsia"/>
              </w:rPr>
            </w:pPr>
            <w:r w:rsidRPr="00116591">
              <w:rPr>
                <w:rFonts w:eastAsiaTheme="minorEastAsia"/>
              </w:rPr>
              <w:t>Prezes PGW WP</w:t>
            </w:r>
          </w:p>
        </w:tc>
        <w:tc>
          <w:tcPr>
            <w:tcW w:w="2424" w:type="pct"/>
            <w:vAlign w:val="center"/>
          </w:tcPr>
          <w:p w14:paraId="016B9935" w14:textId="76EEB0F5" w:rsidR="00116591" w:rsidRPr="00116591" w:rsidRDefault="00116591" w:rsidP="00A16503">
            <w:pPr>
              <w:pStyle w:val="Tabela-tekst"/>
              <w:rPr>
                <w:rFonts w:eastAsiaTheme="minorEastAsia"/>
              </w:rPr>
            </w:pPr>
            <w:r w:rsidRPr="00116591">
              <w:rPr>
                <w:rFonts w:eastAsiaTheme="minorEastAsia"/>
              </w:rPr>
              <w:t>Ustawa z dnia 20 lipca 2017 r. Prawo wodne (art. 14 ust.1 pkt 3, art. 239 i 241) (tekst jednolity Dz.U. z 2020 r. poz. 310)</w:t>
            </w:r>
          </w:p>
          <w:p w14:paraId="17E1489E" w14:textId="6AC832DD" w:rsidR="00116591" w:rsidRPr="00116591" w:rsidRDefault="00116591" w:rsidP="00A16503">
            <w:pPr>
              <w:pStyle w:val="Tabela-tekst"/>
              <w:rPr>
                <w:rFonts w:eastAsiaTheme="minorEastAsia"/>
              </w:rPr>
            </w:pPr>
            <w:r w:rsidRPr="00116591">
              <w:rPr>
                <w:rFonts w:eastAsiaTheme="minorEastAsia"/>
              </w:rPr>
              <w:t xml:space="preserve">Rozporządzenie Ministra Środowiska z dnia 28 grudnia 2017 r. w sprawie nadania statutu Państwowemu Gospodarstwu Wodnemu Wody Polskie (Dz.U. z </w:t>
            </w:r>
            <w:hyperlink r:id="rId105" w:history="1">
              <w:r w:rsidRPr="00116591">
                <w:rPr>
                  <w:rFonts w:eastAsiaTheme="minorEastAsia"/>
                </w:rPr>
                <w:t>2017 r. poz. 2506</w:t>
              </w:r>
            </w:hyperlink>
            <w:r w:rsidRPr="00116591">
              <w:rPr>
                <w:rFonts w:eastAsiaTheme="minorEastAsia"/>
              </w:rPr>
              <w:t>)</w:t>
            </w:r>
          </w:p>
        </w:tc>
        <w:tc>
          <w:tcPr>
            <w:tcW w:w="1405" w:type="pct"/>
            <w:vAlign w:val="center"/>
          </w:tcPr>
          <w:p w14:paraId="38AB8A6B" w14:textId="77777777" w:rsidR="00116591" w:rsidRPr="00116591" w:rsidRDefault="00116591" w:rsidP="00A16503">
            <w:pPr>
              <w:pStyle w:val="Tabela-tekst"/>
            </w:pPr>
            <w:r w:rsidRPr="00116591">
              <w:rPr>
                <w:rFonts w:eastAsiaTheme="minorEastAsia"/>
              </w:rPr>
              <w:t>PGW WP</w:t>
            </w:r>
          </w:p>
          <w:p w14:paraId="27E9FD63" w14:textId="6A9DE802" w:rsidR="00116591" w:rsidRPr="00116591" w:rsidRDefault="00116591" w:rsidP="00A16503">
            <w:pPr>
              <w:pStyle w:val="Tabela-tekst"/>
            </w:pPr>
            <w:r w:rsidRPr="00116591">
              <w:t xml:space="preserve">ul. Żelazna 59a, </w:t>
            </w:r>
            <w:r>
              <w:br/>
            </w:r>
            <w:r w:rsidRPr="00116591">
              <w:t>00-848 Warszawa</w:t>
            </w:r>
          </w:p>
          <w:p w14:paraId="56AA9069" w14:textId="6B2C0DAF" w:rsidR="00116591" w:rsidRPr="00116591" w:rsidRDefault="00CE57D6" w:rsidP="00A16503">
            <w:pPr>
              <w:pStyle w:val="Tabela-tekst"/>
              <w:rPr>
                <w:highlight w:val="yellow"/>
              </w:rPr>
            </w:pPr>
            <w:hyperlink r:id="rId106" w:history="1">
              <w:r w:rsidR="00116591" w:rsidRPr="005366EA">
                <w:rPr>
                  <w:rStyle w:val="Hipercze"/>
                  <w:rFonts w:cstheme="minorHAnsi"/>
                </w:rPr>
                <w:t>https://www.wody.gov.pl</w:t>
              </w:r>
            </w:hyperlink>
          </w:p>
        </w:tc>
      </w:tr>
      <w:tr w:rsidR="00116591" w:rsidRPr="00116591" w14:paraId="3ACEDEDE" w14:textId="77777777" w:rsidTr="00A32BE2">
        <w:trPr>
          <w:trHeight w:val="454"/>
        </w:trPr>
        <w:tc>
          <w:tcPr>
            <w:tcW w:w="310" w:type="pct"/>
            <w:vAlign w:val="center"/>
          </w:tcPr>
          <w:p w14:paraId="1D7A48DD" w14:textId="24065B3E" w:rsidR="00116591" w:rsidRPr="00116591" w:rsidRDefault="00116591" w:rsidP="00A16503">
            <w:pPr>
              <w:pStyle w:val="Tabela-tekst"/>
            </w:pPr>
            <w:r w:rsidRPr="00116591">
              <w:t>4</w:t>
            </w:r>
            <w:r w:rsidR="00A32BE2">
              <w:t>.</w:t>
            </w:r>
          </w:p>
        </w:tc>
        <w:tc>
          <w:tcPr>
            <w:tcW w:w="861" w:type="pct"/>
            <w:vAlign w:val="center"/>
          </w:tcPr>
          <w:p w14:paraId="774A10E9" w14:textId="77777777" w:rsidR="00116591" w:rsidRPr="00116591" w:rsidRDefault="00116591" w:rsidP="00A16503">
            <w:pPr>
              <w:pStyle w:val="Tabela-tekst"/>
              <w:rPr>
                <w:rFonts w:eastAsiaTheme="minorEastAsia"/>
              </w:rPr>
            </w:pPr>
            <w:r w:rsidRPr="00116591">
              <w:rPr>
                <w:rFonts w:eastAsiaTheme="minorEastAsia"/>
              </w:rPr>
              <w:t>Dyrektor RZGW WP</w:t>
            </w:r>
          </w:p>
        </w:tc>
        <w:tc>
          <w:tcPr>
            <w:tcW w:w="2424" w:type="pct"/>
            <w:vAlign w:val="center"/>
          </w:tcPr>
          <w:p w14:paraId="6F77B78C" w14:textId="25498C60" w:rsidR="00116591" w:rsidRPr="00116591" w:rsidRDefault="00116591" w:rsidP="00A16503">
            <w:pPr>
              <w:pStyle w:val="Tabela-tekst"/>
              <w:rPr>
                <w:rFonts w:eastAsiaTheme="minorEastAsia"/>
              </w:rPr>
            </w:pPr>
            <w:r w:rsidRPr="00116591">
              <w:rPr>
                <w:rFonts w:eastAsiaTheme="minorEastAsia"/>
              </w:rPr>
              <w:t>Ustawa z dnia 20 lipca 2017 r. Prawo wodne (art. 14 ust.1 pkt 3, art. 239 i 244) (tekst jednolity Dz.U. z 2020 r. poz. 310)</w:t>
            </w:r>
          </w:p>
          <w:p w14:paraId="5EC96E45" w14:textId="3EFCB369" w:rsidR="00116591" w:rsidRPr="00116591" w:rsidRDefault="00116591" w:rsidP="00A16503">
            <w:pPr>
              <w:pStyle w:val="Tabela-tekst"/>
            </w:pPr>
            <w:r w:rsidRPr="00116591">
              <w:rPr>
                <w:rFonts w:eastAsiaTheme="minorEastAsia"/>
              </w:rPr>
              <w:t>Rozporządzenie Ministra Środowiska z dnia 28 grudnia 2017 r. w sprawie nadania statutu Państwowemu Gospodarstwu Wodnemu Wody Polskie (Dz.U. z 2017 r. poz. 2506)</w:t>
            </w:r>
          </w:p>
        </w:tc>
        <w:tc>
          <w:tcPr>
            <w:tcW w:w="1405" w:type="pct"/>
            <w:vAlign w:val="center"/>
          </w:tcPr>
          <w:p w14:paraId="1783EAAE" w14:textId="0D26DB08" w:rsidR="00116591" w:rsidRPr="00116591" w:rsidRDefault="00116591" w:rsidP="00A16503">
            <w:pPr>
              <w:pStyle w:val="Tabela-tekst"/>
              <w:rPr>
                <w:noProof/>
              </w:rPr>
            </w:pPr>
            <w:r w:rsidRPr="00116591">
              <w:rPr>
                <w:noProof/>
              </w:rPr>
              <w:t>RZGW w Białymstoku</w:t>
            </w:r>
            <w:r w:rsidRPr="00116591">
              <w:rPr>
                <w:noProof/>
              </w:rPr>
              <w:br/>
              <w:t xml:space="preserve">ul. Jana Klemensa Branickiego 17A, </w:t>
            </w:r>
            <w:r>
              <w:rPr>
                <w:noProof/>
              </w:rPr>
              <w:br/>
            </w:r>
            <w:r w:rsidR="00563DBE">
              <w:rPr>
                <w:noProof/>
              </w:rPr>
              <w:t>1</w:t>
            </w:r>
            <w:r w:rsidRPr="00116591">
              <w:rPr>
                <w:noProof/>
              </w:rPr>
              <w:t>5-085 Białystok</w:t>
            </w:r>
          </w:p>
        </w:tc>
      </w:tr>
      <w:tr w:rsidR="00116591" w:rsidRPr="00116591" w14:paraId="32DE9211" w14:textId="77777777" w:rsidTr="00A32BE2">
        <w:trPr>
          <w:trHeight w:val="454"/>
        </w:trPr>
        <w:tc>
          <w:tcPr>
            <w:tcW w:w="310" w:type="pct"/>
            <w:vAlign w:val="center"/>
          </w:tcPr>
          <w:p w14:paraId="2D48B355" w14:textId="22E71FCF" w:rsidR="00116591" w:rsidRPr="00116591" w:rsidRDefault="00116591" w:rsidP="00A16503">
            <w:pPr>
              <w:pStyle w:val="Tabela-tekst"/>
            </w:pPr>
            <w:r w:rsidRPr="00116591">
              <w:t>5</w:t>
            </w:r>
            <w:r w:rsidR="00A32BE2">
              <w:t>.</w:t>
            </w:r>
          </w:p>
        </w:tc>
        <w:tc>
          <w:tcPr>
            <w:tcW w:w="861" w:type="pct"/>
            <w:vAlign w:val="center"/>
          </w:tcPr>
          <w:p w14:paraId="59147EB2" w14:textId="77777777" w:rsidR="00116591" w:rsidRPr="00116591" w:rsidRDefault="00116591" w:rsidP="00A16503">
            <w:pPr>
              <w:pStyle w:val="Tabela-tekst"/>
              <w:rPr>
                <w:rFonts w:eastAsiaTheme="minorEastAsia"/>
              </w:rPr>
            </w:pPr>
            <w:r w:rsidRPr="00116591">
              <w:rPr>
                <w:rFonts w:eastAsiaTheme="minorEastAsia"/>
              </w:rPr>
              <w:t>Dyrektor ZZ WP</w:t>
            </w:r>
          </w:p>
        </w:tc>
        <w:tc>
          <w:tcPr>
            <w:tcW w:w="2424" w:type="pct"/>
            <w:vAlign w:val="center"/>
          </w:tcPr>
          <w:p w14:paraId="024D6310" w14:textId="3D537B2B" w:rsidR="00116591" w:rsidRPr="00116591" w:rsidRDefault="00116591" w:rsidP="00A16503">
            <w:pPr>
              <w:pStyle w:val="Tabela-tekst"/>
              <w:rPr>
                <w:rFonts w:eastAsiaTheme="minorEastAsia"/>
              </w:rPr>
            </w:pPr>
            <w:r w:rsidRPr="00116591">
              <w:rPr>
                <w:rFonts w:eastAsiaTheme="minorEastAsia"/>
              </w:rPr>
              <w:t>Ustawa z dnia 20 lipca 2017 r. Prawo wodne (art. 14 ust.1 pkt 3, art. 239 i 247) (tekst jednolity Dz.U. z 2020 r. poz. 310)</w:t>
            </w:r>
          </w:p>
          <w:p w14:paraId="6DDDFB9B" w14:textId="68DE4705" w:rsidR="00116591" w:rsidRPr="00116591" w:rsidRDefault="00116591" w:rsidP="00A16503">
            <w:pPr>
              <w:pStyle w:val="Tabela-tekst"/>
            </w:pPr>
            <w:r w:rsidRPr="00116591">
              <w:rPr>
                <w:rFonts w:eastAsiaTheme="minorEastAsia"/>
              </w:rPr>
              <w:t>Rozporządzenie Ministra Środowiska z dnia 28 grudnia 2017 r. w sprawie nadania statutu Państwowemu Gospodarstwu Wodnemu Wody Polskie (Dz.U. z 2017 r. poz. 2506)</w:t>
            </w:r>
          </w:p>
        </w:tc>
        <w:tc>
          <w:tcPr>
            <w:tcW w:w="1405" w:type="pct"/>
            <w:vAlign w:val="center"/>
          </w:tcPr>
          <w:p w14:paraId="780A5C3F" w14:textId="0CD08E47" w:rsidR="00116591" w:rsidRDefault="00116591" w:rsidP="00A16503">
            <w:pPr>
              <w:pStyle w:val="Tabela-tekst"/>
              <w:rPr>
                <w:noProof/>
              </w:rPr>
            </w:pPr>
            <w:r w:rsidRPr="00116591">
              <w:rPr>
                <w:noProof/>
              </w:rPr>
              <w:t xml:space="preserve">Zgodnie z wykazem PGW WP w obszarze dorzecza </w:t>
            </w:r>
            <w:r w:rsidR="00E36B16">
              <w:t>Pregoły</w:t>
            </w:r>
            <w:r w:rsidRPr="00116591">
              <w:rPr>
                <w:noProof/>
              </w:rPr>
              <w:t xml:space="preserve"> funkcjonuj</w:t>
            </w:r>
            <w:r>
              <w:rPr>
                <w:noProof/>
              </w:rPr>
              <w:t>ą</w:t>
            </w:r>
            <w:r w:rsidRPr="00116591">
              <w:rPr>
                <w:noProof/>
              </w:rPr>
              <w:t xml:space="preserve"> 2 ZZ WP</w:t>
            </w:r>
          </w:p>
          <w:p w14:paraId="22B6099D" w14:textId="77777777" w:rsidR="00116591" w:rsidRPr="00116591" w:rsidRDefault="00116591" w:rsidP="00A16503">
            <w:pPr>
              <w:pStyle w:val="Tabela-tekst"/>
              <w:rPr>
                <w:noProof/>
              </w:rPr>
            </w:pPr>
          </w:p>
          <w:p w14:paraId="4081E63B" w14:textId="77777777" w:rsidR="00116591" w:rsidRPr="00116591" w:rsidRDefault="00116591" w:rsidP="00A16503">
            <w:pPr>
              <w:pStyle w:val="Tabela-tekst"/>
              <w:rPr>
                <w:noProof/>
              </w:rPr>
            </w:pPr>
            <w:r w:rsidRPr="00116591">
              <w:rPr>
                <w:noProof/>
              </w:rPr>
              <w:t xml:space="preserve">ZZ w Giżycku </w:t>
            </w:r>
          </w:p>
          <w:p w14:paraId="526A3D53" w14:textId="77777777" w:rsidR="00116591" w:rsidRPr="00116591" w:rsidRDefault="00116591" w:rsidP="00A16503">
            <w:pPr>
              <w:pStyle w:val="Tabela-tekst"/>
              <w:rPr>
                <w:noProof/>
              </w:rPr>
            </w:pPr>
            <w:r w:rsidRPr="00116591">
              <w:rPr>
                <w:noProof/>
              </w:rPr>
              <w:t>ul. Wodna 4</w:t>
            </w:r>
          </w:p>
          <w:p w14:paraId="50BF7577" w14:textId="77777777" w:rsidR="00116591" w:rsidRPr="00116591" w:rsidRDefault="00116591" w:rsidP="00A16503">
            <w:pPr>
              <w:pStyle w:val="Tabela-tekst"/>
              <w:rPr>
                <w:noProof/>
              </w:rPr>
            </w:pPr>
            <w:r w:rsidRPr="00116591">
              <w:rPr>
                <w:noProof/>
              </w:rPr>
              <w:t>11-500 Giżycko</w:t>
            </w:r>
          </w:p>
          <w:p w14:paraId="5C0A27AD" w14:textId="77777777" w:rsidR="00116591" w:rsidRPr="00116591" w:rsidRDefault="00116591" w:rsidP="00A16503">
            <w:pPr>
              <w:pStyle w:val="Tabela-tekst"/>
              <w:rPr>
                <w:noProof/>
              </w:rPr>
            </w:pPr>
          </w:p>
          <w:p w14:paraId="0CA102B3" w14:textId="77777777" w:rsidR="00116591" w:rsidRPr="00116591" w:rsidRDefault="00116591" w:rsidP="00A16503">
            <w:pPr>
              <w:pStyle w:val="Tabela-tekst"/>
              <w:rPr>
                <w:noProof/>
              </w:rPr>
            </w:pPr>
            <w:r w:rsidRPr="00116591">
              <w:rPr>
                <w:noProof/>
              </w:rPr>
              <w:t xml:space="preserve">ZZ w Olsztynie </w:t>
            </w:r>
          </w:p>
          <w:p w14:paraId="17F14141" w14:textId="77777777" w:rsidR="00116591" w:rsidRPr="00116591" w:rsidRDefault="00116591" w:rsidP="00A16503">
            <w:pPr>
              <w:pStyle w:val="Tabela-tekst"/>
            </w:pPr>
            <w:r w:rsidRPr="00116591">
              <w:t>ul. Partyzantów 24</w:t>
            </w:r>
          </w:p>
          <w:p w14:paraId="1D61253F" w14:textId="77777777" w:rsidR="00116591" w:rsidRPr="00116591" w:rsidRDefault="00116591" w:rsidP="00A16503">
            <w:pPr>
              <w:pStyle w:val="Tabela-tekst"/>
            </w:pPr>
            <w:r w:rsidRPr="00116591">
              <w:t>10-526 Olsztyn</w:t>
            </w:r>
          </w:p>
        </w:tc>
      </w:tr>
      <w:tr w:rsidR="00116591" w:rsidRPr="00116591" w14:paraId="0AAB2789" w14:textId="77777777" w:rsidTr="00A32BE2">
        <w:trPr>
          <w:trHeight w:val="454"/>
        </w:trPr>
        <w:tc>
          <w:tcPr>
            <w:tcW w:w="310" w:type="pct"/>
            <w:vAlign w:val="center"/>
          </w:tcPr>
          <w:p w14:paraId="1F966826" w14:textId="17BC0A37" w:rsidR="00116591" w:rsidRPr="00116591" w:rsidRDefault="00116591" w:rsidP="00A16503">
            <w:pPr>
              <w:pStyle w:val="Tabela-tekst"/>
            </w:pPr>
            <w:r w:rsidRPr="00116591">
              <w:t>6</w:t>
            </w:r>
            <w:r w:rsidR="00A32BE2">
              <w:t>.</w:t>
            </w:r>
          </w:p>
        </w:tc>
        <w:tc>
          <w:tcPr>
            <w:tcW w:w="861" w:type="pct"/>
            <w:vAlign w:val="center"/>
          </w:tcPr>
          <w:p w14:paraId="682648B4" w14:textId="77777777" w:rsidR="00116591" w:rsidRPr="00116591" w:rsidRDefault="00116591" w:rsidP="00A16503">
            <w:pPr>
              <w:pStyle w:val="Tabela-tekst"/>
              <w:rPr>
                <w:rFonts w:eastAsiaTheme="minorEastAsia"/>
              </w:rPr>
            </w:pPr>
            <w:r w:rsidRPr="00116591">
              <w:rPr>
                <w:rFonts w:eastAsiaTheme="minorEastAsia"/>
              </w:rPr>
              <w:t>Kierownik NW WP</w:t>
            </w:r>
          </w:p>
        </w:tc>
        <w:tc>
          <w:tcPr>
            <w:tcW w:w="2424" w:type="pct"/>
            <w:vAlign w:val="center"/>
          </w:tcPr>
          <w:p w14:paraId="1FC0057F" w14:textId="3B988343" w:rsidR="00116591" w:rsidRPr="00116591" w:rsidRDefault="00116591" w:rsidP="00A16503">
            <w:pPr>
              <w:pStyle w:val="Tabela-tekst"/>
              <w:rPr>
                <w:rFonts w:eastAsiaTheme="minorEastAsia"/>
              </w:rPr>
            </w:pPr>
            <w:r w:rsidRPr="00116591">
              <w:rPr>
                <w:rFonts w:eastAsiaTheme="minorEastAsia"/>
              </w:rPr>
              <w:t>Ustawa z dnia 20 lipca 2017 r. Prawo wodne (art. 14 ust.1 pkt 3, art. 239 i 249) (tekst jednolity Dz.U. z 2020 r. poz. 310)</w:t>
            </w:r>
          </w:p>
          <w:p w14:paraId="249FA664" w14:textId="6952FF52" w:rsidR="00116591" w:rsidRPr="00116591" w:rsidRDefault="00116591" w:rsidP="00A16503">
            <w:pPr>
              <w:pStyle w:val="Tabela-tekst"/>
            </w:pPr>
            <w:r w:rsidRPr="00116591">
              <w:rPr>
                <w:rFonts w:eastAsiaTheme="minorEastAsia"/>
              </w:rPr>
              <w:t>Rozporządzenie Ministra Środowiska z dnia 28 grudnia 2017 r. w sprawie nadania statutu Państwowemu Gospodarstwu Wodnemu Wody Polskie (Dz.U. z 2017 r. poz. 2506)</w:t>
            </w:r>
          </w:p>
        </w:tc>
        <w:tc>
          <w:tcPr>
            <w:tcW w:w="1405" w:type="pct"/>
            <w:vAlign w:val="center"/>
          </w:tcPr>
          <w:p w14:paraId="1BBF0839" w14:textId="66821817" w:rsidR="00116591" w:rsidRPr="00116591" w:rsidRDefault="00116591" w:rsidP="00A16503">
            <w:pPr>
              <w:pStyle w:val="Tabela-tekst"/>
            </w:pPr>
            <w:r w:rsidRPr="00744432">
              <w:rPr>
                <w:noProof/>
              </w:rPr>
              <w:t xml:space="preserve">Zgodnie z wykazem PGW WP w obszarze dorzecza </w:t>
            </w:r>
            <w:r w:rsidR="00E36B16" w:rsidRPr="00744432">
              <w:t>Pregoły</w:t>
            </w:r>
            <w:r w:rsidRPr="00744432">
              <w:rPr>
                <w:noProof/>
              </w:rPr>
              <w:t xml:space="preserve"> funkcjonuje 7 NW WP</w:t>
            </w:r>
          </w:p>
        </w:tc>
      </w:tr>
      <w:tr w:rsidR="00116591" w:rsidRPr="00116591" w14:paraId="46154242" w14:textId="77777777" w:rsidTr="00A32BE2">
        <w:trPr>
          <w:trHeight w:val="454"/>
        </w:trPr>
        <w:tc>
          <w:tcPr>
            <w:tcW w:w="310" w:type="pct"/>
            <w:vAlign w:val="center"/>
          </w:tcPr>
          <w:p w14:paraId="6318686B" w14:textId="23E0946F" w:rsidR="00116591" w:rsidRPr="00116591" w:rsidRDefault="00116591" w:rsidP="00A16503">
            <w:pPr>
              <w:pStyle w:val="Tabela-tekst"/>
            </w:pPr>
            <w:r w:rsidRPr="00116591">
              <w:t>7</w:t>
            </w:r>
            <w:r w:rsidR="00A32BE2">
              <w:t>.</w:t>
            </w:r>
          </w:p>
        </w:tc>
        <w:tc>
          <w:tcPr>
            <w:tcW w:w="861" w:type="pct"/>
            <w:vAlign w:val="center"/>
          </w:tcPr>
          <w:p w14:paraId="3A6AACCF" w14:textId="77777777" w:rsidR="00116591" w:rsidRPr="00116591" w:rsidRDefault="00116591" w:rsidP="00A16503">
            <w:pPr>
              <w:pStyle w:val="Tabela-tekst"/>
            </w:pPr>
            <w:r w:rsidRPr="00116591">
              <w:t>Dyrektor Urzędu Morskiego</w:t>
            </w:r>
          </w:p>
        </w:tc>
        <w:tc>
          <w:tcPr>
            <w:tcW w:w="2424" w:type="pct"/>
            <w:vAlign w:val="center"/>
          </w:tcPr>
          <w:p w14:paraId="2974562B" w14:textId="2387AB15" w:rsidR="00116591" w:rsidRPr="00116591" w:rsidRDefault="00116591" w:rsidP="00A16503">
            <w:pPr>
              <w:pStyle w:val="Tabela-tekst"/>
            </w:pPr>
            <w:r w:rsidRPr="00116591">
              <w:rPr>
                <w:rFonts w:eastAsiaTheme="minorEastAsia"/>
              </w:rPr>
              <w:t xml:space="preserve">Ustawa z dnia 20 lipca 2017 r. Prawo wodne </w:t>
            </w:r>
            <w:r w:rsidRPr="00116591">
              <w:t xml:space="preserve">(art. 14 ust. 1 pkt 7) </w:t>
            </w:r>
            <w:r w:rsidRPr="00116591">
              <w:rPr>
                <w:rFonts w:eastAsiaTheme="minorEastAsia"/>
              </w:rPr>
              <w:t>(tekst jednolity Dz.U. z 2020 r. poz. 310)</w:t>
            </w:r>
          </w:p>
          <w:p w14:paraId="6F1A88B5" w14:textId="29645164" w:rsidR="00116591" w:rsidRPr="00116591" w:rsidRDefault="00116591" w:rsidP="00A16503">
            <w:pPr>
              <w:pStyle w:val="Tabela-tekst"/>
            </w:pPr>
            <w:r w:rsidRPr="00116591">
              <w:t>Ustawa z dnia 21 marca 1991 r. o obszarach morskich Rzeczypospolitej Polskiej i administracji morskiej (art. 38 ust. 1 pkt 2) (tekst jednolity Dz.U. z 2020 r. poz. 2135)</w:t>
            </w:r>
          </w:p>
          <w:p w14:paraId="67FB86D5" w14:textId="60120BAF" w:rsidR="00116591" w:rsidRPr="00116591" w:rsidRDefault="00116591" w:rsidP="00A16503">
            <w:pPr>
              <w:pStyle w:val="Tabela-tekst"/>
            </w:pPr>
            <w:r w:rsidRPr="00116591">
              <w:t>Rozporządzenie Ministra Transportu i Gospodarki Morskiej z dnia 7 października 1991 r. w sprawie utworzenia urzędów morskich, określenia ich siedzib oraz terytorialnego zakresu działania dyrektorów urzędów morskich (Dz.U. z 1991 r. nr 98 poz. 438 ze zm.)</w:t>
            </w:r>
          </w:p>
        </w:tc>
        <w:tc>
          <w:tcPr>
            <w:tcW w:w="1405" w:type="pct"/>
            <w:vAlign w:val="center"/>
          </w:tcPr>
          <w:p w14:paraId="39C49858" w14:textId="02792582" w:rsidR="00116591" w:rsidRPr="00116591" w:rsidRDefault="00953E90" w:rsidP="00A16503">
            <w:pPr>
              <w:pStyle w:val="Tabela-tekst"/>
              <w:rPr>
                <w:highlight w:val="yellow"/>
              </w:rPr>
            </w:pPr>
            <w:r>
              <w:t>Nie dotyczy, brak jcwp TW i CW</w:t>
            </w:r>
          </w:p>
        </w:tc>
      </w:tr>
      <w:tr w:rsidR="00116591" w:rsidRPr="00116591" w14:paraId="50662663" w14:textId="77777777" w:rsidTr="00A32BE2">
        <w:trPr>
          <w:trHeight w:val="454"/>
        </w:trPr>
        <w:tc>
          <w:tcPr>
            <w:tcW w:w="310" w:type="pct"/>
            <w:vAlign w:val="center"/>
          </w:tcPr>
          <w:p w14:paraId="389BB319" w14:textId="79AB1F7E" w:rsidR="00116591" w:rsidRPr="00116591" w:rsidRDefault="00116591" w:rsidP="00A16503">
            <w:pPr>
              <w:pStyle w:val="Tabela-tekst"/>
            </w:pPr>
            <w:r w:rsidRPr="00116591">
              <w:t>8</w:t>
            </w:r>
            <w:r w:rsidR="00A32BE2">
              <w:t>.</w:t>
            </w:r>
          </w:p>
        </w:tc>
        <w:tc>
          <w:tcPr>
            <w:tcW w:w="861" w:type="pct"/>
            <w:vAlign w:val="center"/>
          </w:tcPr>
          <w:p w14:paraId="483286BF" w14:textId="77777777" w:rsidR="00116591" w:rsidRPr="00116591" w:rsidRDefault="00116591" w:rsidP="00A16503">
            <w:pPr>
              <w:pStyle w:val="Tabela-tekst"/>
            </w:pPr>
            <w:r w:rsidRPr="00116591">
              <w:t>Wojewoda</w:t>
            </w:r>
          </w:p>
        </w:tc>
        <w:tc>
          <w:tcPr>
            <w:tcW w:w="2424" w:type="pct"/>
            <w:vAlign w:val="center"/>
          </w:tcPr>
          <w:p w14:paraId="55681DDC" w14:textId="3CF2F569" w:rsidR="00116591" w:rsidRPr="00116591" w:rsidRDefault="00116591" w:rsidP="00A16503">
            <w:pPr>
              <w:pStyle w:val="Tabela-tekst"/>
            </w:pPr>
            <w:r w:rsidRPr="00116591">
              <w:rPr>
                <w:rFonts w:eastAsiaTheme="minorEastAsia"/>
              </w:rPr>
              <w:t xml:space="preserve">Ustawa z dnia 20 lipca 2017 r. Prawo wodne </w:t>
            </w:r>
            <w:r w:rsidRPr="00116591">
              <w:t xml:space="preserve">(art. 14 ust. 1 pkt 8) </w:t>
            </w:r>
            <w:r w:rsidRPr="00116591">
              <w:rPr>
                <w:rFonts w:eastAsiaTheme="minorEastAsia"/>
              </w:rPr>
              <w:t>(tekst jednolity Dz.U. z 2020 r. poz. 310)</w:t>
            </w:r>
          </w:p>
          <w:p w14:paraId="164E5DE9" w14:textId="57E6BAE4" w:rsidR="00116591" w:rsidRPr="00116591" w:rsidRDefault="00116591" w:rsidP="00A16503">
            <w:pPr>
              <w:pStyle w:val="Tabela-tekst"/>
            </w:pPr>
            <w:r w:rsidRPr="00116591">
              <w:t>Ustawa z dnia 23 stycznia 2009 r. o wojewodzie i administracji rządowej w województwie (art. 3) (tekst jednolity Dz.U. z 2019 r. poz. 1464)</w:t>
            </w:r>
          </w:p>
        </w:tc>
        <w:tc>
          <w:tcPr>
            <w:tcW w:w="1405" w:type="pct"/>
            <w:vAlign w:val="center"/>
          </w:tcPr>
          <w:p w14:paraId="57757714" w14:textId="77777777" w:rsidR="00116591" w:rsidRPr="00116591" w:rsidRDefault="00116591" w:rsidP="00A16503">
            <w:pPr>
              <w:pStyle w:val="Tabela-tekst"/>
            </w:pPr>
            <w:r w:rsidRPr="00116591">
              <w:t>Stosownie do podziału administracyjnego</w:t>
            </w:r>
          </w:p>
        </w:tc>
      </w:tr>
      <w:tr w:rsidR="00116591" w:rsidRPr="00116591" w14:paraId="2D81CEAA" w14:textId="77777777" w:rsidTr="00A32BE2">
        <w:trPr>
          <w:trHeight w:val="454"/>
        </w:trPr>
        <w:tc>
          <w:tcPr>
            <w:tcW w:w="310" w:type="pct"/>
            <w:vAlign w:val="center"/>
          </w:tcPr>
          <w:p w14:paraId="79DB81EC" w14:textId="34E41551" w:rsidR="00116591" w:rsidRPr="00116591" w:rsidRDefault="00116591" w:rsidP="00A16503">
            <w:pPr>
              <w:pStyle w:val="Tabela-tekst"/>
            </w:pPr>
            <w:r w:rsidRPr="00116591">
              <w:t>9</w:t>
            </w:r>
            <w:r w:rsidR="00A32BE2">
              <w:t>.</w:t>
            </w:r>
          </w:p>
        </w:tc>
        <w:tc>
          <w:tcPr>
            <w:tcW w:w="861" w:type="pct"/>
            <w:vAlign w:val="center"/>
          </w:tcPr>
          <w:p w14:paraId="75143264" w14:textId="77777777" w:rsidR="00116591" w:rsidRPr="00116591" w:rsidRDefault="00116591" w:rsidP="00A16503">
            <w:pPr>
              <w:pStyle w:val="Tabela-tekst"/>
            </w:pPr>
            <w:r w:rsidRPr="00116591">
              <w:t>Starosta</w:t>
            </w:r>
          </w:p>
        </w:tc>
        <w:tc>
          <w:tcPr>
            <w:tcW w:w="2424" w:type="pct"/>
            <w:vAlign w:val="center"/>
          </w:tcPr>
          <w:p w14:paraId="22DE29AE" w14:textId="62948AD6" w:rsidR="00116591" w:rsidRPr="00116591" w:rsidRDefault="00116591" w:rsidP="00A16503">
            <w:pPr>
              <w:pStyle w:val="Tabela-tekst"/>
            </w:pPr>
            <w:r w:rsidRPr="00116591">
              <w:rPr>
                <w:rFonts w:eastAsiaTheme="minorEastAsia"/>
              </w:rPr>
              <w:t xml:space="preserve">Ustawa z dnia 20 lipca 2017 r. Prawo wodne </w:t>
            </w:r>
            <w:r w:rsidRPr="00116591">
              <w:t xml:space="preserve">(art. 14 ust. 1 pkt 9) </w:t>
            </w:r>
            <w:r w:rsidRPr="00116591">
              <w:rPr>
                <w:rFonts w:eastAsiaTheme="minorEastAsia"/>
              </w:rPr>
              <w:t>(tekst jednolity Dz.U. z 2020 r. poz. 310)</w:t>
            </w:r>
          </w:p>
          <w:p w14:paraId="3FF1BBB9" w14:textId="743B0749" w:rsidR="00116591" w:rsidRPr="00116591" w:rsidRDefault="00116591" w:rsidP="00A16503">
            <w:pPr>
              <w:pStyle w:val="Tabela-tekst"/>
            </w:pPr>
            <w:r w:rsidRPr="00116591">
              <w:t xml:space="preserve">Ustawa z dnia 5 czerwca 1998 r. o samorządzie powiatowym (art. 26 ust. 2) </w:t>
            </w:r>
            <w:r w:rsidR="00CD3F7A">
              <w:t>(</w:t>
            </w:r>
            <w:r w:rsidRPr="00116591">
              <w:t>tekst jednolity Dz.U. z 2020 r. poz. 920)</w:t>
            </w:r>
          </w:p>
        </w:tc>
        <w:tc>
          <w:tcPr>
            <w:tcW w:w="1405" w:type="pct"/>
            <w:vAlign w:val="center"/>
          </w:tcPr>
          <w:p w14:paraId="37BB74EF" w14:textId="77777777" w:rsidR="00116591" w:rsidRPr="00116591" w:rsidRDefault="00116591" w:rsidP="00A16503">
            <w:pPr>
              <w:pStyle w:val="Tabela-tekst"/>
            </w:pPr>
            <w:r w:rsidRPr="00116591">
              <w:t>Stosownie do podziału administracyjnego</w:t>
            </w:r>
          </w:p>
        </w:tc>
      </w:tr>
      <w:tr w:rsidR="00116591" w:rsidRPr="00116591" w14:paraId="6BBF36B7" w14:textId="77777777" w:rsidTr="00A32BE2">
        <w:trPr>
          <w:trHeight w:val="454"/>
        </w:trPr>
        <w:tc>
          <w:tcPr>
            <w:tcW w:w="310" w:type="pct"/>
            <w:vAlign w:val="center"/>
          </w:tcPr>
          <w:p w14:paraId="67E2216D" w14:textId="6D2E7C97" w:rsidR="00116591" w:rsidRPr="00116591" w:rsidRDefault="00116591" w:rsidP="00A16503">
            <w:pPr>
              <w:pStyle w:val="Tabela-tekst"/>
            </w:pPr>
            <w:r w:rsidRPr="00116591">
              <w:t>10</w:t>
            </w:r>
            <w:r w:rsidR="00A32BE2">
              <w:t>.</w:t>
            </w:r>
          </w:p>
        </w:tc>
        <w:tc>
          <w:tcPr>
            <w:tcW w:w="861" w:type="pct"/>
            <w:vAlign w:val="center"/>
          </w:tcPr>
          <w:p w14:paraId="69295259" w14:textId="77777777" w:rsidR="00116591" w:rsidRPr="00116591" w:rsidRDefault="00116591" w:rsidP="00A16503">
            <w:pPr>
              <w:pStyle w:val="Tabela-tekst"/>
            </w:pPr>
            <w:r w:rsidRPr="00116591">
              <w:t>Wójt, burmistrz lub prezydent miasta</w:t>
            </w:r>
          </w:p>
        </w:tc>
        <w:tc>
          <w:tcPr>
            <w:tcW w:w="2424" w:type="pct"/>
            <w:vAlign w:val="center"/>
          </w:tcPr>
          <w:p w14:paraId="714914EB" w14:textId="0EE233C5" w:rsidR="00116591" w:rsidRPr="00116591" w:rsidRDefault="00116591" w:rsidP="00A16503">
            <w:pPr>
              <w:pStyle w:val="Tabela-tekst"/>
            </w:pPr>
            <w:r w:rsidRPr="00116591">
              <w:rPr>
                <w:rFonts w:eastAsiaTheme="minorEastAsia"/>
              </w:rPr>
              <w:t xml:space="preserve">Ustawa z dnia 20 lipca 2017 r. Prawo wodne </w:t>
            </w:r>
            <w:r w:rsidRPr="00116591">
              <w:t xml:space="preserve">(art. 14 ust. 1 pkt 10) </w:t>
            </w:r>
            <w:r w:rsidRPr="00116591">
              <w:rPr>
                <w:rFonts w:eastAsiaTheme="minorEastAsia"/>
              </w:rPr>
              <w:t>(tekst jednolity Dz.U. z 2020 r. poz. 310)</w:t>
            </w:r>
          </w:p>
          <w:p w14:paraId="1BB46D7D" w14:textId="7E765179" w:rsidR="00116591" w:rsidRPr="00116591" w:rsidRDefault="00116591" w:rsidP="00A16503">
            <w:pPr>
              <w:pStyle w:val="Tabela-tekst"/>
            </w:pPr>
            <w:r w:rsidRPr="00116591">
              <w:t>Ustawa z 8 marca 1990 r. o samorządzie gminnym (art. 11a ust. 1 pkt 2 i art. 26 ust. 1) (tekst jednolity Dz.U. z 2020 r. poz. 713)</w:t>
            </w:r>
          </w:p>
        </w:tc>
        <w:tc>
          <w:tcPr>
            <w:tcW w:w="1405" w:type="pct"/>
            <w:vAlign w:val="center"/>
          </w:tcPr>
          <w:p w14:paraId="73D92076" w14:textId="77777777" w:rsidR="00116591" w:rsidRPr="00116591" w:rsidRDefault="00116591" w:rsidP="00A16503">
            <w:pPr>
              <w:pStyle w:val="Tabela-tekst"/>
            </w:pPr>
            <w:r w:rsidRPr="00116591">
              <w:t>Stosownie do podziału administracyjnego</w:t>
            </w:r>
          </w:p>
        </w:tc>
      </w:tr>
    </w:tbl>
    <w:bookmarkEnd w:id="587"/>
    <w:p w14:paraId="21A30165" w14:textId="5FCFD559" w:rsidR="00116591" w:rsidRDefault="00116591" w:rsidP="00442AB7">
      <w:pPr>
        <w:pStyle w:val="rdo0"/>
        <w:rPr>
          <w:i w:val="0"/>
        </w:rPr>
      </w:pPr>
      <w:r>
        <w:t xml:space="preserve">Źródło: opracowanie </w:t>
      </w:r>
      <w:r w:rsidR="00F340C7">
        <w:t xml:space="preserve">własne </w:t>
      </w:r>
      <w:r>
        <w:t>na podstawie obowiązujących aktów prawnych</w:t>
      </w:r>
    </w:p>
    <w:p w14:paraId="5F03A563" w14:textId="0CC87562" w:rsidR="00385675" w:rsidRDefault="00116591" w:rsidP="00116591">
      <w:pPr>
        <w:rPr>
          <w:rFonts w:asciiTheme="minorHAnsi" w:hAnsiTheme="minorHAnsi" w:cstheme="minorHAnsi"/>
        </w:rPr>
      </w:pPr>
      <w:r w:rsidRPr="00A35CE5">
        <w:rPr>
          <w:rFonts w:asciiTheme="minorHAnsi" w:hAnsiTheme="minorHAnsi" w:cstheme="minorHAnsi"/>
        </w:rPr>
        <w:t xml:space="preserve">W poprzednim stanie prawnym tj. na bazie przepisów </w:t>
      </w:r>
      <w:r>
        <w:rPr>
          <w:rFonts w:asciiTheme="minorHAnsi" w:hAnsiTheme="minorHAnsi" w:cstheme="minorHAnsi"/>
        </w:rPr>
        <w:t xml:space="preserve">ustawy </w:t>
      </w:r>
      <w:r w:rsidRPr="00A35CE5">
        <w:rPr>
          <w:rFonts w:asciiTheme="minorHAnsi" w:hAnsiTheme="minorHAnsi" w:cstheme="minorHAnsi"/>
        </w:rPr>
        <w:t xml:space="preserve">s.pr.w. </w:t>
      </w:r>
      <w:r w:rsidRPr="00EA2765">
        <w:rPr>
          <w:rFonts w:asciiTheme="minorHAnsi" w:hAnsiTheme="minorHAnsi" w:cstheme="minorHAnsi"/>
        </w:rPr>
        <w:t xml:space="preserve">organami właściwymi w sprawach gospodarowania wodami byli minister właściwy </w:t>
      </w:r>
      <w:r>
        <w:rPr>
          <w:rFonts w:asciiTheme="minorHAnsi" w:hAnsiTheme="minorHAnsi" w:cstheme="minorHAnsi"/>
        </w:rPr>
        <w:t>ds.</w:t>
      </w:r>
      <w:r w:rsidRPr="00EA2765">
        <w:rPr>
          <w:rFonts w:asciiTheme="minorHAnsi" w:hAnsiTheme="minorHAnsi" w:cstheme="minorHAnsi"/>
        </w:rPr>
        <w:t xml:space="preserve"> gospodarki wodnej, Prezes KZGW, Dyrektor RZGW, wojewoda i organy samorządu terytorialnego</w:t>
      </w:r>
      <w:r w:rsidRPr="00A35CE5">
        <w:rPr>
          <w:rFonts w:asciiTheme="minorHAnsi" w:hAnsiTheme="minorHAnsi" w:cstheme="minorHAnsi"/>
        </w:rPr>
        <w:t xml:space="preserve">. Przy określaniu </w:t>
      </w:r>
      <w:r w:rsidRPr="00385675">
        <w:rPr>
          <w:rFonts w:asciiTheme="minorHAnsi" w:hAnsiTheme="minorHAnsi" w:cstheme="minorHAnsi"/>
        </w:rPr>
        <w:t xml:space="preserve">kompetencji Ministra Środowiska wskazywano na art. 4 ust. 2 </w:t>
      </w:r>
      <w:r w:rsidR="00980B19">
        <w:rPr>
          <w:rFonts w:asciiTheme="minorHAnsi" w:hAnsiTheme="minorHAnsi" w:cstheme="minorHAnsi"/>
        </w:rPr>
        <w:t xml:space="preserve">ustawy </w:t>
      </w:r>
      <w:r w:rsidRPr="00385675">
        <w:rPr>
          <w:rFonts w:asciiTheme="minorHAnsi" w:hAnsiTheme="minorHAnsi" w:cstheme="minorHAnsi"/>
        </w:rPr>
        <w:t>s.pr.w., z którego wynikało, że minister właściwy do spraw gospodarki</w:t>
      </w:r>
      <w:r w:rsidRPr="00A35CE5">
        <w:rPr>
          <w:rFonts w:asciiTheme="minorHAnsi" w:hAnsiTheme="minorHAnsi" w:cstheme="minorHAnsi"/>
        </w:rPr>
        <w:t xml:space="preserve"> wodnej składa Sejmowi Rzeczypospolitej Polskiej co dwa lata, nie później niż do dnia 30</w:t>
      </w:r>
      <w:r w:rsidR="006C4947">
        <w:rPr>
          <w:rFonts w:asciiTheme="minorHAnsi" w:hAnsiTheme="minorHAnsi" w:cstheme="minorHAnsi"/>
        </w:rPr>
        <w:t> </w:t>
      </w:r>
      <w:r w:rsidRPr="00A35CE5">
        <w:rPr>
          <w:rFonts w:asciiTheme="minorHAnsi" w:hAnsiTheme="minorHAnsi" w:cstheme="minorHAnsi"/>
        </w:rPr>
        <w:t>czerwca, informację o</w:t>
      </w:r>
      <w:r>
        <w:rPr>
          <w:rFonts w:asciiTheme="minorHAnsi" w:hAnsiTheme="minorHAnsi" w:cstheme="minorHAnsi"/>
        </w:rPr>
        <w:t> </w:t>
      </w:r>
      <w:r w:rsidRPr="00A35CE5">
        <w:rPr>
          <w:rFonts w:asciiTheme="minorHAnsi" w:hAnsiTheme="minorHAnsi" w:cstheme="minorHAnsi"/>
        </w:rPr>
        <w:t>gospodarowaniu wodami dotyczącą m. in. realizowania planów gospodarowania wodami na</w:t>
      </w:r>
      <w:r>
        <w:rPr>
          <w:rFonts w:asciiTheme="minorHAnsi" w:hAnsiTheme="minorHAnsi" w:cstheme="minorHAnsi"/>
        </w:rPr>
        <w:t> </w:t>
      </w:r>
      <w:r w:rsidRPr="00A35CE5">
        <w:rPr>
          <w:rFonts w:asciiTheme="minorHAnsi" w:hAnsiTheme="minorHAnsi" w:cstheme="minorHAnsi"/>
        </w:rPr>
        <w:t xml:space="preserve">obszarach dorzeczy. Ponadto zgodnie z art. 89 ust. 4 </w:t>
      </w:r>
      <w:r w:rsidR="00980B19">
        <w:rPr>
          <w:rFonts w:asciiTheme="minorHAnsi" w:hAnsiTheme="minorHAnsi" w:cstheme="minorHAnsi"/>
        </w:rPr>
        <w:t xml:space="preserve">ustawy </w:t>
      </w:r>
      <w:r w:rsidRPr="00A35CE5">
        <w:rPr>
          <w:rFonts w:asciiTheme="minorHAnsi" w:hAnsiTheme="minorHAnsi" w:cstheme="minorHAnsi"/>
        </w:rPr>
        <w:t>s.pr.w. minister właściwy do spraw gospodarki wodnej sprawował nadzór nad działalnością Prezesa KZGW w</w:t>
      </w:r>
      <w:r w:rsidR="006C4947">
        <w:rPr>
          <w:rFonts w:asciiTheme="minorHAnsi" w:hAnsiTheme="minorHAnsi" w:cstheme="minorHAnsi"/>
        </w:rPr>
        <w:t> </w:t>
      </w:r>
      <w:r w:rsidRPr="00A35CE5">
        <w:rPr>
          <w:rFonts w:asciiTheme="minorHAnsi" w:hAnsiTheme="minorHAnsi" w:cstheme="minorHAnsi"/>
        </w:rPr>
        <w:t xml:space="preserve">szczególności w zakresie: </w:t>
      </w:r>
    </w:p>
    <w:p w14:paraId="7623ED88" w14:textId="07D37F79" w:rsidR="00385675" w:rsidRPr="00385675" w:rsidRDefault="00116591" w:rsidP="00AA3506">
      <w:pPr>
        <w:pStyle w:val="Akapitzlist"/>
        <w:numPr>
          <w:ilvl w:val="1"/>
          <w:numId w:val="98"/>
        </w:numPr>
        <w:ind w:left="426"/>
      </w:pPr>
      <w:r w:rsidRPr="00385675">
        <w:t xml:space="preserve">zatwierdzania programów realizacji zadań związanych z utrzymywaniem wód lub urządzeń wodnych oraz inwestycji w gospodarce wodnej; </w:t>
      </w:r>
    </w:p>
    <w:p w14:paraId="0312844B" w14:textId="7F336679" w:rsidR="00385675" w:rsidRPr="00385675" w:rsidRDefault="00116591" w:rsidP="00AA3506">
      <w:pPr>
        <w:pStyle w:val="Akapitzlist"/>
        <w:numPr>
          <w:ilvl w:val="1"/>
          <w:numId w:val="98"/>
        </w:numPr>
        <w:ind w:left="426"/>
      </w:pPr>
      <w:r w:rsidRPr="00385675">
        <w:t xml:space="preserve">zatwierdzania corocznego sprawozdania, o którym mowa w art. 91 </w:t>
      </w:r>
      <w:r w:rsidR="00980B19">
        <w:t xml:space="preserve">ustawy </w:t>
      </w:r>
      <w:r w:rsidRPr="00385675">
        <w:t xml:space="preserve">s.pr.w.; </w:t>
      </w:r>
    </w:p>
    <w:p w14:paraId="5668F37F" w14:textId="77777777" w:rsidR="00A15FFF" w:rsidRDefault="00116591" w:rsidP="00AA3506">
      <w:pPr>
        <w:pStyle w:val="Akapitzlist"/>
        <w:numPr>
          <w:ilvl w:val="1"/>
          <w:numId w:val="98"/>
        </w:numPr>
        <w:ind w:left="426"/>
      </w:pPr>
      <w:r w:rsidRPr="00385675">
        <w:t xml:space="preserve">zatwierdzania planu kontroli gospodarowania wodami wykonywanej przez Prezesa KZGW; </w:t>
      </w:r>
    </w:p>
    <w:p w14:paraId="1733B8B5" w14:textId="0FD425DD" w:rsidR="00116591" w:rsidRPr="00385675" w:rsidRDefault="00116591" w:rsidP="00AA3506">
      <w:pPr>
        <w:pStyle w:val="Akapitzlist"/>
        <w:numPr>
          <w:ilvl w:val="1"/>
          <w:numId w:val="98"/>
        </w:numPr>
        <w:ind w:left="426"/>
      </w:pPr>
      <w:r w:rsidRPr="00385675">
        <w:t>przeprowadzenia kontroli nieujętych w planie kontroli.</w:t>
      </w:r>
    </w:p>
    <w:p w14:paraId="3641B9C4" w14:textId="77777777" w:rsidR="00116591" w:rsidRPr="003863A0" w:rsidRDefault="00116591" w:rsidP="003863A0">
      <w:pPr>
        <w:pStyle w:val="Nagwek5"/>
      </w:pPr>
      <w:r w:rsidRPr="003863A0">
        <w:t>Prezes KZGW</w:t>
      </w:r>
    </w:p>
    <w:p w14:paraId="12806F05" w14:textId="3267D3A5" w:rsidR="00116591" w:rsidRPr="00A35CE5" w:rsidRDefault="00116591" w:rsidP="00116591">
      <w:pPr>
        <w:rPr>
          <w:rFonts w:asciiTheme="minorHAnsi" w:hAnsiTheme="minorHAnsi" w:cstheme="minorHAnsi"/>
        </w:rPr>
      </w:pPr>
      <w:r w:rsidRPr="00A35CE5">
        <w:rPr>
          <w:rFonts w:asciiTheme="minorHAnsi" w:hAnsiTheme="minorHAnsi" w:cstheme="minorHAnsi"/>
        </w:rPr>
        <w:t>Prezes KZGW był centralnym organem administracji rządowej, właściwym w sprawach gospodarowania wodami, a w szczególności w sprawach zarządzania wodami oraz korzystania z wód i</w:t>
      </w:r>
      <w:r w:rsidR="00385675">
        <w:rPr>
          <w:rFonts w:asciiTheme="minorHAnsi" w:hAnsiTheme="minorHAnsi" w:cstheme="minorHAnsi"/>
        </w:rPr>
        <w:t> </w:t>
      </w:r>
      <w:r w:rsidRPr="00A35CE5">
        <w:rPr>
          <w:rFonts w:asciiTheme="minorHAnsi" w:hAnsiTheme="minorHAnsi" w:cstheme="minorHAnsi"/>
        </w:rPr>
        <w:t>wykonywał zadania określone ww. ustawą. Prezes KZGW pełnił funkcję organu wyższego stopnia w</w:t>
      </w:r>
      <w:r w:rsidR="00385675">
        <w:rPr>
          <w:rFonts w:asciiTheme="minorHAnsi" w:hAnsiTheme="minorHAnsi" w:cstheme="minorHAnsi"/>
        </w:rPr>
        <w:t> </w:t>
      </w:r>
      <w:r w:rsidRPr="00A35CE5">
        <w:rPr>
          <w:rFonts w:asciiTheme="minorHAnsi" w:hAnsiTheme="minorHAnsi" w:cstheme="minorHAnsi"/>
        </w:rPr>
        <w:t>rozumieniu Kodeksu postępowania administracyjnego w stosunku do marszałków województw i</w:t>
      </w:r>
      <w:r w:rsidR="00385675">
        <w:rPr>
          <w:rFonts w:asciiTheme="minorHAnsi" w:hAnsiTheme="minorHAnsi" w:cstheme="minorHAnsi"/>
        </w:rPr>
        <w:t> </w:t>
      </w:r>
      <w:r w:rsidRPr="00A35CE5">
        <w:rPr>
          <w:rFonts w:asciiTheme="minorHAnsi" w:hAnsiTheme="minorHAnsi" w:cstheme="minorHAnsi"/>
        </w:rPr>
        <w:t xml:space="preserve">dyrektorów regionalnych zarządów gospodarki wodnej, w sprawach określonych ustawą (art. 4 ust. 3 </w:t>
      </w:r>
      <w:r w:rsidR="00980B19">
        <w:rPr>
          <w:rFonts w:asciiTheme="minorHAnsi" w:hAnsiTheme="minorHAnsi" w:cstheme="minorHAnsi"/>
        </w:rPr>
        <w:t xml:space="preserve">ustawy </w:t>
      </w:r>
      <w:r w:rsidRPr="00A35CE5">
        <w:rPr>
          <w:rFonts w:asciiTheme="minorHAnsi" w:hAnsiTheme="minorHAnsi" w:cstheme="minorHAnsi"/>
        </w:rPr>
        <w:t>s.pr.w.).</w:t>
      </w:r>
    </w:p>
    <w:p w14:paraId="642FCBFC" w14:textId="014BE847" w:rsidR="00116591" w:rsidRPr="00A35CE5" w:rsidRDefault="00116591" w:rsidP="00116591">
      <w:pPr>
        <w:rPr>
          <w:rFonts w:asciiTheme="minorHAnsi" w:hAnsiTheme="minorHAnsi" w:cstheme="minorHAnsi"/>
        </w:rPr>
      </w:pPr>
      <w:r w:rsidRPr="00A35CE5">
        <w:rPr>
          <w:rFonts w:asciiTheme="minorHAnsi" w:hAnsiTheme="minorHAnsi" w:cstheme="minorHAnsi"/>
        </w:rPr>
        <w:t>Organem opiniodawczo-doradczym Prezesa KZGW był</w:t>
      </w:r>
      <w:r>
        <w:rPr>
          <w:rFonts w:asciiTheme="minorHAnsi" w:hAnsiTheme="minorHAnsi" w:cstheme="minorHAnsi"/>
        </w:rPr>
        <w:t>a</w:t>
      </w:r>
      <w:r w:rsidRPr="00A35CE5">
        <w:rPr>
          <w:rFonts w:asciiTheme="minorHAnsi" w:hAnsiTheme="minorHAnsi" w:cstheme="minorHAnsi"/>
        </w:rPr>
        <w:t xml:space="preserve"> Krajowa Rada Gospodarki Wodnej </w:t>
      </w:r>
      <w:r w:rsidR="006C4947">
        <w:rPr>
          <w:rFonts w:asciiTheme="minorHAnsi" w:hAnsiTheme="minorHAnsi" w:cstheme="minorHAnsi"/>
        </w:rPr>
        <w:br/>
      </w:r>
      <w:r w:rsidRPr="00A35CE5">
        <w:rPr>
          <w:rFonts w:asciiTheme="minorHAnsi" w:hAnsiTheme="minorHAnsi" w:cstheme="minorHAnsi"/>
        </w:rPr>
        <w:t>(art. 96 ust.</w:t>
      </w:r>
      <w:r w:rsidR="00980B19">
        <w:rPr>
          <w:rFonts w:asciiTheme="minorHAnsi" w:hAnsiTheme="minorHAnsi" w:cstheme="minorHAnsi"/>
        </w:rPr>
        <w:t> </w:t>
      </w:r>
      <w:r w:rsidRPr="00A35CE5">
        <w:rPr>
          <w:rFonts w:asciiTheme="minorHAnsi" w:hAnsiTheme="minorHAnsi" w:cstheme="minorHAnsi"/>
        </w:rPr>
        <w:t xml:space="preserve">1 </w:t>
      </w:r>
      <w:r w:rsidR="00980B19">
        <w:rPr>
          <w:rFonts w:asciiTheme="minorHAnsi" w:hAnsiTheme="minorHAnsi" w:cstheme="minorHAnsi"/>
        </w:rPr>
        <w:t xml:space="preserve">ustawy </w:t>
      </w:r>
      <w:r w:rsidRPr="00A35CE5">
        <w:rPr>
          <w:rFonts w:asciiTheme="minorHAnsi" w:hAnsiTheme="minorHAnsi" w:cstheme="minorHAnsi"/>
        </w:rPr>
        <w:t xml:space="preserve">s.pr.w.). Utworzono także rady gospodarki wodnej regionów wodnych jako organy opiniodawczo-doradcze dyrektorów regionalnych zarządów gospodarki wodnej </w:t>
      </w:r>
    </w:p>
    <w:p w14:paraId="18B17318" w14:textId="77777777" w:rsidR="00116591" w:rsidRPr="00A35CE5" w:rsidRDefault="00116591" w:rsidP="00116591">
      <w:pPr>
        <w:rPr>
          <w:rFonts w:asciiTheme="minorHAnsi" w:hAnsiTheme="minorHAnsi" w:cstheme="minorHAnsi"/>
        </w:rPr>
      </w:pPr>
      <w:r w:rsidRPr="00A35CE5">
        <w:rPr>
          <w:rFonts w:asciiTheme="minorHAnsi" w:hAnsiTheme="minorHAnsi" w:cstheme="minorHAnsi"/>
        </w:rPr>
        <w:t>Ówczesne organy współpracujące z Prezesem KZGW w zakresie gospodarowania wodami to: Minister Gospodarki Morskiej i Żeglugi Śródlądowej, Minister Środowiska, Minister Rolnictwa i Rozwoju Wsi, Minister Rozwoju, Minister Zdrowia, Główny Inspektor Sanitarny, Główny Inspektor Ochrony Środowiska, Generalny Dyrektor Ochrony Środowiska, wojewódzki inspektor ochrony środowiska, wojewódzki inspektor sanitarny, wojewoda, marszałek województwa</w:t>
      </w:r>
    </w:p>
    <w:p w14:paraId="6A990C73" w14:textId="77777777" w:rsidR="00116591" w:rsidRPr="003863A0" w:rsidRDefault="00116591" w:rsidP="003863A0">
      <w:pPr>
        <w:pStyle w:val="Nagwek5"/>
      </w:pPr>
      <w:r w:rsidRPr="003863A0">
        <w:t>Dyrektorzy regionalnych zarządów gospodarki wodnej</w:t>
      </w:r>
    </w:p>
    <w:p w14:paraId="0C7F827B" w14:textId="7B22313A" w:rsidR="00116591" w:rsidRDefault="00116591" w:rsidP="00116591">
      <w:pPr>
        <w:rPr>
          <w:rFonts w:asciiTheme="minorHAnsi" w:hAnsiTheme="minorHAnsi" w:cstheme="minorHAnsi"/>
        </w:rPr>
      </w:pPr>
      <w:r w:rsidRPr="00474BF4">
        <w:rPr>
          <w:rFonts w:asciiTheme="minorHAnsi" w:hAnsiTheme="minorHAnsi" w:cstheme="minorHAnsi"/>
        </w:rPr>
        <w:t xml:space="preserve">Prezesowi KZGW podlegali dyrektorzy </w:t>
      </w:r>
      <w:r>
        <w:rPr>
          <w:rFonts w:asciiTheme="minorHAnsi" w:hAnsiTheme="minorHAnsi" w:cstheme="minorHAnsi"/>
        </w:rPr>
        <w:t>RZGW</w:t>
      </w:r>
      <w:r w:rsidRPr="00474BF4">
        <w:rPr>
          <w:rFonts w:asciiTheme="minorHAnsi" w:hAnsiTheme="minorHAnsi" w:cstheme="minorHAnsi"/>
        </w:rPr>
        <w:t xml:space="preserve"> (art. 4 ust. 1 pkt 3 </w:t>
      </w:r>
      <w:r w:rsidR="00980B19">
        <w:rPr>
          <w:rFonts w:asciiTheme="minorHAnsi" w:hAnsiTheme="minorHAnsi" w:cstheme="minorHAnsi"/>
        </w:rPr>
        <w:t xml:space="preserve">ustawy </w:t>
      </w:r>
      <w:r w:rsidRPr="00474BF4">
        <w:rPr>
          <w:rFonts w:asciiTheme="minorHAnsi" w:hAnsiTheme="minorHAnsi" w:cstheme="minorHAnsi"/>
        </w:rPr>
        <w:t>s.pr.w.). Zadania dyrektora zostały w</w:t>
      </w:r>
      <w:r>
        <w:rPr>
          <w:rFonts w:asciiTheme="minorHAnsi" w:hAnsiTheme="minorHAnsi" w:cstheme="minorHAnsi"/>
        </w:rPr>
        <w:t> </w:t>
      </w:r>
      <w:r w:rsidRPr="00474BF4">
        <w:rPr>
          <w:rFonts w:asciiTheme="minorHAnsi" w:hAnsiTheme="minorHAnsi" w:cstheme="minorHAnsi"/>
        </w:rPr>
        <w:t xml:space="preserve">szczególności wskazane w art. 92 ust. 3 </w:t>
      </w:r>
      <w:r w:rsidR="00980B19">
        <w:rPr>
          <w:rFonts w:asciiTheme="minorHAnsi" w:hAnsiTheme="minorHAnsi" w:cstheme="minorHAnsi"/>
        </w:rPr>
        <w:t xml:space="preserve">ustawy </w:t>
      </w:r>
      <w:r w:rsidRPr="00474BF4">
        <w:rPr>
          <w:rFonts w:asciiTheme="minorHAnsi" w:hAnsiTheme="minorHAnsi" w:cstheme="minorHAnsi"/>
        </w:rPr>
        <w:t xml:space="preserve">s.pr.w. Ponadto wspomniany organ (na mocy delegacji ustawowej zawartej w art. 47 ust. 3 </w:t>
      </w:r>
      <w:r w:rsidR="00980B19">
        <w:rPr>
          <w:rFonts w:asciiTheme="minorHAnsi" w:hAnsiTheme="minorHAnsi" w:cstheme="minorHAnsi"/>
        </w:rPr>
        <w:t xml:space="preserve">ustawy </w:t>
      </w:r>
      <w:r w:rsidRPr="00474BF4">
        <w:rPr>
          <w:rFonts w:asciiTheme="minorHAnsi" w:hAnsiTheme="minorHAnsi" w:cstheme="minorHAnsi"/>
        </w:rPr>
        <w:t>s.pr.w.) określał, w drodze rozporządzenia, wody powierzchniowe i</w:t>
      </w:r>
      <w:r>
        <w:rPr>
          <w:rFonts w:asciiTheme="minorHAnsi" w:hAnsiTheme="minorHAnsi" w:cstheme="minorHAnsi"/>
        </w:rPr>
        <w:t> </w:t>
      </w:r>
      <w:r w:rsidRPr="00474BF4">
        <w:rPr>
          <w:rFonts w:asciiTheme="minorHAnsi" w:hAnsiTheme="minorHAnsi" w:cstheme="minorHAnsi"/>
        </w:rPr>
        <w:t xml:space="preserve">podziemne wrażliwe na zanieczyszczenie związkami azotu ze źródeł rolniczych oraz obszary szczególnie narażone, z których odpływ azotu ze źródeł rolniczych do tych wód należy ograniczyć. </w:t>
      </w:r>
      <w:r>
        <w:rPr>
          <w:rFonts w:asciiTheme="minorHAnsi" w:hAnsiTheme="minorHAnsi" w:cstheme="minorHAnsi"/>
        </w:rPr>
        <w:t>N</w:t>
      </w:r>
      <w:r w:rsidRPr="00474BF4">
        <w:rPr>
          <w:rFonts w:asciiTheme="minorHAnsi" w:hAnsiTheme="minorHAnsi" w:cstheme="minorHAnsi"/>
        </w:rPr>
        <w:t xml:space="preserve">a podstawie art. 47 ust. 7 </w:t>
      </w:r>
      <w:r w:rsidR="00980B19">
        <w:rPr>
          <w:rFonts w:asciiTheme="minorHAnsi" w:hAnsiTheme="minorHAnsi" w:cstheme="minorHAnsi"/>
        </w:rPr>
        <w:t xml:space="preserve">ustawy </w:t>
      </w:r>
      <w:r w:rsidRPr="00474BF4">
        <w:rPr>
          <w:rFonts w:asciiTheme="minorHAnsi" w:hAnsiTheme="minorHAnsi" w:cstheme="minorHAnsi"/>
        </w:rPr>
        <w:t xml:space="preserve">s.pr.w. dyrektorzy </w:t>
      </w:r>
      <w:r>
        <w:rPr>
          <w:rFonts w:asciiTheme="minorHAnsi" w:hAnsiTheme="minorHAnsi" w:cstheme="minorHAnsi"/>
        </w:rPr>
        <w:t>RZGW</w:t>
      </w:r>
      <w:r w:rsidRPr="00474BF4">
        <w:rPr>
          <w:rFonts w:asciiTheme="minorHAnsi" w:hAnsiTheme="minorHAnsi" w:cstheme="minorHAnsi"/>
        </w:rPr>
        <w:t xml:space="preserve"> wydawali także rozporządzenia w sprawie wprowadzenia programu działań mających na celu ograniczenie odpływu azotu ze źródeł rolniczych. </w:t>
      </w:r>
      <w:r>
        <w:rPr>
          <w:rFonts w:asciiTheme="minorHAnsi" w:hAnsiTheme="minorHAnsi" w:cstheme="minorHAnsi"/>
        </w:rPr>
        <w:t>W</w:t>
      </w:r>
      <w:r w:rsidRPr="00474BF4">
        <w:rPr>
          <w:rFonts w:asciiTheme="minorHAnsi" w:hAnsiTheme="minorHAnsi" w:cstheme="minorHAnsi"/>
        </w:rPr>
        <w:t xml:space="preserve"> świetle art. 58 ust. 1 </w:t>
      </w:r>
      <w:r w:rsidR="00980B19">
        <w:rPr>
          <w:rFonts w:asciiTheme="minorHAnsi" w:hAnsiTheme="minorHAnsi" w:cstheme="minorHAnsi"/>
        </w:rPr>
        <w:t xml:space="preserve">ustawy </w:t>
      </w:r>
      <w:r w:rsidRPr="00474BF4">
        <w:rPr>
          <w:rFonts w:asciiTheme="minorHAnsi" w:hAnsiTheme="minorHAnsi" w:cstheme="minorHAnsi"/>
        </w:rPr>
        <w:t xml:space="preserve">s.pr.w. strefę ochronną ujęcia wody dyrektor </w:t>
      </w:r>
      <w:r>
        <w:rPr>
          <w:rFonts w:asciiTheme="minorHAnsi" w:hAnsiTheme="minorHAnsi" w:cstheme="minorHAnsi"/>
        </w:rPr>
        <w:t>RZGW</w:t>
      </w:r>
      <w:r w:rsidRPr="00474BF4">
        <w:rPr>
          <w:rFonts w:asciiTheme="minorHAnsi" w:hAnsiTheme="minorHAnsi" w:cstheme="minorHAnsi"/>
        </w:rPr>
        <w:t xml:space="preserve"> ustanawiał w </w:t>
      </w:r>
      <w:r>
        <w:rPr>
          <w:rFonts w:asciiTheme="minorHAnsi" w:hAnsiTheme="minorHAnsi" w:cstheme="minorHAnsi"/>
        </w:rPr>
        <w:t xml:space="preserve">drodze </w:t>
      </w:r>
      <w:r w:rsidRPr="00474BF4">
        <w:rPr>
          <w:rFonts w:asciiTheme="minorHAnsi" w:hAnsiTheme="minorHAnsi" w:cstheme="minorHAnsi"/>
        </w:rPr>
        <w:t>rozporządzeni</w:t>
      </w:r>
      <w:r>
        <w:rPr>
          <w:rFonts w:asciiTheme="minorHAnsi" w:hAnsiTheme="minorHAnsi" w:cstheme="minorHAnsi"/>
        </w:rPr>
        <w:t>a</w:t>
      </w:r>
      <w:r w:rsidRPr="00474BF4">
        <w:rPr>
          <w:rFonts w:asciiTheme="minorHAnsi" w:hAnsiTheme="minorHAnsi" w:cstheme="minorHAnsi"/>
        </w:rPr>
        <w:t xml:space="preserve">. Także poprzez wydanie rozporządzenia właściwy dyrektor </w:t>
      </w:r>
      <w:r>
        <w:rPr>
          <w:rFonts w:asciiTheme="minorHAnsi" w:hAnsiTheme="minorHAnsi" w:cstheme="minorHAnsi"/>
        </w:rPr>
        <w:t>RZGW</w:t>
      </w:r>
      <w:r w:rsidRPr="00474BF4">
        <w:rPr>
          <w:rFonts w:asciiTheme="minorHAnsi" w:hAnsiTheme="minorHAnsi" w:cstheme="minorHAnsi"/>
        </w:rPr>
        <w:t xml:space="preserve"> przyjmował plan utrzymania wód (art. 114b ust. 5 </w:t>
      </w:r>
      <w:r w:rsidR="00FD140E">
        <w:rPr>
          <w:rFonts w:asciiTheme="minorHAnsi" w:hAnsiTheme="minorHAnsi" w:cstheme="minorHAnsi"/>
        </w:rPr>
        <w:t xml:space="preserve">ustawy </w:t>
      </w:r>
      <w:r w:rsidRPr="00474BF4">
        <w:rPr>
          <w:rFonts w:asciiTheme="minorHAnsi" w:hAnsiTheme="minorHAnsi" w:cstheme="minorHAnsi"/>
        </w:rPr>
        <w:t xml:space="preserve">s.pr.w.). </w:t>
      </w:r>
      <w:r>
        <w:rPr>
          <w:rFonts w:asciiTheme="minorHAnsi" w:hAnsiTheme="minorHAnsi" w:cstheme="minorHAnsi"/>
        </w:rPr>
        <w:t>P</w:t>
      </w:r>
      <w:r w:rsidRPr="00474BF4">
        <w:rPr>
          <w:rFonts w:asciiTheme="minorHAnsi" w:hAnsiTheme="minorHAnsi" w:cstheme="minorHAnsi"/>
        </w:rPr>
        <w:t xml:space="preserve">rzepisy </w:t>
      </w:r>
      <w:r w:rsidR="00FD140E">
        <w:rPr>
          <w:rFonts w:asciiTheme="minorHAnsi" w:hAnsiTheme="minorHAnsi" w:cstheme="minorHAnsi"/>
        </w:rPr>
        <w:t xml:space="preserve">ustawy </w:t>
      </w:r>
      <w:r w:rsidRPr="00474BF4">
        <w:rPr>
          <w:rFonts w:asciiTheme="minorHAnsi" w:hAnsiTheme="minorHAnsi" w:cstheme="minorHAnsi"/>
        </w:rPr>
        <w:t>s.pr.w. (art. 60</w:t>
      </w:r>
      <w:r>
        <w:rPr>
          <w:rFonts w:asciiTheme="minorHAnsi" w:hAnsiTheme="minorHAnsi" w:cstheme="minorHAnsi"/>
        </w:rPr>
        <w:t xml:space="preserve"> </w:t>
      </w:r>
      <w:r w:rsidR="00FD140E">
        <w:rPr>
          <w:rFonts w:asciiTheme="minorHAnsi" w:hAnsiTheme="minorHAnsi" w:cstheme="minorHAnsi"/>
        </w:rPr>
        <w:t xml:space="preserve">ustawy </w:t>
      </w:r>
      <w:r>
        <w:rPr>
          <w:rFonts w:asciiTheme="minorHAnsi" w:hAnsiTheme="minorHAnsi" w:cstheme="minorHAnsi"/>
        </w:rPr>
        <w:t>s.pr.w.</w:t>
      </w:r>
      <w:r w:rsidRPr="00474BF4">
        <w:rPr>
          <w:rFonts w:asciiTheme="minorHAnsi" w:hAnsiTheme="minorHAnsi" w:cstheme="minorHAnsi"/>
        </w:rPr>
        <w:t xml:space="preserve">) wyposażyły dyrektora </w:t>
      </w:r>
      <w:r w:rsidR="00F53455">
        <w:rPr>
          <w:rFonts w:asciiTheme="minorHAnsi" w:hAnsiTheme="minorHAnsi" w:cstheme="minorHAnsi"/>
        </w:rPr>
        <w:t>RZGW</w:t>
      </w:r>
      <w:r w:rsidRPr="00474BF4">
        <w:rPr>
          <w:rFonts w:asciiTheme="minorHAnsi" w:hAnsiTheme="minorHAnsi" w:cstheme="minorHAnsi"/>
        </w:rPr>
        <w:t xml:space="preserve"> w kompetencję do ustanawiania </w:t>
      </w:r>
      <w:r w:rsidR="00BB0E3B">
        <w:rPr>
          <w:rFonts w:asciiTheme="minorHAnsi" w:hAnsiTheme="minorHAnsi" w:cstheme="minorHAnsi"/>
        </w:rPr>
        <w:t>-</w:t>
      </w:r>
      <w:r w:rsidRPr="00474BF4">
        <w:rPr>
          <w:rFonts w:asciiTheme="minorHAnsi" w:hAnsiTheme="minorHAnsi" w:cstheme="minorHAnsi"/>
        </w:rPr>
        <w:t xml:space="preserve"> w drodze aktu prawa miejscowego - obszarów ochronnych zbiorników wód śródlądowych. </w:t>
      </w:r>
      <w:r>
        <w:rPr>
          <w:rFonts w:asciiTheme="minorHAnsi" w:hAnsiTheme="minorHAnsi" w:cstheme="minorHAnsi"/>
        </w:rPr>
        <w:t>Z</w:t>
      </w:r>
      <w:r w:rsidRPr="00474BF4">
        <w:rPr>
          <w:rFonts w:asciiTheme="minorHAnsi" w:hAnsiTheme="minorHAnsi" w:cstheme="minorHAnsi"/>
        </w:rPr>
        <w:t xml:space="preserve">godnie z art. 120 ust. 1 </w:t>
      </w:r>
      <w:r w:rsidR="00FD140E">
        <w:rPr>
          <w:rFonts w:asciiTheme="minorHAnsi" w:hAnsiTheme="minorHAnsi" w:cstheme="minorHAnsi"/>
        </w:rPr>
        <w:t xml:space="preserve">ustawy </w:t>
      </w:r>
      <w:r w:rsidRPr="00474BF4">
        <w:rPr>
          <w:rFonts w:asciiTheme="minorHAnsi" w:hAnsiTheme="minorHAnsi" w:cstheme="minorHAnsi"/>
        </w:rPr>
        <w:t xml:space="preserve">s.pr.w. dyrektor </w:t>
      </w:r>
      <w:r>
        <w:rPr>
          <w:rFonts w:asciiTheme="minorHAnsi" w:hAnsiTheme="minorHAnsi" w:cstheme="minorHAnsi"/>
        </w:rPr>
        <w:t>RZGW</w:t>
      </w:r>
      <w:r w:rsidRPr="00474BF4">
        <w:rPr>
          <w:rFonts w:asciiTheme="minorHAnsi" w:hAnsiTheme="minorHAnsi" w:cstheme="minorHAnsi"/>
        </w:rPr>
        <w:t xml:space="preserve"> ustalał warunki korzystania z wód regionu wodnego oraz warunki korzystania z wód zlewni, w drodze aktu prawa miejscowego, po ich uzgodnieniu z Prezesem KZGW. Właściwy dyrektor </w:t>
      </w:r>
      <w:r>
        <w:rPr>
          <w:rFonts w:asciiTheme="minorHAnsi" w:hAnsiTheme="minorHAnsi" w:cstheme="minorHAnsi"/>
        </w:rPr>
        <w:t>RZGW</w:t>
      </w:r>
      <w:r w:rsidRPr="00474BF4">
        <w:rPr>
          <w:rFonts w:asciiTheme="minorHAnsi" w:hAnsiTheme="minorHAnsi" w:cstheme="minorHAnsi"/>
        </w:rPr>
        <w:t xml:space="preserve"> mógł także wprowadzać w drodze aktu prawa miejscowego: </w:t>
      </w:r>
    </w:p>
    <w:p w14:paraId="12BD4EFA" w14:textId="615215F3" w:rsidR="00116591" w:rsidRPr="00385675" w:rsidRDefault="00116591" w:rsidP="00AA3506">
      <w:pPr>
        <w:pStyle w:val="Akapitzlist"/>
        <w:numPr>
          <w:ilvl w:val="0"/>
          <w:numId w:val="99"/>
        </w:numPr>
      </w:pPr>
      <w:r w:rsidRPr="00385675">
        <w:t xml:space="preserve">czasowe odstępstwo od podejmowania działań doraźnych (art. 61u </w:t>
      </w:r>
      <w:r w:rsidR="00FD140E">
        <w:t xml:space="preserve">ustawy </w:t>
      </w:r>
      <w:r w:rsidRPr="00385675">
        <w:t xml:space="preserve">s.pr.w.), </w:t>
      </w:r>
    </w:p>
    <w:p w14:paraId="038B7955" w14:textId="48C815E8" w:rsidR="00116591" w:rsidRPr="00385675" w:rsidRDefault="00116591" w:rsidP="00AA3506">
      <w:pPr>
        <w:pStyle w:val="Akapitzlist"/>
        <w:numPr>
          <w:ilvl w:val="0"/>
          <w:numId w:val="99"/>
        </w:numPr>
      </w:pPr>
      <w:r w:rsidRPr="00385675">
        <w:t xml:space="preserve">zakazy dotyczące terenów, dla których nie określono obszarów narażonych na niebezpieczeństwo powodzi (art. 88m </w:t>
      </w:r>
      <w:r w:rsidR="00FD140E">
        <w:t xml:space="preserve">ustawy </w:t>
      </w:r>
      <w:r w:rsidRPr="00385675">
        <w:t xml:space="preserve">s.pr.w.), </w:t>
      </w:r>
    </w:p>
    <w:p w14:paraId="18BA6150" w14:textId="5432BF03" w:rsidR="00116591" w:rsidRPr="00385675" w:rsidRDefault="00116591" w:rsidP="00AA3506">
      <w:pPr>
        <w:pStyle w:val="Akapitzlist"/>
        <w:numPr>
          <w:ilvl w:val="0"/>
          <w:numId w:val="99"/>
        </w:numPr>
      </w:pPr>
      <w:r w:rsidRPr="00385675">
        <w:t>czasowe ograniczenia w korzystaniu z wód, w szczególności w zakresie poboru wody lub wprowadzania ścieków do wód lub do ziemi oraz zmiany sposobu gospodarowania wodą w</w:t>
      </w:r>
      <w:r w:rsidR="00385675">
        <w:t> </w:t>
      </w:r>
      <w:r w:rsidRPr="00385675">
        <w:t xml:space="preserve">zbiornikach retencyjnych (art. 88q ust. 1 i art. 88t ust. 1 </w:t>
      </w:r>
      <w:r w:rsidR="00FD140E">
        <w:t xml:space="preserve">ustawy </w:t>
      </w:r>
      <w:r w:rsidRPr="00385675">
        <w:t xml:space="preserve">s.pr.w.) w przypadku wprowadzenia stanu klęski żywiołowej, w celu ograniczenia skutków powodzi bądź suszy. </w:t>
      </w:r>
    </w:p>
    <w:p w14:paraId="4133ECB7" w14:textId="3608757A" w:rsidR="00116591" w:rsidRPr="00474BF4" w:rsidRDefault="00116591" w:rsidP="00116591">
      <w:pPr>
        <w:rPr>
          <w:rFonts w:asciiTheme="minorHAnsi" w:hAnsiTheme="minorHAnsi" w:cstheme="minorHAnsi"/>
        </w:rPr>
      </w:pPr>
      <w:r>
        <w:rPr>
          <w:rFonts w:asciiTheme="minorHAnsi" w:hAnsiTheme="minorHAnsi" w:cstheme="minorHAnsi"/>
        </w:rPr>
        <w:t>N</w:t>
      </w:r>
      <w:r w:rsidRPr="00474BF4">
        <w:rPr>
          <w:rFonts w:asciiTheme="minorHAnsi" w:hAnsiTheme="minorHAnsi" w:cstheme="minorHAnsi"/>
        </w:rPr>
        <w:t xml:space="preserve">a mocy art. 140 ust. 2a </w:t>
      </w:r>
      <w:r w:rsidR="00FD140E">
        <w:rPr>
          <w:rFonts w:asciiTheme="minorHAnsi" w:hAnsiTheme="minorHAnsi" w:cstheme="minorHAnsi"/>
        </w:rPr>
        <w:t xml:space="preserve">ustawy </w:t>
      </w:r>
      <w:r w:rsidRPr="00474BF4">
        <w:rPr>
          <w:rFonts w:asciiTheme="minorHAnsi" w:hAnsiTheme="minorHAnsi" w:cstheme="minorHAnsi"/>
        </w:rPr>
        <w:t xml:space="preserve">s.pr.w. dyrektor </w:t>
      </w:r>
      <w:r>
        <w:rPr>
          <w:rFonts w:asciiTheme="minorHAnsi" w:hAnsiTheme="minorHAnsi" w:cstheme="minorHAnsi"/>
        </w:rPr>
        <w:t>RZGW</w:t>
      </w:r>
      <w:r w:rsidRPr="00474BF4">
        <w:rPr>
          <w:rFonts w:asciiTheme="minorHAnsi" w:hAnsiTheme="minorHAnsi" w:cstheme="minorHAnsi"/>
        </w:rPr>
        <w:t xml:space="preserve"> wydawał wszystkie pozwolenia wodnoprawne wymagane dla przedsięwzięć, w przypadku gdy szczególne korzystanie z wód lub wykonanie urządzeń wodnych dotyczące tych przedsięwzięć, w całości lub w części odbywało</w:t>
      </w:r>
      <w:r>
        <w:rPr>
          <w:rFonts w:asciiTheme="minorHAnsi" w:hAnsiTheme="minorHAnsi" w:cstheme="minorHAnsi"/>
        </w:rPr>
        <w:t xml:space="preserve"> </w:t>
      </w:r>
      <w:r w:rsidRPr="00474BF4">
        <w:rPr>
          <w:rFonts w:asciiTheme="minorHAnsi" w:hAnsiTheme="minorHAnsi" w:cstheme="minorHAnsi"/>
        </w:rPr>
        <w:t>się na terenach zamkniętych w</w:t>
      </w:r>
      <w:r>
        <w:rPr>
          <w:rFonts w:asciiTheme="minorHAnsi" w:hAnsiTheme="minorHAnsi" w:cstheme="minorHAnsi"/>
        </w:rPr>
        <w:t> </w:t>
      </w:r>
      <w:r w:rsidRPr="00474BF4">
        <w:rPr>
          <w:rFonts w:asciiTheme="minorHAnsi" w:hAnsiTheme="minorHAnsi" w:cstheme="minorHAnsi"/>
        </w:rPr>
        <w:t xml:space="preserve">rozumieniu przepisów ustawy </w:t>
      </w:r>
      <w:r>
        <w:rPr>
          <w:rFonts w:asciiTheme="minorHAnsi" w:hAnsiTheme="minorHAnsi" w:cstheme="minorHAnsi"/>
        </w:rPr>
        <w:t>p.o.ś.</w:t>
      </w:r>
      <w:r w:rsidRPr="00474BF4">
        <w:rPr>
          <w:rFonts w:asciiTheme="minorHAnsi" w:hAnsiTheme="minorHAnsi" w:cstheme="minorHAnsi"/>
        </w:rPr>
        <w:t>, a odrębne przepisy nie stanowiły inaczej.</w:t>
      </w:r>
    </w:p>
    <w:p w14:paraId="000CFA3B" w14:textId="77777777" w:rsidR="00116591" w:rsidRPr="00A35CE5" w:rsidRDefault="00116591" w:rsidP="003863A0">
      <w:pPr>
        <w:pStyle w:val="Nagwek5"/>
      </w:pPr>
      <w:r w:rsidRPr="00A35CE5">
        <w:t>Wojewodowie</w:t>
      </w:r>
    </w:p>
    <w:p w14:paraId="0CE8636E" w14:textId="0B9A3EF5" w:rsidR="00116591" w:rsidRPr="00A35CE5" w:rsidRDefault="00116591" w:rsidP="00116591">
      <w:pPr>
        <w:rPr>
          <w:rFonts w:asciiTheme="minorHAnsi" w:hAnsiTheme="minorHAnsi" w:cstheme="minorHAnsi"/>
        </w:rPr>
      </w:pPr>
      <w:r w:rsidRPr="00A35CE5">
        <w:rPr>
          <w:rFonts w:asciiTheme="minorHAnsi" w:hAnsiTheme="minorHAnsi" w:cstheme="minorHAnsi"/>
        </w:rPr>
        <w:t xml:space="preserve">Przepis art. 4 ust. 1 pkt 4 </w:t>
      </w:r>
      <w:r w:rsidR="00FD140E">
        <w:rPr>
          <w:rFonts w:asciiTheme="minorHAnsi" w:hAnsiTheme="minorHAnsi" w:cstheme="minorHAnsi"/>
        </w:rPr>
        <w:t xml:space="preserve">ustawy </w:t>
      </w:r>
      <w:r w:rsidRPr="00A35CE5">
        <w:rPr>
          <w:rFonts w:asciiTheme="minorHAnsi" w:hAnsiTheme="minorHAnsi" w:cstheme="minorHAnsi"/>
        </w:rPr>
        <w:t xml:space="preserve">s.pr.w. wskazywał wojewodów wśród organów właściwych w sprawie gospodarowania wodami. Do kompetencji tych organów należało </w:t>
      </w:r>
      <w:r>
        <w:rPr>
          <w:rFonts w:asciiTheme="minorHAnsi" w:hAnsiTheme="minorHAnsi" w:cstheme="minorHAnsi"/>
        </w:rPr>
        <w:t>m.in</w:t>
      </w:r>
      <w:r w:rsidRPr="00A35CE5">
        <w:rPr>
          <w:rFonts w:asciiTheme="minorHAnsi" w:hAnsiTheme="minorHAnsi" w:cstheme="minorHAnsi"/>
        </w:rPr>
        <w:t>: uzgadnianie rozstrzygnięć marszałka województwa w przedmiocie kosztów wykonywania urządzeń melioracji wodnych, opiniowanie projektu wstępnej oceny ryzyka powodziowego, uzgadnianie decyzji nakazujących zakładowi piętrzącemu wodę obniżenie piętrzenia wody lub opróżnienie zbiornika, bez odszkodowania.</w:t>
      </w:r>
    </w:p>
    <w:p w14:paraId="4A3B3D11" w14:textId="77777777" w:rsidR="00116591" w:rsidRPr="00A35CE5" w:rsidRDefault="00116591" w:rsidP="003863A0">
      <w:pPr>
        <w:pStyle w:val="Nagwek5"/>
      </w:pPr>
      <w:r w:rsidRPr="00A35CE5">
        <w:t>Organy jednostek samorządu terytorialnego</w:t>
      </w:r>
    </w:p>
    <w:p w14:paraId="5DA28EF5" w14:textId="4C05E6CF" w:rsidR="00116591" w:rsidRPr="005F434F" w:rsidRDefault="00116591" w:rsidP="00116591">
      <w:pPr>
        <w:rPr>
          <w:rFonts w:asciiTheme="minorHAnsi" w:hAnsiTheme="minorHAnsi" w:cstheme="minorHAnsi"/>
        </w:rPr>
      </w:pPr>
      <w:r w:rsidRPr="00A35CE5">
        <w:rPr>
          <w:rFonts w:asciiTheme="minorHAnsi" w:hAnsiTheme="minorHAnsi" w:cstheme="minorHAnsi"/>
        </w:rPr>
        <w:t xml:space="preserve">Zgodnie z art. 4 ust. 1 pkt 5 </w:t>
      </w:r>
      <w:r w:rsidR="00FD140E">
        <w:rPr>
          <w:rFonts w:asciiTheme="minorHAnsi" w:hAnsiTheme="minorHAnsi" w:cstheme="minorHAnsi"/>
        </w:rPr>
        <w:t xml:space="preserve">ustawy </w:t>
      </w:r>
      <w:r w:rsidRPr="00A35CE5">
        <w:rPr>
          <w:rFonts w:asciiTheme="minorHAnsi" w:hAnsiTheme="minorHAnsi" w:cstheme="minorHAnsi"/>
        </w:rPr>
        <w:t xml:space="preserve">s.pr.w. organami właściwymi w sprawach gospodarowania wodami były także organy jednostek samorządu terytorialnego. Organem wyższego stopnia w rozumieniu </w:t>
      </w:r>
      <w:r>
        <w:rPr>
          <w:rFonts w:asciiTheme="minorHAnsi" w:hAnsiTheme="minorHAnsi" w:cstheme="minorHAnsi"/>
        </w:rPr>
        <w:t>k.p.a.</w:t>
      </w:r>
      <w:r w:rsidRPr="00A35CE5">
        <w:rPr>
          <w:rFonts w:asciiTheme="minorHAnsi" w:hAnsiTheme="minorHAnsi" w:cstheme="minorHAnsi"/>
        </w:rPr>
        <w:t xml:space="preserve"> w</w:t>
      </w:r>
      <w:r>
        <w:rPr>
          <w:rFonts w:asciiTheme="minorHAnsi" w:hAnsiTheme="minorHAnsi" w:cstheme="minorHAnsi"/>
        </w:rPr>
        <w:t> </w:t>
      </w:r>
      <w:r w:rsidRPr="00A35CE5">
        <w:rPr>
          <w:rFonts w:asciiTheme="minorHAnsi" w:hAnsiTheme="minorHAnsi" w:cstheme="minorHAnsi"/>
        </w:rPr>
        <w:t xml:space="preserve">stosunku do starostów w odniesieniu do zadań z zakresu administracji rządowej oraz kompetencji organu właściwego do wydania pozwolenia wodnoprawnego, był właściwy dyrektor </w:t>
      </w:r>
      <w:r>
        <w:rPr>
          <w:rFonts w:asciiTheme="minorHAnsi" w:hAnsiTheme="minorHAnsi" w:cstheme="minorHAnsi"/>
        </w:rPr>
        <w:t>RZGW</w:t>
      </w:r>
      <w:r w:rsidRPr="00A35CE5">
        <w:rPr>
          <w:rFonts w:asciiTheme="minorHAnsi" w:hAnsiTheme="minorHAnsi" w:cstheme="minorHAnsi"/>
        </w:rPr>
        <w:t xml:space="preserve">. Z kolei organem wyższego stopnia w rozumieniu </w:t>
      </w:r>
      <w:r>
        <w:rPr>
          <w:rFonts w:asciiTheme="minorHAnsi" w:hAnsiTheme="minorHAnsi" w:cstheme="minorHAnsi"/>
        </w:rPr>
        <w:t>k.p.a.</w:t>
      </w:r>
      <w:r w:rsidRPr="00A35CE5">
        <w:rPr>
          <w:rFonts w:asciiTheme="minorHAnsi" w:hAnsiTheme="minorHAnsi" w:cstheme="minorHAnsi"/>
        </w:rPr>
        <w:t xml:space="preserve"> w stosunku do marszałków województw był Prezes KZGW. </w:t>
      </w:r>
      <w:r w:rsidRPr="005F434F">
        <w:rPr>
          <w:rFonts w:asciiTheme="minorHAnsi" w:hAnsiTheme="minorHAnsi" w:cstheme="minorHAnsi"/>
        </w:rPr>
        <w:t xml:space="preserve">Zgodnie z art. 15 ust. 2 pkt 2 i 3 </w:t>
      </w:r>
      <w:r w:rsidR="00FD140E">
        <w:rPr>
          <w:rFonts w:asciiTheme="minorHAnsi" w:hAnsiTheme="minorHAnsi" w:cstheme="minorHAnsi"/>
        </w:rPr>
        <w:t xml:space="preserve">ustawy </w:t>
      </w:r>
      <w:r w:rsidRPr="005F434F">
        <w:rPr>
          <w:rFonts w:asciiTheme="minorHAnsi" w:hAnsiTheme="minorHAnsi" w:cstheme="minorHAnsi"/>
        </w:rPr>
        <w:t>s.pr.w. linię brzegu ustalał, w drodze decyzji, na wniosek mającego interes prawny lub faktyczny: właściwy marszałek województwa dla wód granicznych oraz śródlądowych dróg wodnych</w:t>
      </w:r>
      <w:r>
        <w:rPr>
          <w:rFonts w:asciiTheme="minorHAnsi" w:hAnsiTheme="minorHAnsi" w:cstheme="minorHAnsi"/>
        </w:rPr>
        <w:t>,</w:t>
      </w:r>
      <w:r w:rsidRPr="005F434F">
        <w:rPr>
          <w:rFonts w:asciiTheme="minorHAnsi" w:hAnsiTheme="minorHAnsi" w:cstheme="minorHAnsi"/>
        </w:rPr>
        <w:t xml:space="preserve"> oraz właściwy starosta realizujący zadanie z zakresu administracji rządowej dla pozostałych wód. Z kolei na mocy art. 140 ust. 1 </w:t>
      </w:r>
      <w:r w:rsidR="00FD140E">
        <w:rPr>
          <w:rFonts w:asciiTheme="minorHAnsi" w:hAnsiTheme="minorHAnsi" w:cstheme="minorHAnsi"/>
        </w:rPr>
        <w:t xml:space="preserve">ustawy </w:t>
      </w:r>
      <w:r w:rsidRPr="005F434F">
        <w:rPr>
          <w:rFonts w:asciiTheme="minorHAnsi" w:hAnsiTheme="minorHAnsi" w:cstheme="minorHAnsi"/>
        </w:rPr>
        <w:t>s.pr.w. organem właściwym do</w:t>
      </w:r>
      <w:r w:rsidR="006C4947">
        <w:rPr>
          <w:rFonts w:asciiTheme="minorHAnsi" w:hAnsiTheme="minorHAnsi" w:cstheme="minorHAnsi"/>
        </w:rPr>
        <w:t> </w:t>
      </w:r>
      <w:r w:rsidRPr="005F434F">
        <w:rPr>
          <w:rFonts w:asciiTheme="minorHAnsi" w:hAnsiTheme="minorHAnsi" w:cstheme="minorHAnsi"/>
        </w:rPr>
        <w:t xml:space="preserve">wydawania pozwoleń wodnoprawnych był starosta, wykonujący to zadanie jako zadanie z zakresu administracji rządowej. </w:t>
      </w:r>
      <w:r>
        <w:rPr>
          <w:rFonts w:asciiTheme="minorHAnsi" w:hAnsiTheme="minorHAnsi" w:cstheme="minorHAnsi"/>
        </w:rPr>
        <w:t>M</w:t>
      </w:r>
      <w:r w:rsidRPr="005F434F">
        <w:rPr>
          <w:rFonts w:asciiTheme="minorHAnsi" w:hAnsiTheme="minorHAnsi" w:cstheme="minorHAnsi"/>
        </w:rPr>
        <w:t xml:space="preserve">arszałek województwa wydawał pozwolenie wodnoprawne w przypadkach wskazanych w art. 140 ust. 2 </w:t>
      </w:r>
      <w:r w:rsidR="00FD140E">
        <w:rPr>
          <w:rFonts w:asciiTheme="minorHAnsi" w:hAnsiTheme="minorHAnsi" w:cstheme="minorHAnsi"/>
        </w:rPr>
        <w:t xml:space="preserve">ustawy </w:t>
      </w:r>
      <w:r w:rsidRPr="005F434F">
        <w:rPr>
          <w:rFonts w:asciiTheme="minorHAnsi" w:hAnsiTheme="minorHAnsi" w:cstheme="minorHAnsi"/>
        </w:rPr>
        <w:t xml:space="preserve">s.pr.w. Starosta sprawował także nadzór i kontrolę nad działalnością spółek wodnych (art. 178 </w:t>
      </w:r>
      <w:r w:rsidR="00FD140E">
        <w:rPr>
          <w:rFonts w:asciiTheme="minorHAnsi" w:hAnsiTheme="minorHAnsi" w:cstheme="minorHAnsi"/>
        </w:rPr>
        <w:t xml:space="preserve">ustawy </w:t>
      </w:r>
      <w:r w:rsidRPr="005F434F">
        <w:rPr>
          <w:rFonts w:asciiTheme="minorHAnsi" w:hAnsiTheme="minorHAnsi" w:cstheme="minorHAnsi"/>
        </w:rPr>
        <w:t>s.pr.w.</w:t>
      </w:r>
      <w:r>
        <w:rPr>
          <w:rFonts w:asciiTheme="minorHAnsi" w:hAnsiTheme="minorHAnsi" w:cstheme="minorHAnsi"/>
        </w:rPr>
        <w:t>). P</w:t>
      </w:r>
      <w:r w:rsidRPr="005F434F">
        <w:rPr>
          <w:rFonts w:asciiTheme="minorHAnsi" w:hAnsiTheme="minorHAnsi" w:cstheme="minorHAnsi"/>
        </w:rPr>
        <w:t>rawa i obowiązki przysługujące wobec spółek wodnych staroście w stosunku do</w:t>
      </w:r>
      <w:r>
        <w:rPr>
          <w:rFonts w:asciiTheme="minorHAnsi" w:hAnsiTheme="minorHAnsi" w:cstheme="minorHAnsi"/>
        </w:rPr>
        <w:t> </w:t>
      </w:r>
      <w:r w:rsidRPr="005F434F">
        <w:rPr>
          <w:rFonts w:asciiTheme="minorHAnsi" w:hAnsiTheme="minorHAnsi" w:cstheme="minorHAnsi"/>
        </w:rPr>
        <w:t xml:space="preserve">związków spółek wodnych wykonywał </w:t>
      </w:r>
      <w:r w:rsidR="00BB0E3B">
        <w:rPr>
          <w:rFonts w:asciiTheme="minorHAnsi" w:hAnsiTheme="minorHAnsi" w:cstheme="minorHAnsi"/>
        </w:rPr>
        <w:t>-</w:t>
      </w:r>
      <w:r w:rsidRPr="005F434F">
        <w:rPr>
          <w:rFonts w:asciiTheme="minorHAnsi" w:hAnsiTheme="minorHAnsi" w:cstheme="minorHAnsi"/>
        </w:rPr>
        <w:t xml:space="preserve"> na mocy art. 164 ust. 9 </w:t>
      </w:r>
      <w:r w:rsidR="00FD140E">
        <w:rPr>
          <w:rFonts w:asciiTheme="minorHAnsi" w:hAnsiTheme="minorHAnsi" w:cstheme="minorHAnsi"/>
        </w:rPr>
        <w:t xml:space="preserve">ustawy </w:t>
      </w:r>
      <w:r w:rsidRPr="005F434F">
        <w:rPr>
          <w:rFonts w:asciiTheme="minorHAnsi" w:hAnsiTheme="minorHAnsi" w:cstheme="minorHAnsi"/>
        </w:rPr>
        <w:t xml:space="preserve">s.pr.w. marszałek województwa. </w:t>
      </w:r>
      <w:r>
        <w:rPr>
          <w:rFonts w:asciiTheme="minorHAnsi" w:hAnsiTheme="minorHAnsi" w:cstheme="minorHAnsi"/>
        </w:rPr>
        <w:t xml:space="preserve">Aglomeracje były wyznaczane w drodze uchwały przez </w:t>
      </w:r>
      <w:r w:rsidRPr="005F434F">
        <w:rPr>
          <w:rFonts w:asciiTheme="minorHAnsi" w:hAnsiTheme="minorHAnsi" w:cstheme="minorHAnsi"/>
        </w:rPr>
        <w:t xml:space="preserve">sejmik województwa, natomiast rada gminy określała, także w drodze uchwały, wykazy kąpielisk </w:t>
      </w:r>
      <w:r w:rsidR="006C4947">
        <w:rPr>
          <w:rFonts w:asciiTheme="minorHAnsi" w:hAnsiTheme="minorHAnsi" w:cstheme="minorHAnsi"/>
        </w:rPr>
        <w:br/>
      </w:r>
      <w:r w:rsidRPr="005F434F">
        <w:rPr>
          <w:rFonts w:asciiTheme="minorHAnsi" w:hAnsiTheme="minorHAnsi" w:cstheme="minorHAnsi"/>
        </w:rPr>
        <w:t xml:space="preserve">(art. 43 ust.2a </w:t>
      </w:r>
      <w:r w:rsidR="00FD140E">
        <w:rPr>
          <w:rFonts w:asciiTheme="minorHAnsi" w:hAnsiTheme="minorHAnsi" w:cstheme="minorHAnsi"/>
        </w:rPr>
        <w:t xml:space="preserve">ustawy </w:t>
      </w:r>
      <w:r w:rsidRPr="005F434F">
        <w:rPr>
          <w:rFonts w:asciiTheme="minorHAnsi" w:hAnsiTheme="minorHAnsi" w:cstheme="minorHAnsi"/>
        </w:rPr>
        <w:t xml:space="preserve">s.pr.w. i art. 34a </w:t>
      </w:r>
      <w:r w:rsidR="00FD140E">
        <w:rPr>
          <w:rFonts w:asciiTheme="minorHAnsi" w:hAnsiTheme="minorHAnsi" w:cstheme="minorHAnsi"/>
        </w:rPr>
        <w:t xml:space="preserve">ustawy </w:t>
      </w:r>
      <w:r w:rsidRPr="005F434F">
        <w:rPr>
          <w:rFonts w:asciiTheme="minorHAnsi" w:hAnsiTheme="minorHAnsi" w:cstheme="minorHAnsi"/>
        </w:rPr>
        <w:t>s.pr.w.).</w:t>
      </w:r>
    </w:p>
    <w:p w14:paraId="40533634" w14:textId="77777777" w:rsidR="00116591" w:rsidRPr="00A35CE5" w:rsidRDefault="00116591" w:rsidP="003863A0">
      <w:pPr>
        <w:pStyle w:val="Nagwek5"/>
      </w:pPr>
      <w:r w:rsidRPr="00A35CE5">
        <w:t>Dyrektorzy wojewódzkich zarządów melioracji i urządzeń wodnych</w:t>
      </w:r>
    </w:p>
    <w:p w14:paraId="535343A1" w14:textId="2E490ACC" w:rsidR="00B16BD9" w:rsidRDefault="00116591" w:rsidP="00116591">
      <w:pPr>
        <w:rPr>
          <w:rFonts w:asciiTheme="minorHAnsi" w:hAnsiTheme="minorHAnsi" w:cstheme="minorHAnsi"/>
        </w:rPr>
      </w:pPr>
      <w:r w:rsidRPr="00A35CE5">
        <w:rPr>
          <w:rFonts w:asciiTheme="minorHAnsi" w:hAnsiTheme="minorHAnsi" w:cstheme="minorHAnsi"/>
        </w:rPr>
        <w:t>Wojewódzkie zarządy melioracji i urządzeń wodnych realizowały, w imieniu marszałka województwa, zadania wynikające z wykonywania przez marszałka województwa praw właścicielskich w stosunku do</w:t>
      </w:r>
      <w:r>
        <w:rPr>
          <w:rFonts w:asciiTheme="minorHAnsi" w:hAnsiTheme="minorHAnsi" w:cstheme="minorHAnsi"/>
        </w:rPr>
        <w:t> </w:t>
      </w:r>
      <w:r w:rsidRPr="00A35CE5">
        <w:rPr>
          <w:rFonts w:asciiTheme="minorHAnsi" w:hAnsiTheme="minorHAnsi" w:cstheme="minorHAnsi"/>
        </w:rPr>
        <w:t>wód publicznych stanowiących własność Skarbu Państwa, istotnych dla regulacji stosunków wodnych na potrzeby rolnictwa oraz w stosunku do pozostałych wód niepodlegających zarządzaniu przez Prezesa KZGW lub dyrektorów parków narodowych.</w:t>
      </w:r>
    </w:p>
    <w:p w14:paraId="3C56500E" w14:textId="77777777" w:rsidR="00116591" w:rsidRPr="00A35CE5" w:rsidRDefault="00116591" w:rsidP="003863A0">
      <w:pPr>
        <w:pStyle w:val="Nagwek5"/>
      </w:pPr>
      <w:r w:rsidRPr="00A35CE5">
        <w:t>Minister Gospodarki Morskiej i Żeglugi Śródlądowej</w:t>
      </w:r>
    </w:p>
    <w:p w14:paraId="5649F763" w14:textId="77777777" w:rsidR="00116591" w:rsidRPr="00A35CE5" w:rsidRDefault="00116591" w:rsidP="00116591">
      <w:pPr>
        <w:rPr>
          <w:rFonts w:asciiTheme="minorHAnsi" w:hAnsiTheme="minorHAnsi" w:cstheme="minorHAnsi"/>
        </w:rPr>
      </w:pPr>
      <w:r w:rsidRPr="00A35CE5">
        <w:rPr>
          <w:rFonts w:asciiTheme="minorHAnsi" w:hAnsiTheme="minorHAnsi" w:cstheme="minorHAnsi"/>
        </w:rPr>
        <w:t>Minister Gospodarki Morskiej i Żeglugi Śródlądowej był ministrem właściwym do spraw gospodarki morskiej oraz organem nadrzędnym w stosunku do dyrektorów urzędów morskich oraz dyrektorów urzędów żeglugi śródlądowej.</w:t>
      </w:r>
    </w:p>
    <w:p w14:paraId="6EA463AF" w14:textId="77777777" w:rsidR="00116591" w:rsidRPr="00A35CE5" w:rsidRDefault="00116591" w:rsidP="003863A0">
      <w:pPr>
        <w:pStyle w:val="Nagwek5"/>
      </w:pPr>
      <w:r w:rsidRPr="00A35CE5">
        <w:t>Minister Rolnictwa i Rozwoju Wsi</w:t>
      </w:r>
    </w:p>
    <w:p w14:paraId="33911ECB" w14:textId="04BCCC79" w:rsidR="00116591" w:rsidRPr="00A35CE5" w:rsidRDefault="00116591" w:rsidP="00116591">
      <w:pPr>
        <w:rPr>
          <w:rFonts w:asciiTheme="minorHAnsi" w:hAnsiTheme="minorHAnsi" w:cstheme="minorHAnsi"/>
        </w:rPr>
      </w:pPr>
      <w:r w:rsidRPr="00A35CE5">
        <w:rPr>
          <w:rFonts w:asciiTheme="minorHAnsi" w:hAnsiTheme="minorHAnsi" w:cstheme="minorHAnsi"/>
        </w:rPr>
        <w:t xml:space="preserve">Zgodnie z art. 78 ust. 3 </w:t>
      </w:r>
      <w:r w:rsidR="00FD140E">
        <w:rPr>
          <w:rFonts w:asciiTheme="minorHAnsi" w:hAnsiTheme="minorHAnsi" w:cstheme="minorHAnsi"/>
        </w:rPr>
        <w:t xml:space="preserve">ustawy </w:t>
      </w:r>
      <w:r w:rsidRPr="00A35CE5">
        <w:rPr>
          <w:rFonts w:asciiTheme="minorHAnsi" w:hAnsiTheme="minorHAnsi" w:cstheme="minorHAnsi"/>
        </w:rPr>
        <w:t>s.pr.w. minister właściwy do spraw rozwoju wsi określał w drodze rozporządzenia sposób: 1) prowadzenia ewidencji: śródlądowych wód powierzchniowych lub ich części, stanowiących własność publiczną, istotnych dla regulacji stosunków wodnych na potrzeby rolnictwa, urządzeń melioracji wodnych oraz zmeliorowanych gruntów; 2) ustalania obszaru, na który wywierają korzystny wpływ urządzenia melioracji wodnych szczegółowych.</w:t>
      </w:r>
    </w:p>
    <w:p w14:paraId="61573314" w14:textId="260905C1" w:rsidR="00116591" w:rsidRPr="00906162" w:rsidRDefault="00116591" w:rsidP="00116591">
      <w:pPr>
        <w:rPr>
          <w:rFonts w:asciiTheme="minorHAnsi" w:hAnsiTheme="minorHAnsi" w:cstheme="minorHAnsi"/>
        </w:rPr>
      </w:pPr>
      <w:r>
        <w:rPr>
          <w:rFonts w:asciiTheme="minorHAnsi" w:hAnsiTheme="minorHAnsi" w:cstheme="minorHAnsi"/>
        </w:rPr>
        <w:t>W</w:t>
      </w:r>
      <w:r w:rsidRPr="00906162">
        <w:rPr>
          <w:rFonts w:asciiTheme="minorHAnsi" w:hAnsiTheme="minorHAnsi" w:cstheme="minorHAnsi"/>
        </w:rPr>
        <w:t xml:space="preserve"> planach gospodarowania wodami na obszarze dorzecza przyjętych na podstawie przepisów </w:t>
      </w:r>
      <w:r w:rsidR="00FD140E">
        <w:rPr>
          <w:rFonts w:asciiTheme="minorHAnsi" w:hAnsiTheme="minorHAnsi" w:cstheme="minorHAnsi"/>
        </w:rPr>
        <w:t xml:space="preserve">ustawy </w:t>
      </w:r>
      <w:r w:rsidRPr="00906162">
        <w:rPr>
          <w:rFonts w:asciiTheme="minorHAnsi" w:hAnsiTheme="minorHAnsi" w:cstheme="minorHAnsi"/>
        </w:rPr>
        <w:t>s.pr.w. wskazywano w wykazach organów właściwych w sprawach gospodarowania wodami dla obszaru dorzecza także Głównego Inspektora Ochrony Środowiska i regionalnych dyrektorów ochrony środowiska.</w:t>
      </w:r>
    </w:p>
    <w:p w14:paraId="694F5E3B" w14:textId="25092F7E" w:rsidR="00116591" w:rsidRPr="00906162" w:rsidRDefault="00116591" w:rsidP="00116591">
      <w:pPr>
        <w:rPr>
          <w:rFonts w:asciiTheme="minorHAnsi" w:hAnsiTheme="minorHAnsi" w:cstheme="minorHAnsi"/>
        </w:rPr>
      </w:pPr>
      <w:r w:rsidRPr="00385675">
        <w:rPr>
          <w:rFonts w:asciiTheme="minorHAnsi" w:hAnsiTheme="minorHAnsi" w:cstheme="minorHAnsi"/>
        </w:rPr>
        <w:t>W aktualnym stanie prawnym, na</w:t>
      </w:r>
      <w:r w:rsidRPr="00906162">
        <w:rPr>
          <w:rFonts w:asciiTheme="minorHAnsi" w:hAnsiTheme="minorHAnsi" w:cstheme="minorHAnsi"/>
        </w:rPr>
        <w:t xml:space="preserve"> mocy art. 14 </w:t>
      </w:r>
      <w:r w:rsidR="00FD140E">
        <w:rPr>
          <w:rFonts w:asciiTheme="minorHAnsi" w:hAnsiTheme="minorHAnsi" w:cstheme="minorHAnsi"/>
        </w:rPr>
        <w:t xml:space="preserve">ustawy </w:t>
      </w:r>
      <w:r w:rsidRPr="00906162">
        <w:rPr>
          <w:rFonts w:asciiTheme="minorHAnsi" w:hAnsiTheme="minorHAnsi" w:cstheme="minorHAnsi"/>
        </w:rPr>
        <w:t>pr.w.</w:t>
      </w:r>
      <w:r w:rsidRPr="00906162">
        <w:rPr>
          <w:rFonts w:asciiTheme="minorHAnsi" w:hAnsiTheme="minorHAnsi" w:cstheme="minorHAnsi"/>
          <w:b/>
          <w:bCs/>
        </w:rPr>
        <w:t xml:space="preserve"> </w:t>
      </w:r>
      <w:r w:rsidRPr="00906162">
        <w:rPr>
          <w:rFonts w:asciiTheme="minorHAnsi" w:hAnsiTheme="minorHAnsi" w:cstheme="minorHAnsi"/>
        </w:rPr>
        <w:t xml:space="preserve">organami właściwymi w sprawach gospodarowania wodami są: </w:t>
      </w:r>
      <w:r w:rsidRPr="128B6BFC">
        <w:rPr>
          <w:rFonts w:asciiTheme="minorHAnsi" w:hAnsiTheme="minorHAnsi" w:cstheme="minorBidi"/>
        </w:rPr>
        <w:t>Prezes PGW</w:t>
      </w:r>
      <w:r>
        <w:rPr>
          <w:rFonts w:asciiTheme="minorHAnsi" w:hAnsiTheme="minorHAnsi" w:cstheme="minorBidi"/>
        </w:rPr>
        <w:t xml:space="preserve"> </w:t>
      </w:r>
      <w:r w:rsidRPr="128B6BFC">
        <w:rPr>
          <w:rFonts w:asciiTheme="minorHAnsi" w:hAnsiTheme="minorHAnsi" w:cstheme="minorBidi"/>
        </w:rPr>
        <w:t>WP dyrektor RZGW WP, dyrektor ZZ WP, kierownik NW WP</w:t>
      </w:r>
      <w:r>
        <w:rPr>
          <w:rFonts w:asciiTheme="minorHAnsi" w:hAnsiTheme="minorHAnsi" w:cstheme="minorBidi"/>
        </w:rPr>
        <w:t>,</w:t>
      </w:r>
      <w:r w:rsidRPr="128B6BFC">
        <w:rPr>
          <w:rFonts w:asciiTheme="minorHAnsi" w:hAnsiTheme="minorHAnsi" w:cstheme="minorBidi"/>
        </w:rPr>
        <w:t xml:space="preserve"> dyrektor urzędu morskiego, wojewoda, starosta, wójt, burmistrz lub prezydent miasta.</w:t>
      </w:r>
      <w:r w:rsidRPr="00906162">
        <w:rPr>
          <w:rFonts w:asciiTheme="minorHAnsi" w:hAnsiTheme="minorHAnsi" w:cstheme="minorHAnsi"/>
        </w:rPr>
        <w:t xml:space="preserve"> </w:t>
      </w:r>
      <w:r>
        <w:rPr>
          <w:rFonts w:asciiTheme="minorHAnsi" w:hAnsiTheme="minorHAnsi" w:cstheme="minorHAnsi"/>
        </w:rPr>
        <w:t>O</w:t>
      </w:r>
      <w:r w:rsidRPr="00906162">
        <w:rPr>
          <w:rFonts w:asciiTheme="minorHAnsi" w:hAnsiTheme="minorHAnsi" w:cstheme="minorHAnsi"/>
        </w:rPr>
        <w:t xml:space="preserve">d dnia wejścia w życie </w:t>
      </w:r>
      <w:r w:rsidR="00FD140E">
        <w:rPr>
          <w:rFonts w:asciiTheme="minorHAnsi" w:hAnsiTheme="minorHAnsi" w:cstheme="minorHAnsi"/>
        </w:rPr>
        <w:t xml:space="preserve">ustawy </w:t>
      </w:r>
      <w:r w:rsidRPr="00906162">
        <w:rPr>
          <w:rFonts w:asciiTheme="minorHAnsi" w:hAnsiTheme="minorHAnsi" w:cstheme="minorHAnsi"/>
        </w:rPr>
        <w:t xml:space="preserve">pr.w. </w:t>
      </w:r>
      <w:r>
        <w:rPr>
          <w:rFonts w:asciiTheme="minorHAnsi" w:hAnsiTheme="minorHAnsi" w:cstheme="minorHAnsi"/>
        </w:rPr>
        <w:t>PGW WP</w:t>
      </w:r>
      <w:r w:rsidRPr="00906162">
        <w:rPr>
          <w:rFonts w:asciiTheme="minorHAnsi" w:hAnsiTheme="minorHAnsi" w:cstheme="minorHAnsi"/>
        </w:rPr>
        <w:t xml:space="preserve"> wykonują zadania dotychczasowego Prezesa </w:t>
      </w:r>
      <w:r>
        <w:rPr>
          <w:rFonts w:asciiTheme="minorHAnsi" w:hAnsiTheme="minorHAnsi" w:cstheme="minorHAnsi"/>
        </w:rPr>
        <w:t>KZGW</w:t>
      </w:r>
      <w:r w:rsidRPr="00906162">
        <w:rPr>
          <w:rFonts w:asciiTheme="minorHAnsi" w:hAnsiTheme="minorHAnsi" w:cstheme="minorHAnsi"/>
        </w:rPr>
        <w:t>, dotychczasowych dyrektorów regionalnych zarządów gospodarki wodnej oraz marszałków województw związane z</w:t>
      </w:r>
      <w:r w:rsidR="00385675">
        <w:rPr>
          <w:rFonts w:asciiTheme="minorHAnsi" w:hAnsiTheme="minorHAnsi" w:cstheme="minorHAnsi"/>
        </w:rPr>
        <w:t> </w:t>
      </w:r>
      <w:r w:rsidRPr="00906162">
        <w:rPr>
          <w:rFonts w:asciiTheme="minorHAnsi" w:hAnsiTheme="minorHAnsi" w:cstheme="minorHAnsi"/>
        </w:rPr>
        <w:t>utrzymaniem wód oraz pozostałego mienia Skarbu Państwa związanego z gospodarką wodną, a także inwestycjami w gospodarce wodnej.</w:t>
      </w:r>
    </w:p>
    <w:p w14:paraId="24DEE0B7" w14:textId="4FA543C6" w:rsidR="00116591" w:rsidRPr="00A35CE5" w:rsidRDefault="00116591" w:rsidP="00116591">
      <w:pPr>
        <w:rPr>
          <w:rFonts w:asciiTheme="minorHAnsi" w:hAnsiTheme="minorHAnsi" w:cstheme="minorHAnsi"/>
        </w:rPr>
      </w:pPr>
      <w:r>
        <w:rPr>
          <w:rFonts w:asciiTheme="minorHAnsi" w:hAnsiTheme="minorHAnsi" w:cstheme="minorHAnsi"/>
        </w:rPr>
        <w:t>Zgodnie z przepisami</w:t>
      </w:r>
      <w:r w:rsidRPr="00A35CE5">
        <w:rPr>
          <w:rFonts w:asciiTheme="minorHAnsi" w:hAnsiTheme="minorHAnsi" w:cstheme="minorHAnsi"/>
        </w:rPr>
        <w:t xml:space="preserve"> sprawy gospodarki wodnej, gospodarki morskiej i sprawy żeglugi śródlądowej </w:t>
      </w:r>
      <w:r w:rsidRPr="00385675">
        <w:rPr>
          <w:rFonts w:asciiTheme="minorHAnsi" w:hAnsiTheme="minorHAnsi" w:cstheme="minorHAnsi"/>
        </w:rPr>
        <w:t>podlegają Ministrowi Infrastruktury</w:t>
      </w:r>
      <w:r w:rsidRPr="00A35CE5">
        <w:rPr>
          <w:rFonts w:asciiTheme="minorHAnsi" w:hAnsiTheme="minorHAnsi" w:cstheme="minorHAnsi"/>
        </w:rPr>
        <w:t xml:space="preserve"> (</w:t>
      </w:r>
      <w:r>
        <w:rPr>
          <w:rFonts w:asciiTheme="minorHAnsi" w:hAnsiTheme="minorHAnsi" w:cstheme="minorHAnsi"/>
        </w:rPr>
        <w:t>r</w:t>
      </w:r>
      <w:r w:rsidRPr="00A35CE5">
        <w:rPr>
          <w:rFonts w:asciiTheme="minorHAnsi" w:hAnsiTheme="minorHAnsi" w:cstheme="minorHAnsi"/>
        </w:rPr>
        <w:t>ozporządzenie Prezesa Rady Ministrów z dnia 18 listopada 2019</w:t>
      </w:r>
      <w:r w:rsidR="00385675">
        <w:rPr>
          <w:rFonts w:asciiTheme="minorHAnsi" w:hAnsiTheme="minorHAnsi" w:cstheme="minorHAnsi"/>
        </w:rPr>
        <w:t> </w:t>
      </w:r>
      <w:r w:rsidRPr="00A35CE5">
        <w:rPr>
          <w:rFonts w:asciiTheme="minorHAnsi" w:hAnsiTheme="minorHAnsi" w:cstheme="minorHAnsi"/>
        </w:rPr>
        <w:t xml:space="preserve">r. w sprawie szczegółowego zakresu działania Ministra Infrastruktury, </w:t>
      </w:r>
      <w:r w:rsidR="00B313C6">
        <w:rPr>
          <w:rFonts w:asciiTheme="minorHAnsi" w:hAnsiTheme="minorHAnsi" w:cstheme="minorHAnsi"/>
        </w:rPr>
        <w:t>Dz.U.</w:t>
      </w:r>
      <w:r w:rsidRPr="00A35CE5">
        <w:rPr>
          <w:rFonts w:asciiTheme="minorHAnsi" w:hAnsiTheme="minorHAnsi" w:cstheme="minorHAnsi"/>
        </w:rPr>
        <w:t xml:space="preserve"> z 2019 r., poz. 2257 ze</w:t>
      </w:r>
      <w:r w:rsidR="00B313C6">
        <w:rPr>
          <w:rFonts w:asciiTheme="minorHAnsi" w:hAnsiTheme="minorHAnsi" w:cstheme="minorHAnsi"/>
        </w:rPr>
        <w:t> </w:t>
      </w:r>
      <w:r w:rsidRPr="00A35CE5">
        <w:rPr>
          <w:rFonts w:asciiTheme="minorHAnsi" w:hAnsiTheme="minorHAnsi" w:cstheme="minorHAnsi"/>
        </w:rPr>
        <w:t>zm.).</w:t>
      </w:r>
    </w:p>
    <w:p w14:paraId="155F99CF" w14:textId="77777777" w:rsidR="00116591" w:rsidRPr="00A35CE5" w:rsidRDefault="00116591" w:rsidP="003863A0">
      <w:pPr>
        <w:pStyle w:val="Nagwek5"/>
      </w:pPr>
      <w:r w:rsidRPr="00A35CE5">
        <w:t>Minister Infrastruktury</w:t>
      </w:r>
    </w:p>
    <w:p w14:paraId="0F9C5F10" w14:textId="2F5F29A6" w:rsidR="00116591" w:rsidRDefault="00116591" w:rsidP="00116591">
      <w:pPr>
        <w:rPr>
          <w:rFonts w:asciiTheme="minorHAnsi" w:hAnsiTheme="minorHAnsi" w:cstheme="minorHAnsi"/>
        </w:rPr>
      </w:pPr>
      <w:r w:rsidRPr="00A35CE5">
        <w:rPr>
          <w:rFonts w:asciiTheme="minorHAnsi" w:hAnsiTheme="minorHAnsi" w:cstheme="minorHAnsi"/>
        </w:rPr>
        <w:t xml:space="preserve">Zgodnie z art. 353 </w:t>
      </w:r>
      <w:r w:rsidR="00FD140E">
        <w:rPr>
          <w:rFonts w:asciiTheme="minorHAnsi" w:hAnsiTheme="minorHAnsi" w:cstheme="minorHAnsi"/>
        </w:rPr>
        <w:t xml:space="preserve">ustawy </w:t>
      </w:r>
      <w:r w:rsidRPr="00A35CE5">
        <w:rPr>
          <w:rFonts w:asciiTheme="minorHAnsi" w:hAnsiTheme="minorHAnsi" w:cstheme="minorHAnsi"/>
        </w:rPr>
        <w:t xml:space="preserve">pr.w. minister właściwy do spraw gospodarki wodnej jest naczelnym organem administracji rządowej właściwym w sprawach gospodarowania wodami i składa Sejmowi Rzeczypospolitej Polskiej co </w:t>
      </w:r>
      <w:r>
        <w:rPr>
          <w:rFonts w:asciiTheme="minorHAnsi" w:hAnsiTheme="minorHAnsi" w:cstheme="minorHAnsi"/>
        </w:rPr>
        <w:t>dwa</w:t>
      </w:r>
      <w:r w:rsidRPr="00A35CE5">
        <w:rPr>
          <w:rFonts w:asciiTheme="minorHAnsi" w:hAnsiTheme="minorHAnsi" w:cstheme="minorHAnsi"/>
        </w:rPr>
        <w:t xml:space="preserve"> lata, nie później niż do dnia 31 sierpnia, informację o gospodarowaniu wodami dotyczącą: stanu zasobów wodnych państwa i stanu ich wykorzystywania; realizacji planów gospodarowania wodami na obszarach dorzeczy; współpracy międzynarodowej na wodach granicznych oraz wykonywania umów w tym zakresie; realizacji zadań w zakresie utrzymywania wód oraz pozostałego mienia Skarbu Państwa związanego z gospodarką wodną; prowadzonych inwestycji; realizacji planów zarządzania ryzykiem powodziowym oraz planu przeciwdziałania skutkom suszy; stanu ochrony ludności i mienia przed powodzią oraz suszą. Z kolei na mocy art. 354 </w:t>
      </w:r>
      <w:r w:rsidR="00FD140E">
        <w:rPr>
          <w:rFonts w:asciiTheme="minorHAnsi" w:hAnsiTheme="minorHAnsi" w:cstheme="minorHAnsi"/>
        </w:rPr>
        <w:t xml:space="preserve">ustawy </w:t>
      </w:r>
      <w:r w:rsidRPr="00A35CE5">
        <w:rPr>
          <w:rFonts w:asciiTheme="minorHAnsi" w:hAnsiTheme="minorHAnsi" w:cstheme="minorHAnsi"/>
        </w:rPr>
        <w:t xml:space="preserve">pr.w. wspomniany organ kształtuje kierunki polityki wodnej państwa, uwzględniając kierunki rozwoju żeglugi śródlądowej oraz koordynuje realizację zadań publicznych w gospodarce wodnej, w szczególności wydaje Prezesowi </w:t>
      </w:r>
      <w:r>
        <w:rPr>
          <w:rFonts w:asciiTheme="minorHAnsi" w:hAnsiTheme="minorHAnsi" w:cstheme="minorHAnsi"/>
        </w:rPr>
        <w:t>PGW WP</w:t>
      </w:r>
      <w:r w:rsidRPr="00A35CE5">
        <w:rPr>
          <w:rFonts w:asciiTheme="minorHAnsi" w:hAnsiTheme="minorHAnsi" w:cstheme="minorHAnsi"/>
        </w:rPr>
        <w:t xml:space="preserve"> wytyczne i polecenia dotyczące sposobu realizacji zadań oraz żąda przekazania informacji w tym zakresie i akceptuje przygotowane przez Prezesa </w:t>
      </w:r>
      <w:r>
        <w:rPr>
          <w:rFonts w:asciiTheme="minorHAnsi" w:hAnsiTheme="minorHAnsi" w:cstheme="minorHAnsi"/>
        </w:rPr>
        <w:t>PGW WP</w:t>
      </w:r>
      <w:r w:rsidRPr="00A35CE5">
        <w:rPr>
          <w:rFonts w:asciiTheme="minorHAnsi" w:hAnsiTheme="minorHAnsi" w:cstheme="minorHAnsi"/>
        </w:rPr>
        <w:t xml:space="preserve"> propozycje dotyczące sposobu realizacji zadań w zakresie inwestycji. </w:t>
      </w:r>
      <w:r>
        <w:rPr>
          <w:rFonts w:asciiTheme="minorHAnsi" w:hAnsiTheme="minorHAnsi" w:cstheme="minorHAnsi"/>
          <w:noProof/>
        </w:rPr>
        <w:t xml:space="preserve">Na mocy art. 355 </w:t>
      </w:r>
      <w:r w:rsidR="00FD140E">
        <w:rPr>
          <w:rFonts w:asciiTheme="minorHAnsi" w:hAnsiTheme="minorHAnsi" w:cstheme="minorHAnsi"/>
          <w:noProof/>
        </w:rPr>
        <w:t xml:space="preserve">ustawy </w:t>
      </w:r>
      <w:r>
        <w:rPr>
          <w:rFonts w:asciiTheme="minorHAnsi" w:hAnsiTheme="minorHAnsi" w:cstheme="minorHAnsi"/>
          <w:noProof/>
        </w:rPr>
        <w:t xml:space="preserve">pr.w. przywołany minister </w:t>
      </w:r>
      <w:r w:rsidR="00BB0E3B">
        <w:rPr>
          <w:rFonts w:asciiTheme="minorHAnsi" w:hAnsiTheme="minorHAnsi" w:cstheme="minorHAnsi"/>
          <w:noProof/>
        </w:rPr>
        <w:t>-</w:t>
      </w:r>
      <w:r>
        <w:rPr>
          <w:rFonts w:asciiTheme="minorHAnsi" w:hAnsiTheme="minorHAnsi" w:cstheme="minorHAnsi"/>
          <w:noProof/>
        </w:rPr>
        <w:t xml:space="preserve"> z wyłączeniem zadań w</w:t>
      </w:r>
      <w:r w:rsidR="00385675">
        <w:rPr>
          <w:rFonts w:asciiTheme="minorHAnsi" w:hAnsiTheme="minorHAnsi" w:cstheme="minorHAnsi"/>
          <w:noProof/>
        </w:rPr>
        <w:t> </w:t>
      </w:r>
      <w:r>
        <w:rPr>
          <w:rFonts w:asciiTheme="minorHAnsi" w:hAnsiTheme="minorHAnsi" w:cstheme="minorHAnsi"/>
          <w:noProof/>
        </w:rPr>
        <w:t xml:space="preserve">zakresie rybactwa śródlądowego </w:t>
      </w:r>
      <w:r w:rsidR="00BB0E3B">
        <w:rPr>
          <w:rFonts w:asciiTheme="minorHAnsi" w:hAnsiTheme="minorHAnsi" w:cstheme="minorHAnsi"/>
          <w:noProof/>
        </w:rPr>
        <w:t>-</w:t>
      </w:r>
      <w:r>
        <w:rPr>
          <w:rFonts w:asciiTheme="minorHAnsi" w:hAnsiTheme="minorHAnsi" w:cstheme="minorHAnsi"/>
          <w:noProof/>
        </w:rPr>
        <w:t xml:space="preserve"> nadzoruje PGW</w:t>
      </w:r>
      <w:r w:rsidR="001B1731">
        <w:rPr>
          <w:rFonts w:asciiTheme="minorHAnsi" w:hAnsiTheme="minorHAnsi" w:cstheme="minorHAnsi"/>
          <w:noProof/>
        </w:rPr>
        <w:t xml:space="preserve"> </w:t>
      </w:r>
      <w:r>
        <w:rPr>
          <w:rFonts w:asciiTheme="minorHAnsi" w:hAnsiTheme="minorHAnsi" w:cstheme="minorHAnsi"/>
          <w:noProof/>
        </w:rPr>
        <w:t xml:space="preserve">WP. </w:t>
      </w:r>
      <w:r w:rsidRPr="00A35CE5">
        <w:rPr>
          <w:rFonts w:asciiTheme="minorHAnsi" w:hAnsiTheme="minorHAnsi" w:cstheme="minorHAnsi"/>
        </w:rPr>
        <w:t xml:space="preserve">Przedmiotowy nadzór polega w szczególności na: dokonaniu oceny okresowej Prezesa </w:t>
      </w:r>
      <w:r>
        <w:rPr>
          <w:rFonts w:asciiTheme="minorHAnsi" w:hAnsiTheme="minorHAnsi" w:cstheme="minorHAnsi"/>
        </w:rPr>
        <w:t>PGW WP</w:t>
      </w:r>
      <w:r w:rsidRPr="00A35CE5">
        <w:rPr>
          <w:rFonts w:asciiTheme="minorHAnsi" w:hAnsiTheme="minorHAnsi" w:cstheme="minorHAnsi"/>
        </w:rPr>
        <w:t xml:space="preserve">; dokonywaniu rocznej oceny działalności </w:t>
      </w:r>
      <w:r>
        <w:rPr>
          <w:rFonts w:asciiTheme="minorHAnsi" w:hAnsiTheme="minorHAnsi" w:cstheme="minorHAnsi"/>
        </w:rPr>
        <w:t>PGW WP</w:t>
      </w:r>
      <w:r w:rsidRPr="00A35CE5">
        <w:rPr>
          <w:rFonts w:asciiTheme="minorHAnsi" w:hAnsiTheme="minorHAnsi" w:cstheme="minorHAnsi"/>
        </w:rPr>
        <w:t>; zatwierdzaniu planu finansowego oraz rocznych planów działalności; zatwierdzaniu programów realizacji zadań związanych z utrzymywaniem wód oraz pozostałego mienia Skarbu Państwa związanego z gospodarką wodną oraz planowanych inwestycji w gospodarce wodnej i ich zmian; zatwierdzaniu sprawozdań z działalności za rok poprzedni; zatwierdzaniu planów kontroli (w</w:t>
      </w:r>
      <w:r w:rsidR="00385675">
        <w:rPr>
          <w:rFonts w:asciiTheme="minorHAnsi" w:hAnsiTheme="minorHAnsi" w:cstheme="minorHAnsi"/>
        </w:rPr>
        <w:t> </w:t>
      </w:r>
      <w:r w:rsidRPr="00A35CE5">
        <w:rPr>
          <w:rFonts w:asciiTheme="minorHAnsi" w:hAnsiTheme="minorHAnsi" w:cstheme="minorHAnsi"/>
        </w:rPr>
        <w:t xml:space="preserve">jednostkach organizacyjnych </w:t>
      </w:r>
      <w:r>
        <w:rPr>
          <w:rFonts w:asciiTheme="minorHAnsi" w:hAnsiTheme="minorHAnsi" w:cstheme="minorHAnsi"/>
        </w:rPr>
        <w:t>PGW WP</w:t>
      </w:r>
      <w:r w:rsidRPr="00A35CE5">
        <w:rPr>
          <w:rFonts w:asciiTheme="minorHAnsi" w:hAnsiTheme="minorHAnsi" w:cstheme="minorHAnsi"/>
        </w:rPr>
        <w:t xml:space="preserve"> i gospodarowania wodami wykonywanej przez Wody Polskie); polecaniu przeprowadzenia kontroli nieujętych w planie kontroli. </w:t>
      </w:r>
    </w:p>
    <w:p w14:paraId="7CF79983" w14:textId="3675BE19" w:rsidR="00116591" w:rsidRDefault="00116591" w:rsidP="00116591">
      <w:pPr>
        <w:rPr>
          <w:rFonts w:asciiTheme="minorHAnsi" w:eastAsiaTheme="minorHAnsi" w:hAnsiTheme="minorHAnsi" w:cstheme="minorHAnsi"/>
        </w:rPr>
      </w:pPr>
      <w:r w:rsidRPr="0098072A">
        <w:rPr>
          <w:rFonts w:asciiTheme="minorHAnsi" w:eastAsiaTheme="minorHAnsi" w:hAnsiTheme="minorHAnsi" w:cstheme="minorHAnsi"/>
        </w:rPr>
        <w:t xml:space="preserve">Zgodnie </w:t>
      </w:r>
      <w:r>
        <w:rPr>
          <w:rFonts w:asciiTheme="minorHAnsi" w:eastAsiaTheme="minorHAnsi" w:hAnsiTheme="minorHAnsi" w:cstheme="minorHAnsi"/>
        </w:rPr>
        <w:t xml:space="preserve">art. 317 ust. 7 </w:t>
      </w:r>
      <w:r w:rsidR="00FD140E">
        <w:rPr>
          <w:rFonts w:asciiTheme="minorHAnsi" w:eastAsiaTheme="minorHAnsi" w:hAnsiTheme="minorHAnsi" w:cstheme="minorHAnsi"/>
        </w:rPr>
        <w:t xml:space="preserve">ustawy </w:t>
      </w:r>
      <w:r>
        <w:rPr>
          <w:rFonts w:asciiTheme="minorHAnsi" w:eastAsiaTheme="minorHAnsi" w:hAnsiTheme="minorHAnsi" w:cstheme="minorHAnsi"/>
        </w:rPr>
        <w:t xml:space="preserve">pr.w. </w:t>
      </w:r>
      <w:r w:rsidR="00DB796B">
        <w:rPr>
          <w:rFonts w:asciiTheme="minorHAnsi" w:eastAsiaTheme="minorHAnsi" w:hAnsiTheme="minorHAnsi" w:cstheme="minorHAnsi"/>
        </w:rPr>
        <w:t>m</w:t>
      </w:r>
      <w:r w:rsidRPr="0098072A">
        <w:rPr>
          <w:rFonts w:asciiTheme="minorHAnsi" w:eastAsiaTheme="minorHAnsi" w:hAnsiTheme="minorHAnsi" w:cstheme="minorHAnsi"/>
        </w:rPr>
        <w:t>inister właściwy do spraw gospodarki wodnej zatwierdza dokumentacje planistyczne</w:t>
      </w:r>
      <w:r>
        <w:rPr>
          <w:rFonts w:asciiTheme="minorHAnsi" w:eastAsiaTheme="minorHAnsi" w:hAnsiTheme="minorHAnsi" w:cstheme="minorHAnsi"/>
        </w:rPr>
        <w:t>:</w:t>
      </w:r>
    </w:p>
    <w:p w14:paraId="41C93957" w14:textId="77777777" w:rsidR="00116591" w:rsidRPr="00B313C6" w:rsidRDefault="00116591" w:rsidP="00F06393">
      <w:pPr>
        <w:pStyle w:val="Akapitzlist"/>
      </w:pPr>
      <w:r w:rsidRPr="00B313C6">
        <w:t>wykazy jcw;</w:t>
      </w:r>
    </w:p>
    <w:p w14:paraId="5FA99718" w14:textId="77777777" w:rsidR="00116591" w:rsidRPr="00B313C6" w:rsidRDefault="00116591" w:rsidP="00F06393">
      <w:pPr>
        <w:pStyle w:val="Akapitzlist"/>
      </w:pPr>
      <w:r w:rsidRPr="00B313C6">
        <w:t>charakterystyki jcw ze wskazaniem SCW i SZCW oraz jcw zagrożonych nieosiągnięciem celów środowiskowych; </w:t>
      </w:r>
    </w:p>
    <w:p w14:paraId="0816616B" w14:textId="77777777" w:rsidR="00116591" w:rsidRPr="00B313C6" w:rsidRDefault="00116591" w:rsidP="00F06393">
      <w:pPr>
        <w:pStyle w:val="Akapitzlist"/>
      </w:pPr>
      <w:r w:rsidRPr="00B313C6">
        <w:t>identyfikacje znaczących oddziaływań antropogenicznych oraz ocenę ich wpływu na stan wód powierzchniowych i wód podziemnych; </w:t>
      </w:r>
    </w:p>
    <w:p w14:paraId="5DA3F659" w14:textId="0EDF8C2F" w:rsidR="00116591" w:rsidRPr="00B313C6" w:rsidRDefault="00116591" w:rsidP="00F06393">
      <w:pPr>
        <w:pStyle w:val="Akapitzlist"/>
      </w:pPr>
      <w:r w:rsidRPr="00B313C6">
        <w:t>identyfikację oddziaływań zmian poziomów wód podziemnych;</w:t>
      </w:r>
    </w:p>
    <w:p w14:paraId="762EA22D" w14:textId="77777777" w:rsidR="00116591" w:rsidRPr="00B313C6" w:rsidRDefault="00116591" w:rsidP="00F06393">
      <w:pPr>
        <w:pStyle w:val="Akapitzlist"/>
      </w:pPr>
      <w:r w:rsidRPr="00B313C6">
        <w:t>rejestr wykazów obszarów chronionych; </w:t>
      </w:r>
    </w:p>
    <w:p w14:paraId="76107D20" w14:textId="77777777" w:rsidR="00116591" w:rsidRPr="00B313C6" w:rsidRDefault="00116591" w:rsidP="00F06393">
      <w:pPr>
        <w:pStyle w:val="Akapitzlist"/>
      </w:pPr>
      <w:r w:rsidRPr="00B313C6">
        <w:t>analizy ekonomiczne związane z korzystaniem z wód; </w:t>
      </w:r>
    </w:p>
    <w:p w14:paraId="719D1A4D" w14:textId="77777777" w:rsidR="00116591" w:rsidRPr="00B313C6" w:rsidRDefault="00116591" w:rsidP="00F06393">
      <w:pPr>
        <w:pStyle w:val="Akapitzlist"/>
      </w:pPr>
      <w:r w:rsidRPr="00B313C6">
        <w:t>wykazy wielkości emisji i stężeń.</w:t>
      </w:r>
    </w:p>
    <w:p w14:paraId="3306E88B" w14:textId="18C55767" w:rsidR="00116591" w:rsidRPr="00906162" w:rsidRDefault="00116591" w:rsidP="00116591">
      <w:pPr>
        <w:rPr>
          <w:rFonts w:asciiTheme="minorHAnsi" w:eastAsiaTheme="minorHAnsi" w:hAnsiTheme="minorHAnsi" w:cstheme="minorHAnsi"/>
        </w:rPr>
      </w:pPr>
      <w:r w:rsidRPr="00906162">
        <w:rPr>
          <w:rFonts w:asciiTheme="minorHAnsi" w:eastAsiaTheme="minorHAnsi" w:hAnsiTheme="minorHAnsi" w:cstheme="minorHAnsi"/>
        </w:rPr>
        <w:t xml:space="preserve">Na podstawie art. 321 </w:t>
      </w:r>
      <w:r w:rsidR="00FD140E">
        <w:rPr>
          <w:rFonts w:asciiTheme="minorHAnsi" w:eastAsiaTheme="minorHAnsi" w:hAnsiTheme="minorHAnsi" w:cstheme="minorHAnsi"/>
        </w:rPr>
        <w:t xml:space="preserve">ustawy </w:t>
      </w:r>
      <w:r w:rsidRPr="00906162">
        <w:rPr>
          <w:rFonts w:asciiTheme="minorHAnsi" w:eastAsiaTheme="minorHAnsi" w:hAnsiTheme="minorHAnsi" w:cstheme="minorHAnsi"/>
        </w:rPr>
        <w:t>pr.w. minister właściwy do spraw gospodarki wodnej przyjmuje i</w:t>
      </w:r>
      <w:r w:rsidR="00CD2F36">
        <w:rPr>
          <w:rFonts w:asciiTheme="minorHAnsi" w:eastAsiaTheme="minorHAnsi" w:hAnsiTheme="minorHAnsi" w:cstheme="minorHAnsi"/>
        </w:rPr>
        <w:t> </w:t>
      </w:r>
      <w:r w:rsidRPr="00906162">
        <w:rPr>
          <w:rFonts w:asciiTheme="minorHAnsi" w:eastAsiaTheme="minorHAnsi" w:hAnsiTheme="minorHAnsi" w:cstheme="minorHAnsi"/>
        </w:rPr>
        <w:t>aktualizuje plan gospodarowania wodami na obszarze dorzecza w drodze rozporządzenia, kierując się koniecznością zapewnienia osiągnięcia celów środowiskowych, o których mowa w art. 56, art. 57, art.</w:t>
      </w:r>
      <w:r w:rsidR="00385675">
        <w:rPr>
          <w:rFonts w:asciiTheme="minorHAnsi" w:eastAsiaTheme="minorHAnsi" w:hAnsiTheme="minorHAnsi" w:cstheme="minorHAnsi"/>
        </w:rPr>
        <w:t> </w:t>
      </w:r>
      <w:r w:rsidRPr="00906162">
        <w:rPr>
          <w:rFonts w:asciiTheme="minorHAnsi" w:eastAsiaTheme="minorHAnsi" w:hAnsiTheme="minorHAnsi" w:cstheme="minorHAnsi"/>
        </w:rPr>
        <w:t xml:space="preserve">59 i w art. 61 </w:t>
      </w:r>
      <w:r w:rsidR="00FD140E">
        <w:rPr>
          <w:rFonts w:asciiTheme="minorHAnsi" w:eastAsiaTheme="minorHAnsi" w:hAnsiTheme="minorHAnsi" w:cstheme="minorHAnsi"/>
        </w:rPr>
        <w:t xml:space="preserve">ustawy </w:t>
      </w:r>
      <w:r w:rsidRPr="00906162">
        <w:rPr>
          <w:rFonts w:asciiTheme="minorHAnsi" w:eastAsiaTheme="minorHAnsi" w:hAnsiTheme="minorHAnsi" w:cstheme="minorHAnsi"/>
        </w:rPr>
        <w:t>pr.w., oraz powszechnym charakterem tego planu.</w:t>
      </w:r>
    </w:p>
    <w:p w14:paraId="2B13FDFB" w14:textId="35708D89" w:rsidR="00116591" w:rsidRPr="00906162" w:rsidRDefault="00116591" w:rsidP="00116591">
      <w:pPr>
        <w:spacing w:before="60" w:after="60"/>
        <w:rPr>
          <w:rFonts w:asciiTheme="minorHAnsi" w:eastAsiaTheme="minorHAnsi" w:hAnsiTheme="minorHAnsi" w:cstheme="minorHAnsi"/>
        </w:rPr>
      </w:pPr>
      <w:r w:rsidRPr="00906162">
        <w:rPr>
          <w:rFonts w:asciiTheme="minorHAnsi" w:eastAsiaTheme="minorHAnsi" w:hAnsiTheme="minorHAnsi" w:cstheme="minorHAnsi"/>
        </w:rPr>
        <w:t xml:space="preserve">Na mocy art. 319 ust. 4 </w:t>
      </w:r>
      <w:r w:rsidR="00FD140E">
        <w:rPr>
          <w:rFonts w:asciiTheme="minorHAnsi" w:eastAsiaTheme="minorHAnsi" w:hAnsiTheme="minorHAnsi" w:cstheme="minorHAnsi"/>
        </w:rPr>
        <w:t xml:space="preserve">ustawy </w:t>
      </w:r>
      <w:r w:rsidRPr="00906162">
        <w:rPr>
          <w:rFonts w:asciiTheme="minorHAnsi" w:eastAsiaTheme="minorHAnsi" w:hAnsiTheme="minorHAnsi" w:cstheme="minorHAnsi"/>
        </w:rPr>
        <w:t xml:space="preserve">pr.w., </w:t>
      </w:r>
      <w:r>
        <w:rPr>
          <w:rFonts w:asciiTheme="minorHAnsi" w:eastAsiaTheme="minorHAnsi" w:hAnsiTheme="minorHAnsi" w:cstheme="minorHAnsi"/>
        </w:rPr>
        <w:t xml:space="preserve">przy </w:t>
      </w:r>
      <w:r w:rsidRPr="00906162">
        <w:rPr>
          <w:rFonts w:asciiTheme="minorHAnsi" w:eastAsiaTheme="minorHAnsi" w:hAnsiTheme="minorHAnsi" w:cstheme="minorHAnsi"/>
        </w:rPr>
        <w:t>zapewni</w:t>
      </w:r>
      <w:r>
        <w:rPr>
          <w:rFonts w:asciiTheme="minorHAnsi" w:eastAsiaTheme="minorHAnsi" w:hAnsiTheme="minorHAnsi" w:cstheme="minorHAnsi"/>
        </w:rPr>
        <w:t>eniu</w:t>
      </w:r>
      <w:r w:rsidRPr="00906162">
        <w:rPr>
          <w:rFonts w:asciiTheme="minorHAnsi" w:eastAsiaTheme="minorHAnsi" w:hAnsiTheme="minorHAnsi" w:cstheme="minorHAnsi"/>
        </w:rPr>
        <w:t xml:space="preserve"> aktywn</w:t>
      </w:r>
      <w:r>
        <w:rPr>
          <w:rFonts w:asciiTheme="minorHAnsi" w:eastAsiaTheme="minorHAnsi" w:hAnsiTheme="minorHAnsi" w:cstheme="minorHAnsi"/>
        </w:rPr>
        <w:t>ego</w:t>
      </w:r>
      <w:r w:rsidRPr="00906162">
        <w:rPr>
          <w:rFonts w:asciiTheme="minorHAnsi" w:eastAsiaTheme="minorHAnsi" w:hAnsiTheme="minorHAnsi" w:cstheme="minorHAnsi"/>
        </w:rPr>
        <w:t xml:space="preserve"> udział</w:t>
      </w:r>
      <w:r>
        <w:rPr>
          <w:rFonts w:asciiTheme="minorHAnsi" w:eastAsiaTheme="minorHAnsi" w:hAnsiTheme="minorHAnsi" w:cstheme="minorHAnsi"/>
        </w:rPr>
        <w:t>u</w:t>
      </w:r>
      <w:r w:rsidRPr="00906162">
        <w:rPr>
          <w:rFonts w:asciiTheme="minorHAnsi" w:eastAsiaTheme="minorHAnsi" w:hAnsiTheme="minorHAnsi" w:cstheme="minorHAnsi"/>
        </w:rPr>
        <w:t xml:space="preserve"> wszystkich zainteresowanych w</w:t>
      </w:r>
      <w:r w:rsidR="004903F7">
        <w:rPr>
          <w:rFonts w:asciiTheme="minorHAnsi" w:eastAsiaTheme="minorHAnsi" w:hAnsiTheme="minorHAnsi" w:cstheme="minorHAnsi"/>
        </w:rPr>
        <w:t> </w:t>
      </w:r>
      <w:r w:rsidRPr="00906162">
        <w:rPr>
          <w:rFonts w:asciiTheme="minorHAnsi" w:eastAsiaTheme="minorHAnsi" w:hAnsiTheme="minorHAnsi" w:cstheme="minorHAnsi"/>
        </w:rPr>
        <w:t>osiąganiu celów środowiskowych, o których mowa w art. 56, art. 57, art. 59 oraz w art. 61</w:t>
      </w:r>
      <w:r>
        <w:rPr>
          <w:rFonts w:asciiTheme="minorHAnsi" w:eastAsiaTheme="minorHAnsi" w:hAnsiTheme="minorHAnsi" w:cstheme="minorHAnsi"/>
        </w:rPr>
        <w:t xml:space="preserve"> </w:t>
      </w:r>
      <w:r w:rsidR="00FD140E">
        <w:rPr>
          <w:rFonts w:asciiTheme="minorHAnsi" w:eastAsiaTheme="minorHAnsi" w:hAnsiTheme="minorHAnsi" w:cstheme="minorHAnsi"/>
        </w:rPr>
        <w:t xml:space="preserve">ustawy </w:t>
      </w:r>
      <w:r>
        <w:rPr>
          <w:rFonts w:asciiTheme="minorHAnsi" w:eastAsiaTheme="minorHAnsi" w:hAnsiTheme="minorHAnsi" w:cstheme="minorHAnsi"/>
        </w:rPr>
        <w:t>pr.w.</w:t>
      </w:r>
      <w:r w:rsidRPr="00906162">
        <w:rPr>
          <w:rFonts w:asciiTheme="minorHAnsi" w:eastAsiaTheme="minorHAnsi" w:hAnsiTheme="minorHAnsi" w:cstheme="minorHAnsi"/>
        </w:rPr>
        <w:t>, w</w:t>
      </w:r>
      <w:r w:rsidR="004903F7">
        <w:rPr>
          <w:rFonts w:asciiTheme="minorHAnsi" w:eastAsiaTheme="minorHAnsi" w:hAnsiTheme="minorHAnsi" w:cstheme="minorHAnsi"/>
        </w:rPr>
        <w:t> </w:t>
      </w:r>
      <w:r w:rsidRPr="00906162">
        <w:rPr>
          <w:rFonts w:asciiTheme="minorHAnsi" w:eastAsiaTheme="minorHAnsi" w:hAnsiTheme="minorHAnsi" w:cstheme="minorHAnsi"/>
        </w:rPr>
        <w:t xml:space="preserve">szczególności w opracowywaniu, przeglądzie i aktualizacji planu gospodarowania wodami na obszarze dorzecza, minister właściwy do spraw gospodarki wodnej podaje do publicznej wiadomości, na zasadach i w trybie określonych w przepisach </w:t>
      </w:r>
      <w:r w:rsidR="00FD140E">
        <w:rPr>
          <w:rFonts w:asciiTheme="minorHAnsi" w:eastAsiaTheme="minorHAnsi" w:hAnsiTheme="minorHAnsi" w:cstheme="minorHAnsi"/>
        </w:rPr>
        <w:t xml:space="preserve">ustawy </w:t>
      </w:r>
      <w:r w:rsidRPr="00906162">
        <w:rPr>
          <w:rFonts w:asciiTheme="minorHAnsi" w:eastAsiaTheme="minorHAnsi" w:hAnsiTheme="minorHAnsi" w:cstheme="minorHAnsi"/>
        </w:rPr>
        <w:t>u</w:t>
      </w:r>
      <w:r w:rsidR="008315EC">
        <w:rPr>
          <w:rFonts w:asciiTheme="minorHAnsi" w:eastAsiaTheme="minorHAnsi" w:hAnsiTheme="minorHAnsi" w:cstheme="minorHAnsi"/>
        </w:rPr>
        <w:t xml:space="preserve">stawy </w:t>
      </w:r>
      <w:r w:rsidRPr="00906162">
        <w:rPr>
          <w:rFonts w:asciiTheme="minorHAnsi" w:eastAsiaTheme="minorHAnsi" w:hAnsiTheme="minorHAnsi" w:cstheme="minorHAnsi"/>
        </w:rPr>
        <w:t>u</w:t>
      </w:r>
      <w:r>
        <w:rPr>
          <w:rFonts w:asciiTheme="minorHAnsi" w:eastAsiaTheme="minorHAnsi" w:hAnsiTheme="minorHAnsi" w:cstheme="minorHAnsi"/>
        </w:rPr>
        <w:t>.</w:t>
      </w:r>
      <w:r w:rsidRPr="00906162">
        <w:rPr>
          <w:rFonts w:asciiTheme="minorHAnsi" w:eastAsiaTheme="minorHAnsi" w:hAnsiTheme="minorHAnsi" w:cstheme="minorHAnsi"/>
        </w:rPr>
        <w:t>i</w:t>
      </w:r>
      <w:r>
        <w:rPr>
          <w:rFonts w:asciiTheme="minorHAnsi" w:eastAsiaTheme="minorHAnsi" w:hAnsiTheme="minorHAnsi" w:cstheme="minorHAnsi"/>
        </w:rPr>
        <w:t>.</w:t>
      </w:r>
      <w:r w:rsidRPr="00906162">
        <w:rPr>
          <w:rFonts w:asciiTheme="minorHAnsi" w:eastAsiaTheme="minorHAnsi" w:hAnsiTheme="minorHAnsi" w:cstheme="minorHAnsi"/>
        </w:rPr>
        <w:t>o</w:t>
      </w:r>
      <w:r>
        <w:rPr>
          <w:rFonts w:asciiTheme="minorHAnsi" w:eastAsiaTheme="minorHAnsi" w:hAnsiTheme="minorHAnsi" w:cstheme="minorHAnsi"/>
        </w:rPr>
        <w:t>.</w:t>
      </w:r>
      <w:r w:rsidRPr="00906162">
        <w:rPr>
          <w:rFonts w:asciiTheme="minorHAnsi" w:eastAsiaTheme="minorHAnsi" w:hAnsiTheme="minorHAnsi" w:cstheme="minorHAnsi"/>
        </w:rPr>
        <w:t>ś</w:t>
      </w:r>
      <w:r>
        <w:rPr>
          <w:rFonts w:asciiTheme="minorHAnsi" w:eastAsiaTheme="minorHAnsi" w:hAnsiTheme="minorHAnsi" w:cstheme="minorHAnsi"/>
        </w:rPr>
        <w:t>.</w:t>
      </w:r>
      <w:r w:rsidRPr="00906162">
        <w:rPr>
          <w:rFonts w:asciiTheme="minorHAnsi" w:eastAsiaTheme="minorHAnsi" w:hAnsiTheme="minorHAnsi" w:cstheme="minorHAnsi"/>
        </w:rPr>
        <w:t>, w celu zgłaszania uwag:</w:t>
      </w:r>
    </w:p>
    <w:p w14:paraId="390345B9" w14:textId="77777777" w:rsidR="00116591" w:rsidRPr="00906162" w:rsidRDefault="00116591" w:rsidP="00725EE5">
      <w:pPr>
        <w:numPr>
          <w:ilvl w:val="0"/>
          <w:numId w:val="7"/>
        </w:numPr>
        <w:spacing w:before="60" w:after="60"/>
        <w:ind w:left="426" w:hanging="426"/>
        <w:contextualSpacing/>
        <w:jc w:val="left"/>
        <w:rPr>
          <w:rFonts w:asciiTheme="minorHAnsi" w:eastAsiaTheme="minorHAnsi" w:hAnsiTheme="minorHAnsi" w:cstheme="minorHAnsi"/>
        </w:rPr>
      </w:pPr>
      <w:r w:rsidRPr="00906162">
        <w:rPr>
          <w:rFonts w:asciiTheme="minorHAnsi" w:eastAsiaTheme="minorHAnsi" w:hAnsiTheme="minorHAnsi" w:cstheme="minorHAnsi"/>
        </w:rPr>
        <w:t>harmonogram i program prac związanych ze sporządzaniem planu, w tym zestawienie działań, które należy wprowadzić w drodze konsultacji;</w:t>
      </w:r>
    </w:p>
    <w:p w14:paraId="4D96A53F" w14:textId="77777777" w:rsidR="00116591" w:rsidRPr="00906162" w:rsidRDefault="00116591" w:rsidP="00725EE5">
      <w:pPr>
        <w:numPr>
          <w:ilvl w:val="0"/>
          <w:numId w:val="7"/>
        </w:numPr>
        <w:spacing w:before="60" w:after="60"/>
        <w:ind w:left="426" w:hanging="426"/>
        <w:contextualSpacing/>
        <w:jc w:val="left"/>
        <w:rPr>
          <w:rFonts w:asciiTheme="minorHAnsi" w:eastAsiaTheme="minorHAnsi" w:hAnsiTheme="minorHAnsi" w:cstheme="minorHAnsi"/>
        </w:rPr>
      </w:pPr>
      <w:r w:rsidRPr="00906162">
        <w:rPr>
          <w:rFonts w:asciiTheme="minorHAnsi" w:eastAsiaTheme="minorHAnsi" w:hAnsiTheme="minorHAnsi" w:cstheme="minorHAnsi"/>
        </w:rPr>
        <w:t>przegląd istotnych problemów gospodarki wodnej określonych dla danego obszaru dorzecza;</w:t>
      </w:r>
    </w:p>
    <w:p w14:paraId="274E2FF7" w14:textId="77777777" w:rsidR="00116591" w:rsidRPr="00906162" w:rsidRDefault="00116591" w:rsidP="00725EE5">
      <w:pPr>
        <w:numPr>
          <w:ilvl w:val="0"/>
          <w:numId w:val="7"/>
        </w:numPr>
        <w:spacing w:before="60" w:after="60"/>
        <w:ind w:left="426" w:hanging="426"/>
        <w:contextualSpacing/>
        <w:jc w:val="left"/>
        <w:rPr>
          <w:rFonts w:asciiTheme="minorHAnsi" w:eastAsiaTheme="minorHAnsi" w:hAnsiTheme="minorHAnsi" w:cstheme="minorHAnsi"/>
        </w:rPr>
      </w:pPr>
      <w:r w:rsidRPr="00906162">
        <w:rPr>
          <w:rFonts w:asciiTheme="minorHAnsi" w:eastAsiaTheme="minorHAnsi" w:hAnsiTheme="minorHAnsi" w:cstheme="minorHAnsi"/>
        </w:rPr>
        <w:t xml:space="preserve">projekt planu gospodarowania wodami na obszarze dorzecza. </w:t>
      </w:r>
    </w:p>
    <w:p w14:paraId="7D92D48B" w14:textId="4F4C4B4D" w:rsidR="00116591" w:rsidRDefault="00116591" w:rsidP="00116591">
      <w:pPr>
        <w:rPr>
          <w:rFonts w:asciiTheme="minorHAnsi" w:eastAsiaTheme="minorHAnsi" w:hAnsiTheme="minorHAnsi" w:cstheme="minorHAnsi"/>
        </w:rPr>
      </w:pPr>
      <w:r w:rsidRPr="00906162">
        <w:rPr>
          <w:rFonts w:asciiTheme="minorHAnsi" w:eastAsiaTheme="minorHAnsi" w:hAnsiTheme="minorHAnsi" w:cstheme="minorHAnsi"/>
        </w:rPr>
        <w:t xml:space="preserve">Na mocy art. 320 ust. 1 i 3 </w:t>
      </w:r>
      <w:r w:rsidR="00FD140E">
        <w:rPr>
          <w:rFonts w:asciiTheme="minorHAnsi" w:eastAsiaTheme="minorHAnsi" w:hAnsiTheme="minorHAnsi" w:cstheme="minorHAnsi"/>
        </w:rPr>
        <w:t xml:space="preserve">ustawy </w:t>
      </w:r>
      <w:r w:rsidRPr="00906162">
        <w:rPr>
          <w:rFonts w:asciiTheme="minorHAnsi" w:eastAsiaTheme="minorHAnsi" w:hAnsiTheme="minorHAnsi" w:cstheme="minorHAnsi"/>
        </w:rPr>
        <w:t>pr.w. dla obszaru dorzecza, którego część znajduje się na terytorium innych państw członkowskich UE (bądź dla obszaru dorzecza, którego część znajduje się na terytorium państw leżących poza granicami UE), minister właściwy do spraw gospodarki wodnej podejmuje współpracę z</w:t>
      </w:r>
      <w:r w:rsidR="004903F7">
        <w:rPr>
          <w:rFonts w:asciiTheme="minorHAnsi" w:eastAsiaTheme="minorHAnsi" w:hAnsiTheme="minorHAnsi" w:cstheme="minorHAnsi"/>
        </w:rPr>
        <w:t> </w:t>
      </w:r>
      <w:r w:rsidRPr="00906162">
        <w:rPr>
          <w:rFonts w:asciiTheme="minorHAnsi" w:eastAsiaTheme="minorHAnsi" w:hAnsiTheme="minorHAnsi" w:cstheme="minorHAnsi"/>
        </w:rPr>
        <w:t xml:space="preserve">właściwymi organami tych państw w celu przygotowania jednego międzynarodowego planu gospodarowania wodami lub zapewnienia koordynacji w jak największym stopniu na poziomie międzynarodowego obszaru dorzecza planu gospodarowania wodami, obejmującego obszar dorzecza znajdujący się na terytorium Rzeczypospolitej Polskiej, w szczególności w zakresie działań na tym obszarze dorzecza ukierunkowanych na osiągnięcie celów środowiskowych, o których mowa w art. 56, art. 57, art. 59 oraz w art. 61 </w:t>
      </w:r>
      <w:r w:rsidR="00E719C1">
        <w:rPr>
          <w:rFonts w:asciiTheme="minorHAnsi" w:eastAsiaTheme="minorHAnsi" w:hAnsiTheme="minorHAnsi" w:cstheme="minorHAnsi"/>
        </w:rPr>
        <w:t xml:space="preserve">ustawy </w:t>
      </w:r>
      <w:r w:rsidRPr="00906162">
        <w:rPr>
          <w:rFonts w:asciiTheme="minorHAnsi" w:eastAsiaTheme="minorHAnsi" w:hAnsiTheme="minorHAnsi" w:cstheme="minorHAnsi"/>
        </w:rPr>
        <w:t>pr.w.</w:t>
      </w:r>
    </w:p>
    <w:p w14:paraId="04F0D315" w14:textId="3A1CBB57" w:rsidR="00116591" w:rsidRDefault="00116591" w:rsidP="00116591">
      <w:pPr>
        <w:rPr>
          <w:rFonts w:asciiTheme="minorHAnsi" w:eastAsiaTheme="minorHAnsi" w:hAnsiTheme="minorHAnsi" w:cstheme="minorHAnsi"/>
        </w:rPr>
      </w:pPr>
      <w:r w:rsidRPr="00613DFE">
        <w:rPr>
          <w:rFonts w:asciiTheme="minorHAnsi" w:eastAsiaTheme="minorHAnsi" w:hAnsiTheme="minorHAnsi" w:cstheme="minorHAnsi"/>
        </w:rPr>
        <w:t xml:space="preserve">Zgodnie z § 1 pkt 1 lit. a </w:t>
      </w:r>
      <w:r>
        <w:rPr>
          <w:rFonts w:asciiTheme="minorHAnsi" w:eastAsiaTheme="minorHAnsi" w:hAnsiTheme="minorHAnsi" w:cstheme="minorHAnsi"/>
        </w:rPr>
        <w:t>R</w:t>
      </w:r>
      <w:r w:rsidRPr="00613DFE">
        <w:rPr>
          <w:rFonts w:asciiTheme="minorHAnsi" w:eastAsiaTheme="minorHAnsi" w:hAnsiTheme="minorHAnsi" w:cstheme="minorHAnsi"/>
        </w:rPr>
        <w:t xml:space="preserve">ozporządzenia Prezesa Rady Ministrów z dnia 6 października 2020 r. zmieniającego rozporządzenie w sprawie szczegółowego zakresu działania Ministra Infrastruktury </w:t>
      </w:r>
      <w:r w:rsidR="00973271">
        <w:rPr>
          <w:rFonts w:asciiTheme="minorHAnsi" w:eastAsiaTheme="minorHAnsi" w:hAnsiTheme="minorHAnsi" w:cstheme="minorHAnsi"/>
        </w:rPr>
        <w:br/>
      </w:r>
      <w:r w:rsidRPr="00613DFE">
        <w:rPr>
          <w:rFonts w:asciiTheme="minorHAnsi" w:eastAsiaTheme="minorHAnsi" w:hAnsiTheme="minorHAnsi" w:cstheme="minorHAnsi"/>
        </w:rPr>
        <w:t>(Dz.U. z 2020 r. poz. 1722) sprawy żeglugi śródlądowej podlegają Ministrowi Infrastruktury</w:t>
      </w:r>
      <w:r>
        <w:rPr>
          <w:rFonts w:asciiTheme="minorHAnsi" w:eastAsiaTheme="minorHAnsi" w:hAnsiTheme="minorHAnsi" w:cstheme="minorHAnsi"/>
        </w:rPr>
        <w:t xml:space="preserve"> (</w:t>
      </w:r>
      <w:r w:rsidRPr="00613DFE">
        <w:rPr>
          <w:rFonts w:asciiTheme="minorHAnsi" w:eastAsiaTheme="minorHAnsi" w:hAnsiTheme="minorHAnsi" w:cstheme="minorHAnsi"/>
        </w:rPr>
        <w:t>minister właściwy do spraw żeglugi śródlądowej).</w:t>
      </w:r>
      <w:r>
        <w:rPr>
          <w:rFonts w:asciiTheme="minorHAnsi" w:eastAsiaTheme="minorHAnsi" w:hAnsiTheme="minorHAnsi" w:cstheme="minorHAnsi"/>
        </w:rPr>
        <w:t xml:space="preserve"> Minister właściwy do spraw gospodarki wodnej jest o</w:t>
      </w:r>
      <w:r w:rsidRPr="00613DFE">
        <w:rPr>
          <w:rFonts w:asciiTheme="minorHAnsi" w:eastAsiaTheme="minorHAnsi" w:hAnsiTheme="minorHAnsi" w:cstheme="minorHAnsi"/>
        </w:rPr>
        <w:t>rgan</w:t>
      </w:r>
      <w:r>
        <w:rPr>
          <w:rFonts w:asciiTheme="minorHAnsi" w:eastAsiaTheme="minorHAnsi" w:hAnsiTheme="minorHAnsi" w:cstheme="minorHAnsi"/>
        </w:rPr>
        <w:t>em</w:t>
      </w:r>
      <w:r w:rsidRPr="00613DFE">
        <w:rPr>
          <w:rFonts w:asciiTheme="minorHAnsi" w:eastAsiaTheme="minorHAnsi" w:hAnsiTheme="minorHAnsi" w:cstheme="minorHAnsi"/>
        </w:rPr>
        <w:t xml:space="preserve"> </w:t>
      </w:r>
      <w:r>
        <w:rPr>
          <w:rFonts w:asciiTheme="minorHAnsi" w:eastAsiaTheme="minorHAnsi" w:hAnsiTheme="minorHAnsi" w:cstheme="minorHAnsi"/>
        </w:rPr>
        <w:t>z delegacją prawną</w:t>
      </w:r>
      <w:r w:rsidRPr="00613DFE">
        <w:rPr>
          <w:rFonts w:asciiTheme="minorHAnsi" w:eastAsiaTheme="minorHAnsi" w:hAnsiTheme="minorHAnsi" w:cstheme="minorHAnsi"/>
        </w:rPr>
        <w:t xml:space="preserve"> do uzgadniania projektu planu</w:t>
      </w:r>
      <w:r>
        <w:rPr>
          <w:rFonts w:asciiTheme="minorHAnsi" w:eastAsiaTheme="minorHAnsi" w:hAnsiTheme="minorHAnsi" w:cstheme="minorHAnsi"/>
        </w:rPr>
        <w:t xml:space="preserve"> gospodarowania wodami</w:t>
      </w:r>
      <w:r w:rsidRPr="00613DFE">
        <w:rPr>
          <w:rFonts w:asciiTheme="minorHAnsi" w:eastAsiaTheme="minorHAnsi" w:hAnsiTheme="minorHAnsi" w:cstheme="minorHAnsi"/>
        </w:rPr>
        <w:t>.</w:t>
      </w:r>
      <w:r>
        <w:rPr>
          <w:rFonts w:asciiTheme="minorHAnsi" w:eastAsiaTheme="minorHAnsi" w:hAnsiTheme="minorHAnsi" w:cstheme="minorHAnsi"/>
        </w:rPr>
        <w:t xml:space="preserve"> </w:t>
      </w:r>
      <w:r w:rsidRPr="00613DFE">
        <w:rPr>
          <w:rFonts w:asciiTheme="minorHAnsi" w:eastAsiaTheme="minorHAnsi" w:hAnsiTheme="minorHAnsi" w:cstheme="minorHAnsi"/>
        </w:rPr>
        <w:t xml:space="preserve">Zgodnie z art. 319 ust. 2 </w:t>
      </w:r>
      <w:r w:rsidR="00E719C1">
        <w:rPr>
          <w:rFonts w:asciiTheme="minorHAnsi" w:eastAsiaTheme="minorHAnsi" w:hAnsiTheme="minorHAnsi" w:cstheme="minorHAnsi"/>
        </w:rPr>
        <w:t xml:space="preserve">ustawy </w:t>
      </w:r>
      <w:r w:rsidRPr="00613DFE">
        <w:rPr>
          <w:rFonts w:asciiTheme="minorHAnsi" w:eastAsiaTheme="minorHAnsi" w:hAnsiTheme="minorHAnsi" w:cstheme="minorHAnsi"/>
        </w:rPr>
        <w:t>pr.w. PGW</w:t>
      </w:r>
      <w:r>
        <w:rPr>
          <w:rFonts w:asciiTheme="minorHAnsi" w:eastAsiaTheme="minorHAnsi" w:hAnsiTheme="minorHAnsi" w:cstheme="minorHAnsi"/>
        </w:rPr>
        <w:t xml:space="preserve"> </w:t>
      </w:r>
      <w:r w:rsidRPr="00613DFE">
        <w:rPr>
          <w:rFonts w:asciiTheme="minorHAnsi" w:eastAsiaTheme="minorHAnsi" w:hAnsiTheme="minorHAnsi" w:cstheme="minorHAnsi"/>
        </w:rPr>
        <w:t>WP uzgadniają projekt planu gospodarowania wodami na obszarze dorzecza w zakresie dotyczącym śródlądowych dróg wodnych z ministrem właściwym do spraw żeglugi śródlądowej.</w:t>
      </w:r>
    </w:p>
    <w:p w14:paraId="25DE8667" w14:textId="225B185E" w:rsidR="00116591" w:rsidRPr="00AA1602" w:rsidRDefault="00116591" w:rsidP="00116591">
      <w:pPr>
        <w:rPr>
          <w:rFonts w:asciiTheme="minorHAnsi" w:hAnsiTheme="minorHAnsi" w:cstheme="minorHAnsi"/>
        </w:rPr>
      </w:pPr>
      <w:r w:rsidRPr="00A35CE5">
        <w:rPr>
          <w:rFonts w:asciiTheme="minorHAnsi" w:hAnsiTheme="minorHAnsi" w:cstheme="minorHAnsi"/>
        </w:rPr>
        <w:t xml:space="preserve">Organem opiniodawczo-doradczym ministra jest </w:t>
      </w:r>
      <w:r w:rsidR="00BB0E3B">
        <w:rPr>
          <w:rFonts w:asciiTheme="minorHAnsi" w:hAnsiTheme="minorHAnsi" w:cstheme="minorHAnsi"/>
        </w:rPr>
        <w:t>-</w:t>
      </w:r>
      <w:r w:rsidRPr="00A35CE5">
        <w:rPr>
          <w:rFonts w:asciiTheme="minorHAnsi" w:hAnsiTheme="minorHAnsi" w:cstheme="minorHAnsi"/>
        </w:rPr>
        <w:t xml:space="preserve"> zgodnie z </w:t>
      </w:r>
      <w:r w:rsidRPr="00385675">
        <w:rPr>
          <w:rFonts w:asciiTheme="minorHAnsi" w:hAnsiTheme="minorHAnsi" w:cstheme="minorHAnsi"/>
        </w:rPr>
        <w:t xml:space="preserve">dyspozycją art. 362 </w:t>
      </w:r>
      <w:r w:rsidR="00E719C1">
        <w:rPr>
          <w:rFonts w:asciiTheme="minorHAnsi" w:hAnsiTheme="minorHAnsi" w:cstheme="minorHAnsi"/>
        </w:rPr>
        <w:t xml:space="preserve">ustawy </w:t>
      </w:r>
      <w:r w:rsidRPr="00385675">
        <w:rPr>
          <w:rFonts w:asciiTheme="minorHAnsi" w:hAnsiTheme="minorHAnsi" w:cstheme="minorHAnsi"/>
        </w:rPr>
        <w:t>pr.w. - Państwowa Rada Gospodarki Wodnej, do zakresu działania której należy opracowywanie</w:t>
      </w:r>
      <w:r w:rsidRPr="00A35CE5">
        <w:rPr>
          <w:rFonts w:asciiTheme="minorHAnsi" w:hAnsiTheme="minorHAnsi" w:cstheme="minorHAnsi"/>
        </w:rPr>
        <w:t xml:space="preserve"> dla ministra właściwego do spraw gospodarki wodnej opinii, propozycji i wniosków w sprawach gospodarowania wodami, </w:t>
      </w:r>
      <w:r w:rsidRPr="00AA1602">
        <w:rPr>
          <w:rFonts w:asciiTheme="minorHAnsi" w:hAnsiTheme="minorHAnsi" w:cstheme="minorHAnsi"/>
        </w:rPr>
        <w:t xml:space="preserve">ochrony przed powodzią i skutkami suszy. </w:t>
      </w:r>
    </w:p>
    <w:p w14:paraId="64D6D29D" w14:textId="77777777" w:rsidR="00116591" w:rsidRPr="00AA1602" w:rsidRDefault="00116591" w:rsidP="003863A0">
      <w:pPr>
        <w:pStyle w:val="Nagwek5"/>
      </w:pPr>
      <w:r w:rsidRPr="00AA1602">
        <w:t xml:space="preserve">Prezes </w:t>
      </w:r>
      <w:r>
        <w:t>PGW WP</w:t>
      </w:r>
    </w:p>
    <w:p w14:paraId="205ACFE4" w14:textId="37BCC7AC" w:rsidR="00116591" w:rsidRPr="00AA1602" w:rsidRDefault="00116591" w:rsidP="00116591">
      <w:pPr>
        <w:rPr>
          <w:rFonts w:asciiTheme="minorHAnsi" w:hAnsiTheme="minorHAnsi" w:cstheme="minorHAnsi"/>
        </w:rPr>
      </w:pPr>
      <w:r w:rsidRPr="00AA1602">
        <w:rPr>
          <w:rFonts w:asciiTheme="minorHAnsi" w:hAnsiTheme="minorHAnsi" w:cstheme="minorHAnsi"/>
        </w:rPr>
        <w:t xml:space="preserve">Zgodnie z art. 241 </w:t>
      </w:r>
      <w:r w:rsidR="00E719C1">
        <w:rPr>
          <w:rFonts w:asciiTheme="minorHAnsi" w:hAnsiTheme="minorHAnsi" w:cstheme="minorHAnsi"/>
        </w:rPr>
        <w:t xml:space="preserve">ustawy </w:t>
      </w:r>
      <w:r w:rsidRPr="00AA1602">
        <w:rPr>
          <w:rFonts w:asciiTheme="minorHAnsi" w:hAnsiTheme="minorHAnsi" w:cstheme="minorHAnsi"/>
        </w:rPr>
        <w:t>pr.w. organem PGW WP jest Prezes PGW WP. Kieruje on działalnością PGW WP i</w:t>
      </w:r>
      <w:r w:rsidR="00973271">
        <w:rPr>
          <w:rFonts w:asciiTheme="minorHAnsi" w:hAnsiTheme="minorHAnsi" w:cstheme="minorHAnsi"/>
        </w:rPr>
        <w:t> </w:t>
      </w:r>
      <w:r w:rsidRPr="00AA1602">
        <w:rPr>
          <w:rFonts w:asciiTheme="minorHAnsi" w:hAnsiTheme="minorHAnsi" w:cstheme="minorHAnsi"/>
        </w:rPr>
        <w:t xml:space="preserve">reprezentuje PGW WP na zewnątrz. Ponadto Prezes PGW WP kieruje pracą KZGW WP oraz dokonuje wszelkich czynności prawnych w zakresie praw i obowiązków majątkowych PGW WP. Aktualne zadania KZGW WP określa art. 240 ust. 2 </w:t>
      </w:r>
      <w:r w:rsidR="00E719C1">
        <w:rPr>
          <w:rFonts w:asciiTheme="minorHAnsi" w:hAnsiTheme="minorHAnsi" w:cstheme="minorHAnsi"/>
        </w:rPr>
        <w:t xml:space="preserve">ustawy </w:t>
      </w:r>
      <w:r w:rsidRPr="00AA1602">
        <w:rPr>
          <w:rFonts w:asciiTheme="minorHAnsi" w:hAnsiTheme="minorHAnsi" w:cstheme="minorHAnsi"/>
        </w:rPr>
        <w:t>pr.w. KZGW WP wykonuje swoje zadania przy pomocy zastępców Prezesa oraz kierowników jednostek organizacyjnych PGW WP. Prezesa PGW WP powołuje (i</w:t>
      </w:r>
      <w:r w:rsidR="00385675">
        <w:rPr>
          <w:rFonts w:asciiTheme="minorHAnsi" w:hAnsiTheme="minorHAnsi" w:cstheme="minorHAnsi"/>
        </w:rPr>
        <w:t> </w:t>
      </w:r>
      <w:r w:rsidRPr="00AA1602">
        <w:rPr>
          <w:rFonts w:asciiTheme="minorHAnsi" w:hAnsiTheme="minorHAnsi" w:cstheme="minorHAnsi"/>
        </w:rPr>
        <w:t xml:space="preserve">odwołuje) minister właściwy do spraw gospodarki wodnej (art. 242 ust. 1 i 2 </w:t>
      </w:r>
      <w:r w:rsidR="00E719C1">
        <w:rPr>
          <w:rFonts w:asciiTheme="minorHAnsi" w:hAnsiTheme="minorHAnsi" w:cstheme="minorHAnsi"/>
        </w:rPr>
        <w:t xml:space="preserve">ustawy </w:t>
      </w:r>
      <w:r w:rsidRPr="00AA1602">
        <w:rPr>
          <w:rFonts w:asciiTheme="minorHAnsi" w:hAnsiTheme="minorHAnsi" w:cstheme="minorHAnsi"/>
        </w:rPr>
        <w:t xml:space="preserve">pr.w.). </w:t>
      </w:r>
    </w:p>
    <w:p w14:paraId="56E62529" w14:textId="77777777" w:rsidR="00116591" w:rsidRDefault="00116591" w:rsidP="00116591">
      <w:pPr>
        <w:spacing w:before="60" w:after="60"/>
        <w:rPr>
          <w:rFonts w:asciiTheme="minorHAnsi" w:hAnsiTheme="minorHAnsi" w:cstheme="minorHAnsi"/>
        </w:rPr>
      </w:pPr>
      <w:r w:rsidRPr="00DF375D">
        <w:rPr>
          <w:rFonts w:asciiTheme="minorHAnsi" w:hAnsiTheme="minorHAnsi" w:cstheme="minorHAnsi"/>
        </w:rPr>
        <w:t xml:space="preserve">PGW WP sporządzają projekty dokumentacji planistycznych: </w:t>
      </w:r>
    </w:p>
    <w:p w14:paraId="562C6CBC" w14:textId="77777777" w:rsidR="00116591" w:rsidRPr="00DF375D" w:rsidRDefault="00116591" w:rsidP="00F06393">
      <w:pPr>
        <w:pStyle w:val="Akapitzlist"/>
      </w:pPr>
      <w:r w:rsidRPr="00DF375D">
        <w:t>wykazy jednolitych części wód;</w:t>
      </w:r>
    </w:p>
    <w:p w14:paraId="01545625" w14:textId="77777777" w:rsidR="00116591" w:rsidRPr="0098072A" w:rsidRDefault="00116591" w:rsidP="00F06393">
      <w:pPr>
        <w:pStyle w:val="Akapitzlist"/>
      </w:pPr>
      <w:r w:rsidRPr="0098072A">
        <w:t>charakterystyki jednolitych części wód ze wskazaniem sztucznych i silnie zmienionych jednolitych części wód oraz jednolitych części wód zagrożonych nieosiągnięciem celów środowiskowych; </w:t>
      </w:r>
    </w:p>
    <w:p w14:paraId="1B7987DC" w14:textId="77777777" w:rsidR="00116591" w:rsidRPr="0098072A" w:rsidRDefault="00116591" w:rsidP="00F06393">
      <w:pPr>
        <w:pStyle w:val="Akapitzlist"/>
      </w:pPr>
      <w:r w:rsidRPr="0098072A">
        <w:t>identyfikacje znaczących oddziaływań antropogenicznych oraz ocenę ich wpływu na stan wód powierzchniowych i wód podziemnych; </w:t>
      </w:r>
    </w:p>
    <w:p w14:paraId="205DC22A" w14:textId="0E855477" w:rsidR="00116591" w:rsidRPr="0098072A" w:rsidRDefault="00116591" w:rsidP="00F06393">
      <w:pPr>
        <w:pStyle w:val="Akapitzlist"/>
      </w:pPr>
      <w:r w:rsidRPr="0098072A">
        <w:t>identyfikację oddziaływań zmian poziomów wód podziemnych;</w:t>
      </w:r>
    </w:p>
    <w:p w14:paraId="47EE8FEC" w14:textId="77777777" w:rsidR="00116591" w:rsidRPr="0098072A" w:rsidRDefault="00116591" w:rsidP="00F06393">
      <w:pPr>
        <w:pStyle w:val="Akapitzlist"/>
      </w:pPr>
      <w:r w:rsidRPr="0098072A">
        <w:t>rejestr wykazów obszarów chronionych; </w:t>
      </w:r>
    </w:p>
    <w:p w14:paraId="26143DF2" w14:textId="77777777" w:rsidR="00116591" w:rsidRPr="0098072A" w:rsidRDefault="00116591" w:rsidP="00F06393">
      <w:pPr>
        <w:pStyle w:val="Akapitzlist"/>
      </w:pPr>
      <w:r w:rsidRPr="0098072A">
        <w:t>analizy ekonomiczne związane z korzystaniem z wód; </w:t>
      </w:r>
    </w:p>
    <w:p w14:paraId="7199299A" w14:textId="77777777" w:rsidR="00116591" w:rsidRDefault="00116591" w:rsidP="00F06393">
      <w:pPr>
        <w:pStyle w:val="Akapitzlist"/>
      </w:pPr>
      <w:r w:rsidRPr="0098072A">
        <w:t>wykazy wielkości emisji i stężeń</w:t>
      </w:r>
      <w:r>
        <w:t>;</w:t>
      </w:r>
    </w:p>
    <w:p w14:paraId="1BDDFE18" w14:textId="77777777" w:rsidR="00116591" w:rsidRPr="00F50387" w:rsidRDefault="00116591" w:rsidP="00116591">
      <w:pPr>
        <w:spacing w:before="60" w:after="60"/>
        <w:rPr>
          <w:rFonts w:asciiTheme="minorHAnsi" w:hAnsiTheme="minorHAnsi" w:cstheme="minorHAnsi"/>
        </w:rPr>
      </w:pPr>
      <w:bookmarkStart w:id="588" w:name="_Hlk66032284"/>
      <w:r w:rsidRPr="00F50387">
        <w:rPr>
          <w:rFonts w:asciiTheme="minorHAnsi" w:hAnsiTheme="minorHAnsi" w:cstheme="minorHAnsi"/>
        </w:rPr>
        <w:t>i przekazują je do zatwierdzenia ministrowi właściwemu do spraw gospodarki wodnej.</w:t>
      </w:r>
      <w:bookmarkEnd w:id="588"/>
    </w:p>
    <w:p w14:paraId="2E69B004" w14:textId="1D701284" w:rsidR="00116591" w:rsidRDefault="00116591" w:rsidP="00116591">
      <w:pPr>
        <w:spacing w:before="60" w:after="60"/>
        <w:rPr>
          <w:rFonts w:asciiTheme="minorHAnsi" w:hAnsiTheme="minorHAnsi" w:cstheme="minorHAnsi"/>
        </w:rPr>
      </w:pPr>
      <w:r w:rsidRPr="00DF375D">
        <w:rPr>
          <w:rFonts w:asciiTheme="minorHAnsi" w:hAnsiTheme="minorHAnsi" w:cstheme="minorHAnsi"/>
        </w:rPr>
        <w:t xml:space="preserve">Zgodnie z art. 240 ust. 2 pkt 10 </w:t>
      </w:r>
      <w:r w:rsidR="00E719C1">
        <w:rPr>
          <w:rFonts w:asciiTheme="minorHAnsi" w:hAnsiTheme="minorHAnsi" w:cstheme="minorHAnsi"/>
        </w:rPr>
        <w:t xml:space="preserve">ustawy </w:t>
      </w:r>
      <w:r w:rsidRPr="00DF375D">
        <w:rPr>
          <w:rFonts w:asciiTheme="minorHAnsi" w:hAnsiTheme="minorHAnsi" w:cstheme="minorHAnsi"/>
        </w:rPr>
        <w:t>pr.w. KZGW WP wykonuje również zadanie PGW</w:t>
      </w:r>
      <w:r w:rsidR="001B1731">
        <w:rPr>
          <w:rFonts w:asciiTheme="minorHAnsi" w:hAnsiTheme="minorHAnsi" w:cstheme="minorHAnsi"/>
        </w:rPr>
        <w:t xml:space="preserve"> </w:t>
      </w:r>
      <w:r w:rsidRPr="00DF375D">
        <w:rPr>
          <w:rFonts w:asciiTheme="minorHAnsi" w:hAnsiTheme="minorHAnsi" w:cstheme="minorHAnsi"/>
        </w:rPr>
        <w:t>WP polegające na</w:t>
      </w:r>
      <w:r w:rsidR="00973271">
        <w:rPr>
          <w:rFonts w:asciiTheme="minorHAnsi" w:hAnsiTheme="minorHAnsi" w:cstheme="minorHAnsi"/>
        </w:rPr>
        <w:t> </w:t>
      </w:r>
      <w:r w:rsidRPr="00DF375D">
        <w:rPr>
          <w:rFonts w:asciiTheme="minorHAnsi" w:hAnsiTheme="minorHAnsi" w:cstheme="minorHAnsi"/>
        </w:rPr>
        <w:t xml:space="preserve">opracowaniu projektów planów gospodarowania wodami na obszarach dorzeczy, o których mowa w art. 319 ust. 1 </w:t>
      </w:r>
      <w:r w:rsidR="00E719C1">
        <w:rPr>
          <w:rFonts w:asciiTheme="minorHAnsi" w:hAnsiTheme="minorHAnsi" w:cstheme="minorHAnsi"/>
        </w:rPr>
        <w:t xml:space="preserve">ustawy </w:t>
      </w:r>
      <w:r w:rsidRPr="00DF375D">
        <w:rPr>
          <w:rFonts w:asciiTheme="minorHAnsi" w:hAnsiTheme="minorHAnsi" w:cstheme="minorHAnsi"/>
        </w:rPr>
        <w:t>pr.w., i ich aktualizacje.</w:t>
      </w:r>
    </w:p>
    <w:p w14:paraId="2792665E" w14:textId="47252800" w:rsidR="00116591" w:rsidRPr="00DF375D" w:rsidRDefault="00116591" w:rsidP="00116591">
      <w:pPr>
        <w:spacing w:before="60" w:after="60"/>
        <w:rPr>
          <w:rFonts w:asciiTheme="minorHAnsi" w:hAnsiTheme="minorHAnsi" w:cstheme="minorHAnsi"/>
        </w:rPr>
      </w:pPr>
      <w:r>
        <w:rPr>
          <w:rFonts w:asciiTheme="minorHAnsi" w:hAnsiTheme="minorHAnsi" w:cstheme="minorHAnsi"/>
        </w:rPr>
        <w:t xml:space="preserve">Projekt planu </w:t>
      </w:r>
      <w:r w:rsidRPr="00634CA4">
        <w:rPr>
          <w:rFonts w:asciiTheme="minorHAnsi" w:hAnsiTheme="minorHAnsi" w:cstheme="minorHAnsi"/>
        </w:rPr>
        <w:t xml:space="preserve">gospodarowania wodami </w:t>
      </w:r>
      <w:r>
        <w:rPr>
          <w:rFonts w:asciiTheme="minorHAnsi" w:hAnsiTheme="minorHAnsi" w:cstheme="minorHAnsi"/>
        </w:rPr>
        <w:t xml:space="preserve">opracowywany jest po zasięgnięciu opinii właściwych wojewodów, uzgadniany jest przez PGW WP </w:t>
      </w:r>
      <w:r w:rsidRPr="00634CA4">
        <w:rPr>
          <w:rFonts w:asciiTheme="minorHAnsi" w:hAnsiTheme="minorHAnsi" w:cstheme="minorHAnsi"/>
        </w:rPr>
        <w:t>w zakresie dotyczącym śródlądowych dróg wodnych z</w:t>
      </w:r>
      <w:r w:rsidR="00DA026A">
        <w:rPr>
          <w:rFonts w:asciiTheme="minorHAnsi" w:hAnsiTheme="minorHAnsi" w:cstheme="minorHAnsi"/>
        </w:rPr>
        <w:t> </w:t>
      </w:r>
      <w:r w:rsidRPr="00634CA4">
        <w:rPr>
          <w:rFonts w:asciiTheme="minorHAnsi" w:hAnsiTheme="minorHAnsi" w:cstheme="minorHAnsi"/>
        </w:rPr>
        <w:t>ministrem właściwym do spraw żeglugi śródlądowej</w:t>
      </w:r>
      <w:r>
        <w:rPr>
          <w:rFonts w:asciiTheme="minorHAnsi" w:hAnsiTheme="minorHAnsi" w:cstheme="minorHAnsi"/>
        </w:rPr>
        <w:t xml:space="preserve"> oraz przekazany </w:t>
      </w:r>
      <w:r w:rsidRPr="00634CA4">
        <w:rPr>
          <w:rFonts w:asciiTheme="minorHAnsi" w:hAnsiTheme="minorHAnsi" w:cstheme="minorHAnsi"/>
        </w:rPr>
        <w:t>ministrowi właściwemu do spraw gospodarki wodnej</w:t>
      </w:r>
      <w:r>
        <w:rPr>
          <w:rFonts w:asciiTheme="minorHAnsi" w:hAnsiTheme="minorHAnsi" w:cstheme="minorHAnsi"/>
        </w:rPr>
        <w:t>.</w:t>
      </w:r>
    </w:p>
    <w:p w14:paraId="366DE09E" w14:textId="77777777" w:rsidR="00116591" w:rsidRDefault="00116591" w:rsidP="00116591">
      <w:pPr>
        <w:spacing w:before="60" w:after="60"/>
        <w:rPr>
          <w:rFonts w:asciiTheme="minorHAnsi" w:hAnsiTheme="minorHAnsi" w:cstheme="minorHAnsi"/>
        </w:rPr>
      </w:pPr>
      <w:r w:rsidRPr="00DF375D">
        <w:rPr>
          <w:rFonts w:asciiTheme="minorHAnsi" w:hAnsiTheme="minorHAnsi" w:cstheme="minorHAnsi"/>
        </w:rPr>
        <w:t>Udostępnienie przez Wody Polskie materiałów źródłowych wykorzystanych do opracowania projektu planu gospodarowania wodami na obszarze dorzecza odbywa się na zasadach i w trybie określonych w przepisach ustawy z dnia 3 października 2008 r. o udostępnianiu informacji o środowisku i jego ochronie, udziale społeczeństwa w ochronie środowiska oraz o ocenach oddziaływania na środowisko</w:t>
      </w:r>
      <w:r>
        <w:rPr>
          <w:rFonts w:asciiTheme="minorHAnsi" w:hAnsiTheme="minorHAnsi" w:cstheme="minorHAnsi"/>
        </w:rPr>
        <w:t xml:space="preserve">. </w:t>
      </w:r>
    </w:p>
    <w:p w14:paraId="304ED747" w14:textId="5E1CC993" w:rsidR="00116591" w:rsidRDefault="00116591" w:rsidP="00116591">
      <w:pPr>
        <w:spacing w:before="60" w:after="60"/>
        <w:rPr>
          <w:rFonts w:asciiTheme="minorHAnsi" w:hAnsiTheme="minorHAnsi" w:cstheme="minorHAnsi"/>
        </w:rPr>
      </w:pPr>
      <w:r>
        <w:rPr>
          <w:rFonts w:asciiTheme="minorHAnsi" w:hAnsiTheme="minorHAnsi" w:cstheme="minorHAnsi"/>
        </w:rPr>
        <w:t xml:space="preserve">Na </w:t>
      </w:r>
      <w:r w:rsidRPr="00DF375D">
        <w:rPr>
          <w:rFonts w:asciiTheme="minorHAnsi" w:hAnsiTheme="minorHAnsi" w:cstheme="minorHAnsi"/>
        </w:rPr>
        <w:t xml:space="preserve">mocy </w:t>
      </w:r>
      <w:r>
        <w:rPr>
          <w:rFonts w:asciiTheme="minorHAnsi" w:hAnsiTheme="minorHAnsi" w:cstheme="minorHAnsi"/>
        </w:rPr>
        <w:t>a</w:t>
      </w:r>
      <w:r w:rsidRPr="00DF375D">
        <w:rPr>
          <w:rFonts w:asciiTheme="minorHAnsi" w:hAnsiTheme="minorHAnsi" w:cstheme="minorHAnsi"/>
        </w:rPr>
        <w:t xml:space="preserve">rt. 328 ust. 2 </w:t>
      </w:r>
      <w:r w:rsidR="00E719C1">
        <w:rPr>
          <w:rFonts w:asciiTheme="minorHAnsi" w:hAnsiTheme="minorHAnsi" w:cstheme="minorHAnsi"/>
        </w:rPr>
        <w:t xml:space="preserve">ustawy </w:t>
      </w:r>
      <w:r w:rsidRPr="00DF375D">
        <w:rPr>
          <w:rFonts w:asciiTheme="minorHAnsi" w:hAnsiTheme="minorHAnsi" w:cstheme="minorHAnsi"/>
        </w:rPr>
        <w:t xml:space="preserve">pr.w. </w:t>
      </w:r>
      <w:r>
        <w:rPr>
          <w:rFonts w:asciiTheme="minorHAnsi" w:hAnsiTheme="minorHAnsi" w:cstheme="minorHAnsi"/>
        </w:rPr>
        <w:t>PGW WP</w:t>
      </w:r>
      <w:r w:rsidRPr="00DF375D">
        <w:rPr>
          <w:rFonts w:asciiTheme="minorHAnsi" w:hAnsiTheme="minorHAnsi" w:cstheme="minorHAnsi"/>
        </w:rPr>
        <w:t xml:space="preserve"> w zakresie swojej właściwości, sporządzają roczne sprawozdania z realizacji działań zawartych w planach gospodarowania wodami na obszarach dorzeczy za rok poprzedni i przekazują te sprawozdania ministrowi właściwemu do spraw gospodarki wodnej w</w:t>
      </w:r>
      <w:r w:rsidR="00DA026A">
        <w:rPr>
          <w:rFonts w:asciiTheme="minorHAnsi" w:hAnsiTheme="minorHAnsi" w:cstheme="minorHAnsi"/>
        </w:rPr>
        <w:t> </w:t>
      </w:r>
      <w:r w:rsidRPr="00DF375D">
        <w:rPr>
          <w:rFonts w:asciiTheme="minorHAnsi" w:hAnsiTheme="minorHAnsi" w:cstheme="minorHAnsi"/>
        </w:rPr>
        <w:t>terminie do dnia 28 lutego roku następnego. Szczegółowy zakres informacji z realizacji działań zawartych w planach gospodarowania wodami na obszarach dorzeczy określa rozporządzenie Ministra Gospodarki Morskiej i Żeglugi Śródlądowej z dnia 14 grudnia 2018 r. w sprawie zakresu informacji z</w:t>
      </w:r>
      <w:r w:rsidR="00DA026A">
        <w:rPr>
          <w:rFonts w:asciiTheme="minorHAnsi" w:hAnsiTheme="minorHAnsi" w:cstheme="minorHAnsi"/>
        </w:rPr>
        <w:t> </w:t>
      </w:r>
      <w:r w:rsidRPr="00DF375D">
        <w:rPr>
          <w:rFonts w:asciiTheme="minorHAnsi" w:hAnsiTheme="minorHAnsi" w:cstheme="minorHAnsi"/>
        </w:rPr>
        <w:t xml:space="preserve">realizacji działań zawartych w planach gospodarowania wodami na obszarach dorzeczy, planach zarządzania ryzykiem powodziowym i programie ochrony wód morskich (Dz.U. z 2018 r. poz. 2390). </w:t>
      </w:r>
    </w:p>
    <w:p w14:paraId="5BA59C61" w14:textId="092B44EF" w:rsidR="00116591" w:rsidRPr="00AA1602" w:rsidRDefault="00116591" w:rsidP="00116591">
      <w:pPr>
        <w:rPr>
          <w:rFonts w:asciiTheme="minorHAnsi" w:hAnsiTheme="minorHAnsi" w:cstheme="minorHAnsi"/>
        </w:rPr>
      </w:pPr>
      <w:r w:rsidRPr="00AA1602">
        <w:rPr>
          <w:rFonts w:asciiTheme="minorHAnsi" w:hAnsiTheme="minorHAnsi" w:cstheme="minorHAnsi"/>
        </w:rPr>
        <w:t xml:space="preserve">W świetle art. 14 ust. 3 </w:t>
      </w:r>
      <w:r w:rsidR="00E719C1">
        <w:rPr>
          <w:rFonts w:asciiTheme="minorHAnsi" w:hAnsiTheme="minorHAnsi" w:cstheme="minorHAnsi"/>
        </w:rPr>
        <w:t xml:space="preserve">ustawy </w:t>
      </w:r>
      <w:r w:rsidRPr="00AA1602">
        <w:rPr>
          <w:rFonts w:asciiTheme="minorHAnsi" w:hAnsiTheme="minorHAnsi" w:cstheme="minorHAnsi"/>
        </w:rPr>
        <w:t>pr.w. Prezes PGW WP pełni funkcję organu wyższego stopnia w</w:t>
      </w:r>
      <w:r w:rsidR="00E719C1">
        <w:rPr>
          <w:rFonts w:asciiTheme="minorHAnsi" w:hAnsiTheme="minorHAnsi" w:cstheme="minorHAnsi"/>
        </w:rPr>
        <w:t> </w:t>
      </w:r>
      <w:r w:rsidRPr="00AA1602">
        <w:rPr>
          <w:rFonts w:asciiTheme="minorHAnsi" w:hAnsiTheme="minorHAnsi" w:cstheme="minorHAnsi"/>
        </w:rPr>
        <w:t xml:space="preserve">rozumieniu przepisów k.p.a w stosunku do dyrektorów RZGW WP w sprawach określonych </w:t>
      </w:r>
      <w:r w:rsidR="00E719C1">
        <w:rPr>
          <w:rFonts w:asciiTheme="minorHAnsi" w:hAnsiTheme="minorHAnsi" w:cstheme="minorHAnsi"/>
        </w:rPr>
        <w:t xml:space="preserve">ustawą </w:t>
      </w:r>
      <w:r w:rsidRPr="00AA1602">
        <w:rPr>
          <w:rFonts w:asciiTheme="minorHAnsi" w:hAnsiTheme="minorHAnsi" w:cstheme="minorHAnsi"/>
        </w:rPr>
        <w:t>pr.w.</w:t>
      </w:r>
    </w:p>
    <w:p w14:paraId="7B6D0A0E" w14:textId="77777777" w:rsidR="00116591" w:rsidRDefault="00116591" w:rsidP="00116591">
      <w:pPr>
        <w:rPr>
          <w:rFonts w:asciiTheme="minorHAnsi" w:hAnsiTheme="minorHAnsi" w:cstheme="minorHAnsi"/>
        </w:rPr>
      </w:pPr>
      <w:r>
        <w:rPr>
          <w:rFonts w:asciiTheme="minorHAnsi" w:hAnsiTheme="minorHAnsi" w:cstheme="minorHAnsi"/>
        </w:rPr>
        <w:t>Organami współpracującymi z Prezesem PGW WP w zakresie gospodarowania wodami są również GIOŚ i GDOŚ.</w:t>
      </w:r>
    </w:p>
    <w:p w14:paraId="2127AC9B" w14:textId="19FFDD92" w:rsidR="00116591" w:rsidRPr="0025089A" w:rsidRDefault="00116591" w:rsidP="00116591">
      <w:pPr>
        <w:rPr>
          <w:rFonts w:asciiTheme="minorHAnsi" w:hAnsiTheme="minorHAnsi" w:cstheme="minorHAnsi"/>
        </w:rPr>
      </w:pPr>
      <w:r>
        <w:rPr>
          <w:rFonts w:asciiTheme="minorHAnsi" w:hAnsiTheme="minorHAnsi" w:cstheme="minorHAnsi"/>
        </w:rPr>
        <w:t xml:space="preserve">GIOŚ </w:t>
      </w:r>
      <w:r w:rsidRPr="0025089A">
        <w:rPr>
          <w:rFonts w:asciiTheme="minorHAnsi" w:hAnsiTheme="minorHAnsi" w:cstheme="minorHAnsi"/>
        </w:rPr>
        <w:t>jest centralnym organem administracji rządowej, powołanym do</w:t>
      </w:r>
      <w:r>
        <w:rPr>
          <w:rFonts w:asciiTheme="minorHAnsi" w:hAnsiTheme="minorHAnsi" w:cstheme="minorHAnsi"/>
        </w:rPr>
        <w:t xml:space="preserve"> </w:t>
      </w:r>
      <w:r w:rsidRPr="0025089A">
        <w:rPr>
          <w:rFonts w:asciiTheme="minorHAnsi" w:hAnsiTheme="minorHAnsi" w:cstheme="minorHAnsi"/>
        </w:rPr>
        <w:t xml:space="preserve">kontroli przestrzegania przepisów o ochronie środowiska oraz badania stanu środowiska, nadzorowanym przez ministra właściwego do spraw </w:t>
      </w:r>
      <w:r>
        <w:rPr>
          <w:rFonts w:asciiTheme="minorHAnsi" w:hAnsiTheme="minorHAnsi" w:cstheme="minorHAnsi"/>
        </w:rPr>
        <w:t>klimatu</w:t>
      </w:r>
      <w:r w:rsidRPr="0025089A">
        <w:rPr>
          <w:rFonts w:asciiTheme="minorHAnsi" w:hAnsiTheme="minorHAnsi" w:cstheme="minorHAnsi"/>
        </w:rPr>
        <w:t xml:space="preserve">. Zadania </w:t>
      </w:r>
      <w:r w:rsidRPr="0069401A">
        <w:rPr>
          <w:rFonts w:asciiTheme="minorHAnsi" w:hAnsiTheme="minorHAnsi" w:cstheme="minorHAnsi"/>
        </w:rPr>
        <w:t xml:space="preserve">Głównego Inspektora Ochrony Środowiska </w:t>
      </w:r>
      <w:r w:rsidRPr="0025089A">
        <w:rPr>
          <w:rFonts w:asciiTheme="minorHAnsi" w:hAnsiTheme="minorHAnsi" w:cstheme="minorHAnsi"/>
        </w:rPr>
        <w:t>zostały wskazane w</w:t>
      </w:r>
      <w:r w:rsidR="00DA026A">
        <w:rPr>
          <w:rFonts w:asciiTheme="minorHAnsi" w:hAnsiTheme="minorHAnsi" w:cstheme="minorHAnsi"/>
        </w:rPr>
        <w:t> </w:t>
      </w:r>
      <w:r w:rsidRPr="0025089A">
        <w:rPr>
          <w:rFonts w:asciiTheme="minorHAnsi" w:hAnsiTheme="minorHAnsi" w:cstheme="minorHAnsi"/>
        </w:rPr>
        <w:t xml:space="preserve">art. </w:t>
      </w:r>
      <w:r>
        <w:rPr>
          <w:rFonts w:asciiTheme="minorHAnsi" w:hAnsiTheme="minorHAnsi" w:cstheme="minorHAnsi"/>
        </w:rPr>
        <w:t>4a</w:t>
      </w:r>
      <w:r w:rsidRPr="0025089A">
        <w:rPr>
          <w:rFonts w:asciiTheme="minorHAnsi" w:hAnsiTheme="minorHAnsi" w:cstheme="minorHAnsi"/>
        </w:rPr>
        <w:t xml:space="preserve"> ustawy o I</w:t>
      </w:r>
      <w:r>
        <w:rPr>
          <w:rFonts w:asciiTheme="minorHAnsi" w:hAnsiTheme="minorHAnsi" w:cstheme="minorHAnsi"/>
        </w:rPr>
        <w:t xml:space="preserve">nspekcji </w:t>
      </w:r>
      <w:r w:rsidRPr="0025089A">
        <w:rPr>
          <w:rFonts w:asciiTheme="minorHAnsi" w:hAnsiTheme="minorHAnsi" w:cstheme="minorHAnsi"/>
        </w:rPr>
        <w:t>O</w:t>
      </w:r>
      <w:r>
        <w:rPr>
          <w:rFonts w:asciiTheme="minorHAnsi" w:hAnsiTheme="minorHAnsi" w:cstheme="minorHAnsi"/>
        </w:rPr>
        <w:t xml:space="preserve">chrony </w:t>
      </w:r>
      <w:r w:rsidRPr="0025089A">
        <w:rPr>
          <w:rFonts w:asciiTheme="minorHAnsi" w:hAnsiTheme="minorHAnsi" w:cstheme="minorHAnsi"/>
        </w:rPr>
        <w:t>Ś</w:t>
      </w:r>
      <w:r>
        <w:rPr>
          <w:rFonts w:asciiTheme="minorHAnsi" w:hAnsiTheme="minorHAnsi" w:cstheme="minorHAnsi"/>
        </w:rPr>
        <w:t>rodowiska (</w:t>
      </w:r>
      <w:r w:rsidRPr="0025089A">
        <w:rPr>
          <w:rFonts w:asciiTheme="minorHAnsi" w:hAnsiTheme="minorHAnsi" w:cstheme="minorHAnsi"/>
        </w:rPr>
        <w:t xml:space="preserve">Dz.U. </w:t>
      </w:r>
      <w:r>
        <w:rPr>
          <w:rFonts w:asciiTheme="minorHAnsi" w:hAnsiTheme="minorHAnsi" w:cstheme="minorHAnsi"/>
        </w:rPr>
        <w:t xml:space="preserve">z </w:t>
      </w:r>
      <w:r w:rsidRPr="0025089A">
        <w:rPr>
          <w:rFonts w:asciiTheme="minorHAnsi" w:hAnsiTheme="minorHAnsi" w:cstheme="minorHAnsi"/>
        </w:rPr>
        <w:t xml:space="preserve">2020 </w:t>
      </w:r>
      <w:r>
        <w:rPr>
          <w:rFonts w:asciiTheme="minorHAnsi" w:hAnsiTheme="minorHAnsi" w:cstheme="minorHAnsi"/>
        </w:rPr>
        <w:t xml:space="preserve">r. </w:t>
      </w:r>
      <w:r w:rsidRPr="0025089A">
        <w:rPr>
          <w:rFonts w:asciiTheme="minorHAnsi" w:hAnsiTheme="minorHAnsi" w:cstheme="minorHAnsi"/>
        </w:rPr>
        <w:t>poz. 995</w:t>
      </w:r>
      <w:r>
        <w:rPr>
          <w:rFonts w:asciiTheme="minorHAnsi" w:hAnsiTheme="minorHAnsi" w:cstheme="minorHAnsi"/>
        </w:rPr>
        <w:t>)</w:t>
      </w:r>
      <w:r w:rsidRPr="0025089A">
        <w:rPr>
          <w:rFonts w:asciiTheme="minorHAnsi" w:hAnsiTheme="minorHAnsi" w:cstheme="minorHAnsi"/>
        </w:rPr>
        <w:t>.</w:t>
      </w:r>
    </w:p>
    <w:p w14:paraId="0A1570FB" w14:textId="77777777" w:rsidR="00116591" w:rsidRPr="0025089A" w:rsidRDefault="00116591" w:rsidP="00116591">
      <w:pPr>
        <w:rPr>
          <w:rFonts w:asciiTheme="minorHAnsi" w:hAnsiTheme="minorHAnsi" w:cstheme="minorHAnsi"/>
        </w:rPr>
      </w:pPr>
      <w:r>
        <w:rPr>
          <w:rFonts w:asciiTheme="minorHAnsi" w:hAnsiTheme="minorHAnsi" w:cstheme="minorHAnsi"/>
        </w:rPr>
        <w:t xml:space="preserve">GDOŚ </w:t>
      </w:r>
      <w:r w:rsidRPr="008870F6">
        <w:rPr>
          <w:rFonts w:asciiTheme="minorHAnsi" w:hAnsiTheme="minorHAnsi" w:cstheme="minorHAnsi"/>
        </w:rPr>
        <w:t>jest instytucją, która odpowiada za realizację polityki ochrony środowiska w zakresie: zarządzania ochroną przyrody, w tym m.in. obszarami Natura 2000, kontroli procesu inwestycyjnego</w:t>
      </w:r>
      <w:r>
        <w:rPr>
          <w:rFonts w:asciiTheme="minorHAnsi" w:hAnsiTheme="minorHAnsi" w:cstheme="minorHAnsi"/>
        </w:rPr>
        <w:t>.</w:t>
      </w:r>
    </w:p>
    <w:p w14:paraId="739C0946" w14:textId="77777777" w:rsidR="00116591" w:rsidRPr="00AA1602" w:rsidRDefault="00116591" w:rsidP="003863A0">
      <w:pPr>
        <w:pStyle w:val="Nagwek5"/>
      </w:pPr>
      <w:r w:rsidRPr="00AA1602">
        <w:t xml:space="preserve">Dyrektor </w:t>
      </w:r>
      <w:r>
        <w:t>RZGW WP</w:t>
      </w:r>
    </w:p>
    <w:p w14:paraId="441CB632" w14:textId="12738C73" w:rsidR="00116591" w:rsidRPr="0061586F" w:rsidRDefault="00116591" w:rsidP="00116591">
      <w:pPr>
        <w:rPr>
          <w:rFonts w:asciiTheme="minorHAnsi" w:hAnsiTheme="minorHAnsi" w:cstheme="minorHAnsi"/>
        </w:rPr>
      </w:pPr>
      <w:r w:rsidRPr="0061586F">
        <w:rPr>
          <w:rFonts w:asciiTheme="minorHAnsi" w:hAnsiTheme="minorHAnsi" w:cstheme="minorHAnsi"/>
        </w:rPr>
        <w:t xml:space="preserve">Właściwi dyrektorzy RZGW WP kierują pracą regionalnych zarządów gospodarki wodnej i pełnią funkcję organu wyższego stopnia w rozumieniu przepisów k.p.a. w stosunku do dyrektorów ZZ WP w sprawach określonych </w:t>
      </w:r>
      <w:r w:rsidR="00E719C1">
        <w:rPr>
          <w:rFonts w:asciiTheme="minorHAnsi" w:hAnsiTheme="minorHAnsi" w:cstheme="minorHAnsi"/>
        </w:rPr>
        <w:t xml:space="preserve">ustawą </w:t>
      </w:r>
      <w:r w:rsidRPr="0061586F">
        <w:rPr>
          <w:rFonts w:asciiTheme="minorHAnsi" w:hAnsiTheme="minorHAnsi" w:cstheme="minorHAnsi"/>
        </w:rPr>
        <w:t xml:space="preserve">pr.w. RZGW wykonują zadania PGW WP wskazane w art. 240 ust. 3 </w:t>
      </w:r>
      <w:r w:rsidR="00E719C1">
        <w:rPr>
          <w:rFonts w:asciiTheme="minorHAnsi" w:hAnsiTheme="minorHAnsi" w:cstheme="minorHAnsi"/>
        </w:rPr>
        <w:t xml:space="preserve">ustawy </w:t>
      </w:r>
      <w:r w:rsidRPr="0061586F">
        <w:rPr>
          <w:rFonts w:asciiTheme="minorHAnsi" w:hAnsiTheme="minorHAnsi" w:cstheme="minorHAnsi"/>
        </w:rPr>
        <w:t xml:space="preserve">pr.w. Dyrektora RZGW WP oraz zastępców RZGW WP powołuje Prezes PGW WP (art. 245 </w:t>
      </w:r>
      <w:r w:rsidR="00E719C1">
        <w:rPr>
          <w:rFonts w:asciiTheme="minorHAnsi" w:hAnsiTheme="minorHAnsi" w:cstheme="minorHAnsi"/>
        </w:rPr>
        <w:t xml:space="preserve">ustawy </w:t>
      </w:r>
      <w:r w:rsidRPr="0061586F">
        <w:rPr>
          <w:rFonts w:asciiTheme="minorHAnsi" w:hAnsiTheme="minorHAnsi" w:cstheme="minorHAnsi"/>
        </w:rPr>
        <w:t>pr.w.). Zgodnie z</w:t>
      </w:r>
      <w:r w:rsidR="00DA026A">
        <w:rPr>
          <w:rFonts w:asciiTheme="minorHAnsi" w:hAnsiTheme="minorHAnsi" w:cstheme="minorHAnsi"/>
        </w:rPr>
        <w:t> </w:t>
      </w:r>
      <w:r w:rsidRPr="0061586F">
        <w:rPr>
          <w:rFonts w:asciiTheme="minorHAnsi" w:hAnsiTheme="minorHAnsi" w:cstheme="minorHAnsi"/>
        </w:rPr>
        <w:t xml:space="preserve">art. 397 ust. 3 pkt 1 lit. a) i b) </w:t>
      </w:r>
      <w:r w:rsidR="00E719C1">
        <w:rPr>
          <w:rFonts w:asciiTheme="minorHAnsi" w:hAnsiTheme="minorHAnsi" w:cstheme="minorHAnsi"/>
        </w:rPr>
        <w:t xml:space="preserve">ustawy </w:t>
      </w:r>
      <w:r w:rsidRPr="0061586F">
        <w:rPr>
          <w:rFonts w:asciiTheme="minorHAnsi" w:hAnsiTheme="minorHAnsi" w:cstheme="minorHAnsi"/>
        </w:rPr>
        <w:t xml:space="preserve">pr.w. dyrektor RZGW WP jest organem właściwym w sprawie pozwoleń wodnoprawnych i ocen wodnoprawnych w przypadkach wskazanych tym przepisem. </w:t>
      </w:r>
    </w:p>
    <w:p w14:paraId="1C866812" w14:textId="51D52E45" w:rsidR="00116591" w:rsidRPr="0061586F" w:rsidRDefault="00116591" w:rsidP="00116591">
      <w:pPr>
        <w:spacing w:before="60" w:after="60"/>
        <w:rPr>
          <w:rFonts w:asciiTheme="minorHAnsi" w:hAnsiTheme="minorHAnsi" w:cstheme="minorHAnsi"/>
        </w:rPr>
      </w:pPr>
      <w:r w:rsidRPr="0061586F">
        <w:rPr>
          <w:rFonts w:asciiTheme="minorHAnsi" w:hAnsiTheme="minorHAnsi" w:cstheme="minorHAnsi"/>
        </w:rPr>
        <w:t xml:space="preserve">Zgodnie z art. 435 </w:t>
      </w:r>
      <w:r w:rsidR="00E719C1">
        <w:rPr>
          <w:rFonts w:asciiTheme="minorHAnsi" w:hAnsiTheme="minorHAnsi" w:cstheme="minorHAnsi"/>
        </w:rPr>
        <w:t xml:space="preserve">ustawy </w:t>
      </w:r>
      <w:r w:rsidRPr="0061586F">
        <w:rPr>
          <w:rFonts w:asciiTheme="minorHAnsi" w:hAnsiTheme="minorHAnsi" w:cstheme="minorHAnsi"/>
        </w:rPr>
        <w:t xml:space="preserve">pr.w. organ właściwy w sprawach ocen wodnoprawnych sporządza wykaz planowanych inwestycji lub działań mogących wpłynąć na możliwość osiągnięcia celów środowiskowych, o których mowa w art. 56, art. 57, art. 59 oraz w art. 61 </w:t>
      </w:r>
      <w:r w:rsidR="00E719C1">
        <w:rPr>
          <w:rFonts w:asciiTheme="minorHAnsi" w:hAnsiTheme="minorHAnsi" w:cstheme="minorHAnsi"/>
        </w:rPr>
        <w:t xml:space="preserve">ustawy </w:t>
      </w:r>
      <w:r w:rsidRPr="0061586F">
        <w:rPr>
          <w:rFonts w:asciiTheme="minorHAnsi" w:hAnsiTheme="minorHAnsi" w:cstheme="minorHAnsi"/>
        </w:rPr>
        <w:t>pr.w., obejmujący informację o wydanych ocenach wodnoprawnych oraz o przyczynach odmowy wydania oceny wodnoprawnej.</w:t>
      </w:r>
    </w:p>
    <w:p w14:paraId="6B532E16" w14:textId="77777777" w:rsidR="00116591" w:rsidRPr="00AA1602" w:rsidRDefault="00116591" w:rsidP="003863A0">
      <w:pPr>
        <w:pStyle w:val="Nagwek5"/>
      </w:pPr>
      <w:r w:rsidRPr="00AA1602">
        <w:t xml:space="preserve">Dyrektor </w:t>
      </w:r>
      <w:r>
        <w:t>ZZ WP</w:t>
      </w:r>
    </w:p>
    <w:p w14:paraId="711C00FE" w14:textId="06492E27" w:rsidR="00116591" w:rsidRPr="00AA1602" w:rsidRDefault="00116591" w:rsidP="00116591">
      <w:pPr>
        <w:rPr>
          <w:rFonts w:asciiTheme="minorHAnsi" w:hAnsiTheme="minorHAnsi" w:cstheme="minorHAnsi"/>
        </w:rPr>
      </w:pPr>
      <w:r w:rsidRPr="00AA1602">
        <w:rPr>
          <w:rFonts w:asciiTheme="minorHAnsi" w:hAnsiTheme="minorHAnsi" w:cstheme="minorHAnsi"/>
        </w:rPr>
        <w:t xml:space="preserve">Pracą zarządów zlewni kierują dyrektorzy </w:t>
      </w:r>
      <w:r>
        <w:rPr>
          <w:rFonts w:asciiTheme="minorHAnsi" w:hAnsiTheme="minorHAnsi" w:cstheme="minorHAnsi"/>
        </w:rPr>
        <w:t>ZZ WP</w:t>
      </w:r>
      <w:r w:rsidRPr="00AA1602">
        <w:rPr>
          <w:rFonts w:asciiTheme="minorHAnsi" w:hAnsiTheme="minorHAnsi" w:cstheme="minorHAnsi"/>
        </w:rPr>
        <w:t xml:space="preserve">. Dyrektora zarządu zlewni oraz jego zastępców powołuje (i odwołuje) Prezes </w:t>
      </w:r>
      <w:r>
        <w:rPr>
          <w:rFonts w:asciiTheme="minorHAnsi" w:hAnsiTheme="minorHAnsi" w:cstheme="minorHAnsi"/>
        </w:rPr>
        <w:t>PGW WP</w:t>
      </w:r>
      <w:r w:rsidRPr="00AA1602">
        <w:rPr>
          <w:rFonts w:asciiTheme="minorHAnsi" w:hAnsiTheme="minorHAnsi" w:cstheme="minorHAnsi"/>
        </w:rPr>
        <w:t xml:space="preserve">, na wniosek dyrektora </w:t>
      </w:r>
      <w:r>
        <w:rPr>
          <w:rFonts w:asciiTheme="minorHAnsi" w:hAnsiTheme="minorHAnsi" w:cstheme="minorHAnsi"/>
        </w:rPr>
        <w:t>RZGW WP</w:t>
      </w:r>
      <w:r w:rsidRPr="00AA1602">
        <w:rPr>
          <w:rFonts w:asciiTheme="minorHAnsi" w:hAnsiTheme="minorHAnsi" w:cstheme="minorHAnsi"/>
        </w:rPr>
        <w:t xml:space="preserve">. Zadania </w:t>
      </w:r>
      <w:r>
        <w:rPr>
          <w:rFonts w:asciiTheme="minorHAnsi" w:hAnsiTheme="minorHAnsi" w:cstheme="minorHAnsi"/>
        </w:rPr>
        <w:t>PGW WP</w:t>
      </w:r>
      <w:r w:rsidRPr="00AA1602">
        <w:rPr>
          <w:rFonts w:asciiTheme="minorHAnsi" w:hAnsiTheme="minorHAnsi" w:cstheme="minorHAnsi"/>
        </w:rPr>
        <w:t xml:space="preserve">, które wykonują </w:t>
      </w:r>
      <w:r>
        <w:rPr>
          <w:rFonts w:asciiTheme="minorHAnsi" w:hAnsiTheme="minorHAnsi" w:cstheme="minorHAnsi"/>
        </w:rPr>
        <w:t>ZZ WP</w:t>
      </w:r>
      <w:r w:rsidRPr="00AA1602">
        <w:rPr>
          <w:rFonts w:asciiTheme="minorHAnsi" w:hAnsiTheme="minorHAnsi" w:cstheme="minorHAnsi"/>
        </w:rPr>
        <w:t xml:space="preserve"> sprecyzowano w art. 240 ust. 4 </w:t>
      </w:r>
      <w:r w:rsidR="00E719C1">
        <w:rPr>
          <w:rFonts w:asciiTheme="minorHAnsi" w:hAnsiTheme="minorHAnsi" w:cstheme="minorHAnsi"/>
        </w:rPr>
        <w:t xml:space="preserve">ustawy </w:t>
      </w:r>
      <w:r w:rsidRPr="00AA1602">
        <w:rPr>
          <w:rFonts w:asciiTheme="minorHAnsi" w:hAnsiTheme="minorHAnsi" w:cstheme="minorHAnsi"/>
        </w:rPr>
        <w:t xml:space="preserve">pr.w. W szczególności </w:t>
      </w:r>
      <w:r>
        <w:rPr>
          <w:rFonts w:asciiTheme="minorHAnsi" w:hAnsiTheme="minorHAnsi" w:cstheme="minorHAnsi"/>
        </w:rPr>
        <w:t>ZZ WP</w:t>
      </w:r>
      <w:r w:rsidRPr="00AA1602">
        <w:rPr>
          <w:rFonts w:asciiTheme="minorHAnsi" w:hAnsiTheme="minorHAnsi" w:cstheme="minorHAnsi"/>
        </w:rPr>
        <w:t xml:space="preserve"> zobligowane są do programowania, planowania i nadzorowania wykonywania urządzeń melioracji wodnych w trybie, o</w:t>
      </w:r>
      <w:r w:rsidR="00DA026A">
        <w:rPr>
          <w:rFonts w:asciiTheme="minorHAnsi" w:hAnsiTheme="minorHAnsi" w:cstheme="minorHAnsi"/>
        </w:rPr>
        <w:t> </w:t>
      </w:r>
      <w:r w:rsidRPr="00AA1602">
        <w:rPr>
          <w:rFonts w:asciiTheme="minorHAnsi" w:hAnsiTheme="minorHAnsi" w:cstheme="minorHAnsi"/>
        </w:rPr>
        <w:t xml:space="preserve">którym mowa w art. 199 ust. 2 </w:t>
      </w:r>
      <w:r w:rsidR="00E719C1">
        <w:rPr>
          <w:rFonts w:asciiTheme="minorHAnsi" w:hAnsiTheme="minorHAnsi" w:cstheme="minorHAnsi"/>
        </w:rPr>
        <w:t xml:space="preserve">ustawy </w:t>
      </w:r>
      <w:r w:rsidRPr="00AA1602">
        <w:rPr>
          <w:rFonts w:asciiTheme="minorHAnsi" w:hAnsiTheme="minorHAnsi" w:cstheme="minorHAnsi"/>
        </w:rPr>
        <w:t xml:space="preserve">pr.w. oraz prowadzą ewidencję urządzeń melioracji wodnych oraz zmeliorowanych gruntów i udostępniają dane zawarte w tej ewidencji. </w:t>
      </w:r>
      <w:r>
        <w:rPr>
          <w:rFonts w:asciiTheme="minorHAnsi" w:hAnsiTheme="minorHAnsi" w:cstheme="minorHAnsi"/>
        </w:rPr>
        <w:t>W</w:t>
      </w:r>
      <w:r w:rsidRPr="00AA1602">
        <w:rPr>
          <w:rFonts w:asciiTheme="minorHAnsi" w:hAnsiTheme="minorHAnsi" w:cstheme="minorHAnsi"/>
        </w:rPr>
        <w:t xml:space="preserve">łaściwy dyrektor </w:t>
      </w:r>
      <w:r>
        <w:rPr>
          <w:rFonts w:asciiTheme="minorHAnsi" w:hAnsiTheme="minorHAnsi" w:cstheme="minorHAnsi"/>
        </w:rPr>
        <w:t>ZZ WP</w:t>
      </w:r>
      <w:r w:rsidRPr="00AA1602">
        <w:rPr>
          <w:rFonts w:asciiTheme="minorHAnsi" w:hAnsiTheme="minorHAnsi" w:cstheme="minorHAnsi"/>
        </w:rPr>
        <w:t xml:space="preserve"> pełni funkcję organu wyższego stopnia w rozumieniu przepisów </w:t>
      </w:r>
      <w:r>
        <w:rPr>
          <w:rFonts w:asciiTheme="minorHAnsi" w:hAnsiTheme="minorHAnsi" w:cstheme="minorHAnsi"/>
        </w:rPr>
        <w:t>k.p.a.</w:t>
      </w:r>
      <w:r w:rsidRPr="00AA1602">
        <w:rPr>
          <w:rFonts w:asciiTheme="minorHAnsi" w:hAnsiTheme="minorHAnsi" w:cstheme="minorHAnsi"/>
        </w:rPr>
        <w:t xml:space="preserve"> w stosunku do kierowników </w:t>
      </w:r>
      <w:r>
        <w:rPr>
          <w:rFonts w:asciiTheme="minorHAnsi" w:hAnsiTheme="minorHAnsi" w:cstheme="minorHAnsi"/>
        </w:rPr>
        <w:t>NW WP</w:t>
      </w:r>
      <w:r w:rsidRPr="00AA1602">
        <w:rPr>
          <w:rFonts w:asciiTheme="minorHAnsi" w:hAnsiTheme="minorHAnsi" w:cstheme="minorHAnsi"/>
        </w:rPr>
        <w:t xml:space="preserve"> w sprawach określonych ustawą. </w:t>
      </w:r>
      <w:r>
        <w:rPr>
          <w:rFonts w:asciiTheme="minorHAnsi" w:hAnsiTheme="minorHAnsi" w:cstheme="minorHAnsi"/>
        </w:rPr>
        <w:t>D</w:t>
      </w:r>
      <w:r w:rsidRPr="00AA1602">
        <w:rPr>
          <w:rFonts w:asciiTheme="minorHAnsi" w:hAnsiTheme="minorHAnsi" w:cstheme="minorHAnsi"/>
        </w:rPr>
        <w:t xml:space="preserve">yrektor </w:t>
      </w:r>
      <w:r>
        <w:rPr>
          <w:rFonts w:asciiTheme="minorHAnsi" w:hAnsiTheme="minorHAnsi" w:cstheme="minorHAnsi"/>
        </w:rPr>
        <w:t>ZZ WP</w:t>
      </w:r>
      <w:r w:rsidRPr="00AA1602">
        <w:rPr>
          <w:rFonts w:asciiTheme="minorHAnsi" w:hAnsiTheme="minorHAnsi" w:cstheme="minorHAnsi"/>
        </w:rPr>
        <w:t xml:space="preserve"> jest właściwy w sprawach pozwoleń wodnoprawnych niewymienionych w art. 397 ust. 3 pkt 1 lit. a, c i d </w:t>
      </w:r>
      <w:r w:rsidR="00E719C1">
        <w:rPr>
          <w:rFonts w:asciiTheme="minorHAnsi" w:hAnsiTheme="minorHAnsi" w:cstheme="minorHAnsi"/>
        </w:rPr>
        <w:t xml:space="preserve">ustawy </w:t>
      </w:r>
      <w:r w:rsidRPr="00AA1602">
        <w:rPr>
          <w:rFonts w:asciiTheme="minorHAnsi" w:hAnsiTheme="minorHAnsi" w:cstheme="minorHAnsi"/>
        </w:rPr>
        <w:t xml:space="preserve">pr.w. i ocen wodnoprawnych w zakresie niezastrzeżonym dla dyrektora </w:t>
      </w:r>
      <w:r>
        <w:rPr>
          <w:rFonts w:asciiTheme="minorHAnsi" w:hAnsiTheme="minorHAnsi" w:cstheme="minorHAnsi"/>
        </w:rPr>
        <w:t>RZGW WP</w:t>
      </w:r>
      <w:r w:rsidRPr="00AA1602">
        <w:rPr>
          <w:rFonts w:asciiTheme="minorHAnsi" w:hAnsiTheme="minorHAnsi" w:cstheme="minorHAnsi"/>
        </w:rPr>
        <w:t xml:space="preserve">. </w:t>
      </w:r>
    </w:p>
    <w:p w14:paraId="5A5F0BFB" w14:textId="77777777" w:rsidR="00116591" w:rsidRPr="00AA1602" w:rsidRDefault="00116591" w:rsidP="003863A0">
      <w:pPr>
        <w:pStyle w:val="Nagwek5"/>
      </w:pPr>
      <w:r w:rsidRPr="00AA1602">
        <w:t xml:space="preserve">Kierownik </w:t>
      </w:r>
      <w:r>
        <w:t>NW WP</w:t>
      </w:r>
    </w:p>
    <w:p w14:paraId="0B5B71D5" w14:textId="352AB525" w:rsidR="00116591" w:rsidRPr="00AA1602" w:rsidRDefault="00116591" w:rsidP="00116591">
      <w:pPr>
        <w:rPr>
          <w:rFonts w:asciiTheme="minorHAnsi" w:hAnsiTheme="minorHAnsi" w:cstheme="minorHAnsi"/>
        </w:rPr>
      </w:pPr>
      <w:r w:rsidRPr="00AA1602">
        <w:rPr>
          <w:rFonts w:asciiTheme="minorHAnsi" w:hAnsiTheme="minorHAnsi" w:cstheme="minorHAnsi"/>
        </w:rPr>
        <w:t xml:space="preserve">Nadzory wodne realizują zadania </w:t>
      </w:r>
      <w:r>
        <w:rPr>
          <w:rFonts w:asciiTheme="minorHAnsi" w:hAnsiTheme="minorHAnsi" w:cstheme="minorHAnsi"/>
        </w:rPr>
        <w:t>PGW WP</w:t>
      </w:r>
      <w:r w:rsidRPr="00AA1602">
        <w:rPr>
          <w:rFonts w:asciiTheme="minorHAnsi" w:hAnsiTheme="minorHAnsi" w:cstheme="minorHAnsi"/>
        </w:rPr>
        <w:t xml:space="preserve"> nałożone poprzez art. 240 ust. 5 </w:t>
      </w:r>
      <w:r w:rsidR="00E719C1">
        <w:rPr>
          <w:rFonts w:asciiTheme="minorHAnsi" w:hAnsiTheme="minorHAnsi" w:cstheme="minorHAnsi"/>
        </w:rPr>
        <w:t xml:space="preserve">ustawy </w:t>
      </w:r>
      <w:r w:rsidRPr="00AA1602">
        <w:rPr>
          <w:rFonts w:asciiTheme="minorHAnsi" w:hAnsiTheme="minorHAnsi" w:cstheme="minorHAnsi"/>
        </w:rPr>
        <w:t xml:space="preserve">pr.w. Pracą nadzorów wodnych kierują kierownicy </w:t>
      </w:r>
      <w:r>
        <w:rPr>
          <w:rFonts w:asciiTheme="minorHAnsi" w:hAnsiTheme="minorHAnsi" w:cstheme="minorHAnsi"/>
        </w:rPr>
        <w:t>NW WP</w:t>
      </w:r>
      <w:r w:rsidRPr="00AA1602">
        <w:rPr>
          <w:rFonts w:asciiTheme="minorHAnsi" w:hAnsiTheme="minorHAnsi" w:cstheme="minorHAnsi"/>
        </w:rPr>
        <w:t xml:space="preserve"> powoływani (i odwoływani) przez właściwych dyrektorów </w:t>
      </w:r>
      <w:r>
        <w:rPr>
          <w:rFonts w:asciiTheme="minorHAnsi" w:hAnsiTheme="minorHAnsi" w:cstheme="minorHAnsi"/>
        </w:rPr>
        <w:t>RZGW WP</w:t>
      </w:r>
      <w:r w:rsidRPr="00AA1602">
        <w:rPr>
          <w:rFonts w:asciiTheme="minorHAnsi" w:hAnsiTheme="minorHAnsi" w:cstheme="minorHAnsi"/>
        </w:rPr>
        <w:t xml:space="preserve">, na wniosek dyrektora </w:t>
      </w:r>
      <w:r>
        <w:rPr>
          <w:rFonts w:asciiTheme="minorHAnsi" w:hAnsiTheme="minorHAnsi" w:cstheme="minorHAnsi"/>
        </w:rPr>
        <w:t>ZZ WP</w:t>
      </w:r>
      <w:r w:rsidRPr="00AA1602">
        <w:rPr>
          <w:rFonts w:asciiTheme="minorHAnsi" w:hAnsiTheme="minorHAnsi" w:cstheme="minorHAnsi"/>
        </w:rPr>
        <w:t xml:space="preserve">, po zasięgnięciu opinii właściwego starosty. </w:t>
      </w:r>
      <w:r>
        <w:rPr>
          <w:rFonts w:asciiTheme="minorHAnsi" w:hAnsiTheme="minorHAnsi" w:cstheme="minorHAnsi"/>
        </w:rPr>
        <w:t>K</w:t>
      </w:r>
      <w:r w:rsidRPr="00AA1602">
        <w:rPr>
          <w:rFonts w:asciiTheme="minorHAnsi" w:hAnsiTheme="minorHAnsi" w:cstheme="minorHAnsi"/>
        </w:rPr>
        <w:t xml:space="preserve">ierownik </w:t>
      </w:r>
      <w:r>
        <w:rPr>
          <w:rFonts w:asciiTheme="minorHAnsi" w:hAnsiTheme="minorHAnsi" w:cstheme="minorHAnsi"/>
        </w:rPr>
        <w:t>NW WP</w:t>
      </w:r>
      <w:r w:rsidRPr="00AA1602">
        <w:rPr>
          <w:rFonts w:asciiTheme="minorHAnsi" w:hAnsiTheme="minorHAnsi" w:cstheme="minorHAnsi"/>
        </w:rPr>
        <w:t xml:space="preserve"> jest organem właściwym w sprawach zgłoszeń wodnoprawnych. </w:t>
      </w:r>
      <w:r>
        <w:rPr>
          <w:rFonts w:asciiTheme="minorHAnsi" w:hAnsiTheme="minorHAnsi" w:cstheme="minorHAnsi"/>
        </w:rPr>
        <w:t>O</w:t>
      </w:r>
      <w:r w:rsidRPr="00AA1602">
        <w:rPr>
          <w:rFonts w:asciiTheme="minorHAnsi" w:hAnsiTheme="minorHAnsi" w:cstheme="minorHAnsi"/>
        </w:rPr>
        <w:t>znacza to, że przedmiotowy organ wnosi sprzeciw, jeżeli wykonywanie czynności, robót lub urządzeń wodnych, a także korzystanie z wód: jest objęte obowiązkiem uzyskania pozwolenia wodnoprawnego; narusza ustalenia dokumentów, o</w:t>
      </w:r>
      <w:r w:rsidR="00DA026A">
        <w:rPr>
          <w:rFonts w:asciiTheme="minorHAnsi" w:hAnsiTheme="minorHAnsi" w:cstheme="minorHAnsi"/>
        </w:rPr>
        <w:t> </w:t>
      </w:r>
      <w:r w:rsidRPr="00AA1602">
        <w:rPr>
          <w:rFonts w:asciiTheme="minorHAnsi" w:hAnsiTheme="minorHAnsi" w:cstheme="minorHAnsi"/>
        </w:rPr>
        <w:t xml:space="preserve">których mowa w art. 396 ust. 1 pkt 1-7 </w:t>
      </w:r>
      <w:r w:rsidR="00574864">
        <w:rPr>
          <w:rFonts w:asciiTheme="minorHAnsi" w:hAnsiTheme="minorHAnsi" w:cstheme="minorHAnsi"/>
        </w:rPr>
        <w:t xml:space="preserve">ustawy </w:t>
      </w:r>
      <w:r w:rsidRPr="00AA1602">
        <w:rPr>
          <w:rFonts w:asciiTheme="minorHAnsi" w:hAnsiTheme="minorHAnsi" w:cstheme="minorHAnsi"/>
        </w:rPr>
        <w:t xml:space="preserve">pr.w., nie spełnia wymagań, o których mowa w art. 396 ust. 1 pkt 8 </w:t>
      </w:r>
      <w:r w:rsidR="00574864">
        <w:rPr>
          <w:rFonts w:asciiTheme="minorHAnsi" w:hAnsiTheme="minorHAnsi" w:cstheme="minorHAnsi"/>
        </w:rPr>
        <w:t xml:space="preserve">ustawy </w:t>
      </w:r>
      <w:r w:rsidRPr="00AA1602">
        <w:rPr>
          <w:rFonts w:asciiTheme="minorHAnsi" w:hAnsiTheme="minorHAnsi" w:cstheme="minorHAnsi"/>
        </w:rPr>
        <w:t xml:space="preserve">pr.w., lub narusza interesy osób trzecich, w tym właściciela wód; zagraża osiągnięciu celów środowiskowych, o których mowa w art. 56, art. 57, art. 59 oraz w art. 61 </w:t>
      </w:r>
      <w:r w:rsidR="00574864">
        <w:rPr>
          <w:rFonts w:asciiTheme="minorHAnsi" w:hAnsiTheme="minorHAnsi" w:cstheme="minorHAnsi"/>
        </w:rPr>
        <w:t xml:space="preserve">ustawy </w:t>
      </w:r>
      <w:r w:rsidRPr="00AA1602">
        <w:rPr>
          <w:rFonts w:asciiTheme="minorHAnsi" w:hAnsiTheme="minorHAnsi" w:cstheme="minorHAnsi"/>
        </w:rPr>
        <w:t>pr.w.</w:t>
      </w:r>
    </w:p>
    <w:p w14:paraId="4E2A9D18" w14:textId="77777777" w:rsidR="00116591" w:rsidRPr="00AA1602" w:rsidRDefault="00116591" w:rsidP="003863A0">
      <w:pPr>
        <w:pStyle w:val="Nagwek5"/>
      </w:pPr>
      <w:r w:rsidRPr="00AA1602">
        <w:t>Dyrektor urzędu morskiego</w:t>
      </w:r>
    </w:p>
    <w:p w14:paraId="53D97BB5" w14:textId="08DA9CB5" w:rsidR="00116591" w:rsidRPr="00AA1602" w:rsidRDefault="00116591" w:rsidP="00116591">
      <w:pPr>
        <w:rPr>
          <w:rFonts w:asciiTheme="minorHAnsi" w:hAnsiTheme="minorHAnsi" w:cstheme="minorHAnsi"/>
        </w:rPr>
      </w:pPr>
      <w:r w:rsidRPr="00AA1602">
        <w:rPr>
          <w:rFonts w:asciiTheme="minorHAnsi" w:hAnsiTheme="minorHAnsi" w:cstheme="minorHAnsi"/>
        </w:rPr>
        <w:t>Zgodnie z art. 38 ustawy z dnia 21 marca 1991 r. o obszarach morskich Rzeczypospolitej Polskiej i</w:t>
      </w:r>
      <w:r w:rsidR="00DA026A">
        <w:rPr>
          <w:rFonts w:asciiTheme="minorHAnsi" w:hAnsiTheme="minorHAnsi" w:cstheme="minorHAnsi"/>
        </w:rPr>
        <w:t> </w:t>
      </w:r>
      <w:r w:rsidRPr="00AA1602">
        <w:rPr>
          <w:rFonts w:asciiTheme="minorHAnsi" w:hAnsiTheme="minorHAnsi" w:cstheme="minorHAnsi"/>
        </w:rPr>
        <w:t>administracji morskiej (</w:t>
      </w:r>
      <w:r w:rsidR="00B313C6">
        <w:rPr>
          <w:rFonts w:asciiTheme="minorHAnsi" w:hAnsiTheme="minorHAnsi" w:cstheme="minorHAnsi"/>
        </w:rPr>
        <w:t>Dz.U.</w:t>
      </w:r>
      <w:r w:rsidRPr="00AA1602">
        <w:rPr>
          <w:rFonts w:asciiTheme="minorHAnsi" w:hAnsiTheme="minorHAnsi" w:cstheme="minorHAnsi"/>
        </w:rPr>
        <w:t xml:space="preserve"> z 2020 r. poz. 2135) organami administracji morskiej są minister właściwy do spraw gospodarki morskiej - jako naczelny organ administracji morskiej oraz dyrektorzy urzędów morskich - jako terenowe organy administracji morskiej. Minister właściwy do spraw gospodarki morskiej sprawuje nadzór nad działalnością dyrektorów urzędów morskich w zakresie uregulowanym w</w:t>
      </w:r>
      <w:r w:rsidR="00973271">
        <w:rPr>
          <w:rFonts w:asciiTheme="minorHAnsi" w:hAnsiTheme="minorHAnsi" w:cstheme="minorHAnsi"/>
        </w:rPr>
        <w:t> </w:t>
      </w:r>
      <w:r w:rsidRPr="00AA1602">
        <w:rPr>
          <w:rFonts w:asciiTheme="minorHAnsi" w:hAnsiTheme="minorHAnsi" w:cstheme="minorHAnsi"/>
        </w:rPr>
        <w:t xml:space="preserve">przywołanej ustawie oraz w przepisach odrębnych. Dyrektor urzędu morskiego podlega </w:t>
      </w:r>
      <w:r>
        <w:rPr>
          <w:rFonts w:asciiTheme="minorHAnsi" w:hAnsiTheme="minorHAnsi" w:cstheme="minorHAnsi"/>
        </w:rPr>
        <w:t>ww.</w:t>
      </w:r>
      <w:r w:rsidRPr="00AA1602">
        <w:rPr>
          <w:rFonts w:asciiTheme="minorHAnsi" w:hAnsiTheme="minorHAnsi" w:cstheme="minorHAnsi"/>
        </w:rPr>
        <w:t xml:space="preserve"> ministrowi. </w:t>
      </w:r>
    </w:p>
    <w:p w14:paraId="596BAE5C" w14:textId="6D978BCB" w:rsidR="00116591" w:rsidRDefault="00116591" w:rsidP="00116591">
      <w:pPr>
        <w:rPr>
          <w:rFonts w:asciiTheme="minorHAnsi" w:hAnsiTheme="minorHAnsi" w:cstheme="minorHAnsi"/>
        </w:rPr>
      </w:pPr>
      <w:r w:rsidRPr="00AA1602">
        <w:rPr>
          <w:rFonts w:asciiTheme="minorHAnsi" w:hAnsiTheme="minorHAnsi" w:cstheme="minorHAnsi"/>
        </w:rPr>
        <w:t>Dyrektor urzędu morskiego wykonuje swoje kompetencje przy pomocy urzędu morskiego, który jest państwową jednostką budżetową. W skład urzędu morskiego wchodzą w szczególności: inspekcja morska, inspekcja bandery, inspekcja portu - przy pomocy których dyrektor urzędu morskiego realizuje swoje zadania w zakresie inspekcji statków; Służba Kontroli Ruchu Statków (Służba VTS) - przy pomocy której dyrektor urzędu morskiego realizuje swoje zadania w zakresie monitorowania ruchu statków i</w:t>
      </w:r>
      <w:r w:rsidR="00973271">
        <w:rPr>
          <w:rFonts w:asciiTheme="minorHAnsi" w:hAnsiTheme="minorHAnsi" w:cstheme="minorHAnsi"/>
        </w:rPr>
        <w:t> </w:t>
      </w:r>
      <w:r w:rsidRPr="00AA1602">
        <w:rPr>
          <w:rFonts w:asciiTheme="minorHAnsi" w:hAnsiTheme="minorHAnsi" w:cstheme="minorHAnsi"/>
        </w:rPr>
        <w:t>przekazywania informacji; kapitanaty i bosmanaty portów - przy pomocy których dyrektor urzędu morskiego wykonuje swoje kompetencje w portach i przystaniach morskich; Biuro Spraw Obronnych Żeglugi - do realizacji zadań ochrony portów morskich i żeglugi morskiej oraz do wykonywania zadań obronnych oraz zadań o charakterze niemilitarnym.</w:t>
      </w:r>
    </w:p>
    <w:p w14:paraId="130CF6F0" w14:textId="453BEB30" w:rsidR="00F53455" w:rsidRDefault="00116591" w:rsidP="00116591">
      <w:pPr>
        <w:spacing w:before="60" w:after="60"/>
        <w:rPr>
          <w:rFonts w:asciiTheme="minorHAnsi" w:hAnsiTheme="minorHAnsi" w:cstheme="minorHAnsi"/>
        </w:rPr>
      </w:pPr>
      <w:r w:rsidRPr="00745702">
        <w:rPr>
          <w:rFonts w:asciiTheme="minorHAnsi" w:hAnsiTheme="minorHAnsi" w:cstheme="minorHAnsi"/>
        </w:rPr>
        <w:t xml:space="preserve">Zgodnie z art. 328 ust. 2 </w:t>
      </w:r>
      <w:r w:rsidR="00574864">
        <w:rPr>
          <w:rFonts w:asciiTheme="minorHAnsi" w:hAnsiTheme="minorHAnsi" w:cstheme="minorHAnsi"/>
        </w:rPr>
        <w:t xml:space="preserve">ustawy </w:t>
      </w:r>
      <w:r w:rsidRPr="00745702">
        <w:rPr>
          <w:rFonts w:asciiTheme="minorHAnsi" w:hAnsiTheme="minorHAnsi" w:cstheme="minorHAnsi"/>
        </w:rPr>
        <w:t>pr.w. dyrektorzy urzędów morskich, w zakresie swojej właściwości, sporządzają roczne sprawozdania z realizacji działań zawartych w planach gospodarowania wodami na obszarach dorzeczy za rok poprzedni i przekazują te sprawozdania ministrowi właściwemu do spraw gospodarki wodnej w terminie do dnia 28 lutego roku następnego.</w:t>
      </w:r>
      <w:r>
        <w:rPr>
          <w:rFonts w:asciiTheme="minorHAnsi" w:hAnsiTheme="minorHAnsi" w:cstheme="minorHAnsi"/>
        </w:rPr>
        <w:t xml:space="preserve"> </w:t>
      </w:r>
      <w:r w:rsidRPr="00745702">
        <w:rPr>
          <w:rFonts w:asciiTheme="minorHAnsi" w:hAnsiTheme="minorHAnsi" w:cstheme="minorHAnsi"/>
        </w:rPr>
        <w:t>Szczegółowy zakres informacji z</w:t>
      </w:r>
      <w:r w:rsidR="00DA026A">
        <w:rPr>
          <w:rFonts w:asciiTheme="minorHAnsi" w:hAnsiTheme="minorHAnsi" w:cstheme="minorHAnsi"/>
        </w:rPr>
        <w:t> </w:t>
      </w:r>
      <w:r w:rsidRPr="00745702">
        <w:rPr>
          <w:rFonts w:asciiTheme="minorHAnsi" w:hAnsiTheme="minorHAnsi" w:cstheme="minorHAnsi"/>
        </w:rPr>
        <w:t>realizacji działań zawartych w planach gospodarowania wodami na obszarach dorzeczy określa rozporządzenie Ministra Gospodarki Morskiej i Żeglugi Śródlądowej z dnia 14 grudnia 2018 r. w sprawie zakresu informacji z realizacji działań zawartych w planach gospodarowania wodami na obszarach dorzeczy, planach zarządzania ryzykiem powodziowym i programie ochrony wód morskich (Dz.U.</w:t>
      </w:r>
      <w:r w:rsidR="00DA026A">
        <w:rPr>
          <w:rFonts w:asciiTheme="minorHAnsi" w:hAnsiTheme="minorHAnsi" w:cstheme="minorHAnsi"/>
        </w:rPr>
        <w:t> </w:t>
      </w:r>
      <w:r w:rsidRPr="00745702">
        <w:rPr>
          <w:rFonts w:asciiTheme="minorHAnsi" w:hAnsiTheme="minorHAnsi" w:cstheme="minorHAnsi"/>
        </w:rPr>
        <w:t>z</w:t>
      </w:r>
      <w:r w:rsidR="00DA026A">
        <w:rPr>
          <w:rFonts w:asciiTheme="minorHAnsi" w:hAnsiTheme="minorHAnsi" w:cstheme="minorHAnsi"/>
        </w:rPr>
        <w:t> </w:t>
      </w:r>
      <w:r w:rsidRPr="00745702">
        <w:rPr>
          <w:rFonts w:asciiTheme="minorHAnsi" w:hAnsiTheme="minorHAnsi" w:cstheme="minorHAnsi"/>
        </w:rPr>
        <w:t>2018 r. poz. 2390).</w:t>
      </w:r>
    </w:p>
    <w:p w14:paraId="7369FDCC" w14:textId="77777777" w:rsidR="00116591" w:rsidRPr="00AA1602" w:rsidRDefault="00116591" w:rsidP="003863A0">
      <w:pPr>
        <w:pStyle w:val="Nagwek5"/>
      </w:pPr>
      <w:r w:rsidRPr="00AA1602">
        <w:t>Wojewoda</w:t>
      </w:r>
    </w:p>
    <w:p w14:paraId="443A662F" w14:textId="18001158" w:rsidR="00116591" w:rsidRDefault="00116591" w:rsidP="00116591">
      <w:pPr>
        <w:rPr>
          <w:rFonts w:asciiTheme="minorHAnsi" w:hAnsiTheme="minorHAnsi" w:cstheme="minorHAnsi"/>
        </w:rPr>
      </w:pPr>
      <w:r w:rsidRPr="00AA1602">
        <w:rPr>
          <w:rFonts w:asciiTheme="minorHAnsi" w:hAnsiTheme="minorHAnsi" w:cstheme="minorHAnsi"/>
        </w:rPr>
        <w:t xml:space="preserve">Wojewoda </w:t>
      </w:r>
      <w:r w:rsidR="00BB0E3B">
        <w:rPr>
          <w:rFonts w:asciiTheme="minorHAnsi" w:hAnsiTheme="minorHAnsi" w:cstheme="minorHAnsi"/>
        </w:rPr>
        <w:t>-</w:t>
      </w:r>
      <w:r w:rsidRPr="00AA1602">
        <w:rPr>
          <w:rFonts w:asciiTheme="minorHAnsi" w:hAnsiTheme="minorHAnsi" w:cstheme="minorHAnsi"/>
        </w:rPr>
        <w:t xml:space="preserve"> zgodnie z zapisami art. 3 ustawy z dnia 23 stycznia 2009 r. o wojewodzie i administracji rządowej w województwie (</w:t>
      </w:r>
      <w:r w:rsidR="00B313C6">
        <w:rPr>
          <w:rFonts w:asciiTheme="minorHAnsi" w:hAnsiTheme="minorHAnsi" w:cstheme="minorHAnsi"/>
        </w:rPr>
        <w:t>Dz.U.</w:t>
      </w:r>
      <w:r w:rsidRPr="00AA1602">
        <w:rPr>
          <w:rFonts w:asciiTheme="minorHAnsi" w:hAnsiTheme="minorHAnsi" w:cstheme="minorHAnsi"/>
        </w:rPr>
        <w:t xml:space="preserve"> z 2019 r., poz. 1464) </w:t>
      </w:r>
      <w:r w:rsidR="00BB0E3B">
        <w:rPr>
          <w:rFonts w:asciiTheme="minorHAnsi" w:hAnsiTheme="minorHAnsi" w:cstheme="minorHAnsi"/>
        </w:rPr>
        <w:t>-</w:t>
      </w:r>
      <w:r w:rsidRPr="00AA1602">
        <w:rPr>
          <w:rFonts w:asciiTheme="minorHAnsi" w:hAnsiTheme="minorHAnsi" w:cstheme="minorHAnsi"/>
        </w:rPr>
        <w:t xml:space="preserve"> jest m. in. przedstawicielem Rady Ministrów w województwie; zwierzchnikiem rządowej administracji zespolonej w województwie; organem rządowej administracji zespolonej w województwie; organem nadzoru nad działalnością jednostek samorządu terytorialnego i ich związków pod względem legalności, organem administracji rządowej w</w:t>
      </w:r>
      <w:r w:rsidR="00DA026A">
        <w:rPr>
          <w:rFonts w:asciiTheme="minorHAnsi" w:hAnsiTheme="minorHAnsi" w:cstheme="minorHAnsi"/>
        </w:rPr>
        <w:t> </w:t>
      </w:r>
      <w:r w:rsidRPr="00AA1602">
        <w:rPr>
          <w:rFonts w:asciiTheme="minorHAnsi" w:hAnsiTheme="minorHAnsi" w:cstheme="minorHAnsi"/>
        </w:rPr>
        <w:t>województwie, do którego właściwości należą wszystkie sprawy z zakresu administracji rządowej w</w:t>
      </w:r>
      <w:r w:rsidR="00DA026A">
        <w:rPr>
          <w:rFonts w:asciiTheme="minorHAnsi" w:hAnsiTheme="minorHAnsi" w:cstheme="minorHAnsi"/>
        </w:rPr>
        <w:t> </w:t>
      </w:r>
      <w:r w:rsidRPr="00AA1602">
        <w:rPr>
          <w:rFonts w:asciiTheme="minorHAnsi" w:hAnsiTheme="minorHAnsi" w:cstheme="minorHAnsi"/>
        </w:rPr>
        <w:t xml:space="preserve">województwie niezastrzeżone w odrębnych ustawach do właściwości innych organów tej administracji. </w:t>
      </w:r>
    </w:p>
    <w:p w14:paraId="0F6EE248" w14:textId="7EAA31FB" w:rsidR="00116591" w:rsidRDefault="00116591" w:rsidP="00116591">
      <w:pPr>
        <w:rPr>
          <w:rFonts w:asciiTheme="minorHAnsi" w:hAnsiTheme="minorHAnsi" w:cstheme="minorHAnsi"/>
        </w:rPr>
      </w:pPr>
      <w:r>
        <w:rPr>
          <w:rFonts w:asciiTheme="minorHAnsi" w:hAnsiTheme="minorHAnsi" w:cstheme="minorHAnsi"/>
        </w:rPr>
        <w:t>Zgodnie z</w:t>
      </w:r>
      <w:r w:rsidRPr="00AA1602">
        <w:rPr>
          <w:rFonts w:asciiTheme="minorHAnsi" w:hAnsiTheme="minorHAnsi" w:cstheme="minorHAnsi"/>
        </w:rPr>
        <w:t xml:space="preserve"> przepis</w:t>
      </w:r>
      <w:r>
        <w:rPr>
          <w:rFonts w:asciiTheme="minorHAnsi" w:hAnsiTheme="minorHAnsi" w:cstheme="minorHAnsi"/>
        </w:rPr>
        <w:t>ami</w:t>
      </w:r>
      <w:r w:rsidRPr="00AA1602">
        <w:rPr>
          <w:rFonts w:asciiTheme="minorHAnsi" w:hAnsiTheme="minorHAnsi" w:cstheme="minorHAnsi"/>
        </w:rPr>
        <w:t xml:space="preserve"> </w:t>
      </w:r>
      <w:r w:rsidR="00574864">
        <w:rPr>
          <w:rFonts w:asciiTheme="minorHAnsi" w:hAnsiTheme="minorHAnsi" w:cstheme="minorHAnsi"/>
        </w:rPr>
        <w:t xml:space="preserve">ustawy </w:t>
      </w:r>
      <w:r w:rsidRPr="00AA1602">
        <w:rPr>
          <w:rFonts w:asciiTheme="minorHAnsi" w:hAnsiTheme="minorHAnsi" w:cstheme="minorHAnsi"/>
        </w:rPr>
        <w:t xml:space="preserve">pr.w. do zadań wojewody m. in. należy opiniowanie projektu planu gospodarowania wodami na obszarze dorzecza (art. 319 ust. 1). </w:t>
      </w:r>
      <w:r>
        <w:rPr>
          <w:rFonts w:asciiTheme="minorHAnsi" w:hAnsiTheme="minorHAnsi" w:cstheme="minorHAnsi"/>
        </w:rPr>
        <w:t>N</w:t>
      </w:r>
      <w:r w:rsidRPr="00AA1602">
        <w:rPr>
          <w:rFonts w:asciiTheme="minorHAnsi" w:hAnsiTheme="minorHAnsi" w:cstheme="minorHAnsi"/>
        </w:rPr>
        <w:t xml:space="preserve">a mocy art. 328 ust. 2 </w:t>
      </w:r>
      <w:r w:rsidR="00574864">
        <w:rPr>
          <w:rFonts w:asciiTheme="minorHAnsi" w:hAnsiTheme="minorHAnsi" w:cstheme="minorHAnsi"/>
        </w:rPr>
        <w:t xml:space="preserve">ustawy </w:t>
      </w:r>
      <w:r w:rsidRPr="00AA1602">
        <w:rPr>
          <w:rFonts w:asciiTheme="minorHAnsi" w:hAnsiTheme="minorHAnsi" w:cstheme="minorHAnsi"/>
        </w:rPr>
        <w:t xml:space="preserve">pr.w. wojewodowie, w zakresie swojej właściwości, sporządzają roczne sprawozdania z realizacji działań zawartych w planach gospodarowania wodami na obszarach dorzeczy, za rok poprzedni i przekazują te sprawozdania ministrowi właściwemu do spraw gospodarki wodnej w terminie do dnia 28 lutego roku następnego. </w:t>
      </w:r>
    </w:p>
    <w:p w14:paraId="2BEBA964" w14:textId="15072E66" w:rsidR="00116591" w:rsidRPr="00AA1602" w:rsidRDefault="00116591" w:rsidP="00116591">
      <w:pPr>
        <w:rPr>
          <w:rFonts w:asciiTheme="minorHAnsi" w:hAnsiTheme="minorHAnsi" w:cstheme="minorHAnsi"/>
        </w:rPr>
      </w:pPr>
      <w:r>
        <w:rPr>
          <w:rFonts w:asciiTheme="minorHAnsi" w:hAnsiTheme="minorHAnsi" w:cstheme="minorHAnsi"/>
        </w:rPr>
        <w:t>P</w:t>
      </w:r>
      <w:r w:rsidRPr="00AA1602">
        <w:rPr>
          <w:rFonts w:asciiTheme="minorHAnsi" w:hAnsiTheme="minorHAnsi" w:cstheme="minorHAnsi"/>
        </w:rPr>
        <w:t xml:space="preserve">onadto - w zakresie określonym przez regulacje </w:t>
      </w:r>
      <w:r w:rsidR="00574864">
        <w:rPr>
          <w:rFonts w:asciiTheme="minorHAnsi" w:hAnsiTheme="minorHAnsi" w:cstheme="minorHAnsi"/>
        </w:rPr>
        <w:t xml:space="preserve">ustawy </w:t>
      </w:r>
      <w:r w:rsidRPr="00AA1602">
        <w:rPr>
          <w:rFonts w:asciiTheme="minorHAnsi" w:hAnsiTheme="minorHAnsi" w:cstheme="minorHAnsi"/>
        </w:rPr>
        <w:t xml:space="preserve">pr.w. </w:t>
      </w:r>
      <w:r w:rsidR="00BB0E3B">
        <w:rPr>
          <w:rFonts w:asciiTheme="minorHAnsi" w:hAnsiTheme="minorHAnsi" w:cstheme="minorHAnsi"/>
        </w:rPr>
        <w:t>-</w:t>
      </w:r>
      <w:r w:rsidRPr="00AA1602">
        <w:rPr>
          <w:rFonts w:asciiTheme="minorHAnsi" w:hAnsiTheme="minorHAnsi" w:cstheme="minorHAnsi"/>
        </w:rPr>
        <w:t xml:space="preserve"> wojewoda m. in. ustanawia w drodze rozporządzenia teren ochrony bezpośredniej i teren ochrony pośredniej (art. 135 ust. 1 pkt 2); ustanawia w drodze rozporządzenia, na wniosek </w:t>
      </w:r>
      <w:r>
        <w:rPr>
          <w:rFonts w:asciiTheme="minorHAnsi" w:hAnsiTheme="minorHAnsi" w:cstheme="minorHAnsi"/>
        </w:rPr>
        <w:t>PGW WP</w:t>
      </w:r>
      <w:r w:rsidRPr="00AA1602">
        <w:rPr>
          <w:rFonts w:asciiTheme="minorHAnsi" w:hAnsiTheme="minorHAnsi" w:cstheme="minorHAnsi"/>
        </w:rPr>
        <w:t xml:space="preserve">, obszar ochronny (art. 141 ust. 1); wyposaża i utrzymuje wojewódzki magazyn przeciwpowodziowy (art. 165 ust. 2); opiniuje projekt wstępnej oceny ryzyka powodziowego (art. 168 ust. 3); uzgadnia projekty map zagrożenia powodziowego oraz map ryzyka powodziowego (art. 171 ust. 1); uzgadnia projekt planu przeciwdziałania skutkom suszy (art. 185 ust. 1). Warto jeszcze dodać, że na mocy art. 31 ust. 2 </w:t>
      </w:r>
      <w:r w:rsidR="00574864">
        <w:rPr>
          <w:rFonts w:asciiTheme="minorHAnsi" w:hAnsiTheme="minorHAnsi" w:cstheme="minorHAnsi"/>
        </w:rPr>
        <w:t xml:space="preserve">ustawy </w:t>
      </w:r>
      <w:r w:rsidRPr="00AA1602">
        <w:rPr>
          <w:rFonts w:asciiTheme="minorHAnsi" w:hAnsiTheme="minorHAnsi" w:cstheme="minorHAnsi"/>
        </w:rPr>
        <w:t>pr.w. w sytuacjach nadzwyczajnych, o których mowa w ustawie z dnia 23 stycznia 2009 r. o wojewodzie i</w:t>
      </w:r>
      <w:r w:rsidR="00DA026A">
        <w:rPr>
          <w:rFonts w:asciiTheme="minorHAnsi" w:hAnsiTheme="minorHAnsi" w:cstheme="minorHAnsi"/>
        </w:rPr>
        <w:t> </w:t>
      </w:r>
      <w:r w:rsidRPr="00AA1602">
        <w:rPr>
          <w:rFonts w:asciiTheme="minorHAnsi" w:hAnsiTheme="minorHAnsi" w:cstheme="minorHAnsi"/>
        </w:rPr>
        <w:t>administracji rządowej w województwie (</w:t>
      </w:r>
      <w:r w:rsidR="00B313C6">
        <w:rPr>
          <w:rFonts w:asciiTheme="minorHAnsi" w:hAnsiTheme="minorHAnsi" w:cstheme="minorHAnsi"/>
        </w:rPr>
        <w:t>Dz.U.</w:t>
      </w:r>
      <w:r w:rsidRPr="00AA1602">
        <w:rPr>
          <w:rFonts w:asciiTheme="minorHAnsi" w:hAnsiTheme="minorHAnsi" w:cstheme="minorHAnsi"/>
        </w:rPr>
        <w:t xml:space="preserve"> z 2019 r. poz. 1464), wojewoda może, w drodze aktu prawa miejscowego, określić rozmiar i czas korzystania z każdej wody na potrzeby zwalczania poważnych awarii, klęsk żywiołowych, pożarów lub innych miejscowych zagrożeń oraz w razie konieczności zapobieżenia poważnemu i nagłemu niebezpieczeństwu grożącemu życiu lub zdrowiu ludzi albo mieniu znacznej wartości, którego w inny sposób nie można uniknąć. Natomiast w przypadku wprowadzenia stanu klęski żywiołowej, w celu zapobieżenia skutkom powodzi lub suszy, wojewoda może, w drodze aktu prawa miejscowego, wprowadzić czasowe ograniczenia w korzystaniu z wód, w</w:t>
      </w:r>
      <w:r w:rsidR="00DA026A">
        <w:rPr>
          <w:rFonts w:asciiTheme="minorHAnsi" w:hAnsiTheme="minorHAnsi" w:cstheme="minorHAnsi"/>
        </w:rPr>
        <w:t> </w:t>
      </w:r>
      <w:r w:rsidRPr="00AA1602">
        <w:rPr>
          <w:rFonts w:asciiTheme="minorHAnsi" w:hAnsiTheme="minorHAnsi" w:cstheme="minorHAnsi"/>
        </w:rPr>
        <w:t>szczególności w zakresie poboru wód lub wprowadzania ścieków do wód lub do ziemi, a także zmiany sposobu gospodarowania wodą w zbiornikach retencyjnych.</w:t>
      </w:r>
    </w:p>
    <w:p w14:paraId="0ACE34E0" w14:textId="77777777" w:rsidR="00116591" w:rsidRPr="00AA1602" w:rsidRDefault="00116591" w:rsidP="003863A0">
      <w:pPr>
        <w:pStyle w:val="Nagwek5"/>
      </w:pPr>
      <w:r w:rsidRPr="00AA1602">
        <w:t>Starosta</w:t>
      </w:r>
    </w:p>
    <w:p w14:paraId="23CF3D29" w14:textId="6ED79A7F" w:rsidR="00604370" w:rsidRDefault="00116591" w:rsidP="00116591">
      <w:pPr>
        <w:rPr>
          <w:rFonts w:asciiTheme="minorHAnsi" w:hAnsiTheme="minorHAnsi" w:cstheme="minorHAnsi"/>
        </w:rPr>
      </w:pPr>
      <w:r w:rsidRPr="00AA1602">
        <w:rPr>
          <w:rFonts w:asciiTheme="minorHAnsi" w:hAnsiTheme="minorHAnsi" w:cstheme="minorHAnsi"/>
        </w:rPr>
        <w:t xml:space="preserve">Starosta </w:t>
      </w:r>
      <w:r w:rsidR="00BB0E3B">
        <w:rPr>
          <w:rFonts w:asciiTheme="minorHAnsi" w:hAnsiTheme="minorHAnsi" w:cstheme="minorHAnsi"/>
        </w:rPr>
        <w:t>-</w:t>
      </w:r>
      <w:r w:rsidRPr="00AA1602">
        <w:rPr>
          <w:rFonts w:asciiTheme="minorHAnsi" w:hAnsiTheme="minorHAnsi" w:cstheme="minorHAnsi"/>
        </w:rPr>
        <w:t xml:space="preserve"> zgodnie z art. 34 ust. 1 ustawy z dnia 5 czerwca 1998 r. o samorządzie powiatowym </w:t>
      </w:r>
      <w:r w:rsidR="00973271">
        <w:rPr>
          <w:rFonts w:asciiTheme="minorHAnsi" w:hAnsiTheme="minorHAnsi" w:cstheme="minorHAnsi"/>
        </w:rPr>
        <w:br/>
      </w:r>
      <w:r w:rsidRPr="00AA1602">
        <w:rPr>
          <w:rFonts w:asciiTheme="minorHAnsi" w:hAnsiTheme="minorHAnsi" w:cstheme="minorHAnsi"/>
        </w:rPr>
        <w:t>(</w:t>
      </w:r>
      <w:r w:rsidR="007E17E5">
        <w:rPr>
          <w:rFonts w:asciiTheme="minorHAnsi" w:hAnsiTheme="minorHAnsi" w:cstheme="minorHAnsi"/>
        </w:rPr>
        <w:t>Dz.</w:t>
      </w:r>
      <w:r w:rsidR="00B313C6">
        <w:rPr>
          <w:rFonts w:asciiTheme="minorHAnsi" w:hAnsiTheme="minorHAnsi" w:cstheme="minorHAnsi"/>
        </w:rPr>
        <w:t>U.</w:t>
      </w:r>
      <w:r w:rsidRPr="00AA1602">
        <w:rPr>
          <w:rFonts w:asciiTheme="minorHAnsi" w:hAnsiTheme="minorHAnsi" w:cstheme="minorHAnsi"/>
        </w:rPr>
        <w:t xml:space="preserve"> z 2020 r., poz. 920) - organizuje pracę zarządu powiatu i starostwa powiatowego, kieruje bieżącymi sprawami powiatu oraz reprezentuje powiat na zewnątrz. Do kompetencji starosty określonych przez przepisy </w:t>
      </w:r>
      <w:r w:rsidR="00574864">
        <w:rPr>
          <w:rFonts w:asciiTheme="minorHAnsi" w:hAnsiTheme="minorHAnsi" w:cstheme="minorHAnsi"/>
        </w:rPr>
        <w:t xml:space="preserve">ustawy </w:t>
      </w:r>
      <w:r w:rsidRPr="00AA1602">
        <w:rPr>
          <w:rFonts w:asciiTheme="minorHAnsi" w:hAnsiTheme="minorHAnsi" w:cstheme="minorHAnsi"/>
        </w:rPr>
        <w:t>pr.w. należ</w:t>
      </w:r>
      <w:r>
        <w:rPr>
          <w:rFonts w:asciiTheme="minorHAnsi" w:hAnsiTheme="minorHAnsi" w:cstheme="minorHAnsi"/>
        </w:rPr>
        <w:t>ą</w:t>
      </w:r>
      <w:r w:rsidRPr="00AA1602">
        <w:rPr>
          <w:rFonts w:asciiTheme="minorHAnsi" w:hAnsiTheme="minorHAnsi" w:cstheme="minorHAnsi"/>
        </w:rPr>
        <w:t xml:space="preserve"> </w:t>
      </w:r>
      <w:r>
        <w:rPr>
          <w:rFonts w:asciiTheme="minorHAnsi" w:hAnsiTheme="minorHAnsi" w:cstheme="minorHAnsi"/>
        </w:rPr>
        <w:t>m.in:</w:t>
      </w:r>
      <w:r w:rsidRPr="00AA1602">
        <w:rPr>
          <w:rFonts w:asciiTheme="minorHAnsi" w:hAnsiTheme="minorHAnsi" w:cstheme="minorHAnsi"/>
        </w:rPr>
        <w:t xml:space="preserve"> gospodarowanie innym mieniem związanym z</w:t>
      </w:r>
      <w:r w:rsidR="00DA026A">
        <w:rPr>
          <w:rFonts w:asciiTheme="minorHAnsi" w:hAnsiTheme="minorHAnsi" w:cstheme="minorHAnsi"/>
        </w:rPr>
        <w:t> </w:t>
      </w:r>
      <w:r w:rsidRPr="00AA1602">
        <w:rPr>
          <w:rFonts w:asciiTheme="minorHAnsi" w:hAnsiTheme="minorHAnsi" w:cstheme="minorHAnsi"/>
        </w:rPr>
        <w:t>gospodarką wodną stanowiącym własność Skarbu Państwa (art. 216 ust. 4); wykonywanie przysługującego Skarbowi Państwa prawa pierwokupu w przypadku sprzedaży nieruchomości obejmującej grunt pod śródlądowymi wodami stojącymi (art. 217 ust. 13); zatwierdzanie w drodze decyzji administracyjnej statutu spółki wodnej (art. 446 ust. 3); sprawowanie nadzoru i kontroli nad działalnością takiej spółki (art. 462).</w:t>
      </w:r>
    </w:p>
    <w:p w14:paraId="606A01D1" w14:textId="77777777" w:rsidR="00116591" w:rsidRPr="00AA1602" w:rsidRDefault="00116591" w:rsidP="003863A0">
      <w:pPr>
        <w:pStyle w:val="Nagwek5"/>
      </w:pPr>
      <w:r w:rsidRPr="00AA1602">
        <w:t>Wójt, burmistrz lub prezydent miasta</w:t>
      </w:r>
    </w:p>
    <w:p w14:paraId="5DD4AA68" w14:textId="7CF1DD33" w:rsidR="00116591" w:rsidRDefault="00116591" w:rsidP="00116591">
      <w:pPr>
        <w:rPr>
          <w:rFonts w:asciiTheme="minorHAnsi" w:hAnsiTheme="minorHAnsi" w:cstheme="minorHAnsi"/>
        </w:rPr>
      </w:pPr>
      <w:r w:rsidRPr="00AA1602">
        <w:rPr>
          <w:rFonts w:asciiTheme="minorHAnsi" w:hAnsiTheme="minorHAnsi" w:cstheme="minorHAnsi"/>
        </w:rPr>
        <w:t xml:space="preserve">Wójt, burmistrz lub prezydent miasta </w:t>
      </w:r>
      <w:r w:rsidR="00BB0E3B">
        <w:rPr>
          <w:rFonts w:asciiTheme="minorHAnsi" w:hAnsiTheme="minorHAnsi" w:cstheme="minorHAnsi"/>
        </w:rPr>
        <w:t>-</w:t>
      </w:r>
      <w:r w:rsidRPr="00AA1602">
        <w:rPr>
          <w:rFonts w:asciiTheme="minorHAnsi" w:hAnsiTheme="minorHAnsi" w:cstheme="minorHAnsi"/>
        </w:rPr>
        <w:t xml:space="preserve"> zgodnie z art. 11a i art. 31 ustawy z dnia 8 marca 1990 r. o</w:t>
      </w:r>
      <w:r w:rsidR="00973271">
        <w:rPr>
          <w:rFonts w:asciiTheme="minorHAnsi" w:hAnsiTheme="minorHAnsi" w:cstheme="minorHAnsi"/>
        </w:rPr>
        <w:t> </w:t>
      </w:r>
      <w:r w:rsidRPr="00AA1602">
        <w:rPr>
          <w:rFonts w:asciiTheme="minorHAnsi" w:hAnsiTheme="minorHAnsi" w:cstheme="minorHAnsi"/>
        </w:rPr>
        <w:t>samorządzie gminnym</w:t>
      </w:r>
      <w:r>
        <w:rPr>
          <w:rFonts w:asciiTheme="minorHAnsi" w:hAnsiTheme="minorHAnsi" w:cstheme="minorHAnsi"/>
        </w:rPr>
        <w:t xml:space="preserve"> </w:t>
      </w:r>
      <w:r w:rsidRPr="00AA1602">
        <w:rPr>
          <w:rFonts w:asciiTheme="minorHAnsi" w:hAnsiTheme="minorHAnsi" w:cstheme="minorHAnsi"/>
        </w:rPr>
        <w:t>(</w:t>
      </w:r>
      <w:r w:rsidR="00B313C6">
        <w:rPr>
          <w:rFonts w:asciiTheme="minorHAnsi" w:hAnsiTheme="minorHAnsi" w:cstheme="minorHAnsi"/>
        </w:rPr>
        <w:t>Dz.U.</w:t>
      </w:r>
      <w:r w:rsidRPr="00AA1602">
        <w:rPr>
          <w:rFonts w:asciiTheme="minorHAnsi" w:hAnsiTheme="minorHAnsi" w:cstheme="minorHAnsi"/>
        </w:rPr>
        <w:t xml:space="preserve"> z 2020 r., poz. 713) </w:t>
      </w:r>
      <w:r w:rsidR="00BB0E3B">
        <w:rPr>
          <w:rFonts w:asciiTheme="minorHAnsi" w:hAnsiTheme="minorHAnsi" w:cstheme="minorHAnsi"/>
        </w:rPr>
        <w:t>-</w:t>
      </w:r>
      <w:r w:rsidRPr="00AA1602">
        <w:rPr>
          <w:rFonts w:asciiTheme="minorHAnsi" w:hAnsiTheme="minorHAnsi" w:cstheme="minorHAnsi"/>
        </w:rPr>
        <w:t xml:space="preserve"> jest organem gminy oraz kieruje bieżącymi sprawami gminy </w:t>
      </w:r>
      <w:r>
        <w:rPr>
          <w:rFonts w:asciiTheme="minorHAnsi" w:hAnsiTheme="minorHAnsi" w:cstheme="minorHAnsi"/>
        </w:rPr>
        <w:t>i</w:t>
      </w:r>
      <w:r w:rsidRPr="00AA1602">
        <w:rPr>
          <w:rFonts w:asciiTheme="minorHAnsi" w:hAnsiTheme="minorHAnsi" w:cstheme="minorHAnsi"/>
        </w:rPr>
        <w:t xml:space="preserve"> reprezentuje ją na zewnątrz. W świetle przepisów </w:t>
      </w:r>
      <w:r w:rsidR="00574864">
        <w:rPr>
          <w:rFonts w:asciiTheme="minorHAnsi" w:hAnsiTheme="minorHAnsi" w:cstheme="minorHAnsi"/>
        </w:rPr>
        <w:t xml:space="preserve">ustawy </w:t>
      </w:r>
      <w:r w:rsidRPr="00AA1602">
        <w:rPr>
          <w:rFonts w:asciiTheme="minorHAnsi" w:hAnsiTheme="minorHAnsi" w:cstheme="minorHAnsi"/>
        </w:rPr>
        <w:t xml:space="preserve">pr.w. gminny organ wykonawczy m. in. przygotowuje projekt uchwały określającej wykaz kąpielisk na terenie gminy lub na polskich obszarach morskich przyległych do danej gminy (art. 37 ust. 8); prowadzi i aktualizuje ewidencję kąpielisk (art. 38 ust. 1); prowadzi i aktualizuje ewidencję miejsc okazjonalnie wykorzystywanych do kąpieli (art. 40 ust. 1); co </w:t>
      </w:r>
      <w:r>
        <w:rPr>
          <w:rFonts w:asciiTheme="minorHAnsi" w:hAnsiTheme="minorHAnsi" w:cstheme="minorHAnsi"/>
        </w:rPr>
        <w:t>dwa</w:t>
      </w:r>
      <w:r w:rsidRPr="00AA1602">
        <w:rPr>
          <w:rFonts w:asciiTheme="minorHAnsi" w:hAnsiTheme="minorHAnsi" w:cstheme="minorHAnsi"/>
        </w:rPr>
        <w:t xml:space="preserve"> lata dokonuje przeglądu obszarów i granic aglomeracji wyznaczonych na podstawie stosownej uchwały rady gminy, i w razie potrzeby informuje radę gminy o konieczności zmiany obszarów i granic aglomeracji (art. 92). Ponadto na mocy art. 223 ust. 2 </w:t>
      </w:r>
      <w:r w:rsidR="00574864">
        <w:rPr>
          <w:rFonts w:asciiTheme="minorHAnsi" w:hAnsiTheme="minorHAnsi" w:cstheme="minorHAnsi"/>
        </w:rPr>
        <w:t xml:space="preserve">ustawy </w:t>
      </w:r>
      <w:r w:rsidRPr="00AA1602">
        <w:rPr>
          <w:rFonts w:asciiTheme="minorHAnsi" w:hAnsiTheme="minorHAnsi" w:cstheme="minorHAnsi"/>
        </w:rPr>
        <w:t>pr.w. właściciel nieruchomości przyległej do wód objętych powszechnym korzystaniem jest obowiązany zapewnić dostęp do wód w sposób umożliwiający to korzystanie. Części nieruchomości umożliwiające dostęp do wód wyznacza wójt, burmistrz lub prezydent miasta, w drodze decyzji.</w:t>
      </w:r>
    </w:p>
    <w:p w14:paraId="429A3ECF" w14:textId="12614BB3" w:rsidR="00116591" w:rsidRPr="00745702" w:rsidRDefault="00116591" w:rsidP="00116591">
      <w:pPr>
        <w:rPr>
          <w:rFonts w:asciiTheme="minorHAnsi" w:hAnsiTheme="minorHAnsi" w:cstheme="minorHAnsi"/>
        </w:rPr>
      </w:pPr>
      <w:r w:rsidRPr="00745702">
        <w:rPr>
          <w:rFonts w:asciiTheme="minorHAnsi" w:hAnsiTheme="minorHAnsi" w:cstheme="minorHAnsi"/>
        </w:rPr>
        <w:t xml:space="preserve">Zgodnie z art. 326 </w:t>
      </w:r>
      <w:r w:rsidR="00574864">
        <w:rPr>
          <w:rFonts w:asciiTheme="minorHAnsi" w:hAnsiTheme="minorHAnsi" w:cstheme="minorHAnsi"/>
        </w:rPr>
        <w:t xml:space="preserve">ustawy </w:t>
      </w:r>
      <w:r w:rsidRPr="00745702">
        <w:rPr>
          <w:rFonts w:asciiTheme="minorHAnsi" w:hAnsiTheme="minorHAnsi" w:cstheme="minorHAnsi"/>
        </w:rPr>
        <w:t>pr.w. ustalenia planu gospodarowania wodami w obszarze dorzecza uwzględnia się w strategii rozwoju ponadlokalnego, strategii rozwoju gminy, studium uwarunkowań i kierunków zagospodarowania przestrzennego gminy oraz w miejscowych planach zagospodarowania przestrzennego.</w:t>
      </w:r>
    </w:p>
    <w:p w14:paraId="14491E23" w14:textId="3254A32D" w:rsidR="0066380E" w:rsidRDefault="00116591" w:rsidP="00116591">
      <w:r w:rsidRPr="00745702">
        <w:rPr>
          <w:rFonts w:asciiTheme="minorHAnsi" w:hAnsiTheme="minorHAnsi" w:cstheme="minorHAnsi"/>
        </w:rPr>
        <w:t xml:space="preserve">Zgodnie z art. 10g ust. 8 </w:t>
      </w:r>
      <w:r w:rsidR="00574864">
        <w:rPr>
          <w:rFonts w:asciiTheme="minorHAnsi" w:hAnsiTheme="minorHAnsi" w:cstheme="minorHAnsi"/>
        </w:rPr>
        <w:t xml:space="preserve">ustawy </w:t>
      </w:r>
      <w:r w:rsidRPr="00745702">
        <w:rPr>
          <w:rFonts w:asciiTheme="minorHAnsi" w:hAnsiTheme="minorHAnsi" w:cstheme="minorHAnsi"/>
        </w:rPr>
        <w:t>u</w:t>
      </w:r>
      <w:r w:rsidR="003916E1">
        <w:rPr>
          <w:rFonts w:asciiTheme="minorHAnsi" w:hAnsiTheme="minorHAnsi" w:cstheme="minorHAnsi"/>
        </w:rPr>
        <w:t>.</w:t>
      </w:r>
      <w:r w:rsidRPr="00745702">
        <w:rPr>
          <w:rFonts w:asciiTheme="minorHAnsi" w:hAnsiTheme="minorHAnsi" w:cstheme="minorHAnsi"/>
        </w:rPr>
        <w:t>s</w:t>
      </w:r>
      <w:r w:rsidR="003916E1">
        <w:rPr>
          <w:rFonts w:asciiTheme="minorHAnsi" w:hAnsiTheme="minorHAnsi" w:cstheme="minorHAnsi"/>
        </w:rPr>
        <w:t>.</w:t>
      </w:r>
      <w:r w:rsidRPr="00745702">
        <w:rPr>
          <w:rFonts w:asciiTheme="minorHAnsi" w:hAnsiTheme="minorHAnsi" w:cstheme="minorHAnsi"/>
        </w:rPr>
        <w:t>g</w:t>
      </w:r>
      <w:r w:rsidR="003916E1">
        <w:rPr>
          <w:rFonts w:asciiTheme="minorHAnsi" w:hAnsiTheme="minorHAnsi" w:cstheme="minorHAnsi"/>
        </w:rPr>
        <w:t>.</w:t>
      </w:r>
      <w:r w:rsidRPr="00745702">
        <w:rPr>
          <w:rFonts w:asciiTheme="minorHAnsi" w:hAnsiTheme="minorHAnsi" w:cstheme="minorHAnsi"/>
        </w:rPr>
        <w:t xml:space="preserve"> strategia rozwoju ponadlokalnego opracowana przez porozumienie międzygminne jest przyjmowana przez właściwe rady gmin i obowiązuje od dnia jej przyjęcia przez ostatnią radę gminy. Na mocy art. 10f ust. 4 </w:t>
      </w:r>
      <w:r w:rsidR="00574864">
        <w:rPr>
          <w:rFonts w:asciiTheme="minorHAnsi" w:hAnsiTheme="minorHAnsi" w:cstheme="minorHAnsi"/>
        </w:rPr>
        <w:t xml:space="preserve">ustawy </w:t>
      </w:r>
      <w:r w:rsidRPr="00745702">
        <w:rPr>
          <w:rFonts w:asciiTheme="minorHAnsi" w:hAnsiTheme="minorHAnsi" w:cstheme="minorHAnsi"/>
        </w:rPr>
        <w:t>u</w:t>
      </w:r>
      <w:r w:rsidR="003916E1">
        <w:rPr>
          <w:rFonts w:asciiTheme="minorHAnsi" w:hAnsiTheme="minorHAnsi" w:cstheme="minorHAnsi"/>
        </w:rPr>
        <w:t>.</w:t>
      </w:r>
      <w:r w:rsidRPr="00745702">
        <w:rPr>
          <w:rFonts w:asciiTheme="minorHAnsi" w:hAnsiTheme="minorHAnsi" w:cstheme="minorHAnsi"/>
        </w:rPr>
        <w:t>s</w:t>
      </w:r>
      <w:r w:rsidR="003916E1">
        <w:rPr>
          <w:rFonts w:asciiTheme="minorHAnsi" w:hAnsiTheme="minorHAnsi" w:cstheme="minorHAnsi"/>
        </w:rPr>
        <w:t>.</w:t>
      </w:r>
      <w:r w:rsidRPr="00745702">
        <w:rPr>
          <w:rFonts w:asciiTheme="minorHAnsi" w:hAnsiTheme="minorHAnsi" w:cstheme="minorHAnsi"/>
        </w:rPr>
        <w:t>g</w:t>
      </w:r>
      <w:r w:rsidR="003916E1">
        <w:rPr>
          <w:rFonts w:asciiTheme="minorHAnsi" w:hAnsiTheme="minorHAnsi" w:cstheme="minorHAnsi"/>
        </w:rPr>
        <w:t>.</w:t>
      </w:r>
      <w:r w:rsidRPr="00745702">
        <w:rPr>
          <w:rFonts w:asciiTheme="minorHAnsi" w:hAnsiTheme="minorHAnsi" w:cstheme="minorHAnsi"/>
        </w:rPr>
        <w:t xml:space="preserve"> strategia rozwoju gminy jest przyjmowana przez radę gminy w</w:t>
      </w:r>
      <w:r w:rsidR="00973271">
        <w:rPr>
          <w:rFonts w:asciiTheme="minorHAnsi" w:hAnsiTheme="minorHAnsi" w:cstheme="minorHAnsi"/>
        </w:rPr>
        <w:t> </w:t>
      </w:r>
      <w:r w:rsidRPr="00745702">
        <w:rPr>
          <w:rFonts w:asciiTheme="minorHAnsi" w:hAnsiTheme="minorHAnsi" w:cstheme="minorHAnsi"/>
        </w:rPr>
        <w:t>drodze uchwały.</w:t>
      </w:r>
    </w:p>
    <w:p w14:paraId="4ED4203C" w14:textId="0F42F59D" w:rsidR="002E5C96" w:rsidRPr="002E5C96" w:rsidRDefault="002E5C96" w:rsidP="002E5C96">
      <w:r>
        <w:br w:type="page"/>
      </w:r>
    </w:p>
    <w:p w14:paraId="1D43FE07" w14:textId="73DB1A0C" w:rsidR="002E5C96" w:rsidRDefault="002E5C96" w:rsidP="00B50FFD">
      <w:pPr>
        <w:pStyle w:val="Nagwek1"/>
      </w:pPr>
      <w:bookmarkStart w:id="589" w:name="_Toc51050180"/>
      <w:bookmarkStart w:id="590" w:name="_Toc68726938"/>
      <w:r>
        <w:t>Współpraca międzynarodowa</w:t>
      </w:r>
      <w:bookmarkEnd w:id="590"/>
    </w:p>
    <w:p w14:paraId="38FB8443" w14:textId="77777777" w:rsidR="003F637C" w:rsidRPr="003863A0" w:rsidRDefault="003F637C" w:rsidP="003863A0">
      <w:pPr>
        <w:pStyle w:val="Nagwek5"/>
      </w:pPr>
      <w:r w:rsidRPr="003863A0">
        <w:t>Podsumowanie współpracy w zakresie wód transgranicznych z sąsiednimi państwami</w:t>
      </w:r>
    </w:p>
    <w:p w14:paraId="240DE0CC" w14:textId="77777777" w:rsidR="003F637C" w:rsidRPr="003863A0" w:rsidRDefault="003F637C" w:rsidP="003863A0">
      <w:pPr>
        <w:pStyle w:val="Nagwek5"/>
      </w:pPr>
      <w:r w:rsidRPr="003863A0">
        <w:t>Podstawy prawne</w:t>
      </w:r>
    </w:p>
    <w:p w14:paraId="4375BF83" w14:textId="0D80A214" w:rsidR="003F637C" w:rsidRPr="005F10B6" w:rsidRDefault="003F637C" w:rsidP="00B573C3">
      <w:pPr>
        <w:rPr>
          <w:rFonts w:asciiTheme="minorHAnsi" w:hAnsiTheme="minorHAnsi" w:cstheme="minorHAnsi"/>
        </w:rPr>
      </w:pPr>
      <w:r w:rsidRPr="005F10B6">
        <w:t xml:space="preserve">Zobowiązania państw członkowskich Unii Europejskiej w zakresie współpracy międzynarodowej na wodach transgranicznych określa art. 3 </w:t>
      </w:r>
      <w:r>
        <w:rPr>
          <w:rFonts w:asciiTheme="minorHAnsi" w:hAnsiTheme="minorHAnsi" w:cstheme="minorHAnsi"/>
        </w:rPr>
        <w:t>RDW</w:t>
      </w:r>
      <w:r w:rsidRPr="005F10B6">
        <w:rPr>
          <w:rFonts w:asciiTheme="minorHAnsi" w:hAnsiTheme="minorHAnsi" w:cstheme="minorHAnsi"/>
        </w:rPr>
        <w:t>, dotyczący koordynacji uzgodnień administracyjnych w</w:t>
      </w:r>
      <w:r w:rsidR="00DA026A">
        <w:rPr>
          <w:rFonts w:asciiTheme="minorHAnsi" w:hAnsiTheme="minorHAnsi" w:cstheme="minorHAnsi"/>
        </w:rPr>
        <w:t> </w:t>
      </w:r>
      <w:r w:rsidRPr="005F10B6">
        <w:rPr>
          <w:rFonts w:asciiTheme="minorHAnsi" w:hAnsiTheme="minorHAnsi" w:cstheme="minorHAnsi"/>
        </w:rPr>
        <w:t xml:space="preserve">obszarach dorzeczy. Najistotniejszą kwestią wynikającą z ww. przepisów jest określenie pojedynczych dorzeczy leżących na terytorium danego państwa oraz przydzielenie ich do określonych obszarów dorzeczy. Jeśli </w:t>
      </w:r>
      <w:r w:rsidR="00AD77D9">
        <w:rPr>
          <w:rFonts w:asciiTheme="minorHAnsi" w:hAnsiTheme="minorHAnsi" w:cstheme="minorHAnsi"/>
        </w:rPr>
        <w:t xml:space="preserve">obszar </w:t>
      </w:r>
      <w:r w:rsidRPr="005F10B6">
        <w:rPr>
          <w:rFonts w:asciiTheme="minorHAnsi" w:hAnsiTheme="minorHAnsi" w:cstheme="minorHAnsi"/>
        </w:rPr>
        <w:t>dorzecz</w:t>
      </w:r>
      <w:r w:rsidR="00AD77D9">
        <w:rPr>
          <w:rFonts w:asciiTheme="minorHAnsi" w:hAnsiTheme="minorHAnsi" w:cstheme="minorHAnsi"/>
        </w:rPr>
        <w:t>a</w:t>
      </w:r>
      <w:r w:rsidRPr="005F10B6">
        <w:rPr>
          <w:rFonts w:asciiTheme="minorHAnsi" w:hAnsiTheme="minorHAnsi" w:cstheme="minorHAnsi"/>
        </w:rPr>
        <w:t xml:space="preserve"> obejmuje terytorium więcej niż jednego państwa członkowskiego Unii Europejskiej przydzielone jest ono do międzynarodowego obszaru dorzecza.</w:t>
      </w:r>
    </w:p>
    <w:p w14:paraId="1740D06C" w14:textId="77777777" w:rsidR="003F637C" w:rsidRPr="005F10B6" w:rsidRDefault="003F637C" w:rsidP="00B573C3">
      <w:pPr>
        <w:rPr>
          <w:rFonts w:asciiTheme="minorHAnsi" w:hAnsiTheme="minorHAnsi" w:cstheme="minorHAnsi"/>
        </w:rPr>
      </w:pPr>
      <w:r w:rsidRPr="005F10B6">
        <w:t>Państwa członkowskie Unii Europejskiej zapewniają na swoim terytorium odpowiednie uzgodnienia administracyjne oraz określają właściwe władze, w celu zastosowania zasad RDW na całym międzynarodowym obszarze dorzecza. Aby zagwarantować optymalne warunki do osiągnięcia celów środowiskowych RDW, ustalonych na mocy art. 4, państwa członkowskie Unii Europejskiej koordynują działania na poziomie obszaru dorzecza. W przypadku międzynarodowego obszaru dorzecza, również gdy wykracza on poza terytorium Unii Europejskiej, wszystkie państwa leżące w jego obrębie starają się zapewnić koordynację działań dla całego obszaru dorzecza. W tym celu państwa członkowskie Unii Europejskiej mogą wykorzystać istniejące struktury wynikające z umów międzynarodowych.</w:t>
      </w:r>
    </w:p>
    <w:p w14:paraId="2C886BD1" w14:textId="77777777" w:rsidR="003F637C" w:rsidRPr="005F10B6" w:rsidRDefault="003F637C" w:rsidP="00B573C3">
      <w:pPr>
        <w:rPr>
          <w:rFonts w:asciiTheme="minorHAnsi" w:hAnsiTheme="minorHAnsi" w:cstheme="minorHAnsi"/>
        </w:rPr>
      </w:pPr>
      <w:r w:rsidRPr="005F10B6">
        <w:t xml:space="preserve">Przepisy RDW odnoszące się do współpracy międzynarodowej na wodach transgranicznych zostały transponowane do ustawodawstwa polskiego w szczególności za pomocą art. 320 ustawy </w:t>
      </w:r>
      <w:r>
        <w:rPr>
          <w:rFonts w:asciiTheme="minorHAnsi" w:hAnsiTheme="minorHAnsi" w:cstheme="minorHAnsi"/>
        </w:rPr>
        <w:t>pr.w</w:t>
      </w:r>
      <w:r w:rsidRPr="005F10B6">
        <w:rPr>
          <w:rFonts w:asciiTheme="minorHAnsi" w:hAnsiTheme="minorHAnsi" w:cstheme="minorHAnsi"/>
        </w:rPr>
        <w:t xml:space="preserve">. </w:t>
      </w:r>
    </w:p>
    <w:p w14:paraId="089D0DB1" w14:textId="77777777" w:rsidR="003F637C" w:rsidRPr="003863A0" w:rsidRDefault="003F637C" w:rsidP="003863A0">
      <w:pPr>
        <w:pStyle w:val="Nagwek5"/>
      </w:pPr>
      <w:r w:rsidRPr="003863A0">
        <w:t xml:space="preserve">Charakterystyka międzynarodowego obszaru dorzecza Pregoły </w:t>
      </w:r>
    </w:p>
    <w:p w14:paraId="0C22EDD6" w14:textId="77777777" w:rsidR="003F637C" w:rsidRPr="005F10B6" w:rsidRDefault="003F637C" w:rsidP="00B573C3">
      <w:pPr>
        <w:rPr>
          <w:rFonts w:asciiTheme="minorHAnsi" w:hAnsiTheme="minorHAnsi" w:cstheme="minorHAnsi"/>
        </w:rPr>
      </w:pPr>
      <w:r w:rsidRPr="005F10B6">
        <w:t xml:space="preserve">Obszar Dorzecza Pregoły </w:t>
      </w:r>
      <w:r w:rsidRPr="005F10B6">
        <w:rPr>
          <w:rFonts w:asciiTheme="minorHAnsi" w:hAnsiTheme="minorHAnsi" w:cstheme="minorHAnsi"/>
        </w:rPr>
        <w:t>znajduje się na terytorium dwóch państw, tj.:</w:t>
      </w:r>
    </w:p>
    <w:p w14:paraId="330AD680" w14:textId="0BAB4AE6" w:rsidR="003F637C" w:rsidRPr="005F10B6" w:rsidRDefault="003F637C" w:rsidP="00F06393">
      <w:pPr>
        <w:pStyle w:val="Akapitzlist"/>
      </w:pPr>
      <w:r w:rsidRPr="005F10B6">
        <w:t>Rzeczpospolita Polsk</w:t>
      </w:r>
      <w:r w:rsidR="00B573C3">
        <w:t>a</w:t>
      </w:r>
    </w:p>
    <w:p w14:paraId="41D3C956" w14:textId="0EF45C67" w:rsidR="003F637C" w:rsidRPr="005F10B6" w:rsidRDefault="003F637C" w:rsidP="00F06393">
      <w:pPr>
        <w:pStyle w:val="Akapitzlist"/>
      </w:pPr>
      <w:r w:rsidRPr="005F10B6">
        <w:t>Federacja Rosyjska</w:t>
      </w:r>
    </w:p>
    <w:p w14:paraId="47730DCF" w14:textId="6EB3F0E6" w:rsidR="003F637C" w:rsidRPr="005F10B6" w:rsidRDefault="003F637C" w:rsidP="00B573C3">
      <w:r w:rsidRPr="005F10B6">
        <w:t>Powierzchnia</w:t>
      </w:r>
      <w:r w:rsidR="00A565BC">
        <w:t xml:space="preserve"> </w:t>
      </w:r>
      <w:r w:rsidRPr="005F10B6">
        <w:t>obszaru</w:t>
      </w:r>
      <w:r w:rsidR="00A565BC">
        <w:t xml:space="preserve"> </w:t>
      </w:r>
      <w:r w:rsidRPr="005F10B6">
        <w:t>dorzecza</w:t>
      </w:r>
      <w:r w:rsidR="00A565BC">
        <w:t xml:space="preserve"> </w:t>
      </w:r>
      <w:r w:rsidRPr="005F10B6">
        <w:t>Pregoły</w:t>
      </w:r>
      <w:r w:rsidR="00A565BC">
        <w:t xml:space="preserve"> </w:t>
      </w:r>
      <w:r w:rsidRPr="005F10B6">
        <w:t>w</w:t>
      </w:r>
      <w:r w:rsidR="00A565BC">
        <w:t xml:space="preserve"> </w:t>
      </w:r>
      <w:r w:rsidRPr="005F10B6">
        <w:t>granicach</w:t>
      </w:r>
      <w:r w:rsidR="00A565BC">
        <w:t xml:space="preserve"> </w:t>
      </w:r>
      <w:r w:rsidRPr="005F10B6">
        <w:t>Polski wynosi 7522 km</w:t>
      </w:r>
      <w:r w:rsidRPr="005F10B6">
        <w:rPr>
          <w:vertAlign w:val="superscript"/>
        </w:rPr>
        <w:t>2</w:t>
      </w:r>
      <w:r w:rsidRPr="005F10B6">
        <w:t>, co stanowi ok. 2,5% powierzchni kraju. i ok. 48% całkowitej powierzchni tego obszaru dorzecza. W granicach Polski część obszaru dorzecza stanowi region wodny Łyny i Węgorapy. Głównymi ciekami regionu jestŁyna (ok. 208 km) oraz Węgorapa (ok. 66 km) - dopływy Pregoły, stanowiącej najdłuższą</w:t>
      </w:r>
      <w:r w:rsidR="00A565BC">
        <w:t xml:space="preserve"> </w:t>
      </w:r>
      <w:r w:rsidRPr="005F10B6">
        <w:t>rzekę</w:t>
      </w:r>
      <w:r w:rsidR="00A565BC">
        <w:t xml:space="preserve"> </w:t>
      </w:r>
      <w:r w:rsidRPr="005F10B6">
        <w:t>obwodu</w:t>
      </w:r>
      <w:r w:rsidR="00A565BC">
        <w:t xml:space="preserve"> </w:t>
      </w:r>
      <w:r w:rsidRPr="005F10B6">
        <w:t>kaliningradzkiego, która uchodzi do Zalewu Wiślanego. Obszar regionu wodnego Łyny i Węgorapy charakteryzuje duża liczba jezior. Do największych należy zaliczyć: Dargin, Mamry, Kisajno, Dobskie, Łańskie.</w:t>
      </w:r>
    </w:p>
    <w:p w14:paraId="23E59B7D" w14:textId="77777777" w:rsidR="003F637C" w:rsidRPr="003863A0" w:rsidRDefault="003F637C" w:rsidP="003863A0">
      <w:pPr>
        <w:pStyle w:val="Nagwek5"/>
      </w:pPr>
      <w:r w:rsidRPr="003863A0">
        <w:t>Umowy o współpracy w międzynarodowym obszarze dorzecza Pregoły</w:t>
      </w:r>
    </w:p>
    <w:p w14:paraId="3A8AC35B" w14:textId="1083E90C" w:rsidR="003F637C" w:rsidRPr="005F10B6" w:rsidRDefault="003F637C" w:rsidP="00B573C3">
      <w:pPr>
        <w:rPr>
          <w:rFonts w:asciiTheme="minorHAnsi" w:hAnsiTheme="minorHAnsi" w:cstheme="minorHAnsi"/>
        </w:rPr>
      </w:pPr>
      <w:r w:rsidRPr="005F10B6">
        <w:t xml:space="preserve">Formalnie w </w:t>
      </w:r>
      <w:r w:rsidR="00E80580">
        <w:t xml:space="preserve">obszarze </w:t>
      </w:r>
      <w:r w:rsidRPr="005F10B6">
        <w:t>dorzecz</w:t>
      </w:r>
      <w:r w:rsidR="00E80580">
        <w:t>a</w:t>
      </w:r>
      <w:r w:rsidRPr="005F10B6">
        <w:t xml:space="preserve"> Pregoły Polskę obowiązuje umowa dwustronna o współpracy na wodach transgranicznych ze stroną rosyjską, jednakże w praktyce strona rosyjska nie jest zainteresowana realizacją tego porozumienia. Rzeczypospolita Polska jest także sygnatariuszem Konwencji o ochronie środowiska morskiego obszaru Morza Bałtyckiego.</w:t>
      </w:r>
    </w:p>
    <w:p w14:paraId="787555B1" w14:textId="77777777" w:rsidR="003F637C" w:rsidRPr="003863A0" w:rsidRDefault="003F637C" w:rsidP="003863A0">
      <w:pPr>
        <w:pStyle w:val="Nagwek5"/>
      </w:pPr>
      <w:r w:rsidRPr="003863A0">
        <w:t>Współpraca z Federacją Rosyjską</w:t>
      </w:r>
    </w:p>
    <w:p w14:paraId="48656D1F" w14:textId="7C6EA716" w:rsidR="003F637C" w:rsidRPr="005F10B6" w:rsidRDefault="003F637C" w:rsidP="00B573C3">
      <w:pPr>
        <w:rPr>
          <w:rFonts w:asciiTheme="minorHAnsi" w:hAnsiTheme="minorHAnsi" w:cstheme="minorHAnsi"/>
        </w:rPr>
      </w:pPr>
      <w:r w:rsidRPr="005F10B6">
        <w:t xml:space="preserve">Podstawę współpracy Rzeczypospolitej Polskiej z Federacją Rosyjską w dziedzinie gospodarki wodnej w </w:t>
      </w:r>
      <w:r w:rsidR="00E80580">
        <w:t xml:space="preserve">obszarze </w:t>
      </w:r>
      <w:r w:rsidRPr="005F10B6">
        <w:t>dorzecz</w:t>
      </w:r>
      <w:r w:rsidR="00E80580">
        <w:t>a</w:t>
      </w:r>
      <w:r w:rsidRPr="005F10B6">
        <w:t xml:space="preserve"> Pregoły stanowi </w:t>
      </w:r>
      <w:r w:rsidRPr="005F10B6">
        <w:rPr>
          <w:rFonts w:asciiTheme="minorHAnsi" w:hAnsiTheme="minorHAnsi" w:cstheme="minorHAnsi"/>
          <w:i/>
        </w:rPr>
        <w:t>Porozumienie między Rządem Polskiej Rzeczypospolitej Ludowej a Rządem Związku Socjalistycznych Republik Radzieckich o gospodarce wodnej na wodach granicznych</w:t>
      </w:r>
      <w:r w:rsidRPr="005F10B6">
        <w:rPr>
          <w:rFonts w:asciiTheme="minorHAnsi" w:hAnsiTheme="minorHAnsi" w:cstheme="minorHAnsi"/>
        </w:rPr>
        <w:t>, sporządzone w Warszawie, w dniu 17 lipca 1964 r. Porozumienie to obowiązuje na zasadzie sukcesji i</w:t>
      </w:r>
      <w:r w:rsidR="00DA026A">
        <w:rPr>
          <w:rFonts w:asciiTheme="minorHAnsi" w:hAnsiTheme="minorHAnsi" w:cstheme="minorHAnsi"/>
        </w:rPr>
        <w:t> </w:t>
      </w:r>
      <w:r w:rsidRPr="005F10B6">
        <w:rPr>
          <w:rFonts w:asciiTheme="minorHAnsi" w:hAnsiTheme="minorHAnsi" w:cstheme="minorHAnsi"/>
        </w:rPr>
        <w:t xml:space="preserve">podlega automatycznemu przedłużaniu o kolejne pięcioletnie okresy, jednakże wdrażanie ww. porozumienia jest niewystarczające i niezadowalające, gdyż strona rosyjska nie wykazuje praktycznego zainteresowania jego realizacją. Problemy notowane na polsko-rosyjskich wodach granicznych dotyczą m.in. szkód powodowanych przez zatamowanie swobodnego przepływu wód, czego wynikiem jest czasowe podtapianie niektórych pól po stronie polskiej. </w:t>
      </w:r>
    </w:p>
    <w:p w14:paraId="761827FC" w14:textId="77777777" w:rsidR="003F637C" w:rsidRPr="005F10B6" w:rsidRDefault="003F637C" w:rsidP="00B573C3">
      <w:pPr>
        <w:rPr>
          <w:rFonts w:asciiTheme="minorHAnsi" w:hAnsiTheme="minorHAnsi" w:cstheme="minorHAnsi"/>
        </w:rPr>
      </w:pPr>
      <w:r w:rsidRPr="005F10B6">
        <w:t>Aktualnie współpraca ze stroną rosyjską w zakresie wód transgranicznych wymaga ponownego sformalizowania, ustanowienia nowych ram prawnych i organów współpracy. Od 1992 r. podejmowano rozmowy w sprawie uzgodnienia nowego porozumienia międzyrządowego, niestety negocjacje nie powiodły się i w rezultacie zostały zawieszone, z uwagi na brak zgody strony rosyjskiej na objęcie umową morskich wód granicznych.</w:t>
      </w:r>
    </w:p>
    <w:p w14:paraId="17C2D3B4" w14:textId="77777777" w:rsidR="003F637C" w:rsidRPr="005F10B6" w:rsidRDefault="003F637C" w:rsidP="00B573C3">
      <w:pPr>
        <w:rPr>
          <w:rFonts w:asciiTheme="minorHAnsi" w:hAnsiTheme="minorHAnsi" w:cstheme="minorHAnsi"/>
        </w:rPr>
      </w:pPr>
      <w:r w:rsidRPr="005F10B6">
        <w:t>W chwili obecnej konieczne jest rozpoczęcie negocjacji nowego tekstu umowy. Istnieje potrzeba podjęcia realnej współpracy w zakresie ochrony wód transgranicznych, melioracji terenów przygranicznych, ochrony rezerwatów wodnych w strefie przygranicznej, opracowania i podjęcia realizacji wspólnych planów gospodarki wodnej na wodach granicznych, zorganizowania wspólnego systemu zapobiegania nadzwyczajnym zanieczyszczeniom na wodach granicznych i zwalczania ich oraz zapewnienia konsultacji i ocen oddziaływania na środowisko przedsięwzięć mających wpływ na zasoby wód granicznych. Zawiązanie takiej współpracy przyczynić się może nie tylko do stworzenia systemu rozwiązywania istotnych problemów na terenach przygranicznych, ale także do rozwoju tych terenów.</w:t>
      </w:r>
    </w:p>
    <w:p w14:paraId="28405C43" w14:textId="77777777" w:rsidR="003F637C" w:rsidRPr="005F10B6" w:rsidRDefault="003F637C" w:rsidP="00B573C3">
      <w:pPr>
        <w:rPr>
          <w:rFonts w:asciiTheme="minorHAnsi" w:hAnsiTheme="minorHAnsi" w:cstheme="minorHAnsi"/>
        </w:rPr>
      </w:pPr>
      <w:r w:rsidRPr="005F10B6">
        <w:t xml:space="preserve">Zainicjowanie rozmów ze stroną rosyjską na tematy współpracy na wodach transgranicznych wymaga przede wszystkim przygotowania na gruncie dyplomatycznym i politycznym, przez właściwe służby podlegające ministrowi ds. zagranicznych. Bez odpowiedniej podstawy jaką są właściwe stosunki międzynarodowe nie jest możliwe rozpoczęcie rozmów mających na celu podpisanie międzyrządowej umowy o współpracy na wodach transgranicznych. </w:t>
      </w:r>
    </w:p>
    <w:p w14:paraId="48202ED6" w14:textId="0B2AC03C" w:rsidR="003F637C" w:rsidRPr="005F10B6" w:rsidRDefault="003F637C" w:rsidP="00B573C3">
      <w:pPr>
        <w:rPr>
          <w:rFonts w:asciiTheme="minorHAnsi" w:hAnsiTheme="minorHAnsi" w:cstheme="minorHAnsi"/>
        </w:rPr>
      </w:pPr>
      <w:r w:rsidRPr="005F10B6">
        <w:t xml:space="preserve">Do czasu uzgodnienia i podpisania umowy polsko </w:t>
      </w:r>
      <w:r w:rsidR="00442AB7">
        <w:t>-</w:t>
      </w:r>
      <w:r w:rsidRPr="005F10B6">
        <w:t xml:space="preserve"> rosyjskiej, rolę platformy do planowania działań na wodach transgranicznych w polsko </w:t>
      </w:r>
      <w:r w:rsidR="00442AB7">
        <w:t>-</w:t>
      </w:r>
      <w:r w:rsidRPr="005F10B6">
        <w:t xml:space="preserve"> rosyjskiej strefie przygranicznej mogą stanowić umowy międzynarodowe. Zarówno Rzeczypospolita Polska, jak i Rosja są stronami innych umów międzynarodowych, np. Konwencji o ochronie i użytkowaniu cieków transgranicznych i jezior międzynarodowych (Dz.U. 2003 nr 78 poz. 702), czy Konwencji o ochronie środowiska morskiego obszaru Morza Bałtyckiego (Dz.U. 2000 nr 28 poz. 346).</w:t>
      </w:r>
    </w:p>
    <w:p w14:paraId="15B19FF0" w14:textId="3D388C33" w:rsidR="003F637C" w:rsidRPr="005F10B6" w:rsidRDefault="003F637C" w:rsidP="00B573C3">
      <w:pPr>
        <w:rPr>
          <w:rFonts w:asciiTheme="minorHAnsi" w:hAnsiTheme="minorHAnsi" w:cstheme="minorHAnsi"/>
        </w:rPr>
      </w:pPr>
      <w:r w:rsidRPr="005F10B6">
        <w:rPr>
          <w:lang w:val="en-US"/>
        </w:rPr>
        <w:t xml:space="preserve">Przykładem współpracy realizowanej poza ramami umowy dwustronnej jest projekt </w:t>
      </w:r>
      <w:r w:rsidRPr="005F10B6">
        <w:rPr>
          <w:rFonts w:asciiTheme="minorHAnsi" w:hAnsiTheme="minorHAnsi" w:cstheme="minorHAnsi"/>
          <w:i/>
          <w:lang w:val="en-US"/>
        </w:rPr>
        <w:t xml:space="preserve">„Integrated Drought Management Programme in Central and Eastern Europe activity 1.4 Development of GIS Based Communication Technology Platform for the Sustainable Management of Transboundary Water Resources in Lithuania, Poland and Kaliningrad Region (Russia)”. </w:t>
      </w:r>
      <w:r w:rsidRPr="005F10B6">
        <w:rPr>
          <w:rFonts w:asciiTheme="minorHAnsi" w:hAnsiTheme="minorHAnsi" w:cstheme="minorHAnsi"/>
        </w:rPr>
        <w:t xml:space="preserve">Projekt polegał na przeglądzie istniejących, publicznie dostępnych danych GIS związanych z gospodarowaniem wodą w </w:t>
      </w:r>
      <w:r w:rsidR="00E80580">
        <w:rPr>
          <w:rFonts w:asciiTheme="minorHAnsi" w:hAnsiTheme="minorHAnsi" w:cstheme="minorHAnsi"/>
        </w:rPr>
        <w:t xml:space="preserve">obszarze </w:t>
      </w:r>
      <w:r w:rsidRPr="005F10B6">
        <w:rPr>
          <w:rFonts w:asciiTheme="minorHAnsi" w:hAnsiTheme="minorHAnsi" w:cstheme="minorHAnsi"/>
        </w:rPr>
        <w:t>dorzecz</w:t>
      </w:r>
      <w:r w:rsidR="00E80580">
        <w:rPr>
          <w:rFonts w:asciiTheme="minorHAnsi" w:hAnsiTheme="minorHAnsi" w:cstheme="minorHAnsi"/>
        </w:rPr>
        <w:t>a</w:t>
      </w:r>
      <w:r w:rsidRPr="005F10B6">
        <w:rPr>
          <w:rFonts w:asciiTheme="minorHAnsi" w:hAnsiTheme="minorHAnsi" w:cstheme="minorHAnsi"/>
        </w:rPr>
        <w:t xml:space="preserve"> rzeki Pregoły oraz udziale w tworzeniu wspólnej bazy danych dla dorzecza Niemna i Pregoły.</w:t>
      </w:r>
    </w:p>
    <w:p w14:paraId="5A5165A5" w14:textId="7AFF94E9" w:rsidR="003F637C" w:rsidRPr="003863A0" w:rsidRDefault="003F637C" w:rsidP="003863A0">
      <w:pPr>
        <w:pStyle w:val="Nagwek5"/>
      </w:pPr>
      <w:r w:rsidRPr="003863A0">
        <w:t>Współpraca na rzecz ochrony środowiska morskiego Morza Bałtyckiego</w:t>
      </w:r>
    </w:p>
    <w:p w14:paraId="7FB55244" w14:textId="09B4947C" w:rsidR="003F637C" w:rsidRPr="005F10B6" w:rsidRDefault="003F637C" w:rsidP="00B573C3">
      <w:pPr>
        <w:rPr>
          <w:rFonts w:asciiTheme="minorHAnsi" w:hAnsiTheme="minorHAnsi" w:cstheme="minorHAnsi"/>
        </w:rPr>
      </w:pPr>
      <w:r w:rsidRPr="005F10B6">
        <w:t>Komisja Ochrony Środowiska Morskiego Bałtyku (Komisja Helsińska, HELCOM) jest organizacją międzynarodową powołaną w ramach Konwencji o ochronie środowiska morskiego obszaru Morza Bałtyckiego z 1974 r. Sygnatariuszami Konwencji Helsińskiej są wszystkie państwa położone w obrębie basenu Morza Bałtyckiego: Dania, Estonia, Finlandia, Niemcy, Łotwa, Litwa, Polska, Rosja, Szwecja, a</w:t>
      </w:r>
      <w:r w:rsidR="00DA026A">
        <w:t> </w:t>
      </w:r>
      <w:r w:rsidRPr="005F10B6">
        <w:t>także Unia Europejska. Celem Konwencji jest ochrona środowiska morskiego Bałtyku - wód, dna, zasobów żywych - przed zanieczyszczeniami ze wszystkich źródeł - z lądu, działalności morskiej i</w:t>
      </w:r>
      <w:r w:rsidR="00DA026A">
        <w:t> </w:t>
      </w:r>
      <w:r w:rsidRPr="005F10B6">
        <w:t xml:space="preserve">atmosfery. Konwencja Helsińska została ratyfikowana przez Polskę 8 października 1999 r., </w:t>
      </w:r>
      <w:r w:rsidRPr="005F10B6">
        <w:br/>
        <w:t xml:space="preserve">a następnie weszła w życie 17 stycznia 2000 r. </w:t>
      </w:r>
    </w:p>
    <w:p w14:paraId="6A21E70C" w14:textId="79146180" w:rsidR="003F637C" w:rsidRPr="005F10B6" w:rsidRDefault="003F637C" w:rsidP="00B573C3">
      <w:pPr>
        <w:rPr>
          <w:rFonts w:asciiTheme="minorHAnsi" w:hAnsiTheme="minorHAnsi" w:cstheme="minorHAnsi"/>
        </w:rPr>
      </w:pPr>
      <w:r w:rsidRPr="005F10B6">
        <w:t>Członkostwo Polski w Komisji Helsińskiej wiąże się z udziałem w pracach poszczególnych grup roboczych, eksperckich, korespondencyjnych oraz projektach HELCOM, sporządzaniem opracowań i ekspertyz, a także przekazywaniem informacji o stanie środowiska i zanieczyszczeniach zrzucanych do morza. Dane te są następnie analizowane i na ich podstawie opracowywane są zalecenia skierowane do państw członkowskich, zobowiązujące je do działań, mających na celu ochronę obszaru Morza Bałtyckiego. Państwa-strony wprowadzają zalecenia Komisji Helsińskiej w postaci odpowiednich działań prawno-administracyjnych, inwestycyjnych, edukacyjno-szkoleniowych, kontrolnych, monitoringowych i innych. HELCOM jednomyślnie przyjmuje zalecenia odnośnie ochrony środowiska morskiego Morza Bałtyckiego, które to następnie powinny znaleźć swoje odzwierciedlenie w</w:t>
      </w:r>
      <w:r w:rsidR="00DA026A">
        <w:t> </w:t>
      </w:r>
      <w:r w:rsidRPr="005F10B6">
        <w:t>programach krajowych oraz legislacji państw-stron Konwencji. Działania podejmowane w ramach HELCOM dotyczą zarówno wód morskich, jak również całej zlewni Morza Bałtyckiego, do której należy 99,7% powierzchni Polski.</w:t>
      </w:r>
    </w:p>
    <w:p w14:paraId="31A9AA60" w14:textId="77777777" w:rsidR="003F637C" w:rsidRPr="005F10B6" w:rsidRDefault="003F637C" w:rsidP="00B573C3">
      <w:pPr>
        <w:rPr>
          <w:rFonts w:asciiTheme="minorHAnsi" w:hAnsiTheme="minorHAnsi" w:cstheme="minorHAnsi"/>
          <w:b/>
        </w:rPr>
      </w:pPr>
      <w:r w:rsidRPr="00B573C3">
        <w:rPr>
          <w:rStyle w:val="Pogrubienie"/>
          <w:u w:val="single"/>
        </w:rPr>
        <w:t xml:space="preserve">Komisja Helsińska jako organ wykonawczy funkcjonuje w oparciu o pięć grup stałych: </w:t>
      </w:r>
    </w:p>
    <w:p w14:paraId="54F9F7BF" w14:textId="77777777" w:rsidR="003F637C" w:rsidRPr="005F10B6" w:rsidRDefault="003F637C" w:rsidP="00AA3506">
      <w:pPr>
        <w:pStyle w:val="Numerowanie"/>
        <w:numPr>
          <w:ilvl w:val="0"/>
          <w:numId w:val="55"/>
        </w:numPr>
      </w:pPr>
      <w:r w:rsidRPr="005F10B6">
        <w:t>GEAR - grupa ds. wdrażania podejścia ekosystemowego i regionalnej współpracy we wszystkich elementach krajowych strategii morskich,</w:t>
      </w:r>
    </w:p>
    <w:p w14:paraId="14A2302F" w14:textId="77777777" w:rsidR="003F637C" w:rsidRPr="005F10B6" w:rsidRDefault="003F637C" w:rsidP="00F06393">
      <w:pPr>
        <w:pStyle w:val="Numerowanie"/>
      </w:pPr>
      <w:r w:rsidRPr="005F10B6">
        <w:t>STATE AND CONSERVATION - grupa ds. stanu środowiska i ochrony przyrody,</w:t>
      </w:r>
    </w:p>
    <w:p w14:paraId="2D1F2DBA" w14:textId="77777777" w:rsidR="003F637C" w:rsidRPr="005F10B6" w:rsidRDefault="003F637C" w:rsidP="00F06393">
      <w:pPr>
        <w:pStyle w:val="Numerowanie"/>
      </w:pPr>
      <w:r w:rsidRPr="005F10B6">
        <w:t>PRESSURE - grupa ds. minimalizacji presji od strony lądu i morza na stan środowiska Morza Bałtyckiego,</w:t>
      </w:r>
    </w:p>
    <w:p w14:paraId="202A0A52" w14:textId="77777777" w:rsidR="003F637C" w:rsidRPr="005F10B6" w:rsidRDefault="003F637C" w:rsidP="00F06393">
      <w:pPr>
        <w:pStyle w:val="Numerowanie"/>
      </w:pPr>
      <w:r w:rsidRPr="005F10B6">
        <w:t>MARITIME - grupa ds. zapobiegania zanieczyszczeniom ze statków,</w:t>
      </w:r>
    </w:p>
    <w:p w14:paraId="07DAA5CA" w14:textId="77777777" w:rsidR="003F637C" w:rsidRPr="005F10B6" w:rsidRDefault="003F637C" w:rsidP="00F06393">
      <w:pPr>
        <w:pStyle w:val="Numerowanie"/>
      </w:pPr>
      <w:r w:rsidRPr="005F10B6">
        <w:t>RESPONSE - grupa ds. reagowania na zanieczyszczenia Morza Bałtyckiego,</w:t>
      </w:r>
    </w:p>
    <w:p w14:paraId="6A16DA1F" w14:textId="77777777" w:rsidR="003F637C" w:rsidRPr="00B573C3" w:rsidRDefault="003F637C" w:rsidP="00B573C3">
      <w:pPr>
        <w:rPr>
          <w:rStyle w:val="Pogrubienie"/>
          <w:u w:val="single"/>
        </w:rPr>
      </w:pPr>
      <w:r w:rsidRPr="00B573C3">
        <w:rPr>
          <w:rStyle w:val="Pogrubienie"/>
          <w:u w:val="single"/>
        </w:rPr>
        <w:t xml:space="preserve">a także trzy grupy tymczasowe uzupełniające pracę grup stałych: </w:t>
      </w:r>
    </w:p>
    <w:p w14:paraId="09BAC9C1" w14:textId="77777777" w:rsidR="003F637C" w:rsidRPr="005F10B6" w:rsidRDefault="003F637C" w:rsidP="00AA3506">
      <w:pPr>
        <w:pStyle w:val="Numerowanie"/>
        <w:numPr>
          <w:ilvl w:val="0"/>
          <w:numId w:val="56"/>
        </w:numPr>
      </w:pPr>
      <w:r w:rsidRPr="005F10B6">
        <w:t>AGRI - grupa ds. zrównoważonego rolnictwa,</w:t>
      </w:r>
    </w:p>
    <w:p w14:paraId="5DDAB991" w14:textId="77777777" w:rsidR="003F637C" w:rsidRPr="005F10B6" w:rsidRDefault="003F637C" w:rsidP="00F06393">
      <w:pPr>
        <w:pStyle w:val="Numerowanie"/>
      </w:pPr>
      <w:r w:rsidRPr="005F10B6">
        <w:t>FISH - grupa ds. zrównoważonego rybołówstwa,</w:t>
      </w:r>
    </w:p>
    <w:p w14:paraId="2B0DE251" w14:textId="77777777" w:rsidR="003F637C" w:rsidRPr="005F10B6" w:rsidRDefault="003F637C" w:rsidP="00F06393">
      <w:pPr>
        <w:pStyle w:val="Numerowanie"/>
      </w:pPr>
      <w:r w:rsidRPr="005F10B6">
        <w:t xml:space="preserve">HELCOM- VASAB MSP - grupa ds. morskiego planowania przestrzennego. </w:t>
      </w:r>
    </w:p>
    <w:p w14:paraId="4EB013D1" w14:textId="77777777" w:rsidR="003F637C" w:rsidRPr="005F10B6" w:rsidRDefault="003F637C" w:rsidP="00B573C3">
      <w:r w:rsidRPr="005F10B6">
        <w:t>W ramach ww. grup funkcjonuje wiele podgrup, grup eksperckich i projektowych. Polska, poprzez prawie 100 przedstawicieli z różnych instytucji (m.in. ministerstw, instytutów, uczelni naukowych, jednostek badawczych), aktywnie uczestniczy w pracach ponad 40 grup i projektów HELCOM.</w:t>
      </w:r>
    </w:p>
    <w:p w14:paraId="53F52353" w14:textId="77777777" w:rsidR="003F637C" w:rsidRPr="005F10B6" w:rsidRDefault="003F637C" w:rsidP="00B573C3">
      <w:r w:rsidRPr="005F10B6">
        <w:t>W związku z przejęciem spraw związanych z członkostwem Polski w Komisji Helsińskiej przez ministra właściwego ds. gospodarki morskiej, aktualnie za prowadzenie obsługi Sekretariatu HELCOM w Polsce odpowiada Ministerstwo Infrastruktury. .</w:t>
      </w:r>
    </w:p>
    <w:p w14:paraId="7E58FE4A" w14:textId="3694BDCC" w:rsidR="003F637C" w:rsidRPr="005F10B6" w:rsidRDefault="003F637C" w:rsidP="00B573C3">
      <w:r w:rsidRPr="005F10B6">
        <w:t>Najważniejszym dokumentem strategicznym HELCOM, który wyznacza zakres działań państw-stron Komisji Helsińskiej na rzecz ochrony środowiska morskiego jest Bałtycki Plan Działań (BSAP). Podjęcie prac nad sformułowaniem BSAP podyktowane było złym stanem wód Morza Bałtyckiego i</w:t>
      </w:r>
      <w:r w:rsidR="00DA026A">
        <w:t> </w:t>
      </w:r>
      <w:r w:rsidRPr="005F10B6">
        <w:t xml:space="preserve">koniecznością ograniczenia ładunków związków fosforu i azotu oraz substancji niebezpiecznych odprowadzanych do tych wód głównie z lądu. Plan zakłada osiągnięcie dobrego stanu ekologicznego Bałtyku do 2021 r. Główne kierunki działań ujęto w czterech segmentach: eutrofizacja, substancje niebezpieczne, różnorodność biologiczna i ochrona przyrody oraz działalność na morzu. Plan został przyjęty przez wszystkie dziewięć państw członkowskich i Unię Europejską na spotkaniu ministerialnym HELCOM w listopadzie 2007 r. w Krakowie. </w:t>
      </w:r>
    </w:p>
    <w:p w14:paraId="40272677" w14:textId="3720669A" w:rsidR="003F637C" w:rsidRDefault="003F637C" w:rsidP="00B573C3">
      <w:r w:rsidRPr="005F10B6">
        <w:t>Jak wynika z raportu „State of the Baltic Sea”, opublikowanego przez HELCOM w 2018 r., dobry stan środowiska wód morskich nie zostanie osiągnięty do 2021 r., dlatego Komisja Helsińska zdecydowała się na podjęcie prac mających na celu weryfikację działań zaproponowanych w BSAP i oceny ich wystarczalności, a także zaproponowania nowych działań. Mając na uwadze powyższe od 2018 r. najważniejszym zadaniem stojącym przed Komisją Helsińską i jej stronami jest aktualizacja Bałtyckiego Planu Działań, która ma dobiec końca w październiku bieżącego roku. Strategiczny plan działania dla aktualizacji BSAP uwzględnia między innymi takie zadania jak: analiza stanu wdrożenia obecnych działań i zobowiązań w HELCOM, analiza wystarczalności działań dla osiągnięcia celów HELCOM, opracowanie regionalnego scenariusza Business as Usual (BAU), ponowne zdefiniowanie działań poprzez poprawę obecnych lub zaproponowanie nowych oraz analizę opłacalności tych działań.</w:t>
      </w:r>
    </w:p>
    <w:p w14:paraId="3186ACE1" w14:textId="745D738F" w:rsidR="002E5C96" w:rsidRPr="002E5C96" w:rsidRDefault="002E5C96" w:rsidP="002E5C96">
      <w:r>
        <w:br w:type="page"/>
      </w:r>
    </w:p>
    <w:p w14:paraId="2F41DD5F" w14:textId="647E6B54" w:rsidR="00332A4E" w:rsidRDefault="00332A4E" w:rsidP="00B50FFD">
      <w:pPr>
        <w:pStyle w:val="Nagwek1"/>
      </w:pPr>
      <w:bookmarkStart w:id="591" w:name="_Toc68726939"/>
      <w:r>
        <w:t>P</w:t>
      </w:r>
      <w:r w:rsidRPr="000A063C">
        <w:t>odsumowanie wszelkich zmian lub uaktualnień dokonanych od dnia ogłoszenia poprzedniego planu gospodarowania wodami na obszarze dorzecza</w:t>
      </w:r>
      <w:bookmarkEnd w:id="589"/>
      <w:bookmarkEnd w:id="591"/>
    </w:p>
    <w:p w14:paraId="62E62EED" w14:textId="77777777" w:rsidR="000653F2" w:rsidRDefault="000653F2" w:rsidP="000653F2">
      <w:pPr>
        <w:suppressAutoHyphens/>
        <w:rPr>
          <w:rFonts w:asciiTheme="minorHAnsi" w:hAnsiTheme="minorHAnsi" w:cstheme="minorHAnsi"/>
          <w:color w:val="000000" w:themeColor="text1"/>
        </w:rPr>
      </w:pPr>
      <w:r w:rsidRPr="003C6AAF">
        <w:rPr>
          <w:rFonts w:asciiTheme="minorHAnsi" w:hAnsiTheme="minorHAnsi" w:cstheme="minorHAnsi"/>
          <w:color w:val="000000" w:themeColor="text1"/>
        </w:rPr>
        <w:t xml:space="preserve">III cykl planistyczny </w:t>
      </w:r>
      <w:r>
        <w:rPr>
          <w:rFonts w:asciiTheme="minorHAnsi" w:hAnsiTheme="minorHAnsi" w:cstheme="minorHAnsi"/>
          <w:color w:val="000000" w:themeColor="text1"/>
        </w:rPr>
        <w:t xml:space="preserve">(2016-2021) był </w:t>
      </w:r>
      <w:r w:rsidRPr="003C6AAF">
        <w:rPr>
          <w:rFonts w:asciiTheme="minorHAnsi" w:hAnsiTheme="minorHAnsi" w:cstheme="minorHAnsi"/>
          <w:color w:val="000000" w:themeColor="text1"/>
        </w:rPr>
        <w:t xml:space="preserve">szczególnie istotny dla gospodarki wodnej w Polsce, ponieważ </w:t>
      </w:r>
      <w:r>
        <w:rPr>
          <w:rFonts w:asciiTheme="minorHAnsi" w:hAnsiTheme="minorHAnsi" w:cstheme="minorHAnsi"/>
          <w:color w:val="000000" w:themeColor="text1"/>
        </w:rPr>
        <w:br/>
      </w:r>
      <w:r w:rsidRPr="003C6AAF">
        <w:rPr>
          <w:rFonts w:asciiTheme="minorHAnsi" w:hAnsiTheme="minorHAnsi" w:cstheme="minorHAnsi"/>
          <w:color w:val="000000" w:themeColor="text1"/>
        </w:rPr>
        <w:t xml:space="preserve">20 lipca 2017 r. przyjęto nową ustawę pr.w. (obowiązującą od 1 stycznia 2018 r.), która wprowadziła szereg znaczących zmian w tej dziedzinie. </w:t>
      </w:r>
    </w:p>
    <w:p w14:paraId="33A331AF" w14:textId="77777777" w:rsidR="000653F2" w:rsidRDefault="000653F2" w:rsidP="000653F2">
      <w:pPr>
        <w:suppressAutoHyphens/>
        <w:rPr>
          <w:rFonts w:asciiTheme="minorHAnsi" w:hAnsiTheme="minorHAnsi" w:cstheme="minorHAnsi"/>
          <w:color w:val="000000" w:themeColor="text1"/>
        </w:rPr>
      </w:pPr>
      <w:r>
        <w:rPr>
          <w:rFonts w:asciiTheme="minorHAnsi" w:hAnsiTheme="minorHAnsi" w:cstheme="minorHAnsi"/>
          <w:color w:val="000000" w:themeColor="text1"/>
        </w:rPr>
        <w:t xml:space="preserve">Niniejszy rozdział przedstawia podsumowanie wszelkich zmian lub uaktualnień dokonanych od dnia ogłoszenia poprzedniego planu gospodarowania wodami </w:t>
      </w:r>
      <w:r w:rsidRPr="00A03AFF">
        <w:rPr>
          <w:rFonts w:asciiTheme="minorHAnsi" w:hAnsiTheme="minorHAnsi" w:cstheme="minorHAnsi"/>
          <w:color w:val="000000" w:themeColor="text1"/>
        </w:rPr>
        <w:t>na obszarze dorzecza Pregoły</w:t>
      </w:r>
      <w:r>
        <w:rPr>
          <w:rFonts w:asciiTheme="minorHAnsi" w:hAnsiTheme="minorHAnsi" w:cstheme="minorHAnsi"/>
          <w:color w:val="000000" w:themeColor="text1"/>
        </w:rPr>
        <w:t xml:space="preserve"> wskazując odwołanie do rozdziału IIaPGW w którym dane zmiany opisane są szczegółowo.</w:t>
      </w:r>
    </w:p>
    <w:p w14:paraId="16B5DC85" w14:textId="3B32CB1C" w:rsidR="000653F2" w:rsidRDefault="000653F2" w:rsidP="000653F2">
      <w:pPr>
        <w:suppressAutoHyphens/>
        <w:rPr>
          <w:rFonts w:asciiTheme="minorHAnsi" w:hAnsiTheme="minorHAnsi" w:cstheme="minorHAnsi"/>
          <w:color w:val="000000" w:themeColor="text1"/>
        </w:rPr>
      </w:pPr>
      <w:r>
        <w:rPr>
          <w:rFonts w:asciiTheme="minorHAnsi" w:hAnsiTheme="minorHAnsi" w:cstheme="minorHAnsi"/>
          <w:color w:val="000000" w:themeColor="text1"/>
        </w:rPr>
        <w:t xml:space="preserve">Podstawowa zmiana dokonana ustawą pr.w. dotyczyła </w:t>
      </w:r>
      <w:r w:rsidRPr="003C6AAF">
        <w:rPr>
          <w:rFonts w:asciiTheme="minorHAnsi" w:hAnsiTheme="minorHAnsi" w:cstheme="minorHAnsi"/>
          <w:color w:val="000000" w:themeColor="text1"/>
        </w:rPr>
        <w:t>struktur</w:t>
      </w:r>
      <w:r>
        <w:rPr>
          <w:rFonts w:asciiTheme="minorHAnsi" w:hAnsiTheme="minorHAnsi" w:cstheme="minorHAnsi"/>
          <w:color w:val="000000" w:themeColor="text1"/>
        </w:rPr>
        <w:t>y</w:t>
      </w:r>
      <w:r w:rsidRPr="003C6AAF">
        <w:rPr>
          <w:rFonts w:asciiTheme="minorHAnsi" w:hAnsiTheme="minorHAnsi" w:cstheme="minorHAnsi"/>
          <w:color w:val="000000" w:themeColor="text1"/>
        </w:rPr>
        <w:t xml:space="preserve"> zarządzania gospodarką wodną </w:t>
      </w:r>
      <w:r w:rsidR="006C4947">
        <w:rPr>
          <w:rFonts w:asciiTheme="minorHAnsi" w:hAnsiTheme="minorHAnsi" w:cstheme="minorHAnsi"/>
          <w:color w:val="000000" w:themeColor="text1"/>
        </w:rPr>
        <w:t>-</w:t>
      </w:r>
      <w:r w:rsidRPr="003C6AAF">
        <w:rPr>
          <w:rFonts w:asciiTheme="minorHAnsi" w:hAnsiTheme="minorHAnsi" w:cstheme="minorHAnsi"/>
          <w:color w:val="000000" w:themeColor="text1"/>
        </w:rPr>
        <w:t xml:space="preserve"> nastąpiły zmiany o charakterze instytucjonalnym, zapewniono całkowitą zgodność z prawem UE (w</w:t>
      </w:r>
      <w:r w:rsidR="00DA026A">
        <w:rPr>
          <w:rFonts w:asciiTheme="minorHAnsi" w:hAnsiTheme="minorHAnsi" w:cstheme="minorHAnsi"/>
          <w:color w:val="000000" w:themeColor="text1"/>
        </w:rPr>
        <w:t> </w:t>
      </w:r>
      <w:r w:rsidRPr="003C6AAF">
        <w:rPr>
          <w:rFonts w:asciiTheme="minorHAnsi" w:hAnsiTheme="minorHAnsi" w:cstheme="minorHAnsi"/>
          <w:color w:val="000000" w:themeColor="text1"/>
        </w:rPr>
        <w:t>tym przede wszystkim z RDW) oraz wprowadzono wiele instrumentów pozwalających na racjonalne korzystanie z zasobów wodnych, z uwzględnieniem zwrotu kosztów za usługi wodne.</w:t>
      </w:r>
      <w:r>
        <w:rPr>
          <w:rFonts w:asciiTheme="minorHAnsi" w:hAnsiTheme="minorHAnsi" w:cstheme="minorHAnsi"/>
          <w:color w:val="000000" w:themeColor="text1"/>
        </w:rPr>
        <w:t xml:space="preserve"> Opis zmian w</w:t>
      </w:r>
      <w:r w:rsidR="00DA026A">
        <w:rPr>
          <w:rFonts w:asciiTheme="minorHAnsi" w:hAnsiTheme="minorHAnsi" w:cstheme="minorHAnsi"/>
          <w:color w:val="000000" w:themeColor="text1"/>
        </w:rPr>
        <w:t> </w:t>
      </w:r>
      <w:r>
        <w:rPr>
          <w:rFonts w:asciiTheme="minorHAnsi" w:hAnsiTheme="minorHAnsi" w:cstheme="minorHAnsi"/>
          <w:color w:val="000000" w:themeColor="text1"/>
        </w:rPr>
        <w:t>zakresie organów właściwych w sprawach gospodarowania wodami zawiera rozdział 21 IIaPGW.</w:t>
      </w:r>
    </w:p>
    <w:p w14:paraId="59D99AE7" w14:textId="77777777" w:rsidR="000653F2" w:rsidRDefault="000653F2" w:rsidP="000653F2">
      <w:pPr>
        <w:suppressAutoHyphens/>
        <w:rPr>
          <w:rFonts w:asciiTheme="minorHAnsi" w:hAnsiTheme="minorHAnsi" w:cstheme="minorHAnsi"/>
          <w:color w:val="000000" w:themeColor="text1"/>
        </w:rPr>
      </w:pPr>
      <w:r>
        <w:rPr>
          <w:rFonts w:asciiTheme="minorHAnsi" w:hAnsiTheme="minorHAnsi" w:cstheme="minorHAnsi"/>
          <w:color w:val="000000" w:themeColor="text1"/>
        </w:rPr>
        <w:t xml:space="preserve">Wszystkie </w:t>
      </w:r>
      <w:r w:rsidRPr="003C6AAF">
        <w:rPr>
          <w:rFonts w:asciiTheme="minorHAnsi" w:hAnsiTheme="minorHAnsi" w:cstheme="minorHAnsi"/>
          <w:color w:val="000000" w:themeColor="text1"/>
        </w:rPr>
        <w:t xml:space="preserve">niezbędne dokumentacje planistyczne </w:t>
      </w:r>
      <w:r>
        <w:rPr>
          <w:rFonts w:asciiTheme="minorHAnsi" w:hAnsiTheme="minorHAnsi" w:cstheme="minorHAnsi"/>
          <w:color w:val="000000" w:themeColor="text1"/>
        </w:rPr>
        <w:t xml:space="preserve">opracowane zostały </w:t>
      </w:r>
      <w:r w:rsidRPr="003C6AAF">
        <w:rPr>
          <w:rFonts w:asciiTheme="minorHAnsi" w:hAnsiTheme="minorHAnsi" w:cstheme="minorHAnsi"/>
          <w:color w:val="000000" w:themeColor="text1"/>
        </w:rPr>
        <w:t xml:space="preserve">na podstawie zaktualizowanych metodyk, uwzględniających najnowsze dostępne dane i informacje. Prace planistyczne wykonywano zgodnie z wytycznymi KE, bazując na doświadczeniach z kilkunastoletniego wdrażania RDW. </w:t>
      </w:r>
      <w:r>
        <w:rPr>
          <w:rFonts w:asciiTheme="minorHAnsi" w:hAnsiTheme="minorHAnsi" w:cstheme="minorHAnsi"/>
          <w:color w:val="000000" w:themeColor="text1"/>
        </w:rPr>
        <w:t xml:space="preserve">Zakresy zmiany dotyczących metodyk przedstawione zostały w odpowiednich dla danego zagadnienia rozdziałach IIaPGW. </w:t>
      </w:r>
    </w:p>
    <w:p w14:paraId="0C187FCA" w14:textId="77777777" w:rsidR="000653F2" w:rsidRPr="00BB0D4D" w:rsidRDefault="000653F2" w:rsidP="000653F2">
      <w:pPr>
        <w:suppressAutoHyphens/>
        <w:rPr>
          <w:rFonts w:asciiTheme="minorHAnsi" w:hAnsiTheme="minorHAnsi" w:cstheme="minorHAnsi"/>
        </w:rPr>
      </w:pPr>
      <w:r w:rsidRPr="00BB0D4D">
        <w:rPr>
          <w:rFonts w:asciiTheme="minorHAnsi" w:hAnsiTheme="minorHAnsi" w:cstheme="minorHAnsi"/>
        </w:rPr>
        <w:t>Pozostałymi zmianami wprowadzonymi w III cyklu planistycznym (2016-2021) są:</w:t>
      </w:r>
    </w:p>
    <w:p w14:paraId="22EB2321" w14:textId="6981AFD8" w:rsidR="000653F2" w:rsidRPr="00BB0D4D" w:rsidRDefault="001A20B0" w:rsidP="00AA3506">
      <w:pPr>
        <w:pStyle w:val="Numerowanie"/>
        <w:numPr>
          <w:ilvl w:val="0"/>
          <w:numId w:val="113"/>
        </w:numPr>
      </w:pPr>
      <w:r w:rsidRPr="00BB0D4D">
        <w:t>Z</w:t>
      </w:r>
      <w:r w:rsidR="000653F2" w:rsidRPr="00BB0D4D">
        <w:t xml:space="preserve">miana obszarów dorzeczy </w:t>
      </w:r>
      <w:r w:rsidR="006C4947">
        <w:t>-</w:t>
      </w:r>
      <w:r w:rsidR="000653F2" w:rsidRPr="00BB0D4D">
        <w:t xml:space="preserve"> plany gospodarowania wodami opracowane zostały dla 9 obszarów dorzeczy, a nie jak dotychczas dla 10. Zmiana wprowadzona ustawą pr.w.</w:t>
      </w:r>
    </w:p>
    <w:p w14:paraId="31AF6C0D" w14:textId="512EADF0" w:rsidR="000653F2" w:rsidRPr="00BB0D4D" w:rsidRDefault="001A20B0" w:rsidP="00BB0D4D">
      <w:pPr>
        <w:pStyle w:val="Numerowanie"/>
      </w:pPr>
      <w:r w:rsidRPr="00BB0D4D">
        <w:t>W</w:t>
      </w:r>
      <w:r w:rsidR="000653F2" w:rsidRPr="00BB0D4D">
        <w:t>eryfikacja i aktualizacja jednostek planistycznych:</w:t>
      </w:r>
    </w:p>
    <w:p w14:paraId="31D0F801" w14:textId="1647C130" w:rsidR="00A03AFF" w:rsidRPr="001A20B0" w:rsidRDefault="000653F2" w:rsidP="001A20B0">
      <w:pPr>
        <w:pStyle w:val="Akapitzlist"/>
      </w:pPr>
      <w:r w:rsidRPr="001A20B0">
        <w:t>wprowadzenie nowego wykazu jcwp- jako wynik weryfikacji i aktualizacji granic zlewni jcwp oraz weryfikacji i aktualizacji typologii wód wraz z określeniem warunków referencyjnych dla nowych typów wód. Porównanie liczby jcwp danej kategorii i o danym statusie wg aPGW i</w:t>
      </w:r>
      <w:r w:rsidR="00DA026A" w:rsidRPr="001A20B0">
        <w:t> </w:t>
      </w:r>
      <w:r w:rsidRPr="001A20B0">
        <w:t>IIaPGW przedstawia poniższa tabela.</w:t>
      </w:r>
    </w:p>
    <w:p w14:paraId="15A19F5C" w14:textId="0DF1B23E" w:rsidR="009C03E2" w:rsidRPr="00442AB7" w:rsidRDefault="009C03E2" w:rsidP="006802BB">
      <w:pPr>
        <w:pStyle w:val="Tabela"/>
      </w:pPr>
      <w:bookmarkStart w:id="592" w:name="_Toc68727068"/>
      <w:r w:rsidRPr="00442AB7">
        <w:t xml:space="preserve">Tabela </w:t>
      </w:r>
      <w:fldSimple w:instr=" STYLEREF 1 \s ">
        <w:r w:rsidR="007B4050">
          <w:rPr>
            <w:noProof/>
          </w:rPr>
          <w:t>23</w:t>
        </w:r>
      </w:fldSimple>
      <w:r w:rsidR="007B4050">
        <w:noBreakHyphen/>
      </w:r>
      <w:fldSimple w:instr=" SEQ Tabela \* ARABIC \s 1 ">
        <w:r w:rsidR="007B4050">
          <w:rPr>
            <w:noProof/>
          </w:rPr>
          <w:t>1</w:t>
        </w:r>
      </w:fldSimple>
      <w:r w:rsidRPr="00442AB7">
        <w:tab/>
      </w:r>
      <w:r>
        <w:t xml:space="preserve">Porównanie </w:t>
      </w:r>
      <w:r w:rsidRPr="00DA026A">
        <w:t>liczby</w:t>
      </w:r>
      <w:r>
        <w:t xml:space="preserve"> jcwp danej kategorii i o danym statusie wg aPGW i IIaPGW.</w:t>
      </w:r>
      <w:bookmarkEnd w:id="592"/>
    </w:p>
    <w:tbl>
      <w:tblPr>
        <w:tblW w:w="9059" w:type="dxa"/>
        <w:tblCellMar>
          <w:left w:w="70" w:type="dxa"/>
          <w:right w:w="70" w:type="dxa"/>
        </w:tblCellMar>
        <w:tblLook w:val="04A0" w:firstRow="1" w:lastRow="0" w:firstColumn="1" w:lastColumn="0" w:noHBand="0" w:noVBand="1"/>
      </w:tblPr>
      <w:tblGrid>
        <w:gridCol w:w="1418"/>
        <w:gridCol w:w="979"/>
        <w:gridCol w:w="1032"/>
        <w:gridCol w:w="766"/>
        <w:gridCol w:w="710"/>
        <w:gridCol w:w="709"/>
        <w:gridCol w:w="710"/>
        <w:gridCol w:w="709"/>
        <w:gridCol w:w="709"/>
        <w:gridCol w:w="643"/>
        <w:gridCol w:w="674"/>
      </w:tblGrid>
      <w:tr w:rsidR="00A80DEE" w:rsidRPr="00DE4F5A" w14:paraId="62F94ED6" w14:textId="77777777" w:rsidTr="00BB0D4D">
        <w:trPr>
          <w:trHeight w:val="828"/>
          <w:tblHeader/>
        </w:trPr>
        <w:tc>
          <w:tcPr>
            <w:tcW w:w="2397" w:type="dxa"/>
            <w:gridSpan w:val="2"/>
            <w:tcBorders>
              <w:bottom w:val="single" w:sz="4" w:space="0" w:color="auto"/>
              <w:right w:val="single" w:sz="4" w:space="0" w:color="auto"/>
            </w:tcBorders>
            <w:shd w:val="clear" w:color="auto" w:fill="auto"/>
            <w:noWrap/>
            <w:vAlign w:val="center"/>
            <w:hideMark/>
          </w:tcPr>
          <w:p w14:paraId="589E05A9" w14:textId="6BDE39E3" w:rsidR="00A80DEE" w:rsidRDefault="00A80DEE" w:rsidP="00C26E87">
            <w:pPr>
              <w:jc w:val="center"/>
              <w:rPr>
                <w:rFonts w:asciiTheme="minorHAnsi" w:hAnsiTheme="minorHAnsi" w:cstheme="minorHAnsi"/>
                <w:sz w:val="18"/>
                <w:szCs w:val="18"/>
              </w:rPr>
            </w:pPr>
          </w:p>
          <w:p w14:paraId="07944FB7" w14:textId="77777777" w:rsidR="00A80DEE" w:rsidRPr="00DE4F5A" w:rsidRDefault="00A80DEE" w:rsidP="00B523F8">
            <w:pPr>
              <w:rPr>
                <w:rFonts w:asciiTheme="minorHAnsi" w:hAnsiTheme="minorHAnsi" w:cstheme="minorHAnsi"/>
                <w:sz w:val="18"/>
                <w:szCs w:val="18"/>
              </w:rPr>
            </w:pPr>
          </w:p>
        </w:tc>
        <w:tc>
          <w:tcPr>
            <w:tcW w:w="103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C2DFFE"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Wskazanie</w:t>
            </w:r>
            <w:r w:rsidRPr="00A03AFF">
              <w:rPr>
                <w:rFonts w:asciiTheme="minorHAnsi" w:hAnsiTheme="minorHAnsi" w:cstheme="minorHAnsi"/>
                <w:b/>
                <w:bCs/>
                <w:color w:val="000000"/>
                <w:sz w:val="20"/>
                <w:szCs w:val="20"/>
              </w:rPr>
              <w:br/>
              <w:t>aPGW, IIaPGW</w:t>
            </w:r>
          </w:p>
        </w:tc>
        <w:tc>
          <w:tcPr>
            <w:tcW w:w="76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217FC2C"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ogółem</w:t>
            </w:r>
          </w:p>
        </w:tc>
        <w:tc>
          <w:tcPr>
            <w:tcW w:w="71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D320936"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RW</w:t>
            </w:r>
          </w:p>
        </w:tc>
        <w:tc>
          <w:tcPr>
            <w:tcW w:w="70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39845AC"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RWr</w:t>
            </w:r>
          </w:p>
        </w:tc>
        <w:tc>
          <w:tcPr>
            <w:tcW w:w="71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3B57E14"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LW</w:t>
            </w:r>
          </w:p>
        </w:tc>
        <w:tc>
          <w:tcPr>
            <w:tcW w:w="70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4B26748"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TW i CW</w:t>
            </w:r>
          </w:p>
        </w:tc>
        <w:tc>
          <w:tcPr>
            <w:tcW w:w="70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B3120D4"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NAT</w:t>
            </w:r>
          </w:p>
        </w:tc>
        <w:tc>
          <w:tcPr>
            <w:tcW w:w="64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6C53F88"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SCW</w:t>
            </w:r>
          </w:p>
        </w:tc>
        <w:tc>
          <w:tcPr>
            <w:tcW w:w="67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8230811" w14:textId="77777777" w:rsidR="00A80DEE" w:rsidRPr="00A03AFF" w:rsidRDefault="00A80DEE" w:rsidP="00C26E87">
            <w:pPr>
              <w:jc w:val="center"/>
              <w:rPr>
                <w:rFonts w:asciiTheme="minorHAnsi" w:hAnsiTheme="minorHAnsi" w:cstheme="minorHAnsi"/>
                <w:b/>
                <w:bCs/>
                <w:color w:val="000000"/>
                <w:sz w:val="20"/>
                <w:szCs w:val="20"/>
              </w:rPr>
            </w:pPr>
            <w:r w:rsidRPr="00A03AFF">
              <w:rPr>
                <w:rFonts w:asciiTheme="minorHAnsi" w:hAnsiTheme="minorHAnsi" w:cstheme="minorHAnsi"/>
                <w:b/>
                <w:bCs/>
                <w:color w:val="000000"/>
                <w:sz w:val="20"/>
                <w:szCs w:val="20"/>
              </w:rPr>
              <w:t>Liczba jcwp SZCW</w:t>
            </w:r>
          </w:p>
        </w:tc>
      </w:tr>
      <w:tr w:rsidR="000653F2" w:rsidRPr="00DE4F5A" w14:paraId="0DBA646C" w14:textId="70DCB0D8" w:rsidTr="00D73047">
        <w:trPr>
          <w:trHeight w:val="288"/>
        </w:trPr>
        <w:tc>
          <w:tcPr>
            <w:tcW w:w="23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525FB5" w14:textId="411E199B" w:rsidR="000653F2" w:rsidRPr="00D73047" w:rsidRDefault="000653F2" w:rsidP="00C26E87">
            <w:pPr>
              <w:jc w:val="center"/>
              <w:rPr>
                <w:rFonts w:asciiTheme="minorHAnsi" w:hAnsiTheme="minorHAnsi" w:cstheme="minorHAnsi"/>
                <w:b/>
                <w:bCs/>
                <w:color w:val="000000"/>
                <w:sz w:val="20"/>
                <w:szCs w:val="20"/>
              </w:rPr>
            </w:pPr>
            <w:r w:rsidRPr="00D73047">
              <w:rPr>
                <w:rFonts w:asciiTheme="minorHAnsi" w:hAnsiTheme="minorHAnsi" w:cstheme="minorHAnsi"/>
                <w:b/>
                <w:bCs/>
                <w:color w:val="000000"/>
                <w:sz w:val="20"/>
                <w:szCs w:val="20"/>
              </w:rPr>
              <w:t xml:space="preserve">Obszar dorzecza </w:t>
            </w:r>
            <w:r w:rsidR="00A03AFF" w:rsidRPr="00D73047">
              <w:rPr>
                <w:rFonts w:asciiTheme="minorHAnsi" w:hAnsiTheme="minorHAnsi" w:cstheme="minorHAnsi"/>
                <w:b/>
                <w:bCs/>
                <w:color w:val="000000"/>
                <w:sz w:val="20"/>
                <w:szCs w:val="20"/>
              </w:rPr>
              <w:t>Pregoły</w:t>
            </w:r>
            <w:r w:rsidRPr="00D73047">
              <w:rPr>
                <w:rFonts w:asciiTheme="minorHAnsi" w:hAnsiTheme="minorHAnsi" w:cstheme="minorHAnsi"/>
                <w:b/>
                <w:bCs/>
                <w:color w:val="000000"/>
                <w:sz w:val="20"/>
                <w:szCs w:val="20"/>
              </w:rPr>
              <w:t xml:space="preserve"> wg aPGW</w:t>
            </w:r>
          </w:p>
        </w:tc>
        <w:tc>
          <w:tcPr>
            <w:tcW w:w="1032" w:type="dxa"/>
            <w:tcBorders>
              <w:top w:val="nil"/>
              <w:left w:val="nil"/>
              <w:bottom w:val="single" w:sz="4" w:space="0" w:color="auto"/>
              <w:right w:val="single" w:sz="4" w:space="0" w:color="auto"/>
            </w:tcBorders>
            <w:shd w:val="clear" w:color="auto" w:fill="auto"/>
            <w:noWrap/>
            <w:vAlign w:val="center"/>
            <w:hideMark/>
          </w:tcPr>
          <w:p w14:paraId="202E4ED0" w14:textId="5236A8BC" w:rsidR="000653F2" w:rsidRPr="00D73047" w:rsidRDefault="000653F2" w:rsidP="00C26E87">
            <w:pPr>
              <w:jc w:val="center"/>
              <w:rPr>
                <w:rFonts w:asciiTheme="minorHAnsi" w:hAnsiTheme="minorHAnsi" w:cstheme="minorHAnsi"/>
                <w:color w:val="000000"/>
                <w:sz w:val="20"/>
                <w:szCs w:val="20"/>
              </w:rPr>
            </w:pPr>
            <w:r w:rsidRPr="00D73047">
              <w:rPr>
                <w:rFonts w:asciiTheme="minorHAnsi" w:hAnsiTheme="minorHAnsi" w:cstheme="minorHAnsi"/>
                <w:color w:val="000000"/>
                <w:sz w:val="20"/>
                <w:szCs w:val="20"/>
              </w:rPr>
              <w:t>aPGW</w:t>
            </w:r>
          </w:p>
        </w:tc>
        <w:tc>
          <w:tcPr>
            <w:tcW w:w="766" w:type="dxa"/>
            <w:tcBorders>
              <w:top w:val="nil"/>
              <w:left w:val="nil"/>
              <w:bottom w:val="single" w:sz="4" w:space="0" w:color="auto"/>
              <w:right w:val="single" w:sz="4" w:space="0" w:color="auto"/>
            </w:tcBorders>
            <w:shd w:val="clear" w:color="auto" w:fill="auto"/>
            <w:noWrap/>
            <w:vAlign w:val="center"/>
            <w:hideMark/>
          </w:tcPr>
          <w:p w14:paraId="2B9253E9" w14:textId="4FFA18F0"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221</w:t>
            </w:r>
          </w:p>
        </w:tc>
        <w:tc>
          <w:tcPr>
            <w:tcW w:w="710" w:type="dxa"/>
            <w:tcBorders>
              <w:top w:val="nil"/>
              <w:left w:val="nil"/>
              <w:bottom w:val="single" w:sz="4" w:space="0" w:color="auto"/>
              <w:right w:val="single" w:sz="4" w:space="0" w:color="auto"/>
            </w:tcBorders>
            <w:shd w:val="clear" w:color="auto" w:fill="auto"/>
            <w:noWrap/>
            <w:vAlign w:val="center"/>
            <w:hideMark/>
          </w:tcPr>
          <w:p w14:paraId="27A9DD06" w14:textId="10D66F60"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120</w:t>
            </w:r>
          </w:p>
        </w:tc>
        <w:tc>
          <w:tcPr>
            <w:tcW w:w="709" w:type="dxa"/>
            <w:tcBorders>
              <w:top w:val="nil"/>
              <w:left w:val="nil"/>
              <w:bottom w:val="single" w:sz="4" w:space="0" w:color="auto"/>
              <w:right w:val="single" w:sz="4" w:space="0" w:color="auto"/>
            </w:tcBorders>
            <w:shd w:val="clear" w:color="auto" w:fill="auto"/>
            <w:noWrap/>
            <w:vAlign w:val="center"/>
            <w:hideMark/>
          </w:tcPr>
          <w:p w14:paraId="3A90FEAE" w14:textId="5303EDAD"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0</w:t>
            </w:r>
          </w:p>
        </w:tc>
        <w:tc>
          <w:tcPr>
            <w:tcW w:w="710" w:type="dxa"/>
            <w:tcBorders>
              <w:top w:val="nil"/>
              <w:left w:val="nil"/>
              <w:bottom w:val="single" w:sz="4" w:space="0" w:color="auto"/>
              <w:right w:val="single" w:sz="4" w:space="0" w:color="auto"/>
            </w:tcBorders>
            <w:shd w:val="clear" w:color="auto" w:fill="auto"/>
            <w:noWrap/>
            <w:vAlign w:val="center"/>
            <w:hideMark/>
          </w:tcPr>
          <w:p w14:paraId="67872855" w14:textId="22306348"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101</w:t>
            </w:r>
          </w:p>
        </w:tc>
        <w:tc>
          <w:tcPr>
            <w:tcW w:w="709" w:type="dxa"/>
            <w:tcBorders>
              <w:top w:val="nil"/>
              <w:left w:val="nil"/>
              <w:bottom w:val="single" w:sz="4" w:space="0" w:color="auto"/>
              <w:right w:val="single" w:sz="4" w:space="0" w:color="auto"/>
            </w:tcBorders>
            <w:shd w:val="clear" w:color="auto" w:fill="auto"/>
            <w:noWrap/>
            <w:vAlign w:val="center"/>
            <w:hideMark/>
          </w:tcPr>
          <w:p w14:paraId="47233DE3" w14:textId="60BA1535"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center"/>
            <w:hideMark/>
          </w:tcPr>
          <w:p w14:paraId="2E0A14B8" w14:textId="08445069"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214</w:t>
            </w:r>
          </w:p>
        </w:tc>
        <w:tc>
          <w:tcPr>
            <w:tcW w:w="643" w:type="dxa"/>
            <w:tcBorders>
              <w:top w:val="nil"/>
              <w:left w:val="nil"/>
              <w:bottom w:val="single" w:sz="4" w:space="0" w:color="auto"/>
              <w:right w:val="single" w:sz="4" w:space="0" w:color="auto"/>
            </w:tcBorders>
            <w:shd w:val="clear" w:color="auto" w:fill="auto"/>
            <w:noWrap/>
            <w:vAlign w:val="center"/>
            <w:hideMark/>
          </w:tcPr>
          <w:p w14:paraId="53C995DC" w14:textId="48135A8A"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3</w:t>
            </w:r>
          </w:p>
        </w:tc>
        <w:tc>
          <w:tcPr>
            <w:tcW w:w="674" w:type="dxa"/>
            <w:tcBorders>
              <w:top w:val="nil"/>
              <w:left w:val="nil"/>
              <w:bottom w:val="single" w:sz="4" w:space="0" w:color="auto"/>
              <w:right w:val="single" w:sz="4" w:space="0" w:color="auto"/>
            </w:tcBorders>
            <w:shd w:val="clear" w:color="auto" w:fill="auto"/>
            <w:noWrap/>
            <w:vAlign w:val="center"/>
            <w:hideMark/>
          </w:tcPr>
          <w:p w14:paraId="7786E98B" w14:textId="77361551"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4</w:t>
            </w:r>
          </w:p>
        </w:tc>
      </w:tr>
      <w:tr w:rsidR="000653F2" w:rsidRPr="00DE4F5A" w14:paraId="3CB7A620" w14:textId="746EB8FB" w:rsidTr="00D73047">
        <w:trPr>
          <w:trHeight w:val="288"/>
        </w:trPr>
        <w:tc>
          <w:tcPr>
            <w:tcW w:w="23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B3E81" w14:textId="666AFD77" w:rsidR="000653F2" w:rsidRPr="00D73047" w:rsidRDefault="000653F2" w:rsidP="00C26E87">
            <w:pPr>
              <w:jc w:val="center"/>
              <w:rPr>
                <w:rFonts w:asciiTheme="minorHAnsi" w:hAnsiTheme="minorHAnsi" w:cstheme="minorHAnsi"/>
                <w:b/>
                <w:bCs/>
                <w:color w:val="000000"/>
                <w:sz w:val="20"/>
                <w:szCs w:val="20"/>
              </w:rPr>
            </w:pPr>
            <w:r w:rsidRPr="00D73047">
              <w:rPr>
                <w:rFonts w:asciiTheme="minorHAnsi" w:hAnsiTheme="minorHAnsi" w:cstheme="minorHAnsi"/>
                <w:b/>
                <w:bCs/>
                <w:color w:val="000000"/>
                <w:sz w:val="20"/>
                <w:szCs w:val="20"/>
              </w:rPr>
              <w:t xml:space="preserve">Obszar dorzecza </w:t>
            </w:r>
            <w:r w:rsidR="00A03AFF" w:rsidRPr="00D73047">
              <w:rPr>
                <w:rFonts w:asciiTheme="minorHAnsi" w:hAnsiTheme="minorHAnsi" w:cstheme="minorHAnsi"/>
                <w:b/>
                <w:bCs/>
                <w:color w:val="000000"/>
                <w:sz w:val="20"/>
                <w:szCs w:val="20"/>
              </w:rPr>
              <w:t>Pregoły</w:t>
            </w:r>
            <w:r w:rsidRPr="00D73047">
              <w:rPr>
                <w:rFonts w:asciiTheme="minorHAnsi" w:hAnsiTheme="minorHAnsi" w:cstheme="minorHAnsi"/>
                <w:b/>
                <w:bCs/>
                <w:color w:val="000000"/>
                <w:sz w:val="20"/>
                <w:szCs w:val="20"/>
              </w:rPr>
              <w:t xml:space="preserve"> wg IIaPGW</w:t>
            </w:r>
          </w:p>
        </w:tc>
        <w:tc>
          <w:tcPr>
            <w:tcW w:w="1032" w:type="dxa"/>
            <w:tcBorders>
              <w:top w:val="nil"/>
              <w:left w:val="nil"/>
              <w:bottom w:val="single" w:sz="4" w:space="0" w:color="auto"/>
              <w:right w:val="single" w:sz="4" w:space="0" w:color="auto"/>
            </w:tcBorders>
            <w:shd w:val="clear" w:color="auto" w:fill="auto"/>
            <w:noWrap/>
            <w:vAlign w:val="center"/>
            <w:hideMark/>
          </w:tcPr>
          <w:p w14:paraId="3E89A857" w14:textId="301AB821" w:rsidR="000653F2" w:rsidRPr="00D73047" w:rsidRDefault="000653F2" w:rsidP="00C26E87">
            <w:pPr>
              <w:jc w:val="center"/>
              <w:rPr>
                <w:rFonts w:asciiTheme="minorHAnsi" w:hAnsiTheme="minorHAnsi" w:cstheme="minorHAnsi"/>
                <w:color w:val="000000"/>
                <w:sz w:val="20"/>
                <w:szCs w:val="20"/>
              </w:rPr>
            </w:pPr>
            <w:r w:rsidRPr="00D73047">
              <w:rPr>
                <w:rFonts w:asciiTheme="minorHAnsi" w:hAnsiTheme="minorHAnsi" w:cstheme="minorHAnsi"/>
                <w:color w:val="000000"/>
                <w:sz w:val="20"/>
                <w:szCs w:val="20"/>
              </w:rPr>
              <w:t>IIaPGW</w:t>
            </w:r>
          </w:p>
        </w:tc>
        <w:tc>
          <w:tcPr>
            <w:tcW w:w="766" w:type="dxa"/>
            <w:tcBorders>
              <w:top w:val="nil"/>
              <w:left w:val="nil"/>
              <w:bottom w:val="single" w:sz="4" w:space="0" w:color="auto"/>
              <w:right w:val="single" w:sz="4" w:space="0" w:color="auto"/>
            </w:tcBorders>
            <w:shd w:val="clear" w:color="auto" w:fill="auto"/>
            <w:noWrap/>
            <w:vAlign w:val="center"/>
            <w:hideMark/>
          </w:tcPr>
          <w:p w14:paraId="420BE467" w14:textId="5BB1AC86"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187</w:t>
            </w:r>
          </w:p>
        </w:tc>
        <w:tc>
          <w:tcPr>
            <w:tcW w:w="710" w:type="dxa"/>
            <w:tcBorders>
              <w:top w:val="nil"/>
              <w:left w:val="nil"/>
              <w:bottom w:val="single" w:sz="4" w:space="0" w:color="auto"/>
              <w:right w:val="single" w:sz="4" w:space="0" w:color="auto"/>
            </w:tcBorders>
            <w:shd w:val="clear" w:color="auto" w:fill="auto"/>
            <w:noWrap/>
            <w:vAlign w:val="center"/>
            <w:hideMark/>
          </w:tcPr>
          <w:p w14:paraId="5D46123E" w14:textId="5806E091"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82</w:t>
            </w:r>
          </w:p>
        </w:tc>
        <w:tc>
          <w:tcPr>
            <w:tcW w:w="709" w:type="dxa"/>
            <w:tcBorders>
              <w:top w:val="nil"/>
              <w:left w:val="nil"/>
              <w:bottom w:val="single" w:sz="4" w:space="0" w:color="auto"/>
              <w:right w:val="single" w:sz="4" w:space="0" w:color="auto"/>
            </w:tcBorders>
            <w:shd w:val="clear" w:color="auto" w:fill="auto"/>
            <w:noWrap/>
            <w:vAlign w:val="center"/>
            <w:hideMark/>
          </w:tcPr>
          <w:p w14:paraId="6436B1A8" w14:textId="6851AA6D"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0</w:t>
            </w:r>
          </w:p>
        </w:tc>
        <w:tc>
          <w:tcPr>
            <w:tcW w:w="710" w:type="dxa"/>
            <w:tcBorders>
              <w:top w:val="nil"/>
              <w:left w:val="nil"/>
              <w:bottom w:val="single" w:sz="4" w:space="0" w:color="auto"/>
              <w:right w:val="single" w:sz="4" w:space="0" w:color="auto"/>
            </w:tcBorders>
            <w:shd w:val="clear" w:color="auto" w:fill="auto"/>
            <w:noWrap/>
            <w:vAlign w:val="center"/>
            <w:hideMark/>
          </w:tcPr>
          <w:p w14:paraId="214A71C5" w14:textId="55E71E1A"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105</w:t>
            </w:r>
          </w:p>
        </w:tc>
        <w:tc>
          <w:tcPr>
            <w:tcW w:w="709" w:type="dxa"/>
            <w:tcBorders>
              <w:top w:val="nil"/>
              <w:left w:val="nil"/>
              <w:bottom w:val="single" w:sz="4" w:space="0" w:color="auto"/>
              <w:right w:val="single" w:sz="4" w:space="0" w:color="auto"/>
            </w:tcBorders>
            <w:shd w:val="clear" w:color="auto" w:fill="auto"/>
            <w:noWrap/>
            <w:vAlign w:val="center"/>
            <w:hideMark/>
          </w:tcPr>
          <w:p w14:paraId="3FFB5015" w14:textId="66486378"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center"/>
            <w:hideMark/>
          </w:tcPr>
          <w:p w14:paraId="273C1457" w14:textId="27DE18D9"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179</w:t>
            </w:r>
          </w:p>
        </w:tc>
        <w:tc>
          <w:tcPr>
            <w:tcW w:w="643" w:type="dxa"/>
            <w:tcBorders>
              <w:top w:val="nil"/>
              <w:left w:val="nil"/>
              <w:bottom w:val="single" w:sz="4" w:space="0" w:color="auto"/>
              <w:right w:val="single" w:sz="4" w:space="0" w:color="auto"/>
            </w:tcBorders>
            <w:shd w:val="clear" w:color="auto" w:fill="auto"/>
            <w:noWrap/>
            <w:vAlign w:val="center"/>
            <w:hideMark/>
          </w:tcPr>
          <w:p w14:paraId="46E517DC" w14:textId="624D1D11"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1</w:t>
            </w:r>
          </w:p>
        </w:tc>
        <w:tc>
          <w:tcPr>
            <w:tcW w:w="674" w:type="dxa"/>
            <w:tcBorders>
              <w:top w:val="nil"/>
              <w:left w:val="nil"/>
              <w:bottom w:val="single" w:sz="4" w:space="0" w:color="auto"/>
              <w:right w:val="single" w:sz="4" w:space="0" w:color="auto"/>
            </w:tcBorders>
            <w:shd w:val="clear" w:color="auto" w:fill="auto"/>
            <w:noWrap/>
            <w:vAlign w:val="center"/>
            <w:hideMark/>
          </w:tcPr>
          <w:p w14:paraId="5DD12CFC" w14:textId="788A8073" w:rsidR="000653F2" w:rsidRPr="00D73047" w:rsidRDefault="000653F2" w:rsidP="00C26E87">
            <w:pPr>
              <w:jc w:val="center"/>
              <w:rPr>
                <w:rFonts w:asciiTheme="minorHAnsi" w:hAnsiTheme="minorHAnsi" w:cstheme="minorHAnsi"/>
                <w:color w:val="000000"/>
                <w:sz w:val="20"/>
                <w:szCs w:val="20"/>
              </w:rPr>
            </w:pPr>
            <w:r w:rsidRPr="00D73047">
              <w:rPr>
                <w:rFonts w:cs="Calibri"/>
                <w:color w:val="000000"/>
                <w:sz w:val="20"/>
                <w:szCs w:val="20"/>
              </w:rPr>
              <w:t>7</w:t>
            </w:r>
          </w:p>
        </w:tc>
      </w:tr>
      <w:tr w:rsidR="00A03AFF" w:rsidRPr="00DE4F5A" w14:paraId="40AE23C6" w14:textId="211C3BA3" w:rsidTr="00D73047">
        <w:trPr>
          <w:trHeight w:val="472"/>
        </w:trPr>
        <w:tc>
          <w:tcPr>
            <w:tcW w:w="9059" w:type="dxa"/>
            <w:gridSpan w:val="11"/>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9258D64" w14:textId="337EC36F" w:rsidR="00A03AFF" w:rsidRPr="00A03AFF" w:rsidRDefault="00236844" w:rsidP="00236844">
            <w:pPr>
              <w:jc w:val="left"/>
              <w:rPr>
                <w:rFonts w:asciiTheme="minorHAnsi" w:hAnsiTheme="minorHAnsi" w:cstheme="minorHAnsi"/>
                <w:color w:val="000000"/>
                <w:sz w:val="20"/>
                <w:szCs w:val="20"/>
              </w:rPr>
            </w:pPr>
            <w:r w:rsidRPr="00A03AFF">
              <w:rPr>
                <w:rFonts w:asciiTheme="minorHAnsi" w:hAnsiTheme="minorHAnsi" w:cstheme="minorHAnsi"/>
                <w:b/>
                <w:bCs/>
                <w:color w:val="000000"/>
                <w:sz w:val="20"/>
                <w:szCs w:val="20"/>
              </w:rPr>
              <w:t xml:space="preserve">Region wodny </w:t>
            </w:r>
            <w:r>
              <w:rPr>
                <w:rFonts w:asciiTheme="minorHAnsi" w:hAnsiTheme="minorHAnsi" w:cstheme="minorHAnsi"/>
                <w:b/>
                <w:bCs/>
                <w:color w:val="000000"/>
                <w:sz w:val="20"/>
                <w:szCs w:val="20"/>
              </w:rPr>
              <w:t xml:space="preserve">(aPGW, </w:t>
            </w:r>
            <w:r w:rsidRPr="00A03AFF">
              <w:rPr>
                <w:rFonts w:asciiTheme="minorHAnsi" w:hAnsiTheme="minorHAnsi" w:cstheme="minorHAnsi"/>
                <w:b/>
                <w:bCs/>
                <w:color w:val="000000"/>
                <w:sz w:val="20"/>
                <w:szCs w:val="20"/>
              </w:rPr>
              <w:t>IIaPGW</w:t>
            </w:r>
            <w:r>
              <w:rPr>
                <w:rFonts w:asciiTheme="minorHAnsi" w:hAnsiTheme="minorHAnsi" w:cstheme="minorHAnsi"/>
                <w:b/>
                <w:bCs/>
                <w:color w:val="000000"/>
                <w:sz w:val="20"/>
                <w:szCs w:val="20"/>
              </w:rPr>
              <w:t>)</w:t>
            </w:r>
          </w:p>
        </w:tc>
      </w:tr>
      <w:tr w:rsidR="000653F2" w:rsidRPr="006241EE" w14:paraId="3CCD7ACA" w14:textId="77777777" w:rsidTr="009C03E2">
        <w:trPr>
          <w:trHeight w:val="288"/>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39F32BA" w14:textId="7D43F2A9" w:rsidR="000653F2" w:rsidRPr="00A03AFF" w:rsidRDefault="00236844" w:rsidP="00C26E87">
            <w:pPr>
              <w:jc w:val="center"/>
              <w:rPr>
                <w:rFonts w:asciiTheme="minorHAnsi" w:hAnsiTheme="minorHAnsi" w:cstheme="minorHAnsi"/>
                <w:color w:val="000000"/>
                <w:sz w:val="20"/>
                <w:szCs w:val="20"/>
              </w:rPr>
            </w:pPr>
            <w:r w:rsidRPr="00A03AFF">
              <w:rPr>
                <w:rFonts w:asciiTheme="minorHAnsi" w:hAnsiTheme="minorHAnsi" w:cstheme="minorHAnsi"/>
                <w:b/>
                <w:bCs/>
                <w:color w:val="000000"/>
                <w:sz w:val="20"/>
                <w:szCs w:val="20"/>
              </w:rPr>
              <w:t>Region wodny aPGW</w:t>
            </w:r>
          </w:p>
        </w:tc>
        <w:tc>
          <w:tcPr>
            <w:tcW w:w="979" w:type="dxa"/>
            <w:tcBorders>
              <w:top w:val="nil"/>
              <w:left w:val="nil"/>
              <w:bottom w:val="single" w:sz="4" w:space="0" w:color="auto"/>
              <w:right w:val="single" w:sz="4" w:space="0" w:color="auto"/>
            </w:tcBorders>
            <w:shd w:val="clear" w:color="auto" w:fill="auto"/>
            <w:noWrap/>
            <w:vAlign w:val="center"/>
            <w:hideMark/>
          </w:tcPr>
          <w:p w14:paraId="3D69F492" w14:textId="3441D960"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Łyny i</w:t>
            </w:r>
            <w:r w:rsidR="009C03E2">
              <w:rPr>
                <w:rFonts w:asciiTheme="minorHAnsi" w:hAnsiTheme="minorHAnsi" w:cstheme="minorHAnsi"/>
                <w:color w:val="000000"/>
                <w:sz w:val="20"/>
                <w:szCs w:val="20"/>
              </w:rPr>
              <w:t xml:space="preserve"> </w:t>
            </w:r>
            <w:r w:rsidRPr="00A03AFF">
              <w:rPr>
                <w:rFonts w:asciiTheme="minorHAnsi" w:hAnsiTheme="minorHAnsi" w:cstheme="minorHAnsi"/>
                <w:color w:val="000000"/>
                <w:sz w:val="20"/>
                <w:szCs w:val="20"/>
              </w:rPr>
              <w:t>Węgorapy</w:t>
            </w:r>
          </w:p>
        </w:tc>
        <w:tc>
          <w:tcPr>
            <w:tcW w:w="1032" w:type="dxa"/>
            <w:tcBorders>
              <w:top w:val="nil"/>
              <w:left w:val="nil"/>
              <w:bottom w:val="single" w:sz="4" w:space="0" w:color="auto"/>
              <w:right w:val="single" w:sz="4" w:space="0" w:color="auto"/>
            </w:tcBorders>
            <w:shd w:val="clear" w:color="auto" w:fill="auto"/>
            <w:noWrap/>
            <w:vAlign w:val="center"/>
            <w:hideMark/>
          </w:tcPr>
          <w:p w14:paraId="24D84734"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aPGW</w:t>
            </w:r>
          </w:p>
        </w:tc>
        <w:tc>
          <w:tcPr>
            <w:tcW w:w="766" w:type="dxa"/>
            <w:tcBorders>
              <w:top w:val="nil"/>
              <w:left w:val="nil"/>
              <w:bottom w:val="single" w:sz="4" w:space="0" w:color="auto"/>
              <w:right w:val="single" w:sz="4" w:space="0" w:color="auto"/>
            </w:tcBorders>
            <w:shd w:val="clear" w:color="auto" w:fill="auto"/>
            <w:noWrap/>
            <w:vAlign w:val="center"/>
            <w:hideMark/>
          </w:tcPr>
          <w:p w14:paraId="18305848"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221</w:t>
            </w:r>
          </w:p>
        </w:tc>
        <w:tc>
          <w:tcPr>
            <w:tcW w:w="710" w:type="dxa"/>
            <w:tcBorders>
              <w:top w:val="nil"/>
              <w:left w:val="nil"/>
              <w:bottom w:val="single" w:sz="4" w:space="0" w:color="auto"/>
              <w:right w:val="single" w:sz="4" w:space="0" w:color="auto"/>
            </w:tcBorders>
            <w:shd w:val="clear" w:color="auto" w:fill="auto"/>
            <w:noWrap/>
            <w:vAlign w:val="center"/>
            <w:hideMark/>
          </w:tcPr>
          <w:p w14:paraId="11B77316"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120</w:t>
            </w:r>
          </w:p>
        </w:tc>
        <w:tc>
          <w:tcPr>
            <w:tcW w:w="709" w:type="dxa"/>
            <w:tcBorders>
              <w:top w:val="nil"/>
              <w:left w:val="nil"/>
              <w:bottom w:val="single" w:sz="4" w:space="0" w:color="auto"/>
              <w:right w:val="single" w:sz="4" w:space="0" w:color="auto"/>
            </w:tcBorders>
            <w:shd w:val="clear" w:color="auto" w:fill="auto"/>
            <w:noWrap/>
            <w:vAlign w:val="center"/>
            <w:hideMark/>
          </w:tcPr>
          <w:p w14:paraId="45C6DDEC"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0</w:t>
            </w:r>
          </w:p>
        </w:tc>
        <w:tc>
          <w:tcPr>
            <w:tcW w:w="710" w:type="dxa"/>
            <w:tcBorders>
              <w:top w:val="nil"/>
              <w:left w:val="nil"/>
              <w:bottom w:val="single" w:sz="4" w:space="0" w:color="auto"/>
              <w:right w:val="single" w:sz="4" w:space="0" w:color="auto"/>
            </w:tcBorders>
            <w:shd w:val="clear" w:color="auto" w:fill="auto"/>
            <w:noWrap/>
            <w:vAlign w:val="center"/>
            <w:hideMark/>
          </w:tcPr>
          <w:p w14:paraId="793C72C9"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101</w:t>
            </w:r>
          </w:p>
        </w:tc>
        <w:tc>
          <w:tcPr>
            <w:tcW w:w="709" w:type="dxa"/>
            <w:tcBorders>
              <w:top w:val="nil"/>
              <w:left w:val="nil"/>
              <w:bottom w:val="single" w:sz="4" w:space="0" w:color="auto"/>
              <w:right w:val="single" w:sz="4" w:space="0" w:color="auto"/>
            </w:tcBorders>
            <w:shd w:val="clear" w:color="auto" w:fill="auto"/>
            <w:noWrap/>
            <w:vAlign w:val="center"/>
            <w:hideMark/>
          </w:tcPr>
          <w:p w14:paraId="1F0C70DF"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center"/>
            <w:hideMark/>
          </w:tcPr>
          <w:p w14:paraId="3B52EB8F"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214</w:t>
            </w:r>
          </w:p>
        </w:tc>
        <w:tc>
          <w:tcPr>
            <w:tcW w:w="643" w:type="dxa"/>
            <w:tcBorders>
              <w:top w:val="nil"/>
              <w:left w:val="nil"/>
              <w:bottom w:val="single" w:sz="4" w:space="0" w:color="auto"/>
              <w:right w:val="single" w:sz="4" w:space="0" w:color="auto"/>
            </w:tcBorders>
            <w:shd w:val="clear" w:color="auto" w:fill="auto"/>
            <w:noWrap/>
            <w:vAlign w:val="center"/>
            <w:hideMark/>
          </w:tcPr>
          <w:p w14:paraId="7723B0E7"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3</w:t>
            </w:r>
          </w:p>
        </w:tc>
        <w:tc>
          <w:tcPr>
            <w:tcW w:w="674" w:type="dxa"/>
            <w:tcBorders>
              <w:top w:val="nil"/>
              <w:left w:val="nil"/>
              <w:bottom w:val="single" w:sz="4" w:space="0" w:color="auto"/>
              <w:right w:val="single" w:sz="4" w:space="0" w:color="auto"/>
            </w:tcBorders>
            <w:shd w:val="clear" w:color="auto" w:fill="auto"/>
            <w:noWrap/>
            <w:vAlign w:val="center"/>
            <w:hideMark/>
          </w:tcPr>
          <w:p w14:paraId="2F467399"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4</w:t>
            </w:r>
          </w:p>
        </w:tc>
      </w:tr>
      <w:tr w:rsidR="000653F2" w:rsidRPr="006241EE" w14:paraId="125380D7" w14:textId="77777777" w:rsidTr="00D73047">
        <w:trPr>
          <w:trHeight w:val="288"/>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1EC78CA" w14:textId="6A8E025D" w:rsidR="000653F2" w:rsidRPr="00A03AFF" w:rsidRDefault="00236844" w:rsidP="00C26E87">
            <w:pPr>
              <w:jc w:val="center"/>
              <w:rPr>
                <w:rFonts w:asciiTheme="minorHAnsi" w:hAnsiTheme="minorHAnsi" w:cstheme="minorHAnsi"/>
                <w:color w:val="000000"/>
                <w:sz w:val="20"/>
                <w:szCs w:val="20"/>
              </w:rPr>
            </w:pPr>
            <w:r w:rsidRPr="00A03AFF">
              <w:rPr>
                <w:rFonts w:asciiTheme="minorHAnsi" w:hAnsiTheme="minorHAnsi" w:cstheme="minorHAnsi"/>
                <w:b/>
                <w:bCs/>
                <w:color w:val="000000"/>
                <w:sz w:val="20"/>
                <w:szCs w:val="20"/>
              </w:rPr>
              <w:t>Region wodny IIaPGW</w:t>
            </w:r>
          </w:p>
        </w:tc>
        <w:tc>
          <w:tcPr>
            <w:tcW w:w="979" w:type="dxa"/>
            <w:tcBorders>
              <w:top w:val="nil"/>
              <w:left w:val="nil"/>
              <w:bottom w:val="single" w:sz="4" w:space="0" w:color="auto"/>
              <w:right w:val="single" w:sz="4" w:space="0" w:color="auto"/>
            </w:tcBorders>
            <w:shd w:val="clear" w:color="auto" w:fill="auto"/>
            <w:noWrap/>
            <w:vAlign w:val="center"/>
            <w:hideMark/>
          </w:tcPr>
          <w:p w14:paraId="57E2BC51" w14:textId="2D08CF36" w:rsidR="000653F2" w:rsidRPr="006241EE" w:rsidRDefault="00236844" w:rsidP="00C26E87">
            <w:pPr>
              <w:jc w:val="center"/>
              <w:rPr>
                <w:rFonts w:asciiTheme="minorHAnsi" w:hAnsiTheme="minorHAnsi" w:cstheme="minorHAnsi"/>
                <w:color w:val="000000"/>
                <w:sz w:val="18"/>
                <w:szCs w:val="18"/>
              </w:rPr>
            </w:pPr>
            <w:r w:rsidRPr="00A03AFF">
              <w:rPr>
                <w:rFonts w:asciiTheme="minorHAnsi" w:hAnsiTheme="minorHAnsi" w:cstheme="minorHAnsi"/>
                <w:color w:val="000000"/>
                <w:sz w:val="20"/>
                <w:szCs w:val="20"/>
              </w:rPr>
              <w:t>Łyny i Węgorapy</w:t>
            </w:r>
          </w:p>
        </w:tc>
        <w:tc>
          <w:tcPr>
            <w:tcW w:w="1032" w:type="dxa"/>
            <w:tcBorders>
              <w:top w:val="nil"/>
              <w:left w:val="nil"/>
              <w:bottom w:val="single" w:sz="4" w:space="0" w:color="auto"/>
              <w:right w:val="single" w:sz="4" w:space="0" w:color="auto"/>
            </w:tcBorders>
            <w:shd w:val="clear" w:color="auto" w:fill="auto"/>
            <w:noWrap/>
            <w:vAlign w:val="center"/>
            <w:hideMark/>
          </w:tcPr>
          <w:p w14:paraId="305F4E96"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IIaPGW</w:t>
            </w:r>
          </w:p>
        </w:tc>
        <w:tc>
          <w:tcPr>
            <w:tcW w:w="766" w:type="dxa"/>
            <w:tcBorders>
              <w:top w:val="nil"/>
              <w:left w:val="nil"/>
              <w:bottom w:val="single" w:sz="4" w:space="0" w:color="auto"/>
              <w:right w:val="single" w:sz="4" w:space="0" w:color="auto"/>
            </w:tcBorders>
            <w:shd w:val="clear" w:color="auto" w:fill="auto"/>
            <w:noWrap/>
            <w:vAlign w:val="center"/>
            <w:hideMark/>
          </w:tcPr>
          <w:p w14:paraId="53569E31"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187</w:t>
            </w:r>
          </w:p>
        </w:tc>
        <w:tc>
          <w:tcPr>
            <w:tcW w:w="710" w:type="dxa"/>
            <w:tcBorders>
              <w:top w:val="nil"/>
              <w:left w:val="nil"/>
              <w:bottom w:val="single" w:sz="4" w:space="0" w:color="auto"/>
              <w:right w:val="single" w:sz="4" w:space="0" w:color="auto"/>
            </w:tcBorders>
            <w:shd w:val="clear" w:color="auto" w:fill="auto"/>
            <w:noWrap/>
            <w:vAlign w:val="center"/>
            <w:hideMark/>
          </w:tcPr>
          <w:p w14:paraId="3CFFA581"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82</w:t>
            </w:r>
          </w:p>
        </w:tc>
        <w:tc>
          <w:tcPr>
            <w:tcW w:w="709" w:type="dxa"/>
            <w:tcBorders>
              <w:top w:val="nil"/>
              <w:left w:val="nil"/>
              <w:bottom w:val="single" w:sz="4" w:space="0" w:color="auto"/>
              <w:right w:val="single" w:sz="4" w:space="0" w:color="auto"/>
            </w:tcBorders>
            <w:shd w:val="clear" w:color="auto" w:fill="auto"/>
            <w:noWrap/>
            <w:vAlign w:val="center"/>
            <w:hideMark/>
          </w:tcPr>
          <w:p w14:paraId="367D0853"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0</w:t>
            </w:r>
          </w:p>
        </w:tc>
        <w:tc>
          <w:tcPr>
            <w:tcW w:w="710" w:type="dxa"/>
            <w:tcBorders>
              <w:top w:val="nil"/>
              <w:left w:val="nil"/>
              <w:bottom w:val="single" w:sz="4" w:space="0" w:color="auto"/>
              <w:right w:val="single" w:sz="4" w:space="0" w:color="auto"/>
            </w:tcBorders>
            <w:shd w:val="clear" w:color="auto" w:fill="auto"/>
            <w:noWrap/>
            <w:vAlign w:val="center"/>
            <w:hideMark/>
          </w:tcPr>
          <w:p w14:paraId="75B53669"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105</w:t>
            </w:r>
          </w:p>
        </w:tc>
        <w:tc>
          <w:tcPr>
            <w:tcW w:w="709" w:type="dxa"/>
            <w:tcBorders>
              <w:top w:val="nil"/>
              <w:left w:val="nil"/>
              <w:bottom w:val="single" w:sz="4" w:space="0" w:color="auto"/>
              <w:right w:val="single" w:sz="4" w:space="0" w:color="auto"/>
            </w:tcBorders>
            <w:shd w:val="clear" w:color="auto" w:fill="auto"/>
            <w:noWrap/>
            <w:vAlign w:val="center"/>
            <w:hideMark/>
          </w:tcPr>
          <w:p w14:paraId="43F54751"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center"/>
            <w:hideMark/>
          </w:tcPr>
          <w:p w14:paraId="33BDBAEE"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179</w:t>
            </w:r>
          </w:p>
        </w:tc>
        <w:tc>
          <w:tcPr>
            <w:tcW w:w="643" w:type="dxa"/>
            <w:tcBorders>
              <w:top w:val="nil"/>
              <w:left w:val="nil"/>
              <w:bottom w:val="single" w:sz="4" w:space="0" w:color="auto"/>
              <w:right w:val="single" w:sz="4" w:space="0" w:color="auto"/>
            </w:tcBorders>
            <w:shd w:val="clear" w:color="auto" w:fill="auto"/>
            <w:noWrap/>
            <w:vAlign w:val="center"/>
            <w:hideMark/>
          </w:tcPr>
          <w:p w14:paraId="10B90166"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1</w:t>
            </w:r>
          </w:p>
        </w:tc>
        <w:tc>
          <w:tcPr>
            <w:tcW w:w="674" w:type="dxa"/>
            <w:tcBorders>
              <w:top w:val="nil"/>
              <w:left w:val="nil"/>
              <w:bottom w:val="single" w:sz="4" w:space="0" w:color="auto"/>
              <w:right w:val="single" w:sz="4" w:space="0" w:color="auto"/>
            </w:tcBorders>
            <w:shd w:val="clear" w:color="auto" w:fill="auto"/>
            <w:noWrap/>
            <w:vAlign w:val="center"/>
            <w:hideMark/>
          </w:tcPr>
          <w:p w14:paraId="24775DBA" w14:textId="77777777" w:rsidR="000653F2" w:rsidRPr="00A03AFF" w:rsidRDefault="000653F2" w:rsidP="00C26E87">
            <w:pPr>
              <w:jc w:val="center"/>
              <w:rPr>
                <w:rFonts w:asciiTheme="minorHAnsi" w:hAnsiTheme="minorHAnsi" w:cstheme="minorHAnsi"/>
                <w:color w:val="000000"/>
                <w:sz w:val="20"/>
                <w:szCs w:val="20"/>
              </w:rPr>
            </w:pPr>
            <w:r w:rsidRPr="00A03AFF">
              <w:rPr>
                <w:rFonts w:asciiTheme="minorHAnsi" w:hAnsiTheme="minorHAnsi" w:cstheme="minorHAnsi"/>
                <w:color w:val="000000"/>
                <w:sz w:val="20"/>
                <w:szCs w:val="20"/>
              </w:rPr>
              <w:t>7</w:t>
            </w:r>
          </w:p>
        </w:tc>
      </w:tr>
    </w:tbl>
    <w:p w14:paraId="7014438B" w14:textId="65044EE1" w:rsidR="009C03E2" w:rsidRPr="007A3811" w:rsidRDefault="009C03E2" w:rsidP="009C03E2">
      <w:pPr>
        <w:pStyle w:val="rdo0"/>
      </w:pPr>
      <w:r w:rsidRPr="007A3811">
        <w:t xml:space="preserve">Źródło: </w:t>
      </w:r>
      <w:r>
        <w:t xml:space="preserve">opracowanie </w:t>
      </w:r>
      <w:r w:rsidR="00F52758">
        <w:t>własne</w:t>
      </w:r>
      <w:r w:rsidRPr="007A3811">
        <w:t xml:space="preserve"> na podstawie aPWŚK, 2016</w:t>
      </w:r>
    </w:p>
    <w:p w14:paraId="28826A89" w14:textId="4EF0C5D9" w:rsidR="000653F2" w:rsidRDefault="000653F2" w:rsidP="001A20B0">
      <w:pPr>
        <w:pStyle w:val="Akapitzlist"/>
      </w:pPr>
      <w:r w:rsidRPr="003C6AAF">
        <w:t>zweryfikowanie podziału jcwpd</w:t>
      </w:r>
      <w:r>
        <w:t>, obecnie obowiązuje podział na 174 jcwpd. ,</w:t>
      </w:r>
    </w:p>
    <w:p w14:paraId="2E3DC69D" w14:textId="0E175E7F" w:rsidR="000653F2" w:rsidRPr="00D21855" w:rsidRDefault="000653F2" w:rsidP="001A20B0">
      <w:pPr>
        <w:pStyle w:val="Akapitzlist"/>
        <w:numPr>
          <w:ilvl w:val="0"/>
          <w:numId w:val="0"/>
        </w:numPr>
        <w:ind w:left="567"/>
        <w:rPr>
          <w:rFonts w:asciiTheme="minorHAnsi" w:hAnsiTheme="minorHAnsi"/>
        </w:rPr>
      </w:pPr>
      <w:r w:rsidRPr="00D21855">
        <w:rPr>
          <w:rFonts w:asciiTheme="minorHAnsi" w:hAnsiTheme="minorHAnsi"/>
        </w:rPr>
        <w:t>Na cykl planistyczny 2016-202</w:t>
      </w:r>
      <w:r>
        <w:rPr>
          <w:rFonts w:asciiTheme="minorHAnsi" w:hAnsiTheme="minorHAnsi"/>
        </w:rPr>
        <w:t>1</w:t>
      </w:r>
      <w:r w:rsidRPr="00D21855">
        <w:rPr>
          <w:rFonts w:asciiTheme="minorHAnsi" w:hAnsiTheme="minorHAnsi"/>
        </w:rPr>
        <w:t xml:space="preserve"> obowiązywał podział Polski na 172 jcwpd i 4 subczęści wydzielone poza </w:t>
      </w:r>
      <w:r w:rsidR="005D7B01">
        <w:rPr>
          <w:rFonts w:asciiTheme="minorHAnsi" w:hAnsiTheme="minorHAnsi"/>
        </w:rPr>
        <w:t xml:space="preserve">obszarem </w:t>
      </w:r>
      <w:r w:rsidRPr="00D21855">
        <w:rPr>
          <w:rFonts w:asciiTheme="minorHAnsi" w:hAnsiTheme="minorHAnsi"/>
        </w:rPr>
        <w:t>dorzecz</w:t>
      </w:r>
      <w:r w:rsidR="005D7B01">
        <w:rPr>
          <w:rFonts w:asciiTheme="minorHAnsi" w:hAnsiTheme="minorHAnsi"/>
        </w:rPr>
        <w:t>a</w:t>
      </w:r>
      <w:r w:rsidRPr="00D21855">
        <w:rPr>
          <w:rFonts w:asciiTheme="minorHAnsi" w:hAnsiTheme="minorHAnsi"/>
        </w:rPr>
        <w:t xml:space="preserve"> </w:t>
      </w:r>
      <w:r w:rsidR="00C26E87">
        <w:rPr>
          <w:rFonts w:asciiTheme="minorHAnsi" w:hAnsiTheme="minorHAnsi"/>
        </w:rPr>
        <w:t>Pregoły</w:t>
      </w:r>
      <w:r w:rsidRPr="00D21855">
        <w:rPr>
          <w:rFonts w:asciiTheme="minorHAnsi" w:hAnsiTheme="minorHAnsi"/>
        </w:rPr>
        <w:t>. Zasadniczym kryterium wydzieleń był podział zlewniowy i częściowe przyjęcie obszarów bilansowych jako podstawowych jednostek determinujących nowe wydzielenia. Od zasady podziału zlewniowego w obrębie dorzecza odstąpiono w kilku przypadkach:</w:t>
      </w:r>
    </w:p>
    <w:p w14:paraId="12F93B65" w14:textId="596AC9E2" w:rsidR="000653F2" w:rsidRPr="00DE4F5A" w:rsidRDefault="000653F2" w:rsidP="00AA3506">
      <w:pPr>
        <w:pStyle w:val="Akapitzlist"/>
        <w:numPr>
          <w:ilvl w:val="0"/>
          <w:numId w:val="112"/>
        </w:numPr>
        <w:ind w:left="993"/>
      </w:pPr>
      <w:r w:rsidRPr="00DE4F5A">
        <w:t xml:space="preserve">jcwpd 64 </w:t>
      </w:r>
      <w:r w:rsidR="006C4947">
        <w:t>-</w:t>
      </w:r>
      <w:r w:rsidRPr="00DE4F5A">
        <w:t xml:space="preserve"> wydzielenie Kampinoskiego Parku Narodowego,</w:t>
      </w:r>
    </w:p>
    <w:p w14:paraId="7E685AAB" w14:textId="6F6A5A5F" w:rsidR="000653F2" w:rsidRPr="00DE4F5A" w:rsidRDefault="000653F2" w:rsidP="00AA3506">
      <w:pPr>
        <w:pStyle w:val="Akapitzlist"/>
        <w:numPr>
          <w:ilvl w:val="0"/>
          <w:numId w:val="112"/>
        </w:numPr>
        <w:ind w:left="993"/>
      </w:pPr>
      <w:r w:rsidRPr="00DE4F5A">
        <w:t xml:space="preserve">jcwpd 12 </w:t>
      </w:r>
      <w:r w:rsidR="006C4947">
        <w:t>-</w:t>
      </w:r>
      <w:r w:rsidRPr="00DE4F5A">
        <w:t xml:space="preserve"> wydzielenie Słowińskiego Parku Narodowego,</w:t>
      </w:r>
    </w:p>
    <w:p w14:paraId="046B4F2E" w14:textId="2232C7E3" w:rsidR="000653F2" w:rsidRPr="00DE4F5A" w:rsidRDefault="000653F2" w:rsidP="00AA3506">
      <w:pPr>
        <w:pStyle w:val="Akapitzlist"/>
        <w:numPr>
          <w:ilvl w:val="0"/>
          <w:numId w:val="112"/>
        </w:numPr>
        <w:ind w:left="993"/>
      </w:pPr>
      <w:r w:rsidRPr="00DE4F5A">
        <w:t xml:space="preserve">jcwpd 15, 16 oraz 18 </w:t>
      </w:r>
      <w:r w:rsidR="006C4947">
        <w:t>-</w:t>
      </w:r>
      <w:r w:rsidRPr="00DE4F5A">
        <w:t xml:space="preserve"> wydzielenie obszaru Żuław Wiślanych, w którym uwzględniono polderowy system odwodnieniowy,</w:t>
      </w:r>
    </w:p>
    <w:p w14:paraId="23C95155" w14:textId="3CF9A83F" w:rsidR="000653F2" w:rsidRPr="00DE4F5A" w:rsidRDefault="000653F2" w:rsidP="00AA3506">
      <w:pPr>
        <w:pStyle w:val="Akapitzlist"/>
        <w:numPr>
          <w:ilvl w:val="0"/>
          <w:numId w:val="112"/>
        </w:numPr>
        <w:ind w:left="993"/>
      </w:pPr>
      <w:r w:rsidRPr="00DE4F5A">
        <w:t xml:space="preserve">jcwpd 17 </w:t>
      </w:r>
      <w:r w:rsidR="006C4947">
        <w:t>-</w:t>
      </w:r>
      <w:r w:rsidRPr="00DE4F5A">
        <w:t xml:space="preserve"> wydzielenie Mierzei Wiślanej,</w:t>
      </w:r>
    </w:p>
    <w:p w14:paraId="7D41F780" w14:textId="47F77603" w:rsidR="000653F2" w:rsidRPr="00DE4F5A" w:rsidRDefault="000653F2" w:rsidP="00AA3506">
      <w:pPr>
        <w:pStyle w:val="Akapitzlist"/>
        <w:numPr>
          <w:ilvl w:val="0"/>
          <w:numId w:val="112"/>
        </w:numPr>
        <w:ind w:left="993"/>
      </w:pPr>
      <w:r w:rsidRPr="00DE4F5A">
        <w:t xml:space="preserve">jcwpd 14 </w:t>
      </w:r>
      <w:r w:rsidR="006C4947">
        <w:t>-</w:t>
      </w:r>
      <w:r w:rsidRPr="00DE4F5A">
        <w:t xml:space="preserve"> wydzielenie półwyspu Hel.</w:t>
      </w:r>
    </w:p>
    <w:p w14:paraId="66C0F098" w14:textId="42A43BF2" w:rsidR="000653F2" w:rsidRDefault="000653F2" w:rsidP="001A20B0">
      <w:pPr>
        <w:suppressAutoHyphens/>
        <w:ind w:left="567"/>
        <w:rPr>
          <w:rFonts w:asciiTheme="minorHAnsi" w:hAnsiTheme="minorHAnsi"/>
          <w:color w:val="000000"/>
        </w:rPr>
      </w:pPr>
      <w:r>
        <w:rPr>
          <w:rFonts w:asciiTheme="minorHAnsi" w:hAnsiTheme="minorHAnsi"/>
        </w:rPr>
        <w:t xml:space="preserve">Na cykl </w:t>
      </w:r>
      <w:r w:rsidRPr="00D21855">
        <w:rPr>
          <w:rFonts w:asciiTheme="minorHAnsi" w:hAnsiTheme="minorHAnsi"/>
        </w:rPr>
        <w:t>planistyczny 2022-2027 zastosowano podział na 174 jcwpd</w:t>
      </w:r>
      <w:r>
        <w:rPr>
          <w:rFonts w:asciiTheme="minorHAnsi" w:hAnsiTheme="minorHAnsi"/>
        </w:rPr>
        <w:t xml:space="preserve"> w skali kraju</w:t>
      </w:r>
      <w:r w:rsidRPr="00D21855">
        <w:rPr>
          <w:rFonts w:asciiTheme="minorHAnsi" w:hAnsiTheme="minorHAnsi"/>
        </w:rPr>
        <w:t xml:space="preserve">. Zasadniczą zmianą względem poprzedniego cyklu planistycznego </w:t>
      </w:r>
      <w:r>
        <w:rPr>
          <w:rFonts w:asciiTheme="minorHAnsi" w:hAnsiTheme="minorHAnsi"/>
        </w:rPr>
        <w:t>jest</w:t>
      </w:r>
      <w:r w:rsidRPr="00D21855">
        <w:rPr>
          <w:rFonts w:asciiTheme="minorHAnsi" w:hAnsiTheme="minorHAnsi"/>
        </w:rPr>
        <w:t xml:space="preserve"> wy</w:t>
      </w:r>
      <w:r w:rsidRPr="00DE4F5A">
        <w:rPr>
          <w:rFonts w:asciiTheme="minorHAnsi" w:hAnsiTheme="minorHAnsi"/>
          <w:color w:val="000000"/>
        </w:rPr>
        <w:t xml:space="preserve">eliminowanie sytuacji, w których jedna jcwpd będzie </w:t>
      </w:r>
      <w:r w:rsidRPr="006241EE">
        <w:rPr>
          <w:rFonts w:asciiTheme="minorHAnsi" w:hAnsiTheme="minorHAnsi"/>
          <w:color w:val="000000"/>
        </w:rPr>
        <w:t>obejmowała obszar kilku dorzeczy. Dlatego też wyodrębniono jcwpd nr</w:t>
      </w:r>
      <w:r w:rsidR="009C03E2">
        <w:rPr>
          <w:rFonts w:asciiTheme="minorHAnsi" w:hAnsiTheme="minorHAnsi"/>
          <w:color w:val="000000"/>
        </w:rPr>
        <w:t> </w:t>
      </w:r>
      <w:r w:rsidRPr="006241EE">
        <w:rPr>
          <w:rFonts w:asciiTheme="minorHAnsi" w:hAnsiTheme="minorHAnsi"/>
          <w:color w:val="000000"/>
        </w:rPr>
        <w:t xml:space="preserve">173, obejmującą </w:t>
      </w:r>
      <w:r w:rsidR="005D7B01">
        <w:rPr>
          <w:rFonts w:asciiTheme="minorHAnsi" w:hAnsiTheme="minorHAnsi"/>
          <w:color w:val="000000"/>
        </w:rPr>
        <w:t xml:space="preserve">obszar </w:t>
      </w:r>
      <w:r w:rsidRPr="006241EE">
        <w:rPr>
          <w:rFonts w:asciiTheme="minorHAnsi" w:hAnsiTheme="minorHAnsi"/>
          <w:color w:val="000000"/>
        </w:rPr>
        <w:t>dorzecz</w:t>
      </w:r>
      <w:r w:rsidR="005D7B01">
        <w:rPr>
          <w:rFonts w:asciiTheme="minorHAnsi" w:hAnsiTheme="minorHAnsi"/>
          <w:color w:val="000000"/>
        </w:rPr>
        <w:t>a</w:t>
      </w:r>
      <w:r w:rsidRPr="006241EE">
        <w:rPr>
          <w:rFonts w:asciiTheme="minorHAnsi" w:hAnsiTheme="minorHAnsi"/>
          <w:color w:val="000000"/>
        </w:rPr>
        <w:t xml:space="preserve"> Banówki, i jcwpd nr 174, obejmującą </w:t>
      </w:r>
      <w:r w:rsidR="005D7B01">
        <w:rPr>
          <w:rFonts w:asciiTheme="minorHAnsi" w:hAnsiTheme="minorHAnsi"/>
          <w:color w:val="000000"/>
        </w:rPr>
        <w:t xml:space="preserve">obszar </w:t>
      </w:r>
      <w:r w:rsidRPr="006241EE">
        <w:rPr>
          <w:rFonts w:asciiTheme="minorHAnsi" w:hAnsiTheme="minorHAnsi"/>
          <w:color w:val="000000"/>
        </w:rPr>
        <w:t>dorzecz</w:t>
      </w:r>
      <w:r w:rsidR="005D7B01">
        <w:rPr>
          <w:rFonts w:asciiTheme="minorHAnsi" w:hAnsiTheme="minorHAnsi"/>
          <w:color w:val="000000"/>
        </w:rPr>
        <w:t>a</w:t>
      </w:r>
      <w:r w:rsidRPr="006241EE">
        <w:rPr>
          <w:rFonts w:asciiTheme="minorHAnsi" w:hAnsiTheme="minorHAnsi"/>
          <w:color w:val="000000"/>
        </w:rPr>
        <w:t xml:space="preserve"> Świeżej. Obydwie jednolite części zostały oddzielone z jcwpd nr 20 (zawierającej dotychczas obszar trzech dorzeczy). W obrębie </w:t>
      </w:r>
      <w:r w:rsidR="005D7B01">
        <w:rPr>
          <w:rFonts w:asciiTheme="minorHAnsi" w:hAnsiTheme="minorHAnsi"/>
          <w:color w:val="000000"/>
        </w:rPr>
        <w:t xml:space="preserve">obszaru </w:t>
      </w:r>
      <w:r w:rsidRPr="006241EE">
        <w:rPr>
          <w:rFonts w:asciiTheme="minorHAnsi" w:hAnsiTheme="minorHAnsi"/>
          <w:color w:val="000000"/>
        </w:rPr>
        <w:t xml:space="preserve">dorzecza </w:t>
      </w:r>
      <w:r w:rsidR="00C26E87">
        <w:rPr>
          <w:rFonts w:asciiTheme="minorHAnsi" w:hAnsiTheme="minorHAnsi"/>
          <w:color w:val="000000"/>
        </w:rPr>
        <w:t xml:space="preserve">Pregoły </w:t>
      </w:r>
      <w:r w:rsidRPr="006241EE">
        <w:rPr>
          <w:rFonts w:asciiTheme="minorHAnsi" w:hAnsiTheme="minorHAnsi"/>
          <w:color w:val="000000"/>
        </w:rPr>
        <w:t>korekty granic jcwpd były mało znaczące. Obejmowały jedynie wyeliminowanie błędów topologicznych na granicach dorzeczy i dostosowanie granic jednolitych części do granic zlewni w oparciu o obecnie obowiązującą warstwę MPHP 10K.</w:t>
      </w:r>
    </w:p>
    <w:p w14:paraId="12DAE43E" w14:textId="631D29FF" w:rsidR="000653F2" w:rsidRPr="001A20B0" w:rsidRDefault="000653F2" w:rsidP="001A20B0">
      <w:pPr>
        <w:pStyle w:val="Akapitzlist"/>
      </w:pPr>
      <w:r w:rsidRPr="001A20B0">
        <w:t>zmiany rejestru obszarów chronionych (szczegółowe informacje zawiera rozdział 3 IIaPGW). Zmiana wprowadzona ustawą pr.w.; Nowelizacja ustawy Prawo wodne z 2017 r. (t.j. Dz. U. z</w:t>
      </w:r>
      <w:r w:rsidR="009C03E2" w:rsidRPr="001A20B0">
        <w:t> </w:t>
      </w:r>
      <w:r w:rsidRPr="001A20B0">
        <w:t xml:space="preserve">2020 r. poz. 310 z późn. zm.) wprowadziła nowy spis obszarów chronionych, względem obowiązującego w 2. cyklu planistycznym i uwzględnionego w aPGW z 2016 r. </w:t>
      </w:r>
    </w:p>
    <w:p w14:paraId="7272DD03" w14:textId="18838F99" w:rsidR="000653F2" w:rsidRPr="00970FA2" w:rsidRDefault="000653F2" w:rsidP="001A20B0">
      <w:pPr>
        <w:pStyle w:val="Akapitzlist"/>
        <w:numPr>
          <w:ilvl w:val="0"/>
          <w:numId w:val="0"/>
        </w:numPr>
        <w:ind w:left="567"/>
      </w:pPr>
      <w:r w:rsidRPr="00970FA2">
        <w:t xml:space="preserve">Artykuł 113 ust. 4 </w:t>
      </w:r>
      <w:r w:rsidR="00574864">
        <w:t xml:space="preserve">ustawy </w:t>
      </w:r>
      <w:r>
        <w:t>s.pr.w.</w:t>
      </w:r>
      <w:r w:rsidRPr="00970FA2">
        <w:t xml:space="preserve"> określał 6 typów wykazów obszarów chronionych, natomiast obecnie obowiązujące przepisy - art. 317 ust. 4 </w:t>
      </w:r>
      <w:r w:rsidR="00574864">
        <w:t xml:space="preserve">ustawy </w:t>
      </w:r>
      <w:r w:rsidRPr="00970FA2">
        <w:t>pr.w. wskazuje 5 typów obszarów chronionych. Nie sporządza się wykazu obszarów narażonych na zanieczyszczenia związkami azotu, pochodzącymi ze źródeł rolniczych.</w:t>
      </w:r>
    </w:p>
    <w:p w14:paraId="3B95A8A9" w14:textId="1FE353D2" w:rsidR="000653F2" w:rsidRPr="003C6AAF" w:rsidRDefault="000653F2" w:rsidP="001A20B0">
      <w:pPr>
        <w:pStyle w:val="Akapitzlist"/>
        <w:numPr>
          <w:ilvl w:val="0"/>
          <w:numId w:val="0"/>
        </w:numPr>
        <w:ind w:left="567"/>
      </w:pPr>
      <w:r w:rsidRPr="00970FA2">
        <w:t>Zmianie uległa również zawartość poszczególnych wykazów, co było wynikiem m.in. przeprowadzonej aktualizacji granic JCWP wykonanej na potrzeby 3. cyklu planistycznego, zaś w</w:t>
      </w:r>
      <w:r w:rsidR="006C4947">
        <w:t> </w:t>
      </w:r>
      <w:r w:rsidRPr="00970FA2">
        <w:t>zakresie obszarów przeznaczonych do ochrony siedlisk lub gatunków uwzględniono formy ochrony przyrody, które w poprzedniej wersji wykazu nie były brane pod uwagę (użytki ekologiczne, zespoły przyrodniczo-krajobrazowe, stanowiska dokumentacyjne, pomniki przyrody).</w:t>
      </w:r>
    </w:p>
    <w:p w14:paraId="77743CE0" w14:textId="77777777" w:rsidR="000653F2" w:rsidRPr="003C6AAF" w:rsidRDefault="000653F2" w:rsidP="00BB0D4D">
      <w:pPr>
        <w:pStyle w:val="Numerowanie"/>
      </w:pPr>
      <w:r w:rsidRPr="003C6AAF">
        <w:t xml:space="preserve">zmiany w zakresie ppk reprezentatywnych dla zaktualizowanego układu jednostek planistycznych wraz z ustaleniem </w:t>
      </w:r>
      <w:r>
        <w:t>nowej sieci monitoringu</w:t>
      </w:r>
      <w:r w:rsidRPr="003C6AAF">
        <w:t xml:space="preserve"> 2022-2027</w:t>
      </w:r>
      <w:r>
        <w:t xml:space="preserve"> (szczegółowe informacje zawiera rozdział 5 IIaPGW),</w:t>
      </w:r>
    </w:p>
    <w:p w14:paraId="41504347" w14:textId="77777777" w:rsidR="000653F2" w:rsidRPr="003C6AAF" w:rsidRDefault="000653F2" w:rsidP="00BB0D4D">
      <w:pPr>
        <w:pStyle w:val="Numerowanie"/>
      </w:pPr>
      <w:r w:rsidRPr="003C6AAF">
        <w:t xml:space="preserve">zmiany warunków klasyfikacji stanu jednolitych części wód powierzchniowych wprowadzone </w:t>
      </w:r>
      <w:r>
        <w:t>r.kl.jcw (szczegółowe informacje zawiera rozdział 5 IIaPGW),</w:t>
      </w:r>
    </w:p>
    <w:p w14:paraId="3F31D5D5" w14:textId="0189B9ED" w:rsidR="000653F2" w:rsidRDefault="000653F2" w:rsidP="00BB0D4D">
      <w:pPr>
        <w:pStyle w:val="Numerowanie"/>
      </w:pPr>
      <w:r>
        <w:t xml:space="preserve">zmiany dotyczące wskazywanych wartości granicznych potencjału ekologicznego </w:t>
      </w:r>
      <w:r w:rsidR="006C4947">
        <w:t>-</w:t>
      </w:r>
      <w:r>
        <w:t xml:space="preserve"> wartości prezentowane są w planie gospodarowania wodami (szczegółowe informacje zawiera rozdział 3 IIaPGW). </w:t>
      </w:r>
      <w:r w:rsidRPr="003C6AAF">
        <w:t xml:space="preserve">Zmiana wprowadzona </w:t>
      </w:r>
      <w:r>
        <w:t>r.kl.jcw.,</w:t>
      </w:r>
      <w:r w:rsidRPr="00A85A7D">
        <w:t xml:space="preserve"> </w:t>
      </w:r>
    </w:p>
    <w:p w14:paraId="75E51A74" w14:textId="77777777" w:rsidR="000653F2" w:rsidRDefault="000653F2" w:rsidP="00BB0D4D">
      <w:pPr>
        <w:pStyle w:val="Numerowanie"/>
      </w:pPr>
      <w:r>
        <w:t xml:space="preserve">włączenie zestawu działań do planu gospodarowania wodami (szczegółowe informacje zawiera rozdział 12 IIaPGW). Zmiana wprowadzona ustawą </w:t>
      </w:r>
      <w:r w:rsidRPr="006C436A">
        <w:t>pr.w.</w:t>
      </w:r>
      <w:r>
        <w:t>,</w:t>
      </w:r>
    </w:p>
    <w:p w14:paraId="7134B851" w14:textId="77777777" w:rsidR="000653F2" w:rsidRPr="006C436A" w:rsidRDefault="000653F2" w:rsidP="00BB0D4D">
      <w:pPr>
        <w:pStyle w:val="Numerowanie"/>
      </w:pPr>
      <w:r>
        <w:t>wprowadzenie nowych celów szczegółowych, którym służy realizacja działań:</w:t>
      </w:r>
    </w:p>
    <w:p w14:paraId="0E8FF616" w14:textId="0EFAE465" w:rsidR="000653F2" w:rsidRPr="001A20B0" w:rsidRDefault="000653F2" w:rsidP="001A20B0">
      <w:pPr>
        <w:pStyle w:val="Akapitzlist"/>
      </w:pPr>
      <w:r w:rsidRPr="001A20B0">
        <w:t xml:space="preserve">art. 324 ust. 2 pkt 1f </w:t>
      </w:r>
      <w:r w:rsidR="006C4947">
        <w:t>-</w:t>
      </w:r>
      <w:r w:rsidRPr="001A20B0">
        <w:t xml:space="preserve"> mający na celu zapobieganie znacznemu wzrostowi stężeń substancji priorytetowych wykazujących tendencję do akumulowania się w osadach lub faunie i florze;</w:t>
      </w:r>
    </w:p>
    <w:p w14:paraId="43E06ACE" w14:textId="31BED8C7" w:rsidR="000653F2" w:rsidRPr="001A20B0" w:rsidRDefault="000653F2" w:rsidP="001A20B0">
      <w:pPr>
        <w:pStyle w:val="Akapitzlist"/>
      </w:pPr>
      <w:r w:rsidRPr="001A20B0">
        <w:t xml:space="preserve">art. 324 ust. 5 </w:t>
      </w:r>
      <w:r w:rsidR="006C4947">
        <w:t>-</w:t>
      </w:r>
      <w:r w:rsidRPr="001A20B0">
        <w:t xml:space="preserve"> wskazujący, że działania uzupełniające mogą być również przyjmowane dla zapewnienia dodatkowej ochrony lub poprawy stanu wód lub dla realizacji umów międzynarodowych mających na celu ochronę wód, w tym ochronę i zapobieganie zanieczyszczaniu środowiska morskiego,</w:t>
      </w:r>
    </w:p>
    <w:p w14:paraId="136E3F40" w14:textId="6A47AB15" w:rsidR="000653F2" w:rsidRDefault="000653F2" w:rsidP="00BB0D4D">
      <w:pPr>
        <w:pStyle w:val="Numerowanie"/>
      </w:pPr>
      <w:r>
        <w:t xml:space="preserve">zmiana zakresu informacji, jakie </w:t>
      </w:r>
      <w:r w:rsidRPr="006C436A">
        <w:t xml:space="preserve">należy przedstawić w odniesieniu do każdego działania </w:t>
      </w:r>
      <w:r w:rsidRPr="006C436A" w:rsidDel="005609E9">
        <w:t>w</w:t>
      </w:r>
      <w:r w:rsidRPr="006C436A">
        <w:t xml:space="preserve"> zestawie działań </w:t>
      </w:r>
      <w:r w:rsidR="006C4947">
        <w:t>-</w:t>
      </w:r>
      <w:r w:rsidRPr="006C436A">
        <w:t xml:space="preserve"> został on rozszerzony o takie atrybuty jak wynik analizy skutków społeczno-gospodarczych związanych z realizacją działania, wynik analizy efektywności kosztowej, wynik priorytetyzacji działań, a także wyniki przeprowadzonego sprawdzianu klimatyczneg</w:t>
      </w:r>
      <w:r>
        <w:t>o,</w:t>
      </w:r>
    </w:p>
    <w:p w14:paraId="077D28A2" w14:textId="451DE740" w:rsidR="000653F2" w:rsidRPr="00FC779D" w:rsidRDefault="000653F2" w:rsidP="00BB0D4D">
      <w:pPr>
        <w:pStyle w:val="Numerowanie"/>
      </w:pPr>
      <w:r w:rsidRPr="00FC779D">
        <w:t xml:space="preserve">zmiany w zakresie ustanawiania stref ochronnych ujęć wód i obszarów ochronnych zbiorników wód śródlądowych (zakres zestawu działań) </w:t>
      </w:r>
      <w:r w:rsidR="006C4947">
        <w:t>-</w:t>
      </w:r>
      <w:r w:rsidRPr="00FC779D">
        <w:t xml:space="preserve"> ustanawianie terenów ochrony bezpośredniej stało się obligatoryjne dla każdego ujęcia w ramach korzystania szczególnego, natomiast w</w:t>
      </w:r>
      <w:r w:rsidR="009C03E2">
        <w:t> </w:t>
      </w:r>
      <w:r w:rsidRPr="00FC779D">
        <w:t>innym zakresie doszedł obowiązek wykonania analizy ryzyka oraz zmiana kompetencji organów</w:t>
      </w:r>
      <w:r>
        <w:t>.</w:t>
      </w:r>
    </w:p>
    <w:p w14:paraId="678C9309" w14:textId="77777777" w:rsidR="000653F2" w:rsidRPr="00A85A7D" w:rsidRDefault="000653F2" w:rsidP="000653F2">
      <w:pPr>
        <w:suppressAutoHyphens/>
        <w:rPr>
          <w:rFonts w:asciiTheme="minorHAnsi" w:hAnsiTheme="minorHAnsi" w:cstheme="minorHAnsi"/>
        </w:rPr>
      </w:pPr>
      <w:r>
        <w:rPr>
          <w:rFonts w:asciiTheme="minorHAnsi" w:hAnsiTheme="minorHAnsi" w:cstheme="minorHAnsi"/>
        </w:rPr>
        <w:t>Dokonane uaktualnienia obejmują:</w:t>
      </w:r>
    </w:p>
    <w:p w14:paraId="16F1A55A" w14:textId="5173AB3C" w:rsidR="000653F2" w:rsidRDefault="000653F2" w:rsidP="00AA3506">
      <w:pPr>
        <w:pStyle w:val="Numerowanie"/>
        <w:numPr>
          <w:ilvl w:val="0"/>
          <w:numId w:val="114"/>
        </w:numPr>
      </w:pPr>
      <w:r>
        <w:t>a</w:t>
      </w:r>
      <w:r w:rsidRPr="00970FA2">
        <w:t>ktualizacj</w:t>
      </w:r>
      <w:r>
        <w:t xml:space="preserve">ę </w:t>
      </w:r>
      <w:r w:rsidRPr="00970FA2">
        <w:t xml:space="preserve">rejestru wykazów obszarów chronionych, o których mowa w art. 317 ust. 4 </w:t>
      </w:r>
      <w:r w:rsidR="00574864">
        <w:t xml:space="preserve">ustawy </w:t>
      </w:r>
      <w:r w:rsidRPr="00970FA2">
        <w:t>pr.w.</w:t>
      </w:r>
      <w:r>
        <w:t>,</w:t>
      </w:r>
    </w:p>
    <w:p w14:paraId="4F612272" w14:textId="180CF50D" w:rsidR="000653F2" w:rsidRDefault="000653F2" w:rsidP="00BB0D4D">
      <w:pPr>
        <w:pStyle w:val="Numerowanie"/>
      </w:pPr>
      <w:r>
        <w:t>aktualizację oceny ryzyka nie</w:t>
      </w:r>
      <w:r w:rsidR="00122C71">
        <w:t xml:space="preserve"> osiągnięcia </w:t>
      </w:r>
      <w:r>
        <w:t>celów środowiskowych w wyniku przeprowadzonych analiz znaczących oddziaływań (szczegółowe informacje zawiera rozdział 7 IIaPGW),</w:t>
      </w:r>
    </w:p>
    <w:p w14:paraId="1CA9917A" w14:textId="06E9C6AE" w:rsidR="00021785" w:rsidRPr="00021785" w:rsidRDefault="000653F2" w:rsidP="00BB0D4D">
      <w:pPr>
        <w:pStyle w:val="Numerowanie"/>
      </w:pPr>
      <w:r>
        <w:t>aktualizację celów środowiskowych dokonane w wyniku przeprowadzonej oceny stopnia osiągnięcia celów środowiskowych (szczegółowe informacje zawiera rozdział 8 IIaPGW),</w:t>
      </w:r>
      <w:r w:rsidR="001A20B0">
        <w:t xml:space="preserve"> </w:t>
      </w:r>
      <w:r w:rsidRPr="001A20B0">
        <w:t>weryfikację i wskazanie jcw do odstępstw na podstawie nowych wypracowanych wyników analiz (szczegółowe informacje zawiera rozdział 8 IIaPGW).</w:t>
      </w:r>
      <w:bookmarkStart w:id="593" w:name="_Toc51050204"/>
      <w:r w:rsidR="00021785">
        <w:br w:type="page"/>
      </w:r>
    </w:p>
    <w:p w14:paraId="5C758963" w14:textId="77777777" w:rsidR="00E16E8B" w:rsidRDefault="00E16E8B" w:rsidP="00B50FFD">
      <w:pPr>
        <w:pStyle w:val="Nagwek1"/>
      </w:pPr>
      <w:bookmarkStart w:id="594" w:name="_Hlk67499074"/>
      <w:bookmarkStart w:id="595" w:name="_Toc68726940"/>
      <w:r>
        <w:t xml:space="preserve">Informacja o sposobach i procedurach pozyskiwania informacji </w:t>
      </w:r>
      <w:r>
        <w:br/>
        <w:t>i dokumentacji źródłowej wykorzystanej do sporządzenia IIaPGW oraz informacji o spodziewanych wynikach realizacji IIaPGW</w:t>
      </w:r>
      <w:bookmarkEnd w:id="595"/>
    </w:p>
    <w:p w14:paraId="24248717" w14:textId="77777777" w:rsidR="00E16E8B" w:rsidRDefault="00E16E8B" w:rsidP="00E16E8B">
      <w:pPr>
        <w:rPr>
          <w:rFonts w:asciiTheme="minorHAnsi" w:hAnsiTheme="minorHAnsi" w:cstheme="minorBidi"/>
        </w:rPr>
      </w:pPr>
      <w:r>
        <w:rPr>
          <w:rFonts w:asciiTheme="minorHAnsi" w:hAnsiTheme="minorHAnsi" w:cstheme="minorBidi"/>
        </w:rPr>
        <w:t xml:space="preserve">Zgodnie z art. 318 ust. 1 pkt 21 ustawy pr.w. oraz par. 2 ust. 1 pkt 30 r.p.g.w. plan gospodarowania wodami przedstawia informacje o sposobach i procedurach pozyskiwania informacji i dokumentacji źródłowej wykorzystywanej do sporządzenia IIaPGW oraz informacji o spodziewanych wynikach realizacji planu. </w:t>
      </w:r>
    </w:p>
    <w:p w14:paraId="285F34F4" w14:textId="77777777" w:rsidR="00E16E8B" w:rsidRDefault="00E16E8B" w:rsidP="00B50FFD">
      <w:pPr>
        <w:pStyle w:val="Nagwek2"/>
      </w:pPr>
      <w:bookmarkStart w:id="596" w:name="_Toc68726941"/>
      <w:r>
        <w:t>Punkty kontaktowe pozyskiwania informacji o spodziewanych wynikach realizacji planu</w:t>
      </w:r>
      <w:bookmarkEnd w:id="596"/>
    </w:p>
    <w:p w14:paraId="677F45F0" w14:textId="27014F43" w:rsidR="00E16E8B" w:rsidRPr="001D197F" w:rsidRDefault="00E16E8B" w:rsidP="00E16E8B">
      <w:pPr>
        <w:rPr>
          <w:rFonts w:asciiTheme="minorHAnsi" w:hAnsiTheme="minorHAnsi" w:cstheme="minorBidi"/>
        </w:rPr>
      </w:pPr>
      <w:r w:rsidRPr="001D197F">
        <w:rPr>
          <w:rFonts w:asciiTheme="minorHAnsi" w:hAnsiTheme="minorHAnsi" w:cstheme="minorBidi"/>
        </w:rPr>
        <w:t xml:space="preserve">Organem właściwym do udzielania informacji z zakresu </w:t>
      </w:r>
      <w:r>
        <w:rPr>
          <w:rFonts w:asciiTheme="minorHAnsi" w:hAnsiTheme="minorHAnsi" w:cstheme="minorBidi"/>
        </w:rPr>
        <w:t>IIa</w:t>
      </w:r>
      <w:r w:rsidRPr="001D197F">
        <w:rPr>
          <w:rFonts w:asciiTheme="minorHAnsi" w:hAnsiTheme="minorHAnsi" w:cstheme="minorBidi"/>
        </w:rPr>
        <w:t>PGW</w:t>
      </w:r>
      <w:r>
        <w:rPr>
          <w:rFonts w:asciiTheme="minorHAnsi" w:hAnsiTheme="minorHAnsi" w:cstheme="minorBidi"/>
        </w:rPr>
        <w:t xml:space="preserve"> </w:t>
      </w:r>
      <w:r w:rsidRPr="001D197F">
        <w:rPr>
          <w:rFonts w:asciiTheme="minorHAnsi" w:hAnsiTheme="minorHAnsi" w:cstheme="minorBidi"/>
        </w:rPr>
        <w:t xml:space="preserve">jest </w:t>
      </w:r>
      <w:r>
        <w:rPr>
          <w:rFonts w:asciiTheme="minorHAnsi" w:hAnsiTheme="minorHAnsi" w:cstheme="minorBidi"/>
        </w:rPr>
        <w:t>Prezes PGW WP</w:t>
      </w:r>
      <w:r w:rsidRPr="001D197F">
        <w:rPr>
          <w:rFonts w:asciiTheme="minorHAnsi" w:hAnsiTheme="minorHAnsi" w:cstheme="minorBidi"/>
        </w:rPr>
        <w:t xml:space="preserve"> wraz z</w:t>
      </w:r>
      <w:r w:rsidR="006C4947">
        <w:rPr>
          <w:rFonts w:asciiTheme="minorHAnsi" w:hAnsiTheme="minorHAnsi" w:cstheme="minorBidi"/>
        </w:rPr>
        <w:t> </w:t>
      </w:r>
      <w:r w:rsidRPr="001D197F">
        <w:rPr>
          <w:rFonts w:asciiTheme="minorHAnsi" w:hAnsiTheme="minorHAnsi" w:cstheme="minorBidi"/>
        </w:rPr>
        <w:t xml:space="preserve">dyrektorami </w:t>
      </w:r>
      <w:r>
        <w:rPr>
          <w:rFonts w:asciiTheme="minorHAnsi" w:hAnsiTheme="minorHAnsi" w:cstheme="minorBidi"/>
        </w:rPr>
        <w:t>RZGW WP</w:t>
      </w:r>
      <w:r w:rsidRPr="001D197F">
        <w:rPr>
          <w:rFonts w:asciiTheme="minorHAnsi" w:hAnsiTheme="minorHAnsi" w:cstheme="minorBidi"/>
        </w:rPr>
        <w:t xml:space="preserve"> właściwymi na obszarze dorzecza</w:t>
      </w:r>
      <w:r>
        <w:rPr>
          <w:rFonts w:asciiTheme="minorHAnsi" w:hAnsiTheme="minorHAnsi" w:cstheme="minorBidi"/>
        </w:rPr>
        <w:t xml:space="preserve"> (tabela 24-1)</w:t>
      </w:r>
      <w:r w:rsidRPr="001D197F">
        <w:rPr>
          <w:rFonts w:asciiTheme="minorHAnsi" w:hAnsiTheme="minorHAnsi" w:cstheme="minorBidi"/>
        </w:rPr>
        <w:t>.</w:t>
      </w:r>
    </w:p>
    <w:p w14:paraId="18AAE51A" w14:textId="085831AD" w:rsidR="00E16E8B" w:rsidRPr="002D6624" w:rsidRDefault="00E16E8B" w:rsidP="00E16E8B">
      <w:pPr>
        <w:pStyle w:val="Tabela"/>
      </w:pPr>
      <w:bookmarkStart w:id="597" w:name="_Toc68727069"/>
      <w:r w:rsidRPr="002D6624">
        <w:t xml:space="preserve">Tabela </w:t>
      </w:r>
      <w:fldSimple w:instr=" STYLEREF 1 \s ">
        <w:r>
          <w:rPr>
            <w:noProof/>
          </w:rPr>
          <w:t>21</w:t>
        </w:r>
      </w:fldSimple>
      <w:r w:rsidRPr="002D6624">
        <w:noBreakHyphen/>
      </w:r>
      <w:fldSimple w:instr=" SEQ Tabela \* ARABIC \s 1 ">
        <w:r>
          <w:rPr>
            <w:noProof/>
          </w:rPr>
          <w:t>1</w:t>
        </w:r>
      </w:fldSimple>
      <w:r w:rsidRPr="002D6624">
        <w:tab/>
      </w:r>
      <w:r>
        <w:t>Dane adresowe o</w:t>
      </w:r>
      <w:r w:rsidRPr="001D197F">
        <w:rPr>
          <w:rFonts w:asciiTheme="minorHAnsi" w:hAnsiTheme="minorHAnsi" w:cstheme="minorBidi"/>
        </w:rPr>
        <w:t>rgan</w:t>
      </w:r>
      <w:r>
        <w:rPr>
          <w:rFonts w:asciiTheme="minorHAnsi" w:hAnsiTheme="minorHAnsi" w:cstheme="minorBidi"/>
        </w:rPr>
        <w:t>ów</w:t>
      </w:r>
      <w:r w:rsidRPr="001D197F">
        <w:rPr>
          <w:rFonts w:asciiTheme="minorHAnsi" w:hAnsiTheme="minorHAnsi" w:cstheme="minorBidi"/>
        </w:rPr>
        <w:t xml:space="preserve"> właściw</w:t>
      </w:r>
      <w:r>
        <w:rPr>
          <w:rFonts w:asciiTheme="minorHAnsi" w:hAnsiTheme="minorHAnsi" w:cstheme="minorBidi"/>
        </w:rPr>
        <w:t>ych</w:t>
      </w:r>
      <w:r w:rsidRPr="001D197F">
        <w:rPr>
          <w:rFonts w:asciiTheme="minorHAnsi" w:hAnsiTheme="minorHAnsi" w:cstheme="minorBidi"/>
        </w:rPr>
        <w:t xml:space="preserve"> do udzielania informacji z zakresu </w:t>
      </w:r>
      <w:r>
        <w:rPr>
          <w:rFonts w:asciiTheme="minorHAnsi" w:hAnsiTheme="minorHAnsi" w:cstheme="minorBidi"/>
        </w:rPr>
        <w:t>IIa</w:t>
      </w:r>
      <w:r w:rsidRPr="001D197F">
        <w:rPr>
          <w:rFonts w:asciiTheme="minorHAnsi" w:hAnsiTheme="minorHAnsi" w:cstheme="minorBidi"/>
        </w:rPr>
        <w:t>PGW</w:t>
      </w:r>
      <w:r>
        <w:rPr>
          <w:rFonts w:asciiTheme="minorHAnsi" w:hAnsiTheme="minorHAnsi" w:cstheme="minorBidi"/>
        </w:rPr>
        <w:t xml:space="preserve"> </w:t>
      </w:r>
      <w:r w:rsidRPr="002D6624">
        <w:t xml:space="preserve">dla obszaru dorzecza </w:t>
      </w:r>
      <w:r w:rsidR="00EF7018">
        <w:t>Pregoły</w:t>
      </w:r>
      <w:bookmarkEnd w:id="597"/>
    </w:p>
    <w:tbl>
      <w:tblPr>
        <w:tblStyle w:val="IIaPGW"/>
        <w:tblW w:w="4064" w:type="pct"/>
        <w:jc w:val="center"/>
        <w:tblLook w:val="04A0" w:firstRow="1" w:lastRow="0" w:firstColumn="1" w:lastColumn="0" w:noHBand="0" w:noVBand="1"/>
      </w:tblPr>
      <w:tblGrid>
        <w:gridCol w:w="462"/>
        <w:gridCol w:w="2652"/>
        <w:gridCol w:w="4252"/>
      </w:tblGrid>
      <w:tr w:rsidR="00E16E8B" w:rsidRPr="002D6624" w14:paraId="00EFE549" w14:textId="77777777" w:rsidTr="00B50FFD">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6F23D2E9" w14:textId="77777777" w:rsidR="00E16E8B" w:rsidRPr="002D6624" w:rsidRDefault="00E16E8B" w:rsidP="00B50FFD">
            <w:pPr>
              <w:pStyle w:val="Tabela-tekst"/>
              <w:jc w:val="center"/>
              <w:rPr>
                <w:b/>
              </w:rPr>
            </w:pPr>
            <w:r w:rsidRPr="002D6624">
              <w:rPr>
                <w:b/>
              </w:rPr>
              <w:t>Lp.</w:t>
            </w:r>
          </w:p>
        </w:tc>
        <w:tc>
          <w:tcPr>
            <w:tcW w:w="1800" w:type="pct"/>
          </w:tcPr>
          <w:p w14:paraId="4C5F24E3" w14:textId="77777777" w:rsidR="00E16E8B" w:rsidRPr="00481F1F" w:rsidRDefault="00E16E8B" w:rsidP="00B50FFD">
            <w:pPr>
              <w:pStyle w:val="Tabela-tekst"/>
              <w:jc w:val="center"/>
              <w:rPr>
                <w:b/>
              </w:rPr>
            </w:pPr>
            <w:r w:rsidRPr="00481F1F">
              <w:rPr>
                <w:b/>
              </w:rPr>
              <w:t>Organ</w:t>
            </w:r>
          </w:p>
        </w:tc>
        <w:tc>
          <w:tcPr>
            <w:tcW w:w="2886" w:type="pct"/>
          </w:tcPr>
          <w:p w14:paraId="7916F632" w14:textId="77777777" w:rsidR="00E16E8B" w:rsidRPr="00481F1F" w:rsidRDefault="00E16E8B" w:rsidP="00B50FFD">
            <w:pPr>
              <w:pStyle w:val="Tabela-tekst"/>
              <w:jc w:val="center"/>
              <w:rPr>
                <w:b/>
              </w:rPr>
            </w:pPr>
            <w:r w:rsidRPr="00481F1F">
              <w:rPr>
                <w:b/>
              </w:rPr>
              <w:t>Adres</w:t>
            </w:r>
          </w:p>
        </w:tc>
      </w:tr>
      <w:tr w:rsidR="00E16E8B" w:rsidRPr="002D6624" w14:paraId="0CD5DCBF" w14:textId="77777777" w:rsidTr="00B50FFD">
        <w:trPr>
          <w:trHeight w:val="567"/>
          <w:jc w:val="center"/>
        </w:trPr>
        <w:tc>
          <w:tcPr>
            <w:tcW w:w="314" w:type="pct"/>
          </w:tcPr>
          <w:p w14:paraId="0E3BE495" w14:textId="77777777" w:rsidR="00E16E8B" w:rsidRPr="002D6624" w:rsidRDefault="00E16E8B" w:rsidP="00B50FFD">
            <w:pPr>
              <w:pStyle w:val="Tabela-tekst"/>
              <w:jc w:val="center"/>
            </w:pPr>
            <w:r>
              <w:t>1.</w:t>
            </w:r>
          </w:p>
        </w:tc>
        <w:tc>
          <w:tcPr>
            <w:tcW w:w="1800" w:type="pct"/>
          </w:tcPr>
          <w:p w14:paraId="2ABCF169" w14:textId="77777777" w:rsidR="00E16E8B" w:rsidRPr="00481F1F" w:rsidRDefault="00E16E8B" w:rsidP="00B50FFD">
            <w:pPr>
              <w:pStyle w:val="Tabela-tekst"/>
            </w:pPr>
            <w:r w:rsidRPr="00481F1F">
              <w:t>Prezes PGW WP</w:t>
            </w:r>
          </w:p>
        </w:tc>
        <w:tc>
          <w:tcPr>
            <w:tcW w:w="2886" w:type="pct"/>
          </w:tcPr>
          <w:p w14:paraId="2D8620D9" w14:textId="77777777" w:rsidR="00E16E8B" w:rsidRPr="00481F1F" w:rsidRDefault="00E16E8B" w:rsidP="00B50FFD">
            <w:pPr>
              <w:pStyle w:val="Tabela-tekst"/>
            </w:pPr>
            <w:r w:rsidRPr="00481F1F">
              <w:t>PGW WP</w:t>
            </w:r>
          </w:p>
          <w:p w14:paraId="0DA702E8" w14:textId="77777777" w:rsidR="00E16E8B" w:rsidRPr="00481F1F" w:rsidRDefault="00E16E8B" w:rsidP="00B50FFD">
            <w:pPr>
              <w:pStyle w:val="Tabela-tekst"/>
            </w:pPr>
            <w:r w:rsidRPr="00481F1F">
              <w:t>ul. Żelazna 59a, 00-848 Warszawa</w:t>
            </w:r>
          </w:p>
          <w:p w14:paraId="5B2746D9" w14:textId="77777777" w:rsidR="00E16E8B" w:rsidRPr="00481F1F" w:rsidRDefault="00E16E8B" w:rsidP="00B50FFD">
            <w:pPr>
              <w:pStyle w:val="Tabela-tekst"/>
            </w:pPr>
            <w:r w:rsidRPr="00481F1F">
              <w:t>https://www.wody.gov.pl</w:t>
            </w:r>
          </w:p>
        </w:tc>
      </w:tr>
      <w:tr w:rsidR="00E16E8B" w:rsidRPr="002D6624" w14:paraId="7C259DCA" w14:textId="77777777" w:rsidTr="00B50FFD">
        <w:trPr>
          <w:trHeight w:val="567"/>
          <w:jc w:val="center"/>
        </w:trPr>
        <w:tc>
          <w:tcPr>
            <w:tcW w:w="314" w:type="pct"/>
          </w:tcPr>
          <w:p w14:paraId="03824862" w14:textId="77777777" w:rsidR="00E16E8B" w:rsidRPr="002D6624" w:rsidRDefault="00E16E8B" w:rsidP="00B50FFD">
            <w:pPr>
              <w:pStyle w:val="Tabela-tekst"/>
              <w:jc w:val="center"/>
            </w:pPr>
            <w:r>
              <w:t>2.</w:t>
            </w:r>
          </w:p>
        </w:tc>
        <w:tc>
          <w:tcPr>
            <w:tcW w:w="1800" w:type="pct"/>
          </w:tcPr>
          <w:p w14:paraId="381F8589" w14:textId="77777777" w:rsidR="00E16E8B" w:rsidRPr="002D6624" w:rsidRDefault="00E16E8B" w:rsidP="00B50FFD">
            <w:pPr>
              <w:pStyle w:val="Tabela-tekst"/>
            </w:pPr>
            <w:r w:rsidRPr="002D6624">
              <w:t>Dyrektor RZGW WP</w:t>
            </w:r>
          </w:p>
        </w:tc>
        <w:tc>
          <w:tcPr>
            <w:tcW w:w="2886" w:type="pct"/>
          </w:tcPr>
          <w:p w14:paraId="0B45499C" w14:textId="69D8A71D" w:rsidR="00E16E8B" w:rsidRPr="002D6624" w:rsidRDefault="00E16E8B" w:rsidP="00B50FFD">
            <w:pPr>
              <w:pStyle w:val="Tabela-tekst"/>
              <w:rPr>
                <w:noProof/>
              </w:rPr>
            </w:pPr>
            <w:r w:rsidRPr="002D6624">
              <w:rPr>
                <w:noProof/>
              </w:rPr>
              <w:t>RZGW w</w:t>
            </w:r>
            <w:r>
              <w:rPr>
                <w:noProof/>
              </w:rPr>
              <w:t> </w:t>
            </w:r>
            <w:r w:rsidRPr="002D6624">
              <w:rPr>
                <w:noProof/>
              </w:rPr>
              <w:t>Białymstoku</w:t>
            </w:r>
            <w:r w:rsidRPr="002D6624">
              <w:br/>
            </w:r>
            <w:r w:rsidRPr="002D6624">
              <w:rPr>
                <w:noProof/>
              </w:rPr>
              <w:t xml:space="preserve">ul. Jana Klemensa Branickiego 17A, </w:t>
            </w:r>
            <w:r w:rsidRPr="002D6624">
              <w:rPr>
                <w:noProof/>
              </w:rPr>
              <w:br/>
            </w:r>
            <w:r w:rsidR="00563DBE">
              <w:rPr>
                <w:noProof/>
              </w:rPr>
              <w:t>1</w:t>
            </w:r>
            <w:r w:rsidRPr="002D6624">
              <w:rPr>
                <w:noProof/>
              </w:rPr>
              <w:t>5-085 Białystok</w:t>
            </w:r>
          </w:p>
        </w:tc>
      </w:tr>
    </w:tbl>
    <w:p w14:paraId="4A235075" w14:textId="77777777" w:rsidR="00E16E8B" w:rsidRPr="00872B57" w:rsidRDefault="00E16E8B" w:rsidP="00E16E8B">
      <w:pPr>
        <w:jc w:val="right"/>
        <w:rPr>
          <w:i/>
          <w:iCs/>
          <w:color w:val="003399"/>
          <w:sz w:val="20"/>
          <w:szCs w:val="20"/>
        </w:rPr>
      </w:pPr>
      <w:r w:rsidRPr="00872B57">
        <w:rPr>
          <w:i/>
          <w:iCs/>
          <w:color w:val="003399"/>
          <w:sz w:val="20"/>
          <w:szCs w:val="20"/>
        </w:rPr>
        <w:t>Źródło: opracowanie własne</w:t>
      </w:r>
    </w:p>
    <w:p w14:paraId="47D27EEE" w14:textId="77777777" w:rsidR="00E16E8B" w:rsidRDefault="00E16E8B" w:rsidP="00E16E8B">
      <w:pPr>
        <w:spacing w:before="0" w:after="0"/>
        <w:jc w:val="left"/>
      </w:pPr>
      <w:r>
        <w:t>Organem właściwym do udzielania informacji z zakresu monitoringu wód powierzchniowych, podziemnych oraz obszarów chronionych oraz stanu jcwp i jcwpd jest GIOŚ (dane adresowe przedstawia poniższa tabela).</w:t>
      </w:r>
    </w:p>
    <w:p w14:paraId="715C55E9" w14:textId="690EE6A5" w:rsidR="00E16E8B" w:rsidRPr="002D6624" w:rsidRDefault="00E16E8B" w:rsidP="00E16E8B">
      <w:pPr>
        <w:pStyle w:val="Tabela"/>
      </w:pPr>
      <w:bookmarkStart w:id="598" w:name="_Toc68727070"/>
      <w:r w:rsidRPr="002D6624">
        <w:t xml:space="preserve">Tabela </w:t>
      </w:r>
      <w:fldSimple w:instr=" STYLEREF 1 \s ">
        <w:r>
          <w:rPr>
            <w:noProof/>
          </w:rPr>
          <w:t>21</w:t>
        </w:r>
      </w:fldSimple>
      <w:r w:rsidRPr="002D6624">
        <w:noBreakHyphen/>
      </w:r>
      <w:fldSimple w:instr=" SEQ Tabela \* ARABIC \s 1 ">
        <w:r>
          <w:rPr>
            <w:noProof/>
          </w:rPr>
          <w:t>1</w:t>
        </w:r>
      </w:fldSimple>
      <w:r w:rsidRPr="002D6624">
        <w:tab/>
      </w:r>
      <w:r>
        <w:t>Dane adresowe o</w:t>
      </w:r>
      <w:r w:rsidRPr="001D197F">
        <w:rPr>
          <w:rFonts w:asciiTheme="minorHAnsi" w:hAnsiTheme="minorHAnsi" w:cstheme="minorBidi"/>
        </w:rPr>
        <w:t>rgan</w:t>
      </w:r>
      <w:r>
        <w:rPr>
          <w:rFonts w:asciiTheme="minorHAnsi" w:hAnsiTheme="minorHAnsi" w:cstheme="minorBidi"/>
        </w:rPr>
        <w:t>ów</w:t>
      </w:r>
      <w:r w:rsidRPr="001D197F">
        <w:rPr>
          <w:rFonts w:asciiTheme="minorHAnsi" w:hAnsiTheme="minorHAnsi" w:cstheme="minorBidi"/>
        </w:rPr>
        <w:t xml:space="preserve"> właściw</w:t>
      </w:r>
      <w:r>
        <w:rPr>
          <w:rFonts w:asciiTheme="minorHAnsi" w:hAnsiTheme="minorHAnsi" w:cstheme="minorBidi"/>
        </w:rPr>
        <w:t>ych</w:t>
      </w:r>
      <w:r w:rsidRPr="001D197F">
        <w:rPr>
          <w:rFonts w:asciiTheme="minorHAnsi" w:hAnsiTheme="minorHAnsi" w:cstheme="minorBidi"/>
        </w:rPr>
        <w:t xml:space="preserve"> do udzielania informacji z zakresu </w:t>
      </w:r>
      <w:r>
        <w:rPr>
          <w:rFonts w:asciiTheme="minorHAnsi" w:hAnsiTheme="minorHAnsi" w:cstheme="minorBidi"/>
        </w:rPr>
        <w:t xml:space="preserve">monitoringu wód i obszarów chronionych </w:t>
      </w:r>
      <w:r w:rsidRPr="002D6624">
        <w:t xml:space="preserve">dla obszaru dorzecza </w:t>
      </w:r>
      <w:r w:rsidR="00481F1F">
        <w:t>Pregoły</w:t>
      </w:r>
      <w:bookmarkEnd w:id="598"/>
    </w:p>
    <w:tbl>
      <w:tblPr>
        <w:tblStyle w:val="IIaPGW"/>
        <w:tblW w:w="4064" w:type="pct"/>
        <w:jc w:val="center"/>
        <w:tblLook w:val="04A0" w:firstRow="1" w:lastRow="0" w:firstColumn="1" w:lastColumn="0" w:noHBand="0" w:noVBand="1"/>
      </w:tblPr>
      <w:tblGrid>
        <w:gridCol w:w="462"/>
        <w:gridCol w:w="2652"/>
        <w:gridCol w:w="4252"/>
      </w:tblGrid>
      <w:tr w:rsidR="00E16E8B" w:rsidRPr="002D6624" w14:paraId="685DA284" w14:textId="77777777" w:rsidTr="00B50FFD">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7E58C998" w14:textId="77777777" w:rsidR="00E16E8B" w:rsidRPr="002D6624" w:rsidRDefault="00E16E8B" w:rsidP="00B50FFD">
            <w:pPr>
              <w:pStyle w:val="Tabela-tekst"/>
              <w:jc w:val="center"/>
              <w:rPr>
                <w:b/>
              </w:rPr>
            </w:pPr>
            <w:r w:rsidRPr="002D6624">
              <w:rPr>
                <w:b/>
              </w:rPr>
              <w:t>Lp.</w:t>
            </w:r>
          </w:p>
        </w:tc>
        <w:tc>
          <w:tcPr>
            <w:tcW w:w="1800" w:type="pct"/>
          </w:tcPr>
          <w:p w14:paraId="2F3AD976" w14:textId="77777777" w:rsidR="00E16E8B" w:rsidRPr="002D6624" w:rsidRDefault="00E16E8B" w:rsidP="00B50FFD">
            <w:pPr>
              <w:pStyle w:val="Tabela-tekst"/>
              <w:jc w:val="center"/>
              <w:rPr>
                <w:b/>
              </w:rPr>
            </w:pPr>
            <w:r w:rsidRPr="002D6624">
              <w:rPr>
                <w:b/>
              </w:rPr>
              <w:t>Organ</w:t>
            </w:r>
          </w:p>
        </w:tc>
        <w:tc>
          <w:tcPr>
            <w:tcW w:w="2886" w:type="pct"/>
          </w:tcPr>
          <w:p w14:paraId="7FB5467A" w14:textId="77777777" w:rsidR="00E16E8B" w:rsidRPr="002D6624" w:rsidRDefault="00E16E8B" w:rsidP="00B50FFD">
            <w:pPr>
              <w:pStyle w:val="Tabela-tekst"/>
              <w:jc w:val="center"/>
              <w:rPr>
                <w:b/>
              </w:rPr>
            </w:pPr>
            <w:r w:rsidRPr="002D6624">
              <w:rPr>
                <w:b/>
              </w:rPr>
              <w:t>Adres</w:t>
            </w:r>
          </w:p>
        </w:tc>
      </w:tr>
      <w:tr w:rsidR="00E16E8B" w:rsidRPr="002D6624" w14:paraId="44D8F27F" w14:textId="77777777" w:rsidTr="00B50FFD">
        <w:trPr>
          <w:trHeight w:val="567"/>
          <w:jc w:val="center"/>
        </w:trPr>
        <w:tc>
          <w:tcPr>
            <w:tcW w:w="314" w:type="pct"/>
          </w:tcPr>
          <w:p w14:paraId="6B3086E1" w14:textId="77777777" w:rsidR="00E16E8B" w:rsidRPr="002D6624" w:rsidRDefault="00E16E8B" w:rsidP="00B50FFD">
            <w:pPr>
              <w:pStyle w:val="Tabela-tekst"/>
              <w:jc w:val="center"/>
            </w:pPr>
            <w:r>
              <w:t>1.</w:t>
            </w:r>
          </w:p>
        </w:tc>
        <w:tc>
          <w:tcPr>
            <w:tcW w:w="1800" w:type="pct"/>
          </w:tcPr>
          <w:p w14:paraId="3FB35947" w14:textId="77777777" w:rsidR="00E16E8B" w:rsidRPr="002D6624" w:rsidRDefault="00E16E8B" w:rsidP="00B50FFD">
            <w:pPr>
              <w:pStyle w:val="Tabela-tekst"/>
            </w:pPr>
            <w:r>
              <w:t>Główny Inspektor Ochrony Środowiska</w:t>
            </w:r>
          </w:p>
        </w:tc>
        <w:tc>
          <w:tcPr>
            <w:tcW w:w="2886" w:type="pct"/>
          </w:tcPr>
          <w:p w14:paraId="5E74D63A" w14:textId="77777777" w:rsidR="00E16E8B" w:rsidRPr="00004946" w:rsidRDefault="00E16E8B" w:rsidP="00B50FFD">
            <w:pPr>
              <w:pStyle w:val="Tabela-tekst"/>
            </w:pPr>
            <w:r w:rsidRPr="00004946">
              <w:t>Główny Inspektorat Ochrony Środowiska</w:t>
            </w:r>
          </w:p>
          <w:p w14:paraId="434B5C51" w14:textId="77777777" w:rsidR="00E16E8B" w:rsidRPr="00004946" w:rsidRDefault="00E16E8B" w:rsidP="00B50FFD">
            <w:pPr>
              <w:pStyle w:val="Tabela-tekst"/>
            </w:pPr>
            <w:r w:rsidRPr="00004946">
              <w:t>ul. Bitwy Warszawskiej 1920 r. 3</w:t>
            </w:r>
          </w:p>
          <w:p w14:paraId="3D2162D2" w14:textId="77777777" w:rsidR="00E16E8B" w:rsidRPr="00004946" w:rsidRDefault="00E16E8B" w:rsidP="00B50FFD">
            <w:pPr>
              <w:pStyle w:val="Tabela-tekst"/>
              <w:rPr>
                <w:rFonts w:ascii="Arial" w:hAnsi="Arial" w:cs="Arial"/>
                <w:color w:val="333333"/>
              </w:rPr>
            </w:pPr>
            <w:r w:rsidRPr="00004946">
              <w:t>02-362 Warszawa</w:t>
            </w:r>
          </w:p>
        </w:tc>
      </w:tr>
    </w:tbl>
    <w:p w14:paraId="51DBD4AB" w14:textId="77777777" w:rsidR="00E16E8B" w:rsidRPr="00872B57" w:rsidRDefault="00E16E8B" w:rsidP="00E16E8B">
      <w:pPr>
        <w:jc w:val="right"/>
        <w:rPr>
          <w:i/>
          <w:iCs/>
          <w:color w:val="003399"/>
          <w:sz w:val="20"/>
          <w:szCs w:val="20"/>
        </w:rPr>
      </w:pPr>
      <w:r w:rsidRPr="00872B57">
        <w:rPr>
          <w:i/>
          <w:iCs/>
          <w:color w:val="003399"/>
          <w:sz w:val="20"/>
          <w:szCs w:val="20"/>
        </w:rPr>
        <w:t>Źródło: opracowanie własne</w:t>
      </w:r>
    </w:p>
    <w:p w14:paraId="797A787D" w14:textId="77777777" w:rsidR="00E16E8B" w:rsidRDefault="00E16E8B" w:rsidP="00B50FFD">
      <w:pPr>
        <w:pStyle w:val="Nagwek2"/>
      </w:pPr>
      <w:bookmarkStart w:id="599" w:name="_Toc68726942"/>
      <w:r>
        <w:t>Procedury pozyskiwania źródłowej dokumentacji</w:t>
      </w:r>
      <w:bookmarkEnd w:id="599"/>
    </w:p>
    <w:p w14:paraId="6A6D417A" w14:textId="5E7FE970" w:rsidR="00E16E8B" w:rsidRPr="00004946" w:rsidRDefault="00E16E8B" w:rsidP="00E16E8B">
      <w:r w:rsidRPr="00004946">
        <w:t xml:space="preserve">Procedury pozyskiwania dokumentacji źródłowej </w:t>
      </w:r>
      <w:r>
        <w:t xml:space="preserve">wykorzystanej na potrzeby przygotowania IIaPGW </w:t>
      </w:r>
      <w:r w:rsidRPr="00004946">
        <w:t xml:space="preserve">reguluje ustawa </w:t>
      </w:r>
      <w:r>
        <w:t>u.i.o.ś</w:t>
      </w:r>
      <w:r w:rsidRPr="00004946">
        <w:t xml:space="preserve">. Zgodnie z art. 8 </w:t>
      </w:r>
      <w:r>
        <w:t>ustawy u.i.o.ś.</w:t>
      </w:r>
      <w:r w:rsidRPr="00004946">
        <w:t>, organy administracji są zobowiązane do</w:t>
      </w:r>
      <w:r w:rsidR="006C4947">
        <w:t> </w:t>
      </w:r>
      <w:r w:rsidRPr="00004946">
        <w:t xml:space="preserve">udostępniania </w:t>
      </w:r>
      <w:r>
        <w:t>każdemu i</w:t>
      </w:r>
      <w:r w:rsidRPr="00004946">
        <w:t>nformacji o środowisku i jego ochronie znajdujących się w ich posiadaniu lub które są dla nich przeznaczone</w:t>
      </w:r>
      <w:r>
        <w:t>.</w:t>
      </w:r>
    </w:p>
    <w:p w14:paraId="7C75DF13" w14:textId="76424433" w:rsidR="00E16E8B" w:rsidRPr="00004946" w:rsidRDefault="00E16E8B" w:rsidP="00E16E8B">
      <w:r w:rsidRPr="00004946">
        <w:t>Informacje o środowisku oraz jego ochronie udostępniane są w formie ustnej, pisemnej, elektronicznej, wizualnej, dźwiękowej lub w innej formie (art. 9 ust. 2 ustawy o udostępnianiu informacji o środowisku) na wniosek pisemny</w:t>
      </w:r>
      <w:r>
        <w:t xml:space="preserve"> (za wyjątkiem informacji zawartych w udostępnionej bazie danych GIOŚ)</w:t>
      </w:r>
      <w:r w:rsidRPr="00004946">
        <w:t xml:space="preserve">, bądź w przypadkach niewymagających wyszukiwania </w:t>
      </w:r>
      <w:r w:rsidR="006C4947">
        <w:t>-</w:t>
      </w:r>
      <w:r w:rsidRPr="00004946">
        <w:t xml:space="preserve"> bez pisemnego wniosku (art. 12 ust. 1 i 2 ustawy o udostępnianiu informacji o środowisku), nie później niż w ciągu miesiąca od dnia otrzymania wniosku (art. 14 ust. 1 ustawy o udostępnianiu informacji o środowisku).</w:t>
      </w:r>
      <w:r>
        <w:t xml:space="preserve"> Informacja o środowisku i jego ochronie jest udostępniana na pisemny wniosek o udostępnienie informacji.</w:t>
      </w:r>
    </w:p>
    <w:p w14:paraId="50FBE279" w14:textId="5335D9C8" w:rsidR="00E16E8B" w:rsidRPr="00BA166E" w:rsidRDefault="00E16E8B" w:rsidP="00E16E8B">
      <w:r w:rsidRPr="00004946">
        <w:t xml:space="preserve">Kategorie informacji podlegających udostępnieniu </w:t>
      </w:r>
      <w:r>
        <w:t>wskazuje</w:t>
      </w:r>
      <w:r w:rsidRPr="00004946">
        <w:t xml:space="preserve"> art. 9 ust. 1 ustawy </w:t>
      </w:r>
      <w:r>
        <w:t>u.i.o.ś</w:t>
      </w:r>
      <w:r w:rsidRPr="00004946">
        <w:t xml:space="preserve"> i są to między innymi: informacje dotyczące stanu elementów środowiska, emisji zanieczyszczeń i odpadów promieniotwórczych, środków administracyjnych, przepisów</w:t>
      </w:r>
      <w:r w:rsidRPr="00BA166E">
        <w:t xml:space="preserve"> prawnych dotyczących środowiska i</w:t>
      </w:r>
      <w:r w:rsidR="006C4947">
        <w:t> </w:t>
      </w:r>
      <w:r w:rsidRPr="00BA166E">
        <w:t>gospodarki wodnej, raporty na temat realizacji przepisów dotyczących ochrony środowiska, informacje na temat stanu zdrowia, bezpieczeństwa i warunków życia ludzi.</w:t>
      </w:r>
    </w:p>
    <w:p w14:paraId="6A2C1E7C" w14:textId="2EEAC2E4" w:rsidR="00E16E8B" w:rsidRPr="00BA166E" w:rsidRDefault="00E16E8B" w:rsidP="00E16E8B">
      <w:r w:rsidRPr="00BA166E">
        <w:t xml:space="preserve">Zgodnie z art. 16 ust. 1 ustawy </w:t>
      </w:r>
      <w:r>
        <w:t>u.i.o.ś</w:t>
      </w:r>
      <w:r w:rsidRPr="00BA166E">
        <w:t xml:space="preserve"> organ </w:t>
      </w:r>
      <w:r>
        <w:t>administracji</w:t>
      </w:r>
      <w:r w:rsidRPr="00BA166E">
        <w:t xml:space="preserve"> może odmówić udostępnienia informacji o</w:t>
      </w:r>
      <w:r w:rsidR="006C4947">
        <w:t> </w:t>
      </w:r>
      <w:r w:rsidRPr="00BA166E">
        <w:t>środowisku i jego ochronie, jeżeli informacje dotyczą w szczególności danych objętych tajemnicą statystyczną, prawem autorskim, związanych z ochroną danych osobowych, spraw związanych z</w:t>
      </w:r>
      <w:r w:rsidR="006C4947">
        <w:t> </w:t>
      </w:r>
      <w:r w:rsidRPr="00BA166E">
        <w:t>toczącym się postępowaniem sądowym, informacji o wartości handlowej, danych zagrażającym bezpieczeństwu publicznemu i państwowemu.</w:t>
      </w:r>
    </w:p>
    <w:p w14:paraId="399A75C8" w14:textId="512DBB93" w:rsidR="00E16E8B" w:rsidRPr="00BA166E" w:rsidRDefault="00E16E8B" w:rsidP="00E16E8B">
      <w:r w:rsidRPr="00BA166E">
        <w:t xml:space="preserve">Dane o dokumentach zawierających informacje o środowisku i jego ochronie zamieszczane </w:t>
      </w:r>
      <w:r w:rsidR="006C4947">
        <w:br/>
      </w:r>
      <w:r w:rsidRPr="00BA166E">
        <w:t xml:space="preserve">są w publicznie dostępnych wykazach (art. 21 ust. 1 ustawy </w:t>
      </w:r>
      <w:r>
        <w:t>u.i.o.ś</w:t>
      </w:r>
      <w:r w:rsidRPr="00BA166E">
        <w:t xml:space="preserve">), do prowadzenia których zobowiązane są organy administracji właściwe w sprawach, bądź właściwe do prowadzenia postępowania, w ramach którego lub w wyniku którego sporządzane są dokumenty (art. 22 ust. 1 i 2 ustawy o udostępnianiu informacji o środowisku). Publicznie dostępne wykazy prowadzone </w:t>
      </w:r>
      <w:r w:rsidR="006C4947">
        <w:br/>
      </w:r>
      <w:r w:rsidRPr="00BA166E">
        <w:t>są w formie elektronicznej i udostępniane w Biuletynie Informacji Publicznej (art. 23 ust. 1 ustawy o</w:t>
      </w:r>
      <w:r w:rsidR="006C4947">
        <w:t> </w:t>
      </w:r>
      <w:r w:rsidRPr="00BA166E">
        <w:t>udostępnianiu informacji o środowisku)</w:t>
      </w:r>
      <w:r>
        <w:t>.</w:t>
      </w:r>
    </w:p>
    <w:p w14:paraId="75A5415C" w14:textId="77777777" w:rsidR="00E16E8B" w:rsidRDefault="00E16E8B" w:rsidP="00B50FFD">
      <w:pPr>
        <w:pStyle w:val="Nagwek2"/>
      </w:pPr>
      <w:bookmarkStart w:id="600" w:name="_Toc68726943"/>
      <w:r>
        <w:t>Dokumentacja źródłowa wykorzystana przy sporządzaniu IIaPGW</w:t>
      </w:r>
      <w:bookmarkEnd w:id="600"/>
    </w:p>
    <w:p w14:paraId="5FC9601B" w14:textId="29E7E325" w:rsidR="00E16E8B" w:rsidRDefault="00E16E8B" w:rsidP="00E16E8B">
      <w:r w:rsidRPr="00E90037">
        <w:t xml:space="preserve">Podczas prac przy </w:t>
      </w:r>
      <w:r>
        <w:t>II</w:t>
      </w:r>
      <w:r w:rsidRPr="00E90037">
        <w:t xml:space="preserve">aPGW wykorzystano dokumenty i opracowania sporządzone w trakcie trwania </w:t>
      </w:r>
      <w:r>
        <w:t xml:space="preserve">III </w:t>
      </w:r>
      <w:r w:rsidRPr="00E90037">
        <w:t>cyklu planistycznego</w:t>
      </w:r>
      <w:r>
        <w:t xml:space="preserve"> (2016-2021)</w:t>
      </w:r>
      <w:r w:rsidRPr="00E90037">
        <w:t xml:space="preserve"> aktualizujące, bądź uszczegóławiając</w:t>
      </w:r>
      <w:r>
        <w:t>e</w:t>
      </w:r>
      <w:r w:rsidRPr="00E90037">
        <w:t xml:space="preserve"> dane opracowane i</w:t>
      </w:r>
      <w:r w:rsidR="006C4947">
        <w:t> </w:t>
      </w:r>
      <w:r w:rsidRPr="00E90037">
        <w:t xml:space="preserve">wykorzystane w </w:t>
      </w:r>
      <w:r>
        <w:t>drugim</w:t>
      </w:r>
      <w:r w:rsidRPr="00E90037">
        <w:t xml:space="preserve"> cyklu planistycznym. </w:t>
      </w:r>
    </w:p>
    <w:p w14:paraId="4B78C50C" w14:textId="77777777" w:rsidR="00E16E8B" w:rsidRDefault="00E16E8B" w:rsidP="00E16E8B">
      <w:r w:rsidRPr="00E90037">
        <w:t xml:space="preserve">Wszystkie dane wykorzystane przy sporządzaniu </w:t>
      </w:r>
      <w:r>
        <w:t>II</w:t>
      </w:r>
      <w:r w:rsidRPr="00E90037">
        <w:t>aPGW stanowią dane publiczne, dostępne rejestry lub też zostały pozyskane w trybie ustawy o informacji o środowisku</w:t>
      </w:r>
      <w:r>
        <w:t>.</w:t>
      </w:r>
    </w:p>
    <w:p w14:paraId="732C4402" w14:textId="77777777" w:rsidR="00E16E8B" w:rsidRDefault="00E16E8B" w:rsidP="00E16E8B">
      <w:r>
        <w:t>Podstawowe źródła danych niezbędne dla przeprowadzenia analiz IIaPGW stanowiły dane monitoringowe i wyniki ocen PMŚ. Na potrzeby opracowania IIaPGW wykorzystane zostały dane monitoringowe 2011-2019 oraz oceny stanu 2014-2019.</w:t>
      </w:r>
    </w:p>
    <w:p w14:paraId="0439FB17" w14:textId="77777777" w:rsidR="00E16E8B" w:rsidRDefault="00E16E8B" w:rsidP="00E16E8B">
      <w:r>
        <w:t xml:space="preserve">Wykorzystane zostały dostępne bazy danych PGW WP, wraz z wynikami zrealizowanych prac, w tym: </w:t>
      </w:r>
      <w:bookmarkStart w:id="601" w:name="_Hlk55813290"/>
    </w:p>
    <w:p w14:paraId="3F62464C" w14:textId="77777777" w:rsidR="00E16E8B" w:rsidRPr="00D7344B" w:rsidRDefault="00E16E8B" w:rsidP="00AA3506">
      <w:pPr>
        <w:pStyle w:val="Akapitzlist"/>
        <w:numPr>
          <w:ilvl w:val="0"/>
          <w:numId w:val="130"/>
        </w:numPr>
        <w:suppressAutoHyphens/>
        <w:ind w:left="567" w:hanging="567"/>
      </w:pPr>
      <w:r w:rsidRPr="00D7344B">
        <w:t>Analiza i aktualizacja jednostek do planowania z uwzględnieniem MPHP10 (2017);</w:t>
      </w:r>
      <w:r>
        <w:t xml:space="preserve"> w IIaPGW jako </w:t>
      </w:r>
      <w:r w:rsidRPr="00210501">
        <w:rPr>
          <w:i/>
          <w:iCs/>
        </w:rPr>
        <w:t>Analiza i aktualizacja jednostek do planowania (…)</w:t>
      </w:r>
      <w:r w:rsidRPr="00D7344B">
        <w:t>;</w:t>
      </w:r>
    </w:p>
    <w:p w14:paraId="382F9A24" w14:textId="77777777" w:rsidR="00E16E8B" w:rsidRPr="00306058" w:rsidRDefault="00E16E8B" w:rsidP="00AA3506">
      <w:pPr>
        <w:pStyle w:val="Akapitzlist"/>
        <w:numPr>
          <w:ilvl w:val="0"/>
          <w:numId w:val="132"/>
        </w:numPr>
        <w:suppressAutoHyphens/>
      </w:pPr>
      <w:r w:rsidRPr="00306058">
        <w:t>Wdrożenie metody szacowania przepływów środowiskowych w Polsce (2018)</w:t>
      </w:r>
      <w:r>
        <w:t>;</w:t>
      </w:r>
    </w:p>
    <w:p w14:paraId="15392A54" w14:textId="02C6207F" w:rsidR="00E16E8B" w:rsidRPr="00D7344B" w:rsidRDefault="00E16E8B" w:rsidP="00AA3506">
      <w:pPr>
        <w:pStyle w:val="Akapitzlist"/>
        <w:numPr>
          <w:ilvl w:val="0"/>
          <w:numId w:val="132"/>
        </w:numPr>
        <w:suppressAutoHyphens/>
        <w:rPr>
          <w:i/>
          <w:iCs/>
        </w:rPr>
      </w:pPr>
      <w:r w:rsidRPr="00D7344B">
        <w:t xml:space="preserve">Przegląd i weryfikacja metodyk wyznaczania silnie zmienionych i sztucznych części wód powierzchniowych wraz ze wstępnym i ostatecznym wyznaczeniem (2019); </w:t>
      </w:r>
      <w:r>
        <w:t>w IIaPGW jako</w:t>
      </w:r>
      <w:r w:rsidRPr="00D7344B">
        <w:t xml:space="preserve"> </w:t>
      </w:r>
      <w:r w:rsidRPr="00D7344B">
        <w:rPr>
          <w:i/>
          <w:iCs/>
        </w:rPr>
        <w:t xml:space="preserve">Przegląd i weryfikacja metodyk </w:t>
      </w:r>
      <w:r w:rsidR="006C4947">
        <w:rPr>
          <w:i/>
          <w:iCs/>
        </w:rPr>
        <w:t>-</w:t>
      </w:r>
      <w:r w:rsidRPr="00D7344B">
        <w:rPr>
          <w:i/>
          <w:iCs/>
        </w:rPr>
        <w:t xml:space="preserve"> scw i szcw (…);</w:t>
      </w:r>
    </w:p>
    <w:p w14:paraId="4D19846C" w14:textId="77777777" w:rsidR="00E16E8B" w:rsidRDefault="00E16E8B" w:rsidP="00AA3506">
      <w:pPr>
        <w:pStyle w:val="Akapitzlist"/>
        <w:numPr>
          <w:ilvl w:val="0"/>
          <w:numId w:val="132"/>
        </w:numPr>
        <w:suppressAutoHyphens/>
      </w:pPr>
      <w:r w:rsidRPr="00306058">
        <w:t>Identyfikacja presji antropogenicznych</w:t>
      </w:r>
      <w:r>
        <w:t>, w tym:</w:t>
      </w:r>
    </w:p>
    <w:p w14:paraId="66FA0E01" w14:textId="77777777" w:rsidR="00E16E8B" w:rsidRPr="001252A9" w:rsidRDefault="00E16E8B" w:rsidP="00AA3506">
      <w:pPr>
        <w:pStyle w:val="Akapitzlist"/>
        <w:numPr>
          <w:ilvl w:val="1"/>
          <w:numId w:val="132"/>
        </w:numPr>
        <w:suppressAutoHyphens/>
      </w:pPr>
      <w:r w:rsidRPr="001252A9">
        <w:t>I: Utworzenie krajowej bazy danych o zmianach hydromorfologicznych</w:t>
      </w:r>
      <w:r>
        <w:t xml:space="preserve"> (w IIaPGW jako Baza HYMO; 2019)</w:t>
      </w:r>
      <w:r w:rsidRPr="001252A9">
        <w:t>,</w:t>
      </w:r>
    </w:p>
    <w:p w14:paraId="21F83659" w14:textId="77777777" w:rsidR="00E16E8B" w:rsidRPr="001252A9" w:rsidRDefault="00E16E8B" w:rsidP="00AA3506">
      <w:pPr>
        <w:pStyle w:val="Akapitzlist"/>
        <w:numPr>
          <w:ilvl w:val="1"/>
          <w:numId w:val="132"/>
        </w:numPr>
        <w:suppressAutoHyphens/>
      </w:pPr>
      <w:r w:rsidRPr="001252A9">
        <w:t>II: Opracowanie bazy danych o presjach antropogenicznych</w:t>
      </w:r>
      <w:r>
        <w:t xml:space="preserve"> (w IIaPGW jako Baza IP; 2019),</w:t>
      </w:r>
    </w:p>
    <w:p w14:paraId="4A49C315" w14:textId="77777777" w:rsidR="00E16E8B" w:rsidRPr="001252A9" w:rsidRDefault="00E16E8B" w:rsidP="00AA3506">
      <w:pPr>
        <w:pStyle w:val="Akapitzlist"/>
        <w:numPr>
          <w:ilvl w:val="1"/>
          <w:numId w:val="132"/>
        </w:numPr>
        <w:suppressAutoHyphens/>
      </w:pPr>
      <w:r w:rsidRPr="001252A9">
        <w:t>III: Opracowanie modelu obliczania ładunków zanieczyszczeń</w:t>
      </w:r>
      <w:r>
        <w:t xml:space="preserve"> (2020).</w:t>
      </w:r>
    </w:p>
    <w:p w14:paraId="0ACDD2CD" w14:textId="77777777" w:rsidR="00E16E8B" w:rsidRPr="00D7344B" w:rsidRDefault="00E16E8B" w:rsidP="00AA3506">
      <w:pPr>
        <w:pStyle w:val="Akapitzlist"/>
        <w:numPr>
          <w:ilvl w:val="0"/>
          <w:numId w:val="130"/>
        </w:numPr>
        <w:suppressAutoHyphens/>
        <w:ind w:left="567" w:hanging="567"/>
      </w:pPr>
      <w:r w:rsidRPr="00D7344B">
        <w:t xml:space="preserve">Ustalenie celów środowiskowych dla jednolitych części wód wraz z opracowaniem rejestru wykazów obszarów chronionych (2019); </w:t>
      </w:r>
      <w:r>
        <w:t>w IIaPGW jako</w:t>
      </w:r>
      <w:r w:rsidRPr="00D7344B">
        <w:t xml:space="preserve"> </w:t>
      </w:r>
      <w:r w:rsidRPr="00D7344B">
        <w:rPr>
          <w:i/>
          <w:iCs/>
        </w:rPr>
        <w:t>Ustalenie celów środowiskowych (…);</w:t>
      </w:r>
    </w:p>
    <w:p w14:paraId="151CB19B" w14:textId="7F62BEC8" w:rsidR="00E16E8B" w:rsidRPr="00306058" w:rsidRDefault="00E16E8B" w:rsidP="00AA3506">
      <w:pPr>
        <w:pStyle w:val="Akapitzlist"/>
        <w:numPr>
          <w:ilvl w:val="0"/>
          <w:numId w:val="130"/>
        </w:numPr>
        <w:suppressAutoHyphens/>
        <w:ind w:left="567" w:hanging="567"/>
      </w:pPr>
      <w:r w:rsidRPr="00306058">
        <w:t xml:space="preserve">Analiza znaczących oddziaływań antropogenicznych </w:t>
      </w:r>
      <w:r>
        <w:t xml:space="preserve">wraz z określeniem ryzyka nieosiągnięcia celów środowiskowych jcwp oraz obszarów chronionych </w:t>
      </w:r>
      <w:r w:rsidRPr="00306058">
        <w:t>(2020)</w:t>
      </w:r>
      <w:r>
        <w:t xml:space="preserve">; w IIaPGW jako </w:t>
      </w:r>
      <w:r w:rsidRPr="004127A3">
        <w:rPr>
          <w:i/>
          <w:iCs/>
        </w:rPr>
        <w:t xml:space="preserve">Analiza znaczących oddziaływań </w:t>
      </w:r>
      <w:r w:rsidR="006C4947">
        <w:rPr>
          <w:i/>
          <w:iCs/>
        </w:rPr>
        <w:t>-</w:t>
      </w:r>
      <w:r>
        <w:rPr>
          <w:i/>
          <w:iCs/>
        </w:rPr>
        <w:t xml:space="preserve"> jcwp </w:t>
      </w:r>
      <w:r w:rsidRPr="004127A3">
        <w:rPr>
          <w:i/>
          <w:iCs/>
        </w:rPr>
        <w:t>(…)</w:t>
      </w:r>
      <w:r>
        <w:rPr>
          <w:i/>
          <w:iCs/>
        </w:rPr>
        <w:t>;</w:t>
      </w:r>
    </w:p>
    <w:p w14:paraId="08D64474" w14:textId="77777777" w:rsidR="00E16E8B" w:rsidRDefault="00E16E8B" w:rsidP="00AA3506">
      <w:pPr>
        <w:pStyle w:val="Akapitzlist"/>
        <w:numPr>
          <w:ilvl w:val="0"/>
          <w:numId w:val="130"/>
        </w:numPr>
        <w:suppressAutoHyphens/>
        <w:ind w:left="567" w:hanging="567"/>
      </w:pPr>
      <w:r w:rsidRPr="00306058">
        <w:t>Przegląd istotnych problemów gospodar</w:t>
      </w:r>
      <w:r>
        <w:t>ki</w:t>
      </w:r>
      <w:r w:rsidRPr="00306058">
        <w:t xml:space="preserve"> wodnej </w:t>
      </w:r>
      <w:r>
        <w:t xml:space="preserve">na obszarach dorzeczy </w:t>
      </w:r>
      <w:r w:rsidRPr="00306058">
        <w:t>(2020)</w:t>
      </w:r>
      <w:r>
        <w:t>;</w:t>
      </w:r>
    </w:p>
    <w:p w14:paraId="1F0CD203" w14:textId="77777777" w:rsidR="00E16E8B" w:rsidRDefault="00E16E8B" w:rsidP="00AA3506">
      <w:pPr>
        <w:pStyle w:val="Akapitzlist"/>
        <w:numPr>
          <w:ilvl w:val="0"/>
          <w:numId w:val="130"/>
        </w:numPr>
        <w:suppressAutoHyphens/>
        <w:ind w:left="567" w:hanging="567"/>
      </w:pPr>
      <w:r w:rsidRPr="00133245">
        <w:t>Dalsza charakterystyka wód podziemnych zgodnie z załącznikiem II.2 Ramowej Dyrektywy Wodnej wraz z oceną ryzyka</w:t>
      </w:r>
      <w:r>
        <w:t xml:space="preserve"> (</w:t>
      </w:r>
      <w:r w:rsidRPr="00133245">
        <w:t>20</w:t>
      </w:r>
      <w:r>
        <w:t xml:space="preserve">20); w IIaPGW jako </w:t>
      </w:r>
      <w:r w:rsidRPr="004127A3">
        <w:rPr>
          <w:i/>
          <w:iCs/>
        </w:rPr>
        <w:t>Dalsza charakterystyka wód podziemnych (…)</w:t>
      </w:r>
      <w:r>
        <w:rPr>
          <w:i/>
          <w:iCs/>
        </w:rPr>
        <w:t>;</w:t>
      </w:r>
    </w:p>
    <w:p w14:paraId="49E17596" w14:textId="77777777" w:rsidR="00E16E8B" w:rsidRPr="00AE553A" w:rsidRDefault="00E16E8B" w:rsidP="00AA3506">
      <w:pPr>
        <w:pStyle w:val="Akapitzlist"/>
        <w:numPr>
          <w:ilvl w:val="0"/>
          <w:numId w:val="130"/>
        </w:numPr>
        <w:suppressAutoHyphens/>
        <w:ind w:left="567" w:hanging="567"/>
      </w:pPr>
      <w:r w:rsidRPr="00AE553A">
        <w:t>Identyfikacja oddziaływań zmian poziomów zwierciadła wód podziemnych w regionach wodnych (</w:t>
      </w:r>
      <w:r>
        <w:t xml:space="preserve">PSH; </w:t>
      </w:r>
      <w:r w:rsidRPr="00AE553A">
        <w:t>2017);</w:t>
      </w:r>
    </w:p>
    <w:p w14:paraId="6968D3AE" w14:textId="77777777" w:rsidR="00E16E8B" w:rsidRPr="00306058" w:rsidRDefault="00E16E8B" w:rsidP="00AA3506">
      <w:pPr>
        <w:pStyle w:val="Akapitzlist"/>
        <w:numPr>
          <w:ilvl w:val="0"/>
          <w:numId w:val="130"/>
        </w:numPr>
        <w:suppressAutoHyphens/>
        <w:ind w:left="567" w:hanging="567"/>
      </w:pPr>
      <w:r w:rsidRPr="00306058">
        <w:t>Krajow</w:t>
      </w:r>
      <w:r>
        <w:t>y</w:t>
      </w:r>
      <w:r w:rsidRPr="00306058">
        <w:t xml:space="preserve"> Program Renaturyzacji Wód Powierzchniowych (2020)</w:t>
      </w:r>
      <w:r>
        <w:t>; dalej KPRWP;</w:t>
      </w:r>
    </w:p>
    <w:p w14:paraId="758DB265" w14:textId="77777777" w:rsidR="00E16E8B" w:rsidRPr="00D7344B" w:rsidRDefault="00E16E8B" w:rsidP="00AA3506">
      <w:pPr>
        <w:pStyle w:val="Akapitzlist"/>
        <w:numPr>
          <w:ilvl w:val="0"/>
          <w:numId w:val="130"/>
        </w:numPr>
        <w:suppressAutoHyphens/>
        <w:ind w:left="567" w:hanging="567"/>
        <w:rPr>
          <w:i/>
          <w:iCs/>
        </w:rPr>
      </w:pPr>
      <w:r w:rsidRPr="00D7344B">
        <w:t xml:space="preserve">Analiza zwrotu kosztów za usługi wodne wraz z prognozą rozwoju oraz analiza zwrotu kosztów środowiskowych i zasobowych w regionach wodnych i na obszarach dorzeczy (2019, uzupełniona 07.2020); </w:t>
      </w:r>
      <w:r>
        <w:t>w IIaPGW jako</w:t>
      </w:r>
      <w:r w:rsidRPr="00D7344B">
        <w:t xml:space="preserve"> </w:t>
      </w:r>
      <w:r w:rsidRPr="00D7344B">
        <w:rPr>
          <w:i/>
          <w:iCs/>
        </w:rPr>
        <w:t>Analiza ekonomiczna (…);</w:t>
      </w:r>
    </w:p>
    <w:p w14:paraId="5801B404" w14:textId="77777777" w:rsidR="00E16E8B" w:rsidRPr="00306058" w:rsidRDefault="00E16E8B" w:rsidP="00AA3506">
      <w:pPr>
        <w:pStyle w:val="Akapitzlist"/>
        <w:numPr>
          <w:ilvl w:val="0"/>
          <w:numId w:val="130"/>
        </w:numPr>
        <w:suppressAutoHyphens/>
        <w:ind w:left="567" w:hanging="567"/>
      </w:pPr>
      <w:r w:rsidRPr="00306058">
        <w:t xml:space="preserve">Ocena postępu we wdrażaniu programów działań wraz ze sporządzeniem raportu dla KE </w:t>
      </w:r>
      <w:r>
        <w:br/>
      </w:r>
      <w:r w:rsidRPr="00306058">
        <w:t>(z I aktualizacji PWŚK)</w:t>
      </w:r>
      <w:r>
        <w:t>;</w:t>
      </w:r>
    </w:p>
    <w:bookmarkEnd w:id="601"/>
    <w:p w14:paraId="5463E9E0" w14:textId="77777777" w:rsidR="00E16E8B" w:rsidRPr="009F4D0D" w:rsidRDefault="00E16E8B" w:rsidP="00E16E8B">
      <w:r>
        <w:t>Specyfika planów gospodarowania wodami oraz ich miejsce w planistyce gospodarki wodnej w Polsce determinuje konieczność zachowania spójności, pomiędzy opracowanymi dokumentami w danym cyklu planistycznym w zakresie zaproponowanych w nich działań, mających jednocześnie wpływ na cele środowiskowe jcw. W związku z tym, w</w:t>
      </w:r>
      <w:r w:rsidRPr="009F4D0D">
        <w:t xml:space="preserve"> ramach </w:t>
      </w:r>
      <w:r>
        <w:t>opracowywania</w:t>
      </w:r>
      <w:r w:rsidRPr="009F4D0D">
        <w:t xml:space="preserve"> </w:t>
      </w:r>
      <w:r>
        <w:t xml:space="preserve">IIaPGW poddane analizie zostały </w:t>
      </w:r>
      <w:r w:rsidRPr="009F4D0D">
        <w:t xml:space="preserve">następujące </w:t>
      </w:r>
      <w:r>
        <w:t>dokumenty</w:t>
      </w:r>
      <w:r w:rsidRPr="009F4D0D">
        <w:t xml:space="preserve"> o charakterze strategicznym:</w:t>
      </w:r>
    </w:p>
    <w:p w14:paraId="3A568AA5" w14:textId="2E078564"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Krajowa Strategia Rozwoju Regionalnego 20</w:t>
      </w:r>
      <w:r w:rsidR="004556F0">
        <w:rPr>
          <w:rFonts w:eastAsia="Times New Roman"/>
        </w:rPr>
        <w:t>3</w:t>
      </w:r>
      <w:r>
        <w:rPr>
          <w:rFonts w:eastAsia="Times New Roman"/>
        </w:rPr>
        <w:t>0;</w:t>
      </w:r>
    </w:p>
    <w:p w14:paraId="3426E371"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System Zarządzania Rozwojem Polski- projekt strategiczny SOR;</w:t>
      </w:r>
    </w:p>
    <w:p w14:paraId="52F02A3C" w14:textId="5D163268"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Strategia </w:t>
      </w:r>
      <w:r w:rsidR="002F7B4C">
        <w:rPr>
          <w:rFonts w:eastAsia="Times New Roman"/>
        </w:rPr>
        <w:t>produktywności</w:t>
      </w:r>
      <w:r>
        <w:rPr>
          <w:rFonts w:eastAsia="Times New Roman"/>
        </w:rPr>
        <w:t xml:space="preserve"> 20</w:t>
      </w:r>
      <w:r w:rsidR="003E45C4">
        <w:rPr>
          <w:rFonts w:eastAsia="Times New Roman"/>
        </w:rPr>
        <w:t>3</w:t>
      </w:r>
      <w:r>
        <w:rPr>
          <w:rFonts w:eastAsia="Times New Roman"/>
        </w:rPr>
        <w:t>0;</w:t>
      </w:r>
    </w:p>
    <w:p w14:paraId="629124E0"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Wojewódzkie strategie rozwoju;</w:t>
      </w:r>
    </w:p>
    <w:p w14:paraId="468E1074"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Wojewódzkie plany zagospodarowania przestrzennego;</w:t>
      </w:r>
    </w:p>
    <w:p w14:paraId="531A1246"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Krajowy plan na rzecz energii i klimatu na lata 2021-2030;</w:t>
      </w:r>
    </w:p>
    <w:p w14:paraId="2A3BE2FE" w14:textId="2B3FCAF9"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Polityka </w:t>
      </w:r>
      <w:r w:rsidR="003E45C4">
        <w:rPr>
          <w:rFonts w:eastAsia="Times New Roman"/>
        </w:rPr>
        <w:t>ekologiczna</w:t>
      </w:r>
      <w:r>
        <w:rPr>
          <w:rFonts w:eastAsia="Times New Roman"/>
        </w:rPr>
        <w:t xml:space="preserve"> Polski do 2030 roku;</w:t>
      </w:r>
    </w:p>
    <w:p w14:paraId="568002C3" w14:textId="3EA6B5BA"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Polityka energetyczna Polski do </w:t>
      </w:r>
      <w:r w:rsidR="00603661">
        <w:rPr>
          <w:rFonts w:eastAsia="Times New Roman"/>
        </w:rPr>
        <w:t xml:space="preserve">2030 r. </w:t>
      </w:r>
      <w:r w:rsidR="00D12C9C">
        <w:rPr>
          <w:rFonts w:eastAsia="Times New Roman"/>
        </w:rPr>
        <w:t xml:space="preserve">oraz nowa Polityka energetyczna Polski do </w:t>
      </w:r>
      <w:r>
        <w:rPr>
          <w:rFonts w:eastAsia="Times New Roman"/>
        </w:rPr>
        <w:t>2040 roku;</w:t>
      </w:r>
    </w:p>
    <w:p w14:paraId="0E6D5485"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Strategia Zrównoważonego Rozwoju Wsi, Rolnictwa i Rybactwa 2030;</w:t>
      </w:r>
    </w:p>
    <w:p w14:paraId="135030BC" w14:textId="08696805"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Program wieloletni </w:t>
      </w:r>
      <w:r w:rsidR="006C4947">
        <w:rPr>
          <w:rFonts w:eastAsia="Times New Roman"/>
        </w:rPr>
        <w:t>-</w:t>
      </w:r>
      <w:r>
        <w:rPr>
          <w:rFonts w:eastAsia="Times New Roman"/>
        </w:rPr>
        <w:t xml:space="preserve"> Przedsięwzięcia technologiczno-przyrodnicze na rzecz innowacyjnej, efektywnej i niskoemisyjnej gospodarki na obszarach wiejskich;</w:t>
      </w:r>
    </w:p>
    <w:p w14:paraId="066A5B8A"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Program działań mających na celu zmniejszenie zanieczyszczenia wód azotanami pochodzącymi ze źródeł rolniczych oraz zapobieganie dalszemu zanieczyszczeniu;</w:t>
      </w:r>
    </w:p>
    <w:p w14:paraId="39467C4C" w14:textId="0E259910"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Narodowy Program Zdrowia na lata </w:t>
      </w:r>
      <w:r w:rsidR="00D727F0">
        <w:rPr>
          <w:rFonts w:eastAsia="Times New Roman"/>
        </w:rPr>
        <w:t>2021-2025</w:t>
      </w:r>
      <w:r>
        <w:rPr>
          <w:rFonts w:eastAsia="Times New Roman"/>
        </w:rPr>
        <w:t>;</w:t>
      </w:r>
    </w:p>
    <w:p w14:paraId="601B4E2B" w14:textId="77777777"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Krajowy Plan Zarządzania Kryzysowego;</w:t>
      </w:r>
    </w:p>
    <w:p w14:paraId="1292AA4E" w14:textId="7529C04D"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Strategiczny plan adaptacji dla sektorów i obszarów wrażliwych na zmiany klimatu do roku 2020 (z perspektywą do roku 2030) </w:t>
      </w:r>
      <w:r w:rsidR="006C4947">
        <w:rPr>
          <w:rFonts w:eastAsia="Times New Roman"/>
        </w:rPr>
        <w:t>-</w:t>
      </w:r>
      <w:r>
        <w:rPr>
          <w:rFonts w:eastAsia="Times New Roman"/>
        </w:rPr>
        <w:t xml:space="preserve"> SPA 2020;</w:t>
      </w:r>
    </w:p>
    <w:p w14:paraId="1F9C2E48" w14:textId="247DBAA6" w:rsidR="00E16E8B" w:rsidRDefault="00E16E8B" w:rsidP="00AA3506">
      <w:pPr>
        <w:numPr>
          <w:ilvl w:val="0"/>
          <w:numId w:val="133"/>
        </w:numPr>
        <w:suppressAutoHyphens/>
        <w:spacing w:before="0" w:after="0" w:line="276" w:lineRule="auto"/>
        <w:ind w:left="567" w:hanging="567"/>
        <w:rPr>
          <w:rFonts w:eastAsia="Times New Roman"/>
        </w:rPr>
      </w:pPr>
      <w:r>
        <w:rPr>
          <w:rFonts w:eastAsia="Times New Roman"/>
        </w:rPr>
        <w:t xml:space="preserve">Polityka </w:t>
      </w:r>
      <w:r w:rsidR="00E55DD7">
        <w:rPr>
          <w:rFonts w:eastAsia="Times New Roman"/>
        </w:rPr>
        <w:t>e</w:t>
      </w:r>
      <w:r>
        <w:rPr>
          <w:rFonts w:eastAsia="Times New Roman"/>
        </w:rPr>
        <w:t xml:space="preserve">kologiczna </w:t>
      </w:r>
      <w:r w:rsidR="00E55DD7">
        <w:rPr>
          <w:rFonts w:eastAsia="Times New Roman"/>
        </w:rPr>
        <w:t>p</w:t>
      </w:r>
      <w:r>
        <w:rPr>
          <w:rFonts w:eastAsia="Times New Roman"/>
        </w:rPr>
        <w:t>aństwa</w:t>
      </w:r>
      <w:r w:rsidR="00E55DD7">
        <w:rPr>
          <w:rFonts w:eastAsia="Times New Roman"/>
        </w:rPr>
        <w:t xml:space="preserve"> 2030 </w:t>
      </w:r>
      <w:r w:rsidR="006C4947">
        <w:rPr>
          <w:rFonts w:eastAsia="Times New Roman"/>
        </w:rPr>
        <w:t>-</w:t>
      </w:r>
      <w:r w:rsidR="00E55DD7">
        <w:rPr>
          <w:rFonts w:eastAsia="Times New Roman"/>
        </w:rPr>
        <w:t xml:space="preserve"> strategia rozwoju w obszarze środowiska i gospodarki</w:t>
      </w:r>
      <w:r w:rsidR="001432E0">
        <w:rPr>
          <w:rFonts w:eastAsia="Times New Roman"/>
        </w:rPr>
        <w:t xml:space="preserve"> wodnej;</w:t>
      </w:r>
    </w:p>
    <w:p w14:paraId="45A83F9F" w14:textId="50469ACB" w:rsidR="00E16E8B" w:rsidRDefault="00E16E8B" w:rsidP="00AA3506">
      <w:pPr>
        <w:numPr>
          <w:ilvl w:val="0"/>
          <w:numId w:val="133"/>
        </w:numPr>
        <w:suppressAutoHyphens/>
        <w:spacing w:before="0" w:after="0" w:line="276" w:lineRule="auto"/>
        <w:ind w:left="567" w:hanging="567"/>
        <w:rPr>
          <w:rFonts w:eastAsia="Times New Roman"/>
        </w:rPr>
      </w:pPr>
      <w:r w:rsidRPr="007C7D98">
        <w:rPr>
          <w:rFonts w:eastAsia="Times New Roman"/>
        </w:rPr>
        <w:t xml:space="preserve">Wspólna Polityka Rolna (Dyrektywa Azotanowa </w:t>
      </w:r>
      <w:r w:rsidR="006C4947">
        <w:rPr>
          <w:rFonts w:eastAsia="Times New Roman"/>
        </w:rPr>
        <w:t>-</w:t>
      </w:r>
      <w:r w:rsidRPr="007C7D98">
        <w:rPr>
          <w:rFonts w:eastAsia="Times New Roman"/>
        </w:rPr>
        <w:t xml:space="preserve"> działanie rolnictwo);</w:t>
      </w:r>
    </w:p>
    <w:p w14:paraId="629D8AD4" w14:textId="77777777" w:rsidR="00E16E8B" w:rsidRPr="009F4D0D" w:rsidRDefault="00E16E8B" w:rsidP="00AA3506">
      <w:pPr>
        <w:numPr>
          <w:ilvl w:val="0"/>
          <w:numId w:val="133"/>
        </w:numPr>
        <w:suppressAutoHyphens/>
        <w:spacing w:before="0" w:after="0" w:line="276" w:lineRule="auto"/>
        <w:ind w:left="567" w:hanging="567"/>
      </w:pPr>
      <w:r w:rsidRPr="009F4D0D">
        <w:t xml:space="preserve">Plan przeciwdziałania skutkom suszy; </w:t>
      </w:r>
    </w:p>
    <w:p w14:paraId="50E3DF93" w14:textId="77777777" w:rsidR="00E16E8B" w:rsidRPr="009F4D0D" w:rsidRDefault="00E16E8B" w:rsidP="00AA3506">
      <w:pPr>
        <w:numPr>
          <w:ilvl w:val="0"/>
          <w:numId w:val="133"/>
        </w:numPr>
        <w:suppressAutoHyphens/>
        <w:spacing w:before="0" w:after="0" w:line="276" w:lineRule="auto"/>
        <w:ind w:left="567" w:hanging="567"/>
      </w:pPr>
      <w:r w:rsidRPr="009F4D0D">
        <w:t xml:space="preserve">Plany zarządzania ryzykiem powodziowym; </w:t>
      </w:r>
    </w:p>
    <w:p w14:paraId="5104EE35" w14:textId="77777777" w:rsidR="00E16E8B" w:rsidRPr="009F4D0D" w:rsidRDefault="00E16E8B" w:rsidP="00AA3506">
      <w:pPr>
        <w:numPr>
          <w:ilvl w:val="0"/>
          <w:numId w:val="133"/>
        </w:numPr>
        <w:suppressAutoHyphens/>
        <w:spacing w:before="0" w:after="0" w:line="276" w:lineRule="auto"/>
        <w:ind w:left="567" w:hanging="567"/>
      </w:pPr>
      <w:r>
        <w:t>Plany utrzymania wód;</w:t>
      </w:r>
    </w:p>
    <w:p w14:paraId="5A048B03" w14:textId="585F847F" w:rsidR="00E16E8B" w:rsidRDefault="00320F64" w:rsidP="00AA3506">
      <w:pPr>
        <w:numPr>
          <w:ilvl w:val="0"/>
          <w:numId w:val="133"/>
        </w:numPr>
        <w:suppressAutoHyphens/>
        <w:spacing w:before="0" w:after="0" w:line="276" w:lineRule="auto"/>
        <w:ind w:left="567" w:hanging="567"/>
      </w:pPr>
      <w:r>
        <w:t>K</w:t>
      </w:r>
      <w:r w:rsidR="00E16E8B" w:rsidRPr="009F4D0D">
        <w:t>rajowy program oc</w:t>
      </w:r>
      <w:r w:rsidR="00E16E8B">
        <w:t>zyszczania ścieków komunalnych (VIaKPOŚK);</w:t>
      </w:r>
    </w:p>
    <w:p w14:paraId="7B55CBC7" w14:textId="789191DA" w:rsidR="00E16E8B" w:rsidRPr="009F4D0D" w:rsidRDefault="00E16E8B" w:rsidP="00AA3506">
      <w:pPr>
        <w:numPr>
          <w:ilvl w:val="0"/>
          <w:numId w:val="133"/>
        </w:numPr>
        <w:suppressAutoHyphens/>
        <w:spacing w:before="0" w:after="0" w:line="276" w:lineRule="auto"/>
        <w:ind w:left="567" w:hanging="567"/>
      </w:pPr>
      <w:r w:rsidRPr="002D6624">
        <w:t xml:space="preserve">Warunki korzystania z wód </w:t>
      </w:r>
      <w:r w:rsidRPr="00473E79">
        <w:t xml:space="preserve">regionów wodnych i zlewni - jako materiał pomocniczy dla identyfikacji uwarunkowań danego regionu w tym </w:t>
      </w:r>
      <w:r w:rsidRPr="00210501">
        <w:t>sformułowane w warunkach korzystania z</w:t>
      </w:r>
      <w:r w:rsidR="006C4947">
        <w:t> </w:t>
      </w:r>
      <w:r w:rsidRPr="00210501">
        <w:t>wód regionu wodnego ograniczenia w korzystaniu z wód jezior lub zbiorników oraz w</w:t>
      </w:r>
      <w:r w:rsidR="006C4947">
        <w:t> </w:t>
      </w:r>
      <w:r w:rsidRPr="00210501">
        <w:t xml:space="preserve">użytkowaniu ich zlewni </w:t>
      </w:r>
      <w:r w:rsidR="006C4947">
        <w:t>-</w:t>
      </w:r>
      <w:r w:rsidRPr="00210501">
        <w:t xml:space="preserve"> opracowania regionalne</w:t>
      </w:r>
      <w:r w:rsidRPr="009F4D0D">
        <w:t xml:space="preserve">; </w:t>
      </w:r>
    </w:p>
    <w:p w14:paraId="25777B65" w14:textId="77777777" w:rsidR="00E16E8B" w:rsidRDefault="00E16E8B" w:rsidP="00AA3506">
      <w:pPr>
        <w:numPr>
          <w:ilvl w:val="0"/>
          <w:numId w:val="133"/>
        </w:numPr>
        <w:suppressAutoHyphens/>
        <w:spacing w:before="0" w:after="0" w:line="276" w:lineRule="auto"/>
        <w:ind w:left="567" w:hanging="567"/>
      </w:pPr>
      <w:r w:rsidRPr="009F4D0D">
        <w:t>Program Państwowego Monitoringu Środowiska</w:t>
      </w:r>
      <w:r>
        <w:t xml:space="preserve"> 2016-2021, 2022-2027</w:t>
      </w:r>
      <w:r w:rsidRPr="009F4D0D">
        <w:t>;</w:t>
      </w:r>
    </w:p>
    <w:p w14:paraId="73C58CF5" w14:textId="77777777" w:rsidR="00E16E8B" w:rsidRPr="002D6624" w:rsidRDefault="00E16E8B" w:rsidP="00E16E8B">
      <w:r>
        <w:t xml:space="preserve">Na potrzeby </w:t>
      </w:r>
      <w:r w:rsidRPr="002D6624">
        <w:t xml:space="preserve">identyfikacji </w:t>
      </w:r>
      <w:r>
        <w:t xml:space="preserve">i doboru </w:t>
      </w:r>
      <w:r w:rsidRPr="002D6624">
        <w:t>działań</w:t>
      </w:r>
      <w:r>
        <w:t xml:space="preserve"> w procesie budowania zestawów działań</w:t>
      </w:r>
      <w:r w:rsidRPr="002D6624">
        <w:t xml:space="preserve"> </w:t>
      </w:r>
      <w:r>
        <w:t xml:space="preserve">dodatkowo </w:t>
      </w:r>
      <w:r w:rsidRPr="002D6624">
        <w:t xml:space="preserve">wykorzystano: </w:t>
      </w:r>
    </w:p>
    <w:p w14:paraId="7CBD86D7" w14:textId="77777777" w:rsidR="00E16E8B" w:rsidRPr="00210501" w:rsidRDefault="00E16E8B" w:rsidP="00AA3506">
      <w:pPr>
        <w:numPr>
          <w:ilvl w:val="0"/>
          <w:numId w:val="133"/>
        </w:numPr>
        <w:suppressAutoHyphens/>
        <w:spacing w:before="0" w:after="0" w:line="276" w:lineRule="auto"/>
        <w:ind w:left="567" w:hanging="567"/>
      </w:pPr>
      <w:r w:rsidRPr="002D6624">
        <w:t>Krajowy program renaturyzacji wód powierzchniowych</w:t>
      </w:r>
      <w:r>
        <w:t>;</w:t>
      </w:r>
    </w:p>
    <w:p w14:paraId="0DEADF6B"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Dokumenty źródłowe opracowane na potrzeby realizacji IIaPGW, w tym wskazane w art. 317 ustawy pr.w.</w:t>
      </w:r>
      <w:r>
        <w:t>;</w:t>
      </w:r>
    </w:p>
    <w:p w14:paraId="0689C259"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Protokoły z posiedzeń Komisji ds. Wód Granicznych, działających w ramach współpracy międzynarodowej na wodach granicznych</w:t>
      </w:r>
      <w:r>
        <w:t>;</w:t>
      </w:r>
    </w:p>
    <w:p w14:paraId="6DF185D4" w14:textId="0395491E"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 xml:space="preserve">Instrumenty wspierające aktualizacji Planów Zarządzania Ryzykiem Powodziowym </w:t>
      </w:r>
      <w:r w:rsidR="006C4947">
        <w:br/>
      </w:r>
      <w:r w:rsidRPr="002D6624">
        <w:t>(aPZRP Zadanie - zapewnienie ochrony i zwiększania naturalnej retencji oraz przywracania</w:t>
      </w:r>
      <w:r w:rsidRPr="002D6624">
        <w:br/>
        <w:t xml:space="preserve"> naturalnych warunków przepływu )</w:t>
      </w:r>
      <w:r>
        <w:t>;</w:t>
      </w:r>
    </w:p>
    <w:p w14:paraId="65A80A61"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Projekt ustawy o inwestycjach w zakresie przeciwdziałania skutkom suszy z dnia 12 sierpnia 2020 r. - wyciąg działań</w:t>
      </w:r>
      <w:r>
        <w:t>;</w:t>
      </w:r>
    </w:p>
    <w:p w14:paraId="7AA30885"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Ustanowione plany ochrony i plany zadań ochronnych dla obszarów przeznaczonych do ochrony siedlisk lub gatunków, gdzie utrzymanie lub poprawa stanu wód jest ważnym czynnikiem w ich ochronie</w:t>
      </w:r>
      <w:r>
        <w:t>;</w:t>
      </w:r>
    </w:p>
    <w:p w14:paraId="5B8ADBFD"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Sprawozdania z realizacji Dyrektywy azotanowej</w:t>
      </w:r>
      <w:r>
        <w:t>;</w:t>
      </w:r>
    </w:p>
    <w:p w14:paraId="7926548B"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Program przeciwdziałania niedoborowi wody</w:t>
      </w:r>
      <w:r>
        <w:t xml:space="preserve"> - założenia</w:t>
      </w:r>
      <w:r w:rsidRPr="002D6624">
        <w:t xml:space="preserve">. </w:t>
      </w:r>
    </w:p>
    <w:p w14:paraId="4E865E51" w14:textId="2EB334FA" w:rsidR="00E16E8B" w:rsidRPr="00473E79" w:rsidRDefault="00E16E8B" w:rsidP="00AA3506">
      <w:pPr>
        <w:pStyle w:val="Punkty"/>
        <w:numPr>
          <w:ilvl w:val="0"/>
          <w:numId w:val="130"/>
        </w:numPr>
        <w:spacing w:line="276" w:lineRule="auto"/>
        <w:ind w:left="567" w:hanging="567"/>
        <w:rPr>
          <w:rFonts w:asciiTheme="minorHAnsi" w:eastAsiaTheme="minorEastAsia" w:hAnsiTheme="minorHAnsi" w:cstheme="minorBidi"/>
          <w:color w:val="000000" w:themeColor="text1"/>
        </w:rPr>
      </w:pPr>
      <w:r w:rsidRPr="002D6624">
        <w:t xml:space="preserve">Warunki korzystania z wód </w:t>
      </w:r>
      <w:r w:rsidRPr="00473E79">
        <w:t>regionów wodnych i zlewni - jako materiał pomocniczy dla</w:t>
      </w:r>
      <w:r w:rsidR="006C4947">
        <w:t> </w:t>
      </w:r>
      <w:r w:rsidRPr="00473E79">
        <w:t xml:space="preserve">identyfikacji uwarunkowań danego regionu w tym </w:t>
      </w:r>
      <w:r w:rsidRPr="00473E79">
        <w:rPr>
          <w:rFonts w:cs="Calibri"/>
          <w:color w:val="000000" w:themeColor="text1"/>
        </w:rPr>
        <w:t>sformułowane w warunkach korzystania z wód regionu wodnego ograniczenia w korzystaniu z wód jezior lub zbiorników oraz w</w:t>
      </w:r>
      <w:r w:rsidR="006C4947">
        <w:rPr>
          <w:rFonts w:cs="Calibri"/>
          <w:color w:val="000000" w:themeColor="text1"/>
        </w:rPr>
        <w:t> </w:t>
      </w:r>
      <w:r w:rsidRPr="00473E79">
        <w:rPr>
          <w:rFonts w:cs="Calibri"/>
          <w:color w:val="000000" w:themeColor="text1"/>
        </w:rPr>
        <w:t xml:space="preserve">użytkowaniu ich zlewni </w:t>
      </w:r>
      <w:r w:rsidR="006C4947">
        <w:rPr>
          <w:rFonts w:cs="Calibri"/>
          <w:color w:val="000000" w:themeColor="text1"/>
        </w:rPr>
        <w:t>-</w:t>
      </w:r>
      <w:r w:rsidRPr="00473E79">
        <w:rPr>
          <w:rFonts w:cs="Calibri"/>
          <w:color w:val="000000" w:themeColor="text1"/>
        </w:rPr>
        <w:t xml:space="preserve"> opracowania regionalne;</w:t>
      </w:r>
    </w:p>
    <w:p w14:paraId="13DD3327"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Katalog dobrych praktyk w zakresie robót hydrotechnicznych i prac utrzymaniowych wraz z ustaleniem zasad ich wdrażania;</w:t>
      </w:r>
    </w:p>
    <w:p w14:paraId="28001DF6"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Zbiór zaleceń dobrej praktyki rolniczej mający na celu ochronę wód przez zanieczyszczeniem azotanami pochodzącymi ze źródeł rolniczych - wyciąg działań;</w:t>
      </w:r>
    </w:p>
    <w:p w14:paraId="278A2216"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Aktualizacja metodyki oceny stanu jcwpd wraz z opracowaniem metodyki analizy odwracania trendów zanieczyszczeń;</w:t>
      </w:r>
    </w:p>
    <w:p w14:paraId="57E2F332"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Ocena postępu we wdrażaniu programów działań dla jcwp i jcwpd wynikających z aPWŚK (dalej Ocena postępu we wdrażaniu (…));</w:t>
      </w:r>
    </w:p>
    <w:p w14:paraId="5637AB92"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Polski raport do Komisji Europejskiej z postępów w realizacji POWM;</w:t>
      </w:r>
    </w:p>
    <w:p w14:paraId="30BDEF89" w14:textId="77777777"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Materiały robocze: Ocena stanu realizacji KPOŚK i inne dane związane z jakością wód śródlądowych;</w:t>
      </w:r>
    </w:p>
    <w:p w14:paraId="019B190A" w14:textId="345D177F" w:rsidR="00E16E8B" w:rsidRPr="002D6624" w:rsidRDefault="00E16E8B" w:rsidP="00AA3506">
      <w:pPr>
        <w:pStyle w:val="Akapitzlist"/>
        <w:numPr>
          <w:ilvl w:val="0"/>
          <w:numId w:val="130"/>
        </w:numPr>
        <w:suppressAutoHyphens/>
        <w:ind w:left="567" w:hanging="567"/>
        <w:rPr>
          <w:rFonts w:asciiTheme="minorHAnsi" w:eastAsiaTheme="minorEastAsia" w:hAnsiTheme="minorHAnsi" w:cstheme="minorBidi"/>
        </w:rPr>
      </w:pPr>
      <w:r w:rsidRPr="002D6624">
        <w:t>Materiały uzupełniające dot. realizowanych i planowanych działań rekultywacyjnych na</w:t>
      </w:r>
      <w:r w:rsidR="006C4947">
        <w:t> </w:t>
      </w:r>
      <w:r w:rsidRPr="002D6624">
        <w:t>jeziorach (pozwolenia wodnoprawne)</w:t>
      </w:r>
      <w:r>
        <w:t>;</w:t>
      </w:r>
    </w:p>
    <w:p w14:paraId="5E373A8E" w14:textId="77777777" w:rsidR="00E16E8B" w:rsidRPr="006310B5" w:rsidRDefault="00E16E8B" w:rsidP="00AA3506">
      <w:pPr>
        <w:pStyle w:val="Akapitzlist"/>
        <w:numPr>
          <w:ilvl w:val="0"/>
          <w:numId w:val="130"/>
        </w:numPr>
        <w:suppressAutoHyphens/>
        <w:ind w:left="567" w:hanging="567"/>
      </w:pPr>
      <w:r w:rsidRPr="002D6624">
        <w:t>Baza opłat za korzystanie ze środowiska, opłaty za korzystanie z wód;</w:t>
      </w:r>
    </w:p>
    <w:p w14:paraId="07CE3501" w14:textId="77777777" w:rsidR="00E16E8B" w:rsidRPr="006310B5" w:rsidRDefault="00E16E8B" w:rsidP="00AA3506">
      <w:pPr>
        <w:pStyle w:val="Akapitzlist"/>
        <w:numPr>
          <w:ilvl w:val="0"/>
          <w:numId w:val="130"/>
        </w:numPr>
        <w:suppressAutoHyphens/>
        <w:ind w:left="567" w:hanging="567"/>
      </w:pPr>
      <w:r w:rsidRPr="002D6624">
        <w:t>Sprawozdania z wykonania KPOŚK;</w:t>
      </w:r>
    </w:p>
    <w:p w14:paraId="0CD40B8F" w14:textId="77777777" w:rsidR="00E16E8B" w:rsidRDefault="00E16E8B" w:rsidP="00AA3506">
      <w:pPr>
        <w:pStyle w:val="Akapitzlist"/>
        <w:numPr>
          <w:ilvl w:val="0"/>
          <w:numId w:val="130"/>
        </w:numPr>
        <w:suppressAutoHyphens/>
        <w:ind w:left="567" w:hanging="567"/>
      </w:pPr>
      <w:r w:rsidRPr="002D6624">
        <w:t>Rejestr E-PRTR.</w:t>
      </w:r>
    </w:p>
    <w:p w14:paraId="3DCC1629" w14:textId="77777777" w:rsidR="00E16E8B" w:rsidRDefault="00E16E8B" w:rsidP="00E16E8B">
      <w:pPr>
        <w:spacing w:before="0" w:after="0"/>
      </w:pPr>
      <w:r w:rsidRPr="009F4D0D">
        <w:t xml:space="preserve">Jako materiały uzupełniające wykorzystane </w:t>
      </w:r>
      <w:r>
        <w:t>zostały</w:t>
      </w:r>
      <w:r w:rsidRPr="009F4D0D">
        <w:t xml:space="preserve"> </w:t>
      </w:r>
      <w:r>
        <w:t>również</w:t>
      </w:r>
      <w:r w:rsidRPr="009F4D0D">
        <w:t xml:space="preserve"> opracowania o charakterze zaleceń lub wytycznych</w:t>
      </w:r>
      <w:r>
        <w:t>, w tym w szczególności u</w:t>
      </w:r>
      <w:r w:rsidRPr="009F4D0D">
        <w:t xml:space="preserve">wagi </w:t>
      </w:r>
      <w:r>
        <w:t>KE odnośnie do planów gospodarowania wodami opracowanych w poprzednich cyklach planistycznych (PGW, aPGW) oraz wytyczne KE dot. raportowania:</w:t>
      </w:r>
    </w:p>
    <w:p w14:paraId="597AF8FC" w14:textId="77777777" w:rsidR="00E16E8B" w:rsidRDefault="00E16E8B" w:rsidP="00AA3506">
      <w:pPr>
        <w:pStyle w:val="Punkty"/>
        <w:numPr>
          <w:ilvl w:val="0"/>
          <w:numId w:val="117"/>
        </w:numPr>
        <w:suppressAutoHyphens/>
        <w:spacing w:line="276" w:lineRule="auto"/>
        <w:ind w:left="567" w:hanging="567"/>
        <w:rPr>
          <w:rFonts w:cs="Calibri"/>
        </w:rPr>
      </w:pPr>
      <w:r>
        <w:rPr>
          <w:rFonts w:cs="Calibri"/>
        </w:rPr>
        <w:t>sprawozdanie Komisji Dla 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5DAED06F" w14:textId="2EACD21C" w:rsidR="00E16E8B" w:rsidRDefault="00E16E8B" w:rsidP="00AA3506">
      <w:pPr>
        <w:pStyle w:val="Punkty"/>
        <w:numPr>
          <w:ilvl w:val="0"/>
          <w:numId w:val="117"/>
        </w:numPr>
        <w:suppressAutoHyphens/>
        <w:spacing w:line="276" w:lineRule="auto"/>
        <w:ind w:left="567" w:hanging="567"/>
        <w:rPr>
          <w:rFonts w:cs="Calibri"/>
        </w:rPr>
      </w:pPr>
      <w:r>
        <w:rPr>
          <w:rFonts w:cs="Calibri"/>
        </w:rPr>
        <w:t>załącznik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006C4947">
        <w:rPr>
          <w:rFonts w:cs="Calibri"/>
        </w:rPr>
        <w:t> </w:t>
      </w:r>
      <w:r>
        <w:rPr>
          <w:rFonts w:cs="Calibri"/>
        </w:rPr>
        <w:t>dorzeczu i pierwszych planów zarządzania ryzykiem powodziowym;</w:t>
      </w:r>
    </w:p>
    <w:p w14:paraId="167F19F4" w14:textId="77777777" w:rsidR="00E16E8B" w:rsidRDefault="00E16E8B" w:rsidP="00AA3506">
      <w:pPr>
        <w:pStyle w:val="Punkty"/>
        <w:numPr>
          <w:ilvl w:val="0"/>
          <w:numId w:val="117"/>
        </w:numPr>
        <w:suppressAutoHyphens/>
        <w:spacing w:after="0" w:line="276" w:lineRule="auto"/>
        <w:ind w:left="567" w:hanging="567"/>
        <w:rPr>
          <w:rFonts w:cs="Calibri"/>
        </w:rPr>
      </w:pPr>
      <w:r>
        <w:rPr>
          <w:rFonts w:cs="Calibri"/>
        </w:rPr>
        <w:t xml:space="preserve">dokument roboczy służb Komisji do sprawozdania Komisji dla Parlamentu Europejskiego i Rady w sprawie wykonania Ramowej Dyrektywy Wodnej (2000/60/WE) i Dyrektywy powodziowej (2007/60/WE); Drugie plany gospodarowania wodami w dorzeczu; Pierwsze plany zarządzania ryzykiem powodziowym; Bruksela, dnia 26 lutego 2019; SWD(2019) 53 draft. </w:t>
      </w:r>
    </w:p>
    <w:p w14:paraId="25136123" w14:textId="7C493F17" w:rsidR="00320F64" w:rsidRDefault="00320F64">
      <w:pPr>
        <w:spacing w:before="0" w:after="0"/>
        <w:jc w:val="left"/>
      </w:pPr>
      <w:r>
        <w:br w:type="page"/>
      </w:r>
    </w:p>
    <w:p w14:paraId="04FAA7BC" w14:textId="08579934" w:rsidR="00332A4E" w:rsidRPr="008C0B70" w:rsidRDefault="00332A4E" w:rsidP="00B50FFD">
      <w:pPr>
        <w:pStyle w:val="Nagwek1"/>
      </w:pPr>
      <w:bookmarkStart w:id="602" w:name="_Toc68726944"/>
      <w:r w:rsidRPr="008C0B70">
        <w:t>Załączniki</w:t>
      </w:r>
      <w:bookmarkEnd w:id="593"/>
      <w:bookmarkEnd w:id="602"/>
    </w:p>
    <w:p w14:paraId="46385D51" w14:textId="5DD95A7B" w:rsidR="59150515" w:rsidRDefault="59150515">
      <w:r w:rsidRPr="0A25578D">
        <w:rPr>
          <w:rFonts w:cs="Calibri"/>
          <w:b/>
          <w:bCs/>
          <w:color w:val="003399"/>
          <w:sz w:val="28"/>
          <w:szCs w:val="28"/>
        </w:rPr>
        <w:t>Załączniki do części tekstowe</w:t>
      </w:r>
      <w:r w:rsidR="001730AE">
        <w:rPr>
          <w:rFonts w:cs="Calibri"/>
          <w:b/>
          <w:bCs/>
          <w:color w:val="003399"/>
          <w:sz w:val="28"/>
          <w:szCs w:val="28"/>
        </w:rPr>
        <w:t>j</w:t>
      </w:r>
    </w:p>
    <w:tbl>
      <w:tblPr>
        <w:tblStyle w:val="Tabela-Siatka"/>
        <w:tblW w:w="9060" w:type="dxa"/>
        <w:tblLayout w:type="fixed"/>
        <w:tblLook w:val="04A0" w:firstRow="1" w:lastRow="0" w:firstColumn="1" w:lastColumn="0" w:noHBand="0" w:noVBand="1"/>
      </w:tblPr>
      <w:tblGrid>
        <w:gridCol w:w="2265"/>
        <w:gridCol w:w="6795"/>
      </w:tblGrid>
      <w:tr w:rsidR="0A25578D" w14:paraId="3C4ED1A2" w14:textId="77777777" w:rsidTr="005A3AD7">
        <w:trPr>
          <w:trHeight w:val="345"/>
        </w:trPr>
        <w:tc>
          <w:tcPr>
            <w:tcW w:w="2265" w:type="dxa"/>
            <w:shd w:val="clear" w:color="auto" w:fill="BFBFBF" w:themeFill="background1" w:themeFillShade="BF"/>
            <w:vAlign w:val="center"/>
          </w:tcPr>
          <w:p w14:paraId="6909B9BD" w14:textId="7341CF73" w:rsidR="0A25578D" w:rsidRDefault="0A25578D" w:rsidP="0A25578D">
            <w:pPr>
              <w:jc w:val="left"/>
            </w:pPr>
            <w:r w:rsidRPr="0A25578D">
              <w:rPr>
                <w:rFonts w:cs="Calibri"/>
                <w:b/>
                <w:bCs/>
                <w:sz w:val="18"/>
                <w:szCs w:val="18"/>
              </w:rPr>
              <w:t>Załącznik nr 1</w:t>
            </w:r>
          </w:p>
        </w:tc>
        <w:tc>
          <w:tcPr>
            <w:tcW w:w="6795" w:type="dxa"/>
            <w:vAlign w:val="center"/>
          </w:tcPr>
          <w:p w14:paraId="107FB7CF" w14:textId="3A5A8AA1" w:rsidR="0A25578D" w:rsidRDefault="0A25578D" w:rsidP="0A25578D">
            <w:pPr>
              <w:jc w:val="left"/>
            </w:pPr>
            <w:r w:rsidRPr="0A25578D">
              <w:rPr>
                <w:rFonts w:cs="Calibri"/>
                <w:color w:val="000000" w:themeColor="text1"/>
                <w:sz w:val="18"/>
                <w:szCs w:val="18"/>
              </w:rPr>
              <w:t xml:space="preserve">Zestawienie główne </w:t>
            </w:r>
          </w:p>
        </w:tc>
      </w:tr>
      <w:tr w:rsidR="0A25578D" w14:paraId="06FF48C6" w14:textId="77777777" w:rsidTr="005A3AD7">
        <w:trPr>
          <w:trHeight w:val="345"/>
        </w:trPr>
        <w:tc>
          <w:tcPr>
            <w:tcW w:w="2265" w:type="dxa"/>
            <w:shd w:val="clear" w:color="auto" w:fill="BFBFBF" w:themeFill="background1" w:themeFillShade="BF"/>
            <w:vAlign w:val="center"/>
          </w:tcPr>
          <w:p w14:paraId="49AF92E1" w14:textId="326BF22C" w:rsidR="0A25578D" w:rsidRDefault="0A25578D" w:rsidP="0A25578D">
            <w:pPr>
              <w:jc w:val="left"/>
            </w:pPr>
            <w:r w:rsidRPr="0A25578D">
              <w:rPr>
                <w:rFonts w:cs="Calibri"/>
                <w:b/>
                <w:bCs/>
                <w:color w:val="000000" w:themeColor="text1"/>
                <w:sz w:val="18"/>
                <w:szCs w:val="18"/>
              </w:rPr>
              <w:t>Załącznik nr 2</w:t>
            </w:r>
          </w:p>
        </w:tc>
        <w:tc>
          <w:tcPr>
            <w:tcW w:w="6795" w:type="dxa"/>
            <w:vAlign w:val="center"/>
          </w:tcPr>
          <w:p w14:paraId="526587A3" w14:textId="6804A2A8" w:rsidR="0A25578D" w:rsidRDefault="0A25578D" w:rsidP="0A25578D">
            <w:pPr>
              <w:jc w:val="left"/>
            </w:pPr>
            <w:r w:rsidRPr="0A25578D">
              <w:rPr>
                <w:rFonts w:cs="Calibri"/>
                <w:color w:val="000000" w:themeColor="text1"/>
                <w:sz w:val="18"/>
                <w:szCs w:val="18"/>
              </w:rPr>
              <w:t>Wykazy obszarów chronionych SiG</w:t>
            </w:r>
          </w:p>
        </w:tc>
      </w:tr>
      <w:tr w:rsidR="0A25578D" w14:paraId="0791A87B" w14:textId="77777777" w:rsidTr="005A3AD7">
        <w:trPr>
          <w:trHeight w:val="345"/>
        </w:trPr>
        <w:tc>
          <w:tcPr>
            <w:tcW w:w="2265" w:type="dxa"/>
            <w:shd w:val="clear" w:color="auto" w:fill="BFBFBF" w:themeFill="background1" w:themeFillShade="BF"/>
            <w:vAlign w:val="center"/>
          </w:tcPr>
          <w:p w14:paraId="19E540B6" w14:textId="37704BC8" w:rsidR="0A25578D" w:rsidRDefault="0A25578D" w:rsidP="0A25578D">
            <w:pPr>
              <w:jc w:val="left"/>
            </w:pPr>
            <w:r w:rsidRPr="0A25578D">
              <w:rPr>
                <w:rFonts w:cs="Calibri"/>
                <w:b/>
                <w:bCs/>
                <w:color w:val="000000" w:themeColor="text1"/>
                <w:sz w:val="18"/>
                <w:szCs w:val="18"/>
              </w:rPr>
              <w:t>Załącznik nr 3</w:t>
            </w:r>
          </w:p>
        </w:tc>
        <w:tc>
          <w:tcPr>
            <w:tcW w:w="6795" w:type="dxa"/>
            <w:vAlign w:val="center"/>
          </w:tcPr>
          <w:p w14:paraId="11A48F49" w14:textId="7EB30600" w:rsidR="0A25578D" w:rsidRDefault="0A25578D" w:rsidP="0A25578D">
            <w:pPr>
              <w:jc w:val="left"/>
            </w:pPr>
            <w:r w:rsidRPr="0A25578D">
              <w:rPr>
                <w:rFonts w:cs="Calibri"/>
                <w:color w:val="000000" w:themeColor="text1"/>
                <w:sz w:val="18"/>
                <w:szCs w:val="18"/>
              </w:rPr>
              <w:t>Wartości graniczne SCW SZCW</w:t>
            </w:r>
          </w:p>
        </w:tc>
      </w:tr>
      <w:tr w:rsidR="0A25578D" w14:paraId="66E03E8B" w14:textId="77777777" w:rsidTr="005A3AD7">
        <w:trPr>
          <w:trHeight w:val="345"/>
        </w:trPr>
        <w:tc>
          <w:tcPr>
            <w:tcW w:w="2265" w:type="dxa"/>
            <w:shd w:val="clear" w:color="auto" w:fill="BFBFBF" w:themeFill="background1" w:themeFillShade="BF"/>
            <w:vAlign w:val="center"/>
          </w:tcPr>
          <w:p w14:paraId="05CC4EF5" w14:textId="02FD552C" w:rsidR="0A25578D" w:rsidRDefault="0A25578D" w:rsidP="0A25578D">
            <w:pPr>
              <w:jc w:val="left"/>
            </w:pPr>
            <w:r w:rsidRPr="0A25578D">
              <w:rPr>
                <w:rFonts w:cs="Calibri"/>
                <w:b/>
                <w:bCs/>
                <w:color w:val="000000" w:themeColor="text1"/>
                <w:sz w:val="18"/>
                <w:szCs w:val="18"/>
              </w:rPr>
              <w:t>Załącznik nr 4</w:t>
            </w:r>
          </w:p>
        </w:tc>
        <w:tc>
          <w:tcPr>
            <w:tcW w:w="6795" w:type="dxa"/>
            <w:vAlign w:val="center"/>
          </w:tcPr>
          <w:p w14:paraId="227171C0" w14:textId="5F13F2D7" w:rsidR="0A25578D" w:rsidRDefault="0A25578D" w:rsidP="0A25578D">
            <w:pPr>
              <w:jc w:val="left"/>
            </w:pPr>
            <w:r w:rsidRPr="0A25578D">
              <w:rPr>
                <w:rFonts w:cs="Calibri"/>
                <w:color w:val="000000" w:themeColor="text1"/>
                <w:sz w:val="18"/>
                <w:szCs w:val="18"/>
              </w:rPr>
              <w:t>Wykaz emisji i stężeń</w:t>
            </w:r>
          </w:p>
        </w:tc>
      </w:tr>
      <w:tr w:rsidR="0A25578D" w14:paraId="36DCDFEA" w14:textId="77777777" w:rsidTr="005A3AD7">
        <w:trPr>
          <w:trHeight w:val="345"/>
        </w:trPr>
        <w:tc>
          <w:tcPr>
            <w:tcW w:w="2265" w:type="dxa"/>
            <w:shd w:val="clear" w:color="auto" w:fill="BFBFBF" w:themeFill="background1" w:themeFillShade="BF"/>
            <w:vAlign w:val="center"/>
          </w:tcPr>
          <w:p w14:paraId="27813D3B" w14:textId="33D9C5C4" w:rsidR="0A25578D" w:rsidRDefault="0A25578D" w:rsidP="0A25578D">
            <w:pPr>
              <w:jc w:val="left"/>
            </w:pPr>
            <w:r w:rsidRPr="0A25578D">
              <w:rPr>
                <w:rFonts w:cs="Calibri"/>
                <w:b/>
                <w:bCs/>
                <w:color w:val="000000" w:themeColor="text1"/>
                <w:sz w:val="18"/>
                <w:szCs w:val="18"/>
              </w:rPr>
              <w:t>Załącznik nr 5.1</w:t>
            </w:r>
          </w:p>
        </w:tc>
        <w:tc>
          <w:tcPr>
            <w:tcW w:w="6795" w:type="dxa"/>
            <w:vAlign w:val="center"/>
          </w:tcPr>
          <w:p w14:paraId="05FF9C8C" w14:textId="641DC864" w:rsidR="0A25578D" w:rsidRDefault="0A25578D" w:rsidP="0A25578D">
            <w:pPr>
              <w:jc w:val="left"/>
            </w:pPr>
            <w:r w:rsidRPr="0A25578D">
              <w:rPr>
                <w:rFonts w:cs="Calibri"/>
                <w:color w:val="000000" w:themeColor="text1"/>
                <w:sz w:val="18"/>
                <w:szCs w:val="18"/>
              </w:rPr>
              <w:t>Cele środowiskowe</w:t>
            </w:r>
          </w:p>
        </w:tc>
      </w:tr>
      <w:tr w:rsidR="0A25578D" w14:paraId="22F8C9E6" w14:textId="77777777" w:rsidTr="005A3AD7">
        <w:trPr>
          <w:trHeight w:val="345"/>
        </w:trPr>
        <w:tc>
          <w:tcPr>
            <w:tcW w:w="2265" w:type="dxa"/>
            <w:shd w:val="clear" w:color="auto" w:fill="BFBFBF" w:themeFill="background1" w:themeFillShade="BF"/>
            <w:vAlign w:val="center"/>
          </w:tcPr>
          <w:p w14:paraId="05D9BD66" w14:textId="6A439405" w:rsidR="0A25578D" w:rsidRDefault="0A25578D" w:rsidP="0A25578D">
            <w:pPr>
              <w:jc w:val="left"/>
            </w:pPr>
            <w:r w:rsidRPr="0A25578D">
              <w:rPr>
                <w:rFonts w:cs="Calibri"/>
                <w:b/>
                <w:bCs/>
                <w:color w:val="000000" w:themeColor="text1"/>
                <w:sz w:val="18"/>
                <w:szCs w:val="18"/>
              </w:rPr>
              <w:t>Załącznik nr 5.</w:t>
            </w:r>
            <w:r w:rsidR="00D004DD">
              <w:rPr>
                <w:rFonts w:cs="Calibri"/>
                <w:b/>
                <w:bCs/>
                <w:color w:val="000000" w:themeColor="text1"/>
                <w:sz w:val="18"/>
                <w:szCs w:val="18"/>
              </w:rPr>
              <w:t>1.1</w:t>
            </w:r>
          </w:p>
        </w:tc>
        <w:tc>
          <w:tcPr>
            <w:tcW w:w="6795" w:type="dxa"/>
            <w:vAlign w:val="center"/>
          </w:tcPr>
          <w:p w14:paraId="160D3CB9" w14:textId="7ADD12FC" w:rsidR="0A25578D" w:rsidRDefault="00D004DD" w:rsidP="0A25578D">
            <w:pPr>
              <w:jc w:val="left"/>
            </w:pPr>
            <w:r>
              <w:rPr>
                <w:rFonts w:cs="Calibri"/>
                <w:sz w:val="18"/>
                <w:szCs w:val="18"/>
              </w:rPr>
              <w:t>Ocena stopnia</w:t>
            </w:r>
            <w:r w:rsidR="00A41DBE">
              <w:rPr>
                <w:rFonts w:cs="Calibri"/>
                <w:sz w:val="18"/>
                <w:szCs w:val="18"/>
              </w:rPr>
              <w:t xml:space="preserve"> osi</w:t>
            </w:r>
            <w:r w:rsidR="00AC1E35">
              <w:rPr>
                <w:rFonts w:cs="Calibri"/>
                <w:sz w:val="18"/>
                <w:szCs w:val="18"/>
              </w:rPr>
              <w:t>ą</w:t>
            </w:r>
            <w:r w:rsidR="00A41DBE">
              <w:rPr>
                <w:rFonts w:cs="Calibri"/>
                <w:sz w:val="18"/>
                <w:szCs w:val="18"/>
              </w:rPr>
              <w:t>gnięcia</w:t>
            </w:r>
            <w:r>
              <w:rPr>
                <w:rFonts w:cs="Calibri"/>
                <w:sz w:val="18"/>
                <w:szCs w:val="18"/>
              </w:rPr>
              <w:t xml:space="preserve"> celów środowiskowych jcwp</w:t>
            </w:r>
          </w:p>
        </w:tc>
      </w:tr>
      <w:tr w:rsidR="00776ACF" w14:paraId="58A080F6" w14:textId="77777777" w:rsidTr="005A3AD7">
        <w:trPr>
          <w:trHeight w:val="345"/>
        </w:trPr>
        <w:tc>
          <w:tcPr>
            <w:tcW w:w="2265" w:type="dxa"/>
            <w:shd w:val="clear" w:color="auto" w:fill="BFBFBF" w:themeFill="background1" w:themeFillShade="BF"/>
            <w:vAlign w:val="center"/>
          </w:tcPr>
          <w:p w14:paraId="382C2763" w14:textId="0DCD0890" w:rsidR="00776ACF" w:rsidRPr="0A25578D" w:rsidRDefault="00776ACF" w:rsidP="0A25578D">
            <w:pPr>
              <w:jc w:val="left"/>
              <w:rPr>
                <w:rFonts w:cs="Calibri"/>
                <w:b/>
                <w:bCs/>
                <w:color w:val="000000" w:themeColor="text1"/>
                <w:sz w:val="18"/>
                <w:szCs w:val="18"/>
              </w:rPr>
            </w:pPr>
            <w:r>
              <w:rPr>
                <w:rFonts w:cs="Calibri"/>
                <w:b/>
                <w:bCs/>
                <w:color w:val="000000" w:themeColor="text1"/>
                <w:sz w:val="18"/>
                <w:szCs w:val="18"/>
              </w:rPr>
              <w:t>Załącznik nr 5.2</w:t>
            </w:r>
          </w:p>
        </w:tc>
        <w:tc>
          <w:tcPr>
            <w:tcW w:w="6795" w:type="dxa"/>
            <w:vAlign w:val="center"/>
          </w:tcPr>
          <w:p w14:paraId="10EFBFDF" w14:textId="35759B40" w:rsidR="00776ACF" w:rsidRPr="00776ACF" w:rsidRDefault="00776ACF" w:rsidP="00776ACF">
            <w:pPr>
              <w:spacing w:before="0" w:after="0"/>
              <w:jc w:val="left"/>
              <w:rPr>
                <w:rFonts w:ascii="Segoe UI" w:eastAsia="Times New Roman" w:hAnsi="Segoe UI" w:cs="Segoe UI"/>
                <w:sz w:val="21"/>
                <w:szCs w:val="21"/>
                <w:lang w:eastAsia="pl-PL"/>
              </w:rPr>
            </w:pPr>
            <w:r w:rsidRPr="00776ACF">
              <w:rPr>
                <w:rFonts w:cs="Calibri"/>
                <w:sz w:val="18"/>
                <w:szCs w:val="18"/>
              </w:rPr>
              <w:t>Porównanie oceny stanu jcwpd 2016, 2019</w:t>
            </w:r>
          </w:p>
        </w:tc>
      </w:tr>
      <w:tr w:rsidR="0A25578D" w14:paraId="0373972F" w14:textId="77777777" w:rsidTr="005A3AD7">
        <w:trPr>
          <w:trHeight w:val="345"/>
        </w:trPr>
        <w:tc>
          <w:tcPr>
            <w:tcW w:w="2265" w:type="dxa"/>
            <w:shd w:val="clear" w:color="auto" w:fill="BFBFBF" w:themeFill="background1" w:themeFillShade="BF"/>
            <w:vAlign w:val="center"/>
          </w:tcPr>
          <w:p w14:paraId="7E50F7A2" w14:textId="34FECD6B" w:rsidR="0A25578D" w:rsidRDefault="0A25578D" w:rsidP="0A25578D">
            <w:pPr>
              <w:jc w:val="left"/>
            </w:pPr>
            <w:r w:rsidRPr="0A25578D">
              <w:rPr>
                <w:rFonts w:cs="Calibri"/>
                <w:b/>
                <w:bCs/>
                <w:color w:val="000000" w:themeColor="text1"/>
                <w:sz w:val="18"/>
                <w:szCs w:val="18"/>
              </w:rPr>
              <w:t>Załącznik nr 6</w:t>
            </w:r>
          </w:p>
        </w:tc>
        <w:tc>
          <w:tcPr>
            <w:tcW w:w="6795" w:type="dxa"/>
            <w:vAlign w:val="center"/>
          </w:tcPr>
          <w:p w14:paraId="13B424B9" w14:textId="52742DEE" w:rsidR="0A25578D" w:rsidRDefault="0A25578D" w:rsidP="0A25578D">
            <w:pPr>
              <w:jc w:val="left"/>
            </w:pPr>
            <w:r w:rsidRPr="0A25578D">
              <w:rPr>
                <w:rFonts w:cs="Calibri"/>
                <w:color w:val="000000" w:themeColor="text1"/>
                <w:sz w:val="18"/>
                <w:szCs w:val="18"/>
              </w:rPr>
              <w:t>Wykaz inwestycji i działań</w:t>
            </w:r>
          </w:p>
        </w:tc>
      </w:tr>
      <w:tr w:rsidR="0A25578D" w14:paraId="57E1331C" w14:textId="77777777" w:rsidTr="005A3AD7">
        <w:trPr>
          <w:trHeight w:val="345"/>
        </w:trPr>
        <w:tc>
          <w:tcPr>
            <w:tcW w:w="2265" w:type="dxa"/>
            <w:shd w:val="clear" w:color="auto" w:fill="BFBFBF" w:themeFill="background1" w:themeFillShade="BF"/>
            <w:vAlign w:val="center"/>
          </w:tcPr>
          <w:p w14:paraId="4DCD5DD2" w14:textId="74F9C42A"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7</w:t>
            </w:r>
            <w:r w:rsidRPr="0A25578D">
              <w:rPr>
                <w:rFonts w:cs="Calibri"/>
                <w:b/>
                <w:bCs/>
                <w:color w:val="000000" w:themeColor="text1"/>
                <w:sz w:val="18"/>
                <w:szCs w:val="18"/>
              </w:rPr>
              <w:t>.1</w:t>
            </w:r>
          </w:p>
        </w:tc>
        <w:tc>
          <w:tcPr>
            <w:tcW w:w="6795" w:type="dxa"/>
            <w:vAlign w:val="center"/>
          </w:tcPr>
          <w:p w14:paraId="4129CACF" w14:textId="0CD44855" w:rsidR="0A25578D" w:rsidRDefault="0A25578D" w:rsidP="0A25578D">
            <w:pPr>
              <w:jc w:val="left"/>
            </w:pPr>
            <w:r w:rsidRPr="0A25578D">
              <w:rPr>
                <w:rFonts w:cs="Calibri"/>
                <w:sz w:val="18"/>
                <w:szCs w:val="18"/>
              </w:rPr>
              <w:t>Katalog działań krajowych</w:t>
            </w:r>
          </w:p>
        </w:tc>
      </w:tr>
      <w:tr w:rsidR="0A25578D" w14:paraId="1EFBAEB3" w14:textId="77777777" w:rsidTr="005A3AD7">
        <w:trPr>
          <w:trHeight w:val="345"/>
        </w:trPr>
        <w:tc>
          <w:tcPr>
            <w:tcW w:w="2265" w:type="dxa"/>
            <w:shd w:val="clear" w:color="auto" w:fill="BFBFBF" w:themeFill="background1" w:themeFillShade="BF"/>
            <w:vAlign w:val="center"/>
          </w:tcPr>
          <w:p w14:paraId="2D8D0BBC" w14:textId="2CE77D37"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7</w:t>
            </w:r>
            <w:r w:rsidRPr="0A25578D">
              <w:rPr>
                <w:rFonts w:cs="Calibri"/>
                <w:b/>
                <w:bCs/>
                <w:color w:val="000000" w:themeColor="text1"/>
                <w:sz w:val="18"/>
                <w:szCs w:val="18"/>
              </w:rPr>
              <w:t>.2</w:t>
            </w:r>
          </w:p>
        </w:tc>
        <w:tc>
          <w:tcPr>
            <w:tcW w:w="6795" w:type="dxa"/>
            <w:vAlign w:val="center"/>
          </w:tcPr>
          <w:p w14:paraId="7E676506" w14:textId="2ADCAB7E" w:rsidR="0A25578D" w:rsidRDefault="0A25578D" w:rsidP="0A25578D">
            <w:pPr>
              <w:jc w:val="left"/>
            </w:pPr>
            <w:r w:rsidRPr="0A25578D">
              <w:rPr>
                <w:rFonts w:cs="Calibri"/>
                <w:sz w:val="18"/>
                <w:szCs w:val="18"/>
              </w:rPr>
              <w:t xml:space="preserve">Katalog działań </w:t>
            </w:r>
            <w:r w:rsidR="00564A2B">
              <w:rPr>
                <w:rFonts w:cs="Calibri"/>
                <w:sz w:val="18"/>
                <w:szCs w:val="18"/>
              </w:rPr>
              <w:t xml:space="preserve">dla poszczególnych </w:t>
            </w:r>
            <w:r w:rsidRPr="0A25578D">
              <w:rPr>
                <w:rFonts w:cs="Calibri"/>
                <w:sz w:val="18"/>
                <w:szCs w:val="18"/>
              </w:rPr>
              <w:t>kategori</w:t>
            </w:r>
            <w:r w:rsidR="00564A2B">
              <w:rPr>
                <w:rFonts w:cs="Calibri"/>
                <w:sz w:val="18"/>
                <w:szCs w:val="18"/>
              </w:rPr>
              <w:t>i wód</w:t>
            </w:r>
          </w:p>
        </w:tc>
      </w:tr>
      <w:tr w:rsidR="0A25578D" w14:paraId="134E50B5" w14:textId="77777777" w:rsidTr="005A3AD7">
        <w:trPr>
          <w:trHeight w:val="345"/>
        </w:trPr>
        <w:tc>
          <w:tcPr>
            <w:tcW w:w="2265" w:type="dxa"/>
            <w:shd w:val="clear" w:color="auto" w:fill="BFBFBF" w:themeFill="background1" w:themeFillShade="BF"/>
            <w:vAlign w:val="center"/>
          </w:tcPr>
          <w:p w14:paraId="01AF447C" w14:textId="47BB677E"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7</w:t>
            </w:r>
            <w:r w:rsidRPr="0A25578D">
              <w:rPr>
                <w:rFonts w:cs="Calibri"/>
                <w:b/>
                <w:bCs/>
                <w:color w:val="000000" w:themeColor="text1"/>
                <w:sz w:val="18"/>
                <w:szCs w:val="18"/>
              </w:rPr>
              <w:t>.3</w:t>
            </w:r>
          </w:p>
        </w:tc>
        <w:tc>
          <w:tcPr>
            <w:tcW w:w="6795" w:type="dxa"/>
            <w:vAlign w:val="center"/>
          </w:tcPr>
          <w:p w14:paraId="770B5A91" w14:textId="23FFA094" w:rsidR="0A25578D" w:rsidRDefault="0A25578D" w:rsidP="0A25578D">
            <w:pPr>
              <w:jc w:val="left"/>
            </w:pPr>
            <w:r w:rsidRPr="0A25578D">
              <w:rPr>
                <w:rFonts w:cs="Calibri"/>
                <w:sz w:val="18"/>
                <w:szCs w:val="18"/>
              </w:rPr>
              <w:t>Zestaw działań RW</w:t>
            </w:r>
          </w:p>
        </w:tc>
      </w:tr>
      <w:tr w:rsidR="0A25578D" w14:paraId="3C9B28C9" w14:textId="77777777" w:rsidTr="005A3AD7">
        <w:trPr>
          <w:trHeight w:val="345"/>
        </w:trPr>
        <w:tc>
          <w:tcPr>
            <w:tcW w:w="2265" w:type="dxa"/>
            <w:shd w:val="clear" w:color="auto" w:fill="BFBFBF" w:themeFill="background1" w:themeFillShade="BF"/>
            <w:vAlign w:val="center"/>
          </w:tcPr>
          <w:p w14:paraId="4158E674" w14:textId="7B7E35AB"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7</w:t>
            </w:r>
            <w:r w:rsidRPr="0A25578D">
              <w:rPr>
                <w:rFonts w:cs="Calibri"/>
                <w:b/>
                <w:bCs/>
                <w:color w:val="000000" w:themeColor="text1"/>
                <w:sz w:val="18"/>
                <w:szCs w:val="18"/>
              </w:rPr>
              <w:t>.</w:t>
            </w:r>
            <w:r w:rsidR="000F096A">
              <w:rPr>
                <w:rFonts w:cs="Calibri"/>
                <w:b/>
                <w:bCs/>
                <w:color w:val="000000" w:themeColor="text1"/>
                <w:sz w:val="18"/>
                <w:szCs w:val="18"/>
              </w:rPr>
              <w:t>4</w:t>
            </w:r>
          </w:p>
        </w:tc>
        <w:tc>
          <w:tcPr>
            <w:tcW w:w="6795" w:type="dxa"/>
            <w:vAlign w:val="center"/>
          </w:tcPr>
          <w:p w14:paraId="27EA4B46" w14:textId="7304B0DA" w:rsidR="0A25578D" w:rsidRDefault="0A25578D" w:rsidP="0A25578D">
            <w:pPr>
              <w:jc w:val="left"/>
            </w:pPr>
            <w:r w:rsidRPr="0A25578D">
              <w:rPr>
                <w:rFonts w:cs="Calibri"/>
                <w:sz w:val="18"/>
                <w:szCs w:val="18"/>
              </w:rPr>
              <w:t>Zestaw działań LW</w:t>
            </w:r>
          </w:p>
        </w:tc>
      </w:tr>
      <w:tr w:rsidR="0A25578D" w14:paraId="3DC06A49" w14:textId="77777777" w:rsidTr="005A3AD7">
        <w:trPr>
          <w:trHeight w:val="345"/>
        </w:trPr>
        <w:tc>
          <w:tcPr>
            <w:tcW w:w="2265" w:type="dxa"/>
            <w:shd w:val="clear" w:color="auto" w:fill="BFBFBF" w:themeFill="background1" w:themeFillShade="BF"/>
            <w:vAlign w:val="center"/>
          </w:tcPr>
          <w:p w14:paraId="43D6F059" w14:textId="33DDECB7"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7</w:t>
            </w:r>
            <w:r w:rsidRPr="0A25578D">
              <w:rPr>
                <w:rFonts w:cs="Calibri"/>
                <w:b/>
                <w:bCs/>
                <w:color w:val="000000" w:themeColor="text1"/>
                <w:sz w:val="18"/>
                <w:szCs w:val="18"/>
              </w:rPr>
              <w:t>.</w:t>
            </w:r>
            <w:r w:rsidR="000F096A">
              <w:rPr>
                <w:rFonts w:cs="Calibri"/>
                <w:b/>
                <w:bCs/>
                <w:color w:val="000000" w:themeColor="text1"/>
                <w:sz w:val="18"/>
                <w:szCs w:val="18"/>
              </w:rPr>
              <w:t>5</w:t>
            </w:r>
          </w:p>
        </w:tc>
        <w:tc>
          <w:tcPr>
            <w:tcW w:w="6795" w:type="dxa"/>
            <w:vAlign w:val="center"/>
          </w:tcPr>
          <w:p w14:paraId="3A8CD772" w14:textId="1264CC9E" w:rsidR="0A25578D" w:rsidRDefault="0A25578D" w:rsidP="0A25578D">
            <w:pPr>
              <w:jc w:val="left"/>
            </w:pPr>
            <w:r w:rsidRPr="0A25578D">
              <w:rPr>
                <w:rFonts w:cs="Calibri"/>
                <w:sz w:val="18"/>
                <w:szCs w:val="18"/>
              </w:rPr>
              <w:t>Zestaw działań jcwpd</w:t>
            </w:r>
          </w:p>
        </w:tc>
      </w:tr>
      <w:tr w:rsidR="0A25578D" w14:paraId="06C7E377" w14:textId="77777777" w:rsidTr="005A3AD7">
        <w:trPr>
          <w:trHeight w:val="345"/>
        </w:trPr>
        <w:tc>
          <w:tcPr>
            <w:tcW w:w="2265" w:type="dxa"/>
            <w:shd w:val="clear" w:color="auto" w:fill="BFBFBF" w:themeFill="background1" w:themeFillShade="BF"/>
            <w:vAlign w:val="center"/>
          </w:tcPr>
          <w:p w14:paraId="6189ED15" w14:textId="63CEEB3D" w:rsidR="0A25578D" w:rsidRDefault="0A25578D" w:rsidP="0A25578D">
            <w:pPr>
              <w:jc w:val="left"/>
            </w:pPr>
            <w:r w:rsidRPr="0A25578D">
              <w:rPr>
                <w:rFonts w:cs="Calibri"/>
                <w:b/>
                <w:bCs/>
                <w:color w:val="000000" w:themeColor="text1"/>
                <w:sz w:val="18"/>
                <w:szCs w:val="18"/>
              </w:rPr>
              <w:t xml:space="preserve">Załącznik nr </w:t>
            </w:r>
            <w:r w:rsidR="0003517A">
              <w:rPr>
                <w:rFonts w:cs="Calibri"/>
                <w:b/>
                <w:bCs/>
                <w:color w:val="000000" w:themeColor="text1"/>
                <w:sz w:val="18"/>
                <w:szCs w:val="18"/>
              </w:rPr>
              <w:t>8</w:t>
            </w:r>
          </w:p>
        </w:tc>
        <w:tc>
          <w:tcPr>
            <w:tcW w:w="6795" w:type="dxa"/>
            <w:vAlign w:val="center"/>
          </w:tcPr>
          <w:p w14:paraId="3E99A934" w14:textId="40D215C9" w:rsidR="0A25578D" w:rsidRDefault="0A25578D" w:rsidP="0A25578D">
            <w:pPr>
              <w:jc w:val="left"/>
            </w:pPr>
            <w:r w:rsidRPr="0A25578D">
              <w:rPr>
                <w:rFonts w:cs="Calibri"/>
                <w:color w:val="000000" w:themeColor="text1"/>
                <w:sz w:val="18"/>
                <w:szCs w:val="18"/>
              </w:rPr>
              <w:t>Wykaz jcw wskazanych do odstępstw</w:t>
            </w:r>
          </w:p>
        </w:tc>
      </w:tr>
      <w:tr w:rsidR="009906D1" w14:paraId="3F460DD3" w14:textId="77777777" w:rsidTr="005A3AD7">
        <w:trPr>
          <w:trHeight w:val="345"/>
        </w:trPr>
        <w:tc>
          <w:tcPr>
            <w:tcW w:w="2265" w:type="dxa"/>
            <w:shd w:val="clear" w:color="auto" w:fill="BFBFBF" w:themeFill="background1" w:themeFillShade="BF"/>
            <w:vAlign w:val="center"/>
          </w:tcPr>
          <w:p w14:paraId="3F5EFF0C" w14:textId="024C2D4F" w:rsidR="009906D1" w:rsidRPr="0A25578D" w:rsidRDefault="009906D1" w:rsidP="009906D1">
            <w:pPr>
              <w:jc w:val="left"/>
              <w:rPr>
                <w:rFonts w:cs="Calibri"/>
                <w:b/>
                <w:bCs/>
                <w:color w:val="000000" w:themeColor="text1"/>
                <w:sz w:val="18"/>
                <w:szCs w:val="18"/>
              </w:rPr>
            </w:pPr>
            <w:r w:rsidRPr="0A25578D">
              <w:rPr>
                <w:rFonts w:cs="Calibri"/>
                <w:b/>
                <w:bCs/>
                <w:color w:val="000000" w:themeColor="text1"/>
                <w:sz w:val="18"/>
                <w:szCs w:val="18"/>
              </w:rPr>
              <w:t xml:space="preserve">Załącznik nr </w:t>
            </w:r>
            <w:r w:rsidR="0003517A">
              <w:rPr>
                <w:rFonts w:cs="Calibri"/>
                <w:b/>
                <w:bCs/>
                <w:color w:val="000000" w:themeColor="text1"/>
                <w:sz w:val="18"/>
                <w:szCs w:val="18"/>
              </w:rPr>
              <w:t>9</w:t>
            </w:r>
          </w:p>
        </w:tc>
        <w:tc>
          <w:tcPr>
            <w:tcW w:w="6795" w:type="dxa"/>
            <w:vAlign w:val="center"/>
          </w:tcPr>
          <w:p w14:paraId="3A6B3E69" w14:textId="40A33204" w:rsidR="009906D1" w:rsidRPr="0A25578D" w:rsidRDefault="00286EEB" w:rsidP="009906D1">
            <w:pPr>
              <w:jc w:val="left"/>
              <w:rPr>
                <w:rFonts w:cs="Calibri"/>
                <w:color w:val="000000" w:themeColor="text1"/>
                <w:sz w:val="18"/>
                <w:szCs w:val="18"/>
              </w:rPr>
            </w:pPr>
            <w:r w:rsidRPr="00286EEB">
              <w:rPr>
                <w:rFonts w:cs="Calibri"/>
                <w:color w:val="000000" w:themeColor="text1"/>
                <w:sz w:val="18"/>
                <w:szCs w:val="18"/>
              </w:rPr>
              <w:t>Wykaz odcinków potencjalnie utrudnionego spływu lodu</w:t>
            </w:r>
          </w:p>
        </w:tc>
      </w:tr>
    </w:tbl>
    <w:bookmarkEnd w:id="594"/>
    <w:p w14:paraId="237F6F84" w14:textId="1396822B" w:rsidR="1D181C67" w:rsidRDefault="1D181C67">
      <w:r w:rsidRPr="0A25578D">
        <w:rPr>
          <w:rFonts w:cs="Calibri"/>
          <w:b/>
          <w:bCs/>
          <w:color w:val="003399"/>
          <w:sz w:val="28"/>
          <w:szCs w:val="28"/>
        </w:rPr>
        <w:t>Załączniki graficzne</w:t>
      </w:r>
    </w:p>
    <w:tbl>
      <w:tblPr>
        <w:tblStyle w:val="Tabela-Siatka"/>
        <w:tblW w:w="0" w:type="auto"/>
        <w:tblLook w:val="04A0" w:firstRow="1" w:lastRow="0" w:firstColumn="1" w:lastColumn="0" w:noHBand="0" w:noVBand="1"/>
      </w:tblPr>
      <w:tblGrid>
        <w:gridCol w:w="2263"/>
        <w:gridCol w:w="6799"/>
      </w:tblGrid>
      <w:tr w:rsidR="000F096A" w14:paraId="29E480F9" w14:textId="77777777" w:rsidTr="00A60609">
        <w:tc>
          <w:tcPr>
            <w:tcW w:w="2263" w:type="dxa"/>
            <w:shd w:val="clear" w:color="auto" w:fill="BFBFBF" w:themeFill="background1" w:themeFillShade="BF"/>
            <w:vAlign w:val="center"/>
          </w:tcPr>
          <w:p w14:paraId="0A2A3160" w14:textId="7D62FD9C" w:rsidR="000F096A" w:rsidRDefault="000F096A" w:rsidP="000F096A">
            <w:pPr>
              <w:rPr>
                <w:highlight w:val="yellow"/>
              </w:rPr>
            </w:pPr>
            <w:r>
              <w:rPr>
                <w:b/>
                <w:sz w:val="18"/>
                <w:szCs w:val="18"/>
              </w:rPr>
              <w:t>Załącznik graficzny nr 1</w:t>
            </w:r>
          </w:p>
        </w:tc>
        <w:tc>
          <w:tcPr>
            <w:tcW w:w="6799" w:type="dxa"/>
            <w:vAlign w:val="center"/>
          </w:tcPr>
          <w:p w14:paraId="0FB4E5E7" w14:textId="5CDA846D" w:rsidR="000F096A" w:rsidRDefault="000F096A" w:rsidP="000F096A">
            <w:pPr>
              <w:rPr>
                <w:highlight w:val="yellow"/>
              </w:rPr>
            </w:pPr>
            <w:r>
              <w:rPr>
                <w:sz w:val="18"/>
                <w:szCs w:val="18"/>
              </w:rPr>
              <w:t>Położenie i granice jcwp w obszarze dorzecza Pregoły</w:t>
            </w:r>
          </w:p>
        </w:tc>
      </w:tr>
      <w:tr w:rsidR="000F096A" w14:paraId="2417BBB9" w14:textId="77777777" w:rsidTr="00A60609">
        <w:tc>
          <w:tcPr>
            <w:tcW w:w="2263" w:type="dxa"/>
            <w:shd w:val="clear" w:color="auto" w:fill="BFBFBF" w:themeFill="background1" w:themeFillShade="BF"/>
            <w:vAlign w:val="center"/>
          </w:tcPr>
          <w:p w14:paraId="3E3490D2" w14:textId="259D455A" w:rsidR="000F096A" w:rsidRDefault="000F096A" w:rsidP="000F096A">
            <w:pPr>
              <w:rPr>
                <w:highlight w:val="yellow"/>
              </w:rPr>
            </w:pPr>
            <w:r>
              <w:rPr>
                <w:b/>
                <w:sz w:val="18"/>
                <w:szCs w:val="18"/>
              </w:rPr>
              <w:t>Załącznik graficzny nr 2.1</w:t>
            </w:r>
          </w:p>
        </w:tc>
        <w:tc>
          <w:tcPr>
            <w:tcW w:w="6799" w:type="dxa"/>
            <w:vAlign w:val="center"/>
          </w:tcPr>
          <w:p w14:paraId="01A4A342" w14:textId="1D7A5255" w:rsidR="000F096A" w:rsidRDefault="000F096A" w:rsidP="000F096A">
            <w:pPr>
              <w:rPr>
                <w:highlight w:val="yellow"/>
              </w:rPr>
            </w:pPr>
            <w:r>
              <w:rPr>
                <w:sz w:val="18"/>
                <w:szCs w:val="18"/>
              </w:rPr>
              <w:t>Ekoregiony i typy jcwp RW</w:t>
            </w:r>
          </w:p>
        </w:tc>
      </w:tr>
      <w:tr w:rsidR="000F096A" w14:paraId="06BDCD5D" w14:textId="77777777" w:rsidTr="00A60609">
        <w:tc>
          <w:tcPr>
            <w:tcW w:w="2263" w:type="dxa"/>
            <w:shd w:val="clear" w:color="auto" w:fill="BFBFBF" w:themeFill="background1" w:themeFillShade="BF"/>
            <w:vAlign w:val="center"/>
          </w:tcPr>
          <w:p w14:paraId="3D896A25" w14:textId="78B5490A" w:rsidR="000F096A" w:rsidRDefault="000F096A" w:rsidP="000F096A">
            <w:pPr>
              <w:rPr>
                <w:highlight w:val="yellow"/>
              </w:rPr>
            </w:pPr>
            <w:r>
              <w:rPr>
                <w:b/>
                <w:sz w:val="18"/>
                <w:szCs w:val="18"/>
              </w:rPr>
              <w:t>Załącznik graficzny nr 2.2</w:t>
            </w:r>
          </w:p>
        </w:tc>
        <w:tc>
          <w:tcPr>
            <w:tcW w:w="6799" w:type="dxa"/>
            <w:vAlign w:val="center"/>
          </w:tcPr>
          <w:p w14:paraId="5BB9ECC9" w14:textId="5DBFED62" w:rsidR="000F096A" w:rsidRDefault="000F096A" w:rsidP="000F096A">
            <w:pPr>
              <w:rPr>
                <w:highlight w:val="yellow"/>
              </w:rPr>
            </w:pPr>
            <w:r>
              <w:rPr>
                <w:sz w:val="18"/>
                <w:szCs w:val="18"/>
              </w:rPr>
              <w:t>Ekoregiony i typy jcwp LW</w:t>
            </w:r>
          </w:p>
        </w:tc>
      </w:tr>
      <w:tr w:rsidR="000F096A" w14:paraId="44FC1634" w14:textId="77777777" w:rsidTr="00A60609">
        <w:tc>
          <w:tcPr>
            <w:tcW w:w="2263" w:type="dxa"/>
            <w:shd w:val="clear" w:color="auto" w:fill="BFBFBF" w:themeFill="background1" w:themeFillShade="BF"/>
            <w:vAlign w:val="center"/>
          </w:tcPr>
          <w:p w14:paraId="3A7C234E" w14:textId="3633E82C" w:rsidR="000F096A" w:rsidRDefault="000F096A" w:rsidP="000F096A">
            <w:pPr>
              <w:rPr>
                <w:highlight w:val="yellow"/>
              </w:rPr>
            </w:pPr>
            <w:r>
              <w:rPr>
                <w:b/>
                <w:sz w:val="18"/>
                <w:szCs w:val="18"/>
              </w:rPr>
              <w:t>Załącznik graficzny nr 3</w:t>
            </w:r>
          </w:p>
        </w:tc>
        <w:tc>
          <w:tcPr>
            <w:tcW w:w="6799" w:type="dxa"/>
            <w:vAlign w:val="center"/>
          </w:tcPr>
          <w:p w14:paraId="47633BDB" w14:textId="005EBF4C" w:rsidR="000F096A" w:rsidRDefault="000F096A" w:rsidP="000F096A">
            <w:pPr>
              <w:rPr>
                <w:highlight w:val="yellow"/>
              </w:rPr>
            </w:pPr>
            <w:r>
              <w:rPr>
                <w:sz w:val="18"/>
                <w:szCs w:val="18"/>
              </w:rPr>
              <w:t>Statusy jcwp</w:t>
            </w:r>
          </w:p>
        </w:tc>
      </w:tr>
      <w:tr w:rsidR="000F096A" w14:paraId="7519E43C" w14:textId="77777777" w:rsidTr="00A60609">
        <w:tc>
          <w:tcPr>
            <w:tcW w:w="2263" w:type="dxa"/>
            <w:shd w:val="clear" w:color="auto" w:fill="BFBFBF" w:themeFill="background1" w:themeFillShade="BF"/>
            <w:vAlign w:val="center"/>
          </w:tcPr>
          <w:p w14:paraId="15EC93F9" w14:textId="44E66C90" w:rsidR="000F096A" w:rsidRDefault="000F096A" w:rsidP="000F096A">
            <w:pPr>
              <w:rPr>
                <w:highlight w:val="yellow"/>
              </w:rPr>
            </w:pPr>
            <w:r>
              <w:rPr>
                <w:b/>
                <w:sz w:val="18"/>
                <w:szCs w:val="18"/>
              </w:rPr>
              <w:t>Załącznik graficzny nr 4</w:t>
            </w:r>
          </w:p>
        </w:tc>
        <w:tc>
          <w:tcPr>
            <w:tcW w:w="6799" w:type="dxa"/>
            <w:vAlign w:val="center"/>
          </w:tcPr>
          <w:p w14:paraId="2FF56B15" w14:textId="368258D9" w:rsidR="000F096A" w:rsidRDefault="000F096A" w:rsidP="000F096A">
            <w:pPr>
              <w:rPr>
                <w:highlight w:val="yellow"/>
              </w:rPr>
            </w:pPr>
            <w:r>
              <w:rPr>
                <w:sz w:val="18"/>
                <w:szCs w:val="18"/>
              </w:rPr>
              <w:t xml:space="preserve">Położenie i granice jcwpd w obszarze dorzecza </w:t>
            </w:r>
            <w:r w:rsidR="00C66D17">
              <w:rPr>
                <w:sz w:val="18"/>
                <w:szCs w:val="18"/>
              </w:rPr>
              <w:t>Pregoły</w:t>
            </w:r>
          </w:p>
        </w:tc>
      </w:tr>
      <w:tr w:rsidR="000F096A" w14:paraId="505B5380" w14:textId="77777777" w:rsidTr="00A60609">
        <w:tc>
          <w:tcPr>
            <w:tcW w:w="2263" w:type="dxa"/>
            <w:shd w:val="clear" w:color="auto" w:fill="BFBFBF" w:themeFill="background1" w:themeFillShade="BF"/>
            <w:vAlign w:val="center"/>
          </w:tcPr>
          <w:p w14:paraId="7D55C94E" w14:textId="6CD4900E" w:rsidR="000F096A" w:rsidRDefault="000F096A" w:rsidP="000F096A">
            <w:pPr>
              <w:rPr>
                <w:highlight w:val="yellow"/>
              </w:rPr>
            </w:pPr>
            <w:r>
              <w:rPr>
                <w:b/>
                <w:sz w:val="18"/>
                <w:szCs w:val="18"/>
              </w:rPr>
              <w:t>Załącznik graficzny nr 5</w:t>
            </w:r>
          </w:p>
        </w:tc>
        <w:tc>
          <w:tcPr>
            <w:tcW w:w="6799" w:type="dxa"/>
            <w:vAlign w:val="center"/>
          </w:tcPr>
          <w:p w14:paraId="5F18AABF" w14:textId="64668A31" w:rsidR="000F096A" w:rsidRDefault="000F096A" w:rsidP="000F096A">
            <w:pPr>
              <w:rPr>
                <w:highlight w:val="yellow"/>
              </w:rPr>
            </w:pPr>
            <w:r>
              <w:rPr>
                <w:sz w:val="18"/>
                <w:szCs w:val="18"/>
              </w:rPr>
              <w:t>Jcw RK</w:t>
            </w:r>
          </w:p>
        </w:tc>
      </w:tr>
      <w:tr w:rsidR="000F096A" w14:paraId="639E356D" w14:textId="77777777" w:rsidTr="00A60609">
        <w:tc>
          <w:tcPr>
            <w:tcW w:w="2263" w:type="dxa"/>
            <w:shd w:val="clear" w:color="auto" w:fill="BFBFBF" w:themeFill="background1" w:themeFillShade="BF"/>
            <w:vAlign w:val="center"/>
          </w:tcPr>
          <w:p w14:paraId="5A9F47D7" w14:textId="066DE883" w:rsidR="000F096A" w:rsidRDefault="000F096A" w:rsidP="000F096A">
            <w:pPr>
              <w:rPr>
                <w:highlight w:val="yellow"/>
              </w:rPr>
            </w:pPr>
            <w:r>
              <w:rPr>
                <w:b/>
                <w:sz w:val="18"/>
                <w:szCs w:val="18"/>
              </w:rPr>
              <w:t>Załącznik graficzny nr 6</w:t>
            </w:r>
          </w:p>
        </w:tc>
        <w:tc>
          <w:tcPr>
            <w:tcW w:w="6799" w:type="dxa"/>
            <w:vAlign w:val="center"/>
          </w:tcPr>
          <w:p w14:paraId="2B93E3FD" w14:textId="4601B639" w:rsidR="000F096A" w:rsidRDefault="008D17B5" w:rsidP="000F096A">
            <w:pPr>
              <w:rPr>
                <w:highlight w:val="yellow"/>
              </w:rPr>
            </w:pPr>
            <w:r>
              <w:rPr>
                <w:sz w:val="18"/>
                <w:szCs w:val="18"/>
              </w:rPr>
              <w:t xml:space="preserve">Obszary chronione </w:t>
            </w:r>
            <w:r w:rsidR="000F096A">
              <w:rPr>
                <w:sz w:val="18"/>
                <w:szCs w:val="18"/>
              </w:rPr>
              <w:t>SiG</w:t>
            </w:r>
          </w:p>
        </w:tc>
      </w:tr>
      <w:tr w:rsidR="000F096A" w14:paraId="59017A1A" w14:textId="77777777" w:rsidTr="00A60609">
        <w:tc>
          <w:tcPr>
            <w:tcW w:w="2263" w:type="dxa"/>
            <w:shd w:val="clear" w:color="auto" w:fill="BFBFBF" w:themeFill="background1" w:themeFillShade="BF"/>
            <w:vAlign w:val="center"/>
          </w:tcPr>
          <w:p w14:paraId="7F89CA3F" w14:textId="7F94F14C" w:rsidR="000F096A" w:rsidRDefault="000F096A" w:rsidP="000F096A">
            <w:pPr>
              <w:rPr>
                <w:highlight w:val="yellow"/>
              </w:rPr>
            </w:pPr>
            <w:r>
              <w:rPr>
                <w:b/>
                <w:sz w:val="18"/>
                <w:szCs w:val="18"/>
              </w:rPr>
              <w:t>Załącznik graficzny nr 7</w:t>
            </w:r>
          </w:p>
        </w:tc>
        <w:tc>
          <w:tcPr>
            <w:tcW w:w="6799" w:type="dxa"/>
            <w:vAlign w:val="center"/>
          </w:tcPr>
          <w:p w14:paraId="6420CA65" w14:textId="608F5D71" w:rsidR="000F096A" w:rsidRPr="000F096A" w:rsidRDefault="00D3071D" w:rsidP="000F096A">
            <w:pPr>
              <w:rPr>
                <w:sz w:val="18"/>
                <w:szCs w:val="18"/>
                <w:highlight w:val="yellow"/>
              </w:rPr>
            </w:pPr>
            <w:r>
              <w:rPr>
                <w:sz w:val="18"/>
                <w:szCs w:val="18"/>
              </w:rPr>
              <w:t>Planowana s</w:t>
            </w:r>
            <w:r w:rsidR="000F096A" w:rsidRPr="000F096A">
              <w:rPr>
                <w:sz w:val="18"/>
                <w:szCs w:val="18"/>
              </w:rPr>
              <w:t>ieć monitoringu 2022-2027 jcwp RW</w:t>
            </w:r>
          </w:p>
        </w:tc>
      </w:tr>
      <w:tr w:rsidR="000F096A" w14:paraId="2CD99EE0" w14:textId="77777777" w:rsidTr="00A60609">
        <w:tc>
          <w:tcPr>
            <w:tcW w:w="2263" w:type="dxa"/>
            <w:shd w:val="clear" w:color="auto" w:fill="BFBFBF" w:themeFill="background1" w:themeFillShade="BF"/>
            <w:vAlign w:val="center"/>
          </w:tcPr>
          <w:p w14:paraId="28B6297D" w14:textId="00E340F9" w:rsidR="000F096A" w:rsidRDefault="000F096A" w:rsidP="000F096A">
            <w:pPr>
              <w:rPr>
                <w:highlight w:val="yellow"/>
              </w:rPr>
            </w:pPr>
            <w:r>
              <w:rPr>
                <w:b/>
                <w:sz w:val="18"/>
                <w:szCs w:val="18"/>
              </w:rPr>
              <w:t>Załącznik graficzny nr 8</w:t>
            </w:r>
          </w:p>
        </w:tc>
        <w:tc>
          <w:tcPr>
            <w:tcW w:w="6799" w:type="dxa"/>
            <w:vAlign w:val="center"/>
          </w:tcPr>
          <w:p w14:paraId="6F62656B" w14:textId="64A34B42" w:rsidR="000F096A" w:rsidRPr="000F096A" w:rsidRDefault="00E0375F" w:rsidP="000F096A">
            <w:pPr>
              <w:rPr>
                <w:sz w:val="18"/>
                <w:szCs w:val="18"/>
                <w:highlight w:val="yellow"/>
              </w:rPr>
            </w:pPr>
            <w:r>
              <w:rPr>
                <w:sz w:val="18"/>
                <w:szCs w:val="18"/>
              </w:rPr>
              <w:t>Planowana s</w:t>
            </w:r>
            <w:r w:rsidR="000F096A" w:rsidRPr="000F096A">
              <w:rPr>
                <w:sz w:val="18"/>
                <w:szCs w:val="18"/>
              </w:rPr>
              <w:t>ieć monitoringu 2022-2027 jcwp LW</w:t>
            </w:r>
          </w:p>
        </w:tc>
      </w:tr>
      <w:tr w:rsidR="000F096A" w14:paraId="643FFC5D" w14:textId="77777777" w:rsidTr="00A60609">
        <w:tc>
          <w:tcPr>
            <w:tcW w:w="2263" w:type="dxa"/>
            <w:shd w:val="clear" w:color="auto" w:fill="BFBFBF" w:themeFill="background1" w:themeFillShade="BF"/>
            <w:vAlign w:val="center"/>
          </w:tcPr>
          <w:p w14:paraId="33B0CB85" w14:textId="1E983ABD" w:rsidR="000F096A" w:rsidRDefault="000F096A" w:rsidP="000F096A">
            <w:pPr>
              <w:rPr>
                <w:highlight w:val="yellow"/>
              </w:rPr>
            </w:pPr>
            <w:r>
              <w:rPr>
                <w:b/>
                <w:sz w:val="18"/>
                <w:szCs w:val="18"/>
              </w:rPr>
              <w:t>Załącznik graficzny nr 9</w:t>
            </w:r>
          </w:p>
        </w:tc>
        <w:tc>
          <w:tcPr>
            <w:tcW w:w="6799" w:type="dxa"/>
            <w:vAlign w:val="center"/>
          </w:tcPr>
          <w:p w14:paraId="207C867C" w14:textId="34E4A22F" w:rsidR="000F096A" w:rsidRDefault="00E0375F" w:rsidP="000F096A">
            <w:pPr>
              <w:rPr>
                <w:highlight w:val="yellow"/>
              </w:rPr>
            </w:pPr>
            <w:r>
              <w:rPr>
                <w:sz w:val="18"/>
                <w:szCs w:val="18"/>
              </w:rPr>
              <w:t>Planowana s</w:t>
            </w:r>
            <w:r w:rsidR="000F096A">
              <w:rPr>
                <w:sz w:val="18"/>
                <w:szCs w:val="18"/>
              </w:rPr>
              <w:t xml:space="preserve">ieć monitoringu </w:t>
            </w:r>
            <w:r>
              <w:rPr>
                <w:sz w:val="18"/>
                <w:szCs w:val="18"/>
              </w:rPr>
              <w:t xml:space="preserve">2022-2027 </w:t>
            </w:r>
            <w:r w:rsidR="000F096A">
              <w:rPr>
                <w:sz w:val="18"/>
                <w:szCs w:val="18"/>
              </w:rPr>
              <w:t>jcwpd</w:t>
            </w:r>
          </w:p>
        </w:tc>
      </w:tr>
      <w:tr w:rsidR="000F096A" w14:paraId="44E7A79F" w14:textId="77777777" w:rsidTr="00A60609">
        <w:tc>
          <w:tcPr>
            <w:tcW w:w="2263" w:type="dxa"/>
            <w:shd w:val="clear" w:color="auto" w:fill="BFBFBF" w:themeFill="background1" w:themeFillShade="BF"/>
            <w:vAlign w:val="center"/>
          </w:tcPr>
          <w:p w14:paraId="4D15B847" w14:textId="4F524095" w:rsidR="000F096A" w:rsidRDefault="000F096A" w:rsidP="000F096A">
            <w:pPr>
              <w:rPr>
                <w:highlight w:val="yellow"/>
              </w:rPr>
            </w:pPr>
            <w:r>
              <w:rPr>
                <w:b/>
                <w:sz w:val="18"/>
                <w:szCs w:val="18"/>
              </w:rPr>
              <w:t>Załącznik graficzny nr 10.1</w:t>
            </w:r>
          </w:p>
        </w:tc>
        <w:tc>
          <w:tcPr>
            <w:tcW w:w="6799" w:type="dxa"/>
            <w:vAlign w:val="center"/>
          </w:tcPr>
          <w:p w14:paraId="554B4D77" w14:textId="7CB5ABB2" w:rsidR="000F096A" w:rsidRDefault="000F096A" w:rsidP="000F096A">
            <w:pPr>
              <w:rPr>
                <w:highlight w:val="yellow"/>
              </w:rPr>
            </w:pPr>
            <w:r>
              <w:rPr>
                <w:sz w:val="18"/>
                <w:szCs w:val="18"/>
              </w:rPr>
              <w:t>Stan/potencjał ekologiczny RW (r.kl.jcwp do 2022)</w:t>
            </w:r>
          </w:p>
        </w:tc>
      </w:tr>
      <w:tr w:rsidR="000F096A" w14:paraId="750DB2BB" w14:textId="77777777" w:rsidTr="00A60609">
        <w:tc>
          <w:tcPr>
            <w:tcW w:w="2263" w:type="dxa"/>
            <w:shd w:val="clear" w:color="auto" w:fill="BFBFBF" w:themeFill="background1" w:themeFillShade="BF"/>
            <w:vAlign w:val="center"/>
          </w:tcPr>
          <w:p w14:paraId="06164CFE" w14:textId="7280FD7C" w:rsidR="000F096A" w:rsidRDefault="000F096A" w:rsidP="000F096A">
            <w:pPr>
              <w:rPr>
                <w:highlight w:val="yellow"/>
              </w:rPr>
            </w:pPr>
            <w:r>
              <w:rPr>
                <w:b/>
                <w:sz w:val="18"/>
                <w:szCs w:val="18"/>
              </w:rPr>
              <w:t>Załącznik graficzny nr 10.2</w:t>
            </w:r>
          </w:p>
        </w:tc>
        <w:tc>
          <w:tcPr>
            <w:tcW w:w="6799" w:type="dxa"/>
            <w:vAlign w:val="center"/>
          </w:tcPr>
          <w:p w14:paraId="209451AA" w14:textId="79CB635C" w:rsidR="000F096A" w:rsidRDefault="000F096A" w:rsidP="000F096A">
            <w:pPr>
              <w:rPr>
                <w:highlight w:val="yellow"/>
              </w:rPr>
            </w:pPr>
            <w:r>
              <w:rPr>
                <w:sz w:val="18"/>
                <w:szCs w:val="18"/>
              </w:rPr>
              <w:t>Stan/potencjał ekologiczny LW (r.kl.jcwp do 2022)</w:t>
            </w:r>
          </w:p>
        </w:tc>
      </w:tr>
      <w:tr w:rsidR="000F096A" w14:paraId="65E170F2" w14:textId="77777777" w:rsidTr="00A60609">
        <w:tc>
          <w:tcPr>
            <w:tcW w:w="2263" w:type="dxa"/>
            <w:shd w:val="clear" w:color="auto" w:fill="BFBFBF" w:themeFill="background1" w:themeFillShade="BF"/>
            <w:vAlign w:val="center"/>
          </w:tcPr>
          <w:p w14:paraId="298EB72E" w14:textId="11D50B45" w:rsidR="000F096A" w:rsidRDefault="000F096A" w:rsidP="000F096A">
            <w:pPr>
              <w:rPr>
                <w:highlight w:val="yellow"/>
              </w:rPr>
            </w:pPr>
            <w:r>
              <w:rPr>
                <w:b/>
                <w:sz w:val="18"/>
                <w:szCs w:val="18"/>
              </w:rPr>
              <w:t>Załącznik graficzny nr 1</w:t>
            </w:r>
            <w:r w:rsidR="001015E8">
              <w:rPr>
                <w:b/>
                <w:sz w:val="18"/>
                <w:szCs w:val="18"/>
              </w:rPr>
              <w:t>1</w:t>
            </w:r>
            <w:r>
              <w:rPr>
                <w:b/>
                <w:sz w:val="18"/>
                <w:szCs w:val="18"/>
              </w:rPr>
              <w:t>.</w:t>
            </w:r>
            <w:r w:rsidR="001015E8">
              <w:rPr>
                <w:b/>
                <w:sz w:val="18"/>
                <w:szCs w:val="18"/>
              </w:rPr>
              <w:t>1</w:t>
            </w:r>
          </w:p>
        </w:tc>
        <w:tc>
          <w:tcPr>
            <w:tcW w:w="6799" w:type="dxa"/>
            <w:vAlign w:val="center"/>
          </w:tcPr>
          <w:p w14:paraId="6316344E" w14:textId="4A99C8E2" w:rsidR="000F096A" w:rsidRDefault="000F096A" w:rsidP="000F096A">
            <w:pPr>
              <w:rPr>
                <w:highlight w:val="yellow"/>
              </w:rPr>
            </w:pPr>
            <w:r>
              <w:rPr>
                <w:sz w:val="18"/>
                <w:szCs w:val="18"/>
              </w:rPr>
              <w:t>Stan/potencjał ekologiczny RW (r.kl.jcwp od 2022, ocena ekspercka)</w:t>
            </w:r>
          </w:p>
        </w:tc>
      </w:tr>
      <w:tr w:rsidR="000F096A" w14:paraId="56C621FB" w14:textId="77777777" w:rsidTr="00A60609">
        <w:tc>
          <w:tcPr>
            <w:tcW w:w="2263" w:type="dxa"/>
            <w:shd w:val="clear" w:color="auto" w:fill="BFBFBF" w:themeFill="background1" w:themeFillShade="BF"/>
            <w:vAlign w:val="center"/>
          </w:tcPr>
          <w:p w14:paraId="14B6E13D" w14:textId="4DFE8D03" w:rsidR="000F096A" w:rsidRDefault="000F096A" w:rsidP="000F096A">
            <w:pPr>
              <w:rPr>
                <w:highlight w:val="yellow"/>
              </w:rPr>
            </w:pPr>
            <w:r>
              <w:rPr>
                <w:b/>
                <w:sz w:val="18"/>
                <w:szCs w:val="18"/>
              </w:rPr>
              <w:t xml:space="preserve">Załącznik graficzny nr </w:t>
            </w:r>
            <w:r w:rsidR="001015E8">
              <w:rPr>
                <w:b/>
                <w:sz w:val="18"/>
                <w:szCs w:val="18"/>
              </w:rPr>
              <w:t>11.2</w:t>
            </w:r>
          </w:p>
        </w:tc>
        <w:tc>
          <w:tcPr>
            <w:tcW w:w="6799" w:type="dxa"/>
            <w:vAlign w:val="center"/>
          </w:tcPr>
          <w:p w14:paraId="46EB9529" w14:textId="6F787525" w:rsidR="000F096A" w:rsidRDefault="000F096A" w:rsidP="000F096A">
            <w:pPr>
              <w:rPr>
                <w:highlight w:val="yellow"/>
              </w:rPr>
            </w:pPr>
            <w:r>
              <w:rPr>
                <w:sz w:val="18"/>
                <w:szCs w:val="18"/>
              </w:rPr>
              <w:t>Stan/potencjał ekologiczny LW (r.kl.jcwp od 2022, ocena ekspercka)</w:t>
            </w:r>
          </w:p>
        </w:tc>
      </w:tr>
      <w:tr w:rsidR="001015E8" w14:paraId="2BBC205B" w14:textId="77777777" w:rsidTr="00A60609">
        <w:tc>
          <w:tcPr>
            <w:tcW w:w="2263" w:type="dxa"/>
            <w:shd w:val="clear" w:color="auto" w:fill="BFBFBF" w:themeFill="background1" w:themeFillShade="BF"/>
            <w:vAlign w:val="center"/>
          </w:tcPr>
          <w:p w14:paraId="0A127D18" w14:textId="38E7024F" w:rsidR="001015E8" w:rsidRDefault="001015E8" w:rsidP="001015E8">
            <w:pPr>
              <w:rPr>
                <w:highlight w:val="yellow"/>
              </w:rPr>
            </w:pPr>
            <w:r>
              <w:rPr>
                <w:b/>
                <w:sz w:val="18"/>
                <w:szCs w:val="18"/>
              </w:rPr>
              <w:t>Załącznik graficzny nr 12.1</w:t>
            </w:r>
          </w:p>
        </w:tc>
        <w:tc>
          <w:tcPr>
            <w:tcW w:w="6799" w:type="dxa"/>
            <w:vAlign w:val="center"/>
          </w:tcPr>
          <w:p w14:paraId="0255AC35" w14:textId="0EEFA2F8" w:rsidR="001015E8" w:rsidRDefault="001015E8" w:rsidP="001015E8">
            <w:pPr>
              <w:rPr>
                <w:highlight w:val="yellow"/>
              </w:rPr>
            </w:pPr>
            <w:r>
              <w:rPr>
                <w:sz w:val="18"/>
                <w:szCs w:val="18"/>
              </w:rPr>
              <w:t>Stan chemiczny RW (r.kl.jcwp do 2022)</w:t>
            </w:r>
          </w:p>
        </w:tc>
      </w:tr>
      <w:tr w:rsidR="001015E8" w14:paraId="5B81DE9C" w14:textId="77777777" w:rsidTr="00A60609">
        <w:tc>
          <w:tcPr>
            <w:tcW w:w="2263" w:type="dxa"/>
            <w:shd w:val="clear" w:color="auto" w:fill="BFBFBF" w:themeFill="background1" w:themeFillShade="BF"/>
            <w:vAlign w:val="center"/>
          </w:tcPr>
          <w:p w14:paraId="6B321841" w14:textId="525C611A" w:rsidR="001015E8" w:rsidRDefault="001015E8" w:rsidP="001015E8">
            <w:pPr>
              <w:rPr>
                <w:highlight w:val="yellow"/>
              </w:rPr>
            </w:pPr>
            <w:r>
              <w:rPr>
                <w:b/>
                <w:sz w:val="18"/>
                <w:szCs w:val="18"/>
              </w:rPr>
              <w:t>Załącznik graficzny nr 12.2</w:t>
            </w:r>
          </w:p>
        </w:tc>
        <w:tc>
          <w:tcPr>
            <w:tcW w:w="6799" w:type="dxa"/>
            <w:vAlign w:val="center"/>
          </w:tcPr>
          <w:p w14:paraId="7BD9543F" w14:textId="679FD8C2" w:rsidR="001015E8" w:rsidRDefault="001015E8" w:rsidP="001015E8">
            <w:pPr>
              <w:rPr>
                <w:highlight w:val="yellow"/>
              </w:rPr>
            </w:pPr>
            <w:r>
              <w:rPr>
                <w:sz w:val="18"/>
                <w:szCs w:val="18"/>
              </w:rPr>
              <w:t>Stan chemiczny LW (r.kl.jcwp do 2022)</w:t>
            </w:r>
          </w:p>
        </w:tc>
      </w:tr>
      <w:tr w:rsidR="001015E8" w14:paraId="4DFE6A1C" w14:textId="77777777" w:rsidTr="00A60609">
        <w:tc>
          <w:tcPr>
            <w:tcW w:w="2263" w:type="dxa"/>
            <w:shd w:val="clear" w:color="auto" w:fill="BFBFBF" w:themeFill="background1" w:themeFillShade="BF"/>
            <w:vAlign w:val="center"/>
          </w:tcPr>
          <w:p w14:paraId="2045EBE7" w14:textId="623CFCC1" w:rsidR="001015E8" w:rsidRDefault="001015E8" w:rsidP="001015E8">
            <w:pPr>
              <w:rPr>
                <w:highlight w:val="yellow"/>
              </w:rPr>
            </w:pPr>
            <w:r>
              <w:rPr>
                <w:b/>
                <w:sz w:val="18"/>
                <w:szCs w:val="18"/>
              </w:rPr>
              <w:t>Załącznik graficzny nr 13.1</w:t>
            </w:r>
          </w:p>
        </w:tc>
        <w:tc>
          <w:tcPr>
            <w:tcW w:w="6799" w:type="dxa"/>
            <w:vAlign w:val="center"/>
          </w:tcPr>
          <w:p w14:paraId="3577BF9B" w14:textId="70D3498A" w:rsidR="001015E8" w:rsidRDefault="001015E8" w:rsidP="001015E8">
            <w:pPr>
              <w:rPr>
                <w:highlight w:val="yellow"/>
              </w:rPr>
            </w:pPr>
            <w:r>
              <w:rPr>
                <w:sz w:val="18"/>
                <w:szCs w:val="18"/>
              </w:rPr>
              <w:t>Stan chemiczny RW (r.kl.jcwp od 2022, ocena ekspercka)</w:t>
            </w:r>
          </w:p>
        </w:tc>
      </w:tr>
      <w:tr w:rsidR="001015E8" w14:paraId="67AEBC0F" w14:textId="77777777" w:rsidTr="00A60609">
        <w:tc>
          <w:tcPr>
            <w:tcW w:w="2263" w:type="dxa"/>
            <w:shd w:val="clear" w:color="auto" w:fill="BFBFBF" w:themeFill="background1" w:themeFillShade="BF"/>
            <w:vAlign w:val="center"/>
          </w:tcPr>
          <w:p w14:paraId="343994FB" w14:textId="52EBEBBE" w:rsidR="001015E8" w:rsidRDefault="001015E8" w:rsidP="001015E8">
            <w:pPr>
              <w:rPr>
                <w:highlight w:val="yellow"/>
              </w:rPr>
            </w:pPr>
            <w:r>
              <w:rPr>
                <w:b/>
                <w:sz w:val="18"/>
                <w:szCs w:val="18"/>
              </w:rPr>
              <w:t>Załącznik graficzny nr 13.2</w:t>
            </w:r>
          </w:p>
        </w:tc>
        <w:tc>
          <w:tcPr>
            <w:tcW w:w="6799" w:type="dxa"/>
            <w:vAlign w:val="center"/>
          </w:tcPr>
          <w:p w14:paraId="20152EBD" w14:textId="2D5FB6E3" w:rsidR="001015E8" w:rsidRDefault="001015E8" w:rsidP="001015E8">
            <w:pPr>
              <w:rPr>
                <w:highlight w:val="yellow"/>
              </w:rPr>
            </w:pPr>
            <w:r>
              <w:rPr>
                <w:sz w:val="18"/>
                <w:szCs w:val="18"/>
              </w:rPr>
              <w:t>Stan chemiczny LW (r.kl.jcwp od 2022, ocena ekspercka)</w:t>
            </w:r>
          </w:p>
        </w:tc>
      </w:tr>
      <w:tr w:rsidR="001015E8" w14:paraId="111EF016" w14:textId="77777777" w:rsidTr="00A60609">
        <w:tc>
          <w:tcPr>
            <w:tcW w:w="2263" w:type="dxa"/>
            <w:shd w:val="clear" w:color="auto" w:fill="BFBFBF" w:themeFill="background1" w:themeFillShade="BF"/>
            <w:vAlign w:val="center"/>
          </w:tcPr>
          <w:p w14:paraId="35717C84" w14:textId="14978B22" w:rsidR="001015E8" w:rsidRDefault="001015E8" w:rsidP="001015E8">
            <w:pPr>
              <w:rPr>
                <w:highlight w:val="yellow"/>
              </w:rPr>
            </w:pPr>
            <w:r>
              <w:rPr>
                <w:b/>
                <w:sz w:val="18"/>
                <w:szCs w:val="18"/>
              </w:rPr>
              <w:t>Załącznik graficzny nr 14.1</w:t>
            </w:r>
          </w:p>
        </w:tc>
        <w:tc>
          <w:tcPr>
            <w:tcW w:w="6799" w:type="dxa"/>
            <w:vAlign w:val="center"/>
          </w:tcPr>
          <w:p w14:paraId="5DC2B176" w14:textId="2737035D" w:rsidR="001015E8" w:rsidRDefault="001015E8" w:rsidP="001015E8">
            <w:pPr>
              <w:rPr>
                <w:highlight w:val="yellow"/>
              </w:rPr>
            </w:pPr>
            <w:r>
              <w:rPr>
                <w:sz w:val="18"/>
                <w:szCs w:val="18"/>
              </w:rPr>
              <w:t>Ocena stanu RW (r.kl.jcwp do 2022)</w:t>
            </w:r>
          </w:p>
        </w:tc>
      </w:tr>
      <w:tr w:rsidR="001015E8" w14:paraId="6BDA1795" w14:textId="77777777" w:rsidTr="00A60609">
        <w:tc>
          <w:tcPr>
            <w:tcW w:w="2263" w:type="dxa"/>
            <w:shd w:val="clear" w:color="auto" w:fill="BFBFBF" w:themeFill="background1" w:themeFillShade="BF"/>
            <w:vAlign w:val="center"/>
          </w:tcPr>
          <w:p w14:paraId="6AED24E7" w14:textId="55A2C139" w:rsidR="001015E8" w:rsidRDefault="001015E8" w:rsidP="001015E8">
            <w:pPr>
              <w:rPr>
                <w:highlight w:val="yellow"/>
              </w:rPr>
            </w:pPr>
            <w:r>
              <w:rPr>
                <w:b/>
                <w:sz w:val="18"/>
                <w:szCs w:val="18"/>
              </w:rPr>
              <w:t>Załącznik graficzny nr 14.2</w:t>
            </w:r>
          </w:p>
        </w:tc>
        <w:tc>
          <w:tcPr>
            <w:tcW w:w="6799" w:type="dxa"/>
            <w:vAlign w:val="center"/>
          </w:tcPr>
          <w:p w14:paraId="26AD9281" w14:textId="40C446D4" w:rsidR="001015E8" w:rsidRDefault="001015E8" w:rsidP="001015E8">
            <w:pPr>
              <w:rPr>
                <w:highlight w:val="yellow"/>
              </w:rPr>
            </w:pPr>
            <w:r>
              <w:rPr>
                <w:sz w:val="18"/>
                <w:szCs w:val="18"/>
              </w:rPr>
              <w:t>Ocena stanu LW (r.kl.jcwp do 2022)</w:t>
            </w:r>
          </w:p>
        </w:tc>
      </w:tr>
      <w:tr w:rsidR="001015E8" w14:paraId="68567D7E" w14:textId="77777777" w:rsidTr="00A60609">
        <w:tc>
          <w:tcPr>
            <w:tcW w:w="2263" w:type="dxa"/>
            <w:shd w:val="clear" w:color="auto" w:fill="BFBFBF" w:themeFill="background1" w:themeFillShade="BF"/>
            <w:vAlign w:val="center"/>
          </w:tcPr>
          <w:p w14:paraId="28C79C3A" w14:textId="0378A45D" w:rsidR="001015E8" w:rsidRDefault="001015E8" w:rsidP="001015E8">
            <w:pPr>
              <w:rPr>
                <w:highlight w:val="yellow"/>
              </w:rPr>
            </w:pPr>
            <w:r>
              <w:rPr>
                <w:b/>
                <w:sz w:val="18"/>
                <w:szCs w:val="18"/>
              </w:rPr>
              <w:t>Załącznik graficzny nr 15.1</w:t>
            </w:r>
          </w:p>
        </w:tc>
        <w:tc>
          <w:tcPr>
            <w:tcW w:w="6799" w:type="dxa"/>
            <w:vAlign w:val="center"/>
          </w:tcPr>
          <w:p w14:paraId="0CC12288" w14:textId="29F7298D" w:rsidR="001015E8" w:rsidRDefault="001015E8" w:rsidP="001015E8">
            <w:pPr>
              <w:rPr>
                <w:highlight w:val="yellow"/>
              </w:rPr>
            </w:pPr>
            <w:r>
              <w:rPr>
                <w:sz w:val="18"/>
                <w:szCs w:val="18"/>
              </w:rPr>
              <w:t>Ocena stanu RW (r.kl.jcwp od 2022, ocena ekspercka)</w:t>
            </w:r>
          </w:p>
        </w:tc>
      </w:tr>
      <w:tr w:rsidR="001015E8" w14:paraId="65E50D8D" w14:textId="77777777" w:rsidTr="00A60609">
        <w:tc>
          <w:tcPr>
            <w:tcW w:w="2263" w:type="dxa"/>
            <w:shd w:val="clear" w:color="auto" w:fill="BFBFBF" w:themeFill="background1" w:themeFillShade="BF"/>
            <w:vAlign w:val="center"/>
          </w:tcPr>
          <w:p w14:paraId="59192C8E" w14:textId="0CFCAB73" w:rsidR="001015E8" w:rsidRDefault="001015E8" w:rsidP="001015E8">
            <w:pPr>
              <w:rPr>
                <w:highlight w:val="yellow"/>
              </w:rPr>
            </w:pPr>
            <w:r>
              <w:rPr>
                <w:b/>
                <w:sz w:val="18"/>
                <w:szCs w:val="18"/>
              </w:rPr>
              <w:t>Załącznik graficzny nr 15.2</w:t>
            </w:r>
          </w:p>
        </w:tc>
        <w:tc>
          <w:tcPr>
            <w:tcW w:w="6799" w:type="dxa"/>
            <w:vAlign w:val="center"/>
          </w:tcPr>
          <w:p w14:paraId="35CF1F00" w14:textId="674BF92D" w:rsidR="001015E8" w:rsidRDefault="001015E8" w:rsidP="001015E8">
            <w:pPr>
              <w:rPr>
                <w:highlight w:val="yellow"/>
              </w:rPr>
            </w:pPr>
            <w:r>
              <w:rPr>
                <w:sz w:val="18"/>
                <w:szCs w:val="18"/>
              </w:rPr>
              <w:t>Ocena stanu LW (r.kl.jcwp od 2022, ocena ekspercka)</w:t>
            </w:r>
          </w:p>
        </w:tc>
      </w:tr>
      <w:tr w:rsidR="001015E8" w14:paraId="48FFF2F5" w14:textId="77777777" w:rsidTr="00A60609">
        <w:tc>
          <w:tcPr>
            <w:tcW w:w="2263" w:type="dxa"/>
            <w:shd w:val="clear" w:color="auto" w:fill="BFBFBF" w:themeFill="background1" w:themeFillShade="BF"/>
            <w:vAlign w:val="center"/>
          </w:tcPr>
          <w:p w14:paraId="4E791A5A" w14:textId="27BDE676" w:rsidR="001015E8" w:rsidRDefault="001015E8" w:rsidP="001015E8">
            <w:pPr>
              <w:rPr>
                <w:highlight w:val="yellow"/>
              </w:rPr>
            </w:pPr>
            <w:r>
              <w:rPr>
                <w:b/>
                <w:sz w:val="18"/>
                <w:szCs w:val="18"/>
              </w:rPr>
              <w:t>Załącznik graficzny nr 16</w:t>
            </w:r>
          </w:p>
        </w:tc>
        <w:tc>
          <w:tcPr>
            <w:tcW w:w="6799" w:type="dxa"/>
            <w:vAlign w:val="center"/>
          </w:tcPr>
          <w:p w14:paraId="16F4D0EE" w14:textId="12941663" w:rsidR="001015E8" w:rsidRDefault="001015E8" w:rsidP="001015E8">
            <w:pPr>
              <w:rPr>
                <w:highlight w:val="yellow"/>
              </w:rPr>
            </w:pPr>
            <w:r>
              <w:rPr>
                <w:sz w:val="18"/>
                <w:szCs w:val="18"/>
              </w:rPr>
              <w:t>Ocena stanu chemicznego jcwpd</w:t>
            </w:r>
          </w:p>
        </w:tc>
      </w:tr>
      <w:tr w:rsidR="001015E8" w14:paraId="6ED95EDF" w14:textId="77777777" w:rsidTr="00A60609">
        <w:tc>
          <w:tcPr>
            <w:tcW w:w="2263" w:type="dxa"/>
            <w:shd w:val="clear" w:color="auto" w:fill="BFBFBF" w:themeFill="background1" w:themeFillShade="BF"/>
            <w:vAlign w:val="center"/>
          </w:tcPr>
          <w:p w14:paraId="1E187932" w14:textId="785F3642" w:rsidR="001015E8" w:rsidRDefault="001015E8" w:rsidP="001015E8">
            <w:pPr>
              <w:rPr>
                <w:highlight w:val="yellow"/>
              </w:rPr>
            </w:pPr>
            <w:r>
              <w:rPr>
                <w:b/>
                <w:sz w:val="18"/>
                <w:szCs w:val="18"/>
              </w:rPr>
              <w:t>Załącznik graficzny nr 17</w:t>
            </w:r>
          </w:p>
        </w:tc>
        <w:tc>
          <w:tcPr>
            <w:tcW w:w="6799" w:type="dxa"/>
            <w:vAlign w:val="center"/>
          </w:tcPr>
          <w:p w14:paraId="2BEE44FD" w14:textId="62B500A8" w:rsidR="001015E8" w:rsidRDefault="001015E8" w:rsidP="001015E8">
            <w:pPr>
              <w:rPr>
                <w:highlight w:val="yellow"/>
              </w:rPr>
            </w:pPr>
            <w:r>
              <w:rPr>
                <w:sz w:val="18"/>
                <w:szCs w:val="18"/>
              </w:rPr>
              <w:t>Ocena stanu ilościowego jcwpd</w:t>
            </w:r>
          </w:p>
        </w:tc>
      </w:tr>
      <w:tr w:rsidR="001015E8" w14:paraId="52484EC6" w14:textId="77777777" w:rsidTr="00A60609">
        <w:tc>
          <w:tcPr>
            <w:tcW w:w="2263" w:type="dxa"/>
            <w:shd w:val="clear" w:color="auto" w:fill="BFBFBF" w:themeFill="background1" w:themeFillShade="BF"/>
            <w:vAlign w:val="center"/>
          </w:tcPr>
          <w:p w14:paraId="24197D5C" w14:textId="38F613A8" w:rsidR="001015E8" w:rsidRDefault="001015E8" w:rsidP="001015E8">
            <w:pPr>
              <w:rPr>
                <w:highlight w:val="yellow"/>
              </w:rPr>
            </w:pPr>
            <w:r>
              <w:rPr>
                <w:b/>
                <w:sz w:val="18"/>
                <w:szCs w:val="18"/>
              </w:rPr>
              <w:t>Załącznik graficzny nr 18.1</w:t>
            </w:r>
          </w:p>
        </w:tc>
        <w:tc>
          <w:tcPr>
            <w:tcW w:w="6799" w:type="dxa"/>
            <w:vAlign w:val="center"/>
          </w:tcPr>
          <w:p w14:paraId="00EAFF14" w14:textId="3F3E7C54" w:rsidR="001015E8" w:rsidRDefault="001015E8" w:rsidP="001015E8">
            <w:pPr>
              <w:rPr>
                <w:highlight w:val="yellow"/>
              </w:rPr>
            </w:pPr>
            <w:r>
              <w:rPr>
                <w:sz w:val="18"/>
                <w:szCs w:val="18"/>
              </w:rPr>
              <w:t>Ocena ryzyka nieosiągnięcia celów środowiskowych jcwp RW</w:t>
            </w:r>
          </w:p>
        </w:tc>
      </w:tr>
      <w:tr w:rsidR="001015E8" w14:paraId="572C01AA" w14:textId="77777777" w:rsidTr="00A60609">
        <w:tc>
          <w:tcPr>
            <w:tcW w:w="2263" w:type="dxa"/>
            <w:shd w:val="clear" w:color="auto" w:fill="BFBFBF" w:themeFill="background1" w:themeFillShade="BF"/>
            <w:vAlign w:val="center"/>
          </w:tcPr>
          <w:p w14:paraId="3B02D7B9" w14:textId="61C596F3" w:rsidR="001015E8" w:rsidRDefault="001015E8" w:rsidP="001015E8">
            <w:pPr>
              <w:rPr>
                <w:highlight w:val="yellow"/>
              </w:rPr>
            </w:pPr>
            <w:r>
              <w:rPr>
                <w:b/>
                <w:sz w:val="18"/>
                <w:szCs w:val="18"/>
              </w:rPr>
              <w:t>Załącznik graficzny nr 18.2</w:t>
            </w:r>
          </w:p>
        </w:tc>
        <w:tc>
          <w:tcPr>
            <w:tcW w:w="6799" w:type="dxa"/>
            <w:vAlign w:val="center"/>
          </w:tcPr>
          <w:p w14:paraId="771AB8AF" w14:textId="47DFEC36" w:rsidR="001015E8" w:rsidRDefault="001015E8" w:rsidP="001015E8">
            <w:pPr>
              <w:rPr>
                <w:highlight w:val="yellow"/>
              </w:rPr>
            </w:pPr>
            <w:r>
              <w:rPr>
                <w:sz w:val="18"/>
                <w:szCs w:val="18"/>
              </w:rPr>
              <w:t>Ocena ryzyka nieosiągnięcia celów środowiskowych jcwp LW</w:t>
            </w:r>
          </w:p>
        </w:tc>
      </w:tr>
      <w:tr w:rsidR="001015E8" w14:paraId="2DDAB0E5" w14:textId="77777777" w:rsidTr="00A60609">
        <w:tc>
          <w:tcPr>
            <w:tcW w:w="2263" w:type="dxa"/>
            <w:shd w:val="clear" w:color="auto" w:fill="BFBFBF" w:themeFill="background1" w:themeFillShade="BF"/>
            <w:vAlign w:val="center"/>
          </w:tcPr>
          <w:p w14:paraId="4E48CCC5" w14:textId="3EB1A470" w:rsidR="001015E8" w:rsidRDefault="001015E8" w:rsidP="001015E8">
            <w:pPr>
              <w:rPr>
                <w:highlight w:val="yellow"/>
              </w:rPr>
            </w:pPr>
            <w:r>
              <w:rPr>
                <w:b/>
                <w:sz w:val="18"/>
                <w:szCs w:val="18"/>
              </w:rPr>
              <w:t>Załącznik graficzny nr 19</w:t>
            </w:r>
          </w:p>
        </w:tc>
        <w:tc>
          <w:tcPr>
            <w:tcW w:w="6799" w:type="dxa"/>
            <w:vAlign w:val="center"/>
          </w:tcPr>
          <w:p w14:paraId="59E47EA0" w14:textId="0EB5DF8F" w:rsidR="001015E8" w:rsidRDefault="001015E8" w:rsidP="001015E8">
            <w:pPr>
              <w:rPr>
                <w:highlight w:val="yellow"/>
              </w:rPr>
            </w:pPr>
            <w:r>
              <w:rPr>
                <w:sz w:val="18"/>
                <w:szCs w:val="18"/>
              </w:rPr>
              <w:t>Ocena ryzyka nieosiągnięcia celów środowiskowych jcwpd.</w:t>
            </w:r>
          </w:p>
        </w:tc>
      </w:tr>
      <w:tr w:rsidR="001015E8" w14:paraId="567E6B20" w14:textId="77777777" w:rsidTr="00A60609">
        <w:tc>
          <w:tcPr>
            <w:tcW w:w="2263" w:type="dxa"/>
            <w:shd w:val="clear" w:color="auto" w:fill="BFBFBF" w:themeFill="background1" w:themeFillShade="BF"/>
            <w:vAlign w:val="center"/>
          </w:tcPr>
          <w:p w14:paraId="43E52407" w14:textId="3C454AD8" w:rsidR="001015E8" w:rsidRDefault="001015E8" w:rsidP="001015E8">
            <w:pPr>
              <w:rPr>
                <w:highlight w:val="yellow"/>
              </w:rPr>
            </w:pPr>
            <w:r>
              <w:rPr>
                <w:b/>
                <w:sz w:val="18"/>
                <w:szCs w:val="18"/>
              </w:rPr>
              <w:t>Załącznik graficzny nr 20</w:t>
            </w:r>
          </w:p>
        </w:tc>
        <w:tc>
          <w:tcPr>
            <w:tcW w:w="6799" w:type="dxa"/>
            <w:vAlign w:val="center"/>
          </w:tcPr>
          <w:p w14:paraId="48A3FF1A" w14:textId="0EB65D18" w:rsidR="001015E8" w:rsidRDefault="001015E8" w:rsidP="001015E8">
            <w:pPr>
              <w:rPr>
                <w:highlight w:val="yellow"/>
              </w:rPr>
            </w:pPr>
            <w:r>
              <w:rPr>
                <w:sz w:val="18"/>
                <w:szCs w:val="18"/>
              </w:rPr>
              <w:t>Punkty zrzutu - obszar dorzecza Pregoły</w:t>
            </w:r>
          </w:p>
        </w:tc>
      </w:tr>
      <w:tr w:rsidR="001015E8" w14:paraId="36C626F4" w14:textId="77777777" w:rsidTr="00A60609">
        <w:tc>
          <w:tcPr>
            <w:tcW w:w="2263" w:type="dxa"/>
            <w:shd w:val="clear" w:color="auto" w:fill="BFBFBF" w:themeFill="background1" w:themeFillShade="BF"/>
            <w:vAlign w:val="center"/>
          </w:tcPr>
          <w:p w14:paraId="4AE08CEE" w14:textId="603B7330" w:rsidR="001015E8" w:rsidRDefault="001015E8" w:rsidP="001015E8">
            <w:pPr>
              <w:rPr>
                <w:highlight w:val="yellow"/>
              </w:rPr>
            </w:pPr>
            <w:r>
              <w:rPr>
                <w:b/>
                <w:sz w:val="18"/>
                <w:szCs w:val="18"/>
              </w:rPr>
              <w:t>Załącznik graficzny nr 21</w:t>
            </w:r>
          </w:p>
        </w:tc>
        <w:tc>
          <w:tcPr>
            <w:tcW w:w="6799" w:type="dxa"/>
            <w:vAlign w:val="center"/>
          </w:tcPr>
          <w:p w14:paraId="238B6C4A" w14:textId="19F77082" w:rsidR="001015E8" w:rsidRDefault="001015E8" w:rsidP="001015E8">
            <w:pPr>
              <w:rPr>
                <w:highlight w:val="yellow"/>
              </w:rPr>
            </w:pPr>
            <w:r>
              <w:rPr>
                <w:sz w:val="18"/>
                <w:szCs w:val="18"/>
              </w:rPr>
              <w:t>Punkty poboru wód - obszar dorzecza Pregoły</w:t>
            </w:r>
          </w:p>
        </w:tc>
      </w:tr>
      <w:tr w:rsidR="001015E8" w14:paraId="4583839A" w14:textId="77777777" w:rsidTr="00A60609">
        <w:tc>
          <w:tcPr>
            <w:tcW w:w="2263" w:type="dxa"/>
            <w:shd w:val="clear" w:color="auto" w:fill="BFBFBF" w:themeFill="background1" w:themeFillShade="BF"/>
            <w:vAlign w:val="center"/>
          </w:tcPr>
          <w:p w14:paraId="6AD130D6" w14:textId="2B9593F5" w:rsidR="001015E8" w:rsidRDefault="001015E8" w:rsidP="001015E8">
            <w:pPr>
              <w:rPr>
                <w:highlight w:val="yellow"/>
              </w:rPr>
            </w:pPr>
            <w:r>
              <w:rPr>
                <w:b/>
                <w:sz w:val="18"/>
                <w:szCs w:val="18"/>
              </w:rPr>
              <w:t>Załącznik graficzny nr 22</w:t>
            </w:r>
          </w:p>
        </w:tc>
        <w:tc>
          <w:tcPr>
            <w:tcW w:w="6799" w:type="dxa"/>
            <w:vAlign w:val="center"/>
          </w:tcPr>
          <w:p w14:paraId="764B658B" w14:textId="7C2D4095" w:rsidR="001015E8" w:rsidRDefault="001015E8" w:rsidP="001015E8">
            <w:pPr>
              <w:rPr>
                <w:highlight w:val="yellow"/>
              </w:rPr>
            </w:pPr>
            <w:r>
              <w:rPr>
                <w:sz w:val="18"/>
                <w:szCs w:val="18"/>
              </w:rPr>
              <w:t>Rozmieszczenie składowisk przemysłowych i komunalnych na jcwpd na obszarze dorzecza Pregoły</w:t>
            </w:r>
          </w:p>
        </w:tc>
      </w:tr>
      <w:tr w:rsidR="001015E8" w14:paraId="1AA95450" w14:textId="77777777" w:rsidTr="00A60609">
        <w:tc>
          <w:tcPr>
            <w:tcW w:w="2263" w:type="dxa"/>
            <w:shd w:val="clear" w:color="auto" w:fill="BFBFBF" w:themeFill="background1" w:themeFillShade="BF"/>
            <w:vAlign w:val="center"/>
          </w:tcPr>
          <w:p w14:paraId="615C7965" w14:textId="5F255C11" w:rsidR="001015E8" w:rsidRDefault="001015E8" w:rsidP="001015E8">
            <w:pPr>
              <w:rPr>
                <w:highlight w:val="yellow"/>
              </w:rPr>
            </w:pPr>
            <w:r>
              <w:rPr>
                <w:b/>
                <w:sz w:val="18"/>
                <w:szCs w:val="18"/>
              </w:rPr>
              <w:t>Załącznik graficzny nr 23</w:t>
            </w:r>
          </w:p>
        </w:tc>
        <w:tc>
          <w:tcPr>
            <w:tcW w:w="6799" w:type="dxa"/>
            <w:vAlign w:val="center"/>
          </w:tcPr>
          <w:p w14:paraId="33A9F85A" w14:textId="6C352DC6" w:rsidR="001015E8" w:rsidRDefault="001015E8" w:rsidP="001015E8">
            <w:pPr>
              <w:rPr>
                <w:highlight w:val="yellow"/>
              </w:rPr>
            </w:pPr>
            <w:r>
              <w:rPr>
                <w:sz w:val="18"/>
                <w:szCs w:val="18"/>
              </w:rPr>
              <w:t>Zakłady przemysłowe na obszarze dorzecza</w:t>
            </w:r>
          </w:p>
        </w:tc>
      </w:tr>
      <w:tr w:rsidR="001015E8" w14:paraId="3E6CC562" w14:textId="77777777" w:rsidTr="00A60609">
        <w:tc>
          <w:tcPr>
            <w:tcW w:w="2263" w:type="dxa"/>
            <w:shd w:val="clear" w:color="auto" w:fill="BFBFBF" w:themeFill="background1" w:themeFillShade="BF"/>
            <w:vAlign w:val="center"/>
          </w:tcPr>
          <w:p w14:paraId="6D143CB4" w14:textId="293B1066" w:rsidR="001015E8" w:rsidRDefault="001015E8" w:rsidP="001015E8">
            <w:pPr>
              <w:rPr>
                <w:highlight w:val="yellow"/>
              </w:rPr>
            </w:pPr>
            <w:r>
              <w:rPr>
                <w:b/>
                <w:sz w:val="18"/>
                <w:szCs w:val="18"/>
              </w:rPr>
              <w:t>Załącznik graficzny nr 24</w:t>
            </w:r>
          </w:p>
        </w:tc>
        <w:tc>
          <w:tcPr>
            <w:tcW w:w="6799" w:type="dxa"/>
            <w:vAlign w:val="center"/>
          </w:tcPr>
          <w:p w14:paraId="3C69B5B5" w14:textId="3D77B80D" w:rsidR="001015E8" w:rsidRDefault="001015E8" w:rsidP="001015E8">
            <w:pPr>
              <w:rPr>
                <w:highlight w:val="yellow"/>
              </w:rPr>
            </w:pPr>
            <w:r>
              <w:rPr>
                <w:sz w:val="18"/>
                <w:szCs w:val="18"/>
              </w:rPr>
              <w:t>Stopień wykorzystania zasobów wód podziemnych na obszarze dorzecza Pregoły, z podziałem na jcwpd</w:t>
            </w:r>
          </w:p>
        </w:tc>
      </w:tr>
      <w:tr w:rsidR="001015E8" w14:paraId="4648BDD8" w14:textId="77777777" w:rsidTr="00A60609">
        <w:tc>
          <w:tcPr>
            <w:tcW w:w="2263" w:type="dxa"/>
            <w:shd w:val="clear" w:color="auto" w:fill="BFBFBF" w:themeFill="background1" w:themeFillShade="BF"/>
            <w:vAlign w:val="center"/>
          </w:tcPr>
          <w:p w14:paraId="6DDD1844" w14:textId="0BC3E63E" w:rsidR="001015E8" w:rsidRDefault="001015E8" w:rsidP="001015E8">
            <w:pPr>
              <w:rPr>
                <w:highlight w:val="yellow"/>
              </w:rPr>
            </w:pPr>
            <w:r>
              <w:rPr>
                <w:b/>
                <w:sz w:val="18"/>
                <w:szCs w:val="18"/>
              </w:rPr>
              <w:t>Załącznik graficzny nr 25</w:t>
            </w:r>
          </w:p>
        </w:tc>
        <w:tc>
          <w:tcPr>
            <w:tcW w:w="6799" w:type="dxa"/>
            <w:vAlign w:val="center"/>
          </w:tcPr>
          <w:p w14:paraId="55F8D679" w14:textId="7D6CA3A9" w:rsidR="001015E8" w:rsidRDefault="001015E8" w:rsidP="001015E8">
            <w:pPr>
              <w:rPr>
                <w:highlight w:val="yellow"/>
              </w:rPr>
            </w:pPr>
            <w:r>
              <w:rPr>
                <w:sz w:val="18"/>
                <w:szCs w:val="18"/>
              </w:rPr>
              <w:t xml:space="preserve">Budowle regulacyjne na obszarze dorzecza </w:t>
            </w:r>
            <w:r w:rsidR="00C66D17">
              <w:rPr>
                <w:sz w:val="18"/>
                <w:szCs w:val="18"/>
              </w:rPr>
              <w:t>Pregoły</w:t>
            </w:r>
          </w:p>
        </w:tc>
      </w:tr>
      <w:tr w:rsidR="001015E8" w14:paraId="3CC78412" w14:textId="77777777" w:rsidTr="00A60609">
        <w:tc>
          <w:tcPr>
            <w:tcW w:w="2263" w:type="dxa"/>
            <w:shd w:val="clear" w:color="auto" w:fill="BFBFBF" w:themeFill="background1" w:themeFillShade="BF"/>
            <w:vAlign w:val="center"/>
          </w:tcPr>
          <w:p w14:paraId="1CCD4E71" w14:textId="60C76D52" w:rsidR="001015E8" w:rsidRDefault="001015E8" w:rsidP="001015E8">
            <w:pPr>
              <w:rPr>
                <w:b/>
                <w:sz w:val="18"/>
                <w:szCs w:val="18"/>
              </w:rPr>
            </w:pPr>
            <w:r>
              <w:rPr>
                <w:b/>
                <w:sz w:val="18"/>
                <w:szCs w:val="18"/>
              </w:rPr>
              <w:t>Załącznik graficzny nr 26</w:t>
            </w:r>
          </w:p>
        </w:tc>
        <w:tc>
          <w:tcPr>
            <w:tcW w:w="6799" w:type="dxa"/>
            <w:vAlign w:val="center"/>
          </w:tcPr>
          <w:p w14:paraId="0B46F8E8" w14:textId="7ACE1CF5" w:rsidR="001015E8" w:rsidRDefault="001015E8" w:rsidP="001015E8">
            <w:pPr>
              <w:rPr>
                <w:sz w:val="18"/>
                <w:szCs w:val="18"/>
              </w:rPr>
            </w:pPr>
            <w:r>
              <w:rPr>
                <w:sz w:val="18"/>
                <w:szCs w:val="18"/>
              </w:rPr>
              <w:t xml:space="preserve">Budowle poprzeczne na obszarze dorzecza </w:t>
            </w:r>
            <w:r w:rsidR="00C66D17">
              <w:rPr>
                <w:sz w:val="18"/>
                <w:szCs w:val="18"/>
              </w:rPr>
              <w:t>Pregoły</w:t>
            </w:r>
          </w:p>
        </w:tc>
      </w:tr>
      <w:tr w:rsidR="001015E8" w14:paraId="274A651A" w14:textId="77777777" w:rsidTr="00A60609">
        <w:tc>
          <w:tcPr>
            <w:tcW w:w="2263" w:type="dxa"/>
            <w:shd w:val="clear" w:color="auto" w:fill="BFBFBF" w:themeFill="background1" w:themeFillShade="BF"/>
            <w:vAlign w:val="center"/>
          </w:tcPr>
          <w:p w14:paraId="2FECAB6A" w14:textId="3DCD6CE3" w:rsidR="001015E8" w:rsidRDefault="001015E8" w:rsidP="001015E8">
            <w:pPr>
              <w:rPr>
                <w:b/>
                <w:sz w:val="18"/>
                <w:szCs w:val="18"/>
              </w:rPr>
            </w:pPr>
            <w:r>
              <w:rPr>
                <w:b/>
                <w:sz w:val="18"/>
                <w:szCs w:val="18"/>
              </w:rPr>
              <w:t>Załącznik graficzny nr 27</w:t>
            </w:r>
          </w:p>
        </w:tc>
        <w:tc>
          <w:tcPr>
            <w:tcW w:w="6799" w:type="dxa"/>
            <w:vAlign w:val="center"/>
          </w:tcPr>
          <w:p w14:paraId="2578D32E" w14:textId="1B19FEB3" w:rsidR="001015E8" w:rsidRDefault="001015E8" w:rsidP="001015E8">
            <w:pPr>
              <w:rPr>
                <w:sz w:val="18"/>
                <w:szCs w:val="18"/>
              </w:rPr>
            </w:pPr>
            <w:r>
              <w:rPr>
                <w:sz w:val="18"/>
                <w:szCs w:val="18"/>
              </w:rPr>
              <w:t>Jcwp RW z przypisanymi celami środowiskowymi dotyczącymi drożności</w:t>
            </w:r>
          </w:p>
        </w:tc>
      </w:tr>
      <w:tr w:rsidR="001015E8" w14:paraId="57D061F7" w14:textId="77777777" w:rsidTr="00A60609">
        <w:tc>
          <w:tcPr>
            <w:tcW w:w="2263" w:type="dxa"/>
            <w:shd w:val="clear" w:color="auto" w:fill="BFBFBF" w:themeFill="background1" w:themeFillShade="BF"/>
            <w:vAlign w:val="center"/>
          </w:tcPr>
          <w:p w14:paraId="3E3FF66A" w14:textId="5F756568" w:rsidR="001015E8" w:rsidRDefault="001015E8" w:rsidP="001015E8">
            <w:pPr>
              <w:rPr>
                <w:b/>
                <w:sz w:val="18"/>
                <w:szCs w:val="18"/>
              </w:rPr>
            </w:pPr>
            <w:r>
              <w:rPr>
                <w:b/>
                <w:sz w:val="18"/>
                <w:szCs w:val="18"/>
              </w:rPr>
              <w:t>Załącznik graficzny nr 28</w:t>
            </w:r>
          </w:p>
        </w:tc>
        <w:tc>
          <w:tcPr>
            <w:tcW w:w="6799" w:type="dxa"/>
            <w:vAlign w:val="center"/>
          </w:tcPr>
          <w:p w14:paraId="36DD0332" w14:textId="14F9BAB3" w:rsidR="001015E8" w:rsidRDefault="001015E8" w:rsidP="001015E8">
            <w:pPr>
              <w:rPr>
                <w:sz w:val="18"/>
                <w:szCs w:val="18"/>
              </w:rPr>
            </w:pPr>
            <w:r>
              <w:rPr>
                <w:sz w:val="18"/>
                <w:szCs w:val="18"/>
              </w:rPr>
              <w:t>Jcwp RW w których występuje presja poboru</w:t>
            </w:r>
          </w:p>
        </w:tc>
      </w:tr>
      <w:tr w:rsidR="001015E8" w14:paraId="57494D8D" w14:textId="77777777" w:rsidTr="00A60609">
        <w:tc>
          <w:tcPr>
            <w:tcW w:w="2263" w:type="dxa"/>
            <w:shd w:val="clear" w:color="auto" w:fill="BFBFBF" w:themeFill="background1" w:themeFillShade="BF"/>
            <w:vAlign w:val="center"/>
          </w:tcPr>
          <w:p w14:paraId="47E65330" w14:textId="5C35A040" w:rsidR="001015E8" w:rsidRDefault="001015E8" w:rsidP="001015E8">
            <w:pPr>
              <w:rPr>
                <w:b/>
                <w:sz w:val="18"/>
                <w:szCs w:val="18"/>
              </w:rPr>
            </w:pPr>
            <w:r>
              <w:rPr>
                <w:b/>
                <w:sz w:val="18"/>
                <w:szCs w:val="18"/>
              </w:rPr>
              <w:t>Załącznik graficzny nr 29</w:t>
            </w:r>
          </w:p>
        </w:tc>
        <w:tc>
          <w:tcPr>
            <w:tcW w:w="6799" w:type="dxa"/>
            <w:vAlign w:val="center"/>
          </w:tcPr>
          <w:p w14:paraId="6A12335C" w14:textId="0B32BE4A" w:rsidR="001015E8" w:rsidRDefault="001015E8" w:rsidP="001015E8">
            <w:pPr>
              <w:rPr>
                <w:sz w:val="18"/>
                <w:szCs w:val="18"/>
              </w:rPr>
            </w:pPr>
            <w:r>
              <w:rPr>
                <w:sz w:val="18"/>
                <w:szCs w:val="18"/>
              </w:rPr>
              <w:t>Jcwp RW ze zbudowanym zestawem działań</w:t>
            </w:r>
          </w:p>
        </w:tc>
      </w:tr>
      <w:tr w:rsidR="001015E8" w14:paraId="4C41028A" w14:textId="77777777" w:rsidTr="00A60609">
        <w:tc>
          <w:tcPr>
            <w:tcW w:w="2263" w:type="dxa"/>
            <w:shd w:val="clear" w:color="auto" w:fill="BFBFBF" w:themeFill="background1" w:themeFillShade="BF"/>
            <w:vAlign w:val="center"/>
          </w:tcPr>
          <w:p w14:paraId="0A46EE42" w14:textId="258E01A4" w:rsidR="001015E8" w:rsidRDefault="001015E8" w:rsidP="001015E8">
            <w:pPr>
              <w:rPr>
                <w:b/>
                <w:sz w:val="18"/>
                <w:szCs w:val="18"/>
              </w:rPr>
            </w:pPr>
            <w:r>
              <w:rPr>
                <w:b/>
                <w:sz w:val="18"/>
                <w:szCs w:val="18"/>
              </w:rPr>
              <w:t>Załącznik graficzny nr 30</w:t>
            </w:r>
          </w:p>
        </w:tc>
        <w:tc>
          <w:tcPr>
            <w:tcW w:w="6799" w:type="dxa"/>
            <w:vAlign w:val="center"/>
          </w:tcPr>
          <w:p w14:paraId="5E2F00DD" w14:textId="7C28FE7D" w:rsidR="001015E8" w:rsidRDefault="001015E8" w:rsidP="001015E8">
            <w:pPr>
              <w:rPr>
                <w:sz w:val="18"/>
                <w:szCs w:val="18"/>
              </w:rPr>
            </w:pPr>
            <w:r>
              <w:rPr>
                <w:sz w:val="18"/>
                <w:szCs w:val="18"/>
              </w:rPr>
              <w:t>Jcwp RW z działaniami ukierunkowanymi na drożność</w:t>
            </w:r>
          </w:p>
        </w:tc>
      </w:tr>
      <w:tr w:rsidR="001015E8" w14:paraId="4AB0C3D1" w14:textId="77777777" w:rsidTr="00A60609">
        <w:tc>
          <w:tcPr>
            <w:tcW w:w="2263" w:type="dxa"/>
            <w:shd w:val="clear" w:color="auto" w:fill="BFBFBF" w:themeFill="background1" w:themeFillShade="BF"/>
            <w:vAlign w:val="center"/>
          </w:tcPr>
          <w:p w14:paraId="11D29673" w14:textId="50034CE9" w:rsidR="001015E8" w:rsidRDefault="001015E8" w:rsidP="001015E8">
            <w:pPr>
              <w:rPr>
                <w:b/>
                <w:sz w:val="18"/>
                <w:szCs w:val="18"/>
              </w:rPr>
            </w:pPr>
            <w:r>
              <w:rPr>
                <w:b/>
                <w:sz w:val="18"/>
                <w:szCs w:val="18"/>
              </w:rPr>
              <w:t>Załącznik graficzny nr 3</w:t>
            </w:r>
            <w:r w:rsidR="000F39E6">
              <w:rPr>
                <w:b/>
                <w:sz w:val="18"/>
                <w:szCs w:val="18"/>
              </w:rPr>
              <w:t>1</w:t>
            </w:r>
          </w:p>
        </w:tc>
        <w:tc>
          <w:tcPr>
            <w:tcW w:w="6799" w:type="dxa"/>
            <w:vAlign w:val="center"/>
          </w:tcPr>
          <w:p w14:paraId="56E28262" w14:textId="77625180" w:rsidR="001015E8" w:rsidRDefault="000F39E6" w:rsidP="001015E8">
            <w:pPr>
              <w:rPr>
                <w:sz w:val="18"/>
                <w:szCs w:val="18"/>
              </w:rPr>
            </w:pPr>
            <w:r>
              <w:rPr>
                <w:sz w:val="18"/>
                <w:szCs w:val="18"/>
              </w:rPr>
              <w:t>Jcwp LW ze zbudowanym zestawem działań</w:t>
            </w:r>
          </w:p>
        </w:tc>
      </w:tr>
      <w:tr w:rsidR="000F39E6" w14:paraId="40FF7EA0" w14:textId="77777777" w:rsidTr="00A60609">
        <w:tc>
          <w:tcPr>
            <w:tcW w:w="2263" w:type="dxa"/>
            <w:shd w:val="clear" w:color="auto" w:fill="BFBFBF" w:themeFill="background1" w:themeFillShade="BF"/>
            <w:vAlign w:val="center"/>
          </w:tcPr>
          <w:p w14:paraId="621AA068" w14:textId="472DCA4C" w:rsidR="000F39E6" w:rsidRDefault="000F39E6" w:rsidP="000F39E6">
            <w:pPr>
              <w:rPr>
                <w:b/>
                <w:sz w:val="18"/>
                <w:szCs w:val="18"/>
              </w:rPr>
            </w:pPr>
            <w:r>
              <w:rPr>
                <w:b/>
                <w:sz w:val="18"/>
                <w:szCs w:val="18"/>
              </w:rPr>
              <w:t>Załącznik graficzny nr 32</w:t>
            </w:r>
          </w:p>
        </w:tc>
        <w:tc>
          <w:tcPr>
            <w:tcW w:w="6799" w:type="dxa"/>
            <w:vAlign w:val="center"/>
          </w:tcPr>
          <w:p w14:paraId="3288B11D" w14:textId="1FF66BA8" w:rsidR="000F39E6" w:rsidRDefault="000F39E6" w:rsidP="000F39E6">
            <w:pPr>
              <w:rPr>
                <w:sz w:val="18"/>
                <w:szCs w:val="18"/>
              </w:rPr>
            </w:pPr>
            <w:r>
              <w:rPr>
                <w:sz w:val="18"/>
                <w:szCs w:val="18"/>
              </w:rPr>
              <w:t>Jcwpd ze zbudowanym zestawem działań</w:t>
            </w:r>
          </w:p>
        </w:tc>
      </w:tr>
      <w:tr w:rsidR="000F39E6" w14:paraId="1847AFDD" w14:textId="77777777" w:rsidTr="00A60609">
        <w:tc>
          <w:tcPr>
            <w:tcW w:w="2263" w:type="dxa"/>
            <w:shd w:val="clear" w:color="auto" w:fill="BFBFBF" w:themeFill="background1" w:themeFillShade="BF"/>
            <w:vAlign w:val="center"/>
          </w:tcPr>
          <w:p w14:paraId="268485C6" w14:textId="5D5A661F" w:rsidR="000F39E6" w:rsidRDefault="000F39E6" w:rsidP="000F39E6">
            <w:pPr>
              <w:rPr>
                <w:b/>
                <w:sz w:val="18"/>
                <w:szCs w:val="18"/>
              </w:rPr>
            </w:pPr>
            <w:r>
              <w:rPr>
                <w:b/>
                <w:sz w:val="18"/>
                <w:szCs w:val="18"/>
              </w:rPr>
              <w:t>Załącznik graficzny nr 33</w:t>
            </w:r>
          </w:p>
        </w:tc>
        <w:tc>
          <w:tcPr>
            <w:tcW w:w="6799" w:type="dxa"/>
            <w:vAlign w:val="center"/>
          </w:tcPr>
          <w:p w14:paraId="450CD4AC" w14:textId="560D57C7" w:rsidR="000F39E6" w:rsidRDefault="000F39E6" w:rsidP="000F39E6">
            <w:pPr>
              <w:rPr>
                <w:sz w:val="18"/>
                <w:szCs w:val="18"/>
              </w:rPr>
            </w:pPr>
            <w:r>
              <w:rPr>
                <w:sz w:val="18"/>
                <w:szCs w:val="18"/>
              </w:rPr>
              <w:t>Jcwp RW - odstępstwa</w:t>
            </w:r>
          </w:p>
        </w:tc>
      </w:tr>
      <w:tr w:rsidR="000F39E6" w14:paraId="04B0A2BD" w14:textId="77777777" w:rsidTr="00A60609">
        <w:tc>
          <w:tcPr>
            <w:tcW w:w="2263" w:type="dxa"/>
            <w:shd w:val="clear" w:color="auto" w:fill="BFBFBF" w:themeFill="background1" w:themeFillShade="BF"/>
            <w:vAlign w:val="center"/>
          </w:tcPr>
          <w:p w14:paraId="6E865D24" w14:textId="2F960D33" w:rsidR="000F39E6" w:rsidRDefault="000F39E6" w:rsidP="000F39E6">
            <w:pPr>
              <w:rPr>
                <w:b/>
                <w:sz w:val="18"/>
                <w:szCs w:val="18"/>
              </w:rPr>
            </w:pPr>
            <w:r>
              <w:rPr>
                <w:b/>
                <w:sz w:val="18"/>
                <w:szCs w:val="18"/>
              </w:rPr>
              <w:t>Załącznik graficzny nr 34</w:t>
            </w:r>
          </w:p>
        </w:tc>
        <w:tc>
          <w:tcPr>
            <w:tcW w:w="6799" w:type="dxa"/>
            <w:vAlign w:val="center"/>
          </w:tcPr>
          <w:p w14:paraId="33B01209" w14:textId="340E4ACD" w:rsidR="000F39E6" w:rsidRDefault="000F39E6" w:rsidP="000F39E6">
            <w:pPr>
              <w:rPr>
                <w:sz w:val="18"/>
                <w:szCs w:val="18"/>
              </w:rPr>
            </w:pPr>
            <w:r>
              <w:rPr>
                <w:sz w:val="18"/>
                <w:szCs w:val="18"/>
              </w:rPr>
              <w:t>Jcwp LW - odstępstwa</w:t>
            </w:r>
          </w:p>
        </w:tc>
      </w:tr>
      <w:tr w:rsidR="00286EEB" w14:paraId="1FA990B6" w14:textId="77777777" w:rsidTr="00A60609">
        <w:tc>
          <w:tcPr>
            <w:tcW w:w="2263" w:type="dxa"/>
            <w:shd w:val="clear" w:color="auto" w:fill="BFBFBF" w:themeFill="background1" w:themeFillShade="BF"/>
            <w:vAlign w:val="center"/>
          </w:tcPr>
          <w:p w14:paraId="2B034B32" w14:textId="5FF3313F" w:rsidR="00286EEB" w:rsidRDefault="00286EEB" w:rsidP="000F39E6">
            <w:pPr>
              <w:rPr>
                <w:b/>
                <w:sz w:val="18"/>
                <w:szCs w:val="18"/>
              </w:rPr>
            </w:pPr>
            <w:r>
              <w:rPr>
                <w:b/>
                <w:sz w:val="18"/>
                <w:szCs w:val="18"/>
              </w:rPr>
              <w:t>Załącznik graficzny nr 35</w:t>
            </w:r>
          </w:p>
        </w:tc>
        <w:tc>
          <w:tcPr>
            <w:tcW w:w="6799" w:type="dxa"/>
            <w:vAlign w:val="center"/>
          </w:tcPr>
          <w:p w14:paraId="3868985A" w14:textId="00CB00A9" w:rsidR="00286EEB" w:rsidRDefault="00286EEB" w:rsidP="000F39E6">
            <w:pPr>
              <w:rPr>
                <w:sz w:val="18"/>
                <w:szCs w:val="18"/>
              </w:rPr>
            </w:pPr>
            <w:r w:rsidRPr="00286EEB">
              <w:rPr>
                <w:sz w:val="18"/>
                <w:szCs w:val="18"/>
              </w:rPr>
              <w:t>Lokalizacja przestrzenna - potencjalnie utrudniony spływ lodu</w:t>
            </w:r>
          </w:p>
        </w:tc>
      </w:tr>
    </w:tbl>
    <w:p w14:paraId="6C5D4A03" w14:textId="534DFD71" w:rsidR="00A97762" w:rsidRDefault="00A97762" w:rsidP="0A25578D">
      <w:pPr>
        <w:rPr>
          <w:highlight w:val="yellow"/>
        </w:rPr>
      </w:pPr>
    </w:p>
    <w:sectPr w:rsidR="00A97762" w:rsidSect="00332A4E">
      <w:headerReference w:type="even" r:id="rId107"/>
      <w:footerReference w:type="default" r:id="rId108"/>
      <w:headerReference w:type="first" r:id="rId109"/>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DAA83E" w14:textId="77777777" w:rsidR="004A1214" w:rsidRDefault="004A1214" w:rsidP="00CC01D7">
      <w:r>
        <w:separator/>
      </w:r>
    </w:p>
  </w:endnote>
  <w:endnote w:type="continuationSeparator" w:id="0">
    <w:p w14:paraId="017E2314" w14:textId="77777777" w:rsidR="004A1214" w:rsidRDefault="004A1214" w:rsidP="00CC01D7">
      <w:r>
        <w:continuationSeparator/>
      </w:r>
    </w:p>
  </w:endnote>
  <w:endnote w:type="continuationNotice" w:id="1">
    <w:p w14:paraId="2D96AAC9" w14:textId="77777777" w:rsidR="004A1214" w:rsidRDefault="004A121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Consolas">
    <w:panose1 w:val="020B0609020204030204"/>
    <w:charset w:val="EE"/>
    <w:family w:val="modern"/>
    <w:pitch w:val="fixed"/>
    <w:sig w:usb0="E00006FF" w:usb1="0000FCFF" w:usb2="00000001" w:usb3="00000000" w:csb0="000001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TimesNewRoman">
    <w:altName w:val="Yu Gothic"/>
    <w:panose1 w:val="00000000000000000000"/>
    <w:charset w:val="80"/>
    <w:family w:val="auto"/>
    <w:notTrueType/>
    <w:pitch w:val="default"/>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71BD40" w14:textId="3775D07E" w:rsidR="00CE57D6" w:rsidRPr="00503B69" w:rsidRDefault="00CE57D6" w:rsidP="004F53D2">
    <w:pPr>
      <w:pStyle w:val="Stopka"/>
    </w:pPr>
    <w:sdt>
      <w:sdtPr>
        <w:rPr>
          <w:rFonts w:asciiTheme="minorHAnsi" w:hAnsiTheme="minorHAnsi"/>
          <w:sz w:val="16"/>
          <w:szCs w:val="16"/>
        </w:rPr>
        <w:id w:val="1651399628"/>
        <w:placeholder>
          <w:docPart w:val="C5DFF353B2154D82AF1E15A4A229CFC6"/>
        </w:placeholder>
        <w:docPartObj>
          <w:docPartGallery w:val="Page Numbers (Top of Page)"/>
          <w:docPartUnique/>
        </w:docPartObj>
      </w:sdtPr>
      <w:sdtContent>
        <w:r w:rsidRPr="3AFA5F37">
          <w:rPr>
            <w:rFonts w:asciiTheme="minorHAnsi" w:hAnsiTheme="minorHAnsi"/>
            <w:sz w:val="16"/>
            <w:szCs w:val="16"/>
          </w:rPr>
          <w:t xml:space="preserve">Strona </w:t>
        </w:r>
        <w:r w:rsidRPr="3AFA5F37">
          <w:rPr>
            <w:rFonts w:asciiTheme="minorHAnsi" w:hAnsiTheme="minorHAnsi"/>
            <w:b/>
            <w:bCs/>
            <w:sz w:val="16"/>
            <w:szCs w:val="16"/>
          </w:rPr>
          <w:fldChar w:fldCharType="begin"/>
        </w:r>
        <w:r w:rsidRPr="3AFA5F37">
          <w:rPr>
            <w:rFonts w:asciiTheme="minorHAnsi" w:hAnsiTheme="minorHAnsi"/>
            <w:b/>
            <w:bCs/>
            <w:sz w:val="16"/>
            <w:szCs w:val="16"/>
          </w:rPr>
          <w:instrText>PAGE</w:instrText>
        </w:r>
        <w:r w:rsidRPr="3AFA5F37">
          <w:rPr>
            <w:rFonts w:asciiTheme="minorHAnsi" w:hAnsiTheme="minorHAnsi"/>
            <w:b/>
            <w:bCs/>
            <w:sz w:val="16"/>
            <w:szCs w:val="16"/>
          </w:rPr>
          <w:fldChar w:fldCharType="separate"/>
        </w:r>
        <w:r w:rsidRPr="3AFA5F37">
          <w:rPr>
            <w:rFonts w:asciiTheme="minorHAnsi" w:hAnsiTheme="minorHAnsi"/>
            <w:b/>
            <w:bCs/>
            <w:sz w:val="16"/>
            <w:szCs w:val="16"/>
          </w:rPr>
          <w:t>6</w:t>
        </w:r>
        <w:r w:rsidRPr="3AFA5F37">
          <w:rPr>
            <w:rFonts w:asciiTheme="minorHAnsi" w:hAnsiTheme="minorHAnsi"/>
            <w:b/>
            <w:bCs/>
            <w:sz w:val="16"/>
            <w:szCs w:val="16"/>
          </w:rPr>
          <w:fldChar w:fldCharType="end"/>
        </w:r>
        <w:r w:rsidRPr="3AFA5F37">
          <w:rPr>
            <w:rFonts w:asciiTheme="minorHAnsi" w:hAnsiTheme="minorHAnsi"/>
            <w:sz w:val="16"/>
            <w:szCs w:val="16"/>
          </w:rPr>
          <w:t xml:space="preserve"> z </w:t>
        </w:r>
        <w:r w:rsidRPr="3AFA5F37">
          <w:rPr>
            <w:rFonts w:asciiTheme="minorHAnsi" w:hAnsiTheme="minorHAnsi"/>
            <w:b/>
            <w:bCs/>
            <w:sz w:val="16"/>
            <w:szCs w:val="16"/>
          </w:rPr>
          <w:fldChar w:fldCharType="begin"/>
        </w:r>
        <w:r w:rsidRPr="3AFA5F37">
          <w:rPr>
            <w:rFonts w:asciiTheme="minorHAnsi" w:hAnsiTheme="minorHAnsi"/>
            <w:b/>
            <w:bCs/>
            <w:sz w:val="16"/>
            <w:szCs w:val="16"/>
          </w:rPr>
          <w:instrText>NUMPAGES</w:instrText>
        </w:r>
        <w:r w:rsidRPr="3AFA5F37">
          <w:rPr>
            <w:rFonts w:asciiTheme="minorHAnsi" w:hAnsiTheme="minorHAnsi"/>
            <w:b/>
            <w:bCs/>
            <w:sz w:val="16"/>
            <w:szCs w:val="16"/>
          </w:rPr>
          <w:fldChar w:fldCharType="separate"/>
        </w:r>
        <w:r w:rsidRPr="3AFA5F37">
          <w:rPr>
            <w:rFonts w:asciiTheme="minorHAnsi" w:hAnsiTheme="minorHAnsi"/>
            <w:b/>
            <w:bCs/>
            <w:sz w:val="16"/>
            <w:szCs w:val="16"/>
          </w:rPr>
          <w:t>80</w:t>
        </w:r>
        <w:r w:rsidRPr="3AFA5F37">
          <w:rPr>
            <w:rFonts w:asciiTheme="minorHAnsi" w:hAnsiTheme="minorHAnsi"/>
            <w:b/>
            <w:bCs/>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309F0" w14:textId="4250AC31" w:rsidR="00CE57D6" w:rsidRDefault="00CE57D6" w:rsidP="00CE57D6">
    <w:pPr>
      <w:pStyle w:val="Stopka"/>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20383" w14:textId="77933113" w:rsidR="00CE57D6" w:rsidRPr="00503B69" w:rsidRDefault="00CE57D6" w:rsidP="00B50FFD">
    <w:pPr>
      <w:pStyle w:val="Stopka"/>
    </w:pPr>
    <w:sdt>
      <w:sdtPr>
        <w:rPr>
          <w:rFonts w:asciiTheme="minorHAnsi" w:hAnsiTheme="minorHAnsi"/>
          <w:sz w:val="16"/>
          <w:szCs w:val="16"/>
        </w:rPr>
        <w:id w:val="-607112111"/>
        <w:placeholder>
          <w:docPart w:val="C5DFF353B2154D82AF1E15A4A229CFC6"/>
        </w:placeholder>
        <w:docPartObj>
          <w:docPartGallery w:val="Page Numbers (Top of Page)"/>
          <w:docPartUnique/>
        </w:docPartObj>
      </w:sdtPr>
      <w:sdtContent>
        <w:r w:rsidRPr="3AFA5F37">
          <w:rPr>
            <w:rFonts w:asciiTheme="minorHAnsi" w:hAnsiTheme="minorHAnsi"/>
            <w:sz w:val="16"/>
            <w:szCs w:val="16"/>
          </w:rPr>
          <w:t xml:space="preserve">Strona </w:t>
        </w:r>
        <w:r w:rsidRPr="3AFA5F37">
          <w:rPr>
            <w:rFonts w:asciiTheme="minorHAnsi" w:hAnsiTheme="minorHAnsi"/>
            <w:b/>
            <w:bCs/>
            <w:sz w:val="16"/>
            <w:szCs w:val="16"/>
          </w:rPr>
          <w:fldChar w:fldCharType="begin"/>
        </w:r>
        <w:r w:rsidRPr="3AFA5F37">
          <w:rPr>
            <w:rFonts w:asciiTheme="minorHAnsi" w:hAnsiTheme="minorHAnsi"/>
            <w:b/>
            <w:bCs/>
            <w:sz w:val="16"/>
            <w:szCs w:val="16"/>
          </w:rPr>
          <w:instrText>PAGE</w:instrText>
        </w:r>
        <w:r w:rsidRPr="3AFA5F37">
          <w:rPr>
            <w:rFonts w:asciiTheme="minorHAnsi" w:hAnsiTheme="minorHAnsi"/>
            <w:b/>
            <w:bCs/>
            <w:sz w:val="16"/>
            <w:szCs w:val="16"/>
          </w:rPr>
          <w:fldChar w:fldCharType="separate"/>
        </w:r>
        <w:r w:rsidRPr="3AFA5F37">
          <w:rPr>
            <w:rFonts w:asciiTheme="minorHAnsi" w:hAnsiTheme="minorHAnsi"/>
            <w:b/>
            <w:bCs/>
            <w:sz w:val="16"/>
            <w:szCs w:val="16"/>
          </w:rPr>
          <w:t>6</w:t>
        </w:r>
        <w:r w:rsidRPr="3AFA5F37">
          <w:rPr>
            <w:rFonts w:asciiTheme="minorHAnsi" w:hAnsiTheme="minorHAnsi"/>
            <w:b/>
            <w:bCs/>
            <w:sz w:val="16"/>
            <w:szCs w:val="16"/>
          </w:rPr>
          <w:fldChar w:fldCharType="end"/>
        </w:r>
        <w:r w:rsidRPr="3AFA5F37">
          <w:rPr>
            <w:rFonts w:asciiTheme="minorHAnsi" w:hAnsiTheme="minorHAnsi"/>
            <w:sz w:val="16"/>
            <w:szCs w:val="16"/>
          </w:rPr>
          <w:t xml:space="preserve"> z </w:t>
        </w:r>
        <w:r w:rsidRPr="3AFA5F37">
          <w:rPr>
            <w:rFonts w:asciiTheme="minorHAnsi" w:hAnsiTheme="minorHAnsi"/>
            <w:b/>
            <w:bCs/>
            <w:sz w:val="16"/>
            <w:szCs w:val="16"/>
          </w:rPr>
          <w:fldChar w:fldCharType="begin"/>
        </w:r>
        <w:r w:rsidRPr="3AFA5F37">
          <w:rPr>
            <w:rFonts w:asciiTheme="minorHAnsi" w:hAnsiTheme="minorHAnsi"/>
            <w:b/>
            <w:bCs/>
            <w:sz w:val="16"/>
            <w:szCs w:val="16"/>
          </w:rPr>
          <w:instrText>NUMPAGES</w:instrText>
        </w:r>
        <w:r w:rsidRPr="3AFA5F37">
          <w:rPr>
            <w:rFonts w:asciiTheme="minorHAnsi" w:hAnsiTheme="minorHAnsi"/>
            <w:b/>
            <w:bCs/>
            <w:sz w:val="16"/>
            <w:szCs w:val="16"/>
          </w:rPr>
          <w:fldChar w:fldCharType="separate"/>
        </w:r>
        <w:r w:rsidRPr="3AFA5F37">
          <w:rPr>
            <w:rFonts w:asciiTheme="minorHAnsi" w:hAnsiTheme="minorHAnsi"/>
            <w:b/>
            <w:bCs/>
            <w:sz w:val="16"/>
            <w:szCs w:val="16"/>
          </w:rPr>
          <w:t>180</w:t>
        </w:r>
        <w:r w:rsidRPr="3AFA5F37">
          <w:rPr>
            <w:rFonts w:asciiTheme="minorHAnsi" w:hAnsiTheme="minorHAnsi"/>
            <w:b/>
            <w:bCs/>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32FCF" w14:textId="04C82EBF" w:rsidR="00CE57D6" w:rsidRPr="008F480A" w:rsidRDefault="00CE57D6" w:rsidP="00124021">
    <w:pPr>
      <w:pStyle w:val="Stopka"/>
      <w:tabs>
        <w:tab w:val="left" w:pos="6480"/>
      </w:tabs>
    </w:pPr>
    <w:sdt>
      <w:sdtPr>
        <w:rPr>
          <w:rFonts w:asciiTheme="minorHAnsi" w:hAnsiTheme="minorHAnsi"/>
          <w:sz w:val="16"/>
          <w:szCs w:val="16"/>
        </w:rPr>
        <w:id w:val="526535071"/>
        <w:docPartObj>
          <w:docPartGallery w:val="Page Numbers (Top of Page)"/>
          <w:docPartUnique/>
        </w:docPartObj>
      </w:sdtPr>
      <w:sdtContent>
        <w:r w:rsidRPr="3AFA5F37">
          <w:rPr>
            <w:rFonts w:asciiTheme="minorHAnsi" w:hAnsiTheme="minorHAnsi"/>
            <w:sz w:val="16"/>
            <w:szCs w:val="16"/>
          </w:rPr>
          <w:t xml:space="preserve">Strona </w:t>
        </w:r>
        <w:r w:rsidRPr="3AFA5F37">
          <w:rPr>
            <w:rFonts w:asciiTheme="minorHAnsi" w:hAnsiTheme="minorHAnsi"/>
            <w:b/>
            <w:bCs/>
            <w:sz w:val="16"/>
            <w:szCs w:val="16"/>
          </w:rPr>
          <w:fldChar w:fldCharType="begin"/>
        </w:r>
        <w:r w:rsidRPr="3AFA5F37">
          <w:rPr>
            <w:rFonts w:asciiTheme="minorHAnsi" w:hAnsiTheme="minorHAnsi"/>
            <w:b/>
            <w:bCs/>
            <w:sz w:val="16"/>
            <w:szCs w:val="16"/>
          </w:rPr>
          <w:instrText>PAGE</w:instrText>
        </w:r>
        <w:r w:rsidRPr="3AFA5F37">
          <w:rPr>
            <w:rFonts w:asciiTheme="minorHAnsi" w:hAnsiTheme="minorHAnsi"/>
            <w:b/>
            <w:bCs/>
            <w:sz w:val="16"/>
            <w:szCs w:val="16"/>
          </w:rPr>
          <w:fldChar w:fldCharType="separate"/>
        </w:r>
        <w:r w:rsidRPr="3AFA5F37">
          <w:rPr>
            <w:rFonts w:asciiTheme="minorHAnsi" w:hAnsiTheme="minorHAnsi"/>
            <w:b/>
            <w:bCs/>
            <w:noProof/>
            <w:sz w:val="16"/>
            <w:szCs w:val="16"/>
          </w:rPr>
          <w:t>7</w:t>
        </w:r>
        <w:r w:rsidRPr="3AFA5F37">
          <w:rPr>
            <w:rFonts w:asciiTheme="minorHAnsi" w:hAnsiTheme="minorHAnsi"/>
            <w:b/>
            <w:bCs/>
            <w:sz w:val="16"/>
            <w:szCs w:val="16"/>
          </w:rPr>
          <w:fldChar w:fldCharType="end"/>
        </w:r>
        <w:r w:rsidRPr="3AFA5F37">
          <w:rPr>
            <w:rFonts w:asciiTheme="minorHAnsi" w:hAnsiTheme="minorHAnsi"/>
            <w:sz w:val="16"/>
            <w:szCs w:val="16"/>
          </w:rPr>
          <w:t xml:space="preserve"> z </w:t>
        </w:r>
        <w:r w:rsidRPr="3AFA5F37">
          <w:rPr>
            <w:rFonts w:asciiTheme="minorHAnsi" w:hAnsiTheme="minorHAnsi"/>
            <w:b/>
            <w:bCs/>
            <w:sz w:val="16"/>
            <w:szCs w:val="16"/>
          </w:rPr>
          <w:fldChar w:fldCharType="begin"/>
        </w:r>
        <w:r w:rsidRPr="3AFA5F37">
          <w:rPr>
            <w:rFonts w:asciiTheme="minorHAnsi" w:hAnsiTheme="minorHAnsi"/>
            <w:b/>
            <w:bCs/>
            <w:sz w:val="16"/>
            <w:szCs w:val="16"/>
          </w:rPr>
          <w:instrText>NUMPAGES</w:instrText>
        </w:r>
        <w:r w:rsidRPr="3AFA5F37">
          <w:rPr>
            <w:rFonts w:asciiTheme="minorHAnsi" w:hAnsiTheme="minorHAnsi"/>
            <w:b/>
            <w:bCs/>
            <w:sz w:val="16"/>
            <w:szCs w:val="16"/>
          </w:rPr>
          <w:fldChar w:fldCharType="separate"/>
        </w:r>
        <w:r w:rsidRPr="3AFA5F37">
          <w:rPr>
            <w:rFonts w:asciiTheme="minorHAnsi" w:hAnsiTheme="minorHAnsi"/>
            <w:b/>
            <w:bCs/>
            <w:noProof/>
            <w:sz w:val="16"/>
            <w:szCs w:val="16"/>
          </w:rPr>
          <w:t>8</w:t>
        </w:r>
        <w:r w:rsidRPr="3AFA5F37">
          <w:rPr>
            <w:rFonts w:asciiTheme="minorHAnsi" w:hAnsiTheme="minorHAnsi"/>
            <w:b/>
            <w:bCs/>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7D2DB8" w14:textId="2A9C1C0E" w:rsidR="00CE57D6" w:rsidRPr="0062113F" w:rsidRDefault="00CE57D6" w:rsidP="004D7104">
    <w:pPr>
      <w:pStyle w:val="Stopka"/>
    </w:pPr>
    <w:sdt>
      <w:sdtPr>
        <w:rPr>
          <w:rFonts w:asciiTheme="minorHAnsi" w:hAnsiTheme="minorHAnsi"/>
          <w:sz w:val="16"/>
          <w:szCs w:val="16"/>
        </w:rPr>
        <w:id w:val="1057125002"/>
        <w:placeholder>
          <w:docPart w:val="C5DFF353B2154D82AF1E15A4A229CFC6"/>
        </w:placeholder>
        <w:docPartObj>
          <w:docPartGallery w:val="Page Numbers (Top of Page)"/>
          <w:docPartUnique/>
        </w:docPartObj>
      </w:sdtPr>
      <w:sdtContent>
        <w:r w:rsidRPr="3AFA5F37">
          <w:rPr>
            <w:rFonts w:asciiTheme="minorHAnsi" w:hAnsiTheme="minorHAnsi"/>
            <w:sz w:val="16"/>
            <w:szCs w:val="16"/>
          </w:rPr>
          <w:t xml:space="preserve">Strona </w:t>
        </w:r>
        <w:r w:rsidRPr="3AFA5F37">
          <w:rPr>
            <w:rFonts w:asciiTheme="minorHAnsi" w:hAnsiTheme="minorHAnsi"/>
            <w:b/>
            <w:bCs/>
            <w:sz w:val="16"/>
            <w:szCs w:val="16"/>
          </w:rPr>
          <w:fldChar w:fldCharType="begin"/>
        </w:r>
        <w:r w:rsidRPr="3AFA5F37">
          <w:rPr>
            <w:rFonts w:asciiTheme="minorHAnsi" w:hAnsiTheme="minorHAnsi"/>
            <w:b/>
            <w:bCs/>
            <w:sz w:val="16"/>
            <w:szCs w:val="16"/>
          </w:rPr>
          <w:instrText>PAGE</w:instrText>
        </w:r>
        <w:r w:rsidRPr="3AFA5F37">
          <w:rPr>
            <w:rFonts w:asciiTheme="minorHAnsi" w:hAnsiTheme="minorHAnsi"/>
            <w:b/>
            <w:bCs/>
            <w:sz w:val="16"/>
            <w:szCs w:val="16"/>
          </w:rPr>
          <w:fldChar w:fldCharType="separate"/>
        </w:r>
        <w:r w:rsidRPr="3AFA5F37">
          <w:rPr>
            <w:rFonts w:asciiTheme="minorHAnsi" w:hAnsiTheme="minorHAnsi"/>
            <w:b/>
            <w:bCs/>
            <w:sz w:val="16"/>
            <w:szCs w:val="16"/>
          </w:rPr>
          <w:t>42</w:t>
        </w:r>
        <w:r w:rsidRPr="3AFA5F37">
          <w:rPr>
            <w:rFonts w:asciiTheme="minorHAnsi" w:hAnsiTheme="minorHAnsi"/>
            <w:b/>
            <w:bCs/>
            <w:sz w:val="16"/>
            <w:szCs w:val="16"/>
          </w:rPr>
          <w:fldChar w:fldCharType="end"/>
        </w:r>
        <w:r w:rsidRPr="3AFA5F37">
          <w:rPr>
            <w:rFonts w:asciiTheme="minorHAnsi" w:hAnsiTheme="minorHAnsi"/>
            <w:sz w:val="16"/>
            <w:szCs w:val="16"/>
          </w:rPr>
          <w:t xml:space="preserve"> z </w:t>
        </w:r>
        <w:r w:rsidRPr="3AFA5F37">
          <w:rPr>
            <w:rFonts w:asciiTheme="minorHAnsi" w:hAnsiTheme="minorHAnsi"/>
            <w:b/>
            <w:bCs/>
            <w:sz w:val="16"/>
            <w:szCs w:val="16"/>
          </w:rPr>
          <w:fldChar w:fldCharType="begin"/>
        </w:r>
        <w:r w:rsidRPr="3AFA5F37">
          <w:rPr>
            <w:rFonts w:asciiTheme="minorHAnsi" w:hAnsiTheme="minorHAnsi"/>
            <w:b/>
            <w:bCs/>
            <w:sz w:val="16"/>
            <w:szCs w:val="16"/>
          </w:rPr>
          <w:instrText>NUMPAGES</w:instrText>
        </w:r>
        <w:r w:rsidRPr="3AFA5F37">
          <w:rPr>
            <w:rFonts w:asciiTheme="minorHAnsi" w:hAnsiTheme="minorHAnsi"/>
            <w:b/>
            <w:bCs/>
            <w:sz w:val="16"/>
            <w:szCs w:val="16"/>
          </w:rPr>
          <w:fldChar w:fldCharType="separate"/>
        </w:r>
        <w:r w:rsidRPr="3AFA5F37">
          <w:rPr>
            <w:rFonts w:asciiTheme="minorHAnsi" w:hAnsiTheme="minorHAnsi"/>
            <w:b/>
            <w:bCs/>
            <w:sz w:val="16"/>
            <w:szCs w:val="16"/>
          </w:rPr>
          <w:t>80</w:t>
        </w:r>
        <w:r w:rsidRPr="3AFA5F37">
          <w:rPr>
            <w:rFonts w:asciiTheme="minorHAnsi" w:hAnsiTheme="minorHAnsi"/>
            <w:b/>
            <w:bCs/>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3B7A25" w14:textId="63D335AC" w:rsidR="00CE57D6" w:rsidRPr="008F480A" w:rsidRDefault="00CE57D6" w:rsidP="00B16BD9">
    <w:pPr>
      <w:pStyle w:val="Stopka"/>
    </w:pPr>
    <w:sdt>
      <w:sdtPr>
        <w:rPr>
          <w:rFonts w:asciiTheme="minorHAnsi" w:hAnsiTheme="minorHAnsi"/>
          <w:sz w:val="16"/>
          <w:szCs w:val="16"/>
        </w:rPr>
        <w:id w:val="-119451988"/>
        <w:placeholder>
          <w:docPart w:val="C5DFF353B2154D82AF1E15A4A229CFC6"/>
        </w:placeholder>
        <w:docPartObj>
          <w:docPartGallery w:val="Page Numbers (Top of Page)"/>
          <w:docPartUnique/>
        </w:docPartObj>
      </w:sdtPr>
      <w:sdtContent>
        <w:r w:rsidRPr="3AFA5F37">
          <w:rPr>
            <w:rFonts w:asciiTheme="minorHAnsi" w:hAnsiTheme="minorHAnsi"/>
            <w:sz w:val="16"/>
            <w:szCs w:val="16"/>
          </w:rPr>
          <w:t xml:space="preserve">Strona </w:t>
        </w:r>
        <w:r w:rsidRPr="3AFA5F37">
          <w:rPr>
            <w:rFonts w:asciiTheme="minorHAnsi" w:hAnsiTheme="minorHAnsi"/>
            <w:b/>
            <w:bCs/>
            <w:sz w:val="16"/>
            <w:szCs w:val="16"/>
          </w:rPr>
          <w:fldChar w:fldCharType="begin"/>
        </w:r>
        <w:r w:rsidRPr="3AFA5F37">
          <w:rPr>
            <w:rFonts w:asciiTheme="minorHAnsi" w:hAnsiTheme="minorHAnsi"/>
            <w:b/>
            <w:bCs/>
            <w:sz w:val="16"/>
            <w:szCs w:val="16"/>
          </w:rPr>
          <w:instrText>PAGE</w:instrText>
        </w:r>
        <w:r w:rsidRPr="3AFA5F37">
          <w:rPr>
            <w:rFonts w:asciiTheme="minorHAnsi" w:hAnsiTheme="minorHAnsi"/>
            <w:b/>
            <w:bCs/>
            <w:sz w:val="16"/>
            <w:szCs w:val="16"/>
          </w:rPr>
          <w:fldChar w:fldCharType="separate"/>
        </w:r>
        <w:r w:rsidRPr="3AFA5F37">
          <w:rPr>
            <w:rFonts w:asciiTheme="minorHAnsi" w:hAnsiTheme="minorHAnsi"/>
            <w:b/>
            <w:bCs/>
            <w:sz w:val="16"/>
            <w:szCs w:val="16"/>
          </w:rPr>
          <w:t>8</w:t>
        </w:r>
        <w:r w:rsidRPr="3AFA5F37">
          <w:rPr>
            <w:rFonts w:asciiTheme="minorHAnsi" w:hAnsiTheme="minorHAnsi"/>
            <w:b/>
            <w:bCs/>
            <w:sz w:val="16"/>
            <w:szCs w:val="16"/>
          </w:rPr>
          <w:fldChar w:fldCharType="end"/>
        </w:r>
        <w:r w:rsidRPr="3AFA5F37">
          <w:rPr>
            <w:rFonts w:asciiTheme="minorHAnsi" w:hAnsiTheme="minorHAnsi"/>
            <w:sz w:val="16"/>
            <w:szCs w:val="16"/>
          </w:rPr>
          <w:t xml:space="preserve"> z </w:t>
        </w:r>
        <w:r w:rsidRPr="3AFA5F37">
          <w:rPr>
            <w:rFonts w:asciiTheme="minorHAnsi" w:hAnsiTheme="minorHAnsi"/>
            <w:b/>
            <w:bCs/>
            <w:sz w:val="16"/>
            <w:szCs w:val="16"/>
          </w:rPr>
          <w:fldChar w:fldCharType="begin"/>
        </w:r>
        <w:r w:rsidRPr="3AFA5F37">
          <w:rPr>
            <w:rFonts w:asciiTheme="minorHAnsi" w:hAnsiTheme="minorHAnsi"/>
            <w:b/>
            <w:bCs/>
            <w:sz w:val="16"/>
            <w:szCs w:val="16"/>
          </w:rPr>
          <w:instrText>NUMPAGES</w:instrText>
        </w:r>
        <w:r w:rsidRPr="3AFA5F37">
          <w:rPr>
            <w:rFonts w:asciiTheme="minorHAnsi" w:hAnsiTheme="minorHAnsi"/>
            <w:b/>
            <w:bCs/>
            <w:sz w:val="16"/>
            <w:szCs w:val="16"/>
          </w:rPr>
          <w:fldChar w:fldCharType="separate"/>
        </w:r>
        <w:r w:rsidRPr="3AFA5F37">
          <w:rPr>
            <w:rFonts w:asciiTheme="minorHAnsi" w:hAnsiTheme="minorHAnsi"/>
            <w:b/>
            <w:bCs/>
            <w:sz w:val="16"/>
            <w:szCs w:val="16"/>
          </w:rPr>
          <w:t>29</w:t>
        </w:r>
        <w:r w:rsidRPr="3AFA5F37">
          <w:rPr>
            <w:rFonts w:asciiTheme="minorHAnsi" w:hAnsiTheme="minorHAnsi"/>
            <w:b/>
            <w:bCs/>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D0951F" w14:textId="77777777" w:rsidR="004A1214" w:rsidRDefault="004A1214" w:rsidP="00CC01D7">
      <w:r>
        <w:separator/>
      </w:r>
    </w:p>
  </w:footnote>
  <w:footnote w:type="continuationSeparator" w:id="0">
    <w:p w14:paraId="14F223CB" w14:textId="77777777" w:rsidR="004A1214" w:rsidRDefault="004A1214" w:rsidP="00CC01D7">
      <w:r>
        <w:continuationSeparator/>
      </w:r>
    </w:p>
  </w:footnote>
  <w:footnote w:type="continuationNotice" w:id="1">
    <w:p w14:paraId="3644F83D" w14:textId="77777777" w:rsidR="004A1214" w:rsidRDefault="004A1214">
      <w:pPr>
        <w:spacing w:before="0" w:after="0"/>
      </w:pPr>
    </w:p>
  </w:footnote>
  <w:footnote w:id="2">
    <w:p w14:paraId="65A0683A" w14:textId="1B3E263F" w:rsidR="00CE57D6" w:rsidRPr="000A332C" w:rsidRDefault="00CE57D6">
      <w:pPr>
        <w:pStyle w:val="Tekstprzypisudolnego"/>
        <w:rPr>
          <w:sz w:val="18"/>
          <w:szCs w:val="18"/>
        </w:rPr>
      </w:pPr>
      <w:r w:rsidRPr="000A332C">
        <w:rPr>
          <w:rStyle w:val="Odwoanieprzypisudolnego"/>
          <w:sz w:val="18"/>
          <w:szCs w:val="18"/>
        </w:rPr>
        <w:footnoteRef/>
      </w:r>
      <w:r w:rsidRPr="000A332C">
        <w:rPr>
          <w:sz w:val="18"/>
          <w:szCs w:val="18"/>
        </w:rPr>
        <w:t xml:space="preserve"> Wszystkie informacje prezentowane w IIaPGW odnoszą się do obszaru dorzecza Pregoły w granicach Polski</w:t>
      </w:r>
    </w:p>
  </w:footnote>
  <w:footnote w:id="3">
    <w:p w14:paraId="02637E8D" w14:textId="77777777" w:rsidR="00CE57D6" w:rsidRPr="003D6FE5" w:rsidRDefault="00CE57D6" w:rsidP="0041381F">
      <w:pPr>
        <w:pStyle w:val="Przypis"/>
        <w:rPr>
          <w:lang w:val="en-GB"/>
        </w:rPr>
      </w:pPr>
      <w:r w:rsidRPr="003D6FE5">
        <w:rPr>
          <w:rStyle w:val="Odwoanieprzypisudolnego"/>
          <w:rFonts w:asciiTheme="minorHAnsi" w:hAnsiTheme="minorHAnsi"/>
          <w:sz w:val="16"/>
          <w:szCs w:val="16"/>
        </w:rPr>
        <w:footnoteRef/>
      </w:r>
      <w:r w:rsidRPr="003D6FE5">
        <w:rPr>
          <w:lang w:val="en-GB"/>
        </w:rPr>
        <w:t xml:space="preserve"> Corine Land Cover (CLC 2018); https://land.copernicus.eu/pan-european/corine-land-cover</w:t>
      </w:r>
    </w:p>
  </w:footnote>
  <w:footnote w:id="4">
    <w:p w14:paraId="3DFAAB09" w14:textId="77777777" w:rsidR="00CE57D6" w:rsidRPr="003D6FE5" w:rsidRDefault="00CE57D6" w:rsidP="00753CE3">
      <w:pPr>
        <w:pStyle w:val="Przypis"/>
      </w:pPr>
      <w:r w:rsidRPr="003D6FE5">
        <w:rPr>
          <w:rStyle w:val="Odwoanieprzypisudolnego"/>
          <w:sz w:val="16"/>
          <w:szCs w:val="16"/>
        </w:rPr>
        <w:footnoteRef/>
      </w:r>
      <w:r w:rsidRPr="003D6FE5">
        <w:t xml:space="preserve"> Informacje o zmianach i uaktualnieniach wprowadzonych w okresie 2016-2021 (aPGW) przedstawia rozdział 23 IIaPGW.</w:t>
      </w:r>
    </w:p>
  </w:footnote>
  <w:footnote w:id="5">
    <w:p w14:paraId="54803A82" w14:textId="77777777" w:rsidR="00CE57D6" w:rsidRDefault="00CE57D6" w:rsidP="00753CE3">
      <w:pPr>
        <w:pStyle w:val="Przypis"/>
      </w:pPr>
      <w:r w:rsidRPr="00196916">
        <w:rPr>
          <w:rStyle w:val="Odwoanieprzypisudolnego"/>
          <w:rFonts w:asciiTheme="minorHAnsi" w:hAnsiTheme="minorHAnsi"/>
          <w:sz w:val="16"/>
          <w:szCs w:val="16"/>
        </w:rPr>
        <w:footnoteRef/>
      </w:r>
      <w:r w:rsidRPr="00196916">
        <w:t xml:space="preserve"> </w:t>
      </w:r>
      <w:r w:rsidRPr="0096303E">
        <w:t>Typologia wód powierzchniowych i wyznaczenie części wód powierzchniowych i podziemnych zgodnie z wymogami Ramowej</w:t>
      </w:r>
      <w:r w:rsidRPr="0096303E">
        <w:rPr>
          <w:position w:val="-6"/>
        </w:rPr>
        <w:t xml:space="preserve"> </w:t>
      </w:r>
      <w:r w:rsidRPr="0096303E">
        <w:t>Dyrektywy Wodnej 2000/60/WE, 2004</w:t>
      </w:r>
      <w:r w:rsidRPr="00196916">
        <w:t>, IMGW-PIB, IOŚ-PIB, Instytut Morski, Warszawa, 2004.</w:t>
      </w:r>
    </w:p>
  </w:footnote>
  <w:footnote w:id="6">
    <w:p w14:paraId="56516D95" w14:textId="77777777" w:rsidR="00CE57D6" w:rsidRPr="00196916" w:rsidRDefault="00CE57D6" w:rsidP="00753CE3">
      <w:pPr>
        <w:pStyle w:val="Przypis"/>
      </w:pPr>
      <w:r w:rsidRPr="00196916">
        <w:rPr>
          <w:rStyle w:val="Odwoanieprzypisudolnego"/>
          <w:rFonts w:asciiTheme="minorHAnsi" w:hAnsiTheme="minorHAnsi"/>
          <w:sz w:val="16"/>
          <w:szCs w:val="16"/>
        </w:rPr>
        <w:footnoteRef/>
      </w:r>
      <w:r w:rsidRPr="00196916">
        <w:t xml:space="preserve"> </w:t>
      </w:r>
      <w:r w:rsidRPr="0096303E">
        <w:t>Aktualizacja wykazu JCWP i SCWP dla potrzeb kolejnej aktualizacji planów w latach 2015-2021 wraz z weryfikacją typów wód</w:t>
      </w:r>
      <w:r>
        <w:t xml:space="preserve"> </w:t>
      </w:r>
      <w:r w:rsidRPr="0096303E">
        <w:t>części wód</w:t>
      </w:r>
      <w:r w:rsidRPr="00196916">
        <w:t>, KZGW, Warszawa 2015</w:t>
      </w:r>
      <w:r>
        <w:t>.</w:t>
      </w:r>
    </w:p>
  </w:footnote>
  <w:footnote w:id="7">
    <w:p w14:paraId="0CE5DD9A" w14:textId="77777777" w:rsidR="00CE57D6" w:rsidRDefault="00CE57D6" w:rsidP="00753CE3">
      <w:pPr>
        <w:pStyle w:val="Przypis"/>
      </w:pPr>
      <w:r w:rsidRPr="007050BD">
        <w:rPr>
          <w:rStyle w:val="Odwoanieprzypisudolnego"/>
          <w:sz w:val="16"/>
          <w:szCs w:val="16"/>
        </w:rPr>
        <w:footnoteRef/>
      </w:r>
      <w:r w:rsidRPr="007050BD">
        <w:t xml:space="preserve"> </w:t>
      </w:r>
      <w:r w:rsidRPr="008F518A">
        <w:t>Informacje o zmianach i uaktualnieniach wprowadzonych w okresie 2016-2021 (aPGW) przedstawia rozdział 23 IIaPGW.</w:t>
      </w:r>
    </w:p>
  </w:footnote>
  <w:footnote w:id="8">
    <w:p w14:paraId="697302B5" w14:textId="77777777" w:rsidR="00CE57D6" w:rsidRPr="006C440B" w:rsidRDefault="00CE57D6" w:rsidP="00483E3A">
      <w:pPr>
        <w:pStyle w:val="Tekstprzypisudolnego"/>
        <w:rPr>
          <w:sz w:val="16"/>
          <w:szCs w:val="16"/>
        </w:rPr>
      </w:pPr>
      <w:r w:rsidRPr="006C440B">
        <w:rPr>
          <w:rStyle w:val="Odwoanieprzypisudolnego"/>
          <w:sz w:val="16"/>
          <w:szCs w:val="16"/>
        </w:rPr>
        <w:footnoteRef/>
      </w:r>
      <w:r w:rsidRPr="006C440B">
        <w:rPr>
          <w:sz w:val="16"/>
          <w:szCs w:val="16"/>
        </w:rPr>
        <w:t xml:space="preserve"> Informacje dotyczące zmian i uaktualnień dokonanych w okresie 2016-2021 (aPGW) przedstawia rozdział 23 IIaPGW.</w:t>
      </w:r>
    </w:p>
  </w:footnote>
  <w:footnote w:id="9">
    <w:p w14:paraId="7C3BC892" w14:textId="77777777" w:rsidR="00CE57D6" w:rsidRDefault="00CE57D6" w:rsidP="00483E3A">
      <w:pPr>
        <w:pStyle w:val="Tekstprzypisudolnego"/>
      </w:pPr>
      <w:r w:rsidRPr="00A7284B">
        <w:rPr>
          <w:rStyle w:val="Odwoanieprzypisudolnego"/>
          <w:sz w:val="16"/>
          <w:szCs w:val="16"/>
        </w:rPr>
        <w:footnoteRef/>
      </w:r>
      <w:r w:rsidRPr="00A7284B">
        <w:rPr>
          <w:sz w:val="16"/>
          <w:szCs w:val="16"/>
        </w:rPr>
        <w:t xml:space="preserve"> Informacje</w:t>
      </w:r>
      <w:r w:rsidRPr="00E60078">
        <w:rPr>
          <w:sz w:val="16"/>
          <w:szCs w:val="16"/>
        </w:rPr>
        <w:t xml:space="preserve"> dotyczące zmian i uaktualnień dokonanych w okresie 2016-2021 (aPGW) przedstawia rozdział 23 IIaPGW.</w:t>
      </w:r>
    </w:p>
  </w:footnote>
  <w:footnote w:id="10">
    <w:p w14:paraId="1C8A7BAF" w14:textId="77777777" w:rsidR="00CE57D6" w:rsidRDefault="00CE57D6" w:rsidP="00483E3A">
      <w:pPr>
        <w:pStyle w:val="Tekstprzypisudolnego"/>
      </w:pPr>
      <w:r w:rsidRPr="00F4288F">
        <w:rPr>
          <w:rStyle w:val="Odwoanieprzypisudolnego"/>
          <w:sz w:val="16"/>
          <w:szCs w:val="16"/>
        </w:rPr>
        <w:footnoteRef/>
      </w:r>
      <w:r w:rsidRPr="00F4288F">
        <w:rPr>
          <w:sz w:val="16"/>
          <w:szCs w:val="16"/>
        </w:rPr>
        <w:t xml:space="preserve"> Informacje dotyczące zmian i uaktualnień dokonanych w okresie 2016-2021 (aPGW) przedstawia rozdział 23 IIaPGW</w:t>
      </w:r>
      <w:r w:rsidRPr="00E60078">
        <w:rPr>
          <w:sz w:val="16"/>
          <w:szCs w:val="16"/>
        </w:rPr>
        <w:t>.</w:t>
      </w:r>
    </w:p>
  </w:footnote>
  <w:footnote w:id="11">
    <w:p w14:paraId="03D61050" w14:textId="0FA35B5F" w:rsidR="00CE57D6" w:rsidRDefault="00CE57D6" w:rsidP="001B10C5">
      <w:pPr>
        <w:pStyle w:val="Przypis"/>
        <w:rPr>
          <w:sz w:val="16"/>
          <w:szCs w:val="16"/>
          <w:shd w:val="clear" w:color="auto" w:fill="FFFFFF"/>
        </w:rPr>
      </w:pPr>
      <w:r w:rsidRPr="006C7050">
        <w:rPr>
          <w:rStyle w:val="Odwoanieprzypisudolnego"/>
          <w:rFonts w:asciiTheme="minorHAnsi" w:hAnsiTheme="minorHAnsi" w:cstheme="minorHAnsi"/>
        </w:rPr>
        <w:footnoteRef/>
      </w:r>
      <w:r w:rsidRPr="006C7050">
        <w:t xml:space="preserve"> </w:t>
      </w:r>
      <w:r w:rsidRPr="006C7050">
        <w:rPr>
          <w:rFonts w:asciiTheme="minorHAnsi" w:hAnsiTheme="minorHAnsi" w:cstheme="minorHAnsi"/>
          <w:color w:val="222222"/>
          <w:shd w:val="clear" w:color="auto" w:fill="FFFFFF"/>
        </w:rPr>
        <w:t>Herbich P. (z zespołem), 2014 - Prognoza zagrożeń dla dostępnych do zagospodarowania zasobów wód podziemnych w</w:t>
      </w:r>
      <w:r>
        <w:rPr>
          <w:rFonts w:asciiTheme="minorHAnsi" w:hAnsiTheme="minorHAnsi" w:cstheme="minorHAnsi"/>
          <w:color w:val="222222"/>
          <w:shd w:val="clear" w:color="auto" w:fill="FFFFFF"/>
        </w:rPr>
        <w:t> </w:t>
      </w:r>
      <w:r w:rsidRPr="006C7050">
        <w:rPr>
          <w:rFonts w:asciiTheme="minorHAnsi" w:hAnsiTheme="minorHAnsi" w:cstheme="minorHAnsi"/>
          <w:color w:val="222222"/>
          <w:shd w:val="clear" w:color="auto" w:fill="FFFFFF"/>
        </w:rPr>
        <w:t>warunkach spodziewanych zmian klimatycznych w perspektywie do 2030 r. i do 2050 r. wraz ze wskazaniami do</w:t>
      </w:r>
      <w:r>
        <w:rPr>
          <w:rFonts w:asciiTheme="minorHAnsi" w:hAnsiTheme="minorHAnsi" w:cstheme="minorHAnsi"/>
          <w:color w:val="222222"/>
          <w:shd w:val="clear" w:color="auto" w:fill="FFFFFF"/>
        </w:rPr>
        <w:t> </w:t>
      </w:r>
      <w:r w:rsidRPr="006C7050">
        <w:rPr>
          <w:rFonts w:asciiTheme="minorHAnsi" w:hAnsiTheme="minorHAnsi" w:cstheme="minorHAnsi"/>
          <w:color w:val="222222"/>
          <w:shd w:val="clear" w:color="auto" w:fill="FFFFFF"/>
        </w:rPr>
        <w:t xml:space="preserve">programów działań łagodzących skutki lokalnych deficytów zasobów. Zadania Państwowej Służby Hydrogeologicznej. </w:t>
      </w:r>
      <w:r w:rsidRPr="006C7050">
        <w:rPr>
          <w:sz w:val="16"/>
          <w:szCs w:val="16"/>
          <w:shd w:val="clear" w:color="auto" w:fill="FFFFFF"/>
        </w:rPr>
        <w:t xml:space="preserve">Zadanie 22: Etap II. Sprawozdanie. </w:t>
      </w:r>
      <w:r>
        <w:rPr>
          <w:sz w:val="16"/>
          <w:szCs w:val="16"/>
          <w:shd w:val="clear" w:color="auto" w:fill="FFFFFF"/>
        </w:rPr>
        <w:t>PIG-PIB</w:t>
      </w:r>
      <w:r w:rsidRPr="006C7050">
        <w:rPr>
          <w:sz w:val="16"/>
          <w:szCs w:val="16"/>
          <w:shd w:val="clear" w:color="auto" w:fill="FFFFFF"/>
        </w:rPr>
        <w:t>. Warszawa</w:t>
      </w:r>
    </w:p>
    <w:p w14:paraId="463C7017" w14:textId="290AA28D" w:rsidR="00CE57D6" w:rsidRDefault="00CE57D6" w:rsidP="001B10C5">
      <w:pPr>
        <w:pStyle w:val="Przypis"/>
        <w:rPr>
          <w:rFonts w:asciiTheme="minorHAnsi" w:hAnsiTheme="minorHAnsi" w:cstheme="minorHAnsi"/>
        </w:rPr>
      </w:pPr>
      <w:r w:rsidRPr="00F16E15">
        <w:t>Herbich P., 2014 - Analiza trendów zróżnicowania odpływu podziemnego do rzek wybranych zlewni w wieloleciu obserwacyjnym</w:t>
      </w:r>
      <w:r>
        <w:t xml:space="preserve"> </w:t>
      </w:r>
      <w:r w:rsidRPr="00F16E15">
        <w:rPr>
          <w:rFonts w:asciiTheme="minorHAnsi" w:hAnsiTheme="minorHAnsi" w:cstheme="minorHAnsi"/>
        </w:rPr>
        <w:t xml:space="preserve">1951 </w:t>
      </w:r>
      <w:r>
        <w:rPr>
          <w:rFonts w:asciiTheme="minorHAnsi" w:hAnsiTheme="minorHAnsi" w:cstheme="minorHAnsi"/>
        </w:rPr>
        <w:t>-</w:t>
      </w:r>
      <w:r w:rsidRPr="00F16E15">
        <w:rPr>
          <w:rFonts w:asciiTheme="minorHAnsi" w:hAnsiTheme="minorHAnsi" w:cstheme="minorHAnsi"/>
        </w:rPr>
        <w:t xml:space="preserve"> 2011 oraz prognoza zmian odpływu podziemnego do roku 2020, 2030 i 2050. Zadania Państwowej Służby Hydrogeologicznej. Zadanie 22: Etap II. Sprawozdanie. </w:t>
      </w:r>
      <w:r>
        <w:rPr>
          <w:rFonts w:asciiTheme="minorHAnsi" w:hAnsiTheme="minorHAnsi" w:cstheme="minorHAnsi"/>
        </w:rPr>
        <w:t>PIG-PIB</w:t>
      </w:r>
      <w:r w:rsidRPr="00F16E15">
        <w:rPr>
          <w:rFonts w:asciiTheme="minorHAnsi" w:hAnsiTheme="minorHAnsi" w:cstheme="minorHAnsi"/>
        </w:rPr>
        <w:t>. Warszawa</w:t>
      </w:r>
    </w:p>
    <w:p w14:paraId="17A4F533" w14:textId="6AD4A2DF" w:rsidR="00CE57D6" w:rsidRPr="00F16E15" w:rsidRDefault="00CE57D6" w:rsidP="001B10C5">
      <w:pPr>
        <w:pStyle w:val="Przypis"/>
      </w:pPr>
      <w:r w:rsidRPr="00F16E15">
        <w:t>Herbich P., Mikołajków J., Przytuła</w:t>
      </w:r>
      <w:r>
        <w:t xml:space="preserve"> </w:t>
      </w:r>
      <w:r w:rsidRPr="00F16E15">
        <w:t>E., 2016 -</w:t>
      </w:r>
      <w:r>
        <w:t xml:space="preserve"> </w:t>
      </w:r>
      <w:r w:rsidRPr="00F16E15">
        <w:t>Prognoza zmian zasobów wód podziemnych</w:t>
      </w:r>
      <w:r>
        <w:t xml:space="preserve"> </w:t>
      </w:r>
      <w:r w:rsidRPr="00F16E15">
        <w:t>w warunkach możliwych zmian klimatycznych</w:t>
      </w:r>
      <w:r>
        <w:t xml:space="preserve"> </w:t>
      </w:r>
      <w:r w:rsidRPr="00F16E15">
        <w:t>do 2050 roku. PZiTS, Vol. 21, Nr 1</w:t>
      </w:r>
    </w:p>
  </w:footnote>
  <w:footnote w:id="12">
    <w:p w14:paraId="2E5F73E7" w14:textId="77777777" w:rsidR="00CE57D6" w:rsidRPr="00F16E15" w:rsidRDefault="00CE57D6" w:rsidP="001B10C5">
      <w:pPr>
        <w:pStyle w:val="Przypis"/>
      </w:pPr>
      <w:r w:rsidRPr="00F16E15">
        <w:rPr>
          <w:rStyle w:val="Odwoanieprzypisudolnego"/>
        </w:rPr>
        <w:footnoteRef/>
      </w:r>
      <w:r w:rsidRPr="00F16E15">
        <w:t xml:space="preserve"> </w:t>
      </w:r>
      <w:bookmarkStart w:id="52" w:name="_Hlk61717731"/>
      <w:r w:rsidRPr="00F16E15">
        <w:t xml:space="preserve">A. Woś, </w:t>
      </w:r>
      <w:r w:rsidRPr="00F16E15">
        <w:rPr>
          <w:i/>
          <w:iCs/>
        </w:rPr>
        <w:t>Klimat Polski</w:t>
      </w:r>
      <w:r w:rsidRPr="00F16E15">
        <w:t>, Warszawa 1999.</w:t>
      </w:r>
      <w:bookmarkEnd w:id="52"/>
    </w:p>
  </w:footnote>
  <w:footnote w:id="13">
    <w:p w14:paraId="1EEE3E9C" w14:textId="77777777" w:rsidR="00CE57D6" w:rsidRPr="00F16E15" w:rsidRDefault="00CE57D6" w:rsidP="001B10C5">
      <w:pPr>
        <w:pStyle w:val="Przypis"/>
      </w:pPr>
      <w:r w:rsidRPr="00F16E15">
        <w:rPr>
          <w:rStyle w:val="Odwoanieprzypisudolnego"/>
        </w:rPr>
        <w:footnoteRef/>
      </w:r>
      <w:r w:rsidRPr="00F16E15">
        <w:t xml:space="preserve"> </w:t>
      </w:r>
      <w:r w:rsidRPr="00DC0AAE">
        <w:rPr>
          <w:b/>
          <w:bCs/>
        </w:rPr>
        <w:t>Narażenie na czynniki klimatyczne</w:t>
      </w:r>
      <w:r w:rsidRPr="00F16E15">
        <w:t xml:space="preserve"> jest rozumiane jako ekspozycja obszaru dorzecza/regionu wodnego na zaistnienie negatywnej konsekwencji zmian klimatu wraz ze wskazaniem, które ze składowych klimatycznych są prognozowane jako te, których przyrost/spadek wielkości/natężenia (np. liczba dni z opadem o natężeniu &gt;10 mm/doba, przyrost liczby dni gorących) będzie silnie oddziaływać na warunki obiegu wody.</w:t>
      </w:r>
    </w:p>
  </w:footnote>
  <w:footnote w:id="14">
    <w:p w14:paraId="34C453AA" w14:textId="3CB61D21" w:rsidR="00CE57D6" w:rsidRPr="00947745" w:rsidRDefault="00CE57D6" w:rsidP="00643D60">
      <w:pPr>
        <w:pStyle w:val="Tekstprzypisudolnego"/>
        <w:suppressAutoHyphens/>
        <w:rPr>
          <w:sz w:val="18"/>
          <w:szCs w:val="18"/>
        </w:rPr>
      </w:pPr>
      <w:r>
        <w:rPr>
          <w:rStyle w:val="Odwoanieprzypisudolnego"/>
        </w:rPr>
        <w:footnoteRef/>
      </w:r>
      <w:r>
        <w:t xml:space="preserve"> </w:t>
      </w:r>
      <w:r w:rsidRPr="00947745">
        <w:rPr>
          <w:sz w:val="18"/>
          <w:szCs w:val="18"/>
        </w:rPr>
        <w:t xml:space="preserve">Rozporządzenie Ministra Gospodarki Morskiej i Żeglugi Śródlądowej z dnia 9 października 2019 r. w sprawie form i sposobu prowadzenia monitoringu jednolitych części wód powierzchniowych i jednolitych części wód podziemnych (Dz.U. z 2019 r. poz. 2147) </w:t>
      </w:r>
      <w:r>
        <w:rPr>
          <w:sz w:val="18"/>
          <w:szCs w:val="18"/>
        </w:rPr>
        <w:t>-</w:t>
      </w:r>
      <w:r w:rsidRPr="00947745">
        <w:rPr>
          <w:sz w:val="18"/>
          <w:szCs w:val="18"/>
        </w:rPr>
        <w:t xml:space="preserve"> zwane dalej r.m.jcw</w:t>
      </w:r>
      <w:r>
        <w:rPr>
          <w:sz w:val="18"/>
          <w:szCs w:val="18"/>
        </w:rPr>
        <w:t>.</w:t>
      </w:r>
    </w:p>
    <w:p w14:paraId="6ACA6012" w14:textId="59461957" w:rsidR="00CE57D6" w:rsidRPr="00947745" w:rsidRDefault="00CE57D6" w:rsidP="00643D60">
      <w:pPr>
        <w:suppressAutoHyphens/>
        <w:rPr>
          <w:sz w:val="18"/>
          <w:szCs w:val="18"/>
        </w:rPr>
      </w:pPr>
      <w:r w:rsidRPr="00947745">
        <w:rPr>
          <w:sz w:val="18"/>
          <w:szCs w:val="18"/>
        </w:rPr>
        <w:t xml:space="preserve">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 </w:t>
      </w:r>
      <w:r>
        <w:rPr>
          <w:sz w:val="18"/>
          <w:szCs w:val="18"/>
        </w:rPr>
        <w:t>-</w:t>
      </w:r>
      <w:r w:rsidRPr="00947745">
        <w:rPr>
          <w:sz w:val="18"/>
          <w:szCs w:val="18"/>
        </w:rPr>
        <w:t xml:space="preserve"> zwane dalej r.kl.jcwp</w:t>
      </w:r>
      <w:r>
        <w:rPr>
          <w:sz w:val="18"/>
          <w:szCs w:val="18"/>
        </w:rPr>
        <w:t>.</w:t>
      </w:r>
    </w:p>
    <w:p w14:paraId="231A56B6" w14:textId="59E53565" w:rsidR="00CE57D6" w:rsidRPr="00F11051" w:rsidRDefault="00CE57D6" w:rsidP="00F11051">
      <w:pPr>
        <w:suppressAutoHyphens/>
        <w:rPr>
          <w:sz w:val="18"/>
          <w:szCs w:val="18"/>
        </w:rPr>
      </w:pPr>
      <w:r w:rsidRPr="00947745">
        <w:rPr>
          <w:sz w:val="18"/>
          <w:szCs w:val="18"/>
        </w:rPr>
        <w:t>Rozporządzenie Ministra Gospodarki Morskiej i Żeglugi Śródlądowej</w:t>
      </w:r>
      <w:r w:rsidRPr="00947745" w:rsidDel="006513E2">
        <w:rPr>
          <w:sz w:val="18"/>
          <w:szCs w:val="18"/>
        </w:rPr>
        <w:t xml:space="preserve"> </w:t>
      </w:r>
      <w:r w:rsidRPr="00947745">
        <w:rPr>
          <w:sz w:val="18"/>
          <w:szCs w:val="18"/>
        </w:rPr>
        <w:t xml:space="preserve">z dnia 11 października 2019 r. w sprawie kryteriów i sposobu oceny stanu jednolitych części wód podziemnych (Dz.U. z 2019 r. poz. 2148) </w:t>
      </w:r>
      <w:r>
        <w:rPr>
          <w:sz w:val="18"/>
          <w:szCs w:val="18"/>
        </w:rPr>
        <w:t>-</w:t>
      </w:r>
      <w:r w:rsidRPr="00947745">
        <w:rPr>
          <w:sz w:val="18"/>
          <w:szCs w:val="18"/>
        </w:rPr>
        <w:t xml:space="preserve"> zwane dalej r.kl.jcwpd</w:t>
      </w:r>
      <w:r>
        <w:rPr>
          <w:sz w:val="18"/>
          <w:szCs w:val="18"/>
        </w:rPr>
        <w:t>.</w:t>
      </w:r>
    </w:p>
  </w:footnote>
  <w:footnote w:id="15">
    <w:p w14:paraId="447D40E2" w14:textId="70B53BA0" w:rsidR="00CE57D6" w:rsidRPr="00A85A0D" w:rsidRDefault="00CE57D6" w:rsidP="00F11051">
      <w:pPr>
        <w:pStyle w:val="Przypis"/>
      </w:pPr>
      <w:r w:rsidRPr="00A85A0D">
        <w:rPr>
          <w:rStyle w:val="Odwoanieprzypisudolnego"/>
        </w:rPr>
        <w:footnoteRef/>
      </w:r>
      <w:r w:rsidRPr="00A85A0D">
        <w:t xml:space="preserve"> Rozporządzenie Ministra Gospodarki Morskiej i Żeglugi Śródlądowej z dnia 28 czerwca 2019 r. w sprawie substancji szczególnie szkodliwych dla środowiska wodnego, których wprowadzanie w ściekach przemysłowych do urządzeń kanalizacyjnych wymaga uzyskania pozwolenia wodnoprawnego (</w:t>
      </w:r>
      <w:r>
        <w:t>Dz.U.</w:t>
      </w:r>
      <w:r w:rsidRPr="00A85A0D">
        <w:t xml:space="preserve"> 2019 poz. 1220)</w:t>
      </w:r>
    </w:p>
  </w:footnote>
  <w:footnote w:id="16">
    <w:p w14:paraId="142F03DB" w14:textId="4EBC28AA" w:rsidR="00CE57D6" w:rsidRDefault="00CE57D6" w:rsidP="00F11051">
      <w:pPr>
        <w:pStyle w:val="Przypis"/>
      </w:pPr>
      <w:r w:rsidRPr="00A85A0D">
        <w:rPr>
          <w:rStyle w:val="Odwoanieprzypisudolnego"/>
        </w:rPr>
        <w:footnoteRef/>
      </w:r>
      <w:r w:rsidRPr="00A85A0D">
        <w:t xml:space="preserve"> </w:t>
      </w:r>
      <w:bookmarkStart w:id="75" w:name="_Hlk20586220"/>
      <w:r w:rsidRPr="00A85A0D">
        <w:t>Ustawa z dnia 14 grudnia 2012 r. o odpadach. Załącznik nr 4 (t</w:t>
      </w:r>
      <w:r>
        <w:t>.</w:t>
      </w:r>
      <w:r w:rsidRPr="00A85A0D">
        <w:t>j</w:t>
      </w:r>
      <w:r>
        <w:t>.</w:t>
      </w:r>
      <w:r w:rsidRPr="00A85A0D">
        <w:t xml:space="preserve"> </w:t>
      </w:r>
      <w:r>
        <w:t>Dz.U.</w:t>
      </w:r>
      <w:r w:rsidRPr="00A85A0D">
        <w:t xml:space="preserve"> 2019.701 z późn. zm.)</w:t>
      </w:r>
      <w:bookmarkEnd w:id="75"/>
    </w:p>
  </w:footnote>
  <w:footnote w:id="17">
    <w:p w14:paraId="6AB3B5A8" w14:textId="58CCB990" w:rsidR="00CE57D6" w:rsidRDefault="00CE57D6" w:rsidP="00A03144">
      <w:pPr>
        <w:pStyle w:val="Przypis"/>
      </w:pPr>
      <w:r>
        <w:rPr>
          <w:rStyle w:val="Odwoanieprzypisudolnego"/>
        </w:rPr>
        <w:footnoteRef/>
      </w:r>
      <w:r>
        <w:t xml:space="preserve"> </w:t>
      </w:r>
      <w:r w:rsidRPr="00B15B5F">
        <w:t xml:space="preserve">Ocena z przeniesienia </w:t>
      </w:r>
      <w:r>
        <w:t>-</w:t>
      </w:r>
      <w:r w:rsidRPr="00B15B5F">
        <w:t xml:space="preserve"> metoda przenoszenia ocen stanu z jcwp monitorowanych na niemonitorowane (GIOŚ)</w:t>
      </w:r>
    </w:p>
  </w:footnote>
  <w:footnote w:id="18">
    <w:p w14:paraId="0B4CEAB7" w14:textId="2C5FFF69" w:rsidR="00CE57D6" w:rsidRPr="00B15B5F" w:rsidRDefault="00CE57D6" w:rsidP="00A03144">
      <w:pPr>
        <w:pStyle w:val="Przypis"/>
      </w:pPr>
      <w:r w:rsidRPr="00B15B5F">
        <w:rPr>
          <w:rStyle w:val="Odwoanieprzypisudolnego"/>
        </w:rPr>
        <w:footnoteRef/>
      </w:r>
      <w:r w:rsidRPr="00B15B5F">
        <w:t xml:space="preserve"> Ocena z przeniesienia </w:t>
      </w:r>
      <w:r>
        <w:t>-</w:t>
      </w:r>
      <w:r w:rsidRPr="00B15B5F">
        <w:t xml:space="preserve"> metoda przenoszenia ocen stanu z jcwp monitorowanych na niemonitorowane (GIOŚ)</w:t>
      </w:r>
    </w:p>
  </w:footnote>
  <w:footnote w:id="19">
    <w:p w14:paraId="0242B995" w14:textId="77777777" w:rsidR="00CE57D6" w:rsidRDefault="00CE57D6" w:rsidP="00F446D9">
      <w:pPr>
        <w:pStyle w:val="Tekstprzypisudolnego"/>
      </w:pPr>
      <w:r>
        <w:rPr>
          <w:rStyle w:val="Odwoanieprzypisudolnego"/>
        </w:rPr>
        <w:footnoteRef/>
      </w:r>
      <w:r>
        <w:rPr>
          <w:sz w:val="18"/>
          <w:szCs w:val="18"/>
        </w:rPr>
        <w:t xml:space="preserve"> Syntetyczny raport z klasyfikacji i oceny stanu jednolitych części wód powierzchniowych wykonanej za 2019 rok na podstawie danych z lat 2014-2019. GIOŚ. Warszawa, wrzesień 2020 r.</w:t>
      </w:r>
    </w:p>
  </w:footnote>
  <w:footnote w:id="20">
    <w:p w14:paraId="20D52B8D" w14:textId="77777777" w:rsidR="00CE57D6" w:rsidRPr="00C1290A" w:rsidRDefault="00CE57D6" w:rsidP="00A03144">
      <w:pPr>
        <w:pStyle w:val="Przypis"/>
        <w:rPr>
          <w:lang w:eastAsia="pl-PL"/>
        </w:rPr>
      </w:pPr>
      <w:r w:rsidRPr="00C1290A">
        <w:rPr>
          <w:rStyle w:val="Odwoanieprzypisudolnego"/>
          <w:rFonts w:asciiTheme="minorHAnsi" w:hAnsiTheme="minorHAnsi" w:cstheme="minorHAnsi"/>
        </w:rPr>
        <w:footnoteRef/>
      </w:r>
      <w:r w:rsidRPr="00C1290A">
        <w:t xml:space="preserve"> </w:t>
      </w:r>
      <w:r w:rsidRPr="00C1290A">
        <w:rPr>
          <w:lang w:eastAsia="pl-PL"/>
        </w:rPr>
        <w:t>Gryczko-Gostyńska A., Dalsza charakterystyka wód podziemnych zgodnie z załącznikiem II.2 Ramowej Dyrektywy Wodnej wraz z oceną ryzyka. Wersja 2, PIG-PIB 2020.</w:t>
      </w:r>
    </w:p>
  </w:footnote>
  <w:footnote w:id="21">
    <w:p w14:paraId="2CF47520" w14:textId="77777777" w:rsidR="00CE57D6" w:rsidRPr="00EA0A1A" w:rsidRDefault="00CE57D6" w:rsidP="00A03144">
      <w:pPr>
        <w:pStyle w:val="Przypis"/>
        <w:rPr>
          <w:lang w:eastAsia="pl-PL"/>
        </w:rPr>
      </w:pPr>
      <w:r w:rsidRPr="00EA0A1A">
        <w:rPr>
          <w:rStyle w:val="Odwoanieprzypisudolnego"/>
          <w:rFonts w:asciiTheme="minorHAnsi" w:hAnsiTheme="minorHAnsi"/>
        </w:rPr>
        <w:footnoteRef/>
      </w:r>
      <w:r w:rsidRPr="00EA0A1A">
        <w:t xml:space="preserve"> </w:t>
      </w:r>
      <w:r w:rsidRPr="00EA0A1A">
        <w:rPr>
          <w:lang w:eastAsia="pl-PL"/>
        </w:rPr>
        <w:t xml:space="preserve">Frankowski Z., Gałkowski P., Mitręga J., </w:t>
      </w:r>
      <w:r w:rsidRPr="00EA0A1A">
        <w:rPr>
          <w:i/>
          <w:iCs/>
          <w:lang w:eastAsia="pl-PL"/>
        </w:rPr>
        <w:t>Struktura poboru wód podziemnych w Polsce</w:t>
      </w:r>
      <w:r w:rsidRPr="00EA0A1A">
        <w:rPr>
          <w:lang w:eastAsia="pl-PL"/>
        </w:rPr>
        <w:t>, PIG-PIB 2009.</w:t>
      </w:r>
    </w:p>
  </w:footnote>
  <w:footnote w:id="22">
    <w:p w14:paraId="393E093E" w14:textId="185FBCF6" w:rsidR="00CE57D6" w:rsidRDefault="00CE57D6" w:rsidP="00A03144">
      <w:pPr>
        <w:pStyle w:val="Przypis"/>
      </w:pPr>
      <w:r>
        <w:rPr>
          <w:rStyle w:val="Odwoanieprzypisudolnego"/>
        </w:rPr>
        <w:footnoteRef/>
      </w:r>
      <w:r>
        <w:t xml:space="preserve"> </w:t>
      </w:r>
      <w:r w:rsidRPr="004D2940">
        <w:rPr>
          <w:lang w:eastAsia="pl-PL"/>
        </w:rPr>
        <w:t>Kuczyńska A. i in., Aktualizacja programu monitoringu jednolitych części wód podziemnych w układzie dorzeczy na lata 2022</w:t>
      </w:r>
      <w:r>
        <w:rPr>
          <w:lang w:eastAsia="pl-PL"/>
        </w:rPr>
        <w:t>-</w:t>
      </w:r>
      <w:r w:rsidRPr="004D2940">
        <w:rPr>
          <w:lang w:eastAsia="pl-PL"/>
        </w:rPr>
        <w:t>2027, PIG-PIB 2020.</w:t>
      </w:r>
    </w:p>
  </w:footnote>
  <w:footnote w:id="23">
    <w:p w14:paraId="6306A0A1" w14:textId="217F94B2" w:rsidR="00CE57D6" w:rsidRDefault="00CE57D6">
      <w:pPr>
        <w:pStyle w:val="Tekstprzypisudolnego"/>
      </w:pPr>
      <w:r w:rsidRPr="005033BD">
        <w:rPr>
          <w:rStyle w:val="Odwoanieprzypisudolnego"/>
        </w:rPr>
        <w:footnoteRef/>
      </w:r>
      <w:r w:rsidRPr="005033BD">
        <w:t xml:space="preserve"> </w:t>
      </w:r>
      <w:r w:rsidRPr="005033BD">
        <w:rPr>
          <w:sz w:val="18"/>
          <w:szCs w:val="18"/>
        </w:rPr>
        <w:t>Kuczyńska A. i in., Aktualizacja programu monitoringu jednolitych części wód podziemnych w układzie dorzeczy na lata 2022-2027, PIG-PIB 2020.</w:t>
      </w:r>
    </w:p>
  </w:footnote>
  <w:footnote w:id="24">
    <w:p w14:paraId="1BF56758" w14:textId="77777777" w:rsidR="00CE57D6" w:rsidRPr="00B52A2F" w:rsidRDefault="00CE57D6" w:rsidP="00A03144">
      <w:pPr>
        <w:pStyle w:val="Przypis"/>
      </w:pPr>
      <w:r w:rsidRPr="00B52A2F">
        <w:rPr>
          <w:rStyle w:val="Odwoanieprzypisudolnego"/>
          <w:rFonts w:asciiTheme="minorHAnsi" w:hAnsiTheme="minorHAnsi" w:cstheme="minorHAnsi"/>
        </w:rPr>
        <w:footnoteRef/>
      </w:r>
      <w:r w:rsidRPr="00B52A2F">
        <w:t xml:space="preserve"> </w:t>
      </w:r>
      <w:r w:rsidRPr="00B52A2F">
        <w:rPr>
          <w:lang w:eastAsia="pl-PL"/>
        </w:rPr>
        <w:t>Palak-Mazur D. i in., Aktualizacja metodyki oceny stanu jcwpd wraz z opracowaniem metodyki analizy odwracania trendów zanieczyszczeń, PIG-PIB 2020.</w:t>
      </w:r>
    </w:p>
  </w:footnote>
  <w:footnote w:id="25">
    <w:p w14:paraId="3BB8C3C6" w14:textId="6C571E35" w:rsidR="00CE57D6" w:rsidRPr="009E60C9" w:rsidRDefault="00CE57D6" w:rsidP="00A03144">
      <w:pPr>
        <w:pStyle w:val="Przypis"/>
        <w:rPr>
          <w:lang w:val="en-GB"/>
        </w:rPr>
      </w:pPr>
      <w:r>
        <w:rPr>
          <w:rStyle w:val="Odwoanieprzypisudolnego"/>
        </w:rPr>
        <w:footnoteRef/>
      </w:r>
      <w:r w:rsidRPr="009E60C9">
        <w:rPr>
          <w:lang w:val="en-GB"/>
        </w:rPr>
        <w:t xml:space="preserve"> Guidance Document No. 28, Technical Guidance on the Preperation of an Inventory of Emissions, Discharges and Losses of Priority and Priority Hazardoys Substances, Common Implementation Strategy for the Water Framework Directive (2000/60/EC); Technical Report </w:t>
      </w:r>
      <w:r>
        <w:rPr>
          <w:lang w:val="en-GB"/>
        </w:rPr>
        <w:t>-</w:t>
      </w:r>
      <w:r w:rsidRPr="009E60C9">
        <w:rPr>
          <w:lang w:val="en-GB"/>
        </w:rPr>
        <w:t xml:space="preserve"> 2012-058; European Communities, 2012.</w:t>
      </w:r>
    </w:p>
  </w:footnote>
  <w:footnote w:id="26">
    <w:p w14:paraId="3A3B5F51" w14:textId="77777777" w:rsidR="00CE57D6" w:rsidRDefault="00CE57D6" w:rsidP="00A03144">
      <w:pPr>
        <w:pStyle w:val="Przypis"/>
      </w:pPr>
      <w:r>
        <w:rPr>
          <w:rStyle w:val="Odwoanieprzypisudolnego"/>
        </w:rPr>
        <w:footnoteRef/>
      </w:r>
      <w:r>
        <w:t xml:space="preserve"> </w:t>
      </w:r>
      <w:r w:rsidRPr="009E60C9">
        <w:t>Przewodnik do opracowania wykazu wielkości emisji i stężeń substancji priorytetowych oraz innych zanieczyszczeń, dla których zostały określone środowiskowe normy jakości</w:t>
      </w:r>
      <w:r>
        <w:t>, Instytut Ekologii Terenów Uprzemysłowionych, Katowice 2012.</w:t>
      </w:r>
    </w:p>
  </w:footnote>
  <w:footnote w:id="27">
    <w:p w14:paraId="7E7ADA2C" w14:textId="4110F1A6" w:rsidR="00CE57D6" w:rsidRDefault="00CE57D6">
      <w:pPr>
        <w:pStyle w:val="Tekstprzypisudolnego"/>
      </w:pPr>
      <w:r>
        <w:rPr>
          <w:rStyle w:val="Odwoanieprzypisudolnego"/>
        </w:rPr>
        <w:footnoteRef/>
      </w:r>
      <w:r>
        <w:t xml:space="preserve"> </w:t>
      </w:r>
      <w:r w:rsidRPr="00C1290A">
        <w:rPr>
          <w:lang w:eastAsia="pl-PL"/>
        </w:rPr>
        <w:t>Gryczko-Gostyńska A., Dalsza charakterystyka wód podziemnych zgodnie z załącznikiem II.2 Ramowej Dyrektywy Wodnej wraz z oceną ryzyka. Wersja 2, PIG-PIB 2020.</w:t>
      </w:r>
    </w:p>
  </w:footnote>
  <w:footnote w:id="28">
    <w:p w14:paraId="0C1203D2" w14:textId="77777777" w:rsidR="00CE57D6" w:rsidRDefault="00CE57D6" w:rsidP="00373A13">
      <w:pPr>
        <w:pStyle w:val="Tekstprzypisudolnego"/>
      </w:pPr>
      <w:r>
        <w:rPr>
          <w:rStyle w:val="Odwoanieprzypisudolnego"/>
        </w:rPr>
        <w:footnoteRef/>
      </w:r>
      <w:r>
        <w:t xml:space="preserve"> </w:t>
      </w:r>
      <w:r w:rsidRPr="00B52A2F">
        <w:rPr>
          <w:lang w:eastAsia="pl-PL"/>
        </w:rPr>
        <w:t>Palak-Mazur D. i in., Aktualizacja metodyki oceny stanu jcwpd wraz z opracowaniem metodyki analizy odwracania trendów zanieczyszczeń, PIG-PIB 2020.</w:t>
      </w:r>
    </w:p>
  </w:footnote>
  <w:footnote w:id="29">
    <w:p w14:paraId="0367A3F8" w14:textId="3F185230" w:rsidR="00CE57D6" w:rsidRPr="00572D45" w:rsidRDefault="00CE57D6" w:rsidP="00BE0188">
      <w:pPr>
        <w:pStyle w:val="Tekstprzypisudolnego"/>
        <w:rPr>
          <w:rFonts w:cs="Calibri"/>
          <w:sz w:val="18"/>
          <w:szCs w:val="18"/>
        </w:rPr>
      </w:pPr>
      <w:r w:rsidRPr="00572D45">
        <w:rPr>
          <w:rStyle w:val="Odwoanieprzypisudolnego"/>
          <w:rFonts w:cs="Calibri"/>
          <w:sz w:val="18"/>
          <w:szCs w:val="18"/>
        </w:rPr>
        <w:footnoteRef/>
      </w:r>
      <w:r w:rsidRPr="00572D45">
        <w:rPr>
          <w:rFonts w:cs="Calibri"/>
          <w:sz w:val="18"/>
          <w:szCs w:val="18"/>
        </w:rPr>
        <w:t xml:space="preserve"> Koszty środowiskowe zostały obliczone na podstawie metodologii zawartej w opracowaniu </w:t>
      </w:r>
      <w:r w:rsidRPr="00572D45">
        <w:rPr>
          <w:rFonts w:cs="Calibri"/>
          <w:i/>
          <w:iCs/>
          <w:sz w:val="18"/>
          <w:szCs w:val="18"/>
        </w:rPr>
        <w:t>Analiza zwrotu kosztów za usługi wodne wraz z prognozą rozwoju oraz analiza zwrotu kosztów środowiskowych i zasobowych w regionach wodnych i na obszarach dorzeczy (konkluzje)</w:t>
      </w:r>
      <w:r w:rsidRPr="00572D45">
        <w:rPr>
          <w:rFonts w:cs="Calibri"/>
          <w:sz w:val="18"/>
          <w:szCs w:val="18"/>
        </w:rPr>
        <w:t>, przygotowanym na zlecenie PGW</w:t>
      </w:r>
      <w:r>
        <w:rPr>
          <w:rFonts w:cs="Calibri"/>
          <w:sz w:val="18"/>
          <w:szCs w:val="18"/>
        </w:rPr>
        <w:t xml:space="preserve"> </w:t>
      </w:r>
      <w:r w:rsidRPr="00572D45">
        <w:rPr>
          <w:rFonts w:cs="Calibri"/>
          <w:sz w:val="18"/>
          <w:szCs w:val="18"/>
        </w:rPr>
        <w:t>WP</w:t>
      </w:r>
      <w:r>
        <w:rPr>
          <w:rFonts w:cs="Calibri"/>
          <w:sz w:val="18"/>
          <w:szCs w:val="18"/>
        </w:rPr>
        <w:t>,</w:t>
      </w:r>
      <w:r w:rsidRPr="00572D45">
        <w:rPr>
          <w:rFonts w:cs="Calibri"/>
          <w:sz w:val="18"/>
          <w:szCs w:val="18"/>
        </w:rPr>
        <w:t xml:space="preserve"> reprezentowanego przez RZGW </w:t>
      </w:r>
      <w:r>
        <w:rPr>
          <w:rFonts w:cs="Calibri"/>
          <w:sz w:val="18"/>
          <w:szCs w:val="18"/>
        </w:rPr>
        <w:t xml:space="preserve">WP w </w:t>
      </w:r>
      <w:r w:rsidRPr="00572D45">
        <w:rPr>
          <w:rFonts w:cs="Calibri"/>
          <w:sz w:val="18"/>
          <w:szCs w:val="18"/>
        </w:rPr>
        <w:t>Krak</w:t>
      </w:r>
      <w:r>
        <w:rPr>
          <w:rFonts w:cs="Calibri"/>
          <w:sz w:val="18"/>
          <w:szCs w:val="18"/>
        </w:rPr>
        <w:t>owie</w:t>
      </w:r>
      <w:r w:rsidRPr="00572D45">
        <w:rPr>
          <w:rFonts w:cs="Calibri"/>
          <w:sz w:val="18"/>
          <w:szCs w:val="18"/>
        </w:rPr>
        <w:t>, Gliwice 2019.</w:t>
      </w:r>
    </w:p>
  </w:footnote>
  <w:footnote w:id="30">
    <w:p w14:paraId="3A0A122C" w14:textId="77777777" w:rsidR="00CE57D6" w:rsidRDefault="00CE57D6" w:rsidP="00BE0188">
      <w:pPr>
        <w:pStyle w:val="Tekstprzypisudolnego"/>
        <w:rPr>
          <w:sz w:val="18"/>
          <w:szCs w:val="18"/>
        </w:rPr>
      </w:pPr>
      <w:r>
        <w:rPr>
          <w:rStyle w:val="Odwoanieprzypisudolnego"/>
          <w:rFonts w:eastAsia="MS Gothic"/>
          <w:sz w:val="18"/>
          <w:szCs w:val="18"/>
        </w:rPr>
        <w:footnoteRef/>
      </w:r>
      <w:r>
        <w:rPr>
          <w:sz w:val="18"/>
          <w:szCs w:val="18"/>
        </w:rPr>
        <w:t xml:space="preserve"> A. Markowska, </w:t>
      </w:r>
      <w:r>
        <w:rPr>
          <w:i/>
          <w:sz w:val="18"/>
          <w:szCs w:val="18"/>
        </w:rPr>
        <w:t>Koszty i korzyści wdrożenia w Polsce Dyrektywy 91/271/EWG w sprawie oczyszczania ścieków komunalnych</w:t>
      </w:r>
      <w:r>
        <w:rPr>
          <w:iCs/>
          <w:sz w:val="18"/>
          <w:szCs w:val="18"/>
        </w:rPr>
        <w:t>,</w:t>
      </w:r>
      <w:r w:rsidRPr="00201295">
        <w:rPr>
          <w:iCs/>
          <w:sz w:val="18"/>
          <w:szCs w:val="18"/>
        </w:rPr>
        <w:t xml:space="preserve"> </w:t>
      </w:r>
      <w:r>
        <w:rPr>
          <w:sz w:val="18"/>
          <w:szCs w:val="18"/>
        </w:rPr>
        <w:t>Uniwersytet Warszawski, Wydział Nauk Ekonomicznych, Warszawa 2004.</w:t>
      </w:r>
    </w:p>
  </w:footnote>
  <w:footnote w:id="31">
    <w:p w14:paraId="2F67FADA" w14:textId="77777777" w:rsidR="00CE57D6" w:rsidRPr="008D1A53" w:rsidRDefault="00CE57D6" w:rsidP="00BE0188">
      <w:pPr>
        <w:pStyle w:val="Tekstprzypisudolnego"/>
        <w:rPr>
          <w:rFonts w:cs="Calibri"/>
          <w:sz w:val="18"/>
          <w:szCs w:val="18"/>
        </w:rPr>
      </w:pPr>
      <w:r w:rsidRPr="008D1A53">
        <w:rPr>
          <w:rStyle w:val="Odwoanieprzypisudolnego"/>
          <w:rFonts w:cs="Calibri"/>
          <w:sz w:val="18"/>
          <w:szCs w:val="18"/>
        </w:rPr>
        <w:footnoteRef/>
      </w:r>
      <w:r w:rsidRPr="008D1A53">
        <w:rPr>
          <w:rFonts w:cs="Calibri"/>
          <w:sz w:val="18"/>
          <w:szCs w:val="18"/>
        </w:rPr>
        <w:t xml:space="preserve"> Wartość obliczona na podstawie założenia, że wzrost dochodu rozporządzalnego o 1 zł powoduje wzrost wartości wskaźnika WTP o 5 gr.</w:t>
      </w:r>
    </w:p>
  </w:footnote>
  <w:footnote w:id="32">
    <w:p w14:paraId="430F4101" w14:textId="77777777" w:rsidR="00CE57D6" w:rsidRPr="001B1F33" w:rsidRDefault="00CE57D6" w:rsidP="00BE0188">
      <w:pPr>
        <w:pStyle w:val="Tekstprzypisudolnego"/>
        <w:rPr>
          <w:rFonts w:cs="Calibri"/>
          <w:sz w:val="18"/>
          <w:szCs w:val="18"/>
        </w:rPr>
      </w:pPr>
      <w:r w:rsidRPr="00447BDA">
        <w:rPr>
          <w:rStyle w:val="Odwoanieprzypisudolnego"/>
          <w:rFonts w:cs="Calibri"/>
          <w:sz w:val="18"/>
          <w:szCs w:val="18"/>
        </w:rPr>
        <w:footnoteRef/>
      </w:r>
      <w:r w:rsidRPr="00447BDA">
        <w:rPr>
          <w:rFonts w:cs="Calibri"/>
          <w:sz w:val="18"/>
          <w:szCs w:val="18"/>
        </w:rPr>
        <w:t xml:space="preserve"> Zinternalizowane koszty zasobowe w postaci opłat za usługi wodne zostały już uwzględnione w kosztach finansowych</w:t>
      </w:r>
      <w:r w:rsidRPr="001B1F33">
        <w:rPr>
          <w:rFonts w:cs="Calibri"/>
          <w:sz w:val="18"/>
          <w:szCs w:val="18"/>
        </w:rPr>
        <w:t>.</w:t>
      </w:r>
    </w:p>
  </w:footnote>
  <w:footnote w:id="33">
    <w:p w14:paraId="3B3DABF7" w14:textId="77777777" w:rsidR="00CE57D6" w:rsidRPr="00447BDA" w:rsidRDefault="00CE57D6" w:rsidP="00BE0188">
      <w:pPr>
        <w:pStyle w:val="Tekstpodstawowywcity3"/>
        <w:spacing w:after="0"/>
        <w:ind w:left="0"/>
        <w:jc w:val="both"/>
        <w:rPr>
          <w:rFonts w:ascii="Calibri" w:hAnsi="Calibri"/>
          <w:bCs/>
          <w:sz w:val="18"/>
          <w:szCs w:val="18"/>
        </w:rPr>
      </w:pPr>
      <w:r w:rsidRPr="00447BDA">
        <w:rPr>
          <w:rStyle w:val="Odwoanieprzypisudolnego"/>
          <w:rFonts w:ascii="Calibri" w:hAnsi="Calibri"/>
          <w:sz w:val="18"/>
          <w:szCs w:val="18"/>
        </w:rPr>
        <w:footnoteRef/>
      </w:r>
      <w:r w:rsidRPr="00447BDA">
        <w:rPr>
          <w:rFonts w:ascii="Calibri" w:hAnsi="Calibri"/>
          <w:sz w:val="18"/>
          <w:szCs w:val="18"/>
        </w:rPr>
        <w:t xml:space="preserve"> „</w:t>
      </w:r>
      <w:r w:rsidRPr="00447BDA">
        <w:rPr>
          <w:rFonts w:ascii="Calibri" w:hAnsi="Calibri"/>
          <w:bCs/>
          <w:sz w:val="18"/>
          <w:szCs w:val="18"/>
        </w:rPr>
        <w:t>Koszty bieżące</w:t>
      </w:r>
      <w:r w:rsidRPr="00447BDA">
        <w:rPr>
          <w:rFonts w:ascii="Calibri" w:hAnsi="Calibri"/>
          <w:sz w:val="18"/>
          <w:szCs w:val="18"/>
        </w:rPr>
        <w:t xml:space="preserve"> ochrony środowiska netto są to koszty brutto pomniejszone o przychody i oszczędności osiągane z tytułu funkcjonowania urządzeń ochronnych, subwencje z innych sektorów oraz przychody za</w:t>
      </w:r>
      <w:r w:rsidRPr="001B1F33">
        <w:rPr>
          <w:rFonts w:ascii="Calibri" w:hAnsi="Calibri"/>
          <w:sz w:val="18"/>
          <w:szCs w:val="18"/>
        </w:rPr>
        <w:t xml:space="preserve"> usługi ochrony środowiska (głównie za oczyszczanie ścieków oraz transport i unieszkodliwianie odpadów)”. Za: GUS, Ekonomiczne aspekty ochrony środowiska</w:t>
      </w:r>
      <w:r w:rsidRPr="00447BDA">
        <w:rPr>
          <w:rFonts w:ascii="Calibri" w:hAnsi="Calibri"/>
          <w:sz w:val="18"/>
          <w:szCs w:val="18"/>
        </w:rPr>
        <w:t>.</w:t>
      </w:r>
    </w:p>
  </w:footnote>
  <w:footnote w:id="34">
    <w:p w14:paraId="47FAEC16" w14:textId="77777777" w:rsidR="00CE57D6" w:rsidRPr="000F4035" w:rsidRDefault="00CE57D6" w:rsidP="00BE0188">
      <w:pPr>
        <w:pStyle w:val="Tekstprzypisudolnego"/>
        <w:rPr>
          <w:sz w:val="18"/>
          <w:szCs w:val="18"/>
        </w:rPr>
      </w:pPr>
      <w:r w:rsidRPr="00447BDA">
        <w:rPr>
          <w:rStyle w:val="Odwoanieprzypisudolnego"/>
          <w:sz w:val="18"/>
          <w:szCs w:val="18"/>
        </w:rPr>
        <w:footnoteRef/>
      </w:r>
      <w:r w:rsidRPr="00447BDA">
        <w:rPr>
          <w:sz w:val="18"/>
          <w:szCs w:val="18"/>
        </w:rPr>
        <w:t xml:space="preserve"> Na podstawie danych GUS: </w:t>
      </w:r>
      <w:r w:rsidRPr="001B1F33">
        <w:rPr>
          <w:sz w:val="18"/>
          <w:szCs w:val="18"/>
        </w:rPr>
        <w:t>Ekonomiczne aspekty ochrony środowiska</w:t>
      </w:r>
      <w:r w:rsidRPr="00447BDA">
        <w:rPr>
          <w:sz w:val="18"/>
          <w:szCs w:val="18"/>
        </w:rPr>
        <w:t>, 2020, tabl. 24.</w:t>
      </w:r>
      <w:r w:rsidRPr="000F4035">
        <w:rPr>
          <w:sz w:val="18"/>
          <w:szCs w:val="18"/>
        </w:rPr>
        <w:t xml:space="preserve"> </w:t>
      </w:r>
    </w:p>
  </w:footnote>
  <w:footnote w:id="35">
    <w:p w14:paraId="31D10310" w14:textId="4CCA12A2" w:rsidR="00CE57D6" w:rsidRPr="000430DB" w:rsidRDefault="00CE57D6" w:rsidP="00447BDA">
      <w:pPr>
        <w:pStyle w:val="Tekstpodstawowywcity3"/>
        <w:spacing w:after="0"/>
        <w:ind w:left="0"/>
        <w:jc w:val="both"/>
        <w:rPr>
          <w:rFonts w:ascii="Calibri" w:hAnsi="Calibri"/>
          <w:sz w:val="18"/>
          <w:szCs w:val="18"/>
        </w:rPr>
      </w:pPr>
      <w:r w:rsidRPr="000430DB">
        <w:rPr>
          <w:rStyle w:val="Odwoanieprzypisudolnego"/>
          <w:rFonts w:ascii="Calibri" w:hAnsi="Calibri"/>
          <w:sz w:val="18"/>
          <w:szCs w:val="18"/>
        </w:rPr>
        <w:footnoteRef/>
      </w:r>
      <w:r w:rsidRPr="00B73A0C">
        <w:rPr>
          <w:rFonts w:ascii="Calibri" w:hAnsi="Calibri"/>
          <w:sz w:val="18"/>
          <w:szCs w:val="18"/>
        </w:rPr>
        <w:t xml:space="preserve"> </w:t>
      </w:r>
      <w:bookmarkStart w:id="333" w:name="_Hlk67245664"/>
      <w:r w:rsidRPr="00B86529">
        <w:rPr>
          <w:rFonts w:ascii="Calibri" w:hAnsi="Calibri"/>
          <w:sz w:val="18"/>
          <w:szCs w:val="18"/>
        </w:rPr>
        <w:t>Analiza zwrotu kosztów za usługi wodne wraz z prognozą rozwoju oraz analiza zwrotu kosztów środowiskowych i</w:t>
      </w:r>
      <w:r w:rsidR="00C4673D">
        <w:rPr>
          <w:rFonts w:ascii="Calibri" w:hAnsi="Calibri"/>
          <w:sz w:val="18"/>
          <w:szCs w:val="18"/>
        </w:rPr>
        <w:t> </w:t>
      </w:r>
      <w:r w:rsidRPr="00B86529">
        <w:rPr>
          <w:rFonts w:ascii="Calibri" w:hAnsi="Calibri"/>
          <w:sz w:val="18"/>
          <w:szCs w:val="18"/>
        </w:rPr>
        <w:t>zasobowych w regionach wodnych i na obszarach dorzeczy (konkluzje), Gliwice 2019, s. 45</w:t>
      </w:r>
      <w:bookmarkEnd w:id="333"/>
    </w:p>
  </w:footnote>
  <w:footnote w:id="36">
    <w:p w14:paraId="003FDB2B" w14:textId="77777777" w:rsidR="00CE57D6" w:rsidRPr="008D1A53" w:rsidRDefault="00CE57D6" w:rsidP="00BE0188">
      <w:pPr>
        <w:pStyle w:val="Tekstprzypisudolnego"/>
        <w:rPr>
          <w:rFonts w:cs="Calibri"/>
          <w:sz w:val="18"/>
          <w:szCs w:val="18"/>
        </w:rPr>
      </w:pPr>
      <w:r w:rsidRPr="008D1A53">
        <w:rPr>
          <w:rStyle w:val="Odwoanieprzypisudolnego"/>
          <w:rFonts w:cs="Calibri"/>
          <w:sz w:val="18"/>
          <w:szCs w:val="18"/>
        </w:rPr>
        <w:footnoteRef/>
      </w:r>
      <w:r w:rsidRPr="008D1A53">
        <w:rPr>
          <w:rFonts w:cs="Calibri"/>
          <w:sz w:val="18"/>
          <w:szCs w:val="18"/>
        </w:rPr>
        <w:t xml:space="preserve"> Prognoza wskaźnika WTP jest przeprowadzana przy założeniu, że wzrost dochodu rozporządzalnego o 1 zł powoduje wzrost wartości wskaźnika WTP o 5 gr.</w:t>
      </w:r>
    </w:p>
  </w:footnote>
  <w:footnote w:id="37">
    <w:p w14:paraId="3CCB4921" w14:textId="77777777" w:rsidR="00CE57D6" w:rsidRPr="00B20B2D" w:rsidRDefault="00CE57D6" w:rsidP="0053280F">
      <w:pPr>
        <w:pStyle w:val="Tekstprzypisudolnego"/>
        <w:rPr>
          <w:lang w:val="en-GB"/>
        </w:rPr>
      </w:pPr>
      <w:r>
        <w:rPr>
          <w:rStyle w:val="Odwoanieprzypisudolnego"/>
        </w:rPr>
        <w:footnoteRef/>
      </w:r>
      <w:r w:rsidRPr="00B20B2D">
        <w:rPr>
          <w:lang w:val="en-GB"/>
        </w:rPr>
        <w:t xml:space="preserve"> </w:t>
      </w:r>
      <w:r w:rsidRPr="002707CF">
        <w:rPr>
          <w:rFonts w:cs="Calibri"/>
          <w:i/>
          <w:iCs/>
          <w:color w:val="000000" w:themeColor="text1"/>
          <w:lang w:val="en-GB"/>
        </w:rPr>
        <w:t xml:space="preserve">Guidance Document No. 20. </w:t>
      </w:r>
      <w:r w:rsidRPr="00B20B2D">
        <w:rPr>
          <w:rFonts w:cs="Calibri"/>
          <w:i/>
          <w:iCs/>
          <w:color w:val="000000" w:themeColor="text1"/>
          <w:lang w:val="en-GB"/>
        </w:rPr>
        <w:t>Guidance Document on Exemptions to the Environmental Objectives</w:t>
      </w:r>
      <w:r w:rsidRPr="00B20B2D">
        <w:rPr>
          <w:rFonts w:cs="Calibri"/>
          <w:color w:val="000000" w:themeColor="text1"/>
          <w:lang w:val="en-GB"/>
        </w:rPr>
        <w:t>, Common Implementation Strategy for the Water Framework Directive (2000/60/EC), 2009.</w:t>
      </w:r>
    </w:p>
  </w:footnote>
  <w:footnote w:id="38">
    <w:p w14:paraId="0D8BD75A" w14:textId="77777777" w:rsidR="00CE57D6" w:rsidRPr="00D661CC" w:rsidRDefault="00CE57D6" w:rsidP="00B573C3">
      <w:pPr>
        <w:pStyle w:val="Przypis"/>
      </w:pPr>
      <w:r w:rsidRPr="00231B4D">
        <w:rPr>
          <w:rStyle w:val="Odwoanieprzypisudolnego"/>
        </w:rPr>
        <w:footnoteRef/>
      </w:r>
      <w:r w:rsidRPr="00231B4D">
        <w:t xml:space="preserve"> Gdzie poziom regionalny odnosi się do poziomu województw, a poziom lokalny do dokumenty tworzone na poziomie gmin lub odnoszące się do obszarów chronionyc</w:t>
      </w:r>
      <w:r w:rsidRPr="00D661CC">
        <w:t>h.</w:t>
      </w:r>
      <w:r w:rsidRPr="00231B4D">
        <w:t xml:space="preserve"> </w:t>
      </w:r>
    </w:p>
  </w:footnote>
  <w:footnote w:id="39">
    <w:p w14:paraId="48D14CD2" w14:textId="37AC4749" w:rsidR="00CE57D6" w:rsidRDefault="00CE57D6" w:rsidP="00B573C3">
      <w:pPr>
        <w:pStyle w:val="Przypis"/>
      </w:pPr>
      <w:r w:rsidRPr="00D661CC">
        <w:rPr>
          <w:rStyle w:val="Odwoanieprzypisudolnego"/>
        </w:rPr>
        <w:footnoteRef/>
      </w:r>
      <w:r w:rsidRPr="00D661CC">
        <w:t xml:space="preserve"> </w:t>
      </w:r>
      <w:r w:rsidRPr="00231B4D">
        <w:t>Zmiany wynikające z uchwalenia ustawy z dnia 15 lipca 2020 r. o zmianie ustawy o zasadach prowadzenia polityki rozwoju oraz niektórych innych ustaw (Dz.U. z 2020 poz. 1378) realizują postanowienia „Strategii na rzecz Odpowiedzialnego Rozwoju do roku 2020 (z perspektywą do 2030 r.)” w zakresie konsolidacji systemu zarządzania rozwojem Polski i etapowego wprowadzania systemu zintegrowanych strategii - krajowej, wojewódzkiej i lokalnej.</w:t>
      </w:r>
    </w:p>
  </w:footnote>
  <w:footnote w:id="40">
    <w:p w14:paraId="72892803" w14:textId="77777777" w:rsidR="00CE57D6" w:rsidRDefault="00CE57D6" w:rsidP="00B573C3">
      <w:pPr>
        <w:pStyle w:val="Przypis"/>
      </w:pPr>
      <w:r w:rsidRPr="00083D3E">
        <w:rPr>
          <w:rStyle w:val="Odwoanieprzypisudolnego"/>
        </w:rPr>
        <w:footnoteRef/>
      </w:r>
      <w:r w:rsidRPr="00083D3E">
        <w:t xml:space="preserve"> W rozumieniu odczuwalnych skutków zdrowotnych zanieczyszczenia środowiska, czynników stresogennych związanych ze</w:t>
      </w:r>
      <w:r>
        <w:t> </w:t>
      </w:r>
      <w:r w:rsidRPr="00083D3E">
        <w:t>środowiskiem.</w:t>
      </w:r>
    </w:p>
  </w:footnote>
  <w:footnote w:id="41">
    <w:p w14:paraId="12D0F7EC" w14:textId="77777777" w:rsidR="00CE57D6" w:rsidRDefault="00CE57D6" w:rsidP="00B573C3">
      <w:pPr>
        <w:pStyle w:val="Przypis"/>
      </w:pPr>
      <w:r w:rsidRPr="00083D3E">
        <w:rPr>
          <w:rStyle w:val="Odwoanieprzypisudolnego"/>
        </w:rPr>
        <w:footnoteRef/>
      </w:r>
      <w:r w:rsidRPr="00083D3E">
        <w:t xml:space="preserve"> Wspólna polityka rolna </w:t>
      </w:r>
      <w:r>
        <w:t>-</w:t>
      </w:r>
      <w:r w:rsidRPr="00083D3E">
        <w:t xml:space="preserve"> wszystkie przedsięwzięcia dotyczące sektora rolnego, podejmowane przez Unię Europejską w celu wypełnienia postanowień zapisanych w Traktacie o funkcjonowaniu Unii Europejskiej (TFUE) - cele WPR określone w art. 39. Obejmuje: rolnictwo, leśnictwo, uprawę winorośli oraz ogrodnictwo. Jej podstawowymi filarami są dopłaty bezpośrednie oraz rozwój obszarów wiejskich wspierany ze środków Europejskiego Funduszu Rolnego na rzecz Rozwoju Obszarów Wiejskich (EFRROW)</w:t>
      </w:r>
      <w:r>
        <w:t>.</w:t>
      </w:r>
    </w:p>
  </w:footnote>
  <w:footnote w:id="42">
    <w:p w14:paraId="2A5B05AD" w14:textId="77777777" w:rsidR="00CE57D6" w:rsidRPr="00B573C3" w:rsidRDefault="00CE57D6" w:rsidP="00B573C3">
      <w:pPr>
        <w:pStyle w:val="Przypis"/>
      </w:pPr>
      <w:r w:rsidRPr="0080385C">
        <w:rPr>
          <w:rStyle w:val="Odwoanieprzypisudolnego"/>
        </w:rPr>
        <w:footnoteRef/>
      </w:r>
      <w:r w:rsidRPr="0080385C">
        <w:t xml:space="preserve"> Zawartość prognozy oddziaływania na środowisko oraz niezbędny zakres analiz i ocen, jaki powinna ona obejmować, określa art. 51 ust. 2 i 3 ustawy ooś wraz z instrukcjami wskazanymi w art. 52 ust. 1 i 2</w:t>
      </w:r>
      <w:r>
        <w:t>;</w:t>
      </w:r>
      <w:r w:rsidRPr="0080385C">
        <w:t xml:space="preserve"> uszczegółowiony przez Generalnego Dyrektora Ochrony Środowiska, Głównego Inspektora Sanitarnego oraz Dyrektorów Urzędów Morskich.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A544F" w14:textId="4CC2FAFB" w:rsidR="00CE57D6" w:rsidRDefault="00CE57D6" w:rsidP="00165B31">
    <w:pPr>
      <w:pStyle w:val="Nagwek"/>
      <w:jc w:val="center"/>
      <w:rPr>
        <w:rFonts w:cs="Calibri"/>
        <w:i/>
        <w:sz w:val="16"/>
        <w:szCs w:val="16"/>
      </w:rPr>
    </w:pPr>
    <w:r>
      <w:rPr>
        <w:noProof/>
      </w:rPr>
      <w:drawing>
        <wp:inline distT="0" distB="0" distL="0" distR="0" wp14:anchorId="2667E1A1" wp14:editId="7F3AC683">
          <wp:extent cx="5759998" cy="589485"/>
          <wp:effectExtent l="0" t="0" r="0" b="1270"/>
          <wp:docPr id="1866059334"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00C8FC71" w14:textId="11084323" w:rsidR="00CE57D6" w:rsidRDefault="00CE57D6" w:rsidP="00A279FD">
    <w:pPr>
      <w:pStyle w:val="Nagwek"/>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stanowiącymi podstawę do ich opracowania”, Nr Projektu: POIS.02.01.00-00-0016/16</w:t>
    </w:r>
  </w:p>
  <w:p w14:paraId="274C08B0" w14:textId="77777777" w:rsidR="00CE57D6" w:rsidRPr="000F0F69" w:rsidRDefault="00CE57D6" w:rsidP="00165B31">
    <w:pPr>
      <w:pStyle w:val="Nagwek"/>
      <w:spacing w:before="40" w:after="40"/>
      <w:jc w:val="center"/>
      <w:rPr>
        <w:rFonts w:cs="Calibri"/>
        <w:i/>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A6530" w14:textId="2924BB1D" w:rsidR="00CE57D6" w:rsidRDefault="00CE57D6">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6163C" w14:textId="23D5F885" w:rsidR="00CE57D6" w:rsidRDefault="00CE57D6">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78E42" w14:textId="6EF40E50" w:rsidR="00CE57D6" w:rsidRDefault="00CE57D6">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44CF67" w14:textId="4B535CCE" w:rsidR="00CE57D6" w:rsidRDefault="00CE57D6" w:rsidP="00BB001E">
    <w:pPr>
      <w:pStyle w:val="Nagwek"/>
      <w:jc w:val="center"/>
      <w:rPr>
        <w:rFonts w:cs="Calibri"/>
        <w:i/>
        <w:sz w:val="16"/>
        <w:szCs w:val="16"/>
      </w:rPr>
    </w:pPr>
    <w:r>
      <w:rPr>
        <w:noProof/>
      </w:rPr>
      <w:drawing>
        <wp:inline distT="0" distB="0" distL="0" distR="0" wp14:anchorId="22A0349B" wp14:editId="1C29BCDB">
          <wp:extent cx="5759998" cy="589485"/>
          <wp:effectExtent l="0" t="0" r="0" b="1270"/>
          <wp:docPr id="1866059336"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66D55EBC" w14:textId="11994847" w:rsidR="00CE57D6" w:rsidRDefault="00CE57D6" w:rsidP="00BB001E">
    <w:pPr>
      <w:pStyle w:val="Nagwek"/>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stanowiącymi podstawę do ich opracowania”, Nr Projektu: POIS.02.01.00-00-0016/16</w:t>
    </w:r>
  </w:p>
  <w:p w14:paraId="19C45E96" w14:textId="77777777" w:rsidR="00CE57D6" w:rsidRDefault="00CE57D6">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9E5CAA" w14:textId="3A391FE2" w:rsidR="00CE57D6" w:rsidRDefault="00CE57D6">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A36B5" w14:textId="6F2359CE" w:rsidR="00CE57D6" w:rsidRDefault="00CE57D6">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46A6EF" w14:textId="6DA845E0" w:rsidR="00CE57D6" w:rsidRDefault="00CE57D6">
    <w:pPr>
      <w:pStyle w:val="Nagwek"/>
    </w:pPr>
    <w:r>
      <w:rPr>
        <w:noProof/>
      </w:rPr>
      <w:pict w14:anchorId="07B798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left:0;text-align:left;margin-left:0;margin-top:0;width:553.3pt;height:82.95pt;rotation:315;z-index:-251658239;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756E7" w14:textId="3C88F83E" w:rsidR="00CE57D6" w:rsidRDefault="00CE57D6">
    <w:pPr>
      <w:pStyle w:val="Nagwek"/>
    </w:pPr>
    <w:r>
      <w:rPr>
        <w:noProof/>
      </w:rPr>
      <w:pict w14:anchorId="2DCC78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553.3pt;height:82.95pt;rotation:315;z-index:-251658240;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90C25" w14:textId="32CE2315" w:rsidR="00CE57D6" w:rsidRDefault="00CE57D6">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D4A2B" w14:textId="6B8D9D08" w:rsidR="00CE57D6" w:rsidRDefault="00CE57D6">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5288D" w14:textId="012B2340" w:rsidR="00CE57D6" w:rsidRDefault="00CE57D6">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hybridMultilevel"/>
    <w:tmpl w:val="EB18A2FA"/>
    <w:lvl w:ilvl="0" w:tplc="9028EB9C">
      <w:start w:val="1"/>
      <w:numFmt w:val="decimal"/>
      <w:pStyle w:val="Listanumerowana"/>
      <w:lvlText w:val="%1."/>
      <w:lvlJc w:val="left"/>
      <w:pPr>
        <w:tabs>
          <w:tab w:val="num" w:pos="360"/>
        </w:tabs>
        <w:ind w:left="360" w:hanging="360"/>
      </w:pPr>
      <w:rPr>
        <w:rFonts w:cs="Times New Roman"/>
      </w:rPr>
    </w:lvl>
    <w:lvl w:ilvl="1" w:tplc="73726454">
      <w:numFmt w:val="decimal"/>
      <w:lvlText w:val=""/>
      <w:lvlJc w:val="left"/>
    </w:lvl>
    <w:lvl w:ilvl="2" w:tplc="79C29C4A">
      <w:numFmt w:val="decimal"/>
      <w:lvlText w:val=""/>
      <w:lvlJc w:val="left"/>
    </w:lvl>
    <w:lvl w:ilvl="3" w:tplc="329293B2">
      <w:numFmt w:val="decimal"/>
      <w:lvlText w:val=""/>
      <w:lvlJc w:val="left"/>
    </w:lvl>
    <w:lvl w:ilvl="4" w:tplc="9BCA1176">
      <w:numFmt w:val="decimal"/>
      <w:lvlText w:val=""/>
      <w:lvlJc w:val="left"/>
    </w:lvl>
    <w:lvl w:ilvl="5" w:tplc="1EBC5488">
      <w:numFmt w:val="decimal"/>
      <w:lvlText w:val=""/>
      <w:lvlJc w:val="left"/>
    </w:lvl>
    <w:lvl w:ilvl="6" w:tplc="76AE8E32">
      <w:numFmt w:val="decimal"/>
      <w:lvlText w:val=""/>
      <w:lvlJc w:val="left"/>
    </w:lvl>
    <w:lvl w:ilvl="7" w:tplc="8842AF06">
      <w:numFmt w:val="decimal"/>
      <w:lvlText w:val=""/>
      <w:lvlJc w:val="left"/>
    </w:lvl>
    <w:lvl w:ilvl="8" w:tplc="1ED2A3EE">
      <w:numFmt w:val="decimal"/>
      <w:lvlText w:val=""/>
      <w:lvlJc w:val="left"/>
    </w:lvl>
  </w:abstractNum>
  <w:abstractNum w:abstractNumId="1" w15:restartNumberingAfterBreak="0">
    <w:nsid w:val="FFFFFF89"/>
    <w:multiLevelType w:val="hybridMultilevel"/>
    <w:tmpl w:val="6956A1B6"/>
    <w:lvl w:ilvl="0" w:tplc="928A552A">
      <w:start w:val="1"/>
      <w:numFmt w:val="bullet"/>
      <w:pStyle w:val="Listapunktowana"/>
      <w:lvlText w:val=""/>
      <w:lvlJc w:val="left"/>
      <w:pPr>
        <w:tabs>
          <w:tab w:val="num" w:pos="360"/>
        </w:tabs>
        <w:ind w:left="360" w:hanging="360"/>
      </w:pPr>
      <w:rPr>
        <w:rFonts w:ascii="Symbol" w:hAnsi="Symbol" w:hint="default"/>
        <w:color w:val="003399"/>
      </w:rPr>
    </w:lvl>
    <w:lvl w:ilvl="1" w:tplc="8B06E4E8">
      <w:numFmt w:val="decimal"/>
      <w:lvlText w:val=""/>
      <w:lvlJc w:val="left"/>
    </w:lvl>
    <w:lvl w:ilvl="2" w:tplc="1D165C9A">
      <w:numFmt w:val="decimal"/>
      <w:lvlText w:val=""/>
      <w:lvlJc w:val="left"/>
    </w:lvl>
    <w:lvl w:ilvl="3" w:tplc="EDE4F0A2">
      <w:numFmt w:val="decimal"/>
      <w:lvlText w:val=""/>
      <w:lvlJc w:val="left"/>
    </w:lvl>
    <w:lvl w:ilvl="4" w:tplc="2BC44688">
      <w:numFmt w:val="decimal"/>
      <w:lvlText w:val=""/>
      <w:lvlJc w:val="left"/>
    </w:lvl>
    <w:lvl w:ilvl="5" w:tplc="33500D6E">
      <w:numFmt w:val="decimal"/>
      <w:lvlText w:val=""/>
      <w:lvlJc w:val="left"/>
    </w:lvl>
    <w:lvl w:ilvl="6" w:tplc="730E51A2">
      <w:numFmt w:val="decimal"/>
      <w:lvlText w:val=""/>
      <w:lvlJc w:val="left"/>
    </w:lvl>
    <w:lvl w:ilvl="7" w:tplc="4692DFBC">
      <w:numFmt w:val="decimal"/>
      <w:lvlText w:val=""/>
      <w:lvlJc w:val="left"/>
    </w:lvl>
    <w:lvl w:ilvl="8" w:tplc="C73CE058">
      <w:numFmt w:val="decimal"/>
      <w:lvlText w:val=""/>
      <w:lvlJc w:val="left"/>
    </w:lvl>
  </w:abstractNum>
  <w:abstractNum w:abstractNumId="2" w15:restartNumberingAfterBreak="0">
    <w:nsid w:val="00741091"/>
    <w:multiLevelType w:val="hybridMultilevel"/>
    <w:tmpl w:val="6CF20046"/>
    <w:lvl w:ilvl="0" w:tplc="BCE0522A">
      <w:start w:val="1"/>
      <w:numFmt w:val="bullet"/>
      <w:pStyle w:val="kropkowanierozdz"/>
      <w:lvlText w:val=""/>
      <w:lvlJc w:val="left"/>
      <w:pPr>
        <w:ind w:left="720" w:hanging="360"/>
      </w:pPr>
      <w:rPr>
        <w:rFonts w:ascii="Wingdings" w:hAnsi="Wingdings" w:hint="default"/>
        <w:sz w:val="24"/>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6D56F0"/>
    <w:multiLevelType w:val="hybridMultilevel"/>
    <w:tmpl w:val="13BA32DC"/>
    <w:lvl w:ilvl="0" w:tplc="723C08E4">
      <w:start w:val="1"/>
      <w:numFmt w:val="lowerLetter"/>
      <w:pStyle w:val="Italicnumerowany"/>
      <w:lvlText w:val="%1."/>
      <w:lvlJc w:val="lef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314398D"/>
    <w:multiLevelType w:val="hybridMultilevel"/>
    <w:tmpl w:val="169A6B9C"/>
    <w:lvl w:ilvl="0" w:tplc="C0C000E4">
      <w:start w:val="1"/>
      <w:numFmt w:val="decimal"/>
      <w:lvlText w:val="%1."/>
      <w:lvlJc w:val="left"/>
      <w:pPr>
        <w:ind w:left="360" w:hanging="360"/>
      </w:pPr>
    </w:lvl>
    <w:lvl w:ilvl="1" w:tplc="04150001">
      <w:start w:val="1"/>
      <w:numFmt w:val="bullet"/>
      <w:lvlText w:val=""/>
      <w:lvlJc w:val="left"/>
      <w:pPr>
        <w:ind w:left="1080" w:hanging="360"/>
      </w:pPr>
      <w:rPr>
        <w:rFonts w:ascii="Symbol" w:hAnsi="Symbo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34E049B"/>
    <w:multiLevelType w:val="hybridMultilevel"/>
    <w:tmpl w:val="C638D408"/>
    <w:styleLink w:val="Styl1"/>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3C544E0"/>
    <w:multiLevelType w:val="hybridMultilevel"/>
    <w:tmpl w:val="28FC943A"/>
    <w:lvl w:ilvl="0" w:tplc="13F89578">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7" w15:restartNumberingAfterBreak="0">
    <w:nsid w:val="048E5A13"/>
    <w:multiLevelType w:val="hybridMultilevel"/>
    <w:tmpl w:val="D480D98E"/>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5083E55"/>
    <w:multiLevelType w:val="hybridMultilevel"/>
    <w:tmpl w:val="FC0E35B0"/>
    <w:lvl w:ilvl="0" w:tplc="E4BCBA5C">
      <w:start w:val="1"/>
      <w:numFmt w:val="decimal"/>
      <w:pStyle w:val="podsumowanie"/>
      <w:lvlText w:val="7. %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15:restartNumberingAfterBreak="0">
    <w:nsid w:val="05640650"/>
    <w:multiLevelType w:val="multilevel"/>
    <w:tmpl w:val="45729A72"/>
    <w:lvl w:ilvl="0">
      <w:start w:val="1"/>
      <w:numFmt w:val="decimal"/>
      <w:pStyle w:val="Listanumerowana2"/>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50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06150B5C"/>
    <w:multiLevelType w:val="multilevel"/>
    <w:tmpl w:val="E346918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07823194"/>
    <w:multiLevelType w:val="hybridMultilevel"/>
    <w:tmpl w:val="59D49C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7C012F5"/>
    <w:multiLevelType w:val="hybridMultilevel"/>
    <w:tmpl w:val="BF662A64"/>
    <w:lvl w:ilvl="0" w:tplc="8E166D16">
      <w:start w:val="1"/>
      <w:numFmt w:val="bullet"/>
      <w:pStyle w:val="Wypunktowanie"/>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8A5721"/>
    <w:multiLevelType w:val="hybridMultilevel"/>
    <w:tmpl w:val="91FAC202"/>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B7C4CFA"/>
    <w:multiLevelType w:val="hybridMultilevel"/>
    <w:tmpl w:val="38B6205A"/>
    <w:lvl w:ilvl="0" w:tplc="FD206084">
      <w:start w:val="1"/>
      <w:numFmt w:val="upperLetter"/>
      <w:lvlText w:val="%1."/>
      <w:lvlJc w:val="left"/>
      <w:pPr>
        <w:ind w:left="720" w:hanging="360"/>
      </w:pPr>
      <w:rPr>
        <w:rFonts w:ascii="Calibri" w:hAnsi="Calibri" w:cs="Times New Roman" w:hint="default"/>
        <w:b/>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 w15:restartNumberingAfterBreak="0">
    <w:nsid w:val="0C8A40E5"/>
    <w:multiLevelType w:val="hybridMultilevel"/>
    <w:tmpl w:val="1528044A"/>
    <w:lvl w:ilvl="0" w:tplc="66042E64">
      <w:start w:val="1"/>
      <w:numFmt w:val="decimal"/>
      <w:pStyle w:val="3nagwek"/>
      <w:lvlText w:val="%1.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pStyle w:val="3nagwek"/>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15:restartNumberingAfterBreak="0">
    <w:nsid w:val="0D8E376A"/>
    <w:multiLevelType w:val="hybridMultilevel"/>
    <w:tmpl w:val="5CC0B0AC"/>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7" w15:restartNumberingAfterBreak="0">
    <w:nsid w:val="0F584428"/>
    <w:multiLevelType w:val="multilevel"/>
    <w:tmpl w:val="03621AC6"/>
    <w:lvl w:ilvl="0">
      <w:start w:val="1"/>
      <w:numFmt w:val="decimal"/>
      <w:pStyle w:val="1nagwek"/>
      <w:lvlText w:val="%1."/>
      <w:lvlJc w:val="left"/>
      <w:pPr>
        <w:ind w:left="720" w:hanging="360"/>
      </w:pPr>
      <w:rPr>
        <w:rFonts w:cs="Times New Roman"/>
      </w:rPr>
    </w:lvl>
    <w:lvl w:ilvl="1">
      <w:start w:val="5"/>
      <w:numFmt w:val="decimal"/>
      <w:isLgl/>
      <w:lvlText w:val="%1.%2."/>
      <w:lvlJc w:val="left"/>
      <w:pPr>
        <w:ind w:left="1080" w:hanging="720"/>
      </w:pPr>
      <w:rPr>
        <w:rFonts w:cs="Times New Roman" w:hint="default"/>
        <w:sz w:val="28"/>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440" w:hanging="108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800" w:hanging="144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2160" w:hanging="180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8" w15:restartNumberingAfterBreak="0">
    <w:nsid w:val="0FB84108"/>
    <w:multiLevelType w:val="hybridMultilevel"/>
    <w:tmpl w:val="02303CA6"/>
    <w:lvl w:ilvl="0" w:tplc="3006C766">
      <w:start w:val="1"/>
      <w:numFmt w:val="decimal"/>
      <w:pStyle w:val="punktowanie2"/>
      <w:lvlText w:val="%1."/>
      <w:lvlJc w:val="left"/>
      <w:pPr>
        <w:ind w:left="1004" w:hanging="360"/>
      </w:pPr>
      <w:rPr>
        <w:rFonts w:cs="Times New Roman"/>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9" w15:restartNumberingAfterBreak="0">
    <w:nsid w:val="11D37491"/>
    <w:multiLevelType w:val="hybridMultilevel"/>
    <w:tmpl w:val="8B4ED260"/>
    <w:lvl w:ilvl="0" w:tplc="D6E011B4">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0" w15:restartNumberingAfterBreak="0">
    <w:nsid w:val="11DE2228"/>
    <w:multiLevelType w:val="hybridMultilevel"/>
    <w:tmpl w:val="BBC89C6A"/>
    <w:lvl w:ilvl="0" w:tplc="CE341666">
      <w:start w:val="1"/>
      <w:numFmt w:val="decimal"/>
      <w:pStyle w:val="WNIOSKIdpal"/>
      <w:lvlText w:val="%1."/>
      <w:lvlJc w:val="left"/>
      <w:pPr>
        <w:ind w:left="360" w:hanging="360"/>
      </w:p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1" w15:restartNumberingAfterBreak="0">
    <w:nsid w:val="132C302F"/>
    <w:multiLevelType w:val="hybridMultilevel"/>
    <w:tmpl w:val="CABAE90A"/>
    <w:lvl w:ilvl="0" w:tplc="C0C000E4">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15:restartNumberingAfterBreak="0">
    <w:nsid w:val="173E4861"/>
    <w:multiLevelType w:val="hybridMultilevel"/>
    <w:tmpl w:val="E8FEDC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7F65E31"/>
    <w:multiLevelType w:val="hybridMultilevel"/>
    <w:tmpl w:val="A5A05774"/>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4" w15:restartNumberingAfterBreak="0">
    <w:nsid w:val="1A4F6CFE"/>
    <w:multiLevelType w:val="hybridMultilevel"/>
    <w:tmpl w:val="248ED426"/>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D6D17DD"/>
    <w:multiLevelType w:val="hybridMultilevel"/>
    <w:tmpl w:val="3FE82B5A"/>
    <w:name w:val="Numbered list 1"/>
    <w:lvl w:ilvl="0" w:tplc="94D405D2">
      <w:numFmt w:val="bullet"/>
      <w:lvlText w:val=""/>
      <w:lvlJc w:val="left"/>
      <w:pPr>
        <w:ind w:left="360" w:firstLine="0"/>
      </w:pPr>
      <w:rPr>
        <w:rFonts w:ascii="Symbol" w:hAnsi="Symbol"/>
        <w:color w:val="003597"/>
      </w:rPr>
    </w:lvl>
    <w:lvl w:ilvl="1" w:tplc="C12C2E3E">
      <w:numFmt w:val="bullet"/>
      <w:lvlText w:val="o"/>
      <w:lvlJc w:val="left"/>
      <w:pPr>
        <w:ind w:left="1080" w:firstLine="0"/>
      </w:pPr>
      <w:rPr>
        <w:rFonts w:ascii="Courier New" w:hAnsi="Courier New" w:cs="Courier New"/>
      </w:rPr>
    </w:lvl>
    <w:lvl w:ilvl="2" w:tplc="77906BEA">
      <w:numFmt w:val="bullet"/>
      <w:lvlText w:val=""/>
      <w:lvlJc w:val="left"/>
      <w:pPr>
        <w:ind w:left="1800" w:firstLine="0"/>
      </w:pPr>
      <w:rPr>
        <w:rFonts w:ascii="Wingdings" w:eastAsia="Wingdings" w:hAnsi="Wingdings" w:cs="Wingdings"/>
      </w:rPr>
    </w:lvl>
    <w:lvl w:ilvl="3" w:tplc="6616C8DE">
      <w:numFmt w:val="bullet"/>
      <w:lvlText w:val=""/>
      <w:lvlJc w:val="left"/>
      <w:pPr>
        <w:ind w:left="2520" w:firstLine="0"/>
      </w:pPr>
      <w:rPr>
        <w:rFonts w:ascii="Symbol" w:hAnsi="Symbol"/>
      </w:rPr>
    </w:lvl>
    <w:lvl w:ilvl="4" w:tplc="6890C128">
      <w:numFmt w:val="bullet"/>
      <w:lvlText w:val="o"/>
      <w:lvlJc w:val="left"/>
      <w:pPr>
        <w:ind w:left="3240" w:firstLine="0"/>
      </w:pPr>
      <w:rPr>
        <w:rFonts w:ascii="Courier New" w:hAnsi="Courier New" w:cs="Courier New"/>
      </w:rPr>
    </w:lvl>
    <w:lvl w:ilvl="5" w:tplc="C9DA51F6">
      <w:numFmt w:val="bullet"/>
      <w:lvlText w:val=""/>
      <w:lvlJc w:val="left"/>
      <w:pPr>
        <w:ind w:left="3960" w:firstLine="0"/>
      </w:pPr>
      <w:rPr>
        <w:rFonts w:ascii="Wingdings" w:eastAsia="Wingdings" w:hAnsi="Wingdings" w:cs="Wingdings"/>
      </w:rPr>
    </w:lvl>
    <w:lvl w:ilvl="6" w:tplc="BFC0B4FC">
      <w:numFmt w:val="bullet"/>
      <w:lvlText w:val=""/>
      <w:lvlJc w:val="left"/>
      <w:pPr>
        <w:ind w:left="4680" w:firstLine="0"/>
      </w:pPr>
      <w:rPr>
        <w:rFonts w:ascii="Symbol" w:hAnsi="Symbol"/>
      </w:rPr>
    </w:lvl>
    <w:lvl w:ilvl="7" w:tplc="B30A1A38">
      <w:numFmt w:val="bullet"/>
      <w:lvlText w:val="o"/>
      <w:lvlJc w:val="left"/>
      <w:pPr>
        <w:ind w:left="5400" w:firstLine="0"/>
      </w:pPr>
      <w:rPr>
        <w:rFonts w:ascii="Courier New" w:hAnsi="Courier New" w:cs="Courier New"/>
      </w:rPr>
    </w:lvl>
    <w:lvl w:ilvl="8" w:tplc="16808916">
      <w:numFmt w:val="bullet"/>
      <w:lvlText w:val=""/>
      <w:lvlJc w:val="left"/>
      <w:pPr>
        <w:ind w:left="6120" w:firstLine="0"/>
      </w:pPr>
      <w:rPr>
        <w:rFonts w:ascii="Wingdings" w:eastAsia="Wingdings" w:hAnsi="Wingdings" w:cs="Wingdings"/>
      </w:rPr>
    </w:lvl>
  </w:abstractNum>
  <w:abstractNum w:abstractNumId="26" w15:restartNumberingAfterBreak="0">
    <w:nsid w:val="1DD77C37"/>
    <w:multiLevelType w:val="hybridMultilevel"/>
    <w:tmpl w:val="179E5B3E"/>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E9A3D2E"/>
    <w:multiLevelType w:val="hybridMultilevel"/>
    <w:tmpl w:val="6A62AD1A"/>
    <w:lvl w:ilvl="0" w:tplc="71C65AC4">
      <w:start w:val="1"/>
      <w:numFmt w:val="bullet"/>
      <w:lvlText w:val="•"/>
      <w:lvlJc w:val="left"/>
      <w:pPr>
        <w:tabs>
          <w:tab w:val="num" w:pos="720"/>
        </w:tabs>
        <w:ind w:left="720" w:hanging="360"/>
      </w:pPr>
      <w:rPr>
        <w:rFonts w:asciiTheme="minorHAnsi" w:hAnsiTheme="minorHAnsi" w:cstheme="minorHAnsi" w:hint="default"/>
        <w:color w:val="auto"/>
      </w:rPr>
    </w:lvl>
    <w:lvl w:ilvl="1" w:tplc="077A0DE4">
      <w:start w:val="1"/>
      <w:numFmt w:val="bullet"/>
      <w:lvlText w:val=""/>
      <w:lvlJc w:val="left"/>
      <w:pPr>
        <w:tabs>
          <w:tab w:val="num" w:pos="1440"/>
        </w:tabs>
        <w:ind w:left="1440" w:hanging="360"/>
      </w:pPr>
      <w:rPr>
        <w:rFonts w:ascii="Symbol" w:hAnsi="Symbol" w:hint="default"/>
      </w:rPr>
    </w:lvl>
    <w:lvl w:ilvl="2" w:tplc="A484ED4C" w:tentative="1">
      <w:start w:val="1"/>
      <w:numFmt w:val="bullet"/>
      <w:lvlText w:val="•"/>
      <w:lvlJc w:val="left"/>
      <w:pPr>
        <w:tabs>
          <w:tab w:val="num" w:pos="2160"/>
        </w:tabs>
        <w:ind w:left="2160" w:hanging="360"/>
      </w:pPr>
      <w:rPr>
        <w:rFonts w:ascii="Arial" w:hAnsi="Arial" w:hint="default"/>
      </w:rPr>
    </w:lvl>
    <w:lvl w:ilvl="3" w:tplc="347835E2" w:tentative="1">
      <w:start w:val="1"/>
      <w:numFmt w:val="bullet"/>
      <w:lvlText w:val="•"/>
      <w:lvlJc w:val="left"/>
      <w:pPr>
        <w:tabs>
          <w:tab w:val="num" w:pos="2880"/>
        </w:tabs>
        <w:ind w:left="2880" w:hanging="360"/>
      </w:pPr>
      <w:rPr>
        <w:rFonts w:ascii="Arial" w:hAnsi="Arial" w:hint="default"/>
      </w:rPr>
    </w:lvl>
    <w:lvl w:ilvl="4" w:tplc="81EA5E20" w:tentative="1">
      <w:start w:val="1"/>
      <w:numFmt w:val="bullet"/>
      <w:lvlText w:val="•"/>
      <w:lvlJc w:val="left"/>
      <w:pPr>
        <w:tabs>
          <w:tab w:val="num" w:pos="3600"/>
        </w:tabs>
        <w:ind w:left="3600" w:hanging="360"/>
      </w:pPr>
      <w:rPr>
        <w:rFonts w:ascii="Arial" w:hAnsi="Arial" w:hint="default"/>
      </w:rPr>
    </w:lvl>
    <w:lvl w:ilvl="5" w:tplc="8C564A5E" w:tentative="1">
      <w:start w:val="1"/>
      <w:numFmt w:val="bullet"/>
      <w:lvlText w:val="•"/>
      <w:lvlJc w:val="left"/>
      <w:pPr>
        <w:tabs>
          <w:tab w:val="num" w:pos="4320"/>
        </w:tabs>
        <w:ind w:left="4320" w:hanging="360"/>
      </w:pPr>
      <w:rPr>
        <w:rFonts w:ascii="Arial" w:hAnsi="Arial" w:hint="default"/>
      </w:rPr>
    </w:lvl>
    <w:lvl w:ilvl="6" w:tplc="77B4A074" w:tentative="1">
      <w:start w:val="1"/>
      <w:numFmt w:val="bullet"/>
      <w:lvlText w:val="•"/>
      <w:lvlJc w:val="left"/>
      <w:pPr>
        <w:tabs>
          <w:tab w:val="num" w:pos="5040"/>
        </w:tabs>
        <w:ind w:left="5040" w:hanging="360"/>
      </w:pPr>
      <w:rPr>
        <w:rFonts w:ascii="Arial" w:hAnsi="Arial" w:hint="default"/>
      </w:rPr>
    </w:lvl>
    <w:lvl w:ilvl="7" w:tplc="02586C7E" w:tentative="1">
      <w:start w:val="1"/>
      <w:numFmt w:val="bullet"/>
      <w:lvlText w:val="•"/>
      <w:lvlJc w:val="left"/>
      <w:pPr>
        <w:tabs>
          <w:tab w:val="num" w:pos="5760"/>
        </w:tabs>
        <w:ind w:left="5760" w:hanging="360"/>
      </w:pPr>
      <w:rPr>
        <w:rFonts w:ascii="Arial" w:hAnsi="Arial" w:hint="default"/>
      </w:rPr>
    </w:lvl>
    <w:lvl w:ilvl="8" w:tplc="9CFC1B2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1EAC7596"/>
    <w:multiLevelType w:val="hybridMultilevel"/>
    <w:tmpl w:val="E7C27FB2"/>
    <w:lvl w:ilvl="0" w:tplc="1E6C7E5A">
      <w:start w:val="1"/>
      <w:numFmt w:val="decimal"/>
      <w:pStyle w:val="Punkty1"/>
      <w:lvlText w:val="%1."/>
      <w:lvlJc w:val="center"/>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9" w15:restartNumberingAfterBreak="0">
    <w:nsid w:val="21A916AA"/>
    <w:multiLevelType w:val="hybridMultilevel"/>
    <w:tmpl w:val="6CBE2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5061908"/>
    <w:multiLevelType w:val="hybridMultilevel"/>
    <w:tmpl w:val="192ADD98"/>
    <w:lvl w:ilvl="0" w:tplc="2B50FEAA">
      <w:start w:val="1"/>
      <w:numFmt w:val="decimal"/>
      <w:lvlText w:val="%1."/>
      <w:lvlJc w:val="left"/>
      <w:pPr>
        <w:ind w:left="1080" w:hanging="360"/>
      </w:pPr>
      <w:rPr>
        <w:rFonts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15:restartNumberingAfterBreak="0">
    <w:nsid w:val="25DF02DC"/>
    <w:multiLevelType w:val="hybridMultilevel"/>
    <w:tmpl w:val="06AEAF1E"/>
    <w:lvl w:ilvl="0" w:tplc="7BACFA1A">
      <w:start w:val="1"/>
      <w:numFmt w:val="bullet"/>
      <w:pStyle w:val="2kropkowanie"/>
      <w:lvlText w:val="­"/>
      <w:lvlJc w:val="left"/>
      <w:pPr>
        <w:ind w:left="1494" w:hanging="360"/>
      </w:pPr>
      <w:rPr>
        <w:rFonts w:ascii="Courier New" w:hAnsi="Courier New"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2" w15:restartNumberingAfterBreak="0">
    <w:nsid w:val="26152155"/>
    <w:multiLevelType w:val="hybridMultilevel"/>
    <w:tmpl w:val="2B0816C0"/>
    <w:lvl w:ilvl="0" w:tplc="1D3CEB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65137DE"/>
    <w:multiLevelType w:val="hybridMultilevel"/>
    <w:tmpl w:val="0506375C"/>
    <w:lvl w:ilvl="0" w:tplc="324E47B4">
      <w:start w:val="1"/>
      <w:numFmt w:val="bullet"/>
      <w:lvlText w:val=""/>
      <w:lvlJc w:val="left"/>
      <w:pPr>
        <w:ind w:left="720" w:hanging="360"/>
      </w:pPr>
      <w:rPr>
        <w:rFonts w:ascii="Symbol" w:hAnsi="Symbol" w:hint="default"/>
      </w:rPr>
    </w:lvl>
    <w:lvl w:ilvl="1" w:tplc="325659A6">
      <w:start w:val="1"/>
      <w:numFmt w:val="bullet"/>
      <w:lvlText w:val="o"/>
      <w:lvlJc w:val="left"/>
      <w:pPr>
        <w:ind w:left="1440" w:hanging="360"/>
      </w:pPr>
      <w:rPr>
        <w:rFonts w:ascii="Courier New" w:hAnsi="Courier New" w:hint="default"/>
      </w:rPr>
    </w:lvl>
    <w:lvl w:ilvl="2" w:tplc="8DA80F42">
      <w:start w:val="1"/>
      <w:numFmt w:val="bullet"/>
      <w:lvlText w:val=""/>
      <w:lvlJc w:val="left"/>
      <w:pPr>
        <w:ind w:left="2160" w:hanging="360"/>
      </w:pPr>
      <w:rPr>
        <w:rFonts w:ascii="Wingdings" w:hAnsi="Wingdings" w:hint="default"/>
      </w:rPr>
    </w:lvl>
    <w:lvl w:ilvl="3" w:tplc="C7580A12">
      <w:start w:val="1"/>
      <w:numFmt w:val="bullet"/>
      <w:lvlText w:val=""/>
      <w:lvlJc w:val="left"/>
      <w:pPr>
        <w:ind w:left="2880" w:hanging="360"/>
      </w:pPr>
      <w:rPr>
        <w:rFonts w:ascii="Symbol" w:hAnsi="Symbol" w:hint="default"/>
      </w:rPr>
    </w:lvl>
    <w:lvl w:ilvl="4" w:tplc="A8600332">
      <w:start w:val="1"/>
      <w:numFmt w:val="bullet"/>
      <w:lvlText w:val="o"/>
      <w:lvlJc w:val="left"/>
      <w:pPr>
        <w:ind w:left="3600" w:hanging="360"/>
      </w:pPr>
      <w:rPr>
        <w:rFonts w:ascii="Courier New" w:hAnsi="Courier New" w:hint="default"/>
      </w:rPr>
    </w:lvl>
    <w:lvl w:ilvl="5" w:tplc="DF9AC546">
      <w:start w:val="1"/>
      <w:numFmt w:val="bullet"/>
      <w:lvlText w:val=""/>
      <w:lvlJc w:val="left"/>
      <w:pPr>
        <w:ind w:left="4320" w:hanging="360"/>
      </w:pPr>
      <w:rPr>
        <w:rFonts w:ascii="Wingdings" w:hAnsi="Wingdings" w:hint="default"/>
      </w:rPr>
    </w:lvl>
    <w:lvl w:ilvl="6" w:tplc="88FE06AA">
      <w:start w:val="1"/>
      <w:numFmt w:val="bullet"/>
      <w:lvlText w:val=""/>
      <w:lvlJc w:val="left"/>
      <w:pPr>
        <w:ind w:left="5040" w:hanging="360"/>
      </w:pPr>
      <w:rPr>
        <w:rFonts w:ascii="Symbol" w:hAnsi="Symbol" w:hint="default"/>
      </w:rPr>
    </w:lvl>
    <w:lvl w:ilvl="7" w:tplc="29061A22">
      <w:start w:val="1"/>
      <w:numFmt w:val="bullet"/>
      <w:lvlText w:val="o"/>
      <w:lvlJc w:val="left"/>
      <w:pPr>
        <w:ind w:left="5760" w:hanging="360"/>
      </w:pPr>
      <w:rPr>
        <w:rFonts w:ascii="Courier New" w:hAnsi="Courier New" w:hint="default"/>
      </w:rPr>
    </w:lvl>
    <w:lvl w:ilvl="8" w:tplc="D3D8A7C6">
      <w:start w:val="1"/>
      <w:numFmt w:val="bullet"/>
      <w:lvlText w:val=""/>
      <w:lvlJc w:val="left"/>
      <w:pPr>
        <w:ind w:left="6480" w:hanging="360"/>
      </w:pPr>
      <w:rPr>
        <w:rFonts w:ascii="Wingdings" w:hAnsi="Wingdings" w:hint="default"/>
      </w:rPr>
    </w:lvl>
  </w:abstractNum>
  <w:abstractNum w:abstractNumId="34" w15:restartNumberingAfterBreak="0">
    <w:nsid w:val="266A69C5"/>
    <w:multiLevelType w:val="hybridMultilevel"/>
    <w:tmpl w:val="EAE88B7A"/>
    <w:lvl w:ilvl="0" w:tplc="70C0D70E">
      <w:start w:val="1"/>
      <w:numFmt w:val="bullet"/>
      <w:lvlText w:val=""/>
      <w:lvlJc w:val="left"/>
      <w:pPr>
        <w:ind w:left="773" w:hanging="360"/>
      </w:pPr>
      <w:rPr>
        <w:rFonts w:ascii="Symbol" w:hAnsi="Symbol" w:hint="default"/>
        <w:color w:val="auto"/>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5" w15:restartNumberingAfterBreak="0">
    <w:nsid w:val="2F71498B"/>
    <w:multiLevelType w:val="hybridMultilevel"/>
    <w:tmpl w:val="3488BFF0"/>
    <w:lvl w:ilvl="0" w:tplc="417A469C">
      <w:start w:val="1"/>
      <w:numFmt w:val="lowerLetter"/>
      <w:pStyle w:val="abwypunktowanie"/>
      <w:lvlText w:val="%1)"/>
      <w:lvlJc w:val="left"/>
      <w:pPr>
        <w:ind w:left="1287" w:hanging="360"/>
      </w:pPr>
      <w:rPr>
        <w:rFonts w:cs="Times New Roman"/>
      </w:rPr>
    </w:lvl>
    <w:lvl w:ilvl="1" w:tplc="04150019" w:tentative="1">
      <w:start w:val="1"/>
      <w:numFmt w:val="lowerLetter"/>
      <w:lvlText w:val="%2."/>
      <w:lvlJc w:val="left"/>
      <w:pPr>
        <w:ind w:left="2007" w:hanging="360"/>
      </w:pPr>
      <w:rPr>
        <w:rFonts w:cs="Times New Roman"/>
      </w:rPr>
    </w:lvl>
    <w:lvl w:ilvl="2" w:tplc="0415001B" w:tentative="1">
      <w:start w:val="1"/>
      <w:numFmt w:val="lowerRoman"/>
      <w:lvlText w:val="%3."/>
      <w:lvlJc w:val="right"/>
      <w:pPr>
        <w:ind w:left="2727" w:hanging="180"/>
      </w:pPr>
      <w:rPr>
        <w:rFonts w:cs="Times New Roman"/>
      </w:rPr>
    </w:lvl>
    <w:lvl w:ilvl="3" w:tplc="0415000F" w:tentative="1">
      <w:start w:val="1"/>
      <w:numFmt w:val="decimal"/>
      <w:lvlText w:val="%4."/>
      <w:lvlJc w:val="left"/>
      <w:pPr>
        <w:ind w:left="3447" w:hanging="360"/>
      </w:pPr>
      <w:rPr>
        <w:rFonts w:cs="Times New Roman"/>
      </w:rPr>
    </w:lvl>
    <w:lvl w:ilvl="4" w:tplc="04150019" w:tentative="1">
      <w:start w:val="1"/>
      <w:numFmt w:val="lowerLetter"/>
      <w:lvlText w:val="%5."/>
      <w:lvlJc w:val="left"/>
      <w:pPr>
        <w:ind w:left="4167" w:hanging="360"/>
      </w:pPr>
      <w:rPr>
        <w:rFonts w:cs="Times New Roman"/>
      </w:rPr>
    </w:lvl>
    <w:lvl w:ilvl="5" w:tplc="0415001B" w:tentative="1">
      <w:start w:val="1"/>
      <w:numFmt w:val="lowerRoman"/>
      <w:lvlText w:val="%6."/>
      <w:lvlJc w:val="right"/>
      <w:pPr>
        <w:ind w:left="4887" w:hanging="180"/>
      </w:pPr>
      <w:rPr>
        <w:rFonts w:cs="Times New Roman"/>
      </w:rPr>
    </w:lvl>
    <w:lvl w:ilvl="6" w:tplc="0415000F" w:tentative="1">
      <w:start w:val="1"/>
      <w:numFmt w:val="decimal"/>
      <w:lvlText w:val="%7."/>
      <w:lvlJc w:val="left"/>
      <w:pPr>
        <w:ind w:left="5607" w:hanging="360"/>
      </w:pPr>
      <w:rPr>
        <w:rFonts w:cs="Times New Roman"/>
      </w:rPr>
    </w:lvl>
    <w:lvl w:ilvl="7" w:tplc="04150019" w:tentative="1">
      <w:start w:val="1"/>
      <w:numFmt w:val="lowerLetter"/>
      <w:lvlText w:val="%8."/>
      <w:lvlJc w:val="left"/>
      <w:pPr>
        <w:ind w:left="6327" w:hanging="360"/>
      </w:pPr>
      <w:rPr>
        <w:rFonts w:cs="Times New Roman"/>
      </w:rPr>
    </w:lvl>
    <w:lvl w:ilvl="8" w:tplc="0415001B" w:tentative="1">
      <w:start w:val="1"/>
      <w:numFmt w:val="lowerRoman"/>
      <w:lvlText w:val="%9."/>
      <w:lvlJc w:val="right"/>
      <w:pPr>
        <w:ind w:left="7047" w:hanging="180"/>
      </w:pPr>
      <w:rPr>
        <w:rFonts w:cs="Times New Roman"/>
      </w:rPr>
    </w:lvl>
  </w:abstractNum>
  <w:abstractNum w:abstractNumId="36" w15:restartNumberingAfterBreak="0">
    <w:nsid w:val="30753F86"/>
    <w:multiLevelType w:val="hybridMultilevel"/>
    <w:tmpl w:val="58F4F0B2"/>
    <w:lvl w:ilvl="0" w:tplc="5092510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13B6D51"/>
    <w:multiLevelType w:val="hybridMultilevel"/>
    <w:tmpl w:val="6C463970"/>
    <w:lvl w:ilvl="0" w:tplc="E8C806FC">
      <w:start w:val="1"/>
      <w:numFmt w:val="bullet"/>
      <w:pStyle w:val="Bullet1"/>
      <w:lvlText w:val=""/>
      <w:lvlJc w:val="left"/>
      <w:pPr>
        <w:ind w:left="720" w:hanging="360"/>
      </w:pPr>
      <w:rPr>
        <w:rFonts w:ascii="Symbol" w:hAnsi="Symbol" w:hint="default"/>
        <w:color w:val="2E74B5"/>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8" w15:restartNumberingAfterBreak="0">
    <w:nsid w:val="3417022D"/>
    <w:multiLevelType w:val="hybridMultilevel"/>
    <w:tmpl w:val="60F63E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46A1215"/>
    <w:multiLevelType w:val="hybridMultilevel"/>
    <w:tmpl w:val="CC488A9C"/>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6B21A7D"/>
    <w:multiLevelType w:val="hybridMultilevel"/>
    <w:tmpl w:val="D5B892EC"/>
    <w:lvl w:ilvl="0" w:tplc="04150001">
      <w:start w:val="1"/>
      <w:numFmt w:val="bullet"/>
      <w:lvlText w:val=""/>
      <w:lvlJc w:val="left"/>
      <w:pPr>
        <w:ind w:left="765" w:hanging="360"/>
      </w:pPr>
      <w:rPr>
        <w:rFonts w:ascii="Symbol" w:hAnsi="Symbol" w:hint="default"/>
      </w:rPr>
    </w:lvl>
    <w:lvl w:ilvl="1" w:tplc="04150003">
      <w:start w:val="1"/>
      <w:numFmt w:val="bullet"/>
      <w:lvlText w:val="o"/>
      <w:lvlJc w:val="left"/>
      <w:pPr>
        <w:ind w:left="1485" w:hanging="360"/>
      </w:pPr>
      <w:rPr>
        <w:rFonts w:ascii="Courier New" w:hAnsi="Courier New" w:cs="Courier New" w:hint="default"/>
      </w:rPr>
    </w:lvl>
    <w:lvl w:ilvl="2" w:tplc="04150005">
      <w:start w:val="1"/>
      <w:numFmt w:val="bullet"/>
      <w:lvlText w:val=""/>
      <w:lvlJc w:val="left"/>
      <w:pPr>
        <w:ind w:left="2205" w:hanging="360"/>
      </w:pPr>
      <w:rPr>
        <w:rFonts w:ascii="Wingdings" w:hAnsi="Wingdings" w:hint="default"/>
      </w:rPr>
    </w:lvl>
    <w:lvl w:ilvl="3" w:tplc="04150001">
      <w:start w:val="1"/>
      <w:numFmt w:val="bullet"/>
      <w:lvlText w:val=""/>
      <w:lvlJc w:val="left"/>
      <w:pPr>
        <w:ind w:left="2925" w:hanging="360"/>
      </w:pPr>
      <w:rPr>
        <w:rFonts w:ascii="Symbol" w:hAnsi="Symbol" w:hint="default"/>
      </w:rPr>
    </w:lvl>
    <w:lvl w:ilvl="4" w:tplc="04150003">
      <w:start w:val="1"/>
      <w:numFmt w:val="bullet"/>
      <w:lvlText w:val="o"/>
      <w:lvlJc w:val="left"/>
      <w:pPr>
        <w:ind w:left="3645" w:hanging="360"/>
      </w:pPr>
      <w:rPr>
        <w:rFonts w:ascii="Courier New" w:hAnsi="Courier New" w:cs="Courier New" w:hint="default"/>
      </w:rPr>
    </w:lvl>
    <w:lvl w:ilvl="5" w:tplc="04150005">
      <w:start w:val="1"/>
      <w:numFmt w:val="bullet"/>
      <w:lvlText w:val=""/>
      <w:lvlJc w:val="left"/>
      <w:pPr>
        <w:ind w:left="4365" w:hanging="360"/>
      </w:pPr>
      <w:rPr>
        <w:rFonts w:ascii="Wingdings" w:hAnsi="Wingdings" w:hint="default"/>
      </w:rPr>
    </w:lvl>
    <w:lvl w:ilvl="6" w:tplc="04150001">
      <w:start w:val="1"/>
      <w:numFmt w:val="bullet"/>
      <w:lvlText w:val=""/>
      <w:lvlJc w:val="left"/>
      <w:pPr>
        <w:ind w:left="5085" w:hanging="360"/>
      </w:pPr>
      <w:rPr>
        <w:rFonts w:ascii="Symbol" w:hAnsi="Symbol" w:hint="default"/>
      </w:rPr>
    </w:lvl>
    <w:lvl w:ilvl="7" w:tplc="04150003">
      <w:start w:val="1"/>
      <w:numFmt w:val="bullet"/>
      <w:lvlText w:val="o"/>
      <w:lvlJc w:val="left"/>
      <w:pPr>
        <w:ind w:left="5805" w:hanging="360"/>
      </w:pPr>
      <w:rPr>
        <w:rFonts w:ascii="Courier New" w:hAnsi="Courier New" w:cs="Courier New" w:hint="default"/>
      </w:rPr>
    </w:lvl>
    <w:lvl w:ilvl="8" w:tplc="04150005">
      <w:start w:val="1"/>
      <w:numFmt w:val="bullet"/>
      <w:lvlText w:val=""/>
      <w:lvlJc w:val="left"/>
      <w:pPr>
        <w:ind w:left="6525" w:hanging="360"/>
      </w:pPr>
      <w:rPr>
        <w:rFonts w:ascii="Wingdings" w:hAnsi="Wingdings" w:hint="default"/>
      </w:rPr>
    </w:lvl>
  </w:abstractNum>
  <w:abstractNum w:abstractNumId="41" w15:restartNumberingAfterBreak="0">
    <w:nsid w:val="36F16E63"/>
    <w:multiLevelType w:val="hybridMultilevel"/>
    <w:tmpl w:val="F860142A"/>
    <w:lvl w:ilvl="0" w:tplc="D2BC03D2">
      <w:start w:val="1"/>
      <w:numFmt w:val="decimal"/>
      <w:lvlText w:val="%1."/>
      <w:lvlJc w:val="left"/>
      <w:pPr>
        <w:ind w:left="720" w:hanging="360"/>
      </w:pPr>
    </w:lvl>
    <w:lvl w:ilvl="1" w:tplc="CF6C16EE">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374B73BF"/>
    <w:multiLevelType w:val="hybridMultilevel"/>
    <w:tmpl w:val="60AAB8E4"/>
    <w:lvl w:ilvl="0" w:tplc="5092510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9D56EF8"/>
    <w:multiLevelType w:val="hybridMultilevel"/>
    <w:tmpl w:val="EC6A5E90"/>
    <w:lvl w:ilvl="0" w:tplc="04150011">
      <w:start w:val="1"/>
      <w:numFmt w:val="decimal"/>
      <w:pStyle w:val="rdo"/>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3B847938"/>
    <w:multiLevelType w:val="hybridMultilevel"/>
    <w:tmpl w:val="2E0A842C"/>
    <w:lvl w:ilvl="0" w:tplc="1E2607B6">
      <w:start w:val="1"/>
      <w:numFmt w:val="bullet"/>
      <w:pStyle w:val="tabela-p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B8654B8"/>
    <w:multiLevelType w:val="multilevel"/>
    <w:tmpl w:val="5F58398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3E364F48"/>
    <w:multiLevelType w:val="hybridMultilevel"/>
    <w:tmpl w:val="D95A10A2"/>
    <w:lvl w:ilvl="0" w:tplc="D4403878">
      <w:start w:val="1"/>
      <w:numFmt w:val="upp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15:restartNumberingAfterBreak="0">
    <w:nsid w:val="3E5B5923"/>
    <w:multiLevelType w:val="multilevel"/>
    <w:tmpl w:val="4AF4C760"/>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3EB56E98"/>
    <w:multiLevelType w:val="hybridMultilevel"/>
    <w:tmpl w:val="25A80304"/>
    <w:lvl w:ilvl="0" w:tplc="1B96A4BE">
      <w:start w:val="1"/>
      <w:numFmt w:val="bullet"/>
      <w:pStyle w:val="awypunktowanie"/>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15:restartNumberingAfterBreak="0">
    <w:nsid w:val="3F2237E3"/>
    <w:multiLevelType w:val="multilevel"/>
    <w:tmpl w:val="6084FCF2"/>
    <w:lvl w:ilvl="0">
      <w:start w:val="1"/>
      <w:numFmt w:val="decimal"/>
      <w:lvlText w:val="%1"/>
      <w:lvlJc w:val="left"/>
      <w:pPr>
        <w:tabs>
          <w:tab w:val="num" w:pos="357"/>
        </w:tabs>
        <w:ind w:left="357" w:hanging="360"/>
      </w:pPr>
      <w:rPr>
        <w:rFonts w:cs="Times New Roman" w:hint="default"/>
      </w:rPr>
    </w:lvl>
    <w:lvl w:ilvl="1">
      <w:start w:val="1"/>
      <w:numFmt w:val="decimal"/>
      <w:pStyle w:val="Nagwek2Raport"/>
      <w:lvlText w:val="%1.%2."/>
      <w:lvlJc w:val="left"/>
      <w:pPr>
        <w:tabs>
          <w:tab w:val="num" w:pos="789"/>
        </w:tabs>
        <w:ind w:left="789" w:hanging="432"/>
      </w:pPr>
      <w:rPr>
        <w:rFonts w:ascii="Arial Narrow" w:hAnsi="Arial Narrow" w:cs="Times New Roman" w:hint="default"/>
        <w:b/>
        <w:i w:val="0"/>
        <w:sz w:val="24"/>
      </w:rPr>
    </w:lvl>
    <w:lvl w:ilvl="2">
      <w:start w:val="1"/>
      <w:numFmt w:val="decimal"/>
      <w:pStyle w:val="Nagowek3Raport"/>
      <w:lvlText w:val="%1.%2.%3."/>
      <w:lvlJc w:val="left"/>
      <w:pPr>
        <w:tabs>
          <w:tab w:val="num" w:pos="1221"/>
        </w:tabs>
        <w:ind w:left="1221" w:hanging="504"/>
      </w:pPr>
      <w:rPr>
        <w:rFonts w:ascii="Arial Narrow" w:hAnsi="Arial Narrow" w:cs="Times New Roman" w:hint="default"/>
        <w:b/>
        <w:i w:val="0"/>
        <w:sz w:val="20"/>
      </w:rPr>
    </w:lvl>
    <w:lvl w:ilvl="3">
      <w:start w:val="1"/>
      <w:numFmt w:val="decimal"/>
      <w:lvlText w:val="%1.%2.%3.%4."/>
      <w:lvlJc w:val="left"/>
      <w:pPr>
        <w:tabs>
          <w:tab w:val="num" w:pos="1725"/>
        </w:tabs>
        <w:ind w:left="1725" w:hanging="648"/>
      </w:pPr>
      <w:rPr>
        <w:rFonts w:cs="Times New Roman" w:hint="default"/>
      </w:rPr>
    </w:lvl>
    <w:lvl w:ilvl="4">
      <w:start w:val="1"/>
      <w:numFmt w:val="decimal"/>
      <w:lvlText w:val="%1.%2.%3.%4.%5."/>
      <w:lvlJc w:val="left"/>
      <w:pPr>
        <w:tabs>
          <w:tab w:val="num" w:pos="2229"/>
        </w:tabs>
        <w:ind w:left="2229" w:hanging="792"/>
      </w:pPr>
      <w:rPr>
        <w:rFonts w:cs="Times New Roman" w:hint="default"/>
      </w:rPr>
    </w:lvl>
    <w:lvl w:ilvl="5">
      <w:start w:val="1"/>
      <w:numFmt w:val="decimal"/>
      <w:lvlText w:val="%1.%2.%3.%4.%5.%6."/>
      <w:lvlJc w:val="left"/>
      <w:pPr>
        <w:tabs>
          <w:tab w:val="num" w:pos="2733"/>
        </w:tabs>
        <w:ind w:left="2733" w:hanging="936"/>
      </w:pPr>
      <w:rPr>
        <w:rFonts w:cs="Times New Roman" w:hint="default"/>
      </w:rPr>
    </w:lvl>
    <w:lvl w:ilvl="6">
      <w:start w:val="1"/>
      <w:numFmt w:val="decimal"/>
      <w:lvlText w:val="%1.%2.%3.%4.%5.%6.%7."/>
      <w:lvlJc w:val="left"/>
      <w:pPr>
        <w:tabs>
          <w:tab w:val="num" w:pos="3237"/>
        </w:tabs>
        <w:ind w:left="3237" w:hanging="1080"/>
      </w:pPr>
      <w:rPr>
        <w:rFonts w:cs="Times New Roman" w:hint="default"/>
      </w:rPr>
    </w:lvl>
    <w:lvl w:ilvl="7">
      <w:start w:val="1"/>
      <w:numFmt w:val="decimal"/>
      <w:lvlText w:val="%1.%2.%3.%4.%5.%6.%7.%8."/>
      <w:lvlJc w:val="left"/>
      <w:pPr>
        <w:tabs>
          <w:tab w:val="num" w:pos="3741"/>
        </w:tabs>
        <w:ind w:left="3741" w:hanging="1224"/>
      </w:pPr>
      <w:rPr>
        <w:rFonts w:cs="Times New Roman" w:hint="default"/>
      </w:rPr>
    </w:lvl>
    <w:lvl w:ilvl="8">
      <w:start w:val="1"/>
      <w:numFmt w:val="decimal"/>
      <w:lvlText w:val="%1.%2.%3.%4.%5.%6.%7.%8.%9."/>
      <w:lvlJc w:val="left"/>
      <w:pPr>
        <w:tabs>
          <w:tab w:val="num" w:pos="4317"/>
        </w:tabs>
        <w:ind w:left="4317" w:hanging="1440"/>
      </w:pPr>
      <w:rPr>
        <w:rFonts w:cs="Times New Roman" w:hint="default"/>
      </w:rPr>
    </w:lvl>
  </w:abstractNum>
  <w:abstractNum w:abstractNumId="50" w15:restartNumberingAfterBreak="0">
    <w:nsid w:val="409856C2"/>
    <w:multiLevelType w:val="hybridMultilevel"/>
    <w:tmpl w:val="10B8A1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0D909E8"/>
    <w:multiLevelType w:val="multilevel"/>
    <w:tmpl w:val="29BA379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41522DC6"/>
    <w:multiLevelType w:val="hybridMultilevel"/>
    <w:tmpl w:val="64AA2B96"/>
    <w:lvl w:ilvl="0" w:tplc="04150001">
      <w:start w:val="1"/>
      <w:numFmt w:val="bullet"/>
      <w:lvlText w:val=""/>
      <w:lvlJc w:val="left"/>
      <w:pPr>
        <w:ind w:left="873" w:hanging="360"/>
      </w:pPr>
      <w:rPr>
        <w:rFonts w:ascii="Symbol" w:hAnsi="Symbol" w:hint="default"/>
      </w:rPr>
    </w:lvl>
    <w:lvl w:ilvl="1" w:tplc="04150003">
      <w:start w:val="1"/>
      <w:numFmt w:val="bullet"/>
      <w:lvlText w:val="o"/>
      <w:lvlJc w:val="left"/>
      <w:pPr>
        <w:ind w:left="1593" w:hanging="360"/>
      </w:pPr>
      <w:rPr>
        <w:rFonts w:ascii="Courier New" w:hAnsi="Courier New" w:cs="Courier New" w:hint="default"/>
      </w:rPr>
    </w:lvl>
    <w:lvl w:ilvl="2" w:tplc="04150005" w:tentative="1">
      <w:start w:val="1"/>
      <w:numFmt w:val="bullet"/>
      <w:lvlText w:val=""/>
      <w:lvlJc w:val="left"/>
      <w:pPr>
        <w:ind w:left="2313" w:hanging="360"/>
      </w:pPr>
      <w:rPr>
        <w:rFonts w:ascii="Wingdings" w:hAnsi="Wingdings" w:hint="default"/>
      </w:rPr>
    </w:lvl>
    <w:lvl w:ilvl="3" w:tplc="04150001" w:tentative="1">
      <w:start w:val="1"/>
      <w:numFmt w:val="bullet"/>
      <w:lvlText w:val=""/>
      <w:lvlJc w:val="left"/>
      <w:pPr>
        <w:ind w:left="3033" w:hanging="360"/>
      </w:pPr>
      <w:rPr>
        <w:rFonts w:ascii="Symbol" w:hAnsi="Symbol" w:hint="default"/>
      </w:rPr>
    </w:lvl>
    <w:lvl w:ilvl="4" w:tplc="04150003" w:tentative="1">
      <w:start w:val="1"/>
      <w:numFmt w:val="bullet"/>
      <w:lvlText w:val="o"/>
      <w:lvlJc w:val="left"/>
      <w:pPr>
        <w:ind w:left="3753" w:hanging="360"/>
      </w:pPr>
      <w:rPr>
        <w:rFonts w:ascii="Courier New" w:hAnsi="Courier New" w:cs="Courier New" w:hint="default"/>
      </w:rPr>
    </w:lvl>
    <w:lvl w:ilvl="5" w:tplc="04150005" w:tentative="1">
      <w:start w:val="1"/>
      <w:numFmt w:val="bullet"/>
      <w:lvlText w:val=""/>
      <w:lvlJc w:val="left"/>
      <w:pPr>
        <w:ind w:left="4473" w:hanging="360"/>
      </w:pPr>
      <w:rPr>
        <w:rFonts w:ascii="Wingdings" w:hAnsi="Wingdings" w:hint="default"/>
      </w:rPr>
    </w:lvl>
    <w:lvl w:ilvl="6" w:tplc="04150001" w:tentative="1">
      <w:start w:val="1"/>
      <w:numFmt w:val="bullet"/>
      <w:lvlText w:val=""/>
      <w:lvlJc w:val="left"/>
      <w:pPr>
        <w:ind w:left="5193" w:hanging="360"/>
      </w:pPr>
      <w:rPr>
        <w:rFonts w:ascii="Symbol" w:hAnsi="Symbol" w:hint="default"/>
      </w:rPr>
    </w:lvl>
    <w:lvl w:ilvl="7" w:tplc="04150003" w:tentative="1">
      <w:start w:val="1"/>
      <w:numFmt w:val="bullet"/>
      <w:lvlText w:val="o"/>
      <w:lvlJc w:val="left"/>
      <w:pPr>
        <w:ind w:left="5913" w:hanging="360"/>
      </w:pPr>
      <w:rPr>
        <w:rFonts w:ascii="Courier New" w:hAnsi="Courier New" w:cs="Courier New" w:hint="default"/>
      </w:rPr>
    </w:lvl>
    <w:lvl w:ilvl="8" w:tplc="04150005" w:tentative="1">
      <w:start w:val="1"/>
      <w:numFmt w:val="bullet"/>
      <w:lvlText w:val=""/>
      <w:lvlJc w:val="left"/>
      <w:pPr>
        <w:ind w:left="6633" w:hanging="360"/>
      </w:pPr>
      <w:rPr>
        <w:rFonts w:ascii="Wingdings" w:hAnsi="Wingdings" w:hint="default"/>
      </w:rPr>
    </w:lvl>
  </w:abstractNum>
  <w:abstractNum w:abstractNumId="53" w15:restartNumberingAfterBreak="0">
    <w:nsid w:val="42EA43EB"/>
    <w:multiLevelType w:val="hybridMultilevel"/>
    <w:tmpl w:val="BB067F32"/>
    <w:lvl w:ilvl="0" w:tplc="F48E8468">
      <w:start w:val="1"/>
      <w:numFmt w:val="bullet"/>
      <w:lvlText w:val=""/>
      <w:lvlJc w:val="left"/>
      <w:pPr>
        <w:ind w:left="1080" w:hanging="360"/>
      </w:pPr>
      <w:rPr>
        <w:rFonts w:ascii="Symbol" w:hAnsi="Symbol" w:hint="default"/>
        <w:color w:val="auto"/>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4" w15:restartNumberingAfterBreak="0">
    <w:nsid w:val="43DE682D"/>
    <w:multiLevelType w:val="multilevel"/>
    <w:tmpl w:val="CABAE90A"/>
    <w:styleLink w:val="Styl4"/>
    <w:lvl w:ilvl="0">
      <w:start w:val="1"/>
      <w:numFmt w:val="decimal"/>
      <w:pStyle w:val="Numerowanie"/>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5" w15:restartNumberingAfterBreak="0">
    <w:nsid w:val="45657842"/>
    <w:multiLevelType w:val="hybridMultilevel"/>
    <w:tmpl w:val="D81422FE"/>
    <w:lvl w:ilvl="0" w:tplc="C9BA8208">
      <w:start w:val="1"/>
      <w:numFmt w:val="bullet"/>
      <w:pStyle w:val="Teksttabelipunkty"/>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5AD473C"/>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6F860AA"/>
    <w:multiLevelType w:val="hybridMultilevel"/>
    <w:tmpl w:val="24564AAE"/>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89C5CDC"/>
    <w:multiLevelType w:val="hybridMultilevel"/>
    <w:tmpl w:val="DF3CA916"/>
    <w:lvl w:ilvl="0" w:tplc="5748E382">
      <w:start w:val="1"/>
      <w:numFmt w:val="bullet"/>
      <w:pStyle w:val="Akapitzlis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9" w15:restartNumberingAfterBreak="0">
    <w:nsid w:val="4937180D"/>
    <w:multiLevelType w:val="hybridMultilevel"/>
    <w:tmpl w:val="BC603F92"/>
    <w:lvl w:ilvl="0" w:tplc="04150019">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B4274DD"/>
    <w:multiLevelType w:val="hybridMultilevel"/>
    <w:tmpl w:val="20B07314"/>
    <w:lvl w:ilvl="0" w:tplc="04150001">
      <w:start w:val="1"/>
      <w:numFmt w:val="bullet"/>
      <w:lvlText w:val=""/>
      <w:lvlJc w:val="left"/>
      <w:pPr>
        <w:ind w:left="873" w:hanging="360"/>
      </w:pPr>
      <w:rPr>
        <w:rFonts w:ascii="Symbol" w:hAnsi="Symbol" w:hint="default"/>
      </w:rPr>
    </w:lvl>
    <w:lvl w:ilvl="1" w:tplc="04150003">
      <w:start w:val="1"/>
      <w:numFmt w:val="bullet"/>
      <w:lvlText w:val="o"/>
      <w:lvlJc w:val="left"/>
      <w:pPr>
        <w:ind w:left="1593" w:hanging="360"/>
      </w:pPr>
      <w:rPr>
        <w:rFonts w:ascii="Courier New" w:hAnsi="Courier New" w:cs="Courier New" w:hint="default"/>
      </w:rPr>
    </w:lvl>
    <w:lvl w:ilvl="2" w:tplc="04150005" w:tentative="1">
      <w:start w:val="1"/>
      <w:numFmt w:val="bullet"/>
      <w:lvlText w:val=""/>
      <w:lvlJc w:val="left"/>
      <w:pPr>
        <w:ind w:left="2313" w:hanging="360"/>
      </w:pPr>
      <w:rPr>
        <w:rFonts w:ascii="Wingdings" w:hAnsi="Wingdings" w:hint="default"/>
      </w:rPr>
    </w:lvl>
    <w:lvl w:ilvl="3" w:tplc="04150001" w:tentative="1">
      <w:start w:val="1"/>
      <w:numFmt w:val="bullet"/>
      <w:lvlText w:val=""/>
      <w:lvlJc w:val="left"/>
      <w:pPr>
        <w:ind w:left="3033" w:hanging="360"/>
      </w:pPr>
      <w:rPr>
        <w:rFonts w:ascii="Symbol" w:hAnsi="Symbol" w:hint="default"/>
      </w:rPr>
    </w:lvl>
    <w:lvl w:ilvl="4" w:tplc="04150003" w:tentative="1">
      <w:start w:val="1"/>
      <w:numFmt w:val="bullet"/>
      <w:lvlText w:val="o"/>
      <w:lvlJc w:val="left"/>
      <w:pPr>
        <w:ind w:left="3753" w:hanging="360"/>
      </w:pPr>
      <w:rPr>
        <w:rFonts w:ascii="Courier New" w:hAnsi="Courier New" w:cs="Courier New" w:hint="default"/>
      </w:rPr>
    </w:lvl>
    <w:lvl w:ilvl="5" w:tplc="04150005" w:tentative="1">
      <w:start w:val="1"/>
      <w:numFmt w:val="bullet"/>
      <w:lvlText w:val=""/>
      <w:lvlJc w:val="left"/>
      <w:pPr>
        <w:ind w:left="4473" w:hanging="360"/>
      </w:pPr>
      <w:rPr>
        <w:rFonts w:ascii="Wingdings" w:hAnsi="Wingdings" w:hint="default"/>
      </w:rPr>
    </w:lvl>
    <w:lvl w:ilvl="6" w:tplc="04150001" w:tentative="1">
      <w:start w:val="1"/>
      <w:numFmt w:val="bullet"/>
      <w:lvlText w:val=""/>
      <w:lvlJc w:val="left"/>
      <w:pPr>
        <w:ind w:left="5193" w:hanging="360"/>
      </w:pPr>
      <w:rPr>
        <w:rFonts w:ascii="Symbol" w:hAnsi="Symbol" w:hint="default"/>
      </w:rPr>
    </w:lvl>
    <w:lvl w:ilvl="7" w:tplc="04150003" w:tentative="1">
      <w:start w:val="1"/>
      <w:numFmt w:val="bullet"/>
      <w:lvlText w:val="o"/>
      <w:lvlJc w:val="left"/>
      <w:pPr>
        <w:ind w:left="5913" w:hanging="360"/>
      </w:pPr>
      <w:rPr>
        <w:rFonts w:ascii="Courier New" w:hAnsi="Courier New" w:cs="Courier New" w:hint="default"/>
      </w:rPr>
    </w:lvl>
    <w:lvl w:ilvl="8" w:tplc="04150005" w:tentative="1">
      <w:start w:val="1"/>
      <w:numFmt w:val="bullet"/>
      <w:lvlText w:val=""/>
      <w:lvlJc w:val="left"/>
      <w:pPr>
        <w:ind w:left="6633" w:hanging="360"/>
      </w:pPr>
      <w:rPr>
        <w:rFonts w:ascii="Wingdings" w:hAnsi="Wingdings" w:hint="default"/>
      </w:rPr>
    </w:lvl>
  </w:abstractNum>
  <w:abstractNum w:abstractNumId="61" w15:restartNumberingAfterBreak="0">
    <w:nsid w:val="4B5B2E02"/>
    <w:multiLevelType w:val="hybridMultilevel"/>
    <w:tmpl w:val="6DDC2E58"/>
    <w:lvl w:ilvl="0" w:tplc="0415000F">
      <w:start w:val="1"/>
      <w:numFmt w:val="decimal"/>
      <w:lvlText w:val="%1."/>
      <w:lvlJc w:val="left"/>
      <w:pPr>
        <w:ind w:left="720" w:hanging="360"/>
      </w:pPr>
    </w:lvl>
    <w:lvl w:ilvl="1" w:tplc="077A0DE4">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CA932C2"/>
    <w:multiLevelType w:val="hybridMultilevel"/>
    <w:tmpl w:val="CF964BE0"/>
    <w:lvl w:ilvl="0" w:tplc="2B50FEAA">
      <w:start w:val="1"/>
      <w:numFmt w:val="decimal"/>
      <w:lvlText w:val="%1."/>
      <w:lvlJc w:val="left"/>
      <w:pPr>
        <w:ind w:left="720" w:hanging="360"/>
      </w:pPr>
      <w:rPr>
        <w:rFonts w:hint="default"/>
      </w:rPr>
    </w:lvl>
    <w:lvl w:ilvl="1" w:tplc="2B50FE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FB33A33"/>
    <w:multiLevelType w:val="hybridMultilevel"/>
    <w:tmpl w:val="AF04DCEA"/>
    <w:lvl w:ilvl="0" w:tplc="92621BB0">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4" w15:restartNumberingAfterBreak="0">
    <w:nsid w:val="5008196F"/>
    <w:multiLevelType w:val="hybridMultilevel"/>
    <w:tmpl w:val="FFFFFFFF"/>
    <w:lvl w:ilvl="0" w:tplc="B50AD5FC">
      <w:start w:val="1"/>
      <w:numFmt w:val="bullet"/>
      <w:lvlText w:val=""/>
      <w:lvlJc w:val="left"/>
      <w:pPr>
        <w:ind w:left="720" w:hanging="360"/>
      </w:pPr>
      <w:rPr>
        <w:rFonts w:ascii="Symbol" w:hAnsi="Symbol" w:hint="default"/>
      </w:rPr>
    </w:lvl>
    <w:lvl w:ilvl="1" w:tplc="C5A623C0">
      <w:start w:val="1"/>
      <w:numFmt w:val="bullet"/>
      <w:lvlText w:val="o"/>
      <w:lvlJc w:val="left"/>
      <w:pPr>
        <w:ind w:left="1440" w:hanging="360"/>
      </w:pPr>
      <w:rPr>
        <w:rFonts w:ascii="Courier New" w:hAnsi="Courier New" w:hint="default"/>
      </w:rPr>
    </w:lvl>
    <w:lvl w:ilvl="2" w:tplc="FC667F86">
      <w:start w:val="1"/>
      <w:numFmt w:val="bullet"/>
      <w:lvlText w:val=""/>
      <w:lvlJc w:val="left"/>
      <w:pPr>
        <w:ind w:left="2160" w:hanging="360"/>
      </w:pPr>
      <w:rPr>
        <w:rFonts w:ascii="Wingdings" w:hAnsi="Wingdings" w:hint="default"/>
      </w:rPr>
    </w:lvl>
    <w:lvl w:ilvl="3" w:tplc="9BD253DC">
      <w:start w:val="1"/>
      <w:numFmt w:val="bullet"/>
      <w:lvlText w:val=""/>
      <w:lvlJc w:val="left"/>
      <w:pPr>
        <w:ind w:left="2880" w:hanging="360"/>
      </w:pPr>
      <w:rPr>
        <w:rFonts w:ascii="Symbol" w:hAnsi="Symbol" w:hint="default"/>
      </w:rPr>
    </w:lvl>
    <w:lvl w:ilvl="4" w:tplc="AB80BB52">
      <w:start w:val="1"/>
      <w:numFmt w:val="bullet"/>
      <w:lvlText w:val="o"/>
      <w:lvlJc w:val="left"/>
      <w:pPr>
        <w:ind w:left="3600" w:hanging="360"/>
      </w:pPr>
      <w:rPr>
        <w:rFonts w:ascii="Courier New" w:hAnsi="Courier New" w:hint="default"/>
      </w:rPr>
    </w:lvl>
    <w:lvl w:ilvl="5" w:tplc="AD94B22A">
      <w:start w:val="1"/>
      <w:numFmt w:val="bullet"/>
      <w:lvlText w:val=""/>
      <w:lvlJc w:val="left"/>
      <w:pPr>
        <w:ind w:left="4320" w:hanging="360"/>
      </w:pPr>
      <w:rPr>
        <w:rFonts w:ascii="Wingdings" w:hAnsi="Wingdings" w:hint="default"/>
      </w:rPr>
    </w:lvl>
    <w:lvl w:ilvl="6" w:tplc="6BA057FC">
      <w:start w:val="1"/>
      <w:numFmt w:val="bullet"/>
      <w:lvlText w:val=""/>
      <w:lvlJc w:val="left"/>
      <w:pPr>
        <w:ind w:left="5040" w:hanging="360"/>
      </w:pPr>
      <w:rPr>
        <w:rFonts w:ascii="Symbol" w:hAnsi="Symbol" w:hint="default"/>
      </w:rPr>
    </w:lvl>
    <w:lvl w:ilvl="7" w:tplc="DCA66FA0">
      <w:start w:val="1"/>
      <w:numFmt w:val="bullet"/>
      <w:lvlText w:val="o"/>
      <w:lvlJc w:val="left"/>
      <w:pPr>
        <w:ind w:left="5760" w:hanging="360"/>
      </w:pPr>
      <w:rPr>
        <w:rFonts w:ascii="Courier New" w:hAnsi="Courier New" w:hint="default"/>
      </w:rPr>
    </w:lvl>
    <w:lvl w:ilvl="8" w:tplc="DA244950">
      <w:start w:val="1"/>
      <w:numFmt w:val="bullet"/>
      <w:lvlText w:val=""/>
      <w:lvlJc w:val="left"/>
      <w:pPr>
        <w:ind w:left="6480" w:hanging="360"/>
      </w:pPr>
      <w:rPr>
        <w:rFonts w:ascii="Wingdings" w:hAnsi="Wingdings" w:hint="default"/>
      </w:rPr>
    </w:lvl>
  </w:abstractNum>
  <w:abstractNum w:abstractNumId="65" w15:restartNumberingAfterBreak="0">
    <w:nsid w:val="521126A7"/>
    <w:multiLevelType w:val="hybridMultilevel"/>
    <w:tmpl w:val="1068B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2C46901"/>
    <w:multiLevelType w:val="hybridMultilevel"/>
    <w:tmpl w:val="3DC633E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7" w15:restartNumberingAfterBreak="0">
    <w:nsid w:val="542A0AA4"/>
    <w:multiLevelType w:val="hybridMultilevel"/>
    <w:tmpl w:val="B10EFB04"/>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57907C9D"/>
    <w:multiLevelType w:val="hybridMultilevel"/>
    <w:tmpl w:val="C5B436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9" w15:restartNumberingAfterBreak="0">
    <w:nsid w:val="579D58A0"/>
    <w:multiLevelType w:val="hybridMultilevel"/>
    <w:tmpl w:val="72220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90D1BCD"/>
    <w:multiLevelType w:val="multilevel"/>
    <w:tmpl w:val="CFCA37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71" w15:restartNumberingAfterBreak="0">
    <w:nsid w:val="59D6337F"/>
    <w:multiLevelType w:val="hybridMultilevel"/>
    <w:tmpl w:val="B7D2AAC0"/>
    <w:lvl w:ilvl="0" w:tplc="077A0D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B441A24"/>
    <w:multiLevelType w:val="hybridMultilevel"/>
    <w:tmpl w:val="0A56F10A"/>
    <w:lvl w:ilvl="0" w:tplc="2B50FEAA">
      <w:start w:val="1"/>
      <w:numFmt w:val="decimal"/>
      <w:lvlText w:val="%1."/>
      <w:lvlJc w:val="left"/>
      <w:pPr>
        <w:ind w:left="1080" w:hanging="360"/>
      </w:pPr>
      <w:rPr>
        <w:rFonts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3" w15:restartNumberingAfterBreak="0">
    <w:nsid w:val="5B732572"/>
    <w:multiLevelType w:val="hybridMultilevel"/>
    <w:tmpl w:val="D09EE4CE"/>
    <w:lvl w:ilvl="0" w:tplc="6AFA64D0">
      <w:start w:val="1"/>
      <w:numFmt w:val="bullet"/>
      <w:pStyle w:val="M1"/>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BCE40EB"/>
    <w:multiLevelType w:val="hybridMultilevel"/>
    <w:tmpl w:val="979849D4"/>
    <w:lvl w:ilvl="0" w:tplc="2B50FEAA">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5" w15:restartNumberingAfterBreak="0">
    <w:nsid w:val="5E510FCC"/>
    <w:multiLevelType w:val="hybridMultilevel"/>
    <w:tmpl w:val="C0A64312"/>
    <w:lvl w:ilvl="0" w:tplc="9066164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F811C44"/>
    <w:multiLevelType w:val="hybridMultilevel"/>
    <w:tmpl w:val="055E22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FFB61F4"/>
    <w:multiLevelType w:val="hybridMultilevel"/>
    <w:tmpl w:val="47C0F216"/>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0DF13B8"/>
    <w:multiLevelType w:val="hybridMultilevel"/>
    <w:tmpl w:val="5B2E8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1205D90"/>
    <w:multiLevelType w:val="hybridMultilevel"/>
    <w:tmpl w:val="31CE11D4"/>
    <w:lvl w:ilvl="0" w:tplc="53ECF70A">
      <w:start w:val="1"/>
      <w:numFmt w:val="decimal"/>
      <w:pStyle w:val="punktowanierozdz"/>
      <w:lvlText w:val="%1."/>
      <w:lvlJc w:val="left"/>
      <w:pPr>
        <w:ind w:left="1004" w:hanging="360"/>
      </w:pPr>
      <w:rPr>
        <w:rFonts w:cs="Times New Roman"/>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80" w15:restartNumberingAfterBreak="0">
    <w:nsid w:val="61A242F1"/>
    <w:multiLevelType w:val="multilevel"/>
    <w:tmpl w:val="412487E8"/>
    <w:lvl w:ilvl="0">
      <w:start w:val="1"/>
      <w:numFmt w:val="decimal"/>
      <w:pStyle w:val="I-tytudpal"/>
      <w:lvlText w:val="%1."/>
      <w:lvlJc w:val="left"/>
      <w:pPr>
        <w:tabs>
          <w:tab w:val="num" w:pos="360"/>
        </w:tabs>
        <w:ind w:left="360" w:hanging="360"/>
      </w:pPr>
      <w:rPr>
        <w:rFonts w:ascii="Arial Narrow" w:hAnsi="Arial Narrow" w:cs="Times New Roman" w:hint="default"/>
        <w:b/>
        <w:i w:val="0"/>
        <w:sz w:val="28"/>
      </w:rPr>
    </w:lvl>
    <w:lvl w:ilvl="1">
      <w:start w:val="1"/>
      <w:numFmt w:val="decimal"/>
      <w:pStyle w:val="TestRaportPunktowany"/>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81" w15:restartNumberingAfterBreak="0">
    <w:nsid w:val="62180245"/>
    <w:multiLevelType w:val="hybridMultilevel"/>
    <w:tmpl w:val="A404D64E"/>
    <w:lvl w:ilvl="0" w:tplc="A0E60406">
      <w:start w:val="1"/>
      <w:numFmt w:val="decimal"/>
      <w:pStyle w:val="Tytulrozdz"/>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15:restartNumberingAfterBreak="0">
    <w:nsid w:val="63FF67BA"/>
    <w:multiLevelType w:val="hybridMultilevel"/>
    <w:tmpl w:val="4AFADA24"/>
    <w:lvl w:ilvl="0" w:tplc="2B50FEA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617534C"/>
    <w:multiLevelType w:val="hybridMultilevel"/>
    <w:tmpl w:val="8A9E4A62"/>
    <w:lvl w:ilvl="0" w:tplc="237CB6D0">
      <w:start w:val="1"/>
      <w:numFmt w:val="decimal"/>
      <w:pStyle w:val="numeracja2"/>
      <w:lvlText w:val="2.%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84" w15:restartNumberingAfterBreak="0">
    <w:nsid w:val="667A189A"/>
    <w:multiLevelType w:val="hybridMultilevel"/>
    <w:tmpl w:val="2500F3CA"/>
    <w:lvl w:ilvl="0" w:tplc="0415000F">
      <w:start w:val="1"/>
      <w:numFmt w:val="decimal"/>
      <w:lvlText w:val="%1."/>
      <w:lvlJc w:val="left"/>
      <w:pPr>
        <w:ind w:left="720" w:hanging="360"/>
      </w:pPr>
    </w:lvl>
    <w:lvl w:ilvl="1" w:tplc="394A4A7E">
      <w:start w:val="1"/>
      <w:numFmt w:val="bullet"/>
      <w:lvlText w:val=""/>
      <w:lvlJc w:val="left"/>
      <w:pPr>
        <w:ind w:left="1440" w:hanging="360"/>
      </w:pPr>
      <w:rPr>
        <w:rFonts w:ascii="Symbol" w:hAnsi="Symbol" w:hint="default"/>
        <w:color w:val="003399"/>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69659F3"/>
    <w:multiLevelType w:val="hybridMultilevel"/>
    <w:tmpl w:val="F6D4B60E"/>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9">
      <w:start w:val="1"/>
      <w:numFmt w:val="lowerLetter"/>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66CB4A98"/>
    <w:multiLevelType w:val="hybridMultilevel"/>
    <w:tmpl w:val="6226A48C"/>
    <w:lvl w:ilvl="0" w:tplc="1930AD92">
      <w:start w:val="1"/>
      <w:numFmt w:val="lowerLetter"/>
      <w:pStyle w:val="punktory"/>
      <w:lvlText w:val="%1)"/>
      <w:lvlJc w:val="left"/>
      <w:pPr>
        <w:ind w:left="1004" w:hanging="360"/>
      </w:pPr>
      <w:rPr>
        <w:rFonts w:cs="Times New Roman" w:hint="default"/>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87" w15:restartNumberingAfterBreak="0">
    <w:nsid w:val="685D0A82"/>
    <w:multiLevelType w:val="hybridMultilevel"/>
    <w:tmpl w:val="C1160BB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6BA72F39"/>
    <w:multiLevelType w:val="hybridMultilevel"/>
    <w:tmpl w:val="B476B30E"/>
    <w:lvl w:ilvl="0" w:tplc="C88E90AE">
      <w:start w:val="1"/>
      <w:numFmt w:val="decimal"/>
      <w:pStyle w:val="numeracja"/>
      <w:lvlText w:val="1.%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89" w15:restartNumberingAfterBreak="0">
    <w:nsid w:val="6C291EE8"/>
    <w:multiLevelType w:val="hybridMultilevel"/>
    <w:tmpl w:val="D390C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C31608B"/>
    <w:multiLevelType w:val="hybridMultilevel"/>
    <w:tmpl w:val="B890E33C"/>
    <w:lvl w:ilvl="0" w:tplc="C0120C92">
      <w:start w:val="1"/>
      <w:numFmt w:val="decimal"/>
      <w:pStyle w:val="2nagowek"/>
      <w:lvlText w:val="2.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1" w15:restartNumberingAfterBreak="0">
    <w:nsid w:val="6CEB4D84"/>
    <w:multiLevelType w:val="hybridMultilevel"/>
    <w:tmpl w:val="EE746D28"/>
    <w:lvl w:ilvl="0" w:tplc="F48E8468">
      <w:start w:val="1"/>
      <w:numFmt w:val="bullet"/>
      <w:lvlText w:val=""/>
      <w:lvlJc w:val="left"/>
      <w:pPr>
        <w:ind w:left="1080" w:hanging="360"/>
      </w:pPr>
      <w:rPr>
        <w:rFonts w:ascii="Symbol" w:hAnsi="Symbol" w:hint="default"/>
        <w:color w:val="auto"/>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2" w15:restartNumberingAfterBreak="0">
    <w:nsid w:val="6D220F89"/>
    <w:multiLevelType w:val="multilevel"/>
    <w:tmpl w:val="FFFFFFFF"/>
    <w:lvl w:ilvl="0">
      <w:start w:val="1"/>
      <w:numFmt w:val="bullet"/>
      <w:lvlText w:val=""/>
      <w:lvlJc w:val="left"/>
      <w:pPr>
        <w:ind w:left="720" w:hanging="360"/>
      </w:pPr>
      <w:rPr>
        <w:rFonts w:ascii="Symbol" w:hAnsi="Symbol" w:cs="Symbol" w:hint="default"/>
        <w:color w:val="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3" w15:restartNumberingAfterBreak="0">
    <w:nsid w:val="6DAD5958"/>
    <w:multiLevelType w:val="hybridMultilevel"/>
    <w:tmpl w:val="AD74DC30"/>
    <w:lvl w:ilvl="0" w:tplc="F48E8468">
      <w:start w:val="1"/>
      <w:numFmt w:val="bullet"/>
      <w:lvlText w:val=""/>
      <w:lvlJc w:val="left"/>
      <w:pPr>
        <w:ind w:left="1080" w:hanging="360"/>
      </w:pPr>
      <w:rPr>
        <w:rFonts w:ascii="Symbol" w:hAnsi="Symbol" w:hint="default"/>
        <w:color w:val="auto"/>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4" w15:restartNumberingAfterBreak="0">
    <w:nsid w:val="6E550F49"/>
    <w:multiLevelType w:val="hybridMultilevel"/>
    <w:tmpl w:val="2864081C"/>
    <w:styleLink w:val="Styl3"/>
    <w:lvl w:ilvl="0" w:tplc="63DC5CB4">
      <w:start w:val="1"/>
      <w:numFmt w:val="decimal"/>
      <w:lvlText w:val="%1."/>
      <w:lvlJc w:val="left"/>
      <w:pPr>
        <w:ind w:left="720" w:hanging="360"/>
      </w:pPr>
    </w:lvl>
    <w:lvl w:ilvl="1" w:tplc="C4EAE58A">
      <w:start w:val="1"/>
      <w:numFmt w:val="lowerLetter"/>
      <w:lvlText w:val="%2."/>
      <w:lvlJc w:val="left"/>
      <w:pPr>
        <w:ind w:left="1440" w:hanging="360"/>
      </w:pPr>
    </w:lvl>
    <w:lvl w:ilvl="2" w:tplc="614AED26">
      <w:start w:val="1"/>
      <w:numFmt w:val="lowerRoman"/>
      <w:lvlText w:val="%3."/>
      <w:lvlJc w:val="right"/>
      <w:pPr>
        <w:ind w:left="2160" w:hanging="180"/>
      </w:pPr>
    </w:lvl>
    <w:lvl w:ilvl="3" w:tplc="7930B0CE">
      <w:start w:val="1"/>
      <w:numFmt w:val="decimal"/>
      <w:lvlText w:val="%4."/>
      <w:lvlJc w:val="left"/>
      <w:pPr>
        <w:ind w:left="2880" w:hanging="360"/>
      </w:pPr>
    </w:lvl>
    <w:lvl w:ilvl="4" w:tplc="5E903DFC">
      <w:start w:val="1"/>
      <w:numFmt w:val="lowerLetter"/>
      <w:lvlText w:val="%5."/>
      <w:lvlJc w:val="left"/>
      <w:pPr>
        <w:ind w:left="3600" w:hanging="360"/>
      </w:pPr>
    </w:lvl>
    <w:lvl w:ilvl="5" w:tplc="65BE8256">
      <w:start w:val="1"/>
      <w:numFmt w:val="lowerRoman"/>
      <w:lvlText w:val="%6."/>
      <w:lvlJc w:val="right"/>
      <w:pPr>
        <w:ind w:left="4320" w:hanging="180"/>
      </w:pPr>
    </w:lvl>
    <w:lvl w:ilvl="6" w:tplc="BC78F98A">
      <w:start w:val="1"/>
      <w:numFmt w:val="decimal"/>
      <w:lvlText w:val="%7."/>
      <w:lvlJc w:val="left"/>
      <w:pPr>
        <w:ind w:left="5040" w:hanging="360"/>
      </w:pPr>
    </w:lvl>
    <w:lvl w:ilvl="7" w:tplc="EF82D164">
      <w:start w:val="1"/>
      <w:numFmt w:val="lowerLetter"/>
      <w:lvlText w:val="%8."/>
      <w:lvlJc w:val="left"/>
      <w:pPr>
        <w:ind w:left="5760" w:hanging="360"/>
      </w:pPr>
    </w:lvl>
    <w:lvl w:ilvl="8" w:tplc="7E1EDC10">
      <w:start w:val="1"/>
      <w:numFmt w:val="lowerRoman"/>
      <w:lvlText w:val="%9."/>
      <w:lvlJc w:val="right"/>
      <w:pPr>
        <w:ind w:left="6480" w:hanging="180"/>
      </w:pPr>
    </w:lvl>
  </w:abstractNum>
  <w:abstractNum w:abstractNumId="95" w15:restartNumberingAfterBreak="0">
    <w:nsid w:val="6FA567CD"/>
    <w:multiLevelType w:val="hybridMultilevel"/>
    <w:tmpl w:val="DC4CFF72"/>
    <w:lvl w:ilvl="0" w:tplc="04150001">
      <w:start w:val="1"/>
      <w:numFmt w:val="bullet"/>
      <w:lvlText w:val=""/>
      <w:lvlJc w:val="left"/>
      <w:pPr>
        <w:ind w:left="718" w:hanging="360"/>
      </w:pPr>
      <w:rPr>
        <w:rFonts w:ascii="Symbol" w:hAnsi="Symbol" w:hint="default"/>
        <w:color w:val="000000"/>
        <w:sz w:val="22"/>
      </w:rPr>
    </w:lvl>
    <w:lvl w:ilvl="1" w:tplc="04150003">
      <w:start w:val="1"/>
      <w:numFmt w:val="bullet"/>
      <w:lvlText w:val="o"/>
      <w:lvlJc w:val="left"/>
      <w:pPr>
        <w:ind w:left="1438" w:hanging="360"/>
      </w:pPr>
      <w:rPr>
        <w:rFonts w:ascii="Courier New" w:hAnsi="Courier New" w:cs="Courier New" w:hint="default"/>
      </w:rPr>
    </w:lvl>
    <w:lvl w:ilvl="2" w:tplc="04150005">
      <w:start w:val="1"/>
      <w:numFmt w:val="bullet"/>
      <w:lvlText w:val=""/>
      <w:lvlJc w:val="left"/>
      <w:pPr>
        <w:ind w:left="2158" w:hanging="360"/>
      </w:pPr>
      <w:rPr>
        <w:rFonts w:ascii="Wingdings" w:hAnsi="Wingdings" w:hint="default"/>
      </w:rPr>
    </w:lvl>
    <w:lvl w:ilvl="3" w:tplc="04150001">
      <w:start w:val="1"/>
      <w:numFmt w:val="bullet"/>
      <w:lvlText w:val=""/>
      <w:lvlJc w:val="left"/>
      <w:pPr>
        <w:ind w:left="2878" w:hanging="360"/>
      </w:pPr>
      <w:rPr>
        <w:rFonts w:ascii="Symbol" w:hAnsi="Symbol" w:hint="default"/>
      </w:rPr>
    </w:lvl>
    <w:lvl w:ilvl="4" w:tplc="04150003">
      <w:start w:val="1"/>
      <w:numFmt w:val="bullet"/>
      <w:lvlText w:val="o"/>
      <w:lvlJc w:val="left"/>
      <w:pPr>
        <w:ind w:left="3598" w:hanging="360"/>
      </w:pPr>
      <w:rPr>
        <w:rFonts w:ascii="Courier New" w:hAnsi="Courier New" w:cs="Courier New" w:hint="default"/>
      </w:rPr>
    </w:lvl>
    <w:lvl w:ilvl="5" w:tplc="04150005">
      <w:start w:val="1"/>
      <w:numFmt w:val="bullet"/>
      <w:lvlText w:val=""/>
      <w:lvlJc w:val="left"/>
      <w:pPr>
        <w:ind w:left="4318" w:hanging="360"/>
      </w:pPr>
      <w:rPr>
        <w:rFonts w:ascii="Wingdings" w:hAnsi="Wingdings" w:hint="default"/>
      </w:rPr>
    </w:lvl>
    <w:lvl w:ilvl="6" w:tplc="04150001">
      <w:start w:val="1"/>
      <w:numFmt w:val="bullet"/>
      <w:lvlText w:val=""/>
      <w:lvlJc w:val="left"/>
      <w:pPr>
        <w:ind w:left="5038" w:hanging="360"/>
      </w:pPr>
      <w:rPr>
        <w:rFonts w:ascii="Symbol" w:hAnsi="Symbol" w:hint="default"/>
      </w:rPr>
    </w:lvl>
    <w:lvl w:ilvl="7" w:tplc="04150003">
      <w:start w:val="1"/>
      <w:numFmt w:val="bullet"/>
      <w:lvlText w:val="o"/>
      <w:lvlJc w:val="left"/>
      <w:pPr>
        <w:ind w:left="5758" w:hanging="360"/>
      </w:pPr>
      <w:rPr>
        <w:rFonts w:ascii="Courier New" w:hAnsi="Courier New" w:cs="Courier New" w:hint="default"/>
      </w:rPr>
    </w:lvl>
    <w:lvl w:ilvl="8" w:tplc="04150005">
      <w:start w:val="1"/>
      <w:numFmt w:val="bullet"/>
      <w:lvlText w:val=""/>
      <w:lvlJc w:val="left"/>
      <w:pPr>
        <w:ind w:left="6478" w:hanging="360"/>
      </w:pPr>
      <w:rPr>
        <w:rFonts w:ascii="Wingdings" w:hAnsi="Wingdings" w:hint="default"/>
      </w:rPr>
    </w:lvl>
  </w:abstractNum>
  <w:abstractNum w:abstractNumId="96" w15:restartNumberingAfterBreak="0">
    <w:nsid w:val="71911180"/>
    <w:multiLevelType w:val="hybridMultilevel"/>
    <w:tmpl w:val="093EC87E"/>
    <w:lvl w:ilvl="0" w:tplc="F78C73CC">
      <w:start w:val="1"/>
      <w:numFmt w:val="decimal"/>
      <w:pStyle w:val="NSTabelanaglowek"/>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74B22A39"/>
    <w:multiLevelType w:val="hybridMultilevel"/>
    <w:tmpl w:val="EDB6DC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74BE77A2"/>
    <w:multiLevelType w:val="hybridMultilevel"/>
    <w:tmpl w:val="9F38C9C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9" w15:restartNumberingAfterBreak="0">
    <w:nsid w:val="75685B12"/>
    <w:multiLevelType w:val="hybridMultilevel"/>
    <w:tmpl w:val="F9DC2F12"/>
    <w:lvl w:ilvl="0" w:tplc="04150001">
      <w:start w:val="1"/>
      <w:numFmt w:val="bullet"/>
      <w:lvlText w:val=""/>
      <w:lvlJc w:val="left"/>
      <w:pPr>
        <w:ind w:left="360" w:hanging="360"/>
      </w:pPr>
      <w:rPr>
        <w:rFonts w:ascii="Symbol" w:hAnsi="Symbol"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0" w15:restartNumberingAfterBreak="0">
    <w:nsid w:val="75A47089"/>
    <w:multiLevelType w:val="hybridMultilevel"/>
    <w:tmpl w:val="F78080D8"/>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01" w15:restartNumberingAfterBreak="0">
    <w:nsid w:val="77281138"/>
    <w:multiLevelType w:val="multilevel"/>
    <w:tmpl w:val="6D3AD8A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2" w15:restartNumberingAfterBreak="0">
    <w:nsid w:val="79336642"/>
    <w:multiLevelType w:val="hybridMultilevel"/>
    <w:tmpl w:val="75047616"/>
    <w:lvl w:ilvl="0" w:tplc="F156FBBE">
      <w:start w:val="3"/>
      <w:numFmt w:val="decimal"/>
      <w:pStyle w:val="Podtyturozdz"/>
      <w:lvlText w:val="%1.1. "/>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3" w15:restartNumberingAfterBreak="0">
    <w:nsid w:val="79F21630"/>
    <w:multiLevelType w:val="multilevel"/>
    <w:tmpl w:val="5F58398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7A0C5E6C"/>
    <w:multiLevelType w:val="multilevel"/>
    <w:tmpl w:val="5F58398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5" w15:restartNumberingAfterBreak="0">
    <w:nsid w:val="7AD228FF"/>
    <w:multiLevelType w:val="hybridMultilevel"/>
    <w:tmpl w:val="ECD2F6EC"/>
    <w:lvl w:ilvl="0" w:tplc="7ECE16AA">
      <w:start w:val="1"/>
      <w:numFmt w:val="bullet"/>
      <w:pStyle w:val="Punkty3"/>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06" w15:restartNumberingAfterBreak="0">
    <w:nsid w:val="7E083CA7"/>
    <w:multiLevelType w:val="hybridMultilevel"/>
    <w:tmpl w:val="8C3EB484"/>
    <w:lvl w:ilvl="0" w:tplc="BD2009FE">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lvl>
    <w:lvl w:ilvl="2" w:tplc="077A0DE4">
      <w:start w:val="1"/>
      <w:numFmt w:val="bullet"/>
      <w:lvlText w:val=""/>
      <w:lvlJc w:val="left"/>
      <w:pPr>
        <w:ind w:left="2160" w:hanging="360"/>
      </w:pPr>
      <w:rPr>
        <w:rFonts w:ascii="Symbol" w:hAnsi="Symbol" w:hint="default"/>
      </w:rPr>
    </w:lvl>
    <w:lvl w:ilvl="3" w:tplc="263C5030">
      <w:start w:val="1"/>
      <w:numFmt w:val="bullet"/>
      <w:lvlText w:val="•"/>
      <w:lvlJc w:val="left"/>
      <w:pPr>
        <w:ind w:left="2880" w:hanging="360"/>
      </w:pPr>
      <w:rPr>
        <w:rFonts w:ascii="Calibri" w:eastAsia="Times New Roman" w:hAnsi="Calibri" w:cs="Calibri"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7" w15:restartNumberingAfterBreak="0">
    <w:nsid w:val="7E530F74"/>
    <w:multiLevelType w:val="hybridMultilevel"/>
    <w:tmpl w:val="31D87A10"/>
    <w:lvl w:ilvl="0" w:tplc="13F8957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7F106ED9"/>
    <w:multiLevelType w:val="hybridMultilevel"/>
    <w:tmpl w:val="A502EB10"/>
    <w:lvl w:ilvl="0" w:tplc="2B50FEAA">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9" w15:restartNumberingAfterBreak="0">
    <w:nsid w:val="7FBD37D0"/>
    <w:multiLevelType w:val="hybridMultilevel"/>
    <w:tmpl w:val="01AC7336"/>
    <w:lvl w:ilvl="0" w:tplc="04150001">
      <w:start w:val="1"/>
      <w:numFmt w:val="decimal"/>
      <w:pStyle w:val="spisliteratury"/>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num w:numId="1">
    <w:abstractNumId w:val="1"/>
  </w:num>
  <w:num w:numId="2">
    <w:abstractNumId w:val="9"/>
  </w:num>
  <w:num w:numId="3">
    <w:abstractNumId w:val="86"/>
  </w:num>
  <w:num w:numId="4">
    <w:abstractNumId w:val="37"/>
  </w:num>
  <w:num w:numId="5">
    <w:abstractNumId w:val="0"/>
  </w:num>
  <w:num w:numId="6">
    <w:abstractNumId w:val="96"/>
  </w:num>
  <w:num w:numId="7">
    <w:abstractNumId w:val="38"/>
  </w:num>
  <w:num w:numId="8">
    <w:abstractNumId w:val="58"/>
  </w:num>
  <w:num w:numId="9">
    <w:abstractNumId w:val="46"/>
  </w:num>
  <w:num w:numId="10">
    <w:abstractNumId w:val="73"/>
  </w:num>
  <w:num w:numId="11">
    <w:abstractNumId w:val="67"/>
  </w:num>
  <w:num w:numId="12">
    <w:abstractNumId w:val="76"/>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20"/>
  </w:num>
  <w:num w:numId="16">
    <w:abstractNumId w:val="109"/>
  </w:num>
  <w:num w:numId="17">
    <w:abstractNumId w:val="2"/>
  </w:num>
  <w:num w:numId="18">
    <w:abstractNumId w:val="81"/>
  </w:num>
  <w:num w:numId="19">
    <w:abstractNumId w:val="102"/>
  </w:num>
  <w:num w:numId="20">
    <w:abstractNumId w:val="79"/>
  </w:num>
  <w:num w:numId="21">
    <w:abstractNumId w:val="31"/>
  </w:num>
  <w:num w:numId="22">
    <w:abstractNumId w:val="88"/>
  </w:num>
  <w:num w:numId="23">
    <w:abstractNumId w:val="83"/>
  </w:num>
  <w:num w:numId="24">
    <w:abstractNumId w:val="18"/>
  </w:num>
  <w:num w:numId="25">
    <w:abstractNumId w:val="17"/>
  </w:num>
  <w:num w:numId="26">
    <w:abstractNumId w:val="90"/>
  </w:num>
  <w:num w:numId="27">
    <w:abstractNumId w:val="48"/>
  </w:num>
  <w:num w:numId="28">
    <w:abstractNumId w:val="35"/>
  </w:num>
  <w:num w:numId="29">
    <w:abstractNumId w:val="15"/>
  </w:num>
  <w:num w:numId="30">
    <w:abstractNumId w:val="80"/>
  </w:num>
  <w:num w:numId="31">
    <w:abstractNumId w:val="49"/>
  </w:num>
  <w:num w:numId="32">
    <w:abstractNumId w:val="8"/>
  </w:num>
  <w:num w:numId="33">
    <w:abstractNumId w:val="82"/>
  </w:num>
  <w:num w:numId="34">
    <w:abstractNumId w:val="36"/>
  </w:num>
  <w:num w:numId="35">
    <w:abstractNumId w:val="42"/>
  </w:num>
  <w:num w:numId="36">
    <w:abstractNumId w:val="54"/>
    <w:lvlOverride w:ilvl="0">
      <w:startOverride w:val="1"/>
    </w:lvlOverride>
  </w:num>
  <w:num w:numId="37">
    <w:abstractNumId w:val="54"/>
    <w:lvlOverride w:ilvl="0">
      <w:startOverride w:val="1"/>
    </w:lvlOverride>
  </w:num>
  <w:num w:numId="38">
    <w:abstractNumId w:val="54"/>
    <w:lvlOverride w:ilvl="0">
      <w:startOverride w:val="1"/>
    </w:lvlOverride>
  </w:num>
  <w:num w:numId="39">
    <w:abstractNumId w:val="54"/>
    <w:lvlOverride w:ilvl="0">
      <w:startOverride w:val="1"/>
    </w:lvlOverride>
  </w:num>
  <w:num w:numId="40">
    <w:abstractNumId w:val="54"/>
    <w:lvlOverride w:ilvl="0">
      <w:startOverride w:val="1"/>
    </w:lvlOverride>
  </w:num>
  <w:num w:numId="41">
    <w:abstractNumId w:val="54"/>
    <w:lvlOverride w:ilvl="0">
      <w:startOverride w:val="1"/>
    </w:lvlOverride>
  </w:num>
  <w:num w:numId="42">
    <w:abstractNumId w:val="54"/>
    <w:lvlOverride w:ilvl="0">
      <w:startOverride w:val="1"/>
    </w:lvlOverride>
  </w:num>
  <w:num w:numId="43">
    <w:abstractNumId w:val="54"/>
    <w:lvlOverride w:ilvl="0">
      <w:startOverride w:val="1"/>
    </w:lvlOverride>
  </w:num>
  <w:num w:numId="44">
    <w:abstractNumId w:val="54"/>
    <w:lvlOverride w:ilvl="0">
      <w:startOverride w:val="1"/>
    </w:lvlOverride>
  </w:num>
  <w:num w:numId="45">
    <w:abstractNumId w:val="54"/>
    <w:lvlOverride w:ilvl="0">
      <w:startOverride w:val="1"/>
    </w:lvlOverride>
  </w:num>
  <w:num w:numId="46">
    <w:abstractNumId w:val="54"/>
    <w:lvlOverride w:ilvl="0">
      <w:startOverride w:val="1"/>
    </w:lvlOverride>
  </w:num>
  <w:num w:numId="47">
    <w:abstractNumId w:val="54"/>
    <w:lvlOverride w:ilvl="0">
      <w:startOverride w:val="1"/>
    </w:lvlOverride>
  </w:num>
  <w:num w:numId="48">
    <w:abstractNumId w:val="54"/>
    <w:lvlOverride w:ilvl="0">
      <w:startOverride w:val="1"/>
    </w:lvlOverride>
  </w:num>
  <w:num w:numId="49">
    <w:abstractNumId w:val="54"/>
    <w:lvlOverride w:ilvl="0">
      <w:startOverride w:val="1"/>
    </w:lvlOverride>
  </w:num>
  <w:num w:numId="50">
    <w:abstractNumId w:val="54"/>
    <w:lvlOverride w:ilvl="0">
      <w:startOverride w:val="1"/>
    </w:lvlOverride>
  </w:num>
  <w:num w:numId="51">
    <w:abstractNumId w:val="54"/>
    <w:lvlOverride w:ilvl="0">
      <w:startOverride w:val="1"/>
    </w:lvlOverride>
  </w:num>
  <w:num w:numId="52">
    <w:abstractNumId w:val="54"/>
    <w:lvlOverride w:ilvl="0">
      <w:startOverride w:val="1"/>
    </w:lvlOverride>
  </w:num>
  <w:num w:numId="53">
    <w:abstractNumId w:val="54"/>
    <w:lvlOverride w:ilvl="0">
      <w:startOverride w:val="1"/>
    </w:lvlOverride>
  </w:num>
  <w:num w:numId="54">
    <w:abstractNumId w:val="54"/>
    <w:lvlOverride w:ilvl="0">
      <w:startOverride w:val="1"/>
    </w:lvlOverride>
  </w:num>
  <w:num w:numId="55">
    <w:abstractNumId w:val="54"/>
    <w:lvlOverride w:ilvl="0">
      <w:startOverride w:val="1"/>
    </w:lvlOverride>
  </w:num>
  <w:num w:numId="56">
    <w:abstractNumId w:val="54"/>
    <w:lvlOverride w:ilvl="0">
      <w:startOverride w:val="1"/>
    </w:lvlOverride>
  </w:num>
  <w:num w:numId="57">
    <w:abstractNumId w:val="7"/>
  </w:num>
  <w:num w:numId="58">
    <w:abstractNumId w:val="89"/>
  </w:num>
  <w:num w:numId="59">
    <w:abstractNumId w:val="11"/>
  </w:num>
  <w:num w:numId="60">
    <w:abstractNumId w:val="43"/>
  </w:num>
  <w:num w:numId="61">
    <w:abstractNumId w:val="95"/>
  </w:num>
  <w:num w:numId="62">
    <w:abstractNumId w:val="68"/>
  </w:num>
  <w:num w:numId="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7"/>
  </w:num>
  <w:num w:numId="65">
    <w:abstractNumId w:val="50"/>
  </w:num>
  <w:num w:numId="66">
    <w:abstractNumId w:val="34"/>
  </w:num>
  <w:num w:numId="67">
    <w:abstractNumId w:val="84"/>
  </w:num>
  <w:num w:numId="68">
    <w:abstractNumId w:val="55"/>
  </w:num>
  <w:num w:numId="69">
    <w:abstractNumId w:val="12"/>
  </w:num>
  <w:num w:numId="70">
    <w:abstractNumId w:val="105"/>
  </w:num>
  <w:num w:numId="71">
    <w:abstractNumId w:val="78"/>
  </w:num>
  <w:num w:numId="72">
    <w:abstractNumId w:val="61"/>
  </w:num>
  <w:num w:numId="73">
    <w:abstractNumId w:val="29"/>
  </w:num>
  <w:num w:numId="74">
    <w:abstractNumId w:val="28"/>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06"/>
    <w:lvlOverride w:ilvl="0"/>
    <w:lvlOverride w:ilvl="1">
      <w:startOverride w:val="1"/>
    </w:lvlOverride>
    <w:lvlOverride w:ilvl="2"/>
    <w:lvlOverride w:ilvl="3"/>
    <w:lvlOverride w:ilvl="4"/>
    <w:lvlOverride w:ilvl="5"/>
    <w:lvlOverride w:ilvl="6"/>
    <w:lvlOverride w:ilvl="7"/>
    <w:lvlOverride w:ilvl="8"/>
  </w:num>
  <w:num w:numId="78">
    <w:abstractNumId w:val="98"/>
  </w:num>
  <w:num w:numId="79">
    <w:abstractNumId w:val="66"/>
  </w:num>
  <w:num w:numId="80">
    <w:abstractNumId w:val="87"/>
  </w:num>
  <w:num w:numId="81">
    <w:abstractNumId w:val="6"/>
  </w:num>
  <w:num w:numId="82">
    <w:abstractNumId w:val="107"/>
  </w:num>
  <w:num w:numId="83">
    <w:abstractNumId w:val="54"/>
    <w:lvlOverride w:ilvl="0">
      <w:startOverride w:val="1"/>
    </w:lvlOverride>
  </w:num>
  <w:num w:numId="84">
    <w:abstractNumId w:val="106"/>
  </w:num>
  <w:num w:numId="85">
    <w:abstractNumId w:val="28"/>
    <w:lvlOverride w:ilvl="0">
      <w:startOverride w:val="1"/>
    </w:lvlOverride>
  </w:num>
  <w:num w:numId="86">
    <w:abstractNumId w:val="33"/>
  </w:num>
  <w:num w:numId="87">
    <w:abstractNumId w:val="108"/>
  </w:num>
  <w:num w:numId="88">
    <w:abstractNumId w:val="54"/>
    <w:lvlOverride w:ilvl="0">
      <w:startOverride w:val="1"/>
    </w:lvlOverride>
  </w:num>
  <w:num w:numId="89">
    <w:abstractNumId w:val="103"/>
  </w:num>
  <w:num w:numId="90">
    <w:abstractNumId w:val="54"/>
    <w:lvlOverride w:ilvl="0">
      <w:startOverride w:val="1"/>
    </w:lvlOverride>
  </w:num>
  <w:num w:numId="91">
    <w:abstractNumId w:val="104"/>
  </w:num>
  <w:num w:numId="92">
    <w:abstractNumId w:val="51"/>
  </w:num>
  <w:num w:numId="93">
    <w:abstractNumId w:val="40"/>
  </w:num>
  <w:num w:numId="94">
    <w:abstractNumId w:val="93"/>
  </w:num>
  <w:num w:numId="95">
    <w:abstractNumId w:val="53"/>
  </w:num>
  <w:num w:numId="96">
    <w:abstractNumId w:val="91"/>
  </w:num>
  <w:num w:numId="97">
    <w:abstractNumId w:val="3"/>
  </w:num>
  <w:num w:numId="98">
    <w:abstractNumId w:val="62"/>
  </w:num>
  <w:num w:numId="99">
    <w:abstractNumId w:val="85"/>
  </w:num>
  <w:num w:numId="100">
    <w:abstractNumId w:val="26"/>
  </w:num>
  <w:num w:numId="101">
    <w:abstractNumId w:val="13"/>
  </w:num>
  <w:num w:numId="102">
    <w:abstractNumId w:val="99"/>
  </w:num>
  <w:num w:numId="103">
    <w:abstractNumId w:val="60"/>
  </w:num>
  <w:num w:numId="104">
    <w:abstractNumId w:val="52"/>
  </w:num>
  <w:num w:numId="105">
    <w:abstractNumId w:val="4"/>
  </w:num>
  <w:num w:numId="106">
    <w:abstractNumId w:val="77"/>
  </w:num>
  <w:num w:numId="107">
    <w:abstractNumId w:val="72"/>
  </w:num>
  <w:num w:numId="108">
    <w:abstractNumId w:val="30"/>
  </w:num>
  <w:num w:numId="109">
    <w:abstractNumId w:val="101"/>
  </w:num>
  <w:num w:numId="110">
    <w:abstractNumId w:val="74"/>
  </w:num>
  <w:num w:numId="111">
    <w:abstractNumId w:val="39"/>
  </w:num>
  <w:num w:numId="112">
    <w:abstractNumId w:val="71"/>
  </w:num>
  <w:num w:numId="113">
    <w:abstractNumId w:val="54"/>
    <w:lvlOverride w:ilvl="0">
      <w:startOverride w:val="1"/>
    </w:lvlOverride>
  </w:num>
  <w:num w:numId="114">
    <w:abstractNumId w:val="54"/>
    <w:lvlOverride w:ilvl="0">
      <w:startOverride w:val="1"/>
    </w:lvlOverride>
  </w:num>
  <w:num w:numId="115">
    <w:abstractNumId w:val="59"/>
  </w:num>
  <w:num w:numId="116">
    <w:abstractNumId w:val="94"/>
  </w:num>
  <w:num w:numId="117">
    <w:abstractNumId w:val="24"/>
  </w:num>
  <w:num w:numId="118">
    <w:abstractNumId w:val="44"/>
  </w:num>
  <w:num w:numId="119">
    <w:abstractNumId w:val="21"/>
  </w:num>
  <w:num w:numId="120">
    <w:abstractNumId w:val="54"/>
    <w:lvlOverride w:ilvl="0">
      <w:startOverride w:val="1"/>
    </w:lvlOverride>
  </w:num>
  <w:num w:numId="121">
    <w:abstractNumId w:val="65"/>
  </w:num>
  <w:num w:numId="122">
    <w:abstractNumId w:val="57"/>
  </w:num>
  <w:num w:numId="123">
    <w:abstractNumId w:val="63"/>
  </w:num>
  <w:num w:numId="124">
    <w:abstractNumId w:val="100"/>
  </w:num>
  <w:num w:numId="125">
    <w:abstractNumId w:val="16"/>
  </w:num>
  <w:num w:numId="126">
    <w:abstractNumId w:val="23"/>
  </w:num>
  <w:num w:numId="127">
    <w:abstractNumId w:val="22"/>
  </w:num>
  <w:num w:numId="128">
    <w:abstractNumId w:val="69"/>
  </w:num>
  <w:num w:numId="129">
    <w:abstractNumId w:val="32"/>
  </w:num>
  <w:num w:numId="130">
    <w:abstractNumId w:val="64"/>
  </w:num>
  <w:num w:numId="131">
    <w:abstractNumId w:val="10"/>
  </w:num>
  <w:num w:numId="132">
    <w:abstractNumId w:val="27"/>
  </w:num>
  <w:num w:numId="133">
    <w:abstractNumId w:val="75"/>
  </w:num>
  <w:num w:numId="134">
    <w:abstractNumId w:val="47"/>
  </w:num>
  <w:num w:numId="135">
    <w:abstractNumId w:val="70"/>
  </w:num>
  <w:num w:numId="136">
    <w:abstractNumId w:val="56"/>
  </w:num>
  <w:num w:numId="137">
    <w:abstractNumId w:val="92"/>
  </w:num>
  <w:num w:numId="138">
    <w:abstractNumId w:val="54"/>
  </w:num>
  <w:num w:numId="139">
    <w:abstractNumId w:val="54"/>
  </w:num>
  <w:num w:numId="14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134"/>
  <w:hyphenationZone w:val="425"/>
  <w:characterSpacingControl w:val="doNotCompress"/>
  <w:savePreviewPicture/>
  <w:hdrShapeDefaults>
    <o:shapedefaults v:ext="edit" spidmax="2053"/>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0NTQ2MTUzNjEzMrBU0lEKTi0uzszPAykwrAUAKjzCqSwAAAA="/>
  </w:docVars>
  <w:rsids>
    <w:rsidRoot w:val="00A377DE"/>
    <w:rsid w:val="0000030A"/>
    <w:rsid w:val="00000446"/>
    <w:rsid w:val="000004BC"/>
    <w:rsid w:val="000004C2"/>
    <w:rsid w:val="00000670"/>
    <w:rsid w:val="00000671"/>
    <w:rsid w:val="000009E3"/>
    <w:rsid w:val="00000C13"/>
    <w:rsid w:val="00000FA0"/>
    <w:rsid w:val="000011E2"/>
    <w:rsid w:val="000018A2"/>
    <w:rsid w:val="00001924"/>
    <w:rsid w:val="000019D7"/>
    <w:rsid w:val="000019E6"/>
    <w:rsid w:val="00001AD0"/>
    <w:rsid w:val="00001B53"/>
    <w:rsid w:val="00001C92"/>
    <w:rsid w:val="00001F04"/>
    <w:rsid w:val="000020FD"/>
    <w:rsid w:val="0000340A"/>
    <w:rsid w:val="0000408E"/>
    <w:rsid w:val="0000444A"/>
    <w:rsid w:val="000044F3"/>
    <w:rsid w:val="00004565"/>
    <w:rsid w:val="00004830"/>
    <w:rsid w:val="00004AC1"/>
    <w:rsid w:val="000052A6"/>
    <w:rsid w:val="0000573C"/>
    <w:rsid w:val="00005845"/>
    <w:rsid w:val="00005ABA"/>
    <w:rsid w:val="00005D06"/>
    <w:rsid w:val="00006229"/>
    <w:rsid w:val="000063EE"/>
    <w:rsid w:val="000064B2"/>
    <w:rsid w:val="000064EF"/>
    <w:rsid w:val="0000688D"/>
    <w:rsid w:val="000069CD"/>
    <w:rsid w:val="00006D6B"/>
    <w:rsid w:val="00006DF1"/>
    <w:rsid w:val="000075B5"/>
    <w:rsid w:val="00007980"/>
    <w:rsid w:val="000079B5"/>
    <w:rsid w:val="000102A5"/>
    <w:rsid w:val="0001070B"/>
    <w:rsid w:val="000108A0"/>
    <w:rsid w:val="00010A40"/>
    <w:rsid w:val="00010DF1"/>
    <w:rsid w:val="0001120E"/>
    <w:rsid w:val="00011394"/>
    <w:rsid w:val="000113F6"/>
    <w:rsid w:val="000117C8"/>
    <w:rsid w:val="00011A6C"/>
    <w:rsid w:val="00011ACA"/>
    <w:rsid w:val="00011B33"/>
    <w:rsid w:val="00011DDD"/>
    <w:rsid w:val="00011F78"/>
    <w:rsid w:val="000120B1"/>
    <w:rsid w:val="00012298"/>
    <w:rsid w:val="00012376"/>
    <w:rsid w:val="0001265E"/>
    <w:rsid w:val="000127DB"/>
    <w:rsid w:val="00012805"/>
    <w:rsid w:val="00012AB2"/>
    <w:rsid w:val="000135C3"/>
    <w:rsid w:val="00013A78"/>
    <w:rsid w:val="00013AA9"/>
    <w:rsid w:val="00013C73"/>
    <w:rsid w:val="00013C9D"/>
    <w:rsid w:val="000142EB"/>
    <w:rsid w:val="00014382"/>
    <w:rsid w:val="000143FD"/>
    <w:rsid w:val="00014685"/>
    <w:rsid w:val="00014933"/>
    <w:rsid w:val="000149A6"/>
    <w:rsid w:val="00014ADB"/>
    <w:rsid w:val="0001504A"/>
    <w:rsid w:val="00015D34"/>
    <w:rsid w:val="00015E50"/>
    <w:rsid w:val="000160C3"/>
    <w:rsid w:val="00016391"/>
    <w:rsid w:val="00016419"/>
    <w:rsid w:val="0001658F"/>
    <w:rsid w:val="000166C8"/>
    <w:rsid w:val="000166D9"/>
    <w:rsid w:val="00016949"/>
    <w:rsid w:val="0001697A"/>
    <w:rsid w:val="00016A41"/>
    <w:rsid w:val="00016CC3"/>
    <w:rsid w:val="00017073"/>
    <w:rsid w:val="000172C3"/>
    <w:rsid w:val="00017371"/>
    <w:rsid w:val="00017401"/>
    <w:rsid w:val="0001748C"/>
    <w:rsid w:val="0001750E"/>
    <w:rsid w:val="0001763B"/>
    <w:rsid w:val="000178CC"/>
    <w:rsid w:val="00017E1C"/>
    <w:rsid w:val="0002039C"/>
    <w:rsid w:val="0002072C"/>
    <w:rsid w:val="00020C4D"/>
    <w:rsid w:val="00020CBF"/>
    <w:rsid w:val="00020D5D"/>
    <w:rsid w:val="00020DC7"/>
    <w:rsid w:val="000211A0"/>
    <w:rsid w:val="000212DC"/>
    <w:rsid w:val="0002133B"/>
    <w:rsid w:val="0002133D"/>
    <w:rsid w:val="000214FB"/>
    <w:rsid w:val="000215BD"/>
    <w:rsid w:val="00021785"/>
    <w:rsid w:val="000218D8"/>
    <w:rsid w:val="00021EA8"/>
    <w:rsid w:val="00022503"/>
    <w:rsid w:val="00022E85"/>
    <w:rsid w:val="00022F54"/>
    <w:rsid w:val="00023E45"/>
    <w:rsid w:val="00024440"/>
    <w:rsid w:val="00024A0A"/>
    <w:rsid w:val="00024A38"/>
    <w:rsid w:val="00024C2A"/>
    <w:rsid w:val="00024FDD"/>
    <w:rsid w:val="0002555C"/>
    <w:rsid w:val="0002578F"/>
    <w:rsid w:val="000257F8"/>
    <w:rsid w:val="00025AAA"/>
    <w:rsid w:val="00025D48"/>
    <w:rsid w:val="00025DE3"/>
    <w:rsid w:val="00025EE0"/>
    <w:rsid w:val="00025F07"/>
    <w:rsid w:val="0002604D"/>
    <w:rsid w:val="000270C5"/>
    <w:rsid w:val="0002727E"/>
    <w:rsid w:val="00027623"/>
    <w:rsid w:val="000279B9"/>
    <w:rsid w:val="00030201"/>
    <w:rsid w:val="0003044F"/>
    <w:rsid w:val="000306F6"/>
    <w:rsid w:val="000307E9"/>
    <w:rsid w:val="00030ED9"/>
    <w:rsid w:val="00030F64"/>
    <w:rsid w:val="00031E39"/>
    <w:rsid w:val="00031EED"/>
    <w:rsid w:val="00032177"/>
    <w:rsid w:val="00032430"/>
    <w:rsid w:val="000325B3"/>
    <w:rsid w:val="0003274E"/>
    <w:rsid w:val="00033026"/>
    <w:rsid w:val="000331D4"/>
    <w:rsid w:val="00033454"/>
    <w:rsid w:val="000338C0"/>
    <w:rsid w:val="00033F17"/>
    <w:rsid w:val="00034805"/>
    <w:rsid w:val="00034830"/>
    <w:rsid w:val="0003517A"/>
    <w:rsid w:val="00035198"/>
    <w:rsid w:val="0003531A"/>
    <w:rsid w:val="00035757"/>
    <w:rsid w:val="00035B54"/>
    <w:rsid w:val="000360BA"/>
    <w:rsid w:val="000362E6"/>
    <w:rsid w:val="0003632E"/>
    <w:rsid w:val="000364B9"/>
    <w:rsid w:val="00036628"/>
    <w:rsid w:val="00036701"/>
    <w:rsid w:val="000369C2"/>
    <w:rsid w:val="00036A5F"/>
    <w:rsid w:val="00036CE0"/>
    <w:rsid w:val="00036D30"/>
    <w:rsid w:val="00036EB2"/>
    <w:rsid w:val="0003705F"/>
    <w:rsid w:val="0003747E"/>
    <w:rsid w:val="00037E48"/>
    <w:rsid w:val="0004008B"/>
    <w:rsid w:val="00040298"/>
    <w:rsid w:val="000405AC"/>
    <w:rsid w:val="00040728"/>
    <w:rsid w:val="00040E91"/>
    <w:rsid w:val="00040F53"/>
    <w:rsid w:val="00041024"/>
    <w:rsid w:val="0004179F"/>
    <w:rsid w:val="00041ABA"/>
    <w:rsid w:val="00041D10"/>
    <w:rsid w:val="00042164"/>
    <w:rsid w:val="000421A7"/>
    <w:rsid w:val="00042B1A"/>
    <w:rsid w:val="00042B91"/>
    <w:rsid w:val="00042BCB"/>
    <w:rsid w:val="000432C7"/>
    <w:rsid w:val="00043369"/>
    <w:rsid w:val="00043397"/>
    <w:rsid w:val="00043811"/>
    <w:rsid w:val="00043E2D"/>
    <w:rsid w:val="00044350"/>
    <w:rsid w:val="00044378"/>
    <w:rsid w:val="0004439F"/>
    <w:rsid w:val="000447E7"/>
    <w:rsid w:val="00044A9B"/>
    <w:rsid w:val="00044FB1"/>
    <w:rsid w:val="00045160"/>
    <w:rsid w:val="000458A5"/>
    <w:rsid w:val="000459A4"/>
    <w:rsid w:val="000464F8"/>
    <w:rsid w:val="00046736"/>
    <w:rsid w:val="00046828"/>
    <w:rsid w:val="000469D1"/>
    <w:rsid w:val="00046B8F"/>
    <w:rsid w:val="00046CCC"/>
    <w:rsid w:val="000479FE"/>
    <w:rsid w:val="00047C3C"/>
    <w:rsid w:val="00047D5E"/>
    <w:rsid w:val="00047DA0"/>
    <w:rsid w:val="00050036"/>
    <w:rsid w:val="0005040A"/>
    <w:rsid w:val="000504C5"/>
    <w:rsid w:val="00050736"/>
    <w:rsid w:val="00050945"/>
    <w:rsid w:val="000509AE"/>
    <w:rsid w:val="00050CC2"/>
    <w:rsid w:val="000512A8"/>
    <w:rsid w:val="00051E8E"/>
    <w:rsid w:val="000521AD"/>
    <w:rsid w:val="000522D4"/>
    <w:rsid w:val="00052337"/>
    <w:rsid w:val="00052435"/>
    <w:rsid w:val="00052609"/>
    <w:rsid w:val="000528C0"/>
    <w:rsid w:val="00052930"/>
    <w:rsid w:val="0005299D"/>
    <w:rsid w:val="000531CA"/>
    <w:rsid w:val="000533DE"/>
    <w:rsid w:val="00053557"/>
    <w:rsid w:val="00053756"/>
    <w:rsid w:val="00053ACE"/>
    <w:rsid w:val="000541F8"/>
    <w:rsid w:val="00054E96"/>
    <w:rsid w:val="000553C6"/>
    <w:rsid w:val="0005540C"/>
    <w:rsid w:val="0005541D"/>
    <w:rsid w:val="0005547D"/>
    <w:rsid w:val="000554C9"/>
    <w:rsid w:val="000554F0"/>
    <w:rsid w:val="00055773"/>
    <w:rsid w:val="0005599D"/>
    <w:rsid w:val="00055F6D"/>
    <w:rsid w:val="0005635C"/>
    <w:rsid w:val="000564B6"/>
    <w:rsid w:val="000565B7"/>
    <w:rsid w:val="00056C7F"/>
    <w:rsid w:val="00057580"/>
    <w:rsid w:val="000576B5"/>
    <w:rsid w:val="00057772"/>
    <w:rsid w:val="00057947"/>
    <w:rsid w:val="00060339"/>
    <w:rsid w:val="000603F6"/>
    <w:rsid w:val="000603FD"/>
    <w:rsid w:val="00060D92"/>
    <w:rsid w:val="00061289"/>
    <w:rsid w:val="00061365"/>
    <w:rsid w:val="00061A8B"/>
    <w:rsid w:val="000620E7"/>
    <w:rsid w:val="0006224F"/>
    <w:rsid w:val="00062407"/>
    <w:rsid w:val="0006251B"/>
    <w:rsid w:val="00062D9B"/>
    <w:rsid w:val="00062EA7"/>
    <w:rsid w:val="00063030"/>
    <w:rsid w:val="000631D3"/>
    <w:rsid w:val="00063293"/>
    <w:rsid w:val="000634BA"/>
    <w:rsid w:val="000636D7"/>
    <w:rsid w:val="00063CE6"/>
    <w:rsid w:val="00064055"/>
    <w:rsid w:val="00064334"/>
    <w:rsid w:val="0006455C"/>
    <w:rsid w:val="00064748"/>
    <w:rsid w:val="00064BAF"/>
    <w:rsid w:val="00064C65"/>
    <w:rsid w:val="00064E5A"/>
    <w:rsid w:val="00065276"/>
    <w:rsid w:val="000653AF"/>
    <w:rsid w:val="000653F2"/>
    <w:rsid w:val="000654CD"/>
    <w:rsid w:val="000655C7"/>
    <w:rsid w:val="00065762"/>
    <w:rsid w:val="0006587B"/>
    <w:rsid w:val="0006594D"/>
    <w:rsid w:val="000659E8"/>
    <w:rsid w:val="00065A35"/>
    <w:rsid w:val="00065ACD"/>
    <w:rsid w:val="00066119"/>
    <w:rsid w:val="0006613B"/>
    <w:rsid w:val="00066648"/>
    <w:rsid w:val="000666C1"/>
    <w:rsid w:val="000669E8"/>
    <w:rsid w:val="00066D1D"/>
    <w:rsid w:val="000670FC"/>
    <w:rsid w:val="00067142"/>
    <w:rsid w:val="00067207"/>
    <w:rsid w:val="00067464"/>
    <w:rsid w:val="000674BB"/>
    <w:rsid w:val="00067BC0"/>
    <w:rsid w:val="00070016"/>
    <w:rsid w:val="00070226"/>
    <w:rsid w:val="00070301"/>
    <w:rsid w:val="0007044D"/>
    <w:rsid w:val="0007081A"/>
    <w:rsid w:val="0007084D"/>
    <w:rsid w:val="000708E9"/>
    <w:rsid w:val="00070EAD"/>
    <w:rsid w:val="0007106E"/>
    <w:rsid w:val="000710B5"/>
    <w:rsid w:val="00071343"/>
    <w:rsid w:val="0007145C"/>
    <w:rsid w:val="0007145D"/>
    <w:rsid w:val="000714F1"/>
    <w:rsid w:val="0007186D"/>
    <w:rsid w:val="00071991"/>
    <w:rsid w:val="00071BBB"/>
    <w:rsid w:val="00071C33"/>
    <w:rsid w:val="00071D4B"/>
    <w:rsid w:val="00071EE8"/>
    <w:rsid w:val="00072029"/>
    <w:rsid w:val="000727D8"/>
    <w:rsid w:val="0007309F"/>
    <w:rsid w:val="00073368"/>
    <w:rsid w:val="00073421"/>
    <w:rsid w:val="00073B41"/>
    <w:rsid w:val="00073BAB"/>
    <w:rsid w:val="00073CC1"/>
    <w:rsid w:val="00073CFA"/>
    <w:rsid w:val="00073EDB"/>
    <w:rsid w:val="000742E8"/>
    <w:rsid w:val="0007490A"/>
    <w:rsid w:val="00074AA0"/>
    <w:rsid w:val="00074E3F"/>
    <w:rsid w:val="00075010"/>
    <w:rsid w:val="00075849"/>
    <w:rsid w:val="000763A0"/>
    <w:rsid w:val="00076411"/>
    <w:rsid w:val="00076432"/>
    <w:rsid w:val="000764D5"/>
    <w:rsid w:val="000765CF"/>
    <w:rsid w:val="000765F6"/>
    <w:rsid w:val="00077193"/>
    <w:rsid w:val="00077346"/>
    <w:rsid w:val="000773E0"/>
    <w:rsid w:val="000775BA"/>
    <w:rsid w:val="0007769E"/>
    <w:rsid w:val="00077798"/>
    <w:rsid w:val="000804E3"/>
    <w:rsid w:val="00080CC6"/>
    <w:rsid w:val="00080DDE"/>
    <w:rsid w:val="00080E5B"/>
    <w:rsid w:val="00081085"/>
    <w:rsid w:val="00081216"/>
    <w:rsid w:val="00081342"/>
    <w:rsid w:val="00081489"/>
    <w:rsid w:val="000815D3"/>
    <w:rsid w:val="00081658"/>
    <w:rsid w:val="000816D9"/>
    <w:rsid w:val="00081F23"/>
    <w:rsid w:val="0008203A"/>
    <w:rsid w:val="0008238C"/>
    <w:rsid w:val="00082823"/>
    <w:rsid w:val="00082ACC"/>
    <w:rsid w:val="00082CC0"/>
    <w:rsid w:val="000831EE"/>
    <w:rsid w:val="000835C4"/>
    <w:rsid w:val="00083B13"/>
    <w:rsid w:val="00083E19"/>
    <w:rsid w:val="00083E7F"/>
    <w:rsid w:val="00083EAD"/>
    <w:rsid w:val="000840A3"/>
    <w:rsid w:val="000847C8"/>
    <w:rsid w:val="00084EEF"/>
    <w:rsid w:val="0008502B"/>
    <w:rsid w:val="000853A4"/>
    <w:rsid w:val="0008571A"/>
    <w:rsid w:val="000859C6"/>
    <w:rsid w:val="00085D53"/>
    <w:rsid w:val="00085D6B"/>
    <w:rsid w:val="00086789"/>
    <w:rsid w:val="0008699C"/>
    <w:rsid w:val="000869C3"/>
    <w:rsid w:val="000869FD"/>
    <w:rsid w:val="00086B7A"/>
    <w:rsid w:val="00086BC2"/>
    <w:rsid w:val="00086CA2"/>
    <w:rsid w:val="00086D31"/>
    <w:rsid w:val="00086D86"/>
    <w:rsid w:val="00087316"/>
    <w:rsid w:val="00087537"/>
    <w:rsid w:val="00087608"/>
    <w:rsid w:val="00087812"/>
    <w:rsid w:val="0008792C"/>
    <w:rsid w:val="0009015E"/>
    <w:rsid w:val="000901EE"/>
    <w:rsid w:val="000903C1"/>
    <w:rsid w:val="0009051F"/>
    <w:rsid w:val="000909ED"/>
    <w:rsid w:val="00090C70"/>
    <w:rsid w:val="00090F43"/>
    <w:rsid w:val="00090F50"/>
    <w:rsid w:val="000919EF"/>
    <w:rsid w:val="00091B2B"/>
    <w:rsid w:val="00091D05"/>
    <w:rsid w:val="00091E89"/>
    <w:rsid w:val="00091FD1"/>
    <w:rsid w:val="000929C5"/>
    <w:rsid w:val="00092C3F"/>
    <w:rsid w:val="00092E28"/>
    <w:rsid w:val="00092F24"/>
    <w:rsid w:val="00092F81"/>
    <w:rsid w:val="0009313B"/>
    <w:rsid w:val="00093441"/>
    <w:rsid w:val="00093591"/>
    <w:rsid w:val="0009370E"/>
    <w:rsid w:val="00093902"/>
    <w:rsid w:val="00093986"/>
    <w:rsid w:val="000939AC"/>
    <w:rsid w:val="00093A45"/>
    <w:rsid w:val="00093C42"/>
    <w:rsid w:val="00093CF9"/>
    <w:rsid w:val="00094920"/>
    <w:rsid w:val="0009504C"/>
    <w:rsid w:val="000955DA"/>
    <w:rsid w:val="0009563D"/>
    <w:rsid w:val="000957D9"/>
    <w:rsid w:val="00095DAE"/>
    <w:rsid w:val="000962F7"/>
    <w:rsid w:val="000964B1"/>
    <w:rsid w:val="000966F7"/>
    <w:rsid w:val="000967DF"/>
    <w:rsid w:val="00096A88"/>
    <w:rsid w:val="00096D29"/>
    <w:rsid w:val="00097528"/>
    <w:rsid w:val="000975AD"/>
    <w:rsid w:val="00097820"/>
    <w:rsid w:val="00097D81"/>
    <w:rsid w:val="000A00B0"/>
    <w:rsid w:val="000A03D2"/>
    <w:rsid w:val="000A0592"/>
    <w:rsid w:val="000A0605"/>
    <w:rsid w:val="000A0C88"/>
    <w:rsid w:val="000A1212"/>
    <w:rsid w:val="000A185C"/>
    <w:rsid w:val="000A1877"/>
    <w:rsid w:val="000A1A27"/>
    <w:rsid w:val="000A1AC6"/>
    <w:rsid w:val="000A1BC1"/>
    <w:rsid w:val="000A1C6A"/>
    <w:rsid w:val="000A2111"/>
    <w:rsid w:val="000A214A"/>
    <w:rsid w:val="000A217D"/>
    <w:rsid w:val="000A2233"/>
    <w:rsid w:val="000A24AD"/>
    <w:rsid w:val="000A27DD"/>
    <w:rsid w:val="000A2964"/>
    <w:rsid w:val="000A29E7"/>
    <w:rsid w:val="000A2AAC"/>
    <w:rsid w:val="000A2D97"/>
    <w:rsid w:val="000A3185"/>
    <w:rsid w:val="000A3220"/>
    <w:rsid w:val="000A332C"/>
    <w:rsid w:val="000A37A2"/>
    <w:rsid w:val="000A3B35"/>
    <w:rsid w:val="000A459A"/>
    <w:rsid w:val="000A4B08"/>
    <w:rsid w:val="000A4BD3"/>
    <w:rsid w:val="000A4BFC"/>
    <w:rsid w:val="000A4D85"/>
    <w:rsid w:val="000A544A"/>
    <w:rsid w:val="000A5750"/>
    <w:rsid w:val="000A5798"/>
    <w:rsid w:val="000A57C1"/>
    <w:rsid w:val="000A5835"/>
    <w:rsid w:val="000A5930"/>
    <w:rsid w:val="000A59A5"/>
    <w:rsid w:val="000A5AA9"/>
    <w:rsid w:val="000A689D"/>
    <w:rsid w:val="000A68A4"/>
    <w:rsid w:val="000A697F"/>
    <w:rsid w:val="000A6B22"/>
    <w:rsid w:val="000A6C6C"/>
    <w:rsid w:val="000A6D90"/>
    <w:rsid w:val="000A6EA0"/>
    <w:rsid w:val="000A7459"/>
    <w:rsid w:val="000A769A"/>
    <w:rsid w:val="000A784A"/>
    <w:rsid w:val="000A7B87"/>
    <w:rsid w:val="000B010A"/>
    <w:rsid w:val="000B057A"/>
    <w:rsid w:val="000B0832"/>
    <w:rsid w:val="000B0B15"/>
    <w:rsid w:val="000B0D90"/>
    <w:rsid w:val="000B0F00"/>
    <w:rsid w:val="000B107F"/>
    <w:rsid w:val="000B1135"/>
    <w:rsid w:val="000B13B3"/>
    <w:rsid w:val="000B17D9"/>
    <w:rsid w:val="000B187C"/>
    <w:rsid w:val="000B1904"/>
    <w:rsid w:val="000B1E80"/>
    <w:rsid w:val="000B23C3"/>
    <w:rsid w:val="000B26EA"/>
    <w:rsid w:val="000B2ADC"/>
    <w:rsid w:val="000B3127"/>
    <w:rsid w:val="000B37FD"/>
    <w:rsid w:val="000B39AC"/>
    <w:rsid w:val="000B3B3C"/>
    <w:rsid w:val="000B3C3B"/>
    <w:rsid w:val="000B4422"/>
    <w:rsid w:val="000B45CF"/>
    <w:rsid w:val="000B4B75"/>
    <w:rsid w:val="000B4CA8"/>
    <w:rsid w:val="000B5318"/>
    <w:rsid w:val="000B5335"/>
    <w:rsid w:val="000B5775"/>
    <w:rsid w:val="000B580B"/>
    <w:rsid w:val="000B5DAB"/>
    <w:rsid w:val="000B5F24"/>
    <w:rsid w:val="000B65D5"/>
    <w:rsid w:val="000B66E3"/>
    <w:rsid w:val="000B66EB"/>
    <w:rsid w:val="000B692B"/>
    <w:rsid w:val="000B6B26"/>
    <w:rsid w:val="000B6B8C"/>
    <w:rsid w:val="000B7257"/>
    <w:rsid w:val="000B7413"/>
    <w:rsid w:val="000B795C"/>
    <w:rsid w:val="000B7992"/>
    <w:rsid w:val="000B7AFA"/>
    <w:rsid w:val="000B7C49"/>
    <w:rsid w:val="000B7E26"/>
    <w:rsid w:val="000C004E"/>
    <w:rsid w:val="000C03F8"/>
    <w:rsid w:val="000C08AF"/>
    <w:rsid w:val="000C0A0A"/>
    <w:rsid w:val="000C0CB2"/>
    <w:rsid w:val="000C0D78"/>
    <w:rsid w:val="000C1356"/>
    <w:rsid w:val="000C14F6"/>
    <w:rsid w:val="000C15C2"/>
    <w:rsid w:val="000C1731"/>
    <w:rsid w:val="000C182F"/>
    <w:rsid w:val="000C19FF"/>
    <w:rsid w:val="000C1CDC"/>
    <w:rsid w:val="000C1E0D"/>
    <w:rsid w:val="000C1EE2"/>
    <w:rsid w:val="000C1EFA"/>
    <w:rsid w:val="000C2666"/>
    <w:rsid w:val="000C2891"/>
    <w:rsid w:val="000C3225"/>
    <w:rsid w:val="000C342A"/>
    <w:rsid w:val="000C3445"/>
    <w:rsid w:val="000C345D"/>
    <w:rsid w:val="000C34DE"/>
    <w:rsid w:val="000C35DF"/>
    <w:rsid w:val="000C3749"/>
    <w:rsid w:val="000C3AC4"/>
    <w:rsid w:val="000C3E5F"/>
    <w:rsid w:val="000C3E89"/>
    <w:rsid w:val="000C4237"/>
    <w:rsid w:val="000C4263"/>
    <w:rsid w:val="000C42B6"/>
    <w:rsid w:val="000C4534"/>
    <w:rsid w:val="000C46A4"/>
    <w:rsid w:val="000C475F"/>
    <w:rsid w:val="000C4A0B"/>
    <w:rsid w:val="000C4D07"/>
    <w:rsid w:val="000C4E4E"/>
    <w:rsid w:val="000C4FB4"/>
    <w:rsid w:val="000C50F6"/>
    <w:rsid w:val="000C5B1C"/>
    <w:rsid w:val="000C5E26"/>
    <w:rsid w:val="000C5E3B"/>
    <w:rsid w:val="000C5FD3"/>
    <w:rsid w:val="000C6022"/>
    <w:rsid w:val="000C618D"/>
    <w:rsid w:val="000C641B"/>
    <w:rsid w:val="000C6883"/>
    <w:rsid w:val="000C6B68"/>
    <w:rsid w:val="000C6CAD"/>
    <w:rsid w:val="000C6E18"/>
    <w:rsid w:val="000C7A1C"/>
    <w:rsid w:val="000C7B23"/>
    <w:rsid w:val="000C7FA3"/>
    <w:rsid w:val="000D0467"/>
    <w:rsid w:val="000D04FF"/>
    <w:rsid w:val="000D05C7"/>
    <w:rsid w:val="000D0657"/>
    <w:rsid w:val="000D068C"/>
    <w:rsid w:val="000D08DE"/>
    <w:rsid w:val="000D09CB"/>
    <w:rsid w:val="000D0E2A"/>
    <w:rsid w:val="000D0FFD"/>
    <w:rsid w:val="000D1498"/>
    <w:rsid w:val="000D16AD"/>
    <w:rsid w:val="000D189A"/>
    <w:rsid w:val="000D1B96"/>
    <w:rsid w:val="000D1C3C"/>
    <w:rsid w:val="000D1CFA"/>
    <w:rsid w:val="000D22D9"/>
    <w:rsid w:val="000D2359"/>
    <w:rsid w:val="000D23DC"/>
    <w:rsid w:val="000D27A0"/>
    <w:rsid w:val="000D2965"/>
    <w:rsid w:val="000D2B07"/>
    <w:rsid w:val="000D3096"/>
    <w:rsid w:val="000D3159"/>
    <w:rsid w:val="000D3382"/>
    <w:rsid w:val="000D36E1"/>
    <w:rsid w:val="000D3861"/>
    <w:rsid w:val="000D3AAE"/>
    <w:rsid w:val="000D3AF7"/>
    <w:rsid w:val="000D3C1D"/>
    <w:rsid w:val="000D3CBD"/>
    <w:rsid w:val="000D41E8"/>
    <w:rsid w:val="000D42D8"/>
    <w:rsid w:val="000D4351"/>
    <w:rsid w:val="000D4890"/>
    <w:rsid w:val="000D4F0B"/>
    <w:rsid w:val="000D52CF"/>
    <w:rsid w:val="000D52FF"/>
    <w:rsid w:val="000D5534"/>
    <w:rsid w:val="000D5CC6"/>
    <w:rsid w:val="000D6397"/>
    <w:rsid w:val="000D6A1F"/>
    <w:rsid w:val="000D6A6C"/>
    <w:rsid w:val="000D6C0B"/>
    <w:rsid w:val="000D6E27"/>
    <w:rsid w:val="000D70AF"/>
    <w:rsid w:val="000D7266"/>
    <w:rsid w:val="000D72A0"/>
    <w:rsid w:val="000D7866"/>
    <w:rsid w:val="000D7898"/>
    <w:rsid w:val="000D7C7B"/>
    <w:rsid w:val="000D7E91"/>
    <w:rsid w:val="000E0211"/>
    <w:rsid w:val="000E04BF"/>
    <w:rsid w:val="000E052F"/>
    <w:rsid w:val="000E05F6"/>
    <w:rsid w:val="000E0962"/>
    <w:rsid w:val="000E0BC1"/>
    <w:rsid w:val="000E0C4E"/>
    <w:rsid w:val="000E1217"/>
    <w:rsid w:val="000E1486"/>
    <w:rsid w:val="000E1806"/>
    <w:rsid w:val="000E1A5A"/>
    <w:rsid w:val="000E1B66"/>
    <w:rsid w:val="000E1C32"/>
    <w:rsid w:val="000E1C5A"/>
    <w:rsid w:val="000E2204"/>
    <w:rsid w:val="000E2632"/>
    <w:rsid w:val="000E2766"/>
    <w:rsid w:val="000E2C4B"/>
    <w:rsid w:val="000E305B"/>
    <w:rsid w:val="000E31C8"/>
    <w:rsid w:val="000E35FC"/>
    <w:rsid w:val="000E36D1"/>
    <w:rsid w:val="000E4209"/>
    <w:rsid w:val="000E42F5"/>
    <w:rsid w:val="000E4658"/>
    <w:rsid w:val="000E48D7"/>
    <w:rsid w:val="000E4A06"/>
    <w:rsid w:val="000E4B1E"/>
    <w:rsid w:val="000E4B45"/>
    <w:rsid w:val="000E4CEE"/>
    <w:rsid w:val="000E4E63"/>
    <w:rsid w:val="000E53A2"/>
    <w:rsid w:val="000E561F"/>
    <w:rsid w:val="000E581B"/>
    <w:rsid w:val="000E5AE1"/>
    <w:rsid w:val="000E5CF5"/>
    <w:rsid w:val="000E5D5C"/>
    <w:rsid w:val="000E5E06"/>
    <w:rsid w:val="000E6108"/>
    <w:rsid w:val="000E61E1"/>
    <w:rsid w:val="000E690A"/>
    <w:rsid w:val="000E6D06"/>
    <w:rsid w:val="000E6F72"/>
    <w:rsid w:val="000E71FB"/>
    <w:rsid w:val="000E7218"/>
    <w:rsid w:val="000E7947"/>
    <w:rsid w:val="000E79DE"/>
    <w:rsid w:val="000E7D3D"/>
    <w:rsid w:val="000F03D7"/>
    <w:rsid w:val="000F041C"/>
    <w:rsid w:val="000F04A6"/>
    <w:rsid w:val="000F08EF"/>
    <w:rsid w:val="000F096A"/>
    <w:rsid w:val="000F0F69"/>
    <w:rsid w:val="000F126F"/>
    <w:rsid w:val="000F136E"/>
    <w:rsid w:val="000F1582"/>
    <w:rsid w:val="000F1978"/>
    <w:rsid w:val="000F1E18"/>
    <w:rsid w:val="000F2031"/>
    <w:rsid w:val="000F249A"/>
    <w:rsid w:val="000F2857"/>
    <w:rsid w:val="000F287A"/>
    <w:rsid w:val="000F2CCC"/>
    <w:rsid w:val="000F2DE9"/>
    <w:rsid w:val="000F3336"/>
    <w:rsid w:val="000F3414"/>
    <w:rsid w:val="000F39E6"/>
    <w:rsid w:val="000F3C3A"/>
    <w:rsid w:val="000F3EF6"/>
    <w:rsid w:val="000F4327"/>
    <w:rsid w:val="000F47DB"/>
    <w:rsid w:val="000F48EA"/>
    <w:rsid w:val="000F49A2"/>
    <w:rsid w:val="000F49DC"/>
    <w:rsid w:val="000F4B9C"/>
    <w:rsid w:val="000F4C8C"/>
    <w:rsid w:val="000F4FB0"/>
    <w:rsid w:val="000F514C"/>
    <w:rsid w:val="000F55A5"/>
    <w:rsid w:val="000F5653"/>
    <w:rsid w:val="000F565D"/>
    <w:rsid w:val="000F5D7C"/>
    <w:rsid w:val="000F5DF3"/>
    <w:rsid w:val="000F5F1F"/>
    <w:rsid w:val="000F5FD0"/>
    <w:rsid w:val="000F6351"/>
    <w:rsid w:val="000F63A2"/>
    <w:rsid w:val="000F650F"/>
    <w:rsid w:val="000F668A"/>
    <w:rsid w:val="000F6A0D"/>
    <w:rsid w:val="000F6BE9"/>
    <w:rsid w:val="000F6E08"/>
    <w:rsid w:val="000F6F46"/>
    <w:rsid w:val="000F7002"/>
    <w:rsid w:val="000F722A"/>
    <w:rsid w:val="000F73BE"/>
    <w:rsid w:val="000F7500"/>
    <w:rsid w:val="000F755C"/>
    <w:rsid w:val="000F7911"/>
    <w:rsid w:val="000F7BDD"/>
    <w:rsid w:val="000F7C7E"/>
    <w:rsid w:val="000F7E73"/>
    <w:rsid w:val="000F7F47"/>
    <w:rsid w:val="0010002A"/>
    <w:rsid w:val="00100176"/>
    <w:rsid w:val="001004E5"/>
    <w:rsid w:val="001004E6"/>
    <w:rsid w:val="001009E9"/>
    <w:rsid w:val="00100B96"/>
    <w:rsid w:val="00100D7F"/>
    <w:rsid w:val="00100E31"/>
    <w:rsid w:val="001010CD"/>
    <w:rsid w:val="00101290"/>
    <w:rsid w:val="00101463"/>
    <w:rsid w:val="00101540"/>
    <w:rsid w:val="001015E8"/>
    <w:rsid w:val="00101824"/>
    <w:rsid w:val="00101AA2"/>
    <w:rsid w:val="00102027"/>
    <w:rsid w:val="00102074"/>
    <w:rsid w:val="001023B5"/>
    <w:rsid w:val="0010288C"/>
    <w:rsid w:val="001029E9"/>
    <w:rsid w:val="00102A11"/>
    <w:rsid w:val="00102BB0"/>
    <w:rsid w:val="00102BBF"/>
    <w:rsid w:val="00102C3A"/>
    <w:rsid w:val="001032C5"/>
    <w:rsid w:val="00103689"/>
    <w:rsid w:val="001037F6"/>
    <w:rsid w:val="00103E46"/>
    <w:rsid w:val="00104342"/>
    <w:rsid w:val="001043D1"/>
    <w:rsid w:val="001049B5"/>
    <w:rsid w:val="001049CB"/>
    <w:rsid w:val="00104B04"/>
    <w:rsid w:val="00104E0D"/>
    <w:rsid w:val="00105269"/>
    <w:rsid w:val="001056F7"/>
    <w:rsid w:val="00105B56"/>
    <w:rsid w:val="00106218"/>
    <w:rsid w:val="001062F7"/>
    <w:rsid w:val="00106471"/>
    <w:rsid w:val="0010654F"/>
    <w:rsid w:val="00106615"/>
    <w:rsid w:val="00106B0A"/>
    <w:rsid w:val="00106D7A"/>
    <w:rsid w:val="00106E77"/>
    <w:rsid w:val="00107006"/>
    <w:rsid w:val="00107190"/>
    <w:rsid w:val="001071C0"/>
    <w:rsid w:val="00107485"/>
    <w:rsid w:val="0010756D"/>
    <w:rsid w:val="0010790F"/>
    <w:rsid w:val="00107B81"/>
    <w:rsid w:val="00107CF4"/>
    <w:rsid w:val="00107DF0"/>
    <w:rsid w:val="00107E0C"/>
    <w:rsid w:val="00107EA9"/>
    <w:rsid w:val="001100A8"/>
    <w:rsid w:val="00110312"/>
    <w:rsid w:val="0011058B"/>
    <w:rsid w:val="0011078C"/>
    <w:rsid w:val="00110A64"/>
    <w:rsid w:val="00110EF3"/>
    <w:rsid w:val="001111C0"/>
    <w:rsid w:val="00111C81"/>
    <w:rsid w:val="001120F7"/>
    <w:rsid w:val="001123A6"/>
    <w:rsid w:val="00112454"/>
    <w:rsid w:val="00112B8C"/>
    <w:rsid w:val="00112B9F"/>
    <w:rsid w:val="00112FBE"/>
    <w:rsid w:val="001131CD"/>
    <w:rsid w:val="001132ED"/>
    <w:rsid w:val="0011331D"/>
    <w:rsid w:val="0011332A"/>
    <w:rsid w:val="00113341"/>
    <w:rsid w:val="00113717"/>
    <w:rsid w:val="00113859"/>
    <w:rsid w:val="001138FC"/>
    <w:rsid w:val="00113BBF"/>
    <w:rsid w:val="00113CBF"/>
    <w:rsid w:val="00113E67"/>
    <w:rsid w:val="00114004"/>
    <w:rsid w:val="00114151"/>
    <w:rsid w:val="00114407"/>
    <w:rsid w:val="00114A10"/>
    <w:rsid w:val="0011516C"/>
    <w:rsid w:val="00115B58"/>
    <w:rsid w:val="00115BE8"/>
    <w:rsid w:val="00115F18"/>
    <w:rsid w:val="00115FEF"/>
    <w:rsid w:val="00116591"/>
    <w:rsid w:val="00116983"/>
    <w:rsid w:val="00117039"/>
    <w:rsid w:val="001178D9"/>
    <w:rsid w:val="00117A0E"/>
    <w:rsid w:val="00117D1D"/>
    <w:rsid w:val="00117EBE"/>
    <w:rsid w:val="00117F2F"/>
    <w:rsid w:val="00120074"/>
    <w:rsid w:val="0012042B"/>
    <w:rsid w:val="001207FF"/>
    <w:rsid w:val="00120FAF"/>
    <w:rsid w:val="001211C0"/>
    <w:rsid w:val="0012140B"/>
    <w:rsid w:val="00121640"/>
    <w:rsid w:val="0012174F"/>
    <w:rsid w:val="001218A6"/>
    <w:rsid w:val="00121A13"/>
    <w:rsid w:val="00121CD7"/>
    <w:rsid w:val="00121D71"/>
    <w:rsid w:val="00121DF0"/>
    <w:rsid w:val="00121F02"/>
    <w:rsid w:val="00122074"/>
    <w:rsid w:val="00122367"/>
    <w:rsid w:val="00122B71"/>
    <w:rsid w:val="00122C71"/>
    <w:rsid w:val="00122D7B"/>
    <w:rsid w:val="00122EF5"/>
    <w:rsid w:val="0012341A"/>
    <w:rsid w:val="00123A99"/>
    <w:rsid w:val="00123CCA"/>
    <w:rsid w:val="00123EEF"/>
    <w:rsid w:val="00123FE5"/>
    <w:rsid w:val="00124021"/>
    <w:rsid w:val="001241CD"/>
    <w:rsid w:val="00124973"/>
    <w:rsid w:val="00124D6A"/>
    <w:rsid w:val="00124FD3"/>
    <w:rsid w:val="00125157"/>
    <w:rsid w:val="001252B1"/>
    <w:rsid w:val="0012546C"/>
    <w:rsid w:val="001257B5"/>
    <w:rsid w:val="00125BB0"/>
    <w:rsid w:val="00125E1C"/>
    <w:rsid w:val="00125EF8"/>
    <w:rsid w:val="0012686C"/>
    <w:rsid w:val="001269C2"/>
    <w:rsid w:val="00126C1E"/>
    <w:rsid w:val="00126D39"/>
    <w:rsid w:val="00126D64"/>
    <w:rsid w:val="00127133"/>
    <w:rsid w:val="00127661"/>
    <w:rsid w:val="00127930"/>
    <w:rsid w:val="00127A55"/>
    <w:rsid w:val="00127C9F"/>
    <w:rsid w:val="00127D79"/>
    <w:rsid w:val="00127DD0"/>
    <w:rsid w:val="00130183"/>
    <w:rsid w:val="00130729"/>
    <w:rsid w:val="00130BAE"/>
    <w:rsid w:val="00130BC6"/>
    <w:rsid w:val="00130D05"/>
    <w:rsid w:val="00130D7B"/>
    <w:rsid w:val="00130E75"/>
    <w:rsid w:val="00130E7F"/>
    <w:rsid w:val="00130F0A"/>
    <w:rsid w:val="00131156"/>
    <w:rsid w:val="00131383"/>
    <w:rsid w:val="00131442"/>
    <w:rsid w:val="0013168E"/>
    <w:rsid w:val="00131690"/>
    <w:rsid w:val="00131717"/>
    <w:rsid w:val="00131BCC"/>
    <w:rsid w:val="00131E28"/>
    <w:rsid w:val="001327E4"/>
    <w:rsid w:val="00132E7A"/>
    <w:rsid w:val="00133906"/>
    <w:rsid w:val="00133C0D"/>
    <w:rsid w:val="00134268"/>
    <w:rsid w:val="00134337"/>
    <w:rsid w:val="001344A8"/>
    <w:rsid w:val="00134D2B"/>
    <w:rsid w:val="00134F2D"/>
    <w:rsid w:val="0013515F"/>
    <w:rsid w:val="001351B0"/>
    <w:rsid w:val="00135533"/>
    <w:rsid w:val="001359EA"/>
    <w:rsid w:val="00135E07"/>
    <w:rsid w:val="001363F5"/>
    <w:rsid w:val="00136EA2"/>
    <w:rsid w:val="00136F68"/>
    <w:rsid w:val="001372B2"/>
    <w:rsid w:val="001372C1"/>
    <w:rsid w:val="001373E7"/>
    <w:rsid w:val="001374FA"/>
    <w:rsid w:val="00137786"/>
    <w:rsid w:val="001379DD"/>
    <w:rsid w:val="00137AB2"/>
    <w:rsid w:val="00137EF1"/>
    <w:rsid w:val="00140361"/>
    <w:rsid w:val="00140385"/>
    <w:rsid w:val="0014053A"/>
    <w:rsid w:val="00140A8B"/>
    <w:rsid w:val="00140CF2"/>
    <w:rsid w:val="00141031"/>
    <w:rsid w:val="00141649"/>
    <w:rsid w:val="00141833"/>
    <w:rsid w:val="001424A1"/>
    <w:rsid w:val="0014253C"/>
    <w:rsid w:val="001425B1"/>
    <w:rsid w:val="001425CD"/>
    <w:rsid w:val="00142A2B"/>
    <w:rsid w:val="00142BC5"/>
    <w:rsid w:val="00142C6B"/>
    <w:rsid w:val="001431C9"/>
    <w:rsid w:val="001432E0"/>
    <w:rsid w:val="001432E9"/>
    <w:rsid w:val="00143833"/>
    <w:rsid w:val="00143FDD"/>
    <w:rsid w:val="00144221"/>
    <w:rsid w:val="00144357"/>
    <w:rsid w:val="00144411"/>
    <w:rsid w:val="001446E2"/>
    <w:rsid w:val="00144804"/>
    <w:rsid w:val="00144938"/>
    <w:rsid w:val="0014497E"/>
    <w:rsid w:val="00144AB1"/>
    <w:rsid w:val="00144B99"/>
    <w:rsid w:val="00145067"/>
    <w:rsid w:val="0014524E"/>
    <w:rsid w:val="0014532F"/>
    <w:rsid w:val="00145413"/>
    <w:rsid w:val="00145645"/>
    <w:rsid w:val="001458F5"/>
    <w:rsid w:val="00145BE1"/>
    <w:rsid w:val="00145CE2"/>
    <w:rsid w:val="00145E8D"/>
    <w:rsid w:val="00146664"/>
    <w:rsid w:val="001467A6"/>
    <w:rsid w:val="00146831"/>
    <w:rsid w:val="00146996"/>
    <w:rsid w:val="00146B5D"/>
    <w:rsid w:val="00146D33"/>
    <w:rsid w:val="00146FFB"/>
    <w:rsid w:val="001471A8"/>
    <w:rsid w:val="001477C3"/>
    <w:rsid w:val="0014785F"/>
    <w:rsid w:val="00147885"/>
    <w:rsid w:val="001479C9"/>
    <w:rsid w:val="001479D6"/>
    <w:rsid w:val="00147B57"/>
    <w:rsid w:val="00147BEE"/>
    <w:rsid w:val="00147DF3"/>
    <w:rsid w:val="001500F3"/>
    <w:rsid w:val="0015032F"/>
    <w:rsid w:val="0015039B"/>
    <w:rsid w:val="0015058D"/>
    <w:rsid w:val="00150970"/>
    <w:rsid w:val="00150EDF"/>
    <w:rsid w:val="001515F8"/>
    <w:rsid w:val="001516D5"/>
    <w:rsid w:val="0015174E"/>
    <w:rsid w:val="001517D6"/>
    <w:rsid w:val="001518CC"/>
    <w:rsid w:val="00151DAE"/>
    <w:rsid w:val="00151E80"/>
    <w:rsid w:val="00151EC8"/>
    <w:rsid w:val="0015223B"/>
    <w:rsid w:val="00152478"/>
    <w:rsid w:val="0015258B"/>
    <w:rsid w:val="0015262B"/>
    <w:rsid w:val="00152834"/>
    <w:rsid w:val="00152882"/>
    <w:rsid w:val="001528E1"/>
    <w:rsid w:val="00152EB8"/>
    <w:rsid w:val="00152EC6"/>
    <w:rsid w:val="00153001"/>
    <w:rsid w:val="00153359"/>
    <w:rsid w:val="0015379A"/>
    <w:rsid w:val="001537A6"/>
    <w:rsid w:val="00153835"/>
    <w:rsid w:val="00153B77"/>
    <w:rsid w:val="0015410E"/>
    <w:rsid w:val="00154184"/>
    <w:rsid w:val="00154553"/>
    <w:rsid w:val="00154882"/>
    <w:rsid w:val="001548E1"/>
    <w:rsid w:val="00154923"/>
    <w:rsid w:val="0015499B"/>
    <w:rsid w:val="00154BCD"/>
    <w:rsid w:val="00154E62"/>
    <w:rsid w:val="00155248"/>
    <w:rsid w:val="00155320"/>
    <w:rsid w:val="0015534E"/>
    <w:rsid w:val="00155AE3"/>
    <w:rsid w:val="00155B33"/>
    <w:rsid w:val="00155B40"/>
    <w:rsid w:val="00155C30"/>
    <w:rsid w:val="00155CAD"/>
    <w:rsid w:val="00155D0F"/>
    <w:rsid w:val="00155E6E"/>
    <w:rsid w:val="001562B0"/>
    <w:rsid w:val="001562D9"/>
    <w:rsid w:val="001566FF"/>
    <w:rsid w:val="00156846"/>
    <w:rsid w:val="00156BA1"/>
    <w:rsid w:val="00156C67"/>
    <w:rsid w:val="00157017"/>
    <w:rsid w:val="001574D1"/>
    <w:rsid w:val="0015754A"/>
    <w:rsid w:val="00157BE2"/>
    <w:rsid w:val="00157F77"/>
    <w:rsid w:val="00160104"/>
    <w:rsid w:val="00160273"/>
    <w:rsid w:val="0016031C"/>
    <w:rsid w:val="00160702"/>
    <w:rsid w:val="0016072C"/>
    <w:rsid w:val="0016117A"/>
    <w:rsid w:val="0016148B"/>
    <w:rsid w:val="0016182A"/>
    <w:rsid w:val="0016225E"/>
    <w:rsid w:val="00162619"/>
    <w:rsid w:val="00162964"/>
    <w:rsid w:val="00163164"/>
    <w:rsid w:val="001632F8"/>
    <w:rsid w:val="00163C01"/>
    <w:rsid w:val="0016405C"/>
    <w:rsid w:val="001643BB"/>
    <w:rsid w:val="00164483"/>
    <w:rsid w:val="00164816"/>
    <w:rsid w:val="00164D8C"/>
    <w:rsid w:val="001652AF"/>
    <w:rsid w:val="00165372"/>
    <w:rsid w:val="0016568F"/>
    <w:rsid w:val="001659EE"/>
    <w:rsid w:val="00165B31"/>
    <w:rsid w:val="00165BA2"/>
    <w:rsid w:val="00165C3F"/>
    <w:rsid w:val="00165C5A"/>
    <w:rsid w:val="00165C96"/>
    <w:rsid w:val="00165E14"/>
    <w:rsid w:val="0016658E"/>
    <w:rsid w:val="00166807"/>
    <w:rsid w:val="00166F6D"/>
    <w:rsid w:val="0016703D"/>
    <w:rsid w:val="001674D3"/>
    <w:rsid w:val="001675E9"/>
    <w:rsid w:val="001677B9"/>
    <w:rsid w:val="00170636"/>
    <w:rsid w:val="00170B74"/>
    <w:rsid w:val="00170EB4"/>
    <w:rsid w:val="0017139C"/>
    <w:rsid w:val="0017143D"/>
    <w:rsid w:val="001715DD"/>
    <w:rsid w:val="001719F1"/>
    <w:rsid w:val="00171B61"/>
    <w:rsid w:val="0017229D"/>
    <w:rsid w:val="00172324"/>
    <w:rsid w:val="00172458"/>
    <w:rsid w:val="0017259B"/>
    <w:rsid w:val="00172B2F"/>
    <w:rsid w:val="00173040"/>
    <w:rsid w:val="001730AE"/>
    <w:rsid w:val="00173652"/>
    <w:rsid w:val="00173713"/>
    <w:rsid w:val="001739E5"/>
    <w:rsid w:val="00173A32"/>
    <w:rsid w:val="00173C7C"/>
    <w:rsid w:val="00173E74"/>
    <w:rsid w:val="00174640"/>
    <w:rsid w:val="0017476C"/>
    <w:rsid w:val="00174B4E"/>
    <w:rsid w:val="00174D63"/>
    <w:rsid w:val="00174EE3"/>
    <w:rsid w:val="00175372"/>
    <w:rsid w:val="00175B58"/>
    <w:rsid w:val="001761BC"/>
    <w:rsid w:val="00176266"/>
    <w:rsid w:val="00176369"/>
    <w:rsid w:val="0017657B"/>
    <w:rsid w:val="00176EF1"/>
    <w:rsid w:val="001773D7"/>
    <w:rsid w:val="00177898"/>
    <w:rsid w:val="0017799E"/>
    <w:rsid w:val="00177F91"/>
    <w:rsid w:val="0018010A"/>
    <w:rsid w:val="00180340"/>
    <w:rsid w:val="0018061D"/>
    <w:rsid w:val="001809C9"/>
    <w:rsid w:val="00180A5C"/>
    <w:rsid w:val="0018130C"/>
    <w:rsid w:val="001815CE"/>
    <w:rsid w:val="001816F5"/>
    <w:rsid w:val="001817DB"/>
    <w:rsid w:val="0018206C"/>
    <w:rsid w:val="00182791"/>
    <w:rsid w:val="00182A75"/>
    <w:rsid w:val="00182C0E"/>
    <w:rsid w:val="0018309A"/>
    <w:rsid w:val="001831A8"/>
    <w:rsid w:val="00183286"/>
    <w:rsid w:val="001837A7"/>
    <w:rsid w:val="001838A6"/>
    <w:rsid w:val="00183BF9"/>
    <w:rsid w:val="00183CD7"/>
    <w:rsid w:val="00183E4D"/>
    <w:rsid w:val="00183EF2"/>
    <w:rsid w:val="00183F9A"/>
    <w:rsid w:val="0018409B"/>
    <w:rsid w:val="00184731"/>
    <w:rsid w:val="00184752"/>
    <w:rsid w:val="0018550C"/>
    <w:rsid w:val="00185569"/>
    <w:rsid w:val="0018569E"/>
    <w:rsid w:val="001857BB"/>
    <w:rsid w:val="00185A2A"/>
    <w:rsid w:val="00185FBC"/>
    <w:rsid w:val="00186013"/>
    <w:rsid w:val="001864B6"/>
    <w:rsid w:val="00186629"/>
    <w:rsid w:val="00186998"/>
    <w:rsid w:val="00186AD6"/>
    <w:rsid w:val="00186C9F"/>
    <w:rsid w:val="00186E1B"/>
    <w:rsid w:val="00186F99"/>
    <w:rsid w:val="00187712"/>
    <w:rsid w:val="0018773C"/>
    <w:rsid w:val="00187A8D"/>
    <w:rsid w:val="00187AA5"/>
    <w:rsid w:val="00187DE4"/>
    <w:rsid w:val="00187EB9"/>
    <w:rsid w:val="001901B0"/>
    <w:rsid w:val="00190454"/>
    <w:rsid w:val="00190485"/>
    <w:rsid w:val="001907F5"/>
    <w:rsid w:val="00191143"/>
    <w:rsid w:val="001918CB"/>
    <w:rsid w:val="001919E9"/>
    <w:rsid w:val="00191EA7"/>
    <w:rsid w:val="00191F57"/>
    <w:rsid w:val="001920EF"/>
    <w:rsid w:val="0019240F"/>
    <w:rsid w:val="0019287A"/>
    <w:rsid w:val="00192A86"/>
    <w:rsid w:val="00192B2D"/>
    <w:rsid w:val="00192BD5"/>
    <w:rsid w:val="00192D84"/>
    <w:rsid w:val="00192E46"/>
    <w:rsid w:val="0019305D"/>
    <w:rsid w:val="00193231"/>
    <w:rsid w:val="001936C3"/>
    <w:rsid w:val="001936F8"/>
    <w:rsid w:val="00193A7B"/>
    <w:rsid w:val="00194095"/>
    <w:rsid w:val="001941A6"/>
    <w:rsid w:val="001943DF"/>
    <w:rsid w:val="0019470B"/>
    <w:rsid w:val="00194BE8"/>
    <w:rsid w:val="00194D95"/>
    <w:rsid w:val="0019536E"/>
    <w:rsid w:val="00195507"/>
    <w:rsid w:val="00195698"/>
    <w:rsid w:val="0019584C"/>
    <w:rsid w:val="00195AE3"/>
    <w:rsid w:val="0019605C"/>
    <w:rsid w:val="001967AD"/>
    <w:rsid w:val="00196985"/>
    <w:rsid w:val="00196A9A"/>
    <w:rsid w:val="00196AA7"/>
    <w:rsid w:val="00196EE7"/>
    <w:rsid w:val="00196FA1"/>
    <w:rsid w:val="00196FFA"/>
    <w:rsid w:val="00197011"/>
    <w:rsid w:val="0019765B"/>
    <w:rsid w:val="001979C3"/>
    <w:rsid w:val="001A00CF"/>
    <w:rsid w:val="001A0192"/>
    <w:rsid w:val="001A03D1"/>
    <w:rsid w:val="001A0733"/>
    <w:rsid w:val="001A0D03"/>
    <w:rsid w:val="001A105C"/>
    <w:rsid w:val="001A1309"/>
    <w:rsid w:val="001A1578"/>
    <w:rsid w:val="001A20B0"/>
    <w:rsid w:val="001A2441"/>
    <w:rsid w:val="001A284B"/>
    <w:rsid w:val="001A2CF6"/>
    <w:rsid w:val="001A2DE0"/>
    <w:rsid w:val="001A325C"/>
    <w:rsid w:val="001A35C9"/>
    <w:rsid w:val="001A37AA"/>
    <w:rsid w:val="001A3E96"/>
    <w:rsid w:val="001A40E5"/>
    <w:rsid w:val="001A43AA"/>
    <w:rsid w:val="001A469D"/>
    <w:rsid w:val="001A528F"/>
    <w:rsid w:val="001A63CB"/>
    <w:rsid w:val="001A6557"/>
    <w:rsid w:val="001A6900"/>
    <w:rsid w:val="001A6F76"/>
    <w:rsid w:val="001A701A"/>
    <w:rsid w:val="001A72D3"/>
    <w:rsid w:val="001A73DB"/>
    <w:rsid w:val="001A7801"/>
    <w:rsid w:val="001A792B"/>
    <w:rsid w:val="001A7A4F"/>
    <w:rsid w:val="001A7DEB"/>
    <w:rsid w:val="001ACE25"/>
    <w:rsid w:val="001B0309"/>
    <w:rsid w:val="001B0CD1"/>
    <w:rsid w:val="001B0DCB"/>
    <w:rsid w:val="001B10C5"/>
    <w:rsid w:val="001B133D"/>
    <w:rsid w:val="001B1386"/>
    <w:rsid w:val="001B1731"/>
    <w:rsid w:val="001B1773"/>
    <w:rsid w:val="001B1AE0"/>
    <w:rsid w:val="001B1AE5"/>
    <w:rsid w:val="001B1EF6"/>
    <w:rsid w:val="001B1F33"/>
    <w:rsid w:val="001B2097"/>
    <w:rsid w:val="001B20C2"/>
    <w:rsid w:val="001B2183"/>
    <w:rsid w:val="001B218A"/>
    <w:rsid w:val="001B2237"/>
    <w:rsid w:val="001B22A1"/>
    <w:rsid w:val="001B22C0"/>
    <w:rsid w:val="001B2434"/>
    <w:rsid w:val="001B283D"/>
    <w:rsid w:val="001B2945"/>
    <w:rsid w:val="001B2AF3"/>
    <w:rsid w:val="001B2B12"/>
    <w:rsid w:val="001B2DA3"/>
    <w:rsid w:val="001B3171"/>
    <w:rsid w:val="001B3761"/>
    <w:rsid w:val="001B377A"/>
    <w:rsid w:val="001B3A82"/>
    <w:rsid w:val="001B413A"/>
    <w:rsid w:val="001B42B5"/>
    <w:rsid w:val="001B43CD"/>
    <w:rsid w:val="001B44E7"/>
    <w:rsid w:val="001B477A"/>
    <w:rsid w:val="001B4926"/>
    <w:rsid w:val="001B5455"/>
    <w:rsid w:val="001B589D"/>
    <w:rsid w:val="001B5A87"/>
    <w:rsid w:val="001B5BC5"/>
    <w:rsid w:val="001B6073"/>
    <w:rsid w:val="001B6985"/>
    <w:rsid w:val="001B6CD8"/>
    <w:rsid w:val="001B7080"/>
    <w:rsid w:val="001B70F3"/>
    <w:rsid w:val="001B713C"/>
    <w:rsid w:val="001B716B"/>
    <w:rsid w:val="001B7291"/>
    <w:rsid w:val="001B72D6"/>
    <w:rsid w:val="001B7A3C"/>
    <w:rsid w:val="001B7A62"/>
    <w:rsid w:val="001C029D"/>
    <w:rsid w:val="001C039F"/>
    <w:rsid w:val="001C0459"/>
    <w:rsid w:val="001C04DD"/>
    <w:rsid w:val="001C0981"/>
    <w:rsid w:val="001C0ADE"/>
    <w:rsid w:val="001C0F0A"/>
    <w:rsid w:val="001C11A8"/>
    <w:rsid w:val="001C1227"/>
    <w:rsid w:val="001C1265"/>
    <w:rsid w:val="001C12C8"/>
    <w:rsid w:val="001C167F"/>
    <w:rsid w:val="001C1C38"/>
    <w:rsid w:val="001C1FE8"/>
    <w:rsid w:val="001C2219"/>
    <w:rsid w:val="001C22AA"/>
    <w:rsid w:val="001C2395"/>
    <w:rsid w:val="001C2769"/>
    <w:rsid w:val="001C295F"/>
    <w:rsid w:val="001C3159"/>
    <w:rsid w:val="001C358B"/>
    <w:rsid w:val="001C3A88"/>
    <w:rsid w:val="001C3D4A"/>
    <w:rsid w:val="001C3FB2"/>
    <w:rsid w:val="001C42F4"/>
    <w:rsid w:val="001C439A"/>
    <w:rsid w:val="001C43BF"/>
    <w:rsid w:val="001C440D"/>
    <w:rsid w:val="001C4546"/>
    <w:rsid w:val="001C49AC"/>
    <w:rsid w:val="001C4D58"/>
    <w:rsid w:val="001C4D6D"/>
    <w:rsid w:val="001C4E07"/>
    <w:rsid w:val="001C4ED0"/>
    <w:rsid w:val="001C562B"/>
    <w:rsid w:val="001C58C4"/>
    <w:rsid w:val="001C58DA"/>
    <w:rsid w:val="001C5A91"/>
    <w:rsid w:val="001C5B4B"/>
    <w:rsid w:val="001C5E7B"/>
    <w:rsid w:val="001C66BB"/>
    <w:rsid w:val="001C6D9C"/>
    <w:rsid w:val="001C7408"/>
    <w:rsid w:val="001C78A7"/>
    <w:rsid w:val="001C7F24"/>
    <w:rsid w:val="001D0157"/>
    <w:rsid w:val="001D0424"/>
    <w:rsid w:val="001D0E1F"/>
    <w:rsid w:val="001D0FDD"/>
    <w:rsid w:val="001D11CF"/>
    <w:rsid w:val="001D1547"/>
    <w:rsid w:val="001D18CF"/>
    <w:rsid w:val="001D193C"/>
    <w:rsid w:val="001D1E6D"/>
    <w:rsid w:val="001D2124"/>
    <w:rsid w:val="001D260C"/>
    <w:rsid w:val="001D2766"/>
    <w:rsid w:val="001D2A65"/>
    <w:rsid w:val="001D2B2D"/>
    <w:rsid w:val="001D2D8F"/>
    <w:rsid w:val="001D2F6F"/>
    <w:rsid w:val="001D3347"/>
    <w:rsid w:val="001D358C"/>
    <w:rsid w:val="001D36B7"/>
    <w:rsid w:val="001D38FE"/>
    <w:rsid w:val="001D393B"/>
    <w:rsid w:val="001D39BC"/>
    <w:rsid w:val="001D3A48"/>
    <w:rsid w:val="001D412C"/>
    <w:rsid w:val="001D430B"/>
    <w:rsid w:val="001D4B6E"/>
    <w:rsid w:val="001D50A8"/>
    <w:rsid w:val="001D5216"/>
    <w:rsid w:val="001D56BB"/>
    <w:rsid w:val="001D576B"/>
    <w:rsid w:val="001D5FBD"/>
    <w:rsid w:val="001D60E7"/>
    <w:rsid w:val="001D60F0"/>
    <w:rsid w:val="001D63E2"/>
    <w:rsid w:val="001D64D6"/>
    <w:rsid w:val="001D64D8"/>
    <w:rsid w:val="001D6E57"/>
    <w:rsid w:val="001D711F"/>
    <w:rsid w:val="001D7DAC"/>
    <w:rsid w:val="001D7EA8"/>
    <w:rsid w:val="001E002A"/>
    <w:rsid w:val="001E035D"/>
    <w:rsid w:val="001E086B"/>
    <w:rsid w:val="001E09AB"/>
    <w:rsid w:val="001E0A70"/>
    <w:rsid w:val="001E0B26"/>
    <w:rsid w:val="001E0B53"/>
    <w:rsid w:val="001E1062"/>
    <w:rsid w:val="001E126E"/>
    <w:rsid w:val="001E13E9"/>
    <w:rsid w:val="001E16CC"/>
    <w:rsid w:val="001E1BDD"/>
    <w:rsid w:val="001E1C73"/>
    <w:rsid w:val="001E1E1D"/>
    <w:rsid w:val="001E1F63"/>
    <w:rsid w:val="001E261E"/>
    <w:rsid w:val="001E2720"/>
    <w:rsid w:val="001E28EE"/>
    <w:rsid w:val="001E2C8A"/>
    <w:rsid w:val="001E33E3"/>
    <w:rsid w:val="001E35EC"/>
    <w:rsid w:val="001E36D3"/>
    <w:rsid w:val="001E3843"/>
    <w:rsid w:val="001E38D2"/>
    <w:rsid w:val="001E3C6E"/>
    <w:rsid w:val="001E3FFD"/>
    <w:rsid w:val="001E446E"/>
    <w:rsid w:val="001E45AD"/>
    <w:rsid w:val="001E46DA"/>
    <w:rsid w:val="001E4AFB"/>
    <w:rsid w:val="001E4F10"/>
    <w:rsid w:val="001E523D"/>
    <w:rsid w:val="001E5A59"/>
    <w:rsid w:val="001E640A"/>
    <w:rsid w:val="001E69A9"/>
    <w:rsid w:val="001E727A"/>
    <w:rsid w:val="001E7299"/>
    <w:rsid w:val="001E76D0"/>
    <w:rsid w:val="001E78C9"/>
    <w:rsid w:val="001E7D35"/>
    <w:rsid w:val="001E7E65"/>
    <w:rsid w:val="001F0504"/>
    <w:rsid w:val="001F05B1"/>
    <w:rsid w:val="001F066E"/>
    <w:rsid w:val="001F072D"/>
    <w:rsid w:val="001F0917"/>
    <w:rsid w:val="001F0C59"/>
    <w:rsid w:val="001F11E6"/>
    <w:rsid w:val="001F11EA"/>
    <w:rsid w:val="001F14B8"/>
    <w:rsid w:val="001F17DA"/>
    <w:rsid w:val="001F17F3"/>
    <w:rsid w:val="001F198D"/>
    <w:rsid w:val="001F1AC0"/>
    <w:rsid w:val="001F1B01"/>
    <w:rsid w:val="001F1BDB"/>
    <w:rsid w:val="001F26FC"/>
    <w:rsid w:val="001F2C62"/>
    <w:rsid w:val="001F2EA3"/>
    <w:rsid w:val="001F3378"/>
    <w:rsid w:val="001F3724"/>
    <w:rsid w:val="001F3773"/>
    <w:rsid w:val="001F390C"/>
    <w:rsid w:val="001F3BD8"/>
    <w:rsid w:val="001F3C61"/>
    <w:rsid w:val="001F3CB1"/>
    <w:rsid w:val="001F3D8D"/>
    <w:rsid w:val="001F3E93"/>
    <w:rsid w:val="001F4069"/>
    <w:rsid w:val="001F41D1"/>
    <w:rsid w:val="001F4863"/>
    <w:rsid w:val="001F488F"/>
    <w:rsid w:val="001F48B8"/>
    <w:rsid w:val="001F4D03"/>
    <w:rsid w:val="001F4ED4"/>
    <w:rsid w:val="001F4FCB"/>
    <w:rsid w:val="001F51FE"/>
    <w:rsid w:val="001F53D2"/>
    <w:rsid w:val="001F5594"/>
    <w:rsid w:val="001F567C"/>
    <w:rsid w:val="001F56E4"/>
    <w:rsid w:val="001F5A68"/>
    <w:rsid w:val="001F5AB0"/>
    <w:rsid w:val="001F5B26"/>
    <w:rsid w:val="001F5DEB"/>
    <w:rsid w:val="001F5E17"/>
    <w:rsid w:val="001F5EE2"/>
    <w:rsid w:val="001F5F67"/>
    <w:rsid w:val="001F60EA"/>
    <w:rsid w:val="001F6245"/>
    <w:rsid w:val="001F664D"/>
    <w:rsid w:val="001F6795"/>
    <w:rsid w:val="001F728C"/>
    <w:rsid w:val="001F7774"/>
    <w:rsid w:val="001F793F"/>
    <w:rsid w:val="001F7AA3"/>
    <w:rsid w:val="001F7B17"/>
    <w:rsid w:val="001F7B76"/>
    <w:rsid w:val="001F7BC0"/>
    <w:rsid w:val="001F7E02"/>
    <w:rsid w:val="001F7E99"/>
    <w:rsid w:val="002004D2"/>
    <w:rsid w:val="00200DB1"/>
    <w:rsid w:val="00200F04"/>
    <w:rsid w:val="00201452"/>
    <w:rsid w:val="0020150D"/>
    <w:rsid w:val="0020199F"/>
    <w:rsid w:val="00201BF9"/>
    <w:rsid w:val="00201D4E"/>
    <w:rsid w:val="002020A7"/>
    <w:rsid w:val="002024C7"/>
    <w:rsid w:val="0020291F"/>
    <w:rsid w:val="00202A53"/>
    <w:rsid w:val="00202C08"/>
    <w:rsid w:val="00202EC5"/>
    <w:rsid w:val="00202ECB"/>
    <w:rsid w:val="002031B5"/>
    <w:rsid w:val="0020326B"/>
    <w:rsid w:val="0020328E"/>
    <w:rsid w:val="002035CF"/>
    <w:rsid w:val="002035FC"/>
    <w:rsid w:val="0020365C"/>
    <w:rsid w:val="00203957"/>
    <w:rsid w:val="00203B1E"/>
    <w:rsid w:val="00203D49"/>
    <w:rsid w:val="00203F71"/>
    <w:rsid w:val="00204002"/>
    <w:rsid w:val="002045E6"/>
    <w:rsid w:val="00204654"/>
    <w:rsid w:val="00204674"/>
    <w:rsid w:val="00204680"/>
    <w:rsid w:val="00204682"/>
    <w:rsid w:val="00204DF5"/>
    <w:rsid w:val="0020515C"/>
    <w:rsid w:val="0020571B"/>
    <w:rsid w:val="002058E3"/>
    <w:rsid w:val="00205F92"/>
    <w:rsid w:val="002063B7"/>
    <w:rsid w:val="00206587"/>
    <w:rsid w:val="00206606"/>
    <w:rsid w:val="00206681"/>
    <w:rsid w:val="002069D5"/>
    <w:rsid w:val="00206B1F"/>
    <w:rsid w:val="00206B6C"/>
    <w:rsid w:val="00207306"/>
    <w:rsid w:val="00207484"/>
    <w:rsid w:val="002078CC"/>
    <w:rsid w:val="00207D31"/>
    <w:rsid w:val="00207D4F"/>
    <w:rsid w:val="00207D80"/>
    <w:rsid w:val="00207FDE"/>
    <w:rsid w:val="0021006C"/>
    <w:rsid w:val="002101B4"/>
    <w:rsid w:val="0021086C"/>
    <w:rsid w:val="00210A75"/>
    <w:rsid w:val="00210A9F"/>
    <w:rsid w:val="00210E40"/>
    <w:rsid w:val="002113C7"/>
    <w:rsid w:val="002114CC"/>
    <w:rsid w:val="0021157C"/>
    <w:rsid w:val="00211581"/>
    <w:rsid w:val="002117FD"/>
    <w:rsid w:val="002118FB"/>
    <w:rsid w:val="00211B5D"/>
    <w:rsid w:val="00211D43"/>
    <w:rsid w:val="00211F5B"/>
    <w:rsid w:val="00211FEF"/>
    <w:rsid w:val="002126FB"/>
    <w:rsid w:val="00212B16"/>
    <w:rsid w:val="00212C06"/>
    <w:rsid w:val="00212C54"/>
    <w:rsid w:val="00212E37"/>
    <w:rsid w:val="00212F6E"/>
    <w:rsid w:val="00212F8D"/>
    <w:rsid w:val="002131A2"/>
    <w:rsid w:val="002132AB"/>
    <w:rsid w:val="002139EA"/>
    <w:rsid w:val="00213ADD"/>
    <w:rsid w:val="00213B11"/>
    <w:rsid w:val="00213BB0"/>
    <w:rsid w:val="0021429B"/>
    <w:rsid w:val="00214543"/>
    <w:rsid w:val="00214900"/>
    <w:rsid w:val="00214DC0"/>
    <w:rsid w:val="00214FA8"/>
    <w:rsid w:val="0021526A"/>
    <w:rsid w:val="00215474"/>
    <w:rsid w:val="0021593A"/>
    <w:rsid w:val="00215A06"/>
    <w:rsid w:val="00215AED"/>
    <w:rsid w:val="002160FE"/>
    <w:rsid w:val="002161B7"/>
    <w:rsid w:val="00216278"/>
    <w:rsid w:val="002164C5"/>
    <w:rsid w:val="002169AC"/>
    <w:rsid w:val="00216B75"/>
    <w:rsid w:val="00216C66"/>
    <w:rsid w:val="00216E2C"/>
    <w:rsid w:val="00217145"/>
    <w:rsid w:val="00217223"/>
    <w:rsid w:val="00217790"/>
    <w:rsid w:val="00217792"/>
    <w:rsid w:val="0021787E"/>
    <w:rsid w:val="002178FC"/>
    <w:rsid w:val="00217F4F"/>
    <w:rsid w:val="0022006C"/>
    <w:rsid w:val="0022020A"/>
    <w:rsid w:val="002203E4"/>
    <w:rsid w:val="00220CF2"/>
    <w:rsid w:val="002211CE"/>
    <w:rsid w:val="00221235"/>
    <w:rsid w:val="00221386"/>
    <w:rsid w:val="00221556"/>
    <w:rsid w:val="002216B4"/>
    <w:rsid w:val="002218CB"/>
    <w:rsid w:val="00221B25"/>
    <w:rsid w:val="00221EB8"/>
    <w:rsid w:val="00222141"/>
    <w:rsid w:val="00222695"/>
    <w:rsid w:val="0022278C"/>
    <w:rsid w:val="00222AC0"/>
    <w:rsid w:val="00223376"/>
    <w:rsid w:val="002237EA"/>
    <w:rsid w:val="00223961"/>
    <w:rsid w:val="002239BB"/>
    <w:rsid w:val="00223C12"/>
    <w:rsid w:val="002240F6"/>
    <w:rsid w:val="0022426E"/>
    <w:rsid w:val="0022441B"/>
    <w:rsid w:val="00224459"/>
    <w:rsid w:val="00224509"/>
    <w:rsid w:val="00224694"/>
    <w:rsid w:val="00224B04"/>
    <w:rsid w:val="00224C2C"/>
    <w:rsid w:val="00224CD9"/>
    <w:rsid w:val="00224D29"/>
    <w:rsid w:val="00224E9E"/>
    <w:rsid w:val="0022504B"/>
    <w:rsid w:val="00225344"/>
    <w:rsid w:val="002254C0"/>
    <w:rsid w:val="002255F2"/>
    <w:rsid w:val="002258A2"/>
    <w:rsid w:val="00225B3C"/>
    <w:rsid w:val="00225B53"/>
    <w:rsid w:val="002260E7"/>
    <w:rsid w:val="00226687"/>
    <w:rsid w:val="002268F6"/>
    <w:rsid w:val="00226CEE"/>
    <w:rsid w:val="00226D33"/>
    <w:rsid w:val="00226E5C"/>
    <w:rsid w:val="002273F4"/>
    <w:rsid w:val="0022748E"/>
    <w:rsid w:val="002279FD"/>
    <w:rsid w:val="00227A71"/>
    <w:rsid w:val="00227F0F"/>
    <w:rsid w:val="002302DD"/>
    <w:rsid w:val="00231129"/>
    <w:rsid w:val="00231528"/>
    <w:rsid w:val="00231971"/>
    <w:rsid w:val="00231C61"/>
    <w:rsid w:val="00231D08"/>
    <w:rsid w:val="00231D2D"/>
    <w:rsid w:val="00231DBF"/>
    <w:rsid w:val="00231DEA"/>
    <w:rsid w:val="0023218F"/>
    <w:rsid w:val="00232796"/>
    <w:rsid w:val="002329A2"/>
    <w:rsid w:val="00232E6B"/>
    <w:rsid w:val="00233313"/>
    <w:rsid w:val="002336E1"/>
    <w:rsid w:val="00233989"/>
    <w:rsid w:val="00234639"/>
    <w:rsid w:val="002349B1"/>
    <w:rsid w:val="00235446"/>
    <w:rsid w:val="0023583D"/>
    <w:rsid w:val="0023596C"/>
    <w:rsid w:val="00235A77"/>
    <w:rsid w:val="00235D44"/>
    <w:rsid w:val="0023624A"/>
    <w:rsid w:val="00236294"/>
    <w:rsid w:val="0023643F"/>
    <w:rsid w:val="00236844"/>
    <w:rsid w:val="00236AB3"/>
    <w:rsid w:val="00236AD4"/>
    <w:rsid w:val="00236D2A"/>
    <w:rsid w:val="00237468"/>
    <w:rsid w:val="00237726"/>
    <w:rsid w:val="0023772F"/>
    <w:rsid w:val="00237C8C"/>
    <w:rsid w:val="0023E6CF"/>
    <w:rsid w:val="002400ED"/>
    <w:rsid w:val="00240576"/>
    <w:rsid w:val="00240C3C"/>
    <w:rsid w:val="00240D91"/>
    <w:rsid w:val="00240F21"/>
    <w:rsid w:val="002411CA"/>
    <w:rsid w:val="00241281"/>
    <w:rsid w:val="002413FB"/>
    <w:rsid w:val="002418EA"/>
    <w:rsid w:val="002419B6"/>
    <w:rsid w:val="00241A09"/>
    <w:rsid w:val="00241A22"/>
    <w:rsid w:val="00241A91"/>
    <w:rsid w:val="002423EA"/>
    <w:rsid w:val="00242403"/>
    <w:rsid w:val="002428BD"/>
    <w:rsid w:val="00242A5D"/>
    <w:rsid w:val="00242B97"/>
    <w:rsid w:val="00242E1B"/>
    <w:rsid w:val="00243081"/>
    <w:rsid w:val="00243171"/>
    <w:rsid w:val="002432E8"/>
    <w:rsid w:val="002435AC"/>
    <w:rsid w:val="00243601"/>
    <w:rsid w:val="0024370B"/>
    <w:rsid w:val="00243ADD"/>
    <w:rsid w:val="0024404F"/>
    <w:rsid w:val="0024435A"/>
    <w:rsid w:val="00244367"/>
    <w:rsid w:val="002449C2"/>
    <w:rsid w:val="00244CC3"/>
    <w:rsid w:val="002454D7"/>
    <w:rsid w:val="00245554"/>
    <w:rsid w:val="00245ABA"/>
    <w:rsid w:val="00245BD5"/>
    <w:rsid w:val="00245DF6"/>
    <w:rsid w:val="00245EE3"/>
    <w:rsid w:val="00245FD0"/>
    <w:rsid w:val="00246446"/>
    <w:rsid w:val="00246456"/>
    <w:rsid w:val="0024668E"/>
    <w:rsid w:val="0024672B"/>
    <w:rsid w:val="00246CFB"/>
    <w:rsid w:val="00246D7C"/>
    <w:rsid w:val="00246E75"/>
    <w:rsid w:val="00246ED5"/>
    <w:rsid w:val="00247318"/>
    <w:rsid w:val="00247328"/>
    <w:rsid w:val="00247521"/>
    <w:rsid w:val="0024777D"/>
    <w:rsid w:val="0024783E"/>
    <w:rsid w:val="00247C27"/>
    <w:rsid w:val="00247EBA"/>
    <w:rsid w:val="00247F61"/>
    <w:rsid w:val="0025014B"/>
    <w:rsid w:val="00250404"/>
    <w:rsid w:val="00250622"/>
    <w:rsid w:val="00250B4A"/>
    <w:rsid w:val="00250C52"/>
    <w:rsid w:val="00250C5F"/>
    <w:rsid w:val="00250DE1"/>
    <w:rsid w:val="00251342"/>
    <w:rsid w:val="0025162E"/>
    <w:rsid w:val="00251C01"/>
    <w:rsid w:val="00251F7D"/>
    <w:rsid w:val="00252035"/>
    <w:rsid w:val="002526B9"/>
    <w:rsid w:val="00252D88"/>
    <w:rsid w:val="00252DD1"/>
    <w:rsid w:val="002535B0"/>
    <w:rsid w:val="002538F5"/>
    <w:rsid w:val="00253A73"/>
    <w:rsid w:val="00254AF4"/>
    <w:rsid w:val="00254B64"/>
    <w:rsid w:val="00255883"/>
    <w:rsid w:val="00255A6C"/>
    <w:rsid w:val="00256B95"/>
    <w:rsid w:val="00256DA1"/>
    <w:rsid w:val="00256F86"/>
    <w:rsid w:val="002576CA"/>
    <w:rsid w:val="00257781"/>
    <w:rsid w:val="00257DEF"/>
    <w:rsid w:val="00257EEB"/>
    <w:rsid w:val="0025D2E3"/>
    <w:rsid w:val="002605B7"/>
    <w:rsid w:val="00260677"/>
    <w:rsid w:val="002609B4"/>
    <w:rsid w:val="00260A22"/>
    <w:rsid w:val="00260A24"/>
    <w:rsid w:val="00260A6D"/>
    <w:rsid w:val="00260FFB"/>
    <w:rsid w:val="00261700"/>
    <w:rsid w:val="002617F8"/>
    <w:rsid w:val="00261D23"/>
    <w:rsid w:val="00261E47"/>
    <w:rsid w:val="00261EE8"/>
    <w:rsid w:val="00262088"/>
    <w:rsid w:val="002620C5"/>
    <w:rsid w:val="0026279F"/>
    <w:rsid w:val="002629CB"/>
    <w:rsid w:val="00262C90"/>
    <w:rsid w:val="00262DB4"/>
    <w:rsid w:val="00263360"/>
    <w:rsid w:val="00263676"/>
    <w:rsid w:val="00263912"/>
    <w:rsid w:val="00263AB4"/>
    <w:rsid w:val="00263CBB"/>
    <w:rsid w:val="00263D50"/>
    <w:rsid w:val="00263EFB"/>
    <w:rsid w:val="002640AE"/>
    <w:rsid w:val="00264122"/>
    <w:rsid w:val="002646B7"/>
    <w:rsid w:val="002647E6"/>
    <w:rsid w:val="00264CE3"/>
    <w:rsid w:val="00264D1A"/>
    <w:rsid w:val="00265324"/>
    <w:rsid w:val="0026546C"/>
    <w:rsid w:val="00265616"/>
    <w:rsid w:val="00265643"/>
    <w:rsid w:val="002657D0"/>
    <w:rsid w:val="0026589E"/>
    <w:rsid w:val="00265D62"/>
    <w:rsid w:val="00265F72"/>
    <w:rsid w:val="00265FE2"/>
    <w:rsid w:val="0026633B"/>
    <w:rsid w:val="0026657D"/>
    <w:rsid w:val="00266AD1"/>
    <w:rsid w:val="00267110"/>
    <w:rsid w:val="00267318"/>
    <w:rsid w:val="00270003"/>
    <w:rsid w:val="0027011F"/>
    <w:rsid w:val="002701CB"/>
    <w:rsid w:val="00270263"/>
    <w:rsid w:val="002706E4"/>
    <w:rsid w:val="00271661"/>
    <w:rsid w:val="0027168F"/>
    <w:rsid w:val="00271E53"/>
    <w:rsid w:val="00272025"/>
    <w:rsid w:val="002725DA"/>
    <w:rsid w:val="00272852"/>
    <w:rsid w:val="00272CAD"/>
    <w:rsid w:val="002739C2"/>
    <w:rsid w:val="002739C5"/>
    <w:rsid w:val="00273A48"/>
    <w:rsid w:val="00273AD1"/>
    <w:rsid w:val="00274350"/>
    <w:rsid w:val="00274B8F"/>
    <w:rsid w:val="00274DF9"/>
    <w:rsid w:val="002752E7"/>
    <w:rsid w:val="002753D5"/>
    <w:rsid w:val="00275515"/>
    <w:rsid w:val="002758D3"/>
    <w:rsid w:val="00275A8C"/>
    <w:rsid w:val="00276239"/>
    <w:rsid w:val="00276553"/>
    <w:rsid w:val="0027686E"/>
    <w:rsid w:val="00276FBE"/>
    <w:rsid w:val="0027798E"/>
    <w:rsid w:val="00277B76"/>
    <w:rsid w:val="00277FC7"/>
    <w:rsid w:val="002800AA"/>
    <w:rsid w:val="00280797"/>
    <w:rsid w:val="00280AF0"/>
    <w:rsid w:val="00280B02"/>
    <w:rsid w:val="00280C09"/>
    <w:rsid w:val="00280CB9"/>
    <w:rsid w:val="00280DF8"/>
    <w:rsid w:val="0028140B"/>
    <w:rsid w:val="0028153D"/>
    <w:rsid w:val="0028156F"/>
    <w:rsid w:val="002817FE"/>
    <w:rsid w:val="0028187C"/>
    <w:rsid w:val="00281954"/>
    <w:rsid w:val="002819B6"/>
    <w:rsid w:val="00281ACB"/>
    <w:rsid w:val="002820DE"/>
    <w:rsid w:val="00282193"/>
    <w:rsid w:val="002821C7"/>
    <w:rsid w:val="00282793"/>
    <w:rsid w:val="00283226"/>
    <w:rsid w:val="002836AB"/>
    <w:rsid w:val="00283DB6"/>
    <w:rsid w:val="00284090"/>
    <w:rsid w:val="00284130"/>
    <w:rsid w:val="00284406"/>
    <w:rsid w:val="002845C7"/>
    <w:rsid w:val="00284A42"/>
    <w:rsid w:val="00284B56"/>
    <w:rsid w:val="00284B91"/>
    <w:rsid w:val="00284BCB"/>
    <w:rsid w:val="00285239"/>
    <w:rsid w:val="0028596A"/>
    <w:rsid w:val="0028656E"/>
    <w:rsid w:val="002865E8"/>
    <w:rsid w:val="00286764"/>
    <w:rsid w:val="002867B0"/>
    <w:rsid w:val="00286957"/>
    <w:rsid w:val="00286EEB"/>
    <w:rsid w:val="002871A3"/>
    <w:rsid w:val="00287209"/>
    <w:rsid w:val="00287250"/>
    <w:rsid w:val="002872E2"/>
    <w:rsid w:val="0028759E"/>
    <w:rsid w:val="00287C7C"/>
    <w:rsid w:val="00287DDD"/>
    <w:rsid w:val="00287E0F"/>
    <w:rsid w:val="00290096"/>
    <w:rsid w:val="002900A4"/>
    <w:rsid w:val="002903CB"/>
    <w:rsid w:val="00290426"/>
    <w:rsid w:val="00290505"/>
    <w:rsid w:val="00290711"/>
    <w:rsid w:val="00290741"/>
    <w:rsid w:val="0029084B"/>
    <w:rsid w:val="00290878"/>
    <w:rsid w:val="00290DB9"/>
    <w:rsid w:val="00291A3F"/>
    <w:rsid w:val="00291A72"/>
    <w:rsid w:val="00291F0F"/>
    <w:rsid w:val="00292591"/>
    <w:rsid w:val="00292D4B"/>
    <w:rsid w:val="002939FA"/>
    <w:rsid w:val="00293EB6"/>
    <w:rsid w:val="00293F7C"/>
    <w:rsid w:val="0029411C"/>
    <w:rsid w:val="0029413B"/>
    <w:rsid w:val="002942FB"/>
    <w:rsid w:val="0029454D"/>
    <w:rsid w:val="0029469A"/>
    <w:rsid w:val="00294CA9"/>
    <w:rsid w:val="00294CCE"/>
    <w:rsid w:val="002950E6"/>
    <w:rsid w:val="002952A0"/>
    <w:rsid w:val="00295694"/>
    <w:rsid w:val="002956AA"/>
    <w:rsid w:val="00295768"/>
    <w:rsid w:val="0029613D"/>
    <w:rsid w:val="00296227"/>
    <w:rsid w:val="00296251"/>
    <w:rsid w:val="002965A1"/>
    <w:rsid w:val="00296985"/>
    <w:rsid w:val="00296A6F"/>
    <w:rsid w:val="00296C51"/>
    <w:rsid w:val="00296CBA"/>
    <w:rsid w:val="0029704C"/>
    <w:rsid w:val="00297107"/>
    <w:rsid w:val="0029726F"/>
    <w:rsid w:val="00297721"/>
    <w:rsid w:val="00297965"/>
    <w:rsid w:val="00297C6B"/>
    <w:rsid w:val="00297CB3"/>
    <w:rsid w:val="002A025D"/>
    <w:rsid w:val="002A0462"/>
    <w:rsid w:val="002A06B1"/>
    <w:rsid w:val="002A081A"/>
    <w:rsid w:val="002A0C30"/>
    <w:rsid w:val="002A0D54"/>
    <w:rsid w:val="002A0E14"/>
    <w:rsid w:val="002A12F1"/>
    <w:rsid w:val="002A18F7"/>
    <w:rsid w:val="002A1E1C"/>
    <w:rsid w:val="002A1F24"/>
    <w:rsid w:val="002A20CE"/>
    <w:rsid w:val="002A23D1"/>
    <w:rsid w:val="002A2661"/>
    <w:rsid w:val="002A27DA"/>
    <w:rsid w:val="002A2BC8"/>
    <w:rsid w:val="002A2CB8"/>
    <w:rsid w:val="002A2CF3"/>
    <w:rsid w:val="002A3119"/>
    <w:rsid w:val="002A32B3"/>
    <w:rsid w:val="002A3454"/>
    <w:rsid w:val="002A3869"/>
    <w:rsid w:val="002A38F1"/>
    <w:rsid w:val="002A3BC4"/>
    <w:rsid w:val="002A47D4"/>
    <w:rsid w:val="002A51CE"/>
    <w:rsid w:val="002A51FA"/>
    <w:rsid w:val="002A5A73"/>
    <w:rsid w:val="002A5BE5"/>
    <w:rsid w:val="002A5E7D"/>
    <w:rsid w:val="002A60D1"/>
    <w:rsid w:val="002A637C"/>
    <w:rsid w:val="002A6D85"/>
    <w:rsid w:val="002A6F90"/>
    <w:rsid w:val="002A6FB3"/>
    <w:rsid w:val="002A735A"/>
    <w:rsid w:val="002A7804"/>
    <w:rsid w:val="002A7C58"/>
    <w:rsid w:val="002B081A"/>
    <w:rsid w:val="002B098F"/>
    <w:rsid w:val="002B0F67"/>
    <w:rsid w:val="002B12E8"/>
    <w:rsid w:val="002B1699"/>
    <w:rsid w:val="002B196D"/>
    <w:rsid w:val="002B1A0B"/>
    <w:rsid w:val="002B1C1D"/>
    <w:rsid w:val="002B1CA4"/>
    <w:rsid w:val="002B1E6C"/>
    <w:rsid w:val="002B1F26"/>
    <w:rsid w:val="002B2013"/>
    <w:rsid w:val="002B267F"/>
    <w:rsid w:val="002B2A5D"/>
    <w:rsid w:val="002B2CD3"/>
    <w:rsid w:val="002B2EF2"/>
    <w:rsid w:val="002B3097"/>
    <w:rsid w:val="002B34AA"/>
    <w:rsid w:val="002B34BF"/>
    <w:rsid w:val="002B39D0"/>
    <w:rsid w:val="002B3A7E"/>
    <w:rsid w:val="002B3BDC"/>
    <w:rsid w:val="002B3FF3"/>
    <w:rsid w:val="002B4233"/>
    <w:rsid w:val="002B440E"/>
    <w:rsid w:val="002B4D36"/>
    <w:rsid w:val="002B4DC1"/>
    <w:rsid w:val="002B5478"/>
    <w:rsid w:val="002B54A7"/>
    <w:rsid w:val="002B55CF"/>
    <w:rsid w:val="002B5604"/>
    <w:rsid w:val="002B5723"/>
    <w:rsid w:val="002B5827"/>
    <w:rsid w:val="002B5833"/>
    <w:rsid w:val="002B585A"/>
    <w:rsid w:val="002B58EC"/>
    <w:rsid w:val="002B5A32"/>
    <w:rsid w:val="002B5AB3"/>
    <w:rsid w:val="002B5D5A"/>
    <w:rsid w:val="002B61D5"/>
    <w:rsid w:val="002B6A79"/>
    <w:rsid w:val="002B6B03"/>
    <w:rsid w:val="002B6E4B"/>
    <w:rsid w:val="002B7208"/>
    <w:rsid w:val="002C0696"/>
    <w:rsid w:val="002C0882"/>
    <w:rsid w:val="002C0F84"/>
    <w:rsid w:val="002C0F85"/>
    <w:rsid w:val="002C1301"/>
    <w:rsid w:val="002C14CE"/>
    <w:rsid w:val="002C165A"/>
    <w:rsid w:val="002C1720"/>
    <w:rsid w:val="002C1B00"/>
    <w:rsid w:val="002C1B1D"/>
    <w:rsid w:val="002C1BA1"/>
    <w:rsid w:val="002C1C1E"/>
    <w:rsid w:val="002C1F77"/>
    <w:rsid w:val="002C2383"/>
    <w:rsid w:val="002C2A50"/>
    <w:rsid w:val="002C2B9B"/>
    <w:rsid w:val="002C2BCD"/>
    <w:rsid w:val="002C2C31"/>
    <w:rsid w:val="002C2C5D"/>
    <w:rsid w:val="002C2F84"/>
    <w:rsid w:val="002C3577"/>
    <w:rsid w:val="002C3849"/>
    <w:rsid w:val="002C3AB4"/>
    <w:rsid w:val="002C3B1B"/>
    <w:rsid w:val="002C4005"/>
    <w:rsid w:val="002C412B"/>
    <w:rsid w:val="002C4155"/>
    <w:rsid w:val="002C436F"/>
    <w:rsid w:val="002C4466"/>
    <w:rsid w:val="002C464E"/>
    <w:rsid w:val="002C4999"/>
    <w:rsid w:val="002C52A5"/>
    <w:rsid w:val="002C565D"/>
    <w:rsid w:val="002C5751"/>
    <w:rsid w:val="002C5762"/>
    <w:rsid w:val="002C5973"/>
    <w:rsid w:val="002C5AD4"/>
    <w:rsid w:val="002C5BB0"/>
    <w:rsid w:val="002C5C5F"/>
    <w:rsid w:val="002C6219"/>
    <w:rsid w:val="002C65BB"/>
    <w:rsid w:val="002C6611"/>
    <w:rsid w:val="002C66A0"/>
    <w:rsid w:val="002C6828"/>
    <w:rsid w:val="002C69A2"/>
    <w:rsid w:val="002C6B15"/>
    <w:rsid w:val="002C6B8D"/>
    <w:rsid w:val="002C6CA5"/>
    <w:rsid w:val="002C6E90"/>
    <w:rsid w:val="002C7A24"/>
    <w:rsid w:val="002C7CD9"/>
    <w:rsid w:val="002C7FB3"/>
    <w:rsid w:val="002D0002"/>
    <w:rsid w:val="002D0338"/>
    <w:rsid w:val="002D041D"/>
    <w:rsid w:val="002D05F9"/>
    <w:rsid w:val="002D1111"/>
    <w:rsid w:val="002D1369"/>
    <w:rsid w:val="002D1559"/>
    <w:rsid w:val="002D1694"/>
    <w:rsid w:val="002D1F53"/>
    <w:rsid w:val="002D2399"/>
    <w:rsid w:val="002D2701"/>
    <w:rsid w:val="002D278D"/>
    <w:rsid w:val="002D2FE3"/>
    <w:rsid w:val="002D3083"/>
    <w:rsid w:val="002D32B6"/>
    <w:rsid w:val="002D3942"/>
    <w:rsid w:val="002D396B"/>
    <w:rsid w:val="002D3DB7"/>
    <w:rsid w:val="002D3F2F"/>
    <w:rsid w:val="002D417C"/>
    <w:rsid w:val="002D41B5"/>
    <w:rsid w:val="002D4357"/>
    <w:rsid w:val="002D45D0"/>
    <w:rsid w:val="002D4A3A"/>
    <w:rsid w:val="002D4A93"/>
    <w:rsid w:val="002D50D2"/>
    <w:rsid w:val="002D5165"/>
    <w:rsid w:val="002D526E"/>
    <w:rsid w:val="002D536D"/>
    <w:rsid w:val="002D546B"/>
    <w:rsid w:val="002D58EC"/>
    <w:rsid w:val="002D5972"/>
    <w:rsid w:val="002D5C0D"/>
    <w:rsid w:val="002D5EED"/>
    <w:rsid w:val="002D67B6"/>
    <w:rsid w:val="002D6A08"/>
    <w:rsid w:val="002D6B2D"/>
    <w:rsid w:val="002D6D03"/>
    <w:rsid w:val="002D6F63"/>
    <w:rsid w:val="002D7481"/>
    <w:rsid w:val="002D75C1"/>
    <w:rsid w:val="002D7728"/>
    <w:rsid w:val="002D7828"/>
    <w:rsid w:val="002D7E8B"/>
    <w:rsid w:val="002D7FE2"/>
    <w:rsid w:val="002E0494"/>
    <w:rsid w:val="002E058D"/>
    <w:rsid w:val="002E05DC"/>
    <w:rsid w:val="002E0B88"/>
    <w:rsid w:val="002E1419"/>
    <w:rsid w:val="002E165F"/>
    <w:rsid w:val="002E1750"/>
    <w:rsid w:val="002E1901"/>
    <w:rsid w:val="002E19CF"/>
    <w:rsid w:val="002E1B3B"/>
    <w:rsid w:val="002E1B5D"/>
    <w:rsid w:val="002E1C0C"/>
    <w:rsid w:val="002E1C3B"/>
    <w:rsid w:val="002E1E19"/>
    <w:rsid w:val="002E21F5"/>
    <w:rsid w:val="002E24BC"/>
    <w:rsid w:val="002E2F63"/>
    <w:rsid w:val="002E2FEF"/>
    <w:rsid w:val="002E33FD"/>
    <w:rsid w:val="002E34EF"/>
    <w:rsid w:val="002E370A"/>
    <w:rsid w:val="002E3AE1"/>
    <w:rsid w:val="002E4171"/>
    <w:rsid w:val="002E4352"/>
    <w:rsid w:val="002E43DF"/>
    <w:rsid w:val="002E462F"/>
    <w:rsid w:val="002E481A"/>
    <w:rsid w:val="002E4DDE"/>
    <w:rsid w:val="002E4E41"/>
    <w:rsid w:val="002E591C"/>
    <w:rsid w:val="002E5BF6"/>
    <w:rsid w:val="002E5C96"/>
    <w:rsid w:val="002E5FDD"/>
    <w:rsid w:val="002E63FA"/>
    <w:rsid w:val="002E640A"/>
    <w:rsid w:val="002E6879"/>
    <w:rsid w:val="002E6928"/>
    <w:rsid w:val="002E6EAE"/>
    <w:rsid w:val="002E7502"/>
    <w:rsid w:val="002E7775"/>
    <w:rsid w:val="002E7D79"/>
    <w:rsid w:val="002E7DA4"/>
    <w:rsid w:val="002E7DED"/>
    <w:rsid w:val="002E7EC6"/>
    <w:rsid w:val="002E7F89"/>
    <w:rsid w:val="002F0270"/>
    <w:rsid w:val="002F0340"/>
    <w:rsid w:val="002F06C7"/>
    <w:rsid w:val="002F07FD"/>
    <w:rsid w:val="002F0A51"/>
    <w:rsid w:val="002F0B27"/>
    <w:rsid w:val="002F0C81"/>
    <w:rsid w:val="002F0D59"/>
    <w:rsid w:val="002F0F4A"/>
    <w:rsid w:val="002F10B9"/>
    <w:rsid w:val="002F1600"/>
    <w:rsid w:val="002F1AD3"/>
    <w:rsid w:val="002F1EC7"/>
    <w:rsid w:val="002F249A"/>
    <w:rsid w:val="002F2A0D"/>
    <w:rsid w:val="002F2AE4"/>
    <w:rsid w:val="002F2B1C"/>
    <w:rsid w:val="002F2B5F"/>
    <w:rsid w:val="002F308E"/>
    <w:rsid w:val="002F3102"/>
    <w:rsid w:val="002F329F"/>
    <w:rsid w:val="002F3312"/>
    <w:rsid w:val="002F37B8"/>
    <w:rsid w:val="002F3821"/>
    <w:rsid w:val="002F3837"/>
    <w:rsid w:val="002F3F83"/>
    <w:rsid w:val="002F4409"/>
    <w:rsid w:val="002F4524"/>
    <w:rsid w:val="002F4FE7"/>
    <w:rsid w:val="002F51A8"/>
    <w:rsid w:val="002F529F"/>
    <w:rsid w:val="002F53D6"/>
    <w:rsid w:val="002F618D"/>
    <w:rsid w:val="002F62E2"/>
    <w:rsid w:val="002F631A"/>
    <w:rsid w:val="002F63E9"/>
    <w:rsid w:val="002F667C"/>
    <w:rsid w:val="002F673D"/>
    <w:rsid w:val="002F67A6"/>
    <w:rsid w:val="002F69BA"/>
    <w:rsid w:val="002F6A1F"/>
    <w:rsid w:val="002F6BEB"/>
    <w:rsid w:val="002F703B"/>
    <w:rsid w:val="002F70B5"/>
    <w:rsid w:val="002F7340"/>
    <w:rsid w:val="002F75B5"/>
    <w:rsid w:val="002F7B4C"/>
    <w:rsid w:val="002F7B8E"/>
    <w:rsid w:val="002F7CAD"/>
    <w:rsid w:val="002F7D4A"/>
    <w:rsid w:val="002F7E2E"/>
    <w:rsid w:val="003000F6"/>
    <w:rsid w:val="003006C5"/>
    <w:rsid w:val="00300B12"/>
    <w:rsid w:val="00300C40"/>
    <w:rsid w:val="00301277"/>
    <w:rsid w:val="003014D4"/>
    <w:rsid w:val="00301671"/>
    <w:rsid w:val="003017C5"/>
    <w:rsid w:val="00301E54"/>
    <w:rsid w:val="00301E73"/>
    <w:rsid w:val="003025DC"/>
    <w:rsid w:val="003026E2"/>
    <w:rsid w:val="003026F5"/>
    <w:rsid w:val="00302BE8"/>
    <w:rsid w:val="00302E12"/>
    <w:rsid w:val="00302F20"/>
    <w:rsid w:val="003038C7"/>
    <w:rsid w:val="00303A4D"/>
    <w:rsid w:val="00303DFF"/>
    <w:rsid w:val="00303E80"/>
    <w:rsid w:val="00304020"/>
    <w:rsid w:val="003041F8"/>
    <w:rsid w:val="0030435E"/>
    <w:rsid w:val="0030438B"/>
    <w:rsid w:val="003044FB"/>
    <w:rsid w:val="0030488C"/>
    <w:rsid w:val="00304A2A"/>
    <w:rsid w:val="003052ED"/>
    <w:rsid w:val="00305406"/>
    <w:rsid w:val="003054B9"/>
    <w:rsid w:val="00305591"/>
    <w:rsid w:val="003058E9"/>
    <w:rsid w:val="00305A4A"/>
    <w:rsid w:val="00305BC8"/>
    <w:rsid w:val="00306016"/>
    <w:rsid w:val="0030613F"/>
    <w:rsid w:val="00306193"/>
    <w:rsid w:val="003061E2"/>
    <w:rsid w:val="0030645B"/>
    <w:rsid w:val="003068B0"/>
    <w:rsid w:val="00306C85"/>
    <w:rsid w:val="00306EB9"/>
    <w:rsid w:val="00307284"/>
    <w:rsid w:val="00307FD8"/>
    <w:rsid w:val="0031078A"/>
    <w:rsid w:val="00310B21"/>
    <w:rsid w:val="00310FD5"/>
    <w:rsid w:val="003110FC"/>
    <w:rsid w:val="003112DC"/>
    <w:rsid w:val="0031165A"/>
    <w:rsid w:val="00311823"/>
    <w:rsid w:val="00311A0F"/>
    <w:rsid w:val="00311C0E"/>
    <w:rsid w:val="00311CE4"/>
    <w:rsid w:val="00311E9B"/>
    <w:rsid w:val="00312280"/>
    <w:rsid w:val="00312302"/>
    <w:rsid w:val="0031238F"/>
    <w:rsid w:val="0031295D"/>
    <w:rsid w:val="00312A0C"/>
    <w:rsid w:val="00312A1C"/>
    <w:rsid w:val="00313CEB"/>
    <w:rsid w:val="00313FBE"/>
    <w:rsid w:val="00314300"/>
    <w:rsid w:val="0031445D"/>
    <w:rsid w:val="00314501"/>
    <w:rsid w:val="003145B8"/>
    <w:rsid w:val="00314627"/>
    <w:rsid w:val="00314B10"/>
    <w:rsid w:val="00314C12"/>
    <w:rsid w:val="00314E4B"/>
    <w:rsid w:val="00314F58"/>
    <w:rsid w:val="003153B7"/>
    <w:rsid w:val="003157AA"/>
    <w:rsid w:val="003159F1"/>
    <w:rsid w:val="00315B21"/>
    <w:rsid w:val="00315B63"/>
    <w:rsid w:val="00315C3D"/>
    <w:rsid w:val="00316223"/>
    <w:rsid w:val="00316A23"/>
    <w:rsid w:val="00316D7D"/>
    <w:rsid w:val="00316EF3"/>
    <w:rsid w:val="003170CF"/>
    <w:rsid w:val="003174D8"/>
    <w:rsid w:val="00317621"/>
    <w:rsid w:val="00317744"/>
    <w:rsid w:val="003177F0"/>
    <w:rsid w:val="003178CC"/>
    <w:rsid w:val="003178FE"/>
    <w:rsid w:val="00317AD0"/>
    <w:rsid w:val="00317BED"/>
    <w:rsid w:val="00317D16"/>
    <w:rsid w:val="00317EFB"/>
    <w:rsid w:val="00317F80"/>
    <w:rsid w:val="003203E6"/>
    <w:rsid w:val="0032060B"/>
    <w:rsid w:val="003208C5"/>
    <w:rsid w:val="00320970"/>
    <w:rsid w:val="00320A4C"/>
    <w:rsid w:val="00320B5B"/>
    <w:rsid w:val="00320CB5"/>
    <w:rsid w:val="00320F64"/>
    <w:rsid w:val="0032105A"/>
    <w:rsid w:val="0032121E"/>
    <w:rsid w:val="0032159A"/>
    <w:rsid w:val="00321721"/>
    <w:rsid w:val="00321D03"/>
    <w:rsid w:val="00321EF8"/>
    <w:rsid w:val="00321F0D"/>
    <w:rsid w:val="0032216A"/>
    <w:rsid w:val="00322893"/>
    <w:rsid w:val="00322895"/>
    <w:rsid w:val="00322E3E"/>
    <w:rsid w:val="00322E99"/>
    <w:rsid w:val="0032323D"/>
    <w:rsid w:val="0032328F"/>
    <w:rsid w:val="00323578"/>
    <w:rsid w:val="00323781"/>
    <w:rsid w:val="003239A0"/>
    <w:rsid w:val="00323ACA"/>
    <w:rsid w:val="00323C71"/>
    <w:rsid w:val="00323C74"/>
    <w:rsid w:val="00323E35"/>
    <w:rsid w:val="003241C6"/>
    <w:rsid w:val="00324347"/>
    <w:rsid w:val="00324397"/>
    <w:rsid w:val="003246C1"/>
    <w:rsid w:val="0032496F"/>
    <w:rsid w:val="00324996"/>
    <w:rsid w:val="00324B35"/>
    <w:rsid w:val="00324D02"/>
    <w:rsid w:val="00324F0C"/>
    <w:rsid w:val="00324FF1"/>
    <w:rsid w:val="0032552E"/>
    <w:rsid w:val="00325721"/>
    <w:rsid w:val="003259E3"/>
    <w:rsid w:val="00325AB7"/>
    <w:rsid w:val="00325C95"/>
    <w:rsid w:val="003262A9"/>
    <w:rsid w:val="00326844"/>
    <w:rsid w:val="00326EB0"/>
    <w:rsid w:val="00327BD4"/>
    <w:rsid w:val="00327BDD"/>
    <w:rsid w:val="00327CBC"/>
    <w:rsid w:val="00327E28"/>
    <w:rsid w:val="003301BB"/>
    <w:rsid w:val="003301D1"/>
    <w:rsid w:val="00330300"/>
    <w:rsid w:val="003306F0"/>
    <w:rsid w:val="00330A92"/>
    <w:rsid w:val="003314A8"/>
    <w:rsid w:val="00331755"/>
    <w:rsid w:val="00331BC9"/>
    <w:rsid w:val="00331E69"/>
    <w:rsid w:val="00331ECD"/>
    <w:rsid w:val="00331F93"/>
    <w:rsid w:val="0033277B"/>
    <w:rsid w:val="00332A4E"/>
    <w:rsid w:val="003330B6"/>
    <w:rsid w:val="0033398D"/>
    <w:rsid w:val="00333A6E"/>
    <w:rsid w:val="00334067"/>
    <w:rsid w:val="003342F2"/>
    <w:rsid w:val="00334639"/>
    <w:rsid w:val="00334963"/>
    <w:rsid w:val="00334EA5"/>
    <w:rsid w:val="00334F6D"/>
    <w:rsid w:val="003350E3"/>
    <w:rsid w:val="003353F5"/>
    <w:rsid w:val="00335573"/>
    <w:rsid w:val="00335994"/>
    <w:rsid w:val="00335EC1"/>
    <w:rsid w:val="00335F31"/>
    <w:rsid w:val="00336252"/>
    <w:rsid w:val="003362C4"/>
    <w:rsid w:val="0033672D"/>
    <w:rsid w:val="00336846"/>
    <w:rsid w:val="00336CBD"/>
    <w:rsid w:val="00336CE9"/>
    <w:rsid w:val="00336D50"/>
    <w:rsid w:val="00336DF7"/>
    <w:rsid w:val="00336F2E"/>
    <w:rsid w:val="00337203"/>
    <w:rsid w:val="003375B2"/>
    <w:rsid w:val="0033765E"/>
    <w:rsid w:val="0033779D"/>
    <w:rsid w:val="00337BC2"/>
    <w:rsid w:val="00337C59"/>
    <w:rsid w:val="00337E62"/>
    <w:rsid w:val="0034020C"/>
    <w:rsid w:val="00340467"/>
    <w:rsid w:val="00340518"/>
    <w:rsid w:val="0034058D"/>
    <w:rsid w:val="00340C0A"/>
    <w:rsid w:val="00340C5A"/>
    <w:rsid w:val="00340E83"/>
    <w:rsid w:val="00341101"/>
    <w:rsid w:val="0034114B"/>
    <w:rsid w:val="003411EF"/>
    <w:rsid w:val="00341286"/>
    <w:rsid w:val="0034142D"/>
    <w:rsid w:val="0034171F"/>
    <w:rsid w:val="00342117"/>
    <w:rsid w:val="003421BE"/>
    <w:rsid w:val="00342A54"/>
    <w:rsid w:val="00342CBB"/>
    <w:rsid w:val="00342CD5"/>
    <w:rsid w:val="00343286"/>
    <w:rsid w:val="00343537"/>
    <w:rsid w:val="003436D2"/>
    <w:rsid w:val="00343719"/>
    <w:rsid w:val="00343D62"/>
    <w:rsid w:val="00343D99"/>
    <w:rsid w:val="00343E01"/>
    <w:rsid w:val="00343E3E"/>
    <w:rsid w:val="00343FCA"/>
    <w:rsid w:val="0034412A"/>
    <w:rsid w:val="00344244"/>
    <w:rsid w:val="003443C9"/>
    <w:rsid w:val="00344439"/>
    <w:rsid w:val="00344520"/>
    <w:rsid w:val="00344582"/>
    <w:rsid w:val="0034467D"/>
    <w:rsid w:val="00344D5E"/>
    <w:rsid w:val="00345231"/>
    <w:rsid w:val="0034565D"/>
    <w:rsid w:val="0034575E"/>
    <w:rsid w:val="00345A52"/>
    <w:rsid w:val="00345EA5"/>
    <w:rsid w:val="00345F63"/>
    <w:rsid w:val="003461CF"/>
    <w:rsid w:val="0034627D"/>
    <w:rsid w:val="003464B3"/>
    <w:rsid w:val="00346567"/>
    <w:rsid w:val="00346706"/>
    <w:rsid w:val="003468A9"/>
    <w:rsid w:val="00346C32"/>
    <w:rsid w:val="00346E87"/>
    <w:rsid w:val="0034702B"/>
    <w:rsid w:val="00347078"/>
    <w:rsid w:val="00347535"/>
    <w:rsid w:val="00347559"/>
    <w:rsid w:val="00347735"/>
    <w:rsid w:val="00347840"/>
    <w:rsid w:val="00347948"/>
    <w:rsid w:val="0035010E"/>
    <w:rsid w:val="0035064C"/>
    <w:rsid w:val="00351595"/>
    <w:rsid w:val="003518A4"/>
    <w:rsid w:val="00351978"/>
    <w:rsid w:val="00351C43"/>
    <w:rsid w:val="00351C4B"/>
    <w:rsid w:val="00351D13"/>
    <w:rsid w:val="00352172"/>
    <w:rsid w:val="003523BB"/>
    <w:rsid w:val="00352595"/>
    <w:rsid w:val="00352632"/>
    <w:rsid w:val="0035282E"/>
    <w:rsid w:val="00352B2C"/>
    <w:rsid w:val="00352B47"/>
    <w:rsid w:val="00352E60"/>
    <w:rsid w:val="00352F41"/>
    <w:rsid w:val="0035352D"/>
    <w:rsid w:val="003537EB"/>
    <w:rsid w:val="0035384F"/>
    <w:rsid w:val="003543DC"/>
    <w:rsid w:val="003548AC"/>
    <w:rsid w:val="003548BD"/>
    <w:rsid w:val="00354C63"/>
    <w:rsid w:val="00354C77"/>
    <w:rsid w:val="00354DA4"/>
    <w:rsid w:val="00354E19"/>
    <w:rsid w:val="00355039"/>
    <w:rsid w:val="00355080"/>
    <w:rsid w:val="003558E4"/>
    <w:rsid w:val="00355BCF"/>
    <w:rsid w:val="00355E57"/>
    <w:rsid w:val="00355FAE"/>
    <w:rsid w:val="003561CD"/>
    <w:rsid w:val="00356661"/>
    <w:rsid w:val="00356AE4"/>
    <w:rsid w:val="00356E3D"/>
    <w:rsid w:val="0035713F"/>
    <w:rsid w:val="00357A42"/>
    <w:rsid w:val="00357A48"/>
    <w:rsid w:val="00357DD6"/>
    <w:rsid w:val="00357E73"/>
    <w:rsid w:val="00360275"/>
    <w:rsid w:val="00360520"/>
    <w:rsid w:val="003608F7"/>
    <w:rsid w:val="0036090C"/>
    <w:rsid w:val="00360C2F"/>
    <w:rsid w:val="00360C47"/>
    <w:rsid w:val="00360EDC"/>
    <w:rsid w:val="003611B6"/>
    <w:rsid w:val="00361678"/>
    <w:rsid w:val="003617BD"/>
    <w:rsid w:val="0036192D"/>
    <w:rsid w:val="00361BE0"/>
    <w:rsid w:val="00361E43"/>
    <w:rsid w:val="00361E81"/>
    <w:rsid w:val="00361F89"/>
    <w:rsid w:val="00362617"/>
    <w:rsid w:val="003628A5"/>
    <w:rsid w:val="00362BDA"/>
    <w:rsid w:val="00362E61"/>
    <w:rsid w:val="00363077"/>
    <w:rsid w:val="00363594"/>
    <w:rsid w:val="00363D79"/>
    <w:rsid w:val="0036415A"/>
    <w:rsid w:val="003647CC"/>
    <w:rsid w:val="00364B94"/>
    <w:rsid w:val="003650A7"/>
    <w:rsid w:val="00365289"/>
    <w:rsid w:val="003652FD"/>
    <w:rsid w:val="003653FC"/>
    <w:rsid w:val="00365551"/>
    <w:rsid w:val="00365904"/>
    <w:rsid w:val="003659B5"/>
    <w:rsid w:val="003659EF"/>
    <w:rsid w:val="00365BB5"/>
    <w:rsid w:val="00365CBA"/>
    <w:rsid w:val="0036608D"/>
    <w:rsid w:val="00366280"/>
    <w:rsid w:val="00366304"/>
    <w:rsid w:val="003663DE"/>
    <w:rsid w:val="00366CE0"/>
    <w:rsid w:val="003676C7"/>
    <w:rsid w:val="0036776F"/>
    <w:rsid w:val="0036B8BF"/>
    <w:rsid w:val="0037007F"/>
    <w:rsid w:val="00370120"/>
    <w:rsid w:val="003702EF"/>
    <w:rsid w:val="003705A5"/>
    <w:rsid w:val="003706AE"/>
    <w:rsid w:val="0037082A"/>
    <w:rsid w:val="00370C5A"/>
    <w:rsid w:val="00370CFD"/>
    <w:rsid w:val="003714F2"/>
    <w:rsid w:val="00371506"/>
    <w:rsid w:val="00371638"/>
    <w:rsid w:val="00371EC0"/>
    <w:rsid w:val="003720C6"/>
    <w:rsid w:val="00372227"/>
    <w:rsid w:val="0037224C"/>
    <w:rsid w:val="003724C7"/>
    <w:rsid w:val="00372BC3"/>
    <w:rsid w:val="00372C1B"/>
    <w:rsid w:val="00372E0D"/>
    <w:rsid w:val="003730D5"/>
    <w:rsid w:val="00373109"/>
    <w:rsid w:val="003731B5"/>
    <w:rsid w:val="003733E5"/>
    <w:rsid w:val="00373A13"/>
    <w:rsid w:val="00373FCF"/>
    <w:rsid w:val="00374530"/>
    <w:rsid w:val="00374E3C"/>
    <w:rsid w:val="00374E8F"/>
    <w:rsid w:val="00374F5D"/>
    <w:rsid w:val="00375087"/>
    <w:rsid w:val="0037520C"/>
    <w:rsid w:val="00375258"/>
    <w:rsid w:val="0037593F"/>
    <w:rsid w:val="00375A6B"/>
    <w:rsid w:val="00375A6E"/>
    <w:rsid w:val="00376128"/>
    <w:rsid w:val="0037628F"/>
    <w:rsid w:val="00376487"/>
    <w:rsid w:val="003764E8"/>
    <w:rsid w:val="0037667E"/>
    <w:rsid w:val="00376E0A"/>
    <w:rsid w:val="00377BF7"/>
    <w:rsid w:val="00377D49"/>
    <w:rsid w:val="00380001"/>
    <w:rsid w:val="0038045B"/>
    <w:rsid w:val="00380657"/>
    <w:rsid w:val="00380D56"/>
    <w:rsid w:val="00381418"/>
    <w:rsid w:val="0038151F"/>
    <w:rsid w:val="003816F5"/>
    <w:rsid w:val="003817EB"/>
    <w:rsid w:val="003818D1"/>
    <w:rsid w:val="00381C09"/>
    <w:rsid w:val="00381FB6"/>
    <w:rsid w:val="00381FE5"/>
    <w:rsid w:val="00382E11"/>
    <w:rsid w:val="00383146"/>
    <w:rsid w:val="0038368B"/>
    <w:rsid w:val="00383796"/>
    <w:rsid w:val="00383957"/>
    <w:rsid w:val="00383C7E"/>
    <w:rsid w:val="00383F84"/>
    <w:rsid w:val="0038435F"/>
    <w:rsid w:val="003844C6"/>
    <w:rsid w:val="0038455E"/>
    <w:rsid w:val="00384568"/>
    <w:rsid w:val="0038472E"/>
    <w:rsid w:val="003847FD"/>
    <w:rsid w:val="00384BA4"/>
    <w:rsid w:val="0038501C"/>
    <w:rsid w:val="00385596"/>
    <w:rsid w:val="00385675"/>
    <w:rsid w:val="00385BA9"/>
    <w:rsid w:val="00385C37"/>
    <w:rsid w:val="00385D72"/>
    <w:rsid w:val="003863A0"/>
    <w:rsid w:val="0038649E"/>
    <w:rsid w:val="003865F2"/>
    <w:rsid w:val="00386732"/>
    <w:rsid w:val="00386786"/>
    <w:rsid w:val="00386B2B"/>
    <w:rsid w:val="00386DE3"/>
    <w:rsid w:val="00387040"/>
    <w:rsid w:val="00387264"/>
    <w:rsid w:val="00387270"/>
    <w:rsid w:val="003872F3"/>
    <w:rsid w:val="0038750C"/>
    <w:rsid w:val="00387808"/>
    <w:rsid w:val="0038784C"/>
    <w:rsid w:val="003879E1"/>
    <w:rsid w:val="00387B78"/>
    <w:rsid w:val="003901C7"/>
    <w:rsid w:val="00390415"/>
    <w:rsid w:val="003905EB"/>
    <w:rsid w:val="0039089C"/>
    <w:rsid w:val="00390CFA"/>
    <w:rsid w:val="003910DC"/>
    <w:rsid w:val="003911B7"/>
    <w:rsid w:val="0039138B"/>
    <w:rsid w:val="003916E1"/>
    <w:rsid w:val="00391734"/>
    <w:rsid w:val="003918BC"/>
    <w:rsid w:val="00391B4C"/>
    <w:rsid w:val="00391B88"/>
    <w:rsid w:val="00391BBE"/>
    <w:rsid w:val="00391DFB"/>
    <w:rsid w:val="003924B4"/>
    <w:rsid w:val="00392532"/>
    <w:rsid w:val="003926A7"/>
    <w:rsid w:val="003928B9"/>
    <w:rsid w:val="00392908"/>
    <w:rsid w:val="00392D43"/>
    <w:rsid w:val="00393B6B"/>
    <w:rsid w:val="00393D7A"/>
    <w:rsid w:val="003942CD"/>
    <w:rsid w:val="0039487E"/>
    <w:rsid w:val="003948E8"/>
    <w:rsid w:val="00394A38"/>
    <w:rsid w:val="00394FD9"/>
    <w:rsid w:val="00395573"/>
    <w:rsid w:val="003956FA"/>
    <w:rsid w:val="003957D0"/>
    <w:rsid w:val="00395817"/>
    <w:rsid w:val="00395824"/>
    <w:rsid w:val="00395966"/>
    <w:rsid w:val="00395B3A"/>
    <w:rsid w:val="00395B44"/>
    <w:rsid w:val="003961D2"/>
    <w:rsid w:val="0039647C"/>
    <w:rsid w:val="0039657B"/>
    <w:rsid w:val="003966A3"/>
    <w:rsid w:val="003968BE"/>
    <w:rsid w:val="00396A47"/>
    <w:rsid w:val="00396B19"/>
    <w:rsid w:val="00396C20"/>
    <w:rsid w:val="00396D10"/>
    <w:rsid w:val="00396FF5"/>
    <w:rsid w:val="00397011"/>
    <w:rsid w:val="003972F6"/>
    <w:rsid w:val="00397353"/>
    <w:rsid w:val="003975DA"/>
    <w:rsid w:val="0039762A"/>
    <w:rsid w:val="00397699"/>
    <w:rsid w:val="0039796B"/>
    <w:rsid w:val="00397BC6"/>
    <w:rsid w:val="00397EBC"/>
    <w:rsid w:val="00397EC3"/>
    <w:rsid w:val="003A00AB"/>
    <w:rsid w:val="003A0355"/>
    <w:rsid w:val="003A03D4"/>
    <w:rsid w:val="003A0410"/>
    <w:rsid w:val="003A0483"/>
    <w:rsid w:val="003A059B"/>
    <w:rsid w:val="003A06F1"/>
    <w:rsid w:val="003A0703"/>
    <w:rsid w:val="003A0C10"/>
    <w:rsid w:val="003A0D07"/>
    <w:rsid w:val="003A0D2E"/>
    <w:rsid w:val="003A0F30"/>
    <w:rsid w:val="003A12F2"/>
    <w:rsid w:val="003A1744"/>
    <w:rsid w:val="003A1C17"/>
    <w:rsid w:val="003A20E9"/>
    <w:rsid w:val="003A2448"/>
    <w:rsid w:val="003A2500"/>
    <w:rsid w:val="003A25AE"/>
    <w:rsid w:val="003A26F3"/>
    <w:rsid w:val="003A286C"/>
    <w:rsid w:val="003A28E6"/>
    <w:rsid w:val="003A293A"/>
    <w:rsid w:val="003A29FB"/>
    <w:rsid w:val="003A2ED2"/>
    <w:rsid w:val="003A31D5"/>
    <w:rsid w:val="003A31EE"/>
    <w:rsid w:val="003A3334"/>
    <w:rsid w:val="003A3599"/>
    <w:rsid w:val="003A3A8D"/>
    <w:rsid w:val="003A3B67"/>
    <w:rsid w:val="003A3BA2"/>
    <w:rsid w:val="003A3E7C"/>
    <w:rsid w:val="003A3F47"/>
    <w:rsid w:val="003A4128"/>
    <w:rsid w:val="003A4278"/>
    <w:rsid w:val="003A4330"/>
    <w:rsid w:val="003A441B"/>
    <w:rsid w:val="003A4E45"/>
    <w:rsid w:val="003A584E"/>
    <w:rsid w:val="003A5AE8"/>
    <w:rsid w:val="003A5CB8"/>
    <w:rsid w:val="003A5E0A"/>
    <w:rsid w:val="003A65E8"/>
    <w:rsid w:val="003A6741"/>
    <w:rsid w:val="003A67DF"/>
    <w:rsid w:val="003A693C"/>
    <w:rsid w:val="003A69B3"/>
    <w:rsid w:val="003A6AEC"/>
    <w:rsid w:val="003A6B11"/>
    <w:rsid w:val="003A6B58"/>
    <w:rsid w:val="003A6EA9"/>
    <w:rsid w:val="003A6EF0"/>
    <w:rsid w:val="003A7168"/>
    <w:rsid w:val="003A7297"/>
    <w:rsid w:val="003A73C0"/>
    <w:rsid w:val="003A7585"/>
    <w:rsid w:val="003A7833"/>
    <w:rsid w:val="003A78F8"/>
    <w:rsid w:val="003A7AD1"/>
    <w:rsid w:val="003A7B46"/>
    <w:rsid w:val="003B01C0"/>
    <w:rsid w:val="003B01D3"/>
    <w:rsid w:val="003B0287"/>
    <w:rsid w:val="003B0C57"/>
    <w:rsid w:val="003B0E62"/>
    <w:rsid w:val="003B119C"/>
    <w:rsid w:val="003B12E3"/>
    <w:rsid w:val="003B16E0"/>
    <w:rsid w:val="003B1DCC"/>
    <w:rsid w:val="003B1F5F"/>
    <w:rsid w:val="003B2369"/>
    <w:rsid w:val="003B27D8"/>
    <w:rsid w:val="003B28D8"/>
    <w:rsid w:val="003B2DC7"/>
    <w:rsid w:val="003B2EB6"/>
    <w:rsid w:val="003B2F49"/>
    <w:rsid w:val="003B3170"/>
    <w:rsid w:val="003B3821"/>
    <w:rsid w:val="003B3996"/>
    <w:rsid w:val="003B3AA0"/>
    <w:rsid w:val="003B3BC4"/>
    <w:rsid w:val="003B4657"/>
    <w:rsid w:val="003B4795"/>
    <w:rsid w:val="003B47E8"/>
    <w:rsid w:val="003B4804"/>
    <w:rsid w:val="003B4ABB"/>
    <w:rsid w:val="003B4B04"/>
    <w:rsid w:val="003B4C5E"/>
    <w:rsid w:val="003B5567"/>
    <w:rsid w:val="003B5587"/>
    <w:rsid w:val="003B55FA"/>
    <w:rsid w:val="003B567E"/>
    <w:rsid w:val="003B56F7"/>
    <w:rsid w:val="003B5ABE"/>
    <w:rsid w:val="003B5B3C"/>
    <w:rsid w:val="003B628D"/>
    <w:rsid w:val="003B64FF"/>
    <w:rsid w:val="003B67C9"/>
    <w:rsid w:val="003B6840"/>
    <w:rsid w:val="003B6A10"/>
    <w:rsid w:val="003B6A76"/>
    <w:rsid w:val="003B6AD0"/>
    <w:rsid w:val="003B6BAE"/>
    <w:rsid w:val="003B7118"/>
    <w:rsid w:val="003B75A6"/>
    <w:rsid w:val="003B75D8"/>
    <w:rsid w:val="003B7956"/>
    <w:rsid w:val="003B7D58"/>
    <w:rsid w:val="003B7FBD"/>
    <w:rsid w:val="003C0574"/>
    <w:rsid w:val="003C063B"/>
    <w:rsid w:val="003C0FC5"/>
    <w:rsid w:val="003C1251"/>
    <w:rsid w:val="003C1290"/>
    <w:rsid w:val="003C12C9"/>
    <w:rsid w:val="003C1916"/>
    <w:rsid w:val="003C1E31"/>
    <w:rsid w:val="003C2125"/>
    <w:rsid w:val="003C2294"/>
    <w:rsid w:val="003C23BE"/>
    <w:rsid w:val="003C26CD"/>
    <w:rsid w:val="003C2E5C"/>
    <w:rsid w:val="003C3016"/>
    <w:rsid w:val="003C3867"/>
    <w:rsid w:val="003C3A78"/>
    <w:rsid w:val="003C3B47"/>
    <w:rsid w:val="003C3C03"/>
    <w:rsid w:val="003C3DB4"/>
    <w:rsid w:val="003C40AE"/>
    <w:rsid w:val="003C42AA"/>
    <w:rsid w:val="003C479A"/>
    <w:rsid w:val="003C4A7D"/>
    <w:rsid w:val="003C4A8D"/>
    <w:rsid w:val="003C53D3"/>
    <w:rsid w:val="003C55BD"/>
    <w:rsid w:val="003C5B81"/>
    <w:rsid w:val="003C60B2"/>
    <w:rsid w:val="003C694D"/>
    <w:rsid w:val="003C69B2"/>
    <w:rsid w:val="003C6B1C"/>
    <w:rsid w:val="003C6EE2"/>
    <w:rsid w:val="003C74C0"/>
    <w:rsid w:val="003C76C5"/>
    <w:rsid w:val="003C7976"/>
    <w:rsid w:val="003C7A04"/>
    <w:rsid w:val="003C7A96"/>
    <w:rsid w:val="003C7C9F"/>
    <w:rsid w:val="003C7F48"/>
    <w:rsid w:val="003D00FC"/>
    <w:rsid w:val="003D0267"/>
    <w:rsid w:val="003D0352"/>
    <w:rsid w:val="003D03E3"/>
    <w:rsid w:val="003D1638"/>
    <w:rsid w:val="003D16EE"/>
    <w:rsid w:val="003D1BB7"/>
    <w:rsid w:val="003D1FCE"/>
    <w:rsid w:val="003D2008"/>
    <w:rsid w:val="003D207C"/>
    <w:rsid w:val="003D2375"/>
    <w:rsid w:val="003D26D0"/>
    <w:rsid w:val="003D28CE"/>
    <w:rsid w:val="003D2AD4"/>
    <w:rsid w:val="003D2C8C"/>
    <w:rsid w:val="003D2D4D"/>
    <w:rsid w:val="003D318E"/>
    <w:rsid w:val="003D3456"/>
    <w:rsid w:val="003D35A0"/>
    <w:rsid w:val="003D372B"/>
    <w:rsid w:val="003D3C89"/>
    <w:rsid w:val="003D3E6F"/>
    <w:rsid w:val="003D42F7"/>
    <w:rsid w:val="003D43A8"/>
    <w:rsid w:val="003D456B"/>
    <w:rsid w:val="003D4581"/>
    <w:rsid w:val="003D48E2"/>
    <w:rsid w:val="003D499F"/>
    <w:rsid w:val="003D4B15"/>
    <w:rsid w:val="003D4C5B"/>
    <w:rsid w:val="003D5236"/>
    <w:rsid w:val="003D561E"/>
    <w:rsid w:val="003D57E4"/>
    <w:rsid w:val="003D5A32"/>
    <w:rsid w:val="003D5BC6"/>
    <w:rsid w:val="003D6276"/>
    <w:rsid w:val="003D6761"/>
    <w:rsid w:val="003D682B"/>
    <w:rsid w:val="003D68DC"/>
    <w:rsid w:val="003D6BE4"/>
    <w:rsid w:val="003D6E87"/>
    <w:rsid w:val="003D6F25"/>
    <w:rsid w:val="003D6FC1"/>
    <w:rsid w:val="003D70D3"/>
    <w:rsid w:val="003D715D"/>
    <w:rsid w:val="003D721F"/>
    <w:rsid w:val="003D742B"/>
    <w:rsid w:val="003D74C3"/>
    <w:rsid w:val="003D7544"/>
    <w:rsid w:val="003D7598"/>
    <w:rsid w:val="003D77BB"/>
    <w:rsid w:val="003D783C"/>
    <w:rsid w:val="003D7BC8"/>
    <w:rsid w:val="003D7C6D"/>
    <w:rsid w:val="003D7DF9"/>
    <w:rsid w:val="003E0115"/>
    <w:rsid w:val="003E029F"/>
    <w:rsid w:val="003E07E2"/>
    <w:rsid w:val="003E0868"/>
    <w:rsid w:val="003E0B1F"/>
    <w:rsid w:val="003E0C85"/>
    <w:rsid w:val="003E0DA1"/>
    <w:rsid w:val="003E0E49"/>
    <w:rsid w:val="003E101F"/>
    <w:rsid w:val="003E1220"/>
    <w:rsid w:val="003E1851"/>
    <w:rsid w:val="003E18E4"/>
    <w:rsid w:val="003E1B36"/>
    <w:rsid w:val="003E1E2B"/>
    <w:rsid w:val="003E1ED6"/>
    <w:rsid w:val="003E1F77"/>
    <w:rsid w:val="003E271D"/>
    <w:rsid w:val="003E2BA5"/>
    <w:rsid w:val="003E2F40"/>
    <w:rsid w:val="003E30FD"/>
    <w:rsid w:val="003E30FE"/>
    <w:rsid w:val="003E3841"/>
    <w:rsid w:val="003E393C"/>
    <w:rsid w:val="003E409F"/>
    <w:rsid w:val="003E4305"/>
    <w:rsid w:val="003E4497"/>
    <w:rsid w:val="003E45C4"/>
    <w:rsid w:val="003E4656"/>
    <w:rsid w:val="003E467F"/>
    <w:rsid w:val="003E47EB"/>
    <w:rsid w:val="003E4816"/>
    <w:rsid w:val="003E4BFF"/>
    <w:rsid w:val="003E4D81"/>
    <w:rsid w:val="003E50D3"/>
    <w:rsid w:val="003E50FB"/>
    <w:rsid w:val="003E5657"/>
    <w:rsid w:val="003E5928"/>
    <w:rsid w:val="003E5A89"/>
    <w:rsid w:val="003E5C2C"/>
    <w:rsid w:val="003E68D6"/>
    <w:rsid w:val="003E69E0"/>
    <w:rsid w:val="003E6CE2"/>
    <w:rsid w:val="003E6F0B"/>
    <w:rsid w:val="003E6FB7"/>
    <w:rsid w:val="003E70D0"/>
    <w:rsid w:val="003E7444"/>
    <w:rsid w:val="003E766B"/>
    <w:rsid w:val="003E77F0"/>
    <w:rsid w:val="003E7F50"/>
    <w:rsid w:val="003F0145"/>
    <w:rsid w:val="003F0364"/>
    <w:rsid w:val="003F042F"/>
    <w:rsid w:val="003F043D"/>
    <w:rsid w:val="003F0722"/>
    <w:rsid w:val="003F0791"/>
    <w:rsid w:val="003F0815"/>
    <w:rsid w:val="003F0995"/>
    <w:rsid w:val="003F0C4B"/>
    <w:rsid w:val="003F16AD"/>
    <w:rsid w:val="003F17B4"/>
    <w:rsid w:val="003F188E"/>
    <w:rsid w:val="003F18A4"/>
    <w:rsid w:val="003F1A41"/>
    <w:rsid w:val="003F1A55"/>
    <w:rsid w:val="003F1AEB"/>
    <w:rsid w:val="003F1E6B"/>
    <w:rsid w:val="003F1F0C"/>
    <w:rsid w:val="003F2157"/>
    <w:rsid w:val="003F260C"/>
    <w:rsid w:val="003F2663"/>
    <w:rsid w:val="003F2E17"/>
    <w:rsid w:val="003F2ECC"/>
    <w:rsid w:val="003F3214"/>
    <w:rsid w:val="003F32B9"/>
    <w:rsid w:val="003F32C8"/>
    <w:rsid w:val="003F331E"/>
    <w:rsid w:val="003F37EB"/>
    <w:rsid w:val="003F3D64"/>
    <w:rsid w:val="003F3EE0"/>
    <w:rsid w:val="003F3F95"/>
    <w:rsid w:val="003F4A95"/>
    <w:rsid w:val="003F4C4C"/>
    <w:rsid w:val="003F4E3F"/>
    <w:rsid w:val="003F4E8A"/>
    <w:rsid w:val="003F4F24"/>
    <w:rsid w:val="003F5148"/>
    <w:rsid w:val="003F5274"/>
    <w:rsid w:val="003F53E4"/>
    <w:rsid w:val="003F5503"/>
    <w:rsid w:val="003F573C"/>
    <w:rsid w:val="003F58E5"/>
    <w:rsid w:val="003F59DA"/>
    <w:rsid w:val="003F5AB6"/>
    <w:rsid w:val="003F5B81"/>
    <w:rsid w:val="003F5BBF"/>
    <w:rsid w:val="003F5D7A"/>
    <w:rsid w:val="003F637C"/>
    <w:rsid w:val="003F64BD"/>
    <w:rsid w:val="003F6596"/>
    <w:rsid w:val="003F68F6"/>
    <w:rsid w:val="003F70B4"/>
    <w:rsid w:val="003F73C3"/>
    <w:rsid w:val="003F74E8"/>
    <w:rsid w:val="003F7B08"/>
    <w:rsid w:val="003F7B2D"/>
    <w:rsid w:val="003F7E83"/>
    <w:rsid w:val="003F7F71"/>
    <w:rsid w:val="00400005"/>
    <w:rsid w:val="00400513"/>
    <w:rsid w:val="004005C5"/>
    <w:rsid w:val="00400802"/>
    <w:rsid w:val="00400812"/>
    <w:rsid w:val="00400955"/>
    <w:rsid w:val="00400F24"/>
    <w:rsid w:val="00400FF3"/>
    <w:rsid w:val="0040127D"/>
    <w:rsid w:val="00401404"/>
    <w:rsid w:val="004016AD"/>
    <w:rsid w:val="00401773"/>
    <w:rsid w:val="00401CF5"/>
    <w:rsid w:val="004024AD"/>
    <w:rsid w:val="004025E9"/>
    <w:rsid w:val="004026E5"/>
    <w:rsid w:val="0040278F"/>
    <w:rsid w:val="004027D8"/>
    <w:rsid w:val="00402D2F"/>
    <w:rsid w:val="00402D8B"/>
    <w:rsid w:val="00402F6B"/>
    <w:rsid w:val="00403861"/>
    <w:rsid w:val="004038FC"/>
    <w:rsid w:val="00403CD7"/>
    <w:rsid w:val="004046B9"/>
    <w:rsid w:val="004048E4"/>
    <w:rsid w:val="00404B64"/>
    <w:rsid w:val="00404C19"/>
    <w:rsid w:val="00404E41"/>
    <w:rsid w:val="00404E68"/>
    <w:rsid w:val="00404E94"/>
    <w:rsid w:val="00405038"/>
    <w:rsid w:val="00405056"/>
    <w:rsid w:val="0040636D"/>
    <w:rsid w:val="00406B02"/>
    <w:rsid w:val="00406E42"/>
    <w:rsid w:val="00406F94"/>
    <w:rsid w:val="0040702C"/>
    <w:rsid w:val="0040727E"/>
    <w:rsid w:val="004074AA"/>
    <w:rsid w:val="0040754A"/>
    <w:rsid w:val="004079FB"/>
    <w:rsid w:val="00407ADC"/>
    <w:rsid w:val="00410777"/>
    <w:rsid w:val="004108D6"/>
    <w:rsid w:val="0041106E"/>
    <w:rsid w:val="004113BA"/>
    <w:rsid w:val="0041143C"/>
    <w:rsid w:val="0041160D"/>
    <w:rsid w:val="0041196F"/>
    <w:rsid w:val="00411D06"/>
    <w:rsid w:val="00411E05"/>
    <w:rsid w:val="00412190"/>
    <w:rsid w:val="004121B6"/>
    <w:rsid w:val="004126A5"/>
    <w:rsid w:val="004127DA"/>
    <w:rsid w:val="00412AAA"/>
    <w:rsid w:val="00412B51"/>
    <w:rsid w:val="00412D4B"/>
    <w:rsid w:val="00412E1A"/>
    <w:rsid w:val="00412ED1"/>
    <w:rsid w:val="00412F92"/>
    <w:rsid w:val="00412FB1"/>
    <w:rsid w:val="00413461"/>
    <w:rsid w:val="0041372A"/>
    <w:rsid w:val="0041381F"/>
    <w:rsid w:val="004138BE"/>
    <w:rsid w:val="00413A49"/>
    <w:rsid w:val="00413CB8"/>
    <w:rsid w:val="0041400D"/>
    <w:rsid w:val="0041446A"/>
    <w:rsid w:val="0041456B"/>
    <w:rsid w:val="004145D9"/>
    <w:rsid w:val="00414750"/>
    <w:rsid w:val="004148CA"/>
    <w:rsid w:val="00414AE5"/>
    <w:rsid w:val="00414B50"/>
    <w:rsid w:val="00414CC7"/>
    <w:rsid w:val="00415071"/>
    <w:rsid w:val="00415072"/>
    <w:rsid w:val="0041540B"/>
    <w:rsid w:val="004158D9"/>
    <w:rsid w:val="00416672"/>
    <w:rsid w:val="004166EE"/>
    <w:rsid w:val="004167A5"/>
    <w:rsid w:val="004168B2"/>
    <w:rsid w:val="00416E35"/>
    <w:rsid w:val="00417C2C"/>
    <w:rsid w:val="00417F5C"/>
    <w:rsid w:val="00420087"/>
    <w:rsid w:val="0042018E"/>
    <w:rsid w:val="0042025D"/>
    <w:rsid w:val="0042062C"/>
    <w:rsid w:val="00420A05"/>
    <w:rsid w:val="00421110"/>
    <w:rsid w:val="004211B8"/>
    <w:rsid w:val="00421491"/>
    <w:rsid w:val="004214AB"/>
    <w:rsid w:val="004217BF"/>
    <w:rsid w:val="00421C55"/>
    <w:rsid w:val="00421D97"/>
    <w:rsid w:val="00421EA4"/>
    <w:rsid w:val="00422380"/>
    <w:rsid w:val="004227A0"/>
    <w:rsid w:val="00422888"/>
    <w:rsid w:val="00422A67"/>
    <w:rsid w:val="00422D7D"/>
    <w:rsid w:val="00422E20"/>
    <w:rsid w:val="0042304F"/>
    <w:rsid w:val="004232D5"/>
    <w:rsid w:val="0042337B"/>
    <w:rsid w:val="00423568"/>
    <w:rsid w:val="0042356D"/>
    <w:rsid w:val="00423612"/>
    <w:rsid w:val="00423E21"/>
    <w:rsid w:val="00424594"/>
    <w:rsid w:val="0042535C"/>
    <w:rsid w:val="0042583B"/>
    <w:rsid w:val="00425C98"/>
    <w:rsid w:val="00425D5D"/>
    <w:rsid w:val="00425F00"/>
    <w:rsid w:val="0042683D"/>
    <w:rsid w:val="00426AD5"/>
    <w:rsid w:val="00426BBA"/>
    <w:rsid w:val="00426F00"/>
    <w:rsid w:val="00427031"/>
    <w:rsid w:val="00427039"/>
    <w:rsid w:val="004270D5"/>
    <w:rsid w:val="004274C7"/>
    <w:rsid w:val="004274E1"/>
    <w:rsid w:val="004274F4"/>
    <w:rsid w:val="00427789"/>
    <w:rsid w:val="004277D6"/>
    <w:rsid w:val="0042781C"/>
    <w:rsid w:val="0042796F"/>
    <w:rsid w:val="00427CFE"/>
    <w:rsid w:val="00427D79"/>
    <w:rsid w:val="00427DDB"/>
    <w:rsid w:val="00427FBD"/>
    <w:rsid w:val="0043031A"/>
    <w:rsid w:val="004304BD"/>
    <w:rsid w:val="00430533"/>
    <w:rsid w:val="00430754"/>
    <w:rsid w:val="00430805"/>
    <w:rsid w:val="00430ADF"/>
    <w:rsid w:val="00430E33"/>
    <w:rsid w:val="00431A50"/>
    <w:rsid w:val="00431B1C"/>
    <w:rsid w:val="00431C9F"/>
    <w:rsid w:val="00432204"/>
    <w:rsid w:val="00432537"/>
    <w:rsid w:val="00432596"/>
    <w:rsid w:val="00432A05"/>
    <w:rsid w:val="00432A0B"/>
    <w:rsid w:val="00432E07"/>
    <w:rsid w:val="00432E42"/>
    <w:rsid w:val="00432F81"/>
    <w:rsid w:val="00432FD9"/>
    <w:rsid w:val="004332AA"/>
    <w:rsid w:val="004333B1"/>
    <w:rsid w:val="004336DE"/>
    <w:rsid w:val="004341D3"/>
    <w:rsid w:val="00434728"/>
    <w:rsid w:val="00434732"/>
    <w:rsid w:val="004347CB"/>
    <w:rsid w:val="00434A13"/>
    <w:rsid w:val="00434D8B"/>
    <w:rsid w:val="0043518F"/>
    <w:rsid w:val="00435495"/>
    <w:rsid w:val="004354FC"/>
    <w:rsid w:val="00435504"/>
    <w:rsid w:val="004359B0"/>
    <w:rsid w:val="00435AC6"/>
    <w:rsid w:val="0043601C"/>
    <w:rsid w:val="00436129"/>
    <w:rsid w:val="0043653A"/>
    <w:rsid w:val="0043674B"/>
    <w:rsid w:val="00436CC1"/>
    <w:rsid w:val="00436CD1"/>
    <w:rsid w:val="00437321"/>
    <w:rsid w:val="0043796B"/>
    <w:rsid w:val="0043799A"/>
    <w:rsid w:val="0044032F"/>
    <w:rsid w:val="004403FB"/>
    <w:rsid w:val="004409B8"/>
    <w:rsid w:val="00440ADE"/>
    <w:rsid w:val="00440BCD"/>
    <w:rsid w:val="0044126D"/>
    <w:rsid w:val="004414B8"/>
    <w:rsid w:val="00441783"/>
    <w:rsid w:val="0044180F"/>
    <w:rsid w:val="00441C4E"/>
    <w:rsid w:val="00441F27"/>
    <w:rsid w:val="00442157"/>
    <w:rsid w:val="0044265C"/>
    <w:rsid w:val="00442850"/>
    <w:rsid w:val="00442A31"/>
    <w:rsid w:val="00442A48"/>
    <w:rsid w:val="00442AB7"/>
    <w:rsid w:val="00442E13"/>
    <w:rsid w:val="00443248"/>
    <w:rsid w:val="004434AB"/>
    <w:rsid w:val="004435A8"/>
    <w:rsid w:val="004441E6"/>
    <w:rsid w:val="00444270"/>
    <w:rsid w:val="004442AF"/>
    <w:rsid w:val="004446B1"/>
    <w:rsid w:val="004446C1"/>
    <w:rsid w:val="00444A9A"/>
    <w:rsid w:val="004454E8"/>
    <w:rsid w:val="004459FD"/>
    <w:rsid w:val="00445D9B"/>
    <w:rsid w:val="00445D9F"/>
    <w:rsid w:val="00445E4F"/>
    <w:rsid w:val="00446104"/>
    <w:rsid w:val="004461AB"/>
    <w:rsid w:val="00446645"/>
    <w:rsid w:val="004467EA"/>
    <w:rsid w:val="004468B2"/>
    <w:rsid w:val="00446C25"/>
    <w:rsid w:val="00446CCD"/>
    <w:rsid w:val="00446D2B"/>
    <w:rsid w:val="00446DA2"/>
    <w:rsid w:val="00446E6F"/>
    <w:rsid w:val="00447A1C"/>
    <w:rsid w:val="00447BDA"/>
    <w:rsid w:val="00447DD5"/>
    <w:rsid w:val="00447F5A"/>
    <w:rsid w:val="0045051B"/>
    <w:rsid w:val="00450970"/>
    <w:rsid w:val="00450A12"/>
    <w:rsid w:val="00450CAA"/>
    <w:rsid w:val="00451321"/>
    <w:rsid w:val="0045136D"/>
    <w:rsid w:val="00451500"/>
    <w:rsid w:val="00451807"/>
    <w:rsid w:val="00451CEE"/>
    <w:rsid w:val="00451DEA"/>
    <w:rsid w:val="00451FF3"/>
    <w:rsid w:val="004520B9"/>
    <w:rsid w:val="00452499"/>
    <w:rsid w:val="00452611"/>
    <w:rsid w:val="004527C2"/>
    <w:rsid w:val="00452E2D"/>
    <w:rsid w:val="00453074"/>
    <w:rsid w:val="00453498"/>
    <w:rsid w:val="00453D0C"/>
    <w:rsid w:val="00453D9D"/>
    <w:rsid w:val="00453FE6"/>
    <w:rsid w:val="00454148"/>
    <w:rsid w:val="0045414D"/>
    <w:rsid w:val="004541A0"/>
    <w:rsid w:val="004541BC"/>
    <w:rsid w:val="004541F7"/>
    <w:rsid w:val="004545B0"/>
    <w:rsid w:val="004547D9"/>
    <w:rsid w:val="00455109"/>
    <w:rsid w:val="00455148"/>
    <w:rsid w:val="0045524D"/>
    <w:rsid w:val="004556F0"/>
    <w:rsid w:val="0045575C"/>
    <w:rsid w:val="004558D5"/>
    <w:rsid w:val="00455FF9"/>
    <w:rsid w:val="00456177"/>
    <w:rsid w:val="004561E5"/>
    <w:rsid w:val="0045647C"/>
    <w:rsid w:val="004567EF"/>
    <w:rsid w:val="0045687C"/>
    <w:rsid w:val="0045688C"/>
    <w:rsid w:val="00456961"/>
    <w:rsid w:val="00456A8F"/>
    <w:rsid w:val="00456C51"/>
    <w:rsid w:val="00456FD3"/>
    <w:rsid w:val="00457704"/>
    <w:rsid w:val="00457932"/>
    <w:rsid w:val="00457997"/>
    <w:rsid w:val="00457C13"/>
    <w:rsid w:val="00457D90"/>
    <w:rsid w:val="00460098"/>
    <w:rsid w:val="004602FA"/>
    <w:rsid w:val="00460580"/>
    <w:rsid w:val="00460848"/>
    <w:rsid w:val="00460985"/>
    <w:rsid w:val="00460BBF"/>
    <w:rsid w:val="00460FE9"/>
    <w:rsid w:val="004614ED"/>
    <w:rsid w:val="0046159F"/>
    <w:rsid w:val="00461906"/>
    <w:rsid w:val="00461954"/>
    <w:rsid w:val="00461D69"/>
    <w:rsid w:val="00461D72"/>
    <w:rsid w:val="0046236A"/>
    <w:rsid w:val="004623F3"/>
    <w:rsid w:val="00462B3C"/>
    <w:rsid w:val="00462D76"/>
    <w:rsid w:val="00462F19"/>
    <w:rsid w:val="0046398B"/>
    <w:rsid w:val="00463E48"/>
    <w:rsid w:val="00463F10"/>
    <w:rsid w:val="0046419D"/>
    <w:rsid w:val="00464778"/>
    <w:rsid w:val="00464A5D"/>
    <w:rsid w:val="00464A79"/>
    <w:rsid w:val="00464AED"/>
    <w:rsid w:val="0046562E"/>
    <w:rsid w:val="00465A32"/>
    <w:rsid w:val="00465C28"/>
    <w:rsid w:val="00465D2C"/>
    <w:rsid w:val="00466104"/>
    <w:rsid w:val="00466651"/>
    <w:rsid w:val="0046677B"/>
    <w:rsid w:val="004667BA"/>
    <w:rsid w:val="0046689A"/>
    <w:rsid w:val="0046690D"/>
    <w:rsid w:val="004669C3"/>
    <w:rsid w:val="00466E32"/>
    <w:rsid w:val="00466E4B"/>
    <w:rsid w:val="00467023"/>
    <w:rsid w:val="00467130"/>
    <w:rsid w:val="004673A8"/>
    <w:rsid w:val="004673AD"/>
    <w:rsid w:val="0046777C"/>
    <w:rsid w:val="00467789"/>
    <w:rsid w:val="004677C7"/>
    <w:rsid w:val="00467A0B"/>
    <w:rsid w:val="00467C96"/>
    <w:rsid w:val="00467CEF"/>
    <w:rsid w:val="00467EAF"/>
    <w:rsid w:val="00467F27"/>
    <w:rsid w:val="00467FE9"/>
    <w:rsid w:val="0047005D"/>
    <w:rsid w:val="00470134"/>
    <w:rsid w:val="00470307"/>
    <w:rsid w:val="00470321"/>
    <w:rsid w:val="004703AD"/>
    <w:rsid w:val="00470422"/>
    <w:rsid w:val="0047079E"/>
    <w:rsid w:val="0047092E"/>
    <w:rsid w:val="00470BBB"/>
    <w:rsid w:val="00470D1E"/>
    <w:rsid w:val="00470DD4"/>
    <w:rsid w:val="00471410"/>
    <w:rsid w:val="0047142C"/>
    <w:rsid w:val="00471792"/>
    <w:rsid w:val="00471EA8"/>
    <w:rsid w:val="00472723"/>
    <w:rsid w:val="0047298B"/>
    <w:rsid w:val="00472A69"/>
    <w:rsid w:val="00472B3A"/>
    <w:rsid w:val="00473391"/>
    <w:rsid w:val="0047346A"/>
    <w:rsid w:val="004734F2"/>
    <w:rsid w:val="004735E8"/>
    <w:rsid w:val="00473C3F"/>
    <w:rsid w:val="00473C87"/>
    <w:rsid w:val="00473EFC"/>
    <w:rsid w:val="00474137"/>
    <w:rsid w:val="004742FB"/>
    <w:rsid w:val="0047458D"/>
    <w:rsid w:val="00474662"/>
    <w:rsid w:val="004748C6"/>
    <w:rsid w:val="00474996"/>
    <w:rsid w:val="00474ABF"/>
    <w:rsid w:val="00475201"/>
    <w:rsid w:val="004752C8"/>
    <w:rsid w:val="0047553E"/>
    <w:rsid w:val="004755E7"/>
    <w:rsid w:val="004756E5"/>
    <w:rsid w:val="004757E0"/>
    <w:rsid w:val="00475860"/>
    <w:rsid w:val="00475D58"/>
    <w:rsid w:val="00475E04"/>
    <w:rsid w:val="00475F61"/>
    <w:rsid w:val="00475F7F"/>
    <w:rsid w:val="0047615F"/>
    <w:rsid w:val="004764FC"/>
    <w:rsid w:val="00476A62"/>
    <w:rsid w:val="00477018"/>
    <w:rsid w:val="00477644"/>
    <w:rsid w:val="00477828"/>
    <w:rsid w:val="00477A34"/>
    <w:rsid w:val="00477EC6"/>
    <w:rsid w:val="00480264"/>
    <w:rsid w:val="004802A1"/>
    <w:rsid w:val="00480308"/>
    <w:rsid w:val="0048047C"/>
    <w:rsid w:val="00480651"/>
    <w:rsid w:val="00480AAE"/>
    <w:rsid w:val="00480FF2"/>
    <w:rsid w:val="00481536"/>
    <w:rsid w:val="00481AA4"/>
    <w:rsid w:val="00481D5C"/>
    <w:rsid w:val="00481F1F"/>
    <w:rsid w:val="00482092"/>
    <w:rsid w:val="00482184"/>
    <w:rsid w:val="004821D7"/>
    <w:rsid w:val="00482280"/>
    <w:rsid w:val="00482C11"/>
    <w:rsid w:val="00482E9D"/>
    <w:rsid w:val="004831B9"/>
    <w:rsid w:val="00483221"/>
    <w:rsid w:val="004832BF"/>
    <w:rsid w:val="00483948"/>
    <w:rsid w:val="00483D98"/>
    <w:rsid w:val="00483E3A"/>
    <w:rsid w:val="004847FF"/>
    <w:rsid w:val="004849BD"/>
    <w:rsid w:val="004849C9"/>
    <w:rsid w:val="00484A45"/>
    <w:rsid w:val="00485C00"/>
    <w:rsid w:val="00485C3D"/>
    <w:rsid w:val="00485E18"/>
    <w:rsid w:val="00485E22"/>
    <w:rsid w:val="00485FFD"/>
    <w:rsid w:val="004860DA"/>
    <w:rsid w:val="00486278"/>
    <w:rsid w:val="0048628F"/>
    <w:rsid w:val="00486425"/>
    <w:rsid w:val="004867C0"/>
    <w:rsid w:val="004867E7"/>
    <w:rsid w:val="00486861"/>
    <w:rsid w:val="0048718C"/>
    <w:rsid w:val="004871A5"/>
    <w:rsid w:val="0048728C"/>
    <w:rsid w:val="00487360"/>
    <w:rsid w:val="00487DB2"/>
    <w:rsid w:val="00487F08"/>
    <w:rsid w:val="004901F1"/>
    <w:rsid w:val="00490231"/>
    <w:rsid w:val="0049026E"/>
    <w:rsid w:val="004903F7"/>
    <w:rsid w:val="004904FB"/>
    <w:rsid w:val="00490665"/>
    <w:rsid w:val="00490BE5"/>
    <w:rsid w:val="00490C84"/>
    <w:rsid w:val="0049100C"/>
    <w:rsid w:val="0049139C"/>
    <w:rsid w:val="004914FA"/>
    <w:rsid w:val="00491649"/>
    <w:rsid w:val="00491863"/>
    <w:rsid w:val="004919F6"/>
    <w:rsid w:val="00491BD7"/>
    <w:rsid w:val="00491C0A"/>
    <w:rsid w:val="00491C17"/>
    <w:rsid w:val="00491D06"/>
    <w:rsid w:val="00491E50"/>
    <w:rsid w:val="00492342"/>
    <w:rsid w:val="00492743"/>
    <w:rsid w:val="00492758"/>
    <w:rsid w:val="00492B63"/>
    <w:rsid w:val="00492C94"/>
    <w:rsid w:val="00492EE4"/>
    <w:rsid w:val="00493071"/>
    <w:rsid w:val="004934C6"/>
    <w:rsid w:val="0049359D"/>
    <w:rsid w:val="00493776"/>
    <w:rsid w:val="00493802"/>
    <w:rsid w:val="00493827"/>
    <w:rsid w:val="00493A1F"/>
    <w:rsid w:val="00493D0E"/>
    <w:rsid w:val="00493FD3"/>
    <w:rsid w:val="00494010"/>
    <w:rsid w:val="004943E1"/>
    <w:rsid w:val="0049451C"/>
    <w:rsid w:val="004948B6"/>
    <w:rsid w:val="00494ACD"/>
    <w:rsid w:val="00494C15"/>
    <w:rsid w:val="00494CC8"/>
    <w:rsid w:val="00494D85"/>
    <w:rsid w:val="0049510A"/>
    <w:rsid w:val="004951D3"/>
    <w:rsid w:val="00495B0D"/>
    <w:rsid w:val="00495CAC"/>
    <w:rsid w:val="00495D4F"/>
    <w:rsid w:val="00495FED"/>
    <w:rsid w:val="0049608C"/>
    <w:rsid w:val="004965F8"/>
    <w:rsid w:val="00496696"/>
    <w:rsid w:val="004966EB"/>
    <w:rsid w:val="004968CF"/>
    <w:rsid w:val="00496BDC"/>
    <w:rsid w:val="00496C29"/>
    <w:rsid w:val="00496D40"/>
    <w:rsid w:val="00496FEE"/>
    <w:rsid w:val="00496FF0"/>
    <w:rsid w:val="0049732D"/>
    <w:rsid w:val="0049767B"/>
    <w:rsid w:val="00497697"/>
    <w:rsid w:val="0049770B"/>
    <w:rsid w:val="004979B8"/>
    <w:rsid w:val="00497DE7"/>
    <w:rsid w:val="004A0022"/>
    <w:rsid w:val="004A03DA"/>
    <w:rsid w:val="004A0767"/>
    <w:rsid w:val="004A07C6"/>
    <w:rsid w:val="004A07F4"/>
    <w:rsid w:val="004A0845"/>
    <w:rsid w:val="004A096F"/>
    <w:rsid w:val="004A0D2B"/>
    <w:rsid w:val="004A117C"/>
    <w:rsid w:val="004A1214"/>
    <w:rsid w:val="004A13E8"/>
    <w:rsid w:val="004A17F5"/>
    <w:rsid w:val="004A1902"/>
    <w:rsid w:val="004A1B76"/>
    <w:rsid w:val="004A200E"/>
    <w:rsid w:val="004A20A4"/>
    <w:rsid w:val="004A20C7"/>
    <w:rsid w:val="004A2346"/>
    <w:rsid w:val="004A2404"/>
    <w:rsid w:val="004A26C2"/>
    <w:rsid w:val="004A274D"/>
    <w:rsid w:val="004A2C43"/>
    <w:rsid w:val="004A2F2B"/>
    <w:rsid w:val="004A3284"/>
    <w:rsid w:val="004A3778"/>
    <w:rsid w:val="004A38B8"/>
    <w:rsid w:val="004A3C90"/>
    <w:rsid w:val="004A4011"/>
    <w:rsid w:val="004A4036"/>
    <w:rsid w:val="004A4CA3"/>
    <w:rsid w:val="004A4D83"/>
    <w:rsid w:val="004A4F73"/>
    <w:rsid w:val="004A506A"/>
    <w:rsid w:val="004A5579"/>
    <w:rsid w:val="004A5D42"/>
    <w:rsid w:val="004A5D9B"/>
    <w:rsid w:val="004A6682"/>
    <w:rsid w:val="004A6AF0"/>
    <w:rsid w:val="004A6B51"/>
    <w:rsid w:val="004A6F00"/>
    <w:rsid w:val="004A7374"/>
    <w:rsid w:val="004A787C"/>
    <w:rsid w:val="004A7ABC"/>
    <w:rsid w:val="004A7E35"/>
    <w:rsid w:val="004A7FFB"/>
    <w:rsid w:val="004B00D2"/>
    <w:rsid w:val="004B017B"/>
    <w:rsid w:val="004B05CD"/>
    <w:rsid w:val="004B069E"/>
    <w:rsid w:val="004B0CBF"/>
    <w:rsid w:val="004B117B"/>
    <w:rsid w:val="004B13CF"/>
    <w:rsid w:val="004B1C9B"/>
    <w:rsid w:val="004B1FF5"/>
    <w:rsid w:val="004B22BF"/>
    <w:rsid w:val="004B25D1"/>
    <w:rsid w:val="004B2694"/>
    <w:rsid w:val="004B3315"/>
    <w:rsid w:val="004B33A8"/>
    <w:rsid w:val="004B345F"/>
    <w:rsid w:val="004B38E4"/>
    <w:rsid w:val="004B392D"/>
    <w:rsid w:val="004B3BC5"/>
    <w:rsid w:val="004B428A"/>
    <w:rsid w:val="004B42E2"/>
    <w:rsid w:val="004B45D0"/>
    <w:rsid w:val="004B4A16"/>
    <w:rsid w:val="004B518E"/>
    <w:rsid w:val="004B5B84"/>
    <w:rsid w:val="004B621F"/>
    <w:rsid w:val="004B624C"/>
    <w:rsid w:val="004B6313"/>
    <w:rsid w:val="004B6488"/>
    <w:rsid w:val="004B65E0"/>
    <w:rsid w:val="004B6B2A"/>
    <w:rsid w:val="004B6C99"/>
    <w:rsid w:val="004B6DD5"/>
    <w:rsid w:val="004B7133"/>
    <w:rsid w:val="004B7166"/>
    <w:rsid w:val="004B758F"/>
    <w:rsid w:val="004B75D4"/>
    <w:rsid w:val="004B7B88"/>
    <w:rsid w:val="004B7BDB"/>
    <w:rsid w:val="004B7E8A"/>
    <w:rsid w:val="004C0024"/>
    <w:rsid w:val="004C087D"/>
    <w:rsid w:val="004C091E"/>
    <w:rsid w:val="004C0B4C"/>
    <w:rsid w:val="004C0DD1"/>
    <w:rsid w:val="004C11F1"/>
    <w:rsid w:val="004C15CB"/>
    <w:rsid w:val="004C16E6"/>
    <w:rsid w:val="004C19A4"/>
    <w:rsid w:val="004C1A8F"/>
    <w:rsid w:val="004C1CFD"/>
    <w:rsid w:val="004C212F"/>
    <w:rsid w:val="004C267F"/>
    <w:rsid w:val="004C28EC"/>
    <w:rsid w:val="004C2BD0"/>
    <w:rsid w:val="004C2DA4"/>
    <w:rsid w:val="004C2E64"/>
    <w:rsid w:val="004C33D4"/>
    <w:rsid w:val="004C3AD7"/>
    <w:rsid w:val="004C3F0A"/>
    <w:rsid w:val="004C42F7"/>
    <w:rsid w:val="004C44A8"/>
    <w:rsid w:val="004C4C9D"/>
    <w:rsid w:val="004C4FB0"/>
    <w:rsid w:val="004C5440"/>
    <w:rsid w:val="004C593A"/>
    <w:rsid w:val="004C5E5B"/>
    <w:rsid w:val="004C5F96"/>
    <w:rsid w:val="004C5FED"/>
    <w:rsid w:val="004C63E1"/>
    <w:rsid w:val="004C646D"/>
    <w:rsid w:val="004C6569"/>
    <w:rsid w:val="004C681E"/>
    <w:rsid w:val="004C6895"/>
    <w:rsid w:val="004C69BB"/>
    <w:rsid w:val="004C69D3"/>
    <w:rsid w:val="004C6D2E"/>
    <w:rsid w:val="004C715E"/>
    <w:rsid w:val="004C7278"/>
    <w:rsid w:val="004C744E"/>
    <w:rsid w:val="004C7611"/>
    <w:rsid w:val="004C7753"/>
    <w:rsid w:val="004C77AE"/>
    <w:rsid w:val="004C7AC4"/>
    <w:rsid w:val="004C7BF2"/>
    <w:rsid w:val="004C7CBC"/>
    <w:rsid w:val="004CBA8C"/>
    <w:rsid w:val="004D020B"/>
    <w:rsid w:val="004D05AF"/>
    <w:rsid w:val="004D0716"/>
    <w:rsid w:val="004D0AD4"/>
    <w:rsid w:val="004D0B74"/>
    <w:rsid w:val="004D0C10"/>
    <w:rsid w:val="004D0C42"/>
    <w:rsid w:val="004D1077"/>
    <w:rsid w:val="004D129E"/>
    <w:rsid w:val="004D147B"/>
    <w:rsid w:val="004D14EA"/>
    <w:rsid w:val="004D184C"/>
    <w:rsid w:val="004D18BF"/>
    <w:rsid w:val="004D1A41"/>
    <w:rsid w:val="004D1A5A"/>
    <w:rsid w:val="004D21C0"/>
    <w:rsid w:val="004D25A2"/>
    <w:rsid w:val="004D295A"/>
    <w:rsid w:val="004D2A69"/>
    <w:rsid w:val="004D2E0D"/>
    <w:rsid w:val="004D30B0"/>
    <w:rsid w:val="004D333E"/>
    <w:rsid w:val="004D3638"/>
    <w:rsid w:val="004D36FB"/>
    <w:rsid w:val="004D3723"/>
    <w:rsid w:val="004D3A42"/>
    <w:rsid w:val="004D3B69"/>
    <w:rsid w:val="004D3EA8"/>
    <w:rsid w:val="004D44F7"/>
    <w:rsid w:val="004D4751"/>
    <w:rsid w:val="004D4EBE"/>
    <w:rsid w:val="004D51C6"/>
    <w:rsid w:val="004D51E5"/>
    <w:rsid w:val="004D55E3"/>
    <w:rsid w:val="004D5715"/>
    <w:rsid w:val="004D57C2"/>
    <w:rsid w:val="004D5CEF"/>
    <w:rsid w:val="004D5DF4"/>
    <w:rsid w:val="004D5E01"/>
    <w:rsid w:val="004D64CE"/>
    <w:rsid w:val="004D6A05"/>
    <w:rsid w:val="004D6EB5"/>
    <w:rsid w:val="004D7067"/>
    <w:rsid w:val="004D7104"/>
    <w:rsid w:val="004D763C"/>
    <w:rsid w:val="004D7959"/>
    <w:rsid w:val="004D7A88"/>
    <w:rsid w:val="004D7ADF"/>
    <w:rsid w:val="004D7C30"/>
    <w:rsid w:val="004E0007"/>
    <w:rsid w:val="004E011A"/>
    <w:rsid w:val="004E01ED"/>
    <w:rsid w:val="004E0769"/>
    <w:rsid w:val="004E100E"/>
    <w:rsid w:val="004E131A"/>
    <w:rsid w:val="004E13FF"/>
    <w:rsid w:val="004E1640"/>
    <w:rsid w:val="004E16AC"/>
    <w:rsid w:val="004E1A9D"/>
    <w:rsid w:val="004E1E33"/>
    <w:rsid w:val="004E209C"/>
    <w:rsid w:val="004E234B"/>
    <w:rsid w:val="004E28A5"/>
    <w:rsid w:val="004E2937"/>
    <w:rsid w:val="004E2BC2"/>
    <w:rsid w:val="004E36E9"/>
    <w:rsid w:val="004E41CB"/>
    <w:rsid w:val="004E421A"/>
    <w:rsid w:val="004E42B4"/>
    <w:rsid w:val="004E4385"/>
    <w:rsid w:val="004E4411"/>
    <w:rsid w:val="004E47E7"/>
    <w:rsid w:val="004E4832"/>
    <w:rsid w:val="004E486E"/>
    <w:rsid w:val="004E4912"/>
    <w:rsid w:val="004E4CD9"/>
    <w:rsid w:val="004E4E3F"/>
    <w:rsid w:val="004E529F"/>
    <w:rsid w:val="004E52F0"/>
    <w:rsid w:val="004E551B"/>
    <w:rsid w:val="004E551C"/>
    <w:rsid w:val="004E5E77"/>
    <w:rsid w:val="004E5F7B"/>
    <w:rsid w:val="004E6036"/>
    <w:rsid w:val="004E62A2"/>
    <w:rsid w:val="004E64D9"/>
    <w:rsid w:val="004E6728"/>
    <w:rsid w:val="004E689E"/>
    <w:rsid w:val="004E6D44"/>
    <w:rsid w:val="004E6E3B"/>
    <w:rsid w:val="004E6E82"/>
    <w:rsid w:val="004E6F04"/>
    <w:rsid w:val="004E6F18"/>
    <w:rsid w:val="004E7268"/>
    <w:rsid w:val="004E7545"/>
    <w:rsid w:val="004E78A7"/>
    <w:rsid w:val="004E7976"/>
    <w:rsid w:val="004E7AC8"/>
    <w:rsid w:val="004E7DAF"/>
    <w:rsid w:val="004F010A"/>
    <w:rsid w:val="004F0335"/>
    <w:rsid w:val="004F0693"/>
    <w:rsid w:val="004F092B"/>
    <w:rsid w:val="004F0BBF"/>
    <w:rsid w:val="004F0EDA"/>
    <w:rsid w:val="004F14E5"/>
    <w:rsid w:val="004F15AB"/>
    <w:rsid w:val="004F17E6"/>
    <w:rsid w:val="004F1FA9"/>
    <w:rsid w:val="004F211E"/>
    <w:rsid w:val="004F215A"/>
    <w:rsid w:val="004F23DF"/>
    <w:rsid w:val="004F2749"/>
    <w:rsid w:val="004F2AB5"/>
    <w:rsid w:val="004F2CD4"/>
    <w:rsid w:val="004F2F12"/>
    <w:rsid w:val="004F2F88"/>
    <w:rsid w:val="004F3211"/>
    <w:rsid w:val="004F335B"/>
    <w:rsid w:val="004F3B76"/>
    <w:rsid w:val="004F3C1D"/>
    <w:rsid w:val="004F3D7E"/>
    <w:rsid w:val="004F3FCB"/>
    <w:rsid w:val="004F4035"/>
    <w:rsid w:val="004F4133"/>
    <w:rsid w:val="004F44C6"/>
    <w:rsid w:val="004F483D"/>
    <w:rsid w:val="004F4BAD"/>
    <w:rsid w:val="004F53D2"/>
    <w:rsid w:val="004F53F3"/>
    <w:rsid w:val="004F5430"/>
    <w:rsid w:val="004F54FE"/>
    <w:rsid w:val="004F596F"/>
    <w:rsid w:val="004F5DB8"/>
    <w:rsid w:val="004F5F16"/>
    <w:rsid w:val="004F623E"/>
    <w:rsid w:val="004F66E4"/>
    <w:rsid w:val="004F6C03"/>
    <w:rsid w:val="004F6DA7"/>
    <w:rsid w:val="004F7652"/>
    <w:rsid w:val="004F7B1C"/>
    <w:rsid w:val="004F7B22"/>
    <w:rsid w:val="004F7BB7"/>
    <w:rsid w:val="005008B1"/>
    <w:rsid w:val="00500FCE"/>
    <w:rsid w:val="0050117D"/>
    <w:rsid w:val="00501292"/>
    <w:rsid w:val="00501412"/>
    <w:rsid w:val="00501453"/>
    <w:rsid w:val="005014E4"/>
    <w:rsid w:val="005016AF"/>
    <w:rsid w:val="0050185B"/>
    <w:rsid w:val="00502185"/>
    <w:rsid w:val="00502514"/>
    <w:rsid w:val="005026EC"/>
    <w:rsid w:val="00502C0C"/>
    <w:rsid w:val="00502DBD"/>
    <w:rsid w:val="00502F7F"/>
    <w:rsid w:val="005033BD"/>
    <w:rsid w:val="00503A3C"/>
    <w:rsid w:val="00503B69"/>
    <w:rsid w:val="00503BE9"/>
    <w:rsid w:val="00503EFE"/>
    <w:rsid w:val="0050412D"/>
    <w:rsid w:val="005041F6"/>
    <w:rsid w:val="005043D5"/>
    <w:rsid w:val="00504BEE"/>
    <w:rsid w:val="00504C59"/>
    <w:rsid w:val="00504CAC"/>
    <w:rsid w:val="00505367"/>
    <w:rsid w:val="005057BC"/>
    <w:rsid w:val="00505A1E"/>
    <w:rsid w:val="00505BCF"/>
    <w:rsid w:val="00505CAE"/>
    <w:rsid w:val="005060AB"/>
    <w:rsid w:val="0050629C"/>
    <w:rsid w:val="005063E3"/>
    <w:rsid w:val="00506400"/>
    <w:rsid w:val="005064A8"/>
    <w:rsid w:val="0050675A"/>
    <w:rsid w:val="005069A6"/>
    <w:rsid w:val="00506AF8"/>
    <w:rsid w:val="00506C2F"/>
    <w:rsid w:val="00507146"/>
    <w:rsid w:val="005073B2"/>
    <w:rsid w:val="0050790A"/>
    <w:rsid w:val="00507A54"/>
    <w:rsid w:val="00507EA7"/>
    <w:rsid w:val="005107A0"/>
    <w:rsid w:val="005108F6"/>
    <w:rsid w:val="00510B72"/>
    <w:rsid w:val="005110D9"/>
    <w:rsid w:val="0051119D"/>
    <w:rsid w:val="005111D1"/>
    <w:rsid w:val="0051131F"/>
    <w:rsid w:val="005113B0"/>
    <w:rsid w:val="00511BC4"/>
    <w:rsid w:val="00511C3B"/>
    <w:rsid w:val="00511DD2"/>
    <w:rsid w:val="00511F59"/>
    <w:rsid w:val="005120AD"/>
    <w:rsid w:val="005122A5"/>
    <w:rsid w:val="005129A0"/>
    <w:rsid w:val="00512A91"/>
    <w:rsid w:val="00512D0C"/>
    <w:rsid w:val="00512DA6"/>
    <w:rsid w:val="005133A7"/>
    <w:rsid w:val="00513501"/>
    <w:rsid w:val="00513813"/>
    <w:rsid w:val="00514202"/>
    <w:rsid w:val="00514221"/>
    <w:rsid w:val="0051461A"/>
    <w:rsid w:val="005146EA"/>
    <w:rsid w:val="00514779"/>
    <w:rsid w:val="005147BD"/>
    <w:rsid w:val="00514A15"/>
    <w:rsid w:val="00515120"/>
    <w:rsid w:val="005157DF"/>
    <w:rsid w:val="005159C9"/>
    <w:rsid w:val="00515A09"/>
    <w:rsid w:val="00515D03"/>
    <w:rsid w:val="00516183"/>
    <w:rsid w:val="00516761"/>
    <w:rsid w:val="00516991"/>
    <w:rsid w:val="00516A29"/>
    <w:rsid w:val="00516C4E"/>
    <w:rsid w:val="00516E41"/>
    <w:rsid w:val="00516FBA"/>
    <w:rsid w:val="005170A3"/>
    <w:rsid w:val="0051723A"/>
    <w:rsid w:val="0051724E"/>
    <w:rsid w:val="00520178"/>
    <w:rsid w:val="00520274"/>
    <w:rsid w:val="00520602"/>
    <w:rsid w:val="00520B5F"/>
    <w:rsid w:val="00520B8C"/>
    <w:rsid w:val="00520E2B"/>
    <w:rsid w:val="005214A8"/>
    <w:rsid w:val="005217B8"/>
    <w:rsid w:val="00521A68"/>
    <w:rsid w:val="00521B3E"/>
    <w:rsid w:val="00521BD4"/>
    <w:rsid w:val="00521BE9"/>
    <w:rsid w:val="00521E58"/>
    <w:rsid w:val="00521FFA"/>
    <w:rsid w:val="00522288"/>
    <w:rsid w:val="005222EB"/>
    <w:rsid w:val="00522CBB"/>
    <w:rsid w:val="00522CC9"/>
    <w:rsid w:val="00522CDE"/>
    <w:rsid w:val="00522E5F"/>
    <w:rsid w:val="00523164"/>
    <w:rsid w:val="0052350D"/>
    <w:rsid w:val="0052370B"/>
    <w:rsid w:val="005238DA"/>
    <w:rsid w:val="00523E92"/>
    <w:rsid w:val="00523EAA"/>
    <w:rsid w:val="00523F39"/>
    <w:rsid w:val="00524120"/>
    <w:rsid w:val="00524372"/>
    <w:rsid w:val="00524831"/>
    <w:rsid w:val="0052484D"/>
    <w:rsid w:val="005254EE"/>
    <w:rsid w:val="0052555A"/>
    <w:rsid w:val="005257F9"/>
    <w:rsid w:val="00525BB6"/>
    <w:rsid w:val="00525D8A"/>
    <w:rsid w:val="00526128"/>
    <w:rsid w:val="0052696C"/>
    <w:rsid w:val="00526BCA"/>
    <w:rsid w:val="005271E2"/>
    <w:rsid w:val="0052737E"/>
    <w:rsid w:val="00527431"/>
    <w:rsid w:val="005275A0"/>
    <w:rsid w:val="00527686"/>
    <w:rsid w:val="00527B25"/>
    <w:rsid w:val="005300B4"/>
    <w:rsid w:val="00530119"/>
    <w:rsid w:val="00530589"/>
    <w:rsid w:val="005305F0"/>
    <w:rsid w:val="00530718"/>
    <w:rsid w:val="005310C2"/>
    <w:rsid w:val="00531282"/>
    <w:rsid w:val="005313B2"/>
    <w:rsid w:val="00531668"/>
    <w:rsid w:val="00531689"/>
    <w:rsid w:val="00531AAB"/>
    <w:rsid w:val="00531C18"/>
    <w:rsid w:val="00532177"/>
    <w:rsid w:val="005321E3"/>
    <w:rsid w:val="005327AC"/>
    <w:rsid w:val="005327D0"/>
    <w:rsid w:val="0053280F"/>
    <w:rsid w:val="00532B7E"/>
    <w:rsid w:val="00532B82"/>
    <w:rsid w:val="00532C4D"/>
    <w:rsid w:val="00532EEF"/>
    <w:rsid w:val="005330B5"/>
    <w:rsid w:val="00533130"/>
    <w:rsid w:val="0053333A"/>
    <w:rsid w:val="00533466"/>
    <w:rsid w:val="00533729"/>
    <w:rsid w:val="00534084"/>
    <w:rsid w:val="00534164"/>
    <w:rsid w:val="005341DF"/>
    <w:rsid w:val="005343F6"/>
    <w:rsid w:val="005345D3"/>
    <w:rsid w:val="0053489C"/>
    <w:rsid w:val="005348F1"/>
    <w:rsid w:val="0053495F"/>
    <w:rsid w:val="0053497E"/>
    <w:rsid w:val="00534EAC"/>
    <w:rsid w:val="00535122"/>
    <w:rsid w:val="00535251"/>
    <w:rsid w:val="005352BD"/>
    <w:rsid w:val="00535445"/>
    <w:rsid w:val="0053569F"/>
    <w:rsid w:val="00535764"/>
    <w:rsid w:val="00535A2B"/>
    <w:rsid w:val="00535A3A"/>
    <w:rsid w:val="00536197"/>
    <w:rsid w:val="00536463"/>
    <w:rsid w:val="00536B90"/>
    <w:rsid w:val="00537000"/>
    <w:rsid w:val="00537404"/>
    <w:rsid w:val="005374A5"/>
    <w:rsid w:val="005374DB"/>
    <w:rsid w:val="005378F8"/>
    <w:rsid w:val="00537925"/>
    <w:rsid w:val="00537A3E"/>
    <w:rsid w:val="00537C01"/>
    <w:rsid w:val="00537D36"/>
    <w:rsid w:val="00537DFE"/>
    <w:rsid w:val="005401AF"/>
    <w:rsid w:val="00540391"/>
    <w:rsid w:val="005406A7"/>
    <w:rsid w:val="0054078A"/>
    <w:rsid w:val="00540A1D"/>
    <w:rsid w:val="00540AD5"/>
    <w:rsid w:val="00540B4E"/>
    <w:rsid w:val="00540BCE"/>
    <w:rsid w:val="00540D5D"/>
    <w:rsid w:val="00540FFD"/>
    <w:rsid w:val="00541333"/>
    <w:rsid w:val="005415BB"/>
    <w:rsid w:val="00541BD7"/>
    <w:rsid w:val="00541C7D"/>
    <w:rsid w:val="00541E3E"/>
    <w:rsid w:val="00542329"/>
    <w:rsid w:val="0054243A"/>
    <w:rsid w:val="0054253C"/>
    <w:rsid w:val="0054275E"/>
    <w:rsid w:val="005429B2"/>
    <w:rsid w:val="00542C15"/>
    <w:rsid w:val="00543269"/>
    <w:rsid w:val="00543308"/>
    <w:rsid w:val="005433F5"/>
    <w:rsid w:val="00543467"/>
    <w:rsid w:val="005435A3"/>
    <w:rsid w:val="0054390E"/>
    <w:rsid w:val="00543F12"/>
    <w:rsid w:val="0054458C"/>
    <w:rsid w:val="005448DA"/>
    <w:rsid w:val="005449F2"/>
    <w:rsid w:val="00544D25"/>
    <w:rsid w:val="00545003"/>
    <w:rsid w:val="005458EC"/>
    <w:rsid w:val="00545943"/>
    <w:rsid w:val="00545C87"/>
    <w:rsid w:val="00545CB7"/>
    <w:rsid w:val="005460D5"/>
    <w:rsid w:val="00546272"/>
    <w:rsid w:val="005463CC"/>
    <w:rsid w:val="00546548"/>
    <w:rsid w:val="0054675C"/>
    <w:rsid w:val="00546CF0"/>
    <w:rsid w:val="00546DAC"/>
    <w:rsid w:val="00546F62"/>
    <w:rsid w:val="00546F63"/>
    <w:rsid w:val="00547071"/>
    <w:rsid w:val="00547461"/>
    <w:rsid w:val="00547936"/>
    <w:rsid w:val="005479ED"/>
    <w:rsid w:val="00547A67"/>
    <w:rsid w:val="00547A84"/>
    <w:rsid w:val="00547DF1"/>
    <w:rsid w:val="00547ED5"/>
    <w:rsid w:val="0055004C"/>
    <w:rsid w:val="00550255"/>
    <w:rsid w:val="0055026B"/>
    <w:rsid w:val="005509E5"/>
    <w:rsid w:val="00550AA2"/>
    <w:rsid w:val="00550D79"/>
    <w:rsid w:val="0055151F"/>
    <w:rsid w:val="005516B0"/>
    <w:rsid w:val="005517DC"/>
    <w:rsid w:val="005518BE"/>
    <w:rsid w:val="00551920"/>
    <w:rsid w:val="00551BA3"/>
    <w:rsid w:val="00551D9B"/>
    <w:rsid w:val="00552557"/>
    <w:rsid w:val="00552568"/>
    <w:rsid w:val="005525A4"/>
    <w:rsid w:val="005526F6"/>
    <w:rsid w:val="00552794"/>
    <w:rsid w:val="00552CF3"/>
    <w:rsid w:val="00552D0F"/>
    <w:rsid w:val="00553125"/>
    <w:rsid w:val="00553187"/>
    <w:rsid w:val="005532F7"/>
    <w:rsid w:val="005533D8"/>
    <w:rsid w:val="00553428"/>
    <w:rsid w:val="005536D1"/>
    <w:rsid w:val="00553729"/>
    <w:rsid w:val="00553DE2"/>
    <w:rsid w:val="005541E6"/>
    <w:rsid w:val="0055427E"/>
    <w:rsid w:val="00554693"/>
    <w:rsid w:val="00554753"/>
    <w:rsid w:val="00555352"/>
    <w:rsid w:val="00555358"/>
    <w:rsid w:val="005553C7"/>
    <w:rsid w:val="0055571A"/>
    <w:rsid w:val="0055585F"/>
    <w:rsid w:val="005558BB"/>
    <w:rsid w:val="00555A7A"/>
    <w:rsid w:val="00556030"/>
    <w:rsid w:val="005567BE"/>
    <w:rsid w:val="00556B37"/>
    <w:rsid w:val="00556C5D"/>
    <w:rsid w:val="00556DF2"/>
    <w:rsid w:val="00557312"/>
    <w:rsid w:val="0055743F"/>
    <w:rsid w:val="005575E6"/>
    <w:rsid w:val="005577CC"/>
    <w:rsid w:val="00557A0C"/>
    <w:rsid w:val="00557B61"/>
    <w:rsid w:val="0056048E"/>
    <w:rsid w:val="005604A9"/>
    <w:rsid w:val="00560F04"/>
    <w:rsid w:val="00561159"/>
    <w:rsid w:val="0056148D"/>
    <w:rsid w:val="0056187A"/>
    <w:rsid w:val="00561CD2"/>
    <w:rsid w:val="005620CF"/>
    <w:rsid w:val="005621AD"/>
    <w:rsid w:val="0056244E"/>
    <w:rsid w:val="00562C8F"/>
    <w:rsid w:val="00562E85"/>
    <w:rsid w:val="005631FA"/>
    <w:rsid w:val="00563364"/>
    <w:rsid w:val="00563430"/>
    <w:rsid w:val="00563506"/>
    <w:rsid w:val="005636CC"/>
    <w:rsid w:val="005637B0"/>
    <w:rsid w:val="00563802"/>
    <w:rsid w:val="00563828"/>
    <w:rsid w:val="00563874"/>
    <w:rsid w:val="00563A58"/>
    <w:rsid w:val="00563A5E"/>
    <w:rsid w:val="00563A8A"/>
    <w:rsid w:val="00563AEA"/>
    <w:rsid w:val="00563DBE"/>
    <w:rsid w:val="0056461E"/>
    <w:rsid w:val="00564690"/>
    <w:rsid w:val="00564A2B"/>
    <w:rsid w:val="00564DA9"/>
    <w:rsid w:val="00565297"/>
    <w:rsid w:val="005654E7"/>
    <w:rsid w:val="0056558D"/>
    <w:rsid w:val="005655E2"/>
    <w:rsid w:val="00565B90"/>
    <w:rsid w:val="00565BBC"/>
    <w:rsid w:val="00565D73"/>
    <w:rsid w:val="005660A4"/>
    <w:rsid w:val="00566103"/>
    <w:rsid w:val="00566562"/>
    <w:rsid w:val="00566C3A"/>
    <w:rsid w:val="00566CA0"/>
    <w:rsid w:val="00566E6C"/>
    <w:rsid w:val="00566EA0"/>
    <w:rsid w:val="00566FB1"/>
    <w:rsid w:val="00567251"/>
    <w:rsid w:val="00567359"/>
    <w:rsid w:val="00567500"/>
    <w:rsid w:val="00567731"/>
    <w:rsid w:val="0056776E"/>
    <w:rsid w:val="00567C9C"/>
    <w:rsid w:val="00567E7E"/>
    <w:rsid w:val="0057010C"/>
    <w:rsid w:val="0057055D"/>
    <w:rsid w:val="00570687"/>
    <w:rsid w:val="00570750"/>
    <w:rsid w:val="00570A42"/>
    <w:rsid w:val="00570BAA"/>
    <w:rsid w:val="00570C00"/>
    <w:rsid w:val="00570D44"/>
    <w:rsid w:val="00570F18"/>
    <w:rsid w:val="00571056"/>
    <w:rsid w:val="005711E5"/>
    <w:rsid w:val="005714AD"/>
    <w:rsid w:val="005716C1"/>
    <w:rsid w:val="00572709"/>
    <w:rsid w:val="005729D6"/>
    <w:rsid w:val="00572D11"/>
    <w:rsid w:val="00572D14"/>
    <w:rsid w:val="00573321"/>
    <w:rsid w:val="0057338F"/>
    <w:rsid w:val="0057373E"/>
    <w:rsid w:val="00574341"/>
    <w:rsid w:val="00574398"/>
    <w:rsid w:val="00574407"/>
    <w:rsid w:val="00574463"/>
    <w:rsid w:val="0057466E"/>
    <w:rsid w:val="00574764"/>
    <w:rsid w:val="00574864"/>
    <w:rsid w:val="00574FDD"/>
    <w:rsid w:val="00575236"/>
    <w:rsid w:val="00575480"/>
    <w:rsid w:val="00575528"/>
    <w:rsid w:val="005756A3"/>
    <w:rsid w:val="00575789"/>
    <w:rsid w:val="00576023"/>
    <w:rsid w:val="00576107"/>
    <w:rsid w:val="005761F0"/>
    <w:rsid w:val="0057628E"/>
    <w:rsid w:val="005763A0"/>
    <w:rsid w:val="005765C6"/>
    <w:rsid w:val="005769E2"/>
    <w:rsid w:val="00576B29"/>
    <w:rsid w:val="00576BC4"/>
    <w:rsid w:val="00576CFD"/>
    <w:rsid w:val="0057735D"/>
    <w:rsid w:val="00577690"/>
    <w:rsid w:val="005776DB"/>
    <w:rsid w:val="005779B8"/>
    <w:rsid w:val="00577A57"/>
    <w:rsid w:val="00580680"/>
    <w:rsid w:val="00580684"/>
    <w:rsid w:val="00580B88"/>
    <w:rsid w:val="00580D9A"/>
    <w:rsid w:val="00580E8B"/>
    <w:rsid w:val="005810E4"/>
    <w:rsid w:val="00581119"/>
    <w:rsid w:val="005811F7"/>
    <w:rsid w:val="0058173E"/>
    <w:rsid w:val="00581A27"/>
    <w:rsid w:val="00581B57"/>
    <w:rsid w:val="00581CAB"/>
    <w:rsid w:val="00581CF1"/>
    <w:rsid w:val="005823D4"/>
    <w:rsid w:val="00582494"/>
    <w:rsid w:val="00582BA3"/>
    <w:rsid w:val="00582D72"/>
    <w:rsid w:val="00582E06"/>
    <w:rsid w:val="00583524"/>
    <w:rsid w:val="005836C6"/>
    <w:rsid w:val="00583B61"/>
    <w:rsid w:val="00583E28"/>
    <w:rsid w:val="00583E66"/>
    <w:rsid w:val="00584651"/>
    <w:rsid w:val="005848EA"/>
    <w:rsid w:val="00584CCC"/>
    <w:rsid w:val="00585137"/>
    <w:rsid w:val="00585159"/>
    <w:rsid w:val="00585351"/>
    <w:rsid w:val="00585AB9"/>
    <w:rsid w:val="00585E63"/>
    <w:rsid w:val="005860E0"/>
    <w:rsid w:val="0058631E"/>
    <w:rsid w:val="00586577"/>
    <w:rsid w:val="00586D86"/>
    <w:rsid w:val="00586DE7"/>
    <w:rsid w:val="00586E77"/>
    <w:rsid w:val="005870DE"/>
    <w:rsid w:val="005875DD"/>
    <w:rsid w:val="0058795D"/>
    <w:rsid w:val="00587AAC"/>
    <w:rsid w:val="00587D71"/>
    <w:rsid w:val="00590166"/>
    <w:rsid w:val="0059020D"/>
    <w:rsid w:val="00590417"/>
    <w:rsid w:val="00590617"/>
    <w:rsid w:val="00590725"/>
    <w:rsid w:val="00590CEB"/>
    <w:rsid w:val="00590DCA"/>
    <w:rsid w:val="00590EFB"/>
    <w:rsid w:val="00590F97"/>
    <w:rsid w:val="0059135D"/>
    <w:rsid w:val="005918FF"/>
    <w:rsid w:val="005919F0"/>
    <w:rsid w:val="00591E45"/>
    <w:rsid w:val="005923FC"/>
    <w:rsid w:val="005926CA"/>
    <w:rsid w:val="00592B0E"/>
    <w:rsid w:val="00592C17"/>
    <w:rsid w:val="005935C3"/>
    <w:rsid w:val="005937A5"/>
    <w:rsid w:val="00593953"/>
    <w:rsid w:val="00593996"/>
    <w:rsid w:val="00593B0C"/>
    <w:rsid w:val="00593CD6"/>
    <w:rsid w:val="00593D47"/>
    <w:rsid w:val="0059431D"/>
    <w:rsid w:val="005943A7"/>
    <w:rsid w:val="00594824"/>
    <w:rsid w:val="00594CB6"/>
    <w:rsid w:val="005951CF"/>
    <w:rsid w:val="00595287"/>
    <w:rsid w:val="005954C8"/>
    <w:rsid w:val="00595FE5"/>
    <w:rsid w:val="00596093"/>
    <w:rsid w:val="005963F6"/>
    <w:rsid w:val="0059653A"/>
    <w:rsid w:val="0059677A"/>
    <w:rsid w:val="005968E3"/>
    <w:rsid w:val="00596B92"/>
    <w:rsid w:val="00596B99"/>
    <w:rsid w:val="00596D93"/>
    <w:rsid w:val="00596DD7"/>
    <w:rsid w:val="0059760C"/>
    <w:rsid w:val="00597EDE"/>
    <w:rsid w:val="005A0295"/>
    <w:rsid w:val="005A02DF"/>
    <w:rsid w:val="005A032B"/>
    <w:rsid w:val="005A04E6"/>
    <w:rsid w:val="005A147A"/>
    <w:rsid w:val="005A164C"/>
    <w:rsid w:val="005A16F7"/>
    <w:rsid w:val="005A174C"/>
    <w:rsid w:val="005A1D67"/>
    <w:rsid w:val="005A1D85"/>
    <w:rsid w:val="005A1DFF"/>
    <w:rsid w:val="005A1E70"/>
    <w:rsid w:val="005A1F9E"/>
    <w:rsid w:val="005A2055"/>
    <w:rsid w:val="005A2323"/>
    <w:rsid w:val="005A2BFF"/>
    <w:rsid w:val="005A2CE6"/>
    <w:rsid w:val="005A33C0"/>
    <w:rsid w:val="005A3598"/>
    <w:rsid w:val="005A3AD7"/>
    <w:rsid w:val="005A3D9C"/>
    <w:rsid w:val="005A4244"/>
    <w:rsid w:val="005A45A8"/>
    <w:rsid w:val="005A4A49"/>
    <w:rsid w:val="005A4D0D"/>
    <w:rsid w:val="005A4DA0"/>
    <w:rsid w:val="005A4EF8"/>
    <w:rsid w:val="005A501E"/>
    <w:rsid w:val="005A506E"/>
    <w:rsid w:val="005A56F6"/>
    <w:rsid w:val="005A56F7"/>
    <w:rsid w:val="005A5D10"/>
    <w:rsid w:val="005A5D58"/>
    <w:rsid w:val="005A5DE4"/>
    <w:rsid w:val="005A5E30"/>
    <w:rsid w:val="005A5F21"/>
    <w:rsid w:val="005A63C8"/>
    <w:rsid w:val="005A6611"/>
    <w:rsid w:val="005A68CE"/>
    <w:rsid w:val="005A692B"/>
    <w:rsid w:val="005A69F9"/>
    <w:rsid w:val="005A6AD0"/>
    <w:rsid w:val="005A6F1B"/>
    <w:rsid w:val="005A6FA6"/>
    <w:rsid w:val="005A6FF1"/>
    <w:rsid w:val="005A7093"/>
    <w:rsid w:val="005A74C7"/>
    <w:rsid w:val="005A7B8D"/>
    <w:rsid w:val="005A7CD9"/>
    <w:rsid w:val="005B00BB"/>
    <w:rsid w:val="005B02A2"/>
    <w:rsid w:val="005B039D"/>
    <w:rsid w:val="005B03A9"/>
    <w:rsid w:val="005B07AC"/>
    <w:rsid w:val="005B09C0"/>
    <w:rsid w:val="005B10A3"/>
    <w:rsid w:val="005B11A3"/>
    <w:rsid w:val="005B15EA"/>
    <w:rsid w:val="005B1904"/>
    <w:rsid w:val="005B1D01"/>
    <w:rsid w:val="005B1DD4"/>
    <w:rsid w:val="005B1FF2"/>
    <w:rsid w:val="005B203E"/>
    <w:rsid w:val="005B2133"/>
    <w:rsid w:val="005B2235"/>
    <w:rsid w:val="005B2752"/>
    <w:rsid w:val="005B2EDC"/>
    <w:rsid w:val="005B3051"/>
    <w:rsid w:val="005B3262"/>
    <w:rsid w:val="005B38DF"/>
    <w:rsid w:val="005B3A15"/>
    <w:rsid w:val="005B4638"/>
    <w:rsid w:val="005B46BB"/>
    <w:rsid w:val="005B4BC6"/>
    <w:rsid w:val="005B4C10"/>
    <w:rsid w:val="005B58B9"/>
    <w:rsid w:val="005B5922"/>
    <w:rsid w:val="005B5CCD"/>
    <w:rsid w:val="005B5FB9"/>
    <w:rsid w:val="005B6078"/>
    <w:rsid w:val="005B61D6"/>
    <w:rsid w:val="005B65AD"/>
    <w:rsid w:val="005B69D4"/>
    <w:rsid w:val="005B709B"/>
    <w:rsid w:val="005B73B2"/>
    <w:rsid w:val="005B78BE"/>
    <w:rsid w:val="005B7A02"/>
    <w:rsid w:val="005B7A3A"/>
    <w:rsid w:val="005B7ABB"/>
    <w:rsid w:val="005C08A7"/>
    <w:rsid w:val="005C08AE"/>
    <w:rsid w:val="005C0CE0"/>
    <w:rsid w:val="005C1B23"/>
    <w:rsid w:val="005C1B35"/>
    <w:rsid w:val="005C23C9"/>
    <w:rsid w:val="005C2614"/>
    <w:rsid w:val="005C264C"/>
    <w:rsid w:val="005C29CE"/>
    <w:rsid w:val="005C2BE3"/>
    <w:rsid w:val="005C30CF"/>
    <w:rsid w:val="005C315C"/>
    <w:rsid w:val="005C398B"/>
    <w:rsid w:val="005C3E5E"/>
    <w:rsid w:val="005C419D"/>
    <w:rsid w:val="005C469B"/>
    <w:rsid w:val="005C47E2"/>
    <w:rsid w:val="005C4C7F"/>
    <w:rsid w:val="005C5057"/>
    <w:rsid w:val="005C5060"/>
    <w:rsid w:val="005C52C7"/>
    <w:rsid w:val="005C53B9"/>
    <w:rsid w:val="005C53BA"/>
    <w:rsid w:val="005C56EC"/>
    <w:rsid w:val="005C5B87"/>
    <w:rsid w:val="005C6029"/>
    <w:rsid w:val="005C65D0"/>
    <w:rsid w:val="005C6624"/>
    <w:rsid w:val="005C68FB"/>
    <w:rsid w:val="005C6994"/>
    <w:rsid w:val="005C6CE3"/>
    <w:rsid w:val="005C6D17"/>
    <w:rsid w:val="005C6E92"/>
    <w:rsid w:val="005C6FF1"/>
    <w:rsid w:val="005C718B"/>
    <w:rsid w:val="005C759E"/>
    <w:rsid w:val="005C7675"/>
    <w:rsid w:val="005C7973"/>
    <w:rsid w:val="005C7F5A"/>
    <w:rsid w:val="005D0091"/>
    <w:rsid w:val="005D0408"/>
    <w:rsid w:val="005D05A7"/>
    <w:rsid w:val="005D093C"/>
    <w:rsid w:val="005D0A2A"/>
    <w:rsid w:val="005D0B31"/>
    <w:rsid w:val="005D0D6E"/>
    <w:rsid w:val="005D1199"/>
    <w:rsid w:val="005D1399"/>
    <w:rsid w:val="005D1757"/>
    <w:rsid w:val="005D1764"/>
    <w:rsid w:val="005D17D0"/>
    <w:rsid w:val="005D22F7"/>
    <w:rsid w:val="005D2CBC"/>
    <w:rsid w:val="005D2E83"/>
    <w:rsid w:val="005D2F07"/>
    <w:rsid w:val="005D2F18"/>
    <w:rsid w:val="005D308C"/>
    <w:rsid w:val="005D30F9"/>
    <w:rsid w:val="005D32CD"/>
    <w:rsid w:val="005D361A"/>
    <w:rsid w:val="005D3937"/>
    <w:rsid w:val="005D3DBB"/>
    <w:rsid w:val="005D4074"/>
    <w:rsid w:val="005D4193"/>
    <w:rsid w:val="005D476A"/>
    <w:rsid w:val="005D4942"/>
    <w:rsid w:val="005D4BBC"/>
    <w:rsid w:val="005D4D50"/>
    <w:rsid w:val="005D4D75"/>
    <w:rsid w:val="005D4E47"/>
    <w:rsid w:val="005D51A8"/>
    <w:rsid w:val="005D54FA"/>
    <w:rsid w:val="005D567B"/>
    <w:rsid w:val="005D56DC"/>
    <w:rsid w:val="005D5CC0"/>
    <w:rsid w:val="005D5F2D"/>
    <w:rsid w:val="005D6145"/>
    <w:rsid w:val="005D62F8"/>
    <w:rsid w:val="005D69CE"/>
    <w:rsid w:val="005D6A45"/>
    <w:rsid w:val="005D6A7D"/>
    <w:rsid w:val="005D7823"/>
    <w:rsid w:val="005D789C"/>
    <w:rsid w:val="005D7912"/>
    <w:rsid w:val="005D79B3"/>
    <w:rsid w:val="005D7B01"/>
    <w:rsid w:val="005D7E21"/>
    <w:rsid w:val="005D7E76"/>
    <w:rsid w:val="005E0442"/>
    <w:rsid w:val="005E063C"/>
    <w:rsid w:val="005E067C"/>
    <w:rsid w:val="005E0921"/>
    <w:rsid w:val="005E0C15"/>
    <w:rsid w:val="005E0E25"/>
    <w:rsid w:val="005E0E8A"/>
    <w:rsid w:val="005E0F07"/>
    <w:rsid w:val="005E101D"/>
    <w:rsid w:val="005E10F8"/>
    <w:rsid w:val="005E1431"/>
    <w:rsid w:val="005E16EE"/>
    <w:rsid w:val="005E1884"/>
    <w:rsid w:val="005E1A43"/>
    <w:rsid w:val="005E1BFB"/>
    <w:rsid w:val="005E2418"/>
    <w:rsid w:val="005E276F"/>
    <w:rsid w:val="005E2A50"/>
    <w:rsid w:val="005E2B25"/>
    <w:rsid w:val="005E2BC2"/>
    <w:rsid w:val="005E2E8C"/>
    <w:rsid w:val="005E30E3"/>
    <w:rsid w:val="005E3148"/>
    <w:rsid w:val="005E329D"/>
    <w:rsid w:val="005E35CF"/>
    <w:rsid w:val="005E3613"/>
    <w:rsid w:val="005E3899"/>
    <w:rsid w:val="005E3C95"/>
    <w:rsid w:val="005E4053"/>
    <w:rsid w:val="005E4099"/>
    <w:rsid w:val="005E450A"/>
    <w:rsid w:val="005E47CE"/>
    <w:rsid w:val="005E4D07"/>
    <w:rsid w:val="005E4EFC"/>
    <w:rsid w:val="005E510D"/>
    <w:rsid w:val="005E5216"/>
    <w:rsid w:val="005E522A"/>
    <w:rsid w:val="005E59D0"/>
    <w:rsid w:val="005E5A38"/>
    <w:rsid w:val="005E5C24"/>
    <w:rsid w:val="005E5C6C"/>
    <w:rsid w:val="005E5CFA"/>
    <w:rsid w:val="005E605A"/>
    <w:rsid w:val="005E60C9"/>
    <w:rsid w:val="005E61AF"/>
    <w:rsid w:val="005E61B2"/>
    <w:rsid w:val="005E6624"/>
    <w:rsid w:val="005E6688"/>
    <w:rsid w:val="005E67AC"/>
    <w:rsid w:val="005E6B1C"/>
    <w:rsid w:val="005E6B2E"/>
    <w:rsid w:val="005E6D44"/>
    <w:rsid w:val="005E7312"/>
    <w:rsid w:val="005E74D2"/>
    <w:rsid w:val="005E762A"/>
    <w:rsid w:val="005E76BD"/>
    <w:rsid w:val="005E79FB"/>
    <w:rsid w:val="005E7BB6"/>
    <w:rsid w:val="005E7D51"/>
    <w:rsid w:val="005F00F3"/>
    <w:rsid w:val="005F019B"/>
    <w:rsid w:val="005F0257"/>
    <w:rsid w:val="005F029E"/>
    <w:rsid w:val="005F04C6"/>
    <w:rsid w:val="005F062F"/>
    <w:rsid w:val="005F0649"/>
    <w:rsid w:val="005F0674"/>
    <w:rsid w:val="005F08C1"/>
    <w:rsid w:val="005F0E87"/>
    <w:rsid w:val="005F16A6"/>
    <w:rsid w:val="005F18A2"/>
    <w:rsid w:val="005F1FFB"/>
    <w:rsid w:val="005F203D"/>
    <w:rsid w:val="005F245E"/>
    <w:rsid w:val="005F2624"/>
    <w:rsid w:val="005F268E"/>
    <w:rsid w:val="005F275A"/>
    <w:rsid w:val="005F286E"/>
    <w:rsid w:val="005F28A6"/>
    <w:rsid w:val="005F2AE7"/>
    <w:rsid w:val="005F2BAB"/>
    <w:rsid w:val="005F2CAC"/>
    <w:rsid w:val="005F2CD7"/>
    <w:rsid w:val="005F2E97"/>
    <w:rsid w:val="005F2EC2"/>
    <w:rsid w:val="005F3008"/>
    <w:rsid w:val="005F30C2"/>
    <w:rsid w:val="005F3B52"/>
    <w:rsid w:val="005F3B84"/>
    <w:rsid w:val="005F3FBE"/>
    <w:rsid w:val="005F40CB"/>
    <w:rsid w:val="005F41D0"/>
    <w:rsid w:val="005F427E"/>
    <w:rsid w:val="005F4380"/>
    <w:rsid w:val="005F4725"/>
    <w:rsid w:val="005F4B34"/>
    <w:rsid w:val="005F4CAB"/>
    <w:rsid w:val="005F5351"/>
    <w:rsid w:val="005F543D"/>
    <w:rsid w:val="005F566E"/>
    <w:rsid w:val="005F5778"/>
    <w:rsid w:val="005F5E61"/>
    <w:rsid w:val="005F6291"/>
    <w:rsid w:val="005F63E6"/>
    <w:rsid w:val="005F671E"/>
    <w:rsid w:val="005F6A35"/>
    <w:rsid w:val="005F6EBC"/>
    <w:rsid w:val="005F7ACC"/>
    <w:rsid w:val="005F7C46"/>
    <w:rsid w:val="005F7F6B"/>
    <w:rsid w:val="00600E86"/>
    <w:rsid w:val="0060133F"/>
    <w:rsid w:val="006016DF"/>
    <w:rsid w:val="00601A7A"/>
    <w:rsid w:val="00601F06"/>
    <w:rsid w:val="00602060"/>
    <w:rsid w:val="00602159"/>
    <w:rsid w:val="0060232B"/>
    <w:rsid w:val="006027A3"/>
    <w:rsid w:val="00602D77"/>
    <w:rsid w:val="00602FEC"/>
    <w:rsid w:val="006031AC"/>
    <w:rsid w:val="00603661"/>
    <w:rsid w:val="00603DA9"/>
    <w:rsid w:val="00603DDB"/>
    <w:rsid w:val="0060407C"/>
    <w:rsid w:val="00604144"/>
    <w:rsid w:val="00604267"/>
    <w:rsid w:val="00604370"/>
    <w:rsid w:val="006048E7"/>
    <w:rsid w:val="00604C5C"/>
    <w:rsid w:val="00604D32"/>
    <w:rsid w:val="00605796"/>
    <w:rsid w:val="00605E96"/>
    <w:rsid w:val="00606254"/>
    <w:rsid w:val="0060632E"/>
    <w:rsid w:val="006063CA"/>
    <w:rsid w:val="006065A7"/>
    <w:rsid w:val="00606813"/>
    <w:rsid w:val="00606DB8"/>
    <w:rsid w:val="00606DCA"/>
    <w:rsid w:val="00606F66"/>
    <w:rsid w:val="0060743F"/>
    <w:rsid w:val="0060755A"/>
    <w:rsid w:val="00607597"/>
    <w:rsid w:val="00607693"/>
    <w:rsid w:val="00607A75"/>
    <w:rsid w:val="00607CB3"/>
    <w:rsid w:val="00607E65"/>
    <w:rsid w:val="0061037F"/>
    <w:rsid w:val="0061070A"/>
    <w:rsid w:val="006108CA"/>
    <w:rsid w:val="00610A41"/>
    <w:rsid w:val="00610C2B"/>
    <w:rsid w:val="00610E53"/>
    <w:rsid w:val="00611055"/>
    <w:rsid w:val="00611356"/>
    <w:rsid w:val="00611381"/>
    <w:rsid w:val="00611382"/>
    <w:rsid w:val="0061154D"/>
    <w:rsid w:val="0061199B"/>
    <w:rsid w:val="00611A0F"/>
    <w:rsid w:val="006122B0"/>
    <w:rsid w:val="00612814"/>
    <w:rsid w:val="006128D7"/>
    <w:rsid w:val="00612C4A"/>
    <w:rsid w:val="006130DF"/>
    <w:rsid w:val="00613696"/>
    <w:rsid w:val="006137F7"/>
    <w:rsid w:val="00613AF4"/>
    <w:rsid w:val="006140BE"/>
    <w:rsid w:val="00614190"/>
    <w:rsid w:val="00614D0C"/>
    <w:rsid w:val="00614D89"/>
    <w:rsid w:val="00614DB7"/>
    <w:rsid w:val="00614EF4"/>
    <w:rsid w:val="00615682"/>
    <w:rsid w:val="00615752"/>
    <w:rsid w:val="006159B3"/>
    <w:rsid w:val="00615B33"/>
    <w:rsid w:val="006160FB"/>
    <w:rsid w:val="006161BF"/>
    <w:rsid w:val="00616324"/>
    <w:rsid w:val="0061646D"/>
    <w:rsid w:val="00616516"/>
    <w:rsid w:val="00616662"/>
    <w:rsid w:val="006168AC"/>
    <w:rsid w:val="00616948"/>
    <w:rsid w:val="00617505"/>
    <w:rsid w:val="00617630"/>
    <w:rsid w:val="00617B05"/>
    <w:rsid w:val="0062034F"/>
    <w:rsid w:val="0062089A"/>
    <w:rsid w:val="006209C1"/>
    <w:rsid w:val="00620A81"/>
    <w:rsid w:val="00620B18"/>
    <w:rsid w:val="00620D65"/>
    <w:rsid w:val="00620DCA"/>
    <w:rsid w:val="00621026"/>
    <w:rsid w:val="0062113F"/>
    <w:rsid w:val="006213C3"/>
    <w:rsid w:val="0062194F"/>
    <w:rsid w:val="00621B6D"/>
    <w:rsid w:val="00621F21"/>
    <w:rsid w:val="0062203F"/>
    <w:rsid w:val="006229C2"/>
    <w:rsid w:val="006229CC"/>
    <w:rsid w:val="00623000"/>
    <w:rsid w:val="006231CC"/>
    <w:rsid w:val="00623562"/>
    <w:rsid w:val="00623577"/>
    <w:rsid w:val="006237F8"/>
    <w:rsid w:val="00623AFF"/>
    <w:rsid w:val="00623CC9"/>
    <w:rsid w:val="00623E44"/>
    <w:rsid w:val="00623F60"/>
    <w:rsid w:val="00624323"/>
    <w:rsid w:val="0062445E"/>
    <w:rsid w:val="006246DD"/>
    <w:rsid w:val="00624B2E"/>
    <w:rsid w:val="0062511B"/>
    <w:rsid w:val="00625238"/>
    <w:rsid w:val="00625862"/>
    <w:rsid w:val="00625E86"/>
    <w:rsid w:val="006261B2"/>
    <w:rsid w:val="006265D4"/>
    <w:rsid w:val="006265EB"/>
    <w:rsid w:val="0062668E"/>
    <w:rsid w:val="0062712B"/>
    <w:rsid w:val="006272B1"/>
    <w:rsid w:val="006273E2"/>
    <w:rsid w:val="0062762E"/>
    <w:rsid w:val="00627785"/>
    <w:rsid w:val="00627E91"/>
    <w:rsid w:val="00630408"/>
    <w:rsid w:val="00630940"/>
    <w:rsid w:val="00630C30"/>
    <w:rsid w:val="00630D73"/>
    <w:rsid w:val="00631214"/>
    <w:rsid w:val="00631542"/>
    <w:rsid w:val="0063174A"/>
    <w:rsid w:val="00631760"/>
    <w:rsid w:val="006317CD"/>
    <w:rsid w:val="00631896"/>
    <w:rsid w:val="00631B81"/>
    <w:rsid w:val="00631D1D"/>
    <w:rsid w:val="00631ED2"/>
    <w:rsid w:val="006320C0"/>
    <w:rsid w:val="006322C5"/>
    <w:rsid w:val="0063235F"/>
    <w:rsid w:val="00632BB9"/>
    <w:rsid w:val="00632D1A"/>
    <w:rsid w:val="006335A7"/>
    <w:rsid w:val="0063360F"/>
    <w:rsid w:val="00633787"/>
    <w:rsid w:val="00633AF0"/>
    <w:rsid w:val="006340A3"/>
    <w:rsid w:val="00634422"/>
    <w:rsid w:val="00634917"/>
    <w:rsid w:val="00634ACC"/>
    <w:rsid w:val="00634C3B"/>
    <w:rsid w:val="00634F06"/>
    <w:rsid w:val="0063508C"/>
    <w:rsid w:val="006354CC"/>
    <w:rsid w:val="006359CB"/>
    <w:rsid w:val="00635A05"/>
    <w:rsid w:val="00635EA5"/>
    <w:rsid w:val="00635F08"/>
    <w:rsid w:val="00636537"/>
    <w:rsid w:val="006365FD"/>
    <w:rsid w:val="00636A18"/>
    <w:rsid w:val="00636ED5"/>
    <w:rsid w:val="00637007"/>
    <w:rsid w:val="00637297"/>
    <w:rsid w:val="006372DD"/>
    <w:rsid w:val="00637950"/>
    <w:rsid w:val="00637D3F"/>
    <w:rsid w:val="00637DD0"/>
    <w:rsid w:val="00637FCD"/>
    <w:rsid w:val="006402CC"/>
    <w:rsid w:val="006402F8"/>
    <w:rsid w:val="006403A6"/>
    <w:rsid w:val="00640526"/>
    <w:rsid w:val="006408CF"/>
    <w:rsid w:val="00640A46"/>
    <w:rsid w:val="00640B11"/>
    <w:rsid w:val="00640EB3"/>
    <w:rsid w:val="006413CC"/>
    <w:rsid w:val="00641491"/>
    <w:rsid w:val="00641834"/>
    <w:rsid w:val="00641972"/>
    <w:rsid w:val="00641ACB"/>
    <w:rsid w:val="00641FF8"/>
    <w:rsid w:val="0064249E"/>
    <w:rsid w:val="00642544"/>
    <w:rsid w:val="00642589"/>
    <w:rsid w:val="006427F6"/>
    <w:rsid w:val="00642D24"/>
    <w:rsid w:val="00642ECC"/>
    <w:rsid w:val="00642FB5"/>
    <w:rsid w:val="00643A2C"/>
    <w:rsid w:val="00643C3A"/>
    <w:rsid w:val="00643C6E"/>
    <w:rsid w:val="00643D60"/>
    <w:rsid w:val="00644154"/>
    <w:rsid w:val="0064425A"/>
    <w:rsid w:val="006442C6"/>
    <w:rsid w:val="006445E5"/>
    <w:rsid w:val="006454DA"/>
    <w:rsid w:val="006456CE"/>
    <w:rsid w:val="00645AC2"/>
    <w:rsid w:val="00645B8A"/>
    <w:rsid w:val="00646026"/>
    <w:rsid w:val="0064608A"/>
    <w:rsid w:val="006463DB"/>
    <w:rsid w:val="006463FE"/>
    <w:rsid w:val="00646841"/>
    <w:rsid w:val="00646BE1"/>
    <w:rsid w:val="00646D7B"/>
    <w:rsid w:val="00646EC5"/>
    <w:rsid w:val="00646F84"/>
    <w:rsid w:val="006470DC"/>
    <w:rsid w:val="0064737A"/>
    <w:rsid w:val="006479AE"/>
    <w:rsid w:val="00647EF9"/>
    <w:rsid w:val="006502AC"/>
    <w:rsid w:val="006508CC"/>
    <w:rsid w:val="0065090F"/>
    <w:rsid w:val="00650995"/>
    <w:rsid w:val="006509EA"/>
    <w:rsid w:val="00650C6A"/>
    <w:rsid w:val="00650DEC"/>
    <w:rsid w:val="00650F34"/>
    <w:rsid w:val="00650F74"/>
    <w:rsid w:val="006511C1"/>
    <w:rsid w:val="00651659"/>
    <w:rsid w:val="0065177D"/>
    <w:rsid w:val="0065177F"/>
    <w:rsid w:val="00651830"/>
    <w:rsid w:val="0065184A"/>
    <w:rsid w:val="00651D7D"/>
    <w:rsid w:val="00651DB5"/>
    <w:rsid w:val="00652001"/>
    <w:rsid w:val="00652310"/>
    <w:rsid w:val="00652B3A"/>
    <w:rsid w:val="00652E8A"/>
    <w:rsid w:val="0065314C"/>
    <w:rsid w:val="0065317C"/>
    <w:rsid w:val="0065322D"/>
    <w:rsid w:val="0065345C"/>
    <w:rsid w:val="00653463"/>
    <w:rsid w:val="0065363B"/>
    <w:rsid w:val="006536B4"/>
    <w:rsid w:val="006536FA"/>
    <w:rsid w:val="00653C0A"/>
    <w:rsid w:val="00653CEF"/>
    <w:rsid w:val="00654226"/>
    <w:rsid w:val="006542F5"/>
    <w:rsid w:val="00654458"/>
    <w:rsid w:val="0065471F"/>
    <w:rsid w:val="00654814"/>
    <w:rsid w:val="0065487C"/>
    <w:rsid w:val="00654989"/>
    <w:rsid w:val="00654CD6"/>
    <w:rsid w:val="00654E16"/>
    <w:rsid w:val="00654E24"/>
    <w:rsid w:val="00654E84"/>
    <w:rsid w:val="006550E8"/>
    <w:rsid w:val="006551BA"/>
    <w:rsid w:val="006554CB"/>
    <w:rsid w:val="006557FA"/>
    <w:rsid w:val="006566BE"/>
    <w:rsid w:val="00656791"/>
    <w:rsid w:val="0065689F"/>
    <w:rsid w:val="00656F63"/>
    <w:rsid w:val="00657147"/>
    <w:rsid w:val="006579BE"/>
    <w:rsid w:val="00657C48"/>
    <w:rsid w:val="00657C88"/>
    <w:rsid w:val="00657D34"/>
    <w:rsid w:val="00657D49"/>
    <w:rsid w:val="00660053"/>
    <w:rsid w:val="00660335"/>
    <w:rsid w:val="00660653"/>
    <w:rsid w:val="0066097E"/>
    <w:rsid w:val="00660A5E"/>
    <w:rsid w:val="00660B44"/>
    <w:rsid w:val="00660C7C"/>
    <w:rsid w:val="00660E31"/>
    <w:rsid w:val="0066113F"/>
    <w:rsid w:val="0066157F"/>
    <w:rsid w:val="00661634"/>
    <w:rsid w:val="006616E4"/>
    <w:rsid w:val="0066184C"/>
    <w:rsid w:val="00661A0F"/>
    <w:rsid w:val="00661A20"/>
    <w:rsid w:val="00661A84"/>
    <w:rsid w:val="00661A8D"/>
    <w:rsid w:val="00661CB2"/>
    <w:rsid w:val="00661D7D"/>
    <w:rsid w:val="00661ED8"/>
    <w:rsid w:val="00662060"/>
    <w:rsid w:val="006620B6"/>
    <w:rsid w:val="00662342"/>
    <w:rsid w:val="006628E2"/>
    <w:rsid w:val="006629DF"/>
    <w:rsid w:val="006629F3"/>
    <w:rsid w:val="00662C62"/>
    <w:rsid w:val="00662DF9"/>
    <w:rsid w:val="00662E66"/>
    <w:rsid w:val="00662EEB"/>
    <w:rsid w:val="00662F01"/>
    <w:rsid w:val="00663307"/>
    <w:rsid w:val="006634EA"/>
    <w:rsid w:val="0066380E"/>
    <w:rsid w:val="00663AD8"/>
    <w:rsid w:val="006641D0"/>
    <w:rsid w:val="00664366"/>
    <w:rsid w:val="00664967"/>
    <w:rsid w:val="00664A0B"/>
    <w:rsid w:val="00664D3D"/>
    <w:rsid w:val="00664ECC"/>
    <w:rsid w:val="00664F15"/>
    <w:rsid w:val="00664F75"/>
    <w:rsid w:val="00664FD0"/>
    <w:rsid w:val="006650C5"/>
    <w:rsid w:val="00665131"/>
    <w:rsid w:val="00665259"/>
    <w:rsid w:val="00665956"/>
    <w:rsid w:val="00665B07"/>
    <w:rsid w:val="00665E75"/>
    <w:rsid w:val="00666501"/>
    <w:rsid w:val="00666616"/>
    <w:rsid w:val="00666769"/>
    <w:rsid w:val="006668FE"/>
    <w:rsid w:val="00666C4E"/>
    <w:rsid w:val="00666CB8"/>
    <w:rsid w:val="00666DC5"/>
    <w:rsid w:val="00666FC7"/>
    <w:rsid w:val="006673F9"/>
    <w:rsid w:val="0066764F"/>
    <w:rsid w:val="006676BE"/>
    <w:rsid w:val="006676F2"/>
    <w:rsid w:val="00667A7F"/>
    <w:rsid w:val="00667AE8"/>
    <w:rsid w:val="00667E84"/>
    <w:rsid w:val="006701A8"/>
    <w:rsid w:val="0067023E"/>
    <w:rsid w:val="0067047F"/>
    <w:rsid w:val="006705F3"/>
    <w:rsid w:val="0067095C"/>
    <w:rsid w:val="006715A0"/>
    <w:rsid w:val="006717CA"/>
    <w:rsid w:val="006718DF"/>
    <w:rsid w:val="00671DC2"/>
    <w:rsid w:val="00671DEA"/>
    <w:rsid w:val="00671ECD"/>
    <w:rsid w:val="0067210D"/>
    <w:rsid w:val="00672126"/>
    <w:rsid w:val="006721DF"/>
    <w:rsid w:val="0067231A"/>
    <w:rsid w:val="006724A9"/>
    <w:rsid w:val="00672603"/>
    <w:rsid w:val="006727A7"/>
    <w:rsid w:val="00672B83"/>
    <w:rsid w:val="00672D68"/>
    <w:rsid w:val="00672DAA"/>
    <w:rsid w:val="006730CD"/>
    <w:rsid w:val="00673310"/>
    <w:rsid w:val="00673423"/>
    <w:rsid w:val="0067352A"/>
    <w:rsid w:val="006735F2"/>
    <w:rsid w:val="00673AAD"/>
    <w:rsid w:val="00673AF3"/>
    <w:rsid w:val="00674910"/>
    <w:rsid w:val="00674B40"/>
    <w:rsid w:val="00675250"/>
    <w:rsid w:val="006757E8"/>
    <w:rsid w:val="00676092"/>
    <w:rsid w:val="006763C2"/>
    <w:rsid w:val="0067650E"/>
    <w:rsid w:val="00676728"/>
    <w:rsid w:val="00676DCE"/>
    <w:rsid w:val="00676DFC"/>
    <w:rsid w:val="0067795C"/>
    <w:rsid w:val="00677A20"/>
    <w:rsid w:val="00680187"/>
    <w:rsid w:val="006802BB"/>
    <w:rsid w:val="00680302"/>
    <w:rsid w:val="006804C8"/>
    <w:rsid w:val="006807C8"/>
    <w:rsid w:val="00680888"/>
    <w:rsid w:val="00680907"/>
    <w:rsid w:val="0068098F"/>
    <w:rsid w:val="00680D66"/>
    <w:rsid w:val="00680F07"/>
    <w:rsid w:val="00680F98"/>
    <w:rsid w:val="00681909"/>
    <w:rsid w:val="00681B50"/>
    <w:rsid w:val="00681BB0"/>
    <w:rsid w:val="00681E15"/>
    <w:rsid w:val="00682629"/>
    <w:rsid w:val="006830C3"/>
    <w:rsid w:val="0068361F"/>
    <w:rsid w:val="0068375D"/>
    <w:rsid w:val="006837D2"/>
    <w:rsid w:val="00683C2F"/>
    <w:rsid w:val="00684170"/>
    <w:rsid w:val="00684956"/>
    <w:rsid w:val="00684A24"/>
    <w:rsid w:val="00684B7D"/>
    <w:rsid w:val="006850B1"/>
    <w:rsid w:val="00685145"/>
    <w:rsid w:val="00685258"/>
    <w:rsid w:val="006852B4"/>
    <w:rsid w:val="006855D2"/>
    <w:rsid w:val="006856EF"/>
    <w:rsid w:val="006859CF"/>
    <w:rsid w:val="00685F47"/>
    <w:rsid w:val="00685FB9"/>
    <w:rsid w:val="006865DD"/>
    <w:rsid w:val="006866CA"/>
    <w:rsid w:val="006867AF"/>
    <w:rsid w:val="00686DA8"/>
    <w:rsid w:val="00687328"/>
    <w:rsid w:val="00687492"/>
    <w:rsid w:val="0069062C"/>
    <w:rsid w:val="006907A2"/>
    <w:rsid w:val="0069099F"/>
    <w:rsid w:val="00690A2C"/>
    <w:rsid w:val="00691040"/>
    <w:rsid w:val="00691070"/>
    <w:rsid w:val="00691D76"/>
    <w:rsid w:val="00691FA9"/>
    <w:rsid w:val="00692541"/>
    <w:rsid w:val="00692B3F"/>
    <w:rsid w:val="00692D08"/>
    <w:rsid w:val="00692D1A"/>
    <w:rsid w:val="00692EE6"/>
    <w:rsid w:val="00692F43"/>
    <w:rsid w:val="0069332C"/>
    <w:rsid w:val="0069347B"/>
    <w:rsid w:val="0069352F"/>
    <w:rsid w:val="00693883"/>
    <w:rsid w:val="0069389A"/>
    <w:rsid w:val="00693A36"/>
    <w:rsid w:val="00693DAA"/>
    <w:rsid w:val="00693F36"/>
    <w:rsid w:val="00694557"/>
    <w:rsid w:val="006947EB"/>
    <w:rsid w:val="006948B9"/>
    <w:rsid w:val="00694969"/>
    <w:rsid w:val="00694F0B"/>
    <w:rsid w:val="00695106"/>
    <w:rsid w:val="006954B0"/>
    <w:rsid w:val="00695AEA"/>
    <w:rsid w:val="0069600E"/>
    <w:rsid w:val="006962CE"/>
    <w:rsid w:val="006964A9"/>
    <w:rsid w:val="00696A8F"/>
    <w:rsid w:val="00696EC1"/>
    <w:rsid w:val="006971CE"/>
    <w:rsid w:val="00697580"/>
    <w:rsid w:val="006975FC"/>
    <w:rsid w:val="00697D4E"/>
    <w:rsid w:val="006A00C0"/>
    <w:rsid w:val="006A1044"/>
    <w:rsid w:val="006A157E"/>
    <w:rsid w:val="006A17B4"/>
    <w:rsid w:val="006A1B52"/>
    <w:rsid w:val="006A1D1F"/>
    <w:rsid w:val="006A1DAA"/>
    <w:rsid w:val="006A202A"/>
    <w:rsid w:val="006A2C08"/>
    <w:rsid w:val="006A2C0F"/>
    <w:rsid w:val="006A2CB3"/>
    <w:rsid w:val="006A2D6A"/>
    <w:rsid w:val="006A2F0F"/>
    <w:rsid w:val="006A3300"/>
    <w:rsid w:val="006A34BC"/>
    <w:rsid w:val="006A3800"/>
    <w:rsid w:val="006A3BA6"/>
    <w:rsid w:val="006A3FEB"/>
    <w:rsid w:val="006A4148"/>
    <w:rsid w:val="006A4DB0"/>
    <w:rsid w:val="006A4E23"/>
    <w:rsid w:val="006A4E4F"/>
    <w:rsid w:val="006A50E7"/>
    <w:rsid w:val="006A5133"/>
    <w:rsid w:val="006A536F"/>
    <w:rsid w:val="006A575F"/>
    <w:rsid w:val="006A5EC7"/>
    <w:rsid w:val="006A5FA9"/>
    <w:rsid w:val="006A6DD0"/>
    <w:rsid w:val="006A6DEA"/>
    <w:rsid w:val="006A70DD"/>
    <w:rsid w:val="006A71BE"/>
    <w:rsid w:val="006A741C"/>
    <w:rsid w:val="006A748D"/>
    <w:rsid w:val="006A75D4"/>
    <w:rsid w:val="006A78BD"/>
    <w:rsid w:val="006A7C71"/>
    <w:rsid w:val="006B0A96"/>
    <w:rsid w:val="006B0DAA"/>
    <w:rsid w:val="006B0DB7"/>
    <w:rsid w:val="006B1753"/>
    <w:rsid w:val="006B18DF"/>
    <w:rsid w:val="006B1D82"/>
    <w:rsid w:val="006B1F45"/>
    <w:rsid w:val="006B2000"/>
    <w:rsid w:val="006B2310"/>
    <w:rsid w:val="006B26A5"/>
    <w:rsid w:val="006B26FA"/>
    <w:rsid w:val="006B277A"/>
    <w:rsid w:val="006B2DBB"/>
    <w:rsid w:val="006B336B"/>
    <w:rsid w:val="006B3524"/>
    <w:rsid w:val="006B3BA0"/>
    <w:rsid w:val="006B3FAC"/>
    <w:rsid w:val="006B42AE"/>
    <w:rsid w:val="006B4428"/>
    <w:rsid w:val="006B450A"/>
    <w:rsid w:val="006B46A4"/>
    <w:rsid w:val="006B4AFE"/>
    <w:rsid w:val="006B4BF3"/>
    <w:rsid w:val="006B4DEC"/>
    <w:rsid w:val="006B4E84"/>
    <w:rsid w:val="006B5525"/>
    <w:rsid w:val="006B5A9E"/>
    <w:rsid w:val="006B5CE0"/>
    <w:rsid w:val="006B6331"/>
    <w:rsid w:val="006B6623"/>
    <w:rsid w:val="006B6CF8"/>
    <w:rsid w:val="006B7539"/>
    <w:rsid w:val="006B76A3"/>
    <w:rsid w:val="006B7AD0"/>
    <w:rsid w:val="006B7C81"/>
    <w:rsid w:val="006C0096"/>
    <w:rsid w:val="006C0225"/>
    <w:rsid w:val="006C02F4"/>
    <w:rsid w:val="006C0699"/>
    <w:rsid w:val="006C09BB"/>
    <w:rsid w:val="006C0FAB"/>
    <w:rsid w:val="006C110A"/>
    <w:rsid w:val="006C112E"/>
    <w:rsid w:val="006C1360"/>
    <w:rsid w:val="006C1822"/>
    <w:rsid w:val="006C192B"/>
    <w:rsid w:val="006C1BD0"/>
    <w:rsid w:val="006C1C75"/>
    <w:rsid w:val="006C20D2"/>
    <w:rsid w:val="006C321D"/>
    <w:rsid w:val="006C3DCB"/>
    <w:rsid w:val="006C4019"/>
    <w:rsid w:val="006C4167"/>
    <w:rsid w:val="006C419A"/>
    <w:rsid w:val="006C4287"/>
    <w:rsid w:val="006C43DC"/>
    <w:rsid w:val="006C4550"/>
    <w:rsid w:val="006C477F"/>
    <w:rsid w:val="006C47CF"/>
    <w:rsid w:val="006C4827"/>
    <w:rsid w:val="006C4947"/>
    <w:rsid w:val="006C4D86"/>
    <w:rsid w:val="006C50E3"/>
    <w:rsid w:val="006C5697"/>
    <w:rsid w:val="006C5732"/>
    <w:rsid w:val="006C58CF"/>
    <w:rsid w:val="006C5A08"/>
    <w:rsid w:val="006C5AF5"/>
    <w:rsid w:val="006C5B8E"/>
    <w:rsid w:val="006C5CF1"/>
    <w:rsid w:val="006C5F9E"/>
    <w:rsid w:val="006C60D4"/>
    <w:rsid w:val="006C65C8"/>
    <w:rsid w:val="006C729E"/>
    <w:rsid w:val="006C76B7"/>
    <w:rsid w:val="006C77CF"/>
    <w:rsid w:val="006C792A"/>
    <w:rsid w:val="006C7A2D"/>
    <w:rsid w:val="006C7E1B"/>
    <w:rsid w:val="006D01C2"/>
    <w:rsid w:val="006D02B9"/>
    <w:rsid w:val="006D0529"/>
    <w:rsid w:val="006D06CF"/>
    <w:rsid w:val="006D0775"/>
    <w:rsid w:val="006D086F"/>
    <w:rsid w:val="006D0A65"/>
    <w:rsid w:val="006D117D"/>
    <w:rsid w:val="006D1490"/>
    <w:rsid w:val="006D1602"/>
    <w:rsid w:val="006D18F1"/>
    <w:rsid w:val="006D1DF9"/>
    <w:rsid w:val="006D1F74"/>
    <w:rsid w:val="006D20BC"/>
    <w:rsid w:val="006D2120"/>
    <w:rsid w:val="006D2376"/>
    <w:rsid w:val="006D2B02"/>
    <w:rsid w:val="006D2CDF"/>
    <w:rsid w:val="006D2EB8"/>
    <w:rsid w:val="006D308A"/>
    <w:rsid w:val="006D318D"/>
    <w:rsid w:val="006D3391"/>
    <w:rsid w:val="006D33C9"/>
    <w:rsid w:val="006D37C6"/>
    <w:rsid w:val="006D3DFC"/>
    <w:rsid w:val="006D3FA9"/>
    <w:rsid w:val="006D40F4"/>
    <w:rsid w:val="006D4377"/>
    <w:rsid w:val="006D441F"/>
    <w:rsid w:val="006D4467"/>
    <w:rsid w:val="006D48EA"/>
    <w:rsid w:val="006D4B69"/>
    <w:rsid w:val="006D4CDA"/>
    <w:rsid w:val="006D4EC9"/>
    <w:rsid w:val="006D5330"/>
    <w:rsid w:val="006D5A60"/>
    <w:rsid w:val="006D5CA4"/>
    <w:rsid w:val="006D637B"/>
    <w:rsid w:val="006D6AD8"/>
    <w:rsid w:val="006D6F4D"/>
    <w:rsid w:val="006D7573"/>
    <w:rsid w:val="006D758B"/>
    <w:rsid w:val="006D772F"/>
    <w:rsid w:val="006D773A"/>
    <w:rsid w:val="006D78C0"/>
    <w:rsid w:val="006D7B3D"/>
    <w:rsid w:val="006D7D1C"/>
    <w:rsid w:val="006D7E1A"/>
    <w:rsid w:val="006D7F04"/>
    <w:rsid w:val="006E0068"/>
    <w:rsid w:val="006E017F"/>
    <w:rsid w:val="006E01FE"/>
    <w:rsid w:val="006E064A"/>
    <w:rsid w:val="006E07DC"/>
    <w:rsid w:val="006E0810"/>
    <w:rsid w:val="006E091D"/>
    <w:rsid w:val="006E092D"/>
    <w:rsid w:val="006E0BD1"/>
    <w:rsid w:val="006E0D8C"/>
    <w:rsid w:val="006E0E90"/>
    <w:rsid w:val="006E0F49"/>
    <w:rsid w:val="006E1411"/>
    <w:rsid w:val="006E16EE"/>
    <w:rsid w:val="006E1BFC"/>
    <w:rsid w:val="006E1EAE"/>
    <w:rsid w:val="006E2357"/>
    <w:rsid w:val="006E26D7"/>
    <w:rsid w:val="006E2B9F"/>
    <w:rsid w:val="006E2C97"/>
    <w:rsid w:val="006E2DD2"/>
    <w:rsid w:val="006E2F35"/>
    <w:rsid w:val="006E3498"/>
    <w:rsid w:val="006E3610"/>
    <w:rsid w:val="006E36F8"/>
    <w:rsid w:val="006E3899"/>
    <w:rsid w:val="006E3BBD"/>
    <w:rsid w:val="006E3CC2"/>
    <w:rsid w:val="006E41DA"/>
    <w:rsid w:val="006E4670"/>
    <w:rsid w:val="006E4773"/>
    <w:rsid w:val="006E49AD"/>
    <w:rsid w:val="006E4A54"/>
    <w:rsid w:val="006E4AED"/>
    <w:rsid w:val="006E52DE"/>
    <w:rsid w:val="006E5403"/>
    <w:rsid w:val="006E58A7"/>
    <w:rsid w:val="006E5E6C"/>
    <w:rsid w:val="006E5F79"/>
    <w:rsid w:val="006E5FEA"/>
    <w:rsid w:val="006E60EB"/>
    <w:rsid w:val="006E62FE"/>
    <w:rsid w:val="006E6492"/>
    <w:rsid w:val="006E70E4"/>
    <w:rsid w:val="006E719E"/>
    <w:rsid w:val="006E721C"/>
    <w:rsid w:val="006E7271"/>
    <w:rsid w:val="006E7659"/>
    <w:rsid w:val="006E766A"/>
    <w:rsid w:val="006E7733"/>
    <w:rsid w:val="006E7791"/>
    <w:rsid w:val="006E7A1B"/>
    <w:rsid w:val="006E7ECF"/>
    <w:rsid w:val="006E7F34"/>
    <w:rsid w:val="006F002A"/>
    <w:rsid w:val="006F007F"/>
    <w:rsid w:val="006F0270"/>
    <w:rsid w:val="006F04FB"/>
    <w:rsid w:val="006F1195"/>
    <w:rsid w:val="006F142C"/>
    <w:rsid w:val="006F1555"/>
    <w:rsid w:val="006F1990"/>
    <w:rsid w:val="006F1DBD"/>
    <w:rsid w:val="006F1E81"/>
    <w:rsid w:val="006F219A"/>
    <w:rsid w:val="006F24C6"/>
    <w:rsid w:val="006F2580"/>
    <w:rsid w:val="006F2A73"/>
    <w:rsid w:val="006F2A7C"/>
    <w:rsid w:val="006F2CAD"/>
    <w:rsid w:val="006F2D5E"/>
    <w:rsid w:val="006F2DA3"/>
    <w:rsid w:val="006F2F3E"/>
    <w:rsid w:val="006F2F9C"/>
    <w:rsid w:val="006F326C"/>
    <w:rsid w:val="006F362E"/>
    <w:rsid w:val="006F3648"/>
    <w:rsid w:val="006F398A"/>
    <w:rsid w:val="006F3BD7"/>
    <w:rsid w:val="006F3D79"/>
    <w:rsid w:val="006F3FAA"/>
    <w:rsid w:val="006F4039"/>
    <w:rsid w:val="006F41A1"/>
    <w:rsid w:val="006F4402"/>
    <w:rsid w:val="006F4F60"/>
    <w:rsid w:val="006F52BE"/>
    <w:rsid w:val="006F5378"/>
    <w:rsid w:val="006F53F6"/>
    <w:rsid w:val="006F5470"/>
    <w:rsid w:val="006F59BD"/>
    <w:rsid w:val="006F62E1"/>
    <w:rsid w:val="006F6447"/>
    <w:rsid w:val="006F65E6"/>
    <w:rsid w:val="006F69DE"/>
    <w:rsid w:val="006F6A3C"/>
    <w:rsid w:val="006F6AE3"/>
    <w:rsid w:val="006F6D47"/>
    <w:rsid w:val="006F6E57"/>
    <w:rsid w:val="006F7050"/>
    <w:rsid w:val="006F734F"/>
    <w:rsid w:val="006F73E9"/>
    <w:rsid w:val="006F7559"/>
    <w:rsid w:val="006F786F"/>
    <w:rsid w:val="006F7CED"/>
    <w:rsid w:val="006F7D94"/>
    <w:rsid w:val="006F7E32"/>
    <w:rsid w:val="006F7E9D"/>
    <w:rsid w:val="007004A7"/>
    <w:rsid w:val="007004BD"/>
    <w:rsid w:val="00700568"/>
    <w:rsid w:val="00700C17"/>
    <w:rsid w:val="00700EA7"/>
    <w:rsid w:val="0070141C"/>
    <w:rsid w:val="007014AE"/>
    <w:rsid w:val="007015A2"/>
    <w:rsid w:val="00701746"/>
    <w:rsid w:val="0070178E"/>
    <w:rsid w:val="007019A0"/>
    <w:rsid w:val="00701D1C"/>
    <w:rsid w:val="00701D2E"/>
    <w:rsid w:val="00702003"/>
    <w:rsid w:val="007029F0"/>
    <w:rsid w:val="00702F10"/>
    <w:rsid w:val="00702F89"/>
    <w:rsid w:val="007031D4"/>
    <w:rsid w:val="00703291"/>
    <w:rsid w:val="007037C8"/>
    <w:rsid w:val="00703C0B"/>
    <w:rsid w:val="00703CFB"/>
    <w:rsid w:val="00703DE9"/>
    <w:rsid w:val="00703E81"/>
    <w:rsid w:val="007040F5"/>
    <w:rsid w:val="00704119"/>
    <w:rsid w:val="00704135"/>
    <w:rsid w:val="00704B2A"/>
    <w:rsid w:val="00704EC0"/>
    <w:rsid w:val="00704F2C"/>
    <w:rsid w:val="007050BC"/>
    <w:rsid w:val="00705294"/>
    <w:rsid w:val="0070572D"/>
    <w:rsid w:val="0070593D"/>
    <w:rsid w:val="00705AEC"/>
    <w:rsid w:val="00705B1B"/>
    <w:rsid w:val="00705DA2"/>
    <w:rsid w:val="00705E33"/>
    <w:rsid w:val="007064C9"/>
    <w:rsid w:val="00706C2A"/>
    <w:rsid w:val="00706E20"/>
    <w:rsid w:val="00706EE5"/>
    <w:rsid w:val="00707175"/>
    <w:rsid w:val="0070768A"/>
    <w:rsid w:val="00707759"/>
    <w:rsid w:val="00707E07"/>
    <w:rsid w:val="00707E33"/>
    <w:rsid w:val="00710126"/>
    <w:rsid w:val="0071069D"/>
    <w:rsid w:val="00710D18"/>
    <w:rsid w:val="00710D24"/>
    <w:rsid w:val="00710DF8"/>
    <w:rsid w:val="007113E0"/>
    <w:rsid w:val="00711530"/>
    <w:rsid w:val="00711AE6"/>
    <w:rsid w:val="00711B89"/>
    <w:rsid w:val="007123E2"/>
    <w:rsid w:val="00712558"/>
    <w:rsid w:val="00712634"/>
    <w:rsid w:val="00712776"/>
    <w:rsid w:val="0071287B"/>
    <w:rsid w:val="007129A8"/>
    <w:rsid w:val="00712A40"/>
    <w:rsid w:val="007130E7"/>
    <w:rsid w:val="007134B9"/>
    <w:rsid w:val="007134E5"/>
    <w:rsid w:val="0071397D"/>
    <w:rsid w:val="00713CCF"/>
    <w:rsid w:val="00713CF1"/>
    <w:rsid w:val="00713D7B"/>
    <w:rsid w:val="00713E46"/>
    <w:rsid w:val="00713ECF"/>
    <w:rsid w:val="00713ED8"/>
    <w:rsid w:val="00713EF7"/>
    <w:rsid w:val="00713FF2"/>
    <w:rsid w:val="0071404D"/>
    <w:rsid w:val="007142CF"/>
    <w:rsid w:val="00714382"/>
    <w:rsid w:val="00714478"/>
    <w:rsid w:val="00714A9B"/>
    <w:rsid w:val="00714CA2"/>
    <w:rsid w:val="00714CF7"/>
    <w:rsid w:val="00714EAA"/>
    <w:rsid w:val="00714EEE"/>
    <w:rsid w:val="00715433"/>
    <w:rsid w:val="007155E1"/>
    <w:rsid w:val="007157CF"/>
    <w:rsid w:val="00715960"/>
    <w:rsid w:val="00715AC1"/>
    <w:rsid w:val="00715BB9"/>
    <w:rsid w:val="00715EC1"/>
    <w:rsid w:val="00716062"/>
    <w:rsid w:val="00716064"/>
    <w:rsid w:val="00716136"/>
    <w:rsid w:val="00716295"/>
    <w:rsid w:val="00716572"/>
    <w:rsid w:val="0071660B"/>
    <w:rsid w:val="00716689"/>
    <w:rsid w:val="0071693A"/>
    <w:rsid w:val="00716D06"/>
    <w:rsid w:val="00716E5E"/>
    <w:rsid w:val="00716F26"/>
    <w:rsid w:val="00716F37"/>
    <w:rsid w:val="00717184"/>
    <w:rsid w:val="0071718C"/>
    <w:rsid w:val="007174E6"/>
    <w:rsid w:val="00717A1D"/>
    <w:rsid w:val="00717A94"/>
    <w:rsid w:val="00717CF5"/>
    <w:rsid w:val="00717F88"/>
    <w:rsid w:val="00720026"/>
    <w:rsid w:val="00720673"/>
    <w:rsid w:val="00720AAC"/>
    <w:rsid w:val="00720B01"/>
    <w:rsid w:val="00720C71"/>
    <w:rsid w:val="00720D59"/>
    <w:rsid w:val="00720D7D"/>
    <w:rsid w:val="00720FBC"/>
    <w:rsid w:val="0072105A"/>
    <w:rsid w:val="0072128D"/>
    <w:rsid w:val="00721972"/>
    <w:rsid w:val="00721C8D"/>
    <w:rsid w:val="00721FE6"/>
    <w:rsid w:val="0072205C"/>
    <w:rsid w:val="0072262A"/>
    <w:rsid w:val="00722743"/>
    <w:rsid w:val="00722754"/>
    <w:rsid w:val="007228B1"/>
    <w:rsid w:val="00722CCA"/>
    <w:rsid w:val="00722D9A"/>
    <w:rsid w:val="00722EFF"/>
    <w:rsid w:val="00722F6C"/>
    <w:rsid w:val="00723271"/>
    <w:rsid w:val="00723274"/>
    <w:rsid w:val="0072335D"/>
    <w:rsid w:val="00723752"/>
    <w:rsid w:val="00723868"/>
    <w:rsid w:val="00723AF5"/>
    <w:rsid w:val="00723B1E"/>
    <w:rsid w:val="00724B25"/>
    <w:rsid w:val="007255DE"/>
    <w:rsid w:val="007255F4"/>
    <w:rsid w:val="007256D4"/>
    <w:rsid w:val="0072585E"/>
    <w:rsid w:val="00725DCB"/>
    <w:rsid w:val="00725EB1"/>
    <w:rsid w:val="00725ED7"/>
    <w:rsid w:val="00725EE5"/>
    <w:rsid w:val="00726001"/>
    <w:rsid w:val="00726063"/>
    <w:rsid w:val="0072610A"/>
    <w:rsid w:val="0072612E"/>
    <w:rsid w:val="007261AB"/>
    <w:rsid w:val="007263DB"/>
    <w:rsid w:val="007265DB"/>
    <w:rsid w:val="00726BFC"/>
    <w:rsid w:val="00727350"/>
    <w:rsid w:val="007273C3"/>
    <w:rsid w:val="007275D1"/>
    <w:rsid w:val="00727649"/>
    <w:rsid w:val="0073037B"/>
    <w:rsid w:val="00730956"/>
    <w:rsid w:val="00730A2D"/>
    <w:rsid w:val="00730B72"/>
    <w:rsid w:val="00731032"/>
    <w:rsid w:val="007312EB"/>
    <w:rsid w:val="0073139B"/>
    <w:rsid w:val="007319FA"/>
    <w:rsid w:val="00731ED4"/>
    <w:rsid w:val="0073203C"/>
    <w:rsid w:val="00732765"/>
    <w:rsid w:val="007327A3"/>
    <w:rsid w:val="007327DC"/>
    <w:rsid w:val="00732BC3"/>
    <w:rsid w:val="00733657"/>
    <w:rsid w:val="0073386A"/>
    <w:rsid w:val="0073391A"/>
    <w:rsid w:val="0073406B"/>
    <w:rsid w:val="0073410C"/>
    <w:rsid w:val="00734703"/>
    <w:rsid w:val="00734A0A"/>
    <w:rsid w:val="00734ABF"/>
    <w:rsid w:val="00734C78"/>
    <w:rsid w:val="00734F37"/>
    <w:rsid w:val="00735838"/>
    <w:rsid w:val="00735867"/>
    <w:rsid w:val="00735983"/>
    <w:rsid w:val="00735A07"/>
    <w:rsid w:val="00735A7D"/>
    <w:rsid w:val="00735E5C"/>
    <w:rsid w:val="00736298"/>
    <w:rsid w:val="0073637F"/>
    <w:rsid w:val="00736E5E"/>
    <w:rsid w:val="00736EB0"/>
    <w:rsid w:val="007370E0"/>
    <w:rsid w:val="007378CC"/>
    <w:rsid w:val="00737959"/>
    <w:rsid w:val="00737D9F"/>
    <w:rsid w:val="00740339"/>
    <w:rsid w:val="0074041C"/>
    <w:rsid w:val="007404C6"/>
    <w:rsid w:val="007406DB"/>
    <w:rsid w:val="00740769"/>
    <w:rsid w:val="00740804"/>
    <w:rsid w:val="00740820"/>
    <w:rsid w:val="007408AB"/>
    <w:rsid w:val="0074092D"/>
    <w:rsid w:val="00740968"/>
    <w:rsid w:val="00740B04"/>
    <w:rsid w:val="00740DDF"/>
    <w:rsid w:val="00740F4D"/>
    <w:rsid w:val="0074110B"/>
    <w:rsid w:val="00741477"/>
    <w:rsid w:val="007416F6"/>
    <w:rsid w:val="00741729"/>
    <w:rsid w:val="007417FA"/>
    <w:rsid w:val="007418A6"/>
    <w:rsid w:val="00741A6D"/>
    <w:rsid w:val="007420E7"/>
    <w:rsid w:val="007420EC"/>
    <w:rsid w:val="007425B3"/>
    <w:rsid w:val="007425FA"/>
    <w:rsid w:val="00742CEB"/>
    <w:rsid w:val="00742D1A"/>
    <w:rsid w:val="00742DF1"/>
    <w:rsid w:val="00742F0C"/>
    <w:rsid w:val="00743411"/>
    <w:rsid w:val="007437CD"/>
    <w:rsid w:val="007440CA"/>
    <w:rsid w:val="0074435C"/>
    <w:rsid w:val="00744432"/>
    <w:rsid w:val="007447AC"/>
    <w:rsid w:val="00744880"/>
    <w:rsid w:val="007448DE"/>
    <w:rsid w:val="00744D03"/>
    <w:rsid w:val="00744F9A"/>
    <w:rsid w:val="00745126"/>
    <w:rsid w:val="00745985"/>
    <w:rsid w:val="00745D54"/>
    <w:rsid w:val="007460AE"/>
    <w:rsid w:val="007460C4"/>
    <w:rsid w:val="007461EA"/>
    <w:rsid w:val="007462B6"/>
    <w:rsid w:val="0074656A"/>
    <w:rsid w:val="007465A0"/>
    <w:rsid w:val="007466DD"/>
    <w:rsid w:val="00746776"/>
    <w:rsid w:val="00746A34"/>
    <w:rsid w:val="00746B92"/>
    <w:rsid w:val="00746DA6"/>
    <w:rsid w:val="00746E9F"/>
    <w:rsid w:val="00746FDF"/>
    <w:rsid w:val="007471D8"/>
    <w:rsid w:val="00747295"/>
    <w:rsid w:val="0074731B"/>
    <w:rsid w:val="00747423"/>
    <w:rsid w:val="00747447"/>
    <w:rsid w:val="007474FE"/>
    <w:rsid w:val="007475CD"/>
    <w:rsid w:val="00747BC7"/>
    <w:rsid w:val="00747E38"/>
    <w:rsid w:val="0075023F"/>
    <w:rsid w:val="00750321"/>
    <w:rsid w:val="00750367"/>
    <w:rsid w:val="007503B7"/>
    <w:rsid w:val="0075083D"/>
    <w:rsid w:val="007509CA"/>
    <w:rsid w:val="00750A84"/>
    <w:rsid w:val="00750DF1"/>
    <w:rsid w:val="00750EB1"/>
    <w:rsid w:val="00751055"/>
    <w:rsid w:val="007512A1"/>
    <w:rsid w:val="00751410"/>
    <w:rsid w:val="007520FA"/>
    <w:rsid w:val="007526A0"/>
    <w:rsid w:val="007528E8"/>
    <w:rsid w:val="00752A7E"/>
    <w:rsid w:val="00752F52"/>
    <w:rsid w:val="007531FF"/>
    <w:rsid w:val="00753209"/>
    <w:rsid w:val="0075325B"/>
    <w:rsid w:val="00753292"/>
    <w:rsid w:val="00753351"/>
    <w:rsid w:val="00753379"/>
    <w:rsid w:val="00753473"/>
    <w:rsid w:val="007538A3"/>
    <w:rsid w:val="00753CE3"/>
    <w:rsid w:val="00753E87"/>
    <w:rsid w:val="00753FBE"/>
    <w:rsid w:val="0075438E"/>
    <w:rsid w:val="0075461D"/>
    <w:rsid w:val="0075473C"/>
    <w:rsid w:val="007547D2"/>
    <w:rsid w:val="00754B4F"/>
    <w:rsid w:val="0075507B"/>
    <w:rsid w:val="0075529C"/>
    <w:rsid w:val="00755307"/>
    <w:rsid w:val="0075539F"/>
    <w:rsid w:val="007558A4"/>
    <w:rsid w:val="007558DC"/>
    <w:rsid w:val="00755EAA"/>
    <w:rsid w:val="0075637D"/>
    <w:rsid w:val="007564E0"/>
    <w:rsid w:val="00756831"/>
    <w:rsid w:val="00756857"/>
    <w:rsid w:val="00756F2E"/>
    <w:rsid w:val="00757142"/>
    <w:rsid w:val="007572B7"/>
    <w:rsid w:val="007576EF"/>
    <w:rsid w:val="00757753"/>
    <w:rsid w:val="00757AFF"/>
    <w:rsid w:val="00757E74"/>
    <w:rsid w:val="00757F62"/>
    <w:rsid w:val="0076009C"/>
    <w:rsid w:val="007601A0"/>
    <w:rsid w:val="007607E4"/>
    <w:rsid w:val="007608BC"/>
    <w:rsid w:val="00760C71"/>
    <w:rsid w:val="00760FBE"/>
    <w:rsid w:val="007615B8"/>
    <w:rsid w:val="00761FFD"/>
    <w:rsid w:val="00762034"/>
    <w:rsid w:val="00762273"/>
    <w:rsid w:val="00762314"/>
    <w:rsid w:val="007625DD"/>
    <w:rsid w:val="00762742"/>
    <w:rsid w:val="0076282A"/>
    <w:rsid w:val="00763327"/>
    <w:rsid w:val="0076339F"/>
    <w:rsid w:val="007633B3"/>
    <w:rsid w:val="00763A97"/>
    <w:rsid w:val="00763BF9"/>
    <w:rsid w:val="00763C39"/>
    <w:rsid w:val="007643F9"/>
    <w:rsid w:val="0076448C"/>
    <w:rsid w:val="007644C2"/>
    <w:rsid w:val="0076450D"/>
    <w:rsid w:val="00764532"/>
    <w:rsid w:val="00764588"/>
    <w:rsid w:val="00764B25"/>
    <w:rsid w:val="00764DFD"/>
    <w:rsid w:val="00764FD4"/>
    <w:rsid w:val="007657A5"/>
    <w:rsid w:val="00765C3D"/>
    <w:rsid w:val="00765DAC"/>
    <w:rsid w:val="00765EA8"/>
    <w:rsid w:val="00766470"/>
    <w:rsid w:val="0076685C"/>
    <w:rsid w:val="00766D22"/>
    <w:rsid w:val="00766DFE"/>
    <w:rsid w:val="00766F37"/>
    <w:rsid w:val="00767047"/>
    <w:rsid w:val="007670AF"/>
    <w:rsid w:val="00767520"/>
    <w:rsid w:val="0076782F"/>
    <w:rsid w:val="00767B77"/>
    <w:rsid w:val="00767C1B"/>
    <w:rsid w:val="00767D86"/>
    <w:rsid w:val="00770153"/>
    <w:rsid w:val="00770155"/>
    <w:rsid w:val="00770728"/>
    <w:rsid w:val="00770B1E"/>
    <w:rsid w:val="00770E4B"/>
    <w:rsid w:val="00771836"/>
    <w:rsid w:val="00771F28"/>
    <w:rsid w:val="00772846"/>
    <w:rsid w:val="00772BC8"/>
    <w:rsid w:val="0077315B"/>
    <w:rsid w:val="0077319B"/>
    <w:rsid w:val="00773268"/>
    <w:rsid w:val="007732AE"/>
    <w:rsid w:val="0077353B"/>
    <w:rsid w:val="00773748"/>
    <w:rsid w:val="0077383F"/>
    <w:rsid w:val="007738D8"/>
    <w:rsid w:val="00773DDE"/>
    <w:rsid w:val="00774128"/>
    <w:rsid w:val="00774666"/>
    <w:rsid w:val="00774852"/>
    <w:rsid w:val="00774A33"/>
    <w:rsid w:val="007754F5"/>
    <w:rsid w:val="00775781"/>
    <w:rsid w:val="00775807"/>
    <w:rsid w:val="00775CBC"/>
    <w:rsid w:val="00775E5A"/>
    <w:rsid w:val="00775F12"/>
    <w:rsid w:val="00776092"/>
    <w:rsid w:val="007760AA"/>
    <w:rsid w:val="0077622A"/>
    <w:rsid w:val="00776383"/>
    <w:rsid w:val="007763B9"/>
    <w:rsid w:val="0077648F"/>
    <w:rsid w:val="007766F9"/>
    <w:rsid w:val="00776707"/>
    <w:rsid w:val="007768FB"/>
    <w:rsid w:val="00776AB2"/>
    <w:rsid w:val="00776ACF"/>
    <w:rsid w:val="00776EDC"/>
    <w:rsid w:val="0077745B"/>
    <w:rsid w:val="0077760D"/>
    <w:rsid w:val="0077764E"/>
    <w:rsid w:val="00777BB9"/>
    <w:rsid w:val="00777C3A"/>
    <w:rsid w:val="00777F16"/>
    <w:rsid w:val="0078039E"/>
    <w:rsid w:val="007806EF"/>
    <w:rsid w:val="00780F66"/>
    <w:rsid w:val="0078128E"/>
    <w:rsid w:val="00781433"/>
    <w:rsid w:val="00781996"/>
    <w:rsid w:val="007825D7"/>
    <w:rsid w:val="00782899"/>
    <w:rsid w:val="00782B72"/>
    <w:rsid w:val="00782CF6"/>
    <w:rsid w:val="00782D63"/>
    <w:rsid w:val="007833F0"/>
    <w:rsid w:val="00783811"/>
    <w:rsid w:val="0078413B"/>
    <w:rsid w:val="007842B7"/>
    <w:rsid w:val="0078446C"/>
    <w:rsid w:val="007844BC"/>
    <w:rsid w:val="007846C3"/>
    <w:rsid w:val="00784739"/>
    <w:rsid w:val="007848E4"/>
    <w:rsid w:val="00784DF5"/>
    <w:rsid w:val="007859B0"/>
    <w:rsid w:val="00785A15"/>
    <w:rsid w:val="00785DD3"/>
    <w:rsid w:val="007861A6"/>
    <w:rsid w:val="007863FE"/>
    <w:rsid w:val="00786A9D"/>
    <w:rsid w:val="00786D2E"/>
    <w:rsid w:val="00786D4B"/>
    <w:rsid w:val="00787348"/>
    <w:rsid w:val="00787CED"/>
    <w:rsid w:val="0079017E"/>
    <w:rsid w:val="007901D0"/>
    <w:rsid w:val="007901EC"/>
    <w:rsid w:val="007902CB"/>
    <w:rsid w:val="00790344"/>
    <w:rsid w:val="007903EC"/>
    <w:rsid w:val="007904F8"/>
    <w:rsid w:val="00790DB5"/>
    <w:rsid w:val="00790E1D"/>
    <w:rsid w:val="00791378"/>
    <w:rsid w:val="00791429"/>
    <w:rsid w:val="0079171F"/>
    <w:rsid w:val="00791A11"/>
    <w:rsid w:val="00791CCF"/>
    <w:rsid w:val="00791F23"/>
    <w:rsid w:val="00791FA3"/>
    <w:rsid w:val="0079200A"/>
    <w:rsid w:val="007920F3"/>
    <w:rsid w:val="0079224E"/>
    <w:rsid w:val="007923C9"/>
    <w:rsid w:val="00792ABD"/>
    <w:rsid w:val="00792BE7"/>
    <w:rsid w:val="00792D62"/>
    <w:rsid w:val="00793620"/>
    <w:rsid w:val="00793751"/>
    <w:rsid w:val="007937E1"/>
    <w:rsid w:val="00793D2D"/>
    <w:rsid w:val="00793DDC"/>
    <w:rsid w:val="00793F96"/>
    <w:rsid w:val="0079410D"/>
    <w:rsid w:val="00794352"/>
    <w:rsid w:val="007946A2"/>
    <w:rsid w:val="00794DAD"/>
    <w:rsid w:val="00794EC9"/>
    <w:rsid w:val="00795062"/>
    <w:rsid w:val="00795390"/>
    <w:rsid w:val="007954F9"/>
    <w:rsid w:val="007958AE"/>
    <w:rsid w:val="00795D57"/>
    <w:rsid w:val="00795EDB"/>
    <w:rsid w:val="00796035"/>
    <w:rsid w:val="0079618D"/>
    <w:rsid w:val="00796699"/>
    <w:rsid w:val="00796E0C"/>
    <w:rsid w:val="0079725E"/>
    <w:rsid w:val="00797527"/>
    <w:rsid w:val="00797ACF"/>
    <w:rsid w:val="00797CF9"/>
    <w:rsid w:val="007A09CC"/>
    <w:rsid w:val="007A0B6F"/>
    <w:rsid w:val="007A0C82"/>
    <w:rsid w:val="007A0DB1"/>
    <w:rsid w:val="007A0E8A"/>
    <w:rsid w:val="007A13FA"/>
    <w:rsid w:val="007A14B4"/>
    <w:rsid w:val="007A14E6"/>
    <w:rsid w:val="007A1641"/>
    <w:rsid w:val="007A1919"/>
    <w:rsid w:val="007A1947"/>
    <w:rsid w:val="007A1A49"/>
    <w:rsid w:val="007A2271"/>
    <w:rsid w:val="007A23EB"/>
    <w:rsid w:val="007A241D"/>
    <w:rsid w:val="007A2590"/>
    <w:rsid w:val="007A2A50"/>
    <w:rsid w:val="007A2C1B"/>
    <w:rsid w:val="007A2C6A"/>
    <w:rsid w:val="007A34AE"/>
    <w:rsid w:val="007A3738"/>
    <w:rsid w:val="007A3811"/>
    <w:rsid w:val="007A3916"/>
    <w:rsid w:val="007A3A07"/>
    <w:rsid w:val="007A3CC1"/>
    <w:rsid w:val="007A4080"/>
    <w:rsid w:val="007A408A"/>
    <w:rsid w:val="007A4E19"/>
    <w:rsid w:val="007A4FB0"/>
    <w:rsid w:val="007A56A4"/>
    <w:rsid w:val="007A5781"/>
    <w:rsid w:val="007A5968"/>
    <w:rsid w:val="007A5FFF"/>
    <w:rsid w:val="007A612F"/>
    <w:rsid w:val="007A64B4"/>
    <w:rsid w:val="007A656C"/>
    <w:rsid w:val="007A6983"/>
    <w:rsid w:val="007A6CA2"/>
    <w:rsid w:val="007A7848"/>
    <w:rsid w:val="007A7951"/>
    <w:rsid w:val="007A7A03"/>
    <w:rsid w:val="007A7A5E"/>
    <w:rsid w:val="007B04D1"/>
    <w:rsid w:val="007B04E1"/>
    <w:rsid w:val="007B0550"/>
    <w:rsid w:val="007B0711"/>
    <w:rsid w:val="007B0800"/>
    <w:rsid w:val="007B081B"/>
    <w:rsid w:val="007B09D8"/>
    <w:rsid w:val="007B0A01"/>
    <w:rsid w:val="007B0BDC"/>
    <w:rsid w:val="007B0D68"/>
    <w:rsid w:val="007B0D6B"/>
    <w:rsid w:val="007B0E89"/>
    <w:rsid w:val="007B0E9C"/>
    <w:rsid w:val="007B0EDE"/>
    <w:rsid w:val="007B0F91"/>
    <w:rsid w:val="007B10AC"/>
    <w:rsid w:val="007B1456"/>
    <w:rsid w:val="007B16C7"/>
    <w:rsid w:val="007B18C4"/>
    <w:rsid w:val="007B1950"/>
    <w:rsid w:val="007B1E6F"/>
    <w:rsid w:val="007B1FAF"/>
    <w:rsid w:val="007B201C"/>
    <w:rsid w:val="007B22A8"/>
    <w:rsid w:val="007B24D9"/>
    <w:rsid w:val="007B2535"/>
    <w:rsid w:val="007B2807"/>
    <w:rsid w:val="007B2C03"/>
    <w:rsid w:val="007B2D0E"/>
    <w:rsid w:val="007B3179"/>
    <w:rsid w:val="007B320A"/>
    <w:rsid w:val="007B3369"/>
    <w:rsid w:val="007B33A2"/>
    <w:rsid w:val="007B353D"/>
    <w:rsid w:val="007B35FF"/>
    <w:rsid w:val="007B3711"/>
    <w:rsid w:val="007B3B02"/>
    <w:rsid w:val="007B3CCE"/>
    <w:rsid w:val="007B3E69"/>
    <w:rsid w:val="007B4039"/>
    <w:rsid w:val="007B4050"/>
    <w:rsid w:val="007B4113"/>
    <w:rsid w:val="007B438C"/>
    <w:rsid w:val="007B44F3"/>
    <w:rsid w:val="007B4786"/>
    <w:rsid w:val="007B4885"/>
    <w:rsid w:val="007B489E"/>
    <w:rsid w:val="007B4A90"/>
    <w:rsid w:val="007B4BCE"/>
    <w:rsid w:val="007B4EEF"/>
    <w:rsid w:val="007B5187"/>
    <w:rsid w:val="007B5593"/>
    <w:rsid w:val="007B5B6A"/>
    <w:rsid w:val="007B5D13"/>
    <w:rsid w:val="007B6422"/>
    <w:rsid w:val="007B6595"/>
    <w:rsid w:val="007B67F3"/>
    <w:rsid w:val="007B6B80"/>
    <w:rsid w:val="007B6E70"/>
    <w:rsid w:val="007B6EC7"/>
    <w:rsid w:val="007B731B"/>
    <w:rsid w:val="007B7386"/>
    <w:rsid w:val="007B744C"/>
    <w:rsid w:val="007B75D5"/>
    <w:rsid w:val="007B77F4"/>
    <w:rsid w:val="007B79FF"/>
    <w:rsid w:val="007B7A3D"/>
    <w:rsid w:val="007B7E5E"/>
    <w:rsid w:val="007C02F7"/>
    <w:rsid w:val="007C04C6"/>
    <w:rsid w:val="007C04D8"/>
    <w:rsid w:val="007C068A"/>
    <w:rsid w:val="007C09B1"/>
    <w:rsid w:val="007C0D2A"/>
    <w:rsid w:val="007C0D33"/>
    <w:rsid w:val="007C0ECF"/>
    <w:rsid w:val="007C10D5"/>
    <w:rsid w:val="007C1268"/>
    <w:rsid w:val="007C156B"/>
    <w:rsid w:val="007C1E5D"/>
    <w:rsid w:val="007C21B1"/>
    <w:rsid w:val="007C254D"/>
    <w:rsid w:val="007C263F"/>
    <w:rsid w:val="007C266F"/>
    <w:rsid w:val="007C2DE3"/>
    <w:rsid w:val="007C2F43"/>
    <w:rsid w:val="007C2FA4"/>
    <w:rsid w:val="007C2FFC"/>
    <w:rsid w:val="007C32FA"/>
    <w:rsid w:val="007C399A"/>
    <w:rsid w:val="007C39D7"/>
    <w:rsid w:val="007C3DF2"/>
    <w:rsid w:val="007C3E0F"/>
    <w:rsid w:val="007C4244"/>
    <w:rsid w:val="007C45FE"/>
    <w:rsid w:val="007C4A57"/>
    <w:rsid w:val="007C4BCF"/>
    <w:rsid w:val="007C50CE"/>
    <w:rsid w:val="007C51EB"/>
    <w:rsid w:val="007C5235"/>
    <w:rsid w:val="007C56CB"/>
    <w:rsid w:val="007C57BA"/>
    <w:rsid w:val="007C5835"/>
    <w:rsid w:val="007C5DB3"/>
    <w:rsid w:val="007C5FB8"/>
    <w:rsid w:val="007C6199"/>
    <w:rsid w:val="007C64BD"/>
    <w:rsid w:val="007C6681"/>
    <w:rsid w:val="007C6743"/>
    <w:rsid w:val="007C69B7"/>
    <w:rsid w:val="007C6AA7"/>
    <w:rsid w:val="007C6B53"/>
    <w:rsid w:val="007C6FDA"/>
    <w:rsid w:val="007C7180"/>
    <w:rsid w:val="007C78AB"/>
    <w:rsid w:val="007C7A06"/>
    <w:rsid w:val="007D032E"/>
    <w:rsid w:val="007D07D9"/>
    <w:rsid w:val="007D0E1B"/>
    <w:rsid w:val="007D105D"/>
    <w:rsid w:val="007D1083"/>
    <w:rsid w:val="007D129E"/>
    <w:rsid w:val="007D1544"/>
    <w:rsid w:val="007D1848"/>
    <w:rsid w:val="007D1A76"/>
    <w:rsid w:val="007D1B44"/>
    <w:rsid w:val="007D1EAC"/>
    <w:rsid w:val="007D2211"/>
    <w:rsid w:val="007D24F3"/>
    <w:rsid w:val="007D26B3"/>
    <w:rsid w:val="007D286A"/>
    <w:rsid w:val="007D2A45"/>
    <w:rsid w:val="007D2A58"/>
    <w:rsid w:val="007D2B18"/>
    <w:rsid w:val="007D2E89"/>
    <w:rsid w:val="007D2EFD"/>
    <w:rsid w:val="007D3124"/>
    <w:rsid w:val="007D3374"/>
    <w:rsid w:val="007D33C0"/>
    <w:rsid w:val="007D33D3"/>
    <w:rsid w:val="007D3718"/>
    <w:rsid w:val="007D373B"/>
    <w:rsid w:val="007D3922"/>
    <w:rsid w:val="007D4140"/>
    <w:rsid w:val="007D4255"/>
    <w:rsid w:val="007D42E9"/>
    <w:rsid w:val="007D43E2"/>
    <w:rsid w:val="007D469B"/>
    <w:rsid w:val="007D4A64"/>
    <w:rsid w:val="007D4B1C"/>
    <w:rsid w:val="007D4B31"/>
    <w:rsid w:val="007D4FC5"/>
    <w:rsid w:val="007D516E"/>
    <w:rsid w:val="007D561F"/>
    <w:rsid w:val="007D5645"/>
    <w:rsid w:val="007D5B44"/>
    <w:rsid w:val="007D5C9F"/>
    <w:rsid w:val="007D6231"/>
    <w:rsid w:val="007D6331"/>
    <w:rsid w:val="007D6EF3"/>
    <w:rsid w:val="007D75D1"/>
    <w:rsid w:val="007D7649"/>
    <w:rsid w:val="007D7DDA"/>
    <w:rsid w:val="007E0376"/>
    <w:rsid w:val="007E037A"/>
    <w:rsid w:val="007E078D"/>
    <w:rsid w:val="007E0A27"/>
    <w:rsid w:val="007E11D2"/>
    <w:rsid w:val="007E1254"/>
    <w:rsid w:val="007E17E5"/>
    <w:rsid w:val="007E19AE"/>
    <w:rsid w:val="007E19D7"/>
    <w:rsid w:val="007E1B00"/>
    <w:rsid w:val="007E1E3D"/>
    <w:rsid w:val="007E1FC9"/>
    <w:rsid w:val="007E2093"/>
    <w:rsid w:val="007E2248"/>
    <w:rsid w:val="007E24BC"/>
    <w:rsid w:val="007E2646"/>
    <w:rsid w:val="007E2C76"/>
    <w:rsid w:val="007E3051"/>
    <w:rsid w:val="007E31A3"/>
    <w:rsid w:val="007E34EC"/>
    <w:rsid w:val="007E382D"/>
    <w:rsid w:val="007E3909"/>
    <w:rsid w:val="007E3A37"/>
    <w:rsid w:val="007E3CF6"/>
    <w:rsid w:val="007E3DB0"/>
    <w:rsid w:val="007E3E9A"/>
    <w:rsid w:val="007E415E"/>
    <w:rsid w:val="007E433F"/>
    <w:rsid w:val="007E4558"/>
    <w:rsid w:val="007E485B"/>
    <w:rsid w:val="007E491E"/>
    <w:rsid w:val="007E4925"/>
    <w:rsid w:val="007E49CC"/>
    <w:rsid w:val="007E4C46"/>
    <w:rsid w:val="007E4D25"/>
    <w:rsid w:val="007E4E24"/>
    <w:rsid w:val="007E53D7"/>
    <w:rsid w:val="007E53F5"/>
    <w:rsid w:val="007E5892"/>
    <w:rsid w:val="007E609C"/>
    <w:rsid w:val="007E6308"/>
    <w:rsid w:val="007E6B77"/>
    <w:rsid w:val="007E6CDD"/>
    <w:rsid w:val="007E6F1E"/>
    <w:rsid w:val="007E704C"/>
    <w:rsid w:val="007E70A1"/>
    <w:rsid w:val="007E71D8"/>
    <w:rsid w:val="007E7577"/>
    <w:rsid w:val="007E7802"/>
    <w:rsid w:val="007E7CFF"/>
    <w:rsid w:val="007F0320"/>
    <w:rsid w:val="007F0527"/>
    <w:rsid w:val="007F05A9"/>
    <w:rsid w:val="007F05FF"/>
    <w:rsid w:val="007F0812"/>
    <w:rsid w:val="007F09A8"/>
    <w:rsid w:val="007F09EB"/>
    <w:rsid w:val="007F0B3D"/>
    <w:rsid w:val="007F11E8"/>
    <w:rsid w:val="007F13AD"/>
    <w:rsid w:val="007F18CA"/>
    <w:rsid w:val="007F196F"/>
    <w:rsid w:val="007F199B"/>
    <w:rsid w:val="007F1BE0"/>
    <w:rsid w:val="007F1ED0"/>
    <w:rsid w:val="007F1FAF"/>
    <w:rsid w:val="007F206C"/>
    <w:rsid w:val="007F2420"/>
    <w:rsid w:val="007F297A"/>
    <w:rsid w:val="007F2D16"/>
    <w:rsid w:val="007F2D5F"/>
    <w:rsid w:val="007F2E9D"/>
    <w:rsid w:val="007F323F"/>
    <w:rsid w:val="007F3287"/>
    <w:rsid w:val="007F32EF"/>
    <w:rsid w:val="007F39F2"/>
    <w:rsid w:val="007F3D2D"/>
    <w:rsid w:val="007F3D5E"/>
    <w:rsid w:val="007F3EDE"/>
    <w:rsid w:val="007F4265"/>
    <w:rsid w:val="007F4541"/>
    <w:rsid w:val="007F4635"/>
    <w:rsid w:val="007F503F"/>
    <w:rsid w:val="007F53CA"/>
    <w:rsid w:val="007F543A"/>
    <w:rsid w:val="007F5500"/>
    <w:rsid w:val="007F564A"/>
    <w:rsid w:val="007F5674"/>
    <w:rsid w:val="007F59BF"/>
    <w:rsid w:val="007F5A25"/>
    <w:rsid w:val="007F5A81"/>
    <w:rsid w:val="007F5AB4"/>
    <w:rsid w:val="007F5B9F"/>
    <w:rsid w:val="007F5BC9"/>
    <w:rsid w:val="007F5BDD"/>
    <w:rsid w:val="007F5C3D"/>
    <w:rsid w:val="007F5F15"/>
    <w:rsid w:val="007F620C"/>
    <w:rsid w:val="007F629C"/>
    <w:rsid w:val="007F68A2"/>
    <w:rsid w:val="007F69E4"/>
    <w:rsid w:val="007F6BCC"/>
    <w:rsid w:val="007F6D7B"/>
    <w:rsid w:val="007F6E68"/>
    <w:rsid w:val="007F7086"/>
    <w:rsid w:val="007F7158"/>
    <w:rsid w:val="007F733F"/>
    <w:rsid w:val="007F7405"/>
    <w:rsid w:val="007F7B7B"/>
    <w:rsid w:val="007F7EA4"/>
    <w:rsid w:val="00800698"/>
    <w:rsid w:val="00800DB8"/>
    <w:rsid w:val="00801071"/>
    <w:rsid w:val="008011FC"/>
    <w:rsid w:val="008013C8"/>
    <w:rsid w:val="008015A0"/>
    <w:rsid w:val="008018DF"/>
    <w:rsid w:val="008019BE"/>
    <w:rsid w:val="00801A82"/>
    <w:rsid w:val="00801E5A"/>
    <w:rsid w:val="00801ECD"/>
    <w:rsid w:val="008020D8"/>
    <w:rsid w:val="0080294B"/>
    <w:rsid w:val="00802DF3"/>
    <w:rsid w:val="008031C1"/>
    <w:rsid w:val="008035BD"/>
    <w:rsid w:val="00803680"/>
    <w:rsid w:val="008036A0"/>
    <w:rsid w:val="00803E87"/>
    <w:rsid w:val="00804015"/>
    <w:rsid w:val="008041FE"/>
    <w:rsid w:val="00804468"/>
    <w:rsid w:val="00804DFE"/>
    <w:rsid w:val="00804F34"/>
    <w:rsid w:val="00805051"/>
    <w:rsid w:val="00805181"/>
    <w:rsid w:val="0080521D"/>
    <w:rsid w:val="008052A7"/>
    <w:rsid w:val="00805605"/>
    <w:rsid w:val="00805677"/>
    <w:rsid w:val="008056C2"/>
    <w:rsid w:val="00805AB0"/>
    <w:rsid w:val="00806533"/>
    <w:rsid w:val="00806802"/>
    <w:rsid w:val="00806B7F"/>
    <w:rsid w:val="00806C73"/>
    <w:rsid w:val="008072EC"/>
    <w:rsid w:val="0080748D"/>
    <w:rsid w:val="008075BD"/>
    <w:rsid w:val="00807758"/>
    <w:rsid w:val="008077CB"/>
    <w:rsid w:val="00807988"/>
    <w:rsid w:val="00807BD5"/>
    <w:rsid w:val="00807CA3"/>
    <w:rsid w:val="00807E94"/>
    <w:rsid w:val="00810444"/>
    <w:rsid w:val="008105E3"/>
    <w:rsid w:val="0081099F"/>
    <w:rsid w:val="00810AA0"/>
    <w:rsid w:val="00810B41"/>
    <w:rsid w:val="00810E91"/>
    <w:rsid w:val="0081146C"/>
    <w:rsid w:val="008119F4"/>
    <w:rsid w:val="00811B8E"/>
    <w:rsid w:val="00811BAC"/>
    <w:rsid w:val="0081225C"/>
    <w:rsid w:val="008123DF"/>
    <w:rsid w:val="008129EE"/>
    <w:rsid w:val="00812C4D"/>
    <w:rsid w:val="00813184"/>
    <w:rsid w:val="008133CC"/>
    <w:rsid w:val="00813683"/>
    <w:rsid w:val="008136F3"/>
    <w:rsid w:val="0081384B"/>
    <w:rsid w:val="00813B5A"/>
    <w:rsid w:val="00813DB5"/>
    <w:rsid w:val="00813ED9"/>
    <w:rsid w:val="0081455A"/>
    <w:rsid w:val="008145A7"/>
    <w:rsid w:val="008145E5"/>
    <w:rsid w:val="008146E2"/>
    <w:rsid w:val="00814817"/>
    <w:rsid w:val="00814A23"/>
    <w:rsid w:val="00814E3F"/>
    <w:rsid w:val="00814EC7"/>
    <w:rsid w:val="008151FF"/>
    <w:rsid w:val="0081573E"/>
    <w:rsid w:val="0081582E"/>
    <w:rsid w:val="0081585D"/>
    <w:rsid w:val="00815A8B"/>
    <w:rsid w:val="00815E20"/>
    <w:rsid w:val="00816018"/>
    <w:rsid w:val="00816098"/>
    <w:rsid w:val="00816892"/>
    <w:rsid w:val="00816B54"/>
    <w:rsid w:val="00816E6F"/>
    <w:rsid w:val="00817894"/>
    <w:rsid w:val="00817D05"/>
    <w:rsid w:val="00819EBA"/>
    <w:rsid w:val="00820153"/>
    <w:rsid w:val="0082028D"/>
    <w:rsid w:val="0082042D"/>
    <w:rsid w:val="00820471"/>
    <w:rsid w:val="0082062E"/>
    <w:rsid w:val="00820F29"/>
    <w:rsid w:val="0082102F"/>
    <w:rsid w:val="008213F6"/>
    <w:rsid w:val="008217DB"/>
    <w:rsid w:val="00821861"/>
    <w:rsid w:val="00821B13"/>
    <w:rsid w:val="00821CF7"/>
    <w:rsid w:val="00821D66"/>
    <w:rsid w:val="00821DF2"/>
    <w:rsid w:val="00821EC7"/>
    <w:rsid w:val="00822028"/>
    <w:rsid w:val="00822135"/>
    <w:rsid w:val="008221FA"/>
    <w:rsid w:val="00822253"/>
    <w:rsid w:val="00822584"/>
    <w:rsid w:val="00822822"/>
    <w:rsid w:val="0082288F"/>
    <w:rsid w:val="00822A49"/>
    <w:rsid w:val="00822E62"/>
    <w:rsid w:val="00823075"/>
    <w:rsid w:val="008232BB"/>
    <w:rsid w:val="008232E0"/>
    <w:rsid w:val="008234AA"/>
    <w:rsid w:val="008236A9"/>
    <w:rsid w:val="00823774"/>
    <w:rsid w:val="0082387F"/>
    <w:rsid w:val="00823F46"/>
    <w:rsid w:val="008244B7"/>
    <w:rsid w:val="00824539"/>
    <w:rsid w:val="008246C2"/>
    <w:rsid w:val="00824BB4"/>
    <w:rsid w:val="00824C8C"/>
    <w:rsid w:val="00824FE0"/>
    <w:rsid w:val="0082530E"/>
    <w:rsid w:val="008255C2"/>
    <w:rsid w:val="00825936"/>
    <w:rsid w:val="00825CAA"/>
    <w:rsid w:val="008262F7"/>
    <w:rsid w:val="00826504"/>
    <w:rsid w:val="008267CA"/>
    <w:rsid w:val="0082767D"/>
    <w:rsid w:val="00827A8D"/>
    <w:rsid w:val="00827AE9"/>
    <w:rsid w:val="00827CCD"/>
    <w:rsid w:val="00830181"/>
    <w:rsid w:val="008302C5"/>
    <w:rsid w:val="0083032C"/>
    <w:rsid w:val="00830767"/>
    <w:rsid w:val="00830AE5"/>
    <w:rsid w:val="00830BA8"/>
    <w:rsid w:val="00830BCA"/>
    <w:rsid w:val="00830C07"/>
    <w:rsid w:val="00831179"/>
    <w:rsid w:val="008314B4"/>
    <w:rsid w:val="008315C4"/>
    <w:rsid w:val="008315EC"/>
    <w:rsid w:val="00831612"/>
    <w:rsid w:val="00831682"/>
    <w:rsid w:val="0083208F"/>
    <w:rsid w:val="00832317"/>
    <w:rsid w:val="008323D3"/>
    <w:rsid w:val="00832862"/>
    <w:rsid w:val="00832AAD"/>
    <w:rsid w:val="00832B51"/>
    <w:rsid w:val="00832BFD"/>
    <w:rsid w:val="00832FCB"/>
    <w:rsid w:val="00833370"/>
    <w:rsid w:val="00833512"/>
    <w:rsid w:val="0083354E"/>
    <w:rsid w:val="0083366D"/>
    <w:rsid w:val="008337DF"/>
    <w:rsid w:val="00834039"/>
    <w:rsid w:val="00834690"/>
    <w:rsid w:val="00834907"/>
    <w:rsid w:val="00834A30"/>
    <w:rsid w:val="00834C05"/>
    <w:rsid w:val="0083505C"/>
    <w:rsid w:val="00835093"/>
    <w:rsid w:val="008355FA"/>
    <w:rsid w:val="00836038"/>
    <w:rsid w:val="008363BC"/>
    <w:rsid w:val="0083679E"/>
    <w:rsid w:val="00836A62"/>
    <w:rsid w:val="00836B36"/>
    <w:rsid w:val="008371C0"/>
    <w:rsid w:val="00837FAE"/>
    <w:rsid w:val="00840AAE"/>
    <w:rsid w:val="00840C32"/>
    <w:rsid w:val="00840CCD"/>
    <w:rsid w:val="00840DBF"/>
    <w:rsid w:val="00840E56"/>
    <w:rsid w:val="00840ED3"/>
    <w:rsid w:val="00841186"/>
    <w:rsid w:val="00841DF2"/>
    <w:rsid w:val="00841FAA"/>
    <w:rsid w:val="00842A6C"/>
    <w:rsid w:val="008431A4"/>
    <w:rsid w:val="00843545"/>
    <w:rsid w:val="00843B02"/>
    <w:rsid w:val="00843C8C"/>
    <w:rsid w:val="00843F22"/>
    <w:rsid w:val="00844737"/>
    <w:rsid w:val="00844825"/>
    <w:rsid w:val="0084496A"/>
    <w:rsid w:val="00844A4C"/>
    <w:rsid w:val="00844F81"/>
    <w:rsid w:val="00845061"/>
    <w:rsid w:val="0084510E"/>
    <w:rsid w:val="008451F0"/>
    <w:rsid w:val="00845614"/>
    <w:rsid w:val="0084573A"/>
    <w:rsid w:val="00845A31"/>
    <w:rsid w:val="00845CCA"/>
    <w:rsid w:val="00845CF4"/>
    <w:rsid w:val="00846585"/>
    <w:rsid w:val="0084678E"/>
    <w:rsid w:val="008469C4"/>
    <w:rsid w:val="00846C93"/>
    <w:rsid w:val="00846E88"/>
    <w:rsid w:val="00847000"/>
    <w:rsid w:val="00847211"/>
    <w:rsid w:val="008473E1"/>
    <w:rsid w:val="0084757E"/>
    <w:rsid w:val="008476F4"/>
    <w:rsid w:val="008477B2"/>
    <w:rsid w:val="00847E7B"/>
    <w:rsid w:val="00847FD5"/>
    <w:rsid w:val="00850403"/>
    <w:rsid w:val="008506D5"/>
    <w:rsid w:val="00850EA0"/>
    <w:rsid w:val="00850FE7"/>
    <w:rsid w:val="008513AB"/>
    <w:rsid w:val="008514A2"/>
    <w:rsid w:val="0085190A"/>
    <w:rsid w:val="00851A52"/>
    <w:rsid w:val="00852001"/>
    <w:rsid w:val="008523AD"/>
    <w:rsid w:val="008523C7"/>
    <w:rsid w:val="0085285D"/>
    <w:rsid w:val="00852A8E"/>
    <w:rsid w:val="00852C04"/>
    <w:rsid w:val="00853154"/>
    <w:rsid w:val="0085331C"/>
    <w:rsid w:val="00853893"/>
    <w:rsid w:val="00853F0C"/>
    <w:rsid w:val="0085424F"/>
    <w:rsid w:val="0085427B"/>
    <w:rsid w:val="008545D4"/>
    <w:rsid w:val="0085498A"/>
    <w:rsid w:val="00854A19"/>
    <w:rsid w:val="00854B5D"/>
    <w:rsid w:val="00855039"/>
    <w:rsid w:val="00855061"/>
    <w:rsid w:val="008552F5"/>
    <w:rsid w:val="00855539"/>
    <w:rsid w:val="00855970"/>
    <w:rsid w:val="00855FF2"/>
    <w:rsid w:val="008561E4"/>
    <w:rsid w:val="00856522"/>
    <w:rsid w:val="008565A2"/>
    <w:rsid w:val="00856718"/>
    <w:rsid w:val="008567F0"/>
    <w:rsid w:val="008569BD"/>
    <w:rsid w:val="00856EEA"/>
    <w:rsid w:val="0085708B"/>
    <w:rsid w:val="00860332"/>
    <w:rsid w:val="008605AA"/>
    <w:rsid w:val="00860786"/>
    <w:rsid w:val="0086078B"/>
    <w:rsid w:val="00860824"/>
    <w:rsid w:val="00860B9A"/>
    <w:rsid w:val="00860BC1"/>
    <w:rsid w:val="00861152"/>
    <w:rsid w:val="00861316"/>
    <w:rsid w:val="008614E0"/>
    <w:rsid w:val="0086189F"/>
    <w:rsid w:val="00861A30"/>
    <w:rsid w:val="00861C58"/>
    <w:rsid w:val="00861EF8"/>
    <w:rsid w:val="008620AD"/>
    <w:rsid w:val="008622D1"/>
    <w:rsid w:val="00862532"/>
    <w:rsid w:val="00862CF7"/>
    <w:rsid w:val="00862E86"/>
    <w:rsid w:val="00862EC0"/>
    <w:rsid w:val="008632C7"/>
    <w:rsid w:val="008632D6"/>
    <w:rsid w:val="00863407"/>
    <w:rsid w:val="008635FF"/>
    <w:rsid w:val="008638FF"/>
    <w:rsid w:val="008639B4"/>
    <w:rsid w:val="008639CD"/>
    <w:rsid w:val="00863C38"/>
    <w:rsid w:val="008640F2"/>
    <w:rsid w:val="008643EB"/>
    <w:rsid w:val="0086447F"/>
    <w:rsid w:val="00864645"/>
    <w:rsid w:val="008646A3"/>
    <w:rsid w:val="00864E7C"/>
    <w:rsid w:val="00865228"/>
    <w:rsid w:val="00865445"/>
    <w:rsid w:val="008655AD"/>
    <w:rsid w:val="00865861"/>
    <w:rsid w:val="00865A76"/>
    <w:rsid w:val="00865B87"/>
    <w:rsid w:val="00865C6D"/>
    <w:rsid w:val="00865EF6"/>
    <w:rsid w:val="008660D6"/>
    <w:rsid w:val="00866114"/>
    <w:rsid w:val="008661FB"/>
    <w:rsid w:val="0086660B"/>
    <w:rsid w:val="00866C92"/>
    <w:rsid w:val="00866CD4"/>
    <w:rsid w:val="00866DC8"/>
    <w:rsid w:val="00867093"/>
    <w:rsid w:val="0086739A"/>
    <w:rsid w:val="00867561"/>
    <w:rsid w:val="00867CCB"/>
    <w:rsid w:val="00867D1A"/>
    <w:rsid w:val="00867D49"/>
    <w:rsid w:val="0087030F"/>
    <w:rsid w:val="0087065D"/>
    <w:rsid w:val="008706D8"/>
    <w:rsid w:val="0087097D"/>
    <w:rsid w:val="00870C60"/>
    <w:rsid w:val="00870CE9"/>
    <w:rsid w:val="00870FD4"/>
    <w:rsid w:val="008710DB"/>
    <w:rsid w:val="0087115F"/>
    <w:rsid w:val="00871F67"/>
    <w:rsid w:val="00872051"/>
    <w:rsid w:val="00872475"/>
    <w:rsid w:val="00872A95"/>
    <w:rsid w:val="00872C64"/>
    <w:rsid w:val="00872C7F"/>
    <w:rsid w:val="00872D3E"/>
    <w:rsid w:val="00873034"/>
    <w:rsid w:val="008730B9"/>
    <w:rsid w:val="00873309"/>
    <w:rsid w:val="0087347D"/>
    <w:rsid w:val="00873504"/>
    <w:rsid w:val="00873B41"/>
    <w:rsid w:val="00873BA4"/>
    <w:rsid w:val="00873E3B"/>
    <w:rsid w:val="00874057"/>
    <w:rsid w:val="008743F3"/>
    <w:rsid w:val="0087462E"/>
    <w:rsid w:val="0087464E"/>
    <w:rsid w:val="0087478F"/>
    <w:rsid w:val="00874913"/>
    <w:rsid w:val="00874B36"/>
    <w:rsid w:val="00874DF5"/>
    <w:rsid w:val="00875000"/>
    <w:rsid w:val="0087507B"/>
    <w:rsid w:val="008750C0"/>
    <w:rsid w:val="00875330"/>
    <w:rsid w:val="00875523"/>
    <w:rsid w:val="008758BF"/>
    <w:rsid w:val="00875E7A"/>
    <w:rsid w:val="008760B2"/>
    <w:rsid w:val="008767E4"/>
    <w:rsid w:val="0087688F"/>
    <w:rsid w:val="008769C2"/>
    <w:rsid w:val="00876AE8"/>
    <w:rsid w:val="00876DAD"/>
    <w:rsid w:val="0087713F"/>
    <w:rsid w:val="00877182"/>
    <w:rsid w:val="00877622"/>
    <w:rsid w:val="008777ED"/>
    <w:rsid w:val="008778E9"/>
    <w:rsid w:val="008778EA"/>
    <w:rsid w:val="0087796B"/>
    <w:rsid w:val="00877BBC"/>
    <w:rsid w:val="00880153"/>
    <w:rsid w:val="00880293"/>
    <w:rsid w:val="00880481"/>
    <w:rsid w:val="00880563"/>
    <w:rsid w:val="00880581"/>
    <w:rsid w:val="0088060C"/>
    <w:rsid w:val="008807EA"/>
    <w:rsid w:val="00880AA1"/>
    <w:rsid w:val="00880ABE"/>
    <w:rsid w:val="00881011"/>
    <w:rsid w:val="00881983"/>
    <w:rsid w:val="00881BD1"/>
    <w:rsid w:val="00882AC4"/>
    <w:rsid w:val="00882B53"/>
    <w:rsid w:val="0088347F"/>
    <w:rsid w:val="008835EA"/>
    <w:rsid w:val="00883693"/>
    <w:rsid w:val="0088387E"/>
    <w:rsid w:val="00883896"/>
    <w:rsid w:val="00883D1D"/>
    <w:rsid w:val="008841F6"/>
    <w:rsid w:val="0088424C"/>
    <w:rsid w:val="0088445A"/>
    <w:rsid w:val="00884A2D"/>
    <w:rsid w:val="00884FED"/>
    <w:rsid w:val="0088507E"/>
    <w:rsid w:val="008854DB"/>
    <w:rsid w:val="008855C9"/>
    <w:rsid w:val="00885A5D"/>
    <w:rsid w:val="0088610B"/>
    <w:rsid w:val="0088610C"/>
    <w:rsid w:val="00886414"/>
    <w:rsid w:val="0088677A"/>
    <w:rsid w:val="008867F1"/>
    <w:rsid w:val="00886888"/>
    <w:rsid w:val="00886C92"/>
    <w:rsid w:val="00886E29"/>
    <w:rsid w:val="00886FB4"/>
    <w:rsid w:val="00886FC1"/>
    <w:rsid w:val="0088726D"/>
    <w:rsid w:val="008872A6"/>
    <w:rsid w:val="00887523"/>
    <w:rsid w:val="008876BF"/>
    <w:rsid w:val="00887AE5"/>
    <w:rsid w:val="00887BCE"/>
    <w:rsid w:val="00887BD1"/>
    <w:rsid w:val="00887DE4"/>
    <w:rsid w:val="00887E05"/>
    <w:rsid w:val="00887F67"/>
    <w:rsid w:val="0089008D"/>
    <w:rsid w:val="008903D7"/>
    <w:rsid w:val="00890411"/>
    <w:rsid w:val="00890628"/>
    <w:rsid w:val="008908BC"/>
    <w:rsid w:val="008908E4"/>
    <w:rsid w:val="00890B3D"/>
    <w:rsid w:val="00890E4C"/>
    <w:rsid w:val="00890E4E"/>
    <w:rsid w:val="00890F0C"/>
    <w:rsid w:val="00890F3B"/>
    <w:rsid w:val="0089139A"/>
    <w:rsid w:val="00891D2C"/>
    <w:rsid w:val="00891DAE"/>
    <w:rsid w:val="00891F61"/>
    <w:rsid w:val="00892667"/>
    <w:rsid w:val="00892727"/>
    <w:rsid w:val="008928EF"/>
    <w:rsid w:val="00892DE9"/>
    <w:rsid w:val="008930C3"/>
    <w:rsid w:val="008932D7"/>
    <w:rsid w:val="00893943"/>
    <w:rsid w:val="00893DAD"/>
    <w:rsid w:val="00893F52"/>
    <w:rsid w:val="008941E1"/>
    <w:rsid w:val="008944D9"/>
    <w:rsid w:val="00894866"/>
    <w:rsid w:val="00894AED"/>
    <w:rsid w:val="00894D25"/>
    <w:rsid w:val="008956B0"/>
    <w:rsid w:val="0089574E"/>
    <w:rsid w:val="00895C81"/>
    <w:rsid w:val="00895CF1"/>
    <w:rsid w:val="0089626F"/>
    <w:rsid w:val="0089629A"/>
    <w:rsid w:val="00896FB0"/>
    <w:rsid w:val="00897377"/>
    <w:rsid w:val="00897385"/>
    <w:rsid w:val="00897487"/>
    <w:rsid w:val="008974F9"/>
    <w:rsid w:val="0089780E"/>
    <w:rsid w:val="008A0C07"/>
    <w:rsid w:val="008A0E67"/>
    <w:rsid w:val="008A119B"/>
    <w:rsid w:val="008A137C"/>
    <w:rsid w:val="008A1816"/>
    <w:rsid w:val="008A1EA7"/>
    <w:rsid w:val="008A2145"/>
    <w:rsid w:val="008A247A"/>
    <w:rsid w:val="008A2A0B"/>
    <w:rsid w:val="008A2C51"/>
    <w:rsid w:val="008A2E73"/>
    <w:rsid w:val="008A32F9"/>
    <w:rsid w:val="008A3506"/>
    <w:rsid w:val="008A394E"/>
    <w:rsid w:val="008A3EBF"/>
    <w:rsid w:val="008A4138"/>
    <w:rsid w:val="008A4225"/>
    <w:rsid w:val="008A429A"/>
    <w:rsid w:val="008A4851"/>
    <w:rsid w:val="008A4BE3"/>
    <w:rsid w:val="008A4D82"/>
    <w:rsid w:val="008A51A8"/>
    <w:rsid w:val="008A523F"/>
    <w:rsid w:val="008A5522"/>
    <w:rsid w:val="008A5834"/>
    <w:rsid w:val="008A59EC"/>
    <w:rsid w:val="008A5AA5"/>
    <w:rsid w:val="008A5D45"/>
    <w:rsid w:val="008A5E01"/>
    <w:rsid w:val="008A616A"/>
    <w:rsid w:val="008A6497"/>
    <w:rsid w:val="008A6571"/>
    <w:rsid w:val="008A70AA"/>
    <w:rsid w:val="008A784B"/>
    <w:rsid w:val="008A7B4B"/>
    <w:rsid w:val="008A7B5C"/>
    <w:rsid w:val="008A7C8A"/>
    <w:rsid w:val="008A7CF6"/>
    <w:rsid w:val="008B0294"/>
    <w:rsid w:val="008B04BE"/>
    <w:rsid w:val="008B05D6"/>
    <w:rsid w:val="008B09B5"/>
    <w:rsid w:val="008B0A4C"/>
    <w:rsid w:val="008B0C2A"/>
    <w:rsid w:val="008B12AB"/>
    <w:rsid w:val="008B12F1"/>
    <w:rsid w:val="008B1467"/>
    <w:rsid w:val="008B147C"/>
    <w:rsid w:val="008B1575"/>
    <w:rsid w:val="008B1627"/>
    <w:rsid w:val="008B1A60"/>
    <w:rsid w:val="008B1C77"/>
    <w:rsid w:val="008B2479"/>
    <w:rsid w:val="008B263F"/>
    <w:rsid w:val="008B29C1"/>
    <w:rsid w:val="008B29ED"/>
    <w:rsid w:val="008B2C84"/>
    <w:rsid w:val="008B3566"/>
    <w:rsid w:val="008B3610"/>
    <w:rsid w:val="008B3729"/>
    <w:rsid w:val="008B38ED"/>
    <w:rsid w:val="008B3954"/>
    <w:rsid w:val="008B46BC"/>
    <w:rsid w:val="008B49BA"/>
    <w:rsid w:val="008B49DA"/>
    <w:rsid w:val="008B4C5C"/>
    <w:rsid w:val="008B5C51"/>
    <w:rsid w:val="008B60F9"/>
    <w:rsid w:val="008B6373"/>
    <w:rsid w:val="008B63FE"/>
    <w:rsid w:val="008B65B9"/>
    <w:rsid w:val="008B6945"/>
    <w:rsid w:val="008B6964"/>
    <w:rsid w:val="008B6A33"/>
    <w:rsid w:val="008B6DB9"/>
    <w:rsid w:val="008B743A"/>
    <w:rsid w:val="008B7579"/>
    <w:rsid w:val="008B7B7E"/>
    <w:rsid w:val="008B7CD2"/>
    <w:rsid w:val="008B7EF4"/>
    <w:rsid w:val="008C0241"/>
    <w:rsid w:val="008C03FF"/>
    <w:rsid w:val="008C052F"/>
    <w:rsid w:val="008C06A5"/>
    <w:rsid w:val="008C0B70"/>
    <w:rsid w:val="008C1311"/>
    <w:rsid w:val="008C1879"/>
    <w:rsid w:val="008C1DF1"/>
    <w:rsid w:val="008C2013"/>
    <w:rsid w:val="008C235F"/>
    <w:rsid w:val="008C2675"/>
    <w:rsid w:val="008C2BFF"/>
    <w:rsid w:val="008C2C06"/>
    <w:rsid w:val="008C2CD0"/>
    <w:rsid w:val="008C2D5A"/>
    <w:rsid w:val="008C2F08"/>
    <w:rsid w:val="008C2F30"/>
    <w:rsid w:val="008C3003"/>
    <w:rsid w:val="008C3317"/>
    <w:rsid w:val="008C36B7"/>
    <w:rsid w:val="008C3F14"/>
    <w:rsid w:val="008C40AE"/>
    <w:rsid w:val="008C4AB7"/>
    <w:rsid w:val="008C4B53"/>
    <w:rsid w:val="008C4EBD"/>
    <w:rsid w:val="008C4F06"/>
    <w:rsid w:val="008C522C"/>
    <w:rsid w:val="008C5381"/>
    <w:rsid w:val="008C5632"/>
    <w:rsid w:val="008C5635"/>
    <w:rsid w:val="008C5659"/>
    <w:rsid w:val="008C56D4"/>
    <w:rsid w:val="008C5A42"/>
    <w:rsid w:val="008C5B15"/>
    <w:rsid w:val="008C5BA0"/>
    <w:rsid w:val="008C6791"/>
    <w:rsid w:val="008C67DE"/>
    <w:rsid w:val="008C6C33"/>
    <w:rsid w:val="008C700D"/>
    <w:rsid w:val="008C70B3"/>
    <w:rsid w:val="008C7156"/>
    <w:rsid w:val="008C7187"/>
    <w:rsid w:val="008C739E"/>
    <w:rsid w:val="008C73D2"/>
    <w:rsid w:val="008C78B5"/>
    <w:rsid w:val="008C7B88"/>
    <w:rsid w:val="008D0574"/>
    <w:rsid w:val="008D0639"/>
    <w:rsid w:val="008D082B"/>
    <w:rsid w:val="008D0A52"/>
    <w:rsid w:val="008D0A95"/>
    <w:rsid w:val="008D14B8"/>
    <w:rsid w:val="008D17B5"/>
    <w:rsid w:val="008D1D15"/>
    <w:rsid w:val="008D1E9B"/>
    <w:rsid w:val="008D24BB"/>
    <w:rsid w:val="008D26B3"/>
    <w:rsid w:val="008D2901"/>
    <w:rsid w:val="008D2B1D"/>
    <w:rsid w:val="008D349C"/>
    <w:rsid w:val="008D3617"/>
    <w:rsid w:val="008D3756"/>
    <w:rsid w:val="008D3759"/>
    <w:rsid w:val="008D3767"/>
    <w:rsid w:val="008D377C"/>
    <w:rsid w:val="008D37FF"/>
    <w:rsid w:val="008D38FE"/>
    <w:rsid w:val="008D3B08"/>
    <w:rsid w:val="008D3B7F"/>
    <w:rsid w:val="008D3BD8"/>
    <w:rsid w:val="008D3C7E"/>
    <w:rsid w:val="008D3EF6"/>
    <w:rsid w:val="008D464A"/>
    <w:rsid w:val="008D470A"/>
    <w:rsid w:val="008D4A5F"/>
    <w:rsid w:val="008D4D9D"/>
    <w:rsid w:val="008D5144"/>
    <w:rsid w:val="008D5473"/>
    <w:rsid w:val="008D54EB"/>
    <w:rsid w:val="008D561A"/>
    <w:rsid w:val="008D59F5"/>
    <w:rsid w:val="008D5C9C"/>
    <w:rsid w:val="008D5D17"/>
    <w:rsid w:val="008D60EC"/>
    <w:rsid w:val="008D61B8"/>
    <w:rsid w:val="008D63A4"/>
    <w:rsid w:val="008D6929"/>
    <w:rsid w:val="008D6A34"/>
    <w:rsid w:val="008D6F52"/>
    <w:rsid w:val="008D76D7"/>
    <w:rsid w:val="008D7AB3"/>
    <w:rsid w:val="008E02D7"/>
    <w:rsid w:val="008E0301"/>
    <w:rsid w:val="008E05C0"/>
    <w:rsid w:val="008E092C"/>
    <w:rsid w:val="008E0B08"/>
    <w:rsid w:val="008E0FE9"/>
    <w:rsid w:val="008E1029"/>
    <w:rsid w:val="008E1211"/>
    <w:rsid w:val="008E12FD"/>
    <w:rsid w:val="008E14EE"/>
    <w:rsid w:val="008E15D2"/>
    <w:rsid w:val="008E1DDE"/>
    <w:rsid w:val="008E223D"/>
    <w:rsid w:val="008E22FA"/>
    <w:rsid w:val="008E29EF"/>
    <w:rsid w:val="008E2C77"/>
    <w:rsid w:val="008E2E28"/>
    <w:rsid w:val="008E2E6E"/>
    <w:rsid w:val="008E3020"/>
    <w:rsid w:val="008E34B0"/>
    <w:rsid w:val="008E35B3"/>
    <w:rsid w:val="008E3976"/>
    <w:rsid w:val="008E3DD5"/>
    <w:rsid w:val="008E3F78"/>
    <w:rsid w:val="008E47F8"/>
    <w:rsid w:val="008E521C"/>
    <w:rsid w:val="008E5542"/>
    <w:rsid w:val="008E565C"/>
    <w:rsid w:val="008E58B7"/>
    <w:rsid w:val="008E5955"/>
    <w:rsid w:val="008E59B7"/>
    <w:rsid w:val="008E5BA3"/>
    <w:rsid w:val="008E64B3"/>
    <w:rsid w:val="008E66B3"/>
    <w:rsid w:val="008E6A6A"/>
    <w:rsid w:val="008E7436"/>
    <w:rsid w:val="008E7630"/>
    <w:rsid w:val="008E7887"/>
    <w:rsid w:val="008E7BAF"/>
    <w:rsid w:val="008E7BEE"/>
    <w:rsid w:val="008E7D97"/>
    <w:rsid w:val="008F008F"/>
    <w:rsid w:val="008F0392"/>
    <w:rsid w:val="008F0567"/>
    <w:rsid w:val="008F0602"/>
    <w:rsid w:val="008F0816"/>
    <w:rsid w:val="008F0896"/>
    <w:rsid w:val="008F0B37"/>
    <w:rsid w:val="008F118B"/>
    <w:rsid w:val="008F1B25"/>
    <w:rsid w:val="008F221D"/>
    <w:rsid w:val="008F2501"/>
    <w:rsid w:val="008F2512"/>
    <w:rsid w:val="008F25EA"/>
    <w:rsid w:val="008F2F72"/>
    <w:rsid w:val="008F313B"/>
    <w:rsid w:val="008F333E"/>
    <w:rsid w:val="008F3518"/>
    <w:rsid w:val="008F3591"/>
    <w:rsid w:val="008F3B2B"/>
    <w:rsid w:val="008F3B3C"/>
    <w:rsid w:val="008F3CB6"/>
    <w:rsid w:val="008F3D92"/>
    <w:rsid w:val="008F3DBD"/>
    <w:rsid w:val="008F3E9A"/>
    <w:rsid w:val="008F3F19"/>
    <w:rsid w:val="008F407D"/>
    <w:rsid w:val="008F41CB"/>
    <w:rsid w:val="008F43DF"/>
    <w:rsid w:val="008F480A"/>
    <w:rsid w:val="008F4903"/>
    <w:rsid w:val="008F495D"/>
    <w:rsid w:val="008F49E8"/>
    <w:rsid w:val="008F4E7E"/>
    <w:rsid w:val="008F500C"/>
    <w:rsid w:val="008F57C9"/>
    <w:rsid w:val="008F5858"/>
    <w:rsid w:val="008F5A12"/>
    <w:rsid w:val="008F5D47"/>
    <w:rsid w:val="008F601D"/>
    <w:rsid w:val="008F635F"/>
    <w:rsid w:val="008F6380"/>
    <w:rsid w:val="008F6750"/>
    <w:rsid w:val="008F687A"/>
    <w:rsid w:val="008F6BB1"/>
    <w:rsid w:val="008F6E5F"/>
    <w:rsid w:val="008F6EB7"/>
    <w:rsid w:val="008F6ECA"/>
    <w:rsid w:val="008F7504"/>
    <w:rsid w:val="008F7DC1"/>
    <w:rsid w:val="00900099"/>
    <w:rsid w:val="009002A0"/>
    <w:rsid w:val="009004AC"/>
    <w:rsid w:val="00900592"/>
    <w:rsid w:val="0090060B"/>
    <w:rsid w:val="00900961"/>
    <w:rsid w:val="0090098F"/>
    <w:rsid w:val="00900BD6"/>
    <w:rsid w:val="00900D69"/>
    <w:rsid w:val="00901062"/>
    <w:rsid w:val="009010D7"/>
    <w:rsid w:val="00901109"/>
    <w:rsid w:val="00901174"/>
    <w:rsid w:val="009018AC"/>
    <w:rsid w:val="00901E55"/>
    <w:rsid w:val="00901E94"/>
    <w:rsid w:val="00901F3E"/>
    <w:rsid w:val="00901F4B"/>
    <w:rsid w:val="009021A6"/>
    <w:rsid w:val="00902371"/>
    <w:rsid w:val="00902522"/>
    <w:rsid w:val="009026D9"/>
    <w:rsid w:val="0090283B"/>
    <w:rsid w:val="009029B6"/>
    <w:rsid w:val="00902F05"/>
    <w:rsid w:val="009032E6"/>
    <w:rsid w:val="009033F6"/>
    <w:rsid w:val="009035D2"/>
    <w:rsid w:val="009036AE"/>
    <w:rsid w:val="009038D3"/>
    <w:rsid w:val="00903DA1"/>
    <w:rsid w:val="00903DFB"/>
    <w:rsid w:val="00903F4A"/>
    <w:rsid w:val="0090403E"/>
    <w:rsid w:val="00904446"/>
    <w:rsid w:val="00904614"/>
    <w:rsid w:val="00904796"/>
    <w:rsid w:val="00904C17"/>
    <w:rsid w:val="009050E4"/>
    <w:rsid w:val="0090550B"/>
    <w:rsid w:val="00905742"/>
    <w:rsid w:val="009058FA"/>
    <w:rsid w:val="00905CFD"/>
    <w:rsid w:val="00905EC5"/>
    <w:rsid w:val="00905F9E"/>
    <w:rsid w:val="009060A7"/>
    <w:rsid w:val="0090669F"/>
    <w:rsid w:val="00906868"/>
    <w:rsid w:val="00906B5C"/>
    <w:rsid w:val="00906C04"/>
    <w:rsid w:val="00906C2E"/>
    <w:rsid w:val="00907002"/>
    <w:rsid w:val="009072F1"/>
    <w:rsid w:val="00907601"/>
    <w:rsid w:val="00907634"/>
    <w:rsid w:val="009076FA"/>
    <w:rsid w:val="00907986"/>
    <w:rsid w:val="00907993"/>
    <w:rsid w:val="00907D77"/>
    <w:rsid w:val="0091006E"/>
    <w:rsid w:val="009105CD"/>
    <w:rsid w:val="00910640"/>
    <w:rsid w:val="0091094F"/>
    <w:rsid w:val="00910B2A"/>
    <w:rsid w:val="00910CAC"/>
    <w:rsid w:val="00910E05"/>
    <w:rsid w:val="0091116D"/>
    <w:rsid w:val="009111C6"/>
    <w:rsid w:val="00911C42"/>
    <w:rsid w:val="00911E8C"/>
    <w:rsid w:val="00912771"/>
    <w:rsid w:val="00912799"/>
    <w:rsid w:val="00912A79"/>
    <w:rsid w:val="00912C34"/>
    <w:rsid w:val="00912DA1"/>
    <w:rsid w:val="00912FA8"/>
    <w:rsid w:val="009134AC"/>
    <w:rsid w:val="00913909"/>
    <w:rsid w:val="009141A1"/>
    <w:rsid w:val="009145CB"/>
    <w:rsid w:val="0091487A"/>
    <w:rsid w:val="00914997"/>
    <w:rsid w:val="00914B3D"/>
    <w:rsid w:val="00914CDF"/>
    <w:rsid w:val="00914DA3"/>
    <w:rsid w:val="00914DDD"/>
    <w:rsid w:val="00914F5B"/>
    <w:rsid w:val="0091513A"/>
    <w:rsid w:val="00915159"/>
    <w:rsid w:val="00915650"/>
    <w:rsid w:val="009162D9"/>
    <w:rsid w:val="009165BB"/>
    <w:rsid w:val="009167F9"/>
    <w:rsid w:val="00916825"/>
    <w:rsid w:val="00916922"/>
    <w:rsid w:val="00916C67"/>
    <w:rsid w:val="00917037"/>
    <w:rsid w:val="0091778C"/>
    <w:rsid w:val="00917804"/>
    <w:rsid w:val="00917876"/>
    <w:rsid w:val="00917897"/>
    <w:rsid w:val="00917AF4"/>
    <w:rsid w:val="00917B7F"/>
    <w:rsid w:val="00917CD8"/>
    <w:rsid w:val="009208D8"/>
    <w:rsid w:val="00920BBE"/>
    <w:rsid w:val="009210A0"/>
    <w:rsid w:val="009214DA"/>
    <w:rsid w:val="00921733"/>
    <w:rsid w:val="009219EC"/>
    <w:rsid w:val="00921FD6"/>
    <w:rsid w:val="00922376"/>
    <w:rsid w:val="00922729"/>
    <w:rsid w:val="00922860"/>
    <w:rsid w:val="00922C5E"/>
    <w:rsid w:val="00922D23"/>
    <w:rsid w:val="009236BD"/>
    <w:rsid w:val="00923721"/>
    <w:rsid w:val="00923E22"/>
    <w:rsid w:val="00924211"/>
    <w:rsid w:val="00924876"/>
    <w:rsid w:val="009248AE"/>
    <w:rsid w:val="00924B3F"/>
    <w:rsid w:val="00924D9B"/>
    <w:rsid w:val="0092501F"/>
    <w:rsid w:val="009255EB"/>
    <w:rsid w:val="00925769"/>
    <w:rsid w:val="0092583C"/>
    <w:rsid w:val="00925A57"/>
    <w:rsid w:val="00925B62"/>
    <w:rsid w:val="00925EC7"/>
    <w:rsid w:val="00925F41"/>
    <w:rsid w:val="00925F71"/>
    <w:rsid w:val="009261F8"/>
    <w:rsid w:val="009262B4"/>
    <w:rsid w:val="009263F2"/>
    <w:rsid w:val="009265E1"/>
    <w:rsid w:val="009269C8"/>
    <w:rsid w:val="00926D59"/>
    <w:rsid w:val="00926F2B"/>
    <w:rsid w:val="00927B9E"/>
    <w:rsid w:val="00927C81"/>
    <w:rsid w:val="00927CED"/>
    <w:rsid w:val="00927D86"/>
    <w:rsid w:val="009300CE"/>
    <w:rsid w:val="00930114"/>
    <w:rsid w:val="00930580"/>
    <w:rsid w:val="00930E12"/>
    <w:rsid w:val="00930ECE"/>
    <w:rsid w:val="00931632"/>
    <w:rsid w:val="0093184B"/>
    <w:rsid w:val="00931A72"/>
    <w:rsid w:val="00931B8B"/>
    <w:rsid w:val="00931F7A"/>
    <w:rsid w:val="0093232F"/>
    <w:rsid w:val="0093244C"/>
    <w:rsid w:val="00932E9E"/>
    <w:rsid w:val="00933075"/>
    <w:rsid w:val="009331B4"/>
    <w:rsid w:val="0093331D"/>
    <w:rsid w:val="00933463"/>
    <w:rsid w:val="00933791"/>
    <w:rsid w:val="00933B4B"/>
    <w:rsid w:val="009342E7"/>
    <w:rsid w:val="009345D8"/>
    <w:rsid w:val="009345E9"/>
    <w:rsid w:val="00934754"/>
    <w:rsid w:val="00934B62"/>
    <w:rsid w:val="00934BEF"/>
    <w:rsid w:val="00934CF9"/>
    <w:rsid w:val="00935625"/>
    <w:rsid w:val="00935B42"/>
    <w:rsid w:val="00935EFD"/>
    <w:rsid w:val="00936235"/>
    <w:rsid w:val="0093639E"/>
    <w:rsid w:val="0093656E"/>
    <w:rsid w:val="00936CC9"/>
    <w:rsid w:val="00936CE7"/>
    <w:rsid w:val="00936E49"/>
    <w:rsid w:val="00936E89"/>
    <w:rsid w:val="00937D24"/>
    <w:rsid w:val="00937F0D"/>
    <w:rsid w:val="0094007A"/>
    <w:rsid w:val="009401F0"/>
    <w:rsid w:val="0094035F"/>
    <w:rsid w:val="0094049B"/>
    <w:rsid w:val="00940594"/>
    <w:rsid w:val="0094084A"/>
    <w:rsid w:val="0094132B"/>
    <w:rsid w:val="00941566"/>
    <w:rsid w:val="009415C3"/>
    <w:rsid w:val="00941B1E"/>
    <w:rsid w:val="009420C0"/>
    <w:rsid w:val="00942280"/>
    <w:rsid w:val="009423C4"/>
    <w:rsid w:val="00942EB2"/>
    <w:rsid w:val="009430B5"/>
    <w:rsid w:val="0094339F"/>
    <w:rsid w:val="00943446"/>
    <w:rsid w:val="00943705"/>
    <w:rsid w:val="00943C11"/>
    <w:rsid w:val="00943F56"/>
    <w:rsid w:val="0094423C"/>
    <w:rsid w:val="009443CF"/>
    <w:rsid w:val="0094440A"/>
    <w:rsid w:val="00944602"/>
    <w:rsid w:val="0094472E"/>
    <w:rsid w:val="00944827"/>
    <w:rsid w:val="00944DAE"/>
    <w:rsid w:val="0094571E"/>
    <w:rsid w:val="00945BCF"/>
    <w:rsid w:val="00945CD1"/>
    <w:rsid w:val="00945E9C"/>
    <w:rsid w:val="0094602A"/>
    <w:rsid w:val="00946231"/>
    <w:rsid w:val="0094660D"/>
    <w:rsid w:val="00946922"/>
    <w:rsid w:val="00946D37"/>
    <w:rsid w:val="00946D9B"/>
    <w:rsid w:val="00946FF7"/>
    <w:rsid w:val="009472E7"/>
    <w:rsid w:val="0094732C"/>
    <w:rsid w:val="0094736A"/>
    <w:rsid w:val="00947AE9"/>
    <w:rsid w:val="00947E92"/>
    <w:rsid w:val="00947EFB"/>
    <w:rsid w:val="009501E5"/>
    <w:rsid w:val="0095023A"/>
    <w:rsid w:val="00950326"/>
    <w:rsid w:val="009508AF"/>
    <w:rsid w:val="00950932"/>
    <w:rsid w:val="009509E4"/>
    <w:rsid w:val="00950D6D"/>
    <w:rsid w:val="00950EC0"/>
    <w:rsid w:val="00950F6D"/>
    <w:rsid w:val="00950FEB"/>
    <w:rsid w:val="009510D3"/>
    <w:rsid w:val="009513C8"/>
    <w:rsid w:val="009514F1"/>
    <w:rsid w:val="009515E5"/>
    <w:rsid w:val="0095160E"/>
    <w:rsid w:val="00951652"/>
    <w:rsid w:val="0095184A"/>
    <w:rsid w:val="009519D5"/>
    <w:rsid w:val="00952088"/>
    <w:rsid w:val="009525A6"/>
    <w:rsid w:val="00952649"/>
    <w:rsid w:val="00952912"/>
    <w:rsid w:val="009530E1"/>
    <w:rsid w:val="00953288"/>
    <w:rsid w:val="009532EC"/>
    <w:rsid w:val="0095359E"/>
    <w:rsid w:val="009535E8"/>
    <w:rsid w:val="00953AAC"/>
    <w:rsid w:val="00953ABE"/>
    <w:rsid w:val="00953CFA"/>
    <w:rsid w:val="00953D34"/>
    <w:rsid w:val="00953E5D"/>
    <w:rsid w:val="00953E90"/>
    <w:rsid w:val="00954458"/>
    <w:rsid w:val="009544AF"/>
    <w:rsid w:val="00954987"/>
    <w:rsid w:val="00954E37"/>
    <w:rsid w:val="009553B5"/>
    <w:rsid w:val="00955933"/>
    <w:rsid w:val="00955A65"/>
    <w:rsid w:val="00955B93"/>
    <w:rsid w:val="00955BE3"/>
    <w:rsid w:val="00955C18"/>
    <w:rsid w:val="00955D37"/>
    <w:rsid w:val="00955D97"/>
    <w:rsid w:val="00956008"/>
    <w:rsid w:val="009561AF"/>
    <w:rsid w:val="009561F8"/>
    <w:rsid w:val="00956833"/>
    <w:rsid w:val="009568AA"/>
    <w:rsid w:val="00956975"/>
    <w:rsid w:val="00957269"/>
    <w:rsid w:val="00957675"/>
    <w:rsid w:val="00957840"/>
    <w:rsid w:val="009578AF"/>
    <w:rsid w:val="00957C47"/>
    <w:rsid w:val="00960067"/>
    <w:rsid w:val="0096058E"/>
    <w:rsid w:val="009607BB"/>
    <w:rsid w:val="00960ACE"/>
    <w:rsid w:val="00960CFC"/>
    <w:rsid w:val="00960E1A"/>
    <w:rsid w:val="009613F1"/>
    <w:rsid w:val="00961C0E"/>
    <w:rsid w:val="00961D0A"/>
    <w:rsid w:val="00961E6F"/>
    <w:rsid w:val="00961E8F"/>
    <w:rsid w:val="0096218E"/>
    <w:rsid w:val="00962531"/>
    <w:rsid w:val="00962A39"/>
    <w:rsid w:val="00962A57"/>
    <w:rsid w:val="00962CDF"/>
    <w:rsid w:val="00962E15"/>
    <w:rsid w:val="00962F1E"/>
    <w:rsid w:val="009630DC"/>
    <w:rsid w:val="009631D6"/>
    <w:rsid w:val="00963483"/>
    <w:rsid w:val="009639B0"/>
    <w:rsid w:val="00963C0C"/>
    <w:rsid w:val="00963F1C"/>
    <w:rsid w:val="00964125"/>
    <w:rsid w:val="009641B1"/>
    <w:rsid w:val="00964299"/>
    <w:rsid w:val="0096448B"/>
    <w:rsid w:val="00964872"/>
    <w:rsid w:val="009648CE"/>
    <w:rsid w:val="00964BC5"/>
    <w:rsid w:val="00964D96"/>
    <w:rsid w:val="00964E0A"/>
    <w:rsid w:val="00964E11"/>
    <w:rsid w:val="00965077"/>
    <w:rsid w:val="009651ED"/>
    <w:rsid w:val="00965685"/>
    <w:rsid w:val="00965A7F"/>
    <w:rsid w:val="00965AA3"/>
    <w:rsid w:val="00966404"/>
    <w:rsid w:val="0096756B"/>
    <w:rsid w:val="009676C3"/>
    <w:rsid w:val="00967709"/>
    <w:rsid w:val="00967747"/>
    <w:rsid w:val="009703BB"/>
    <w:rsid w:val="00970503"/>
    <w:rsid w:val="0097056C"/>
    <w:rsid w:val="00970795"/>
    <w:rsid w:val="009708C2"/>
    <w:rsid w:val="00970A99"/>
    <w:rsid w:val="00970BCA"/>
    <w:rsid w:val="00970C03"/>
    <w:rsid w:val="00970E57"/>
    <w:rsid w:val="00971159"/>
    <w:rsid w:val="00971E10"/>
    <w:rsid w:val="00971ED5"/>
    <w:rsid w:val="00972283"/>
    <w:rsid w:val="00972356"/>
    <w:rsid w:val="009725C1"/>
    <w:rsid w:val="00972612"/>
    <w:rsid w:val="00972676"/>
    <w:rsid w:val="009727D8"/>
    <w:rsid w:val="00972BC7"/>
    <w:rsid w:val="00972CDC"/>
    <w:rsid w:val="00973271"/>
    <w:rsid w:val="009736A6"/>
    <w:rsid w:val="00973A31"/>
    <w:rsid w:val="00973A7B"/>
    <w:rsid w:val="00973AA0"/>
    <w:rsid w:val="00973B4F"/>
    <w:rsid w:val="009741B3"/>
    <w:rsid w:val="009746AA"/>
    <w:rsid w:val="009748EA"/>
    <w:rsid w:val="00974CF0"/>
    <w:rsid w:val="00974D74"/>
    <w:rsid w:val="00974E2F"/>
    <w:rsid w:val="00974F45"/>
    <w:rsid w:val="0097508F"/>
    <w:rsid w:val="00975098"/>
    <w:rsid w:val="009750BA"/>
    <w:rsid w:val="009752F1"/>
    <w:rsid w:val="00975462"/>
    <w:rsid w:val="009754B5"/>
    <w:rsid w:val="00975A48"/>
    <w:rsid w:val="00975C51"/>
    <w:rsid w:val="00975C56"/>
    <w:rsid w:val="00975E7B"/>
    <w:rsid w:val="0097601F"/>
    <w:rsid w:val="00976330"/>
    <w:rsid w:val="009763A7"/>
    <w:rsid w:val="009764DD"/>
    <w:rsid w:val="009764EC"/>
    <w:rsid w:val="009767E8"/>
    <w:rsid w:val="0097697C"/>
    <w:rsid w:val="00976A46"/>
    <w:rsid w:val="00976A4D"/>
    <w:rsid w:val="00976EC9"/>
    <w:rsid w:val="00977171"/>
    <w:rsid w:val="00977377"/>
    <w:rsid w:val="00977661"/>
    <w:rsid w:val="00977978"/>
    <w:rsid w:val="00977F72"/>
    <w:rsid w:val="0098020B"/>
    <w:rsid w:val="009805A1"/>
    <w:rsid w:val="00980662"/>
    <w:rsid w:val="009808F2"/>
    <w:rsid w:val="009809A8"/>
    <w:rsid w:val="00980A7A"/>
    <w:rsid w:val="00980B19"/>
    <w:rsid w:val="00980E47"/>
    <w:rsid w:val="0098184B"/>
    <w:rsid w:val="00981C3E"/>
    <w:rsid w:val="00981DCA"/>
    <w:rsid w:val="00981E1D"/>
    <w:rsid w:val="00982157"/>
    <w:rsid w:val="009822FE"/>
    <w:rsid w:val="00982408"/>
    <w:rsid w:val="00982439"/>
    <w:rsid w:val="00982515"/>
    <w:rsid w:val="00982710"/>
    <w:rsid w:val="00982AC0"/>
    <w:rsid w:val="00982C71"/>
    <w:rsid w:val="009831DF"/>
    <w:rsid w:val="00983513"/>
    <w:rsid w:val="009838DE"/>
    <w:rsid w:val="00983AB8"/>
    <w:rsid w:val="00983B8E"/>
    <w:rsid w:val="00983D67"/>
    <w:rsid w:val="00983E75"/>
    <w:rsid w:val="009843FA"/>
    <w:rsid w:val="00984513"/>
    <w:rsid w:val="0098483A"/>
    <w:rsid w:val="00984D1E"/>
    <w:rsid w:val="00985398"/>
    <w:rsid w:val="00985415"/>
    <w:rsid w:val="00985498"/>
    <w:rsid w:val="0098559A"/>
    <w:rsid w:val="0098592E"/>
    <w:rsid w:val="009859C9"/>
    <w:rsid w:val="009859DF"/>
    <w:rsid w:val="00985C2D"/>
    <w:rsid w:val="00985CBE"/>
    <w:rsid w:val="00985D29"/>
    <w:rsid w:val="00985EC1"/>
    <w:rsid w:val="00985FA3"/>
    <w:rsid w:val="00986168"/>
    <w:rsid w:val="0098619A"/>
    <w:rsid w:val="00986484"/>
    <w:rsid w:val="009864F1"/>
    <w:rsid w:val="0098656D"/>
    <w:rsid w:val="00986645"/>
    <w:rsid w:val="00986B31"/>
    <w:rsid w:val="00986B67"/>
    <w:rsid w:val="00986C91"/>
    <w:rsid w:val="00986D4A"/>
    <w:rsid w:val="00986E04"/>
    <w:rsid w:val="00986E80"/>
    <w:rsid w:val="009871D1"/>
    <w:rsid w:val="00987223"/>
    <w:rsid w:val="00987543"/>
    <w:rsid w:val="00987564"/>
    <w:rsid w:val="00987609"/>
    <w:rsid w:val="00987840"/>
    <w:rsid w:val="009878E4"/>
    <w:rsid w:val="00987E68"/>
    <w:rsid w:val="00987E99"/>
    <w:rsid w:val="009902C3"/>
    <w:rsid w:val="0099035D"/>
    <w:rsid w:val="009906D1"/>
    <w:rsid w:val="00990D36"/>
    <w:rsid w:val="00990D7F"/>
    <w:rsid w:val="0099138B"/>
    <w:rsid w:val="009913B9"/>
    <w:rsid w:val="00991427"/>
    <w:rsid w:val="0099142B"/>
    <w:rsid w:val="009916EF"/>
    <w:rsid w:val="00991745"/>
    <w:rsid w:val="00991898"/>
    <w:rsid w:val="00991921"/>
    <w:rsid w:val="009932FD"/>
    <w:rsid w:val="0099345C"/>
    <w:rsid w:val="0099385D"/>
    <w:rsid w:val="00993C51"/>
    <w:rsid w:val="00993E8D"/>
    <w:rsid w:val="009944EA"/>
    <w:rsid w:val="00994655"/>
    <w:rsid w:val="00994685"/>
    <w:rsid w:val="00994AEC"/>
    <w:rsid w:val="00994B9B"/>
    <w:rsid w:val="00994C1C"/>
    <w:rsid w:val="00994CB4"/>
    <w:rsid w:val="009953A7"/>
    <w:rsid w:val="009956E7"/>
    <w:rsid w:val="0099598A"/>
    <w:rsid w:val="00995DBC"/>
    <w:rsid w:val="0099643D"/>
    <w:rsid w:val="00996561"/>
    <w:rsid w:val="009967A0"/>
    <w:rsid w:val="00996819"/>
    <w:rsid w:val="00996902"/>
    <w:rsid w:val="00996B36"/>
    <w:rsid w:val="00996BF0"/>
    <w:rsid w:val="00996E77"/>
    <w:rsid w:val="009970BF"/>
    <w:rsid w:val="00997130"/>
    <w:rsid w:val="0099732B"/>
    <w:rsid w:val="00997336"/>
    <w:rsid w:val="00997385"/>
    <w:rsid w:val="0099739A"/>
    <w:rsid w:val="0099799E"/>
    <w:rsid w:val="00997EE5"/>
    <w:rsid w:val="009A0100"/>
    <w:rsid w:val="009A0748"/>
    <w:rsid w:val="009A0D34"/>
    <w:rsid w:val="009A0EE6"/>
    <w:rsid w:val="009A11C2"/>
    <w:rsid w:val="009A14AE"/>
    <w:rsid w:val="009A17E3"/>
    <w:rsid w:val="009A1946"/>
    <w:rsid w:val="009A1C8B"/>
    <w:rsid w:val="009A1E2F"/>
    <w:rsid w:val="009A1F06"/>
    <w:rsid w:val="009A2555"/>
    <w:rsid w:val="009A291C"/>
    <w:rsid w:val="009A2A03"/>
    <w:rsid w:val="009A2B0F"/>
    <w:rsid w:val="009A2BA1"/>
    <w:rsid w:val="009A2CDA"/>
    <w:rsid w:val="009A317D"/>
    <w:rsid w:val="009A31D3"/>
    <w:rsid w:val="009A3544"/>
    <w:rsid w:val="009A35E9"/>
    <w:rsid w:val="009A38BF"/>
    <w:rsid w:val="009A3D2D"/>
    <w:rsid w:val="009A3F2D"/>
    <w:rsid w:val="009A40DD"/>
    <w:rsid w:val="009A4298"/>
    <w:rsid w:val="009A45AF"/>
    <w:rsid w:val="009A4A88"/>
    <w:rsid w:val="009A4B18"/>
    <w:rsid w:val="009A4B36"/>
    <w:rsid w:val="009A4D46"/>
    <w:rsid w:val="009A518C"/>
    <w:rsid w:val="009A51A8"/>
    <w:rsid w:val="009A52FA"/>
    <w:rsid w:val="009A5380"/>
    <w:rsid w:val="009A5424"/>
    <w:rsid w:val="009A5631"/>
    <w:rsid w:val="009A5A9E"/>
    <w:rsid w:val="009A5CF0"/>
    <w:rsid w:val="009A5D5E"/>
    <w:rsid w:val="009A614B"/>
    <w:rsid w:val="009A6194"/>
    <w:rsid w:val="009A6950"/>
    <w:rsid w:val="009A72CC"/>
    <w:rsid w:val="009A7358"/>
    <w:rsid w:val="009A7D50"/>
    <w:rsid w:val="009B03BD"/>
    <w:rsid w:val="009B0650"/>
    <w:rsid w:val="009B06B7"/>
    <w:rsid w:val="009B0C14"/>
    <w:rsid w:val="009B0D2E"/>
    <w:rsid w:val="009B0D4E"/>
    <w:rsid w:val="009B0F16"/>
    <w:rsid w:val="009B0F40"/>
    <w:rsid w:val="009B16CD"/>
    <w:rsid w:val="009B1766"/>
    <w:rsid w:val="009B18A6"/>
    <w:rsid w:val="009B18BE"/>
    <w:rsid w:val="009B1C58"/>
    <w:rsid w:val="009B1C61"/>
    <w:rsid w:val="009B1D81"/>
    <w:rsid w:val="009B1F2C"/>
    <w:rsid w:val="009B23BA"/>
    <w:rsid w:val="009B2ED9"/>
    <w:rsid w:val="009B2F4B"/>
    <w:rsid w:val="009B3005"/>
    <w:rsid w:val="009B30B5"/>
    <w:rsid w:val="009B3625"/>
    <w:rsid w:val="009B3686"/>
    <w:rsid w:val="009B3DAC"/>
    <w:rsid w:val="009B3E5B"/>
    <w:rsid w:val="009B40CE"/>
    <w:rsid w:val="009B41A9"/>
    <w:rsid w:val="009B43D7"/>
    <w:rsid w:val="009B4467"/>
    <w:rsid w:val="009B494B"/>
    <w:rsid w:val="009B4C25"/>
    <w:rsid w:val="009B5103"/>
    <w:rsid w:val="009B51EA"/>
    <w:rsid w:val="009B547C"/>
    <w:rsid w:val="009B5997"/>
    <w:rsid w:val="009B5C99"/>
    <w:rsid w:val="009B5D37"/>
    <w:rsid w:val="009B5F00"/>
    <w:rsid w:val="009B6168"/>
    <w:rsid w:val="009B6303"/>
    <w:rsid w:val="009B65B8"/>
    <w:rsid w:val="009B6625"/>
    <w:rsid w:val="009B666A"/>
    <w:rsid w:val="009B68AA"/>
    <w:rsid w:val="009B69EA"/>
    <w:rsid w:val="009B6D1D"/>
    <w:rsid w:val="009B6DAA"/>
    <w:rsid w:val="009B6E1C"/>
    <w:rsid w:val="009B6E33"/>
    <w:rsid w:val="009B7394"/>
    <w:rsid w:val="009B73BD"/>
    <w:rsid w:val="009B740D"/>
    <w:rsid w:val="009B768B"/>
    <w:rsid w:val="009B7793"/>
    <w:rsid w:val="009B7E1D"/>
    <w:rsid w:val="009B7F09"/>
    <w:rsid w:val="009B7F2B"/>
    <w:rsid w:val="009C02DA"/>
    <w:rsid w:val="009C02EA"/>
    <w:rsid w:val="009C03E2"/>
    <w:rsid w:val="009C047C"/>
    <w:rsid w:val="009C0517"/>
    <w:rsid w:val="009C0526"/>
    <w:rsid w:val="009C0C55"/>
    <w:rsid w:val="009C0D9F"/>
    <w:rsid w:val="009C11D5"/>
    <w:rsid w:val="009C19DC"/>
    <w:rsid w:val="009C1D76"/>
    <w:rsid w:val="009C2220"/>
    <w:rsid w:val="009C2B1A"/>
    <w:rsid w:val="009C2C84"/>
    <w:rsid w:val="009C2DDF"/>
    <w:rsid w:val="009C2F69"/>
    <w:rsid w:val="009C31F6"/>
    <w:rsid w:val="009C32A8"/>
    <w:rsid w:val="009C32C8"/>
    <w:rsid w:val="009C3781"/>
    <w:rsid w:val="009C3B51"/>
    <w:rsid w:val="009C3C55"/>
    <w:rsid w:val="009C4096"/>
    <w:rsid w:val="009C4478"/>
    <w:rsid w:val="009C449F"/>
    <w:rsid w:val="009C4CE8"/>
    <w:rsid w:val="009C4DFB"/>
    <w:rsid w:val="009C4ED3"/>
    <w:rsid w:val="009C512F"/>
    <w:rsid w:val="009C52B9"/>
    <w:rsid w:val="009C5335"/>
    <w:rsid w:val="009C5432"/>
    <w:rsid w:val="009C59E5"/>
    <w:rsid w:val="009C5A20"/>
    <w:rsid w:val="009C5EC9"/>
    <w:rsid w:val="009C60C2"/>
    <w:rsid w:val="009C62AF"/>
    <w:rsid w:val="009C62CD"/>
    <w:rsid w:val="009C639D"/>
    <w:rsid w:val="009C649E"/>
    <w:rsid w:val="009C64E8"/>
    <w:rsid w:val="009C6835"/>
    <w:rsid w:val="009C6BC6"/>
    <w:rsid w:val="009C6C8B"/>
    <w:rsid w:val="009C7013"/>
    <w:rsid w:val="009C71A5"/>
    <w:rsid w:val="009C7554"/>
    <w:rsid w:val="009C756A"/>
    <w:rsid w:val="009C7610"/>
    <w:rsid w:val="009C785A"/>
    <w:rsid w:val="009C7C6E"/>
    <w:rsid w:val="009D0138"/>
    <w:rsid w:val="009D0141"/>
    <w:rsid w:val="009D015A"/>
    <w:rsid w:val="009D021A"/>
    <w:rsid w:val="009D04FB"/>
    <w:rsid w:val="009D089B"/>
    <w:rsid w:val="009D0984"/>
    <w:rsid w:val="009D0A01"/>
    <w:rsid w:val="009D1018"/>
    <w:rsid w:val="009D108A"/>
    <w:rsid w:val="009D10B8"/>
    <w:rsid w:val="009D155A"/>
    <w:rsid w:val="009D17CE"/>
    <w:rsid w:val="009D17E4"/>
    <w:rsid w:val="009D1C7C"/>
    <w:rsid w:val="009D1D31"/>
    <w:rsid w:val="009D1DDF"/>
    <w:rsid w:val="009D2239"/>
    <w:rsid w:val="009D25EC"/>
    <w:rsid w:val="009D26DC"/>
    <w:rsid w:val="009D27B5"/>
    <w:rsid w:val="009D338A"/>
    <w:rsid w:val="009D35FB"/>
    <w:rsid w:val="009D37FB"/>
    <w:rsid w:val="009D39D3"/>
    <w:rsid w:val="009D3B1E"/>
    <w:rsid w:val="009D4239"/>
    <w:rsid w:val="009D42D8"/>
    <w:rsid w:val="009D430C"/>
    <w:rsid w:val="009D46E1"/>
    <w:rsid w:val="009D4B68"/>
    <w:rsid w:val="009D4F5C"/>
    <w:rsid w:val="009D4FD9"/>
    <w:rsid w:val="009D5207"/>
    <w:rsid w:val="009D53CE"/>
    <w:rsid w:val="009D5B4B"/>
    <w:rsid w:val="009D5E83"/>
    <w:rsid w:val="009D5EC2"/>
    <w:rsid w:val="009D60D7"/>
    <w:rsid w:val="009D618B"/>
    <w:rsid w:val="009D643E"/>
    <w:rsid w:val="009D6463"/>
    <w:rsid w:val="009D67CF"/>
    <w:rsid w:val="009D6801"/>
    <w:rsid w:val="009D6BBA"/>
    <w:rsid w:val="009D6BD7"/>
    <w:rsid w:val="009D7710"/>
    <w:rsid w:val="009D77DF"/>
    <w:rsid w:val="009E00D9"/>
    <w:rsid w:val="009E0182"/>
    <w:rsid w:val="009E0235"/>
    <w:rsid w:val="009E02DD"/>
    <w:rsid w:val="009E0425"/>
    <w:rsid w:val="009E0A13"/>
    <w:rsid w:val="009E0AB3"/>
    <w:rsid w:val="009E0ED6"/>
    <w:rsid w:val="009E1146"/>
    <w:rsid w:val="009E17BE"/>
    <w:rsid w:val="009E1B50"/>
    <w:rsid w:val="009E1B85"/>
    <w:rsid w:val="009E1C3C"/>
    <w:rsid w:val="009E1FEB"/>
    <w:rsid w:val="009E20CF"/>
    <w:rsid w:val="009E2155"/>
    <w:rsid w:val="009E21F1"/>
    <w:rsid w:val="009E22EF"/>
    <w:rsid w:val="009E2485"/>
    <w:rsid w:val="009E2945"/>
    <w:rsid w:val="009E2A44"/>
    <w:rsid w:val="009E2D29"/>
    <w:rsid w:val="009E2DA4"/>
    <w:rsid w:val="009E32D3"/>
    <w:rsid w:val="009E38D8"/>
    <w:rsid w:val="009E3AB3"/>
    <w:rsid w:val="009E431A"/>
    <w:rsid w:val="009E45CB"/>
    <w:rsid w:val="009E4A8D"/>
    <w:rsid w:val="009E51B9"/>
    <w:rsid w:val="009E5902"/>
    <w:rsid w:val="009E63B5"/>
    <w:rsid w:val="009E6480"/>
    <w:rsid w:val="009E6AD6"/>
    <w:rsid w:val="009E71B9"/>
    <w:rsid w:val="009E73FD"/>
    <w:rsid w:val="009E74AB"/>
    <w:rsid w:val="009E7D8E"/>
    <w:rsid w:val="009F048E"/>
    <w:rsid w:val="009F07AC"/>
    <w:rsid w:val="009F0A20"/>
    <w:rsid w:val="009F10DE"/>
    <w:rsid w:val="009F125C"/>
    <w:rsid w:val="009F14DA"/>
    <w:rsid w:val="009F152D"/>
    <w:rsid w:val="009F16A9"/>
    <w:rsid w:val="009F1A7B"/>
    <w:rsid w:val="009F1CD9"/>
    <w:rsid w:val="009F2265"/>
    <w:rsid w:val="009F249B"/>
    <w:rsid w:val="009F2896"/>
    <w:rsid w:val="009F2A5E"/>
    <w:rsid w:val="009F37AD"/>
    <w:rsid w:val="009F383F"/>
    <w:rsid w:val="009F4181"/>
    <w:rsid w:val="009F4582"/>
    <w:rsid w:val="009F45D7"/>
    <w:rsid w:val="009F46C6"/>
    <w:rsid w:val="009F4946"/>
    <w:rsid w:val="009F4BAC"/>
    <w:rsid w:val="009F4BBF"/>
    <w:rsid w:val="009F54A4"/>
    <w:rsid w:val="009F59AA"/>
    <w:rsid w:val="009F5C85"/>
    <w:rsid w:val="009F5EB0"/>
    <w:rsid w:val="009F60C7"/>
    <w:rsid w:val="009F629B"/>
    <w:rsid w:val="009F6308"/>
    <w:rsid w:val="009F6795"/>
    <w:rsid w:val="009F6C72"/>
    <w:rsid w:val="009F6D8B"/>
    <w:rsid w:val="009F72D1"/>
    <w:rsid w:val="009F73BE"/>
    <w:rsid w:val="009F741F"/>
    <w:rsid w:val="009F7984"/>
    <w:rsid w:val="009F7BBD"/>
    <w:rsid w:val="00A0009D"/>
    <w:rsid w:val="00A0046B"/>
    <w:rsid w:val="00A007BE"/>
    <w:rsid w:val="00A00FCD"/>
    <w:rsid w:val="00A0121E"/>
    <w:rsid w:val="00A01223"/>
    <w:rsid w:val="00A016F7"/>
    <w:rsid w:val="00A01A27"/>
    <w:rsid w:val="00A01C1E"/>
    <w:rsid w:val="00A01D62"/>
    <w:rsid w:val="00A0241D"/>
    <w:rsid w:val="00A02477"/>
    <w:rsid w:val="00A025D5"/>
    <w:rsid w:val="00A026D8"/>
    <w:rsid w:val="00A02723"/>
    <w:rsid w:val="00A0287E"/>
    <w:rsid w:val="00A02B2E"/>
    <w:rsid w:val="00A03144"/>
    <w:rsid w:val="00A03266"/>
    <w:rsid w:val="00A0394E"/>
    <w:rsid w:val="00A0398A"/>
    <w:rsid w:val="00A03AC1"/>
    <w:rsid w:val="00A03AFF"/>
    <w:rsid w:val="00A0411A"/>
    <w:rsid w:val="00A04986"/>
    <w:rsid w:val="00A04B47"/>
    <w:rsid w:val="00A05092"/>
    <w:rsid w:val="00A053C8"/>
    <w:rsid w:val="00A0593D"/>
    <w:rsid w:val="00A05B62"/>
    <w:rsid w:val="00A05D1C"/>
    <w:rsid w:val="00A0665E"/>
    <w:rsid w:val="00A06768"/>
    <w:rsid w:val="00A06D10"/>
    <w:rsid w:val="00A06D3B"/>
    <w:rsid w:val="00A06DD0"/>
    <w:rsid w:val="00A07204"/>
    <w:rsid w:val="00A072DD"/>
    <w:rsid w:val="00A07A22"/>
    <w:rsid w:val="00A07D3C"/>
    <w:rsid w:val="00A10796"/>
    <w:rsid w:val="00A107A1"/>
    <w:rsid w:val="00A10CEE"/>
    <w:rsid w:val="00A11065"/>
    <w:rsid w:val="00A11169"/>
    <w:rsid w:val="00A119DC"/>
    <w:rsid w:val="00A11CE9"/>
    <w:rsid w:val="00A12049"/>
    <w:rsid w:val="00A120BD"/>
    <w:rsid w:val="00A124C2"/>
    <w:rsid w:val="00A127CC"/>
    <w:rsid w:val="00A1283B"/>
    <w:rsid w:val="00A129A5"/>
    <w:rsid w:val="00A12C53"/>
    <w:rsid w:val="00A12FA9"/>
    <w:rsid w:val="00A1309A"/>
    <w:rsid w:val="00A13397"/>
    <w:rsid w:val="00A1363E"/>
    <w:rsid w:val="00A13FF0"/>
    <w:rsid w:val="00A1419A"/>
    <w:rsid w:val="00A146A3"/>
    <w:rsid w:val="00A14921"/>
    <w:rsid w:val="00A14DE9"/>
    <w:rsid w:val="00A1509B"/>
    <w:rsid w:val="00A15327"/>
    <w:rsid w:val="00A159F5"/>
    <w:rsid w:val="00A15B72"/>
    <w:rsid w:val="00A15E34"/>
    <w:rsid w:val="00A15E7D"/>
    <w:rsid w:val="00A15FFF"/>
    <w:rsid w:val="00A160A9"/>
    <w:rsid w:val="00A16503"/>
    <w:rsid w:val="00A1689A"/>
    <w:rsid w:val="00A16A1B"/>
    <w:rsid w:val="00A16B4F"/>
    <w:rsid w:val="00A1702B"/>
    <w:rsid w:val="00A17040"/>
    <w:rsid w:val="00A17096"/>
    <w:rsid w:val="00A171B3"/>
    <w:rsid w:val="00A17634"/>
    <w:rsid w:val="00A176E1"/>
    <w:rsid w:val="00A17C5F"/>
    <w:rsid w:val="00A17F36"/>
    <w:rsid w:val="00A17FF6"/>
    <w:rsid w:val="00A202F1"/>
    <w:rsid w:val="00A20382"/>
    <w:rsid w:val="00A203AD"/>
    <w:rsid w:val="00A20573"/>
    <w:rsid w:val="00A20AD4"/>
    <w:rsid w:val="00A211B5"/>
    <w:rsid w:val="00A2134B"/>
    <w:rsid w:val="00A21817"/>
    <w:rsid w:val="00A21C38"/>
    <w:rsid w:val="00A21D75"/>
    <w:rsid w:val="00A22552"/>
    <w:rsid w:val="00A227B8"/>
    <w:rsid w:val="00A23077"/>
    <w:rsid w:val="00A2321C"/>
    <w:rsid w:val="00A23265"/>
    <w:rsid w:val="00A23266"/>
    <w:rsid w:val="00A23414"/>
    <w:rsid w:val="00A23424"/>
    <w:rsid w:val="00A2353D"/>
    <w:rsid w:val="00A23540"/>
    <w:rsid w:val="00A23E79"/>
    <w:rsid w:val="00A24133"/>
    <w:rsid w:val="00A241EB"/>
    <w:rsid w:val="00A244C6"/>
    <w:rsid w:val="00A24552"/>
    <w:rsid w:val="00A24938"/>
    <w:rsid w:val="00A24A2A"/>
    <w:rsid w:val="00A24A4E"/>
    <w:rsid w:val="00A24AC7"/>
    <w:rsid w:val="00A24D9F"/>
    <w:rsid w:val="00A24DAC"/>
    <w:rsid w:val="00A24E70"/>
    <w:rsid w:val="00A24EFC"/>
    <w:rsid w:val="00A25527"/>
    <w:rsid w:val="00A25792"/>
    <w:rsid w:val="00A258AC"/>
    <w:rsid w:val="00A25931"/>
    <w:rsid w:val="00A25AAC"/>
    <w:rsid w:val="00A25B89"/>
    <w:rsid w:val="00A2622E"/>
    <w:rsid w:val="00A26AFE"/>
    <w:rsid w:val="00A26CE2"/>
    <w:rsid w:val="00A2726D"/>
    <w:rsid w:val="00A27309"/>
    <w:rsid w:val="00A273A1"/>
    <w:rsid w:val="00A27509"/>
    <w:rsid w:val="00A2769D"/>
    <w:rsid w:val="00A279FD"/>
    <w:rsid w:val="00A27B5C"/>
    <w:rsid w:val="00A27C17"/>
    <w:rsid w:val="00A27DAB"/>
    <w:rsid w:val="00A27E13"/>
    <w:rsid w:val="00A27EC3"/>
    <w:rsid w:val="00A30065"/>
    <w:rsid w:val="00A3017E"/>
    <w:rsid w:val="00A30429"/>
    <w:rsid w:val="00A308A5"/>
    <w:rsid w:val="00A30F8C"/>
    <w:rsid w:val="00A3108D"/>
    <w:rsid w:val="00A31342"/>
    <w:rsid w:val="00A31DEA"/>
    <w:rsid w:val="00A3202F"/>
    <w:rsid w:val="00A32247"/>
    <w:rsid w:val="00A32974"/>
    <w:rsid w:val="00A32BE2"/>
    <w:rsid w:val="00A3353A"/>
    <w:rsid w:val="00A33645"/>
    <w:rsid w:val="00A33720"/>
    <w:rsid w:val="00A33BFC"/>
    <w:rsid w:val="00A3441C"/>
    <w:rsid w:val="00A345FD"/>
    <w:rsid w:val="00A34AD7"/>
    <w:rsid w:val="00A34DDA"/>
    <w:rsid w:val="00A34EB6"/>
    <w:rsid w:val="00A34F24"/>
    <w:rsid w:val="00A34FB8"/>
    <w:rsid w:val="00A35682"/>
    <w:rsid w:val="00A35C21"/>
    <w:rsid w:val="00A36006"/>
    <w:rsid w:val="00A362E0"/>
    <w:rsid w:val="00A363C5"/>
    <w:rsid w:val="00A36467"/>
    <w:rsid w:val="00A36617"/>
    <w:rsid w:val="00A366DD"/>
    <w:rsid w:val="00A36C5C"/>
    <w:rsid w:val="00A36E76"/>
    <w:rsid w:val="00A36F5E"/>
    <w:rsid w:val="00A370FF"/>
    <w:rsid w:val="00A37619"/>
    <w:rsid w:val="00A377D0"/>
    <w:rsid w:val="00A377DE"/>
    <w:rsid w:val="00A377FF"/>
    <w:rsid w:val="00A3795F"/>
    <w:rsid w:val="00A379E2"/>
    <w:rsid w:val="00A37A1E"/>
    <w:rsid w:val="00A37A8E"/>
    <w:rsid w:val="00A37E27"/>
    <w:rsid w:val="00A405D0"/>
    <w:rsid w:val="00A4078D"/>
    <w:rsid w:val="00A40805"/>
    <w:rsid w:val="00A40BE3"/>
    <w:rsid w:val="00A40FFE"/>
    <w:rsid w:val="00A41014"/>
    <w:rsid w:val="00A417BF"/>
    <w:rsid w:val="00A41A6C"/>
    <w:rsid w:val="00A41AE9"/>
    <w:rsid w:val="00A41DBE"/>
    <w:rsid w:val="00A421AF"/>
    <w:rsid w:val="00A422AF"/>
    <w:rsid w:val="00A4272E"/>
    <w:rsid w:val="00A428CD"/>
    <w:rsid w:val="00A42AB2"/>
    <w:rsid w:val="00A4391D"/>
    <w:rsid w:val="00A4416A"/>
    <w:rsid w:val="00A444C8"/>
    <w:rsid w:val="00A44582"/>
    <w:rsid w:val="00A4476F"/>
    <w:rsid w:val="00A44B5E"/>
    <w:rsid w:val="00A44D5F"/>
    <w:rsid w:val="00A450C9"/>
    <w:rsid w:val="00A4529B"/>
    <w:rsid w:val="00A458B2"/>
    <w:rsid w:val="00A45B64"/>
    <w:rsid w:val="00A45B92"/>
    <w:rsid w:val="00A45F6F"/>
    <w:rsid w:val="00A465FA"/>
    <w:rsid w:val="00A46826"/>
    <w:rsid w:val="00A46C03"/>
    <w:rsid w:val="00A47340"/>
    <w:rsid w:val="00A4745F"/>
    <w:rsid w:val="00A47744"/>
    <w:rsid w:val="00A477DD"/>
    <w:rsid w:val="00A47B31"/>
    <w:rsid w:val="00A47B74"/>
    <w:rsid w:val="00A5070C"/>
    <w:rsid w:val="00A51090"/>
    <w:rsid w:val="00A5161D"/>
    <w:rsid w:val="00A51773"/>
    <w:rsid w:val="00A51995"/>
    <w:rsid w:val="00A51F89"/>
    <w:rsid w:val="00A52008"/>
    <w:rsid w:val="00A5218F"/>
    <w:rsid w:val="00A524F2"/>
    <w:rsid w:val="00A5288F"/>
    <w:rsid w:val="00A528D8"/>
    <w:rsid w:val="00A529E9"/>
    <w:rsid w:val="00A52A06"/>
    <w:rsid w:val="00A52C0B"/>
    <w:rsid w:val="00A52C26"/>
    <w:rsid w:val="00A52E21"/>
    <w:rsid w:val="00A53735"/>
    <w:rsid w:val="00A5383B"/>
    <w:rsid w:val="00A53A32"/>
    <w:rsid w:val="00A53C3B"/>
    <w:rsid w:val="00A53D70"/>
    <w:rsid w:val="00A53D9F"/>
    <w:rsid w:val="00A54CFD"/>
    <w:rsid w:val="00A54E44"/>
    <w:rsid w:val="00A54EAB"/>
    <w:rsid w:val="00A54F64"/>
    <w:rsid w:val="00A5580A"/>
    <w:rsid w:val="00A5589D"/>
    <w:rsid w:val="00A558EE"/>
    <w:rsid w:val="00A55A34"/>
    <w:rsid w:val="00A55AAE"/>
    <w:rsid w:val="00A564BE"/>
    <w:rsid w:val="00A565BC"/>
    <w:rsid w:val="00A56900"/>
    <w:rsid w:val="00A56CBF"/>
    <w:rsid w:val="00A56EA0"/>
    <w:rsid w:val="00A571C5"/>
    <w:rsid w:val="00A574A2"/>
    <w:rsid w:val="00A574C7"/>
    <w:rsid w:val="00A57661"/>
    <w:rsid w:val="00A5797A"/>
    <w:rsid w:val="00A57CD8"/>
    <w:rsid w:val="00A57DBE"/>
    <w:rsid w:val="00A60025"/>
    <w:rsid w:val="00A60038"/>
    <w:rsid w:val="00A6022B"/>
    <w:rsid w:val="00A60574"/>
    <w:rsid w:val="00A605D9"/>
    <w:rsid w:val="00A60609"/>
    <w:rsid w:val="00A6080A"/>
    <w:rsid w:val="00A60920"/>
    <w:rsid w:val="00A609DC"/>
    <w:rsid w:val="00A60B54"/>
    <w:rsid w:val="00A60B8B"/>
    <w:rsid w:val="00A60DEA"/>
    <w:rsid w:val="00A612F3"/>
    <w:rsid w:val="00A61357"/>
    <w:rsid w:val="00A61E9D"/>
    <w:rsid w:val="00A61EE3"/>
    <w:rsid w:val="00A62586"/>
    <w:rsid w:val="00A6327C"/>
    <w:rsid w:val="00A63334"/>
    <w:rsid w:val="00A63590"/>
    <w:rsid w:val="00A63808"/>
    <w:rsid w:val="00A63AFD"/>
    <w:rsid w:val="00A63B0F"/>
    <w:rsid w:val="00A63C81"/>
    <w:rsid w:val="00A63EB5"/>
    <w:rsid w:val="00A6406B"/>
    <w:rsid w:val="00A64108"/>
    <w:rsid w:val="00A648C9"/>
    <w:rsid w:val="00A64BCD"/>
    <w:rsid w:val="00A64ECE"/>
    <w:rsid w:val="00A65169"/>
    <w:rsid w:val="00A653C7"/>
    <w:rsid w:val="00A653FD"/>
    <w:rsid w:val="00A659A1"/>
    <w:rsid w:val="00A65C15"/>
    <w:rsid w:val="00A6606B"/>
    <w:rsid w:val="00A660A7"/>
    <w:rsid w:val="00A66104"/>
    <w:rsid w:val="00A66149"/>
    <w:rsid w:val="00A661E9"/>
    <w:rsid w:val="00A666C2"/>
    <w:rsid w:val="00A66701"/>
    <w:rsid w:val="00A66BF2"/>
    <w:rsid w:val="00A66C5B"/>
    <w:rsid w:val="00A66D84"/>
    <w:rsid w:val="00A67639"/>
    <w:rsid w:val="00A67759"/>
    <w:rsid w:val="00A67835"/>
    <w:rsid w:val="00A67D99"/>
    <w:rsid w:val="00A67EDB"/>
    <w:rsid w:val="00A67FA4"/>
    <w:rsid w:val="00A67FE6"/>
    <w:rsid w:val="00A7052C"/>
    <w:rsid w:val="00A7093E"/>
    <w:rsid w:val="00A70BD2"/>
    <w:rsid w:val="00A71276"/>
    <w:rsid w:val="00A712EE"/>
    <w:rsid w:val="00A7166E"/>
    <w:rsid w:val="00A7178E"/>
    <w:rsid w:val="00A72232"/>
    <w:rsid w:val="00A7252B"/>
    <w:rsid w:val="00A72575"/>
    <w:rsid w:val="00A72731"/>
    <w:rsid w:val="00A72880"/>
    <w:rsid w:val="00A734C1"/>
    <w:rsid w:val="00A74560"/>
    <w:rsid w:val="00A745E1"/>
    <w:rsid w:val="00A746DE"/>
    <w:rsid w:val="00A7475A"/>
    <w:rsid w:val="00A75277"/>
    <w:rsid w:val="00A7527E"/>
    <w:rsid w:val="00A75DAB"/>
    <w:rsid w:val="00A75F15"/>
    <w:rsid w:val="00A76194"/>
    <w:rsid w:val="00A761E0"/>
    <w:rsid w:val="00A76265"/>
    <w:rsid w:val="00A76878"/>
    <w:rsid w:val="00A76958"/>
    <w:rsid w:val="00A76BC5"/>
    <w:rsid w:val="00A76E4C"/>
    <w:rsid w:val="00A76EAD"/>
    <w:rsid w:val="00A77379"/>
    <w:rsid w:val="00A77B6A"/>
    <w:rsid w:val="00A80290"/>
    <w:rsid w:val="00A804BE"/>
    <w:rsid w:val="00A8064A"/>
    <w:rsid w:val="00A80899"/>
    <w:rsid w:val="00A80D08"/>
    <w:rsid w:val="00A80DEE"/>
    <w:rsid w:val="00A80F21"/>
    <w:rsid w:val="00A814F1"/>
    <w:rsid w:val="00A817BB"/>
    <w:rsid w:val="00A82090"/>
    <w:rsid w:val="00A8249D"/>
    <w:rsid w:val="00A82B75"/>
    <w:rsid w:val="00A82C61"/>
    <w:rsid w:val="00A82F13"/>
    <w:rsid w:val="00A8302B"/>
    <w:rsid w:val="00A83430"/>
    <w:rsid w:val="00A83565"/>
    <w:rsid w:val="00A83585"/>
    <w:rsid w:val="00A835E6"/>
    <w:rsid w:val="00A83789"/>
    <w:rsid w:val="00A8384C"/>
    <w:rsid w:val="00A83C1C"/>
    <w:rsid w:val="00A83D37"/>
    <w:rsid w:val="00A84259"/>
    <w:rsid w:val="00A8442B"/>
    <w:rsid w:val="00A84A42"/>
    <w:rsid w:val="00A84B20"/>
    <w:rsid w:val="00A84B34"/>
    <w:rsid w:val="00A84C90"/>
    <w:rsid w:val="00A8519A"/>
    <w:rsid w:val="00A853AD"/>
    <w:rsid w:val="00A853AF"/>
    <w:rsid w:val="00A85624"/>
    <w:rsid w:val="00A85B57"/>
    <w:rsid w:val="00A85EBB"/>
    <w:rsid w:val="00A85FCB"/>
    <w:rsid w:val="00A861C8"/>
    <w:rsid w:val="00A86616"/>
    <w:rsid w:val="00A86686"/>
    <w:rsid w:val="00A86746"/>
    <w:rsid w:val="00A8686A"/>
    <w:rsid w:val="00A86892"/>
    <w:rsid w:val="00A86BD7"/>
    <w:rsid w:val="00A870F5"/>
    <w:rsid w:val="00A87251"/>
    <w:rsid w:val="00A87298"/>
    <w:rsid w:val="00A875A3"/>
    <w:rsid w:val="00A875F0"/>
    <w:rsid w:val="00A87DE8"/>
    <w:rsid w:val="00A87E48"/>
    <w:rsid w:val="00A90101"/>
    <w:rsid w:val="00A901D8"/>
    <w:rsid w:val="00A90673"/>
    <w:rsid w:val="00A90D69"/>
    <w:rsid w:val="00A90DE5"/>
    <w:rsid w:val="00A9147F"/>
    <w:rsid w:val="00A91878"/>
    <w:rsid w:val="00A91B3D"/>
    <w:rsid w:val="00A91EB6"/>
    <w:rsid w:val="00A9215C"/>
    <w:rsid w:val="00A921D4"/>
    <w:rsid w:val="00A92212"/>
    <w:rsid w:val="00A92312"/>
    <w:rsid w:val="00A9284D"/>
    <w:rsid w:val="00A928BC"/>
    <w:rsid w:val="00A9291D"/>
    <w:rsid w:val="00A92ADD"/>
    <w:rsid w:val="00A92E05"/>
    <w:rsid w:val="00A92E50"/>
    <w:rsid w:val="00A93384"/>
    <w:rsid w:val="00A933A6"/>
    <w:rsid w:val="00A93499"/>
    <w:rsid w:val="00A93793"/>
    <w:rsid w:val="00A938BA"/>
    <w:rsid w:val="00A939A4"/>
    <w:rsid w:val="00A93BF5"/>
    <w:rsid w:val="00A942D4"/>
    <w:rsid w:val="00A94609"/>
    <w:rsid w:val="00A94F67"/>
    <w:rsid w:val="00A95C7E"/>
    <w:rsid w:val="00A95D37"/>
    <w:rsid w:val="00A95F09"/>
    <w:rsid w:val="00A96209"/>
    <w:rsid w:val="00A96218"/>
    <w:rsid w:val="00A966F7"/>
    <w:rsid w:val="00A96D51"/>
    <w:rsid w:val="00A96E93"/>
    <w:rsid w:val="00A9721E"/>
    <w:rsid w:val="00A9728B"/>
    <w:rsid w:val="00A974A0"/>
    <w:rsid w:val="00A974D3"/>
    <w:rsid w:val="00A97538"/>
    <w:rsid w:val="00A97762"/>
    <w:rsid w:val="00A97881"/>
    <w:rsid w:val="00A978F5"/>
    <w:rsid w:val="00A97B28"/>
    <w:rsid w:val="00A97E4C"/>
    <w:rsid w:val="00AA02DC"/>
    <w:rsid w:val="00AA0881"/>
    <w:rsid w:val="00AA0960"/>
    <w:rsid w:val="00AA0B60"/>
    <w:rsid w:val="00AA0CAB"/>
    <w:rsid w:val="00AA0CD5"/>
    <w:rsid w:val="00AA103A"/>
    <w:rsid w:val="00AA1353"/>
    <w:rsid w:val="00AA1601"/>
    <w:rsid w:val="00AA162B"/>
    <w:rsid w:val="00AA1752"/>
    <w:rsid w:val="00AA1A75"/>
    <w:rsid w:val="00AA1FDF"/>
    <w:rsid w:val="00AA2018"/>
    <w:rsid w:val="00AA2286"/>
    <w:rsid w:val="00AA276D"/>
    <w:rsid w:val="00AA3254"/>
    <w:rsid w:val="00AA3293"/>
    <w:rsid w:val="00AA33EF"/>
    <w:rsid w:val="00AA3506"/>
    <w:rsid w:val="00AA36B1"/>
    <w:rsid w:val="00AA3836"/>
    <w:rsid w:val="00AA39C3"/>
    <w:rsid w:val="00AA3A1A"/>
    <w:rsid w:val="00AA3F1E"/>
    <w:rsid w:val="00AA4164"/>
    <w:rsid w:val="00AA41A6"/>
    <w:rsid w:val="00AA4398"/>
    <w:rsid w:val="00AA45F5"/>
    <w:rsid w:val="00AA49D5"/>
    <w:rsid w:val="00AA4A81"/>
    <w:rsid w:val="00AA4B4D"/>
    <w:rsid w:val="00AA4CC6"/>
    <w:rsid w:val="00AA5500"/>
    <w:rsid w:val="00AA5B47"/>
    <w:rsid w:val="00AA603D"/>
    <w:rsid w:val="00AA6174"/>
    <w:rsid w:val="00AA6593"/>
    <w:rsid w:val="00AA6698"/>
    <w:rsid w:val="00AA6910"/>
    <w:rsid w:val="00AA6A88"/>
    <w:rsid w:val="00AA6E14"/>
    <w:rsid w:val="00AA7425"/>
    <w:rsid w:val="00AA7D04"/>
    <w:rsid w:val="00AA7ED9"/>
    <w:rsid w:val="00AB017C"/>
    <w:rsid w:val="00AB0485"/>
    <w:rsid w:val="00AB07B2"/>
    <w:rsid w:val="00AB0BDF"/>
    <w:rsid w:val="00AB0E9E"/>
    <w:rsid w:val="00AB0EC7"/>
    <w:rsid w:val="00AB16E6"/>
    <w:rsid w:val="00AB171C"/>
    <w:rsid w:val="00AB1EB4"/>
    <w:rsid w:val="00AB1F6E"/>
    <w:rsid w:val="00AB211A"/>
    <w:rsid w:val="00AB21BC"/>
    <w:rsid w:val="00AB23AD"/>
    <w:rsid w:val="00AB2A1B"/>
    <w:rsid w:val="00AB2D6B"/>
    <w:rsid w:val="00AB3200"/>
    <w:rsid w:val="00AB33D6"/>
    <w:rsid w:val="00AB3B7A"/>
    <w:rsid w:val="00AB3DBB"/>
    <w:rsid w:val="00AB3EAA"/>
    <w:rsid w:val="00AB4002"/>
    <w:rsid w:val="00AB496F"/>
    <w:rsid w:val="00AB49CE"/>
    <w:rsid w:val="00AB4C59"/>
    <w:rsid w:val="00AB4D49"/>
    <w:rsid w:val="00AB4E8E"/>
    <w:rsid w:val="00AB5045"/>
    <w:rsid w:val="00AB50E5"/>
    <w:rsid w:val="00AB5BDB"/>
    <w:rsid w:val="00AB5E08"/>
    <w:rsid w:val="00AB6363"/>
    <w:rsid w:val="00AB6460"/>
    <w:rsid w:val="00AB6637"/>
    <w:rsid w:val="00AB6A68"/>
    <w:rsid w:val="00AB6E72"/>
    <w:rsid w:val="00AB6F35"/>
    <w:rsid w:val="00AB70D2"/>
    <w:rsid w:val="00AB7536"/>
    <w:rsid w:val="00AB75D6"/>
    <w:rsid w:val="00AB7722"/>
    <w:rsid w:val="00AB7C7F"/>
    <w:rsid w:val="00AB7CDB"/>
    <w:rsid w:val="00AB7F91"/>
    <w:rsid w:val="00AB7FA7"/>
    <w:rsid w:val="00AC01C0"/>
    <w:rsid w:val="00AC076B"/>
    <w:rsid w:val="00AC0F31"/>
    <w:rsid w:val="00AC1200"/>
    <w:rsid w:val="00AC137B"/>
    <w:rsid w:val="00AC137D"/>
    <w:rsid w:val="00AC19FF"/>
    <w:rsid w:val="00AC1C29"/>
    <w:rsid w:val="00AC1E35"/>
    <w:rsid w:val="00AC1E43"/>
    <w:rsid w:val="00AC1EC3"/>
    <w:rsid w:val="00AC1EFF"/>
    <w:rsid w:val="00AC1FAD"/>
    <w:rsid w:val="00AC26D7"/>
    <w:rsid w:val="00AC2A26"/>
    <w:rsid w:val="00AC2BAF"/>
    <w:rsid w:val="00AC30EF"/>
    <w:rsid w:val="00AC34A4"/>
    <w:rsid w:val="00AC34BF"/>
    <w:rsid w:val="00AC3B14"/>
    <w:rsid w:val="00AC4325"/>
    <w:rsid w:val="00AC434F"/>
    <w:rsid w:val="00AC45C8"/>
    <w:rsid w:val="00AC4716"/>
    <w:rsid w:val="00AC4915"/>
    <w:rsid w:val="00AC4BB9"/>
    <w:rsid w:val="00AC4BEA"/>
    <w:rsid w:val="00AC4D1E"/>
    <w:rsid w:val="00AC4E6D"/>
    <w:rsid w:val="00AC50A1"/>
    <w:rsid w:val="00AC51F9"/>
    <w:rsid w:val="00AC52B8"/>
    <w:rsid w:val="00AC561C"/>
    <w:rsid w:val="00AC5896"/>
    <w:rsid w:val="00AC5987"/>
    <w:rsid w:val="00AC5B99"/>
    <w:rsid w:val="00AC5C4A"/>
    <w:rsid w:val="00AC6002"/>
    <w:rsid w:val="00AC61E9"/>
    <w:rsid w:val="00AC6406"/>
    <w:rsid w:val="00AC6863"/>
    <w:rsid w:val="00AC68A9"/>
    <w:rsid w:val="00AC6C35"/>
    <w:rsid w:val="00AC6DDB"/>
    <w:rsid w:val="00AC7203"/>
    <w:rsid w:val="00AC7630"/>
    <w:rsid w:val="00AC786B"/>
    <w:rsid w:val="00AC78FE"/>
    <w:rsid w:val="00AC79C1"/>
    <w:rsid w:val="00AC7FF2"/>
    <w:rsid w:val="00AD0121"/>
    <w:rsid w:val="00AD0205"/>
    <w:rsid w:val="00AD09B2"/>
    <w:rsid w:val="00AD130E"/>
    <w:rsid w:val="00AD139E"/>
    <w:rsid w:val="00AD13AB"/>
    <w:rsid w:val="00AD179D"/>
    <w:rsid w:val="00AD1F76"/>
    <w:rsid w:val="00AD21D5"/>
    <w:rsid w:val="00AD2387"/>
    <w:rsid w:val="00AD2947"/>
    <w:rsid w:val="00AD2BE6"/>
    <w:rsid w:val="00AD2E46"/>
    <w:rsid w:val="00AD31B3"/>
    <w:rsid w:val="00AD3249"/>
    <w:rsid w:val="00AD33A9"/>
    <w:rsid w:val="00AD3571"/>
    <w:rsid w:val="00AD3616"/>
    <w:rsid w:val="00AD383C"/>
    <w:rsid w:val="00AD38E3"/>
    <w:rsid w:val="00AD3902"/>
    <w:rsid w:val="00AD3E9A"/>
    <w:rsid w:val="00AD43E2"/>
    <w:rsid w:val="00AD44DF"/>
    <w:rsid w:val="00AD4907"/>
    <w:rsid w:val="00AD4B4D"/>
    <w:rsid w:val="00AD52A6"/>
    <w:rsid w:val="00AD5347"/>
    <w:rsid w:val="00AD5365"/>
    <w:rsid w:val="00AD5692"/>
    <w:rsid w:val="00AD60CF"/>
    <w:rsid w:val="00AD68BB"/>
    <w:rsid w:val="00AD6916"/>
    <w:rsid w:val="00AD6FE8"/>
    <w:rsid w:val="00AD70FE"/>
    <w:rsid w:val="00AD711A"/>
    <w:rsid w:val="00AD7457"/>
    <w:rsid w:val="00AD74FA"/>
    <w:rsid w:val="00AD7577"/>
    <w:rsid w:val="00AD7713"/>
    <w:rsid w:val="00AD77D9"/>
    <w:rsid w:val="00AD788C"/>
    <w:rsid w:val="00AD796A"/>
    <w:rsid w:val="00AD7D5E"/>
    <w:rsid w:val="00AE005D"/>
    <w:rsid w:val="00AE00B0"/>
    <w:rsid w:val="00AE0342"/>
    <w:rsid w:val="00AE039C"/>
    <w:rsid w:val="00AE07AC"/>
    <w:rsid w:val="00AE0B97"/>
    <w:rsid w:val="00AE0C4D"/>
    <w:rsid w:val="00AE0C9E"/>
    <w:rsid w:val="00AE1448"/>
    <w:rsid w:val="00AE15B3"/>
    <w:rsid w:val="00AE15F3"/>
    <w:rsid w:val="00AE1883"/>
    <w:rsid w:val="00AE1C7D"/>
    <w:rsid w:val="00AE1CF2"/>
    <w:rsid w:val="00AE1EFB"/>
    <w:rsid w:val="00AE20F4"/>
    <w:rsid w:val="00AE228E"/>
    <w:rsid w:val="00AE2435"/>
    <w:rsid w:val="00AE2473"/>
    <w:rsid w:val="00AE2633"/>
    <w:rsid w:val="00AE267C"/>
    <w:rsid w:val="00AE3005"/>
    <w:rsid w:val="00AE3251"/>
    <w:rsid w:val="00AE35FA"/>
    <w:rsid w:val="00AE3BF2"/>
    <w:rsid w:val="00AE3C8A"/>
    <w:rsid w:val="00AE3DE4"/>
    <w:rsid w:val="00AE3E8A"/>
    <w:rsid w:val="00AE3EEA"/>
    <w:rsid w:val="00AE45AF"/>
    <w:rsid w:val="00AE497E"/>
    <w:rsid w:val="00AE4F97"/>
    <w:rsid w:val="00AE5101"/>
    <w:rsid w:val="00AE5123"/>
    <w:rsid w:val="00AE527F"/>
    <w:rsid w:val="00AE555B"/>
    <w:rsid w:val="00AE56D2"/>
    <w:rsid w:val="00AE59BE"/>
    <w:rsid w:val="00AE5BD1"/>
    <w:rsid w:val="00AE5C0C"/>
    <w:rsid w:val="00AE5CEE"/>
    <w:rsid w:val="00AE5EE6"/>
    <w:rsid w:val="00AE662D"/>
    <w:rsid w:val="00AE6758"/>
    <w:rsid w:val="00AE6776"/>
    <w:rsid w:val="00AE69D8"/>
    <w:rsid w:val="00AE6CB0"/>
    <w:rsid w:val="00AE6E75"/>
    <w:rsid w:val="00AE6E81"/>
    <w:rsid w:val="00AE7304"/>
    <w:rsid w:val="00AE7A96"/>
    <w:rsid w:val="00AF0224"/>
    <w:rsid w:val="00AF052B"/>
    <w:rsid w:val="00AF0919"/>
    <w:rsid w:val="00AF0E67"/>
    <w:rsid w:val="00AF0F69"/>
    <w:rsid w:val="00AF14AD"/>
    <w:rsid w:val="00AF1591"/>
    <w:rsid w:val="00AF168E"/>
    <w:rsid w:val="00AF19E1"/>
    <w:rsid w:val="00AF1D11"/>
    <w:rsid w:val="00AF1D47"/>
    <w:rsid w:val="00AF22E3"/>
    <w:rsid w:val="00AF2311"/>
    <w:rsid w:val="00AF24D7"/>
    <w:rsid w:val="00AF2BC3"/>
    <w:rsid w:val="00AF2DA4"/>
    <w:rsid w:val="00AF2FD3"/>
    <w:rsid w:val="00AF33F2"/>
    <w:rsid w:val="00AF393B"/>
    <w:rsid w:val="00AF3C74"/>
    <w:rsid w:val="00AF3CFE"/>
    <w:rsid w:val="00AF3E02"/>
    <w:rsid w:val="00AF4129"/>
    <w:rsid w:val="00AF4884"/>
    <w:rsid w:val="00AF49BB"/>
    <w:rsid w:val="00AF4C52"/>
    <w:rsid w:val="00AF5132"/>
    <w:rsid w:val="00AF5321"/>
    <w:rsid w:val="00AF53CB"/>
    <w:rsid w:val="00AF59F2"/>
    <w:rsid w:val="00AF5C63"/>
    <w:rsid w:val="00AF5DE9"/>
    <w:rsid w:val="00AF6038"/>
    <w:rsid w:val="00AF6121"/>
    <w:rsid w:val="00AF634C"/>
    <w:rsid w:val="00AF65AB"/>
    <w:rsid w:val="00AF6667"/>
    <w:rsid w:val="00AF6B32"/>
    <w:rsid w:val="00AF7056"/>
    <w:rsid w:val="00AF70B9"/>
    <w:rsid w:val="00AF7429"/>
    <w:rsid w:val="00AF74D3"/>
    <w:rsid w:val="00AF78E2"/>
    <w:rsid w:val="00AF7B61"/>
    <w:rsid w:val="00B00757"/>
    <w:rsid w:val="00B009F4"/>
    <w:rsid w:val="00B00B5B"/>
    <w:rsid w:val="00B00E10"/>
    <w:rsid w:val="00B00F54"/>
    <w:rsid w:val="00B01315"/>
    <w:rsid w:val="00B01381"/>
    <w:rsid w:val="00B015CB"/>
    <w:rsid w:val="00B0198F"/>
    <w:rsid w:val="00B01A17"/>
    <w:rsid w:val="00B02165"/>
    <w:rsid w:val="00B023FA"/>
    <w:rsid w:val="00B02BF1"/>
    <w:rsid w:val="00B03554"/>
    <w:rsid w:val="00B03CA0"/>
    <w:rsid w:val="00B03E8C"/>
    <w:rsid w:val="00B043FE"/>
    <w:rsid w:val="00B04717"/>
    <w:rsid w:val="00B04823"/>
    <w:rsid w:val="00B04978"/>
    <w:rsid w:val="00B04DFB"/>
    <w:rsid w:val="00B04F8D"/>
    <w:rsid w:val="00B04FB1"/>
    <w:rsid w:val="00B052EE"/>
    <w:rsid w:val="00B053A3"/>
    <w:rsid w:val="00B054D3"/>
    <w:rsid w:val="00B054DF"/>
    <w:rsid w:val="00B056AC"/>
    <w:rsid w:val="00B05942"/>
    <w:rsid w:val="00B059AE"/>
    <w:rsid w:val="00B05A20"/>
    <w:rsid w:val="00B05CAE"/>
    <w:rsid w:val="00B061DC"/>
    <w:rsid w:val="00B06BED"/>
    <w:rsid w:val="00B06C30"/>
    <w:rsid w:val="00B06CEF"/>
    <w:rsid w:val="00B06DD3"/>
    <w:rsid w:val="00B071C9"/>
    <w:rsid w:val="00B073E2"/>
    <w:rsid w:val="00B07401"/>
    <w:rsid w:val="00B077E3"/>
    <w:rsid w:val="00B07DB5"/>
    <w:rsid w:val="00B105EE"/>
    <w:rsid w:val="00B10637"/>
    <w:rsid w:val="00B108CB"/>
    <w:rsid w:val="00B10F40"/>
    <w:rsid w:val="00B1101A"/>
    <w:rsid w:val="00B110D6"/>
    <w:rsid w:val="00B1124D"/>
    <w:rsid w:val="00B114A5"/>
    <w:rsid w:val="00B119C1"/>
    <w:rsid w:val="00B11AFB"/>
    <w:rsid w:val="00B11C51"/>
    <w:rsid w:val="00B11DE6"/>
    <w:rsid w:val="00B11F3B"/>
    <w:rsid w:val="00B12328"/>
    <w:rsid w:val="00B12567"/>
    <w:rsid w:val="00B12B10"/>
    <w:rsid w:val="00B12B41"/>
    <w:rsid w:val="00B1321B"/>
    <w:rsid w:val="00B13739"/>
    <w:rsid w:val="00B138F7"/>
    <w:rsid w:val="00B1396F"/>
    <w:rsid w:val="00B13CBC"/>
    <w:rsid w:val="00B13D49"/>
    <w:rsid w:val="00B14247"/>
    <w:rsid w:val="00B1434F"/>
    <w:rsid w:val="00B144DC"/>
    <w:rsid w:val="00B145C9"/>
    <w:rsid w:val="00B1463D"/>
    <w:rsid w:val="00B1471C"/>
    <w:rsid w:val="00B14CE1"/>
    <w:rsid w:val="00B15070"/>
    <w:rsid w:val="00B15148"/>
    <w:rsid w:val="00B15163"/>
    <w:rsid w:val="00B1519F"/>
    <w:rsid w:val="00B15B35"/>
    <w:rsid w:val="00B15FDC"/>
    <w:rsid w:val="00B16BD9"/>
    <w:rsid w:val="00B173FF"/>
    <w:rsid w:val="00B175FC"/>
    <w:rsid w:val="00B177BA"/>
    <w:rsid w:val="00B177EF"/>
    <w:rsid w:val="00B17A81"/>
    <w:rsid w:val="00B17D01"/>
    <w:rsid w:val="00B17F2F"/>
    <w:rsid w:val="00B20410"/>
    <w:rsid w:val="00B215A8"/>
    <w:rsid w:val="00B217F6"/>
    <w:rsid w:val="00B218D5"/>
    <w:rsid w:val="00B21D33"/>
    <w:rsid w:val="00B21EA6"/>
    <w:rsid w:val="00B21F47"/>
    <w:rsid w:val="00B2216E"/>
    <w:rsid w:val="00B222E3"/>
    <w:rsid w:val="00B2239A"/>
    <w:rsid w:val="00B224C7"/>
    <w:rsid w:val="00B22C6E"/>
    <w:rsid w:val="00B2315B"/>
    <w:rsid w:val="00B231BB"/>
    <w:rsid w:val="00B23553"/>
    <w:rsid w:val="00B23579"/>
    <w:rsid w:val="00B23FA5"/>
    <w:rsid w:val="00B245B8"/>
    <w:rsid w:val="00B24E0A"/>
    <w:rsid w:val="00B24E2D"/>
    <w:rsid w:val="00B24F97"/>
    <w:rsid w:val="00B25052"/>
    <w:rsid w:val="00B25194"/>
    <w:rsid w:val="00B2524D"/>
    <w:rsid w:val="00B25385"/>
    <w:rsid w:val="00B2547E"/>
    <w:rsid w:val="00B254CC"/>
    <w:rsid w:val="00B25660"/>
    <w:rsid w:val="00B25760"/>
    <w:rsid w:val="00B25914"/>
    <w:rsid w:val="00B25D46"/>
    <w:rsid w:val="00B26134"/>
    <w:rsid w:val="00B26393"/>
    <w:rsid w:val="00B26519"/>
    <w:rsid w:val="00B266BD"/>
    <w:rsid w:val="00B267E1"/>
    <w:rsid w:val="00B26947"/>
    <w:rsid w:val="00B269D8"/>
    <w:rsid w:val="00B26ABE"/>
    <w:rsid w:val="00B26C2A"/>
    <w:rsid w:val="00B26C9B"/>
    <w:rsid w:val="00B26DE6"/>
    <w:rsid w:val="00B26FA3"/>
    <w:rsid w:val="00B278C4"/>
    <w:rsid w:val="00B27B0E"/>
    <w:rsid w:val="00B27CC0"/>
    <w:rsid w:val="00B27D40"/>
    <w:rsid w:val="00B27E35"/>
    <w:rsid w:val="00B27EC2"/>
    <w:rsid w:val="00B3010C"/>
    <w:rsid w:val="00B30920"/>
    <w:rsid w:val="00B30966"/>
    <w:rsid w:val="00B30A93"/>
    <w:rsid w:val="00B30EB7"/>
    <w:rsid w:val="00B30F73"/>
    <w:rsid w:val="00B30F91"/>
    <w:rsid w:val="00B313AC"/>
    <w:rsid w:val="00B313C6"/>
    <w:rsid w:val="00B315D1"/>
    <w:rsid w:val="00B31A4E"/>
    <w:rsid w:val="00B31E1A"/>
    <w:rsid w:val="00B32071"/>
    <w:rsid w:val="00B321C0"/>
    <w:rsid w:val="00B323B9"/>
    <w:rsid w:val="00B32513"/>
    <w:rsid w:val="00B325CD"/>
    <w:rsid w:val="00B32680"/>
    <w:rsid w:val="00B329A0"/>
    <w:rsid w:val="00B329EC"/>
    <w:rsid w:val="00B32CFD"/>
    <w:rsid w:val="00B32E1A"/>
    <w:rsid w:val="00B32F40"/>
    <w:rsid w:val="00B33402"/>
    <w:rsid w:val="00B33CAB"/>
    <w:rsid w:val="00B33F08"/>
    <w:rsid w:val="00B34826"/>
    <w:rsid w:val="00B34882"/>
    <w:rsid w:val="00B34A0B"/>
    <w:rsid w:val="00B34ADE"/>
    <w:rsid w:val="00B34C5E"/>
    <w:rsid w:val="00B34D2F"/>
    <w:rsid w:val="00B34D59"/>
    <w:rsid w:val="00B34ED3"/>
    <w:rsid w:val="00B351BB"/>
    <w:rsid w:val="00B3541D"/>
    <w:rsid w:val="00B354A7"/>
    <w:rsid w:val="00B354CB"/>
    <w:rsid w:val="00B3573A"/>
    <w:rsid w:val="00B35B6F"/>
    <w:rsid w:val="00B35BF0"/>
    <w:rsid w:val="00B35C23"/>
    <w:rsid w:val="00B35DAF"/>
    <w:rsid w:val="00B35DFB"/>
    <w:rsid w:val="00B360A3"/>
    <w:rsid w:val="00B36125"/>
    <w:rsid w:val="00B36264"/>
    <w:rsid w:val="00B36422"/>
    <w:rsid w:val="00B367A7"/>
    <w:rsid w:val="00B3687C"/>
    <w:rsid w:val="00B36BA1"/>
    <w:rsid w:val="00B36C50"/>
    <w:rsid w:val="00B3721B"/>
    <w:rsid w:val="00B3729D"/>
    <w:rsid w:val="00B4048F"/>
    <w:rsid w:val="00B4077B"/>
    <w:rsid w:val="00B40936"/>
    <w:rsid w:val="00B409FA"/>
    <w:rsid w:val="00B41594"/>
    <w:rsid w:val="00B41747"/>
    <w:rsid w:val="00B41C86"/>
    <w:rsid w:val="00B41CD9"/>
    <w:rsid w:val="00B41FF9"/>
    <w:rsid w:val="00B422EF"/>
    <w:rsid w:val="00B423CA"/>
    <w:rsid w:val="00B4261F"/>
    <w:rsid w:val="00B426D1"/>
    <w:rsid w:val="00B429D0"/>
    <w:rsid w:val="00B42B34"/>
    <w:rsid w:val="00B42D5D"/>
    <w:rsid w:val="00B42E6B"/>
    <w:rsid w:val="00B42FA5"/>
    <w:rsid w:val="00B43017"/>
    <w:rsid w:val="00B43131"/>
    <w:rsid w:val="00B431A9"/>
    <w:rsid w:val="00B4322F"/>
    <w:rsid w:val="00B43465"/>
    <w:rsid w:val="00B437B1"/>
    <w:rsid w:val="00B43E7A"/>
    <w:rsid w:val="00B43F59"/>
    <w:rsid w:val="00B44165"/>
    <w:rsid w:val="00B44334"/>
    <w:rsid w:val="00B44359"/>
    <w:rsid w:val="00B4475C"/>
    <w:rsid w:val="00B44834"/>
    <w:rsid w:val="00B44A91"/>
    <w:rsid w:val="00B44E65"/>
    <w:rsid w:val="00B4501A"/>
    <w:rsid w:val="00B45731"/>
    <w:rsid w:val="00B46066"/>
    <w:rsid w:val="00B46351"/>
    <w:rsid w:val="00B464F0"/>
    <w:rsid w:val="00B46AA2"/>
    <w:rsid w:val="00B46B7F"/>
    <w:rsid w:val="00B47062"/>
    <w:rsid w:val="00B47247"/>
    <w:rsid w:val="00B47818"/>
    <w:rsid w:val="00B47A67"/>
    <w:rsid w:val="00B47BDD"/>
    <w:rsid w:val="00B501D2"/>
    <w:rsid w:val="00B503D2"/>
    <w:rsid w:val="00B506F2"/>
    <w:rsid w:val="00B5082F"/>
    <w:rsid w:val="00B50AE6"/>
    <w:rsid w:val="00B50D5D"/>
    <w:rsid w:val="00B50FFD"/>
    <w:rsid w:val="00B51299"/>
    <w:rsid w:val="00B514D0"/>
    <w:rsid w:val="00B5172B"/>
    <w:rsid w:val="00B51DB2"/>
    <w:rsid w:val="00B520B7"/>
    <w:rsid w:val="00B5232F"/>
    <w:rsid w:val="00B523D1"/>
    <w:rsid w:val="00B523F8"/>
    <w:rsid w:val="00B528A1"/>
    <w:rsid w:val="00B52C62"/>
    <w:rsid w:val="00B52E04"/>
    <w:rsid w:val="00B52FEE"/>
    <w:rsid w:val="00B534AF"/>
    <w:rsid w:val="00B5351F"/>
    <w:rsid w:val="00B537F4"/>
    <w:rsid w:val="00B53B21"/>
    <w:rsid w:val="00B53DAE"/>
    <w:rsid w:val="00B540C3"/>
    <w:rsid w:val="00B541D6"/>
    <w:rsid w:val="00B549C3"/>
    <w:rsid w:val="00B553AB"/>
    <w:rsid w:val="00B5549F"/>
    <w:rsid w:val="00B55C73"/>
    <w:rsid w:val="00B561E5"/>
    <w:rsid w:val="00B565BB"/>
    <w:rsid w:val="00B56836"/>
    <w:rsid w:val="00B569A0"/>
    <w:rsid w:val="00B56A05"/>
    <w:rsid w:val="00B56A58"/>
    <w:rsid w:val="00B56DE6"/>
    <w:rsid w:val="00B570A5"/>
    <w:rsid w:val="00B5733B"/>
    <w:rsid w:val="00B5735F"/>
    <w:rsid w:val="00B573C3"/>
    <w:rsid w:val="00B57569"/>
    <w:rsid w:val="00B57572"/>
    <w:rsid w:val="00B578A6"/>
    <w:rsid w:val="00B57CB1"/>
    <w:rsid w:val="00B600F3"/>
    <w:rsid w:val="00B601BF"/>
    <w:rsid w:val="00B604F9"/>
    <w:rsid w:val="00B605B2"/>
    <w:rsid w:val="00B6180F"/>
    <w:rsid w:val="00B61D1B"/>
    <w:rsid w:val="00B62111"/>
    <w:rsid w:val="00B6218C"/>
    <w:rsid w:val="00B6220B"/>
    <w:rsid w:val="00B623DA"/>
    <w:rsid w:val="00B627B1"/>
    <w:rsid w:val="00B627F5"/>
    <w:rsid w:val="00B62825"/>
    <w:rsid w:val="00B62B35"/>
    <w:rsid w:val="00B63141"/>
    <w:rsid w:val="00B633F9"/>
    <w:rsid w:val="00B63570"/>
    <w:rsid w:val="00B635B2"/>
    <w:rsid w:val="00B636B3"/>
    <w:rsid w:val="00B637D9"/>
    <w:rsid w:val="00B638B6"/>
    <w:rsid w:val="00B638ED"/>
    <w:rsid w:val="00B63E4A"/>
    <w:rsid w:val="00B6409B"/>
    <w:rsid w:val="00B64D5A"/>
    <w:rsid w:val="00B64FFE"/>
    <w:rsid w:val="00B65121"/>
    <w:rsid w:val="00B65381"/>
    <w:rsid w:val="00B65576"/>
    <w:rsid w:val="00B660E7"/>
    <w:rsid w:val="00B6617A"/>
    <w:rsid w:val="00B66238"/>
    <w:rsid w:val="00B6638D"/>
    <w:rsid w:val="00B66B99"/>
    <w:rsid w:val="00B66EBE"/>
    <w:rsid w:val="00B66F5A"/>
    <w:rsid w:val="00B66FCD"/>
    <w:rsid w:val="00B674D9"/>
    <w:rsid w:val="00B674F4"/>
    <w:rsid w:val="00B675DF"/>
    <w:rsid w:val="00B677C7"/>
    <w:rsid w:val="00B67B71"/>
    <w:rsid w:val="00B67ED8"/>
    <w:rsid w:val="00B70124"/>
    <w:rsid w:val="00B701F6"/>
    <w:rsid w:val="00B7069F"/>
    <w:rsid w:val="00B709AD"/>
    <w:rsid w:val="00B70A02"/>
    <w:rsid w:val="00B70B88"/>
    <w:rsid w:val="00B70C53"/>
    <w:rsid w:val="00B70F27"/>
    <w:rsid w:val="00B713BC"/>
    <w:rsid w:val="00B714A7"/>
    <w:rsid w:val="00B7180F"/>
    <w:rsid w:val="00B71A22"/>
    <w:rsid w:val="00B71B16"/>
    <w:rsid w:val="00B71FC1"/>
    <w:rsid w:val="00B72200"/>
    <w:rsid w:val="00B7275F"/>
    <w:rsid w:val="00B7281B"/>
    <w:rsid w:val="00B7295D"/>
    <w:rsid w:val="00B72A0D"/>
    <w:rsid w:val="00B72A3E"/>
    <w:rsid w:val="00B72CAA"/>
    <w:rsid w:val="00B72DF3"/>
    <w:rsid w:val="00B72FE3"/>
    <w:rsid w:val="00B73032"/>
    <w:rsid w:val="00B738BE"/>
    <w:rsid w:val="00B73B62"/>
    <w:rsid w:val="00B74141"/>
    <w:rsid w:val="00B7432C"/>
    <w:rsid w:val="00B74351"/>
    <w:rsid w:val="00B7438C"/>
    <w:rsid w:val="00B74491"/>
    <w:rsid w:val="00B747A1"/>
    <w:rsid w:val="00B75664"/>
    <w:rsid w:val="00B75A5C"/>
    <w:rsid w:val="00B75AB6"/>
    <w:rsid w:val="00B75B85"/>
    <w:rsid w:val="00B761DC"/>
    <w:rsid w:val="00B76508"/>
    <w:rsid w:val="00B769C6"/>
    <w:rsid w:val="00B76FDE"/>
    <w:rsid w:val="00B773E9"/>
    <w:rsid w:val="00B77592"/>
    <w:rsid w:val="00B776C6"/>
    <w:rsid w:val="00B77725"/>
    <w:rsid w:val="00B77734"/>
    <w:rsid w:val="00B778B7"/>
    <w:rsid w:val="00B779C7"/>
    <w:rsid w:val="00B77B9E"/>
    <w:rsid w:val="00B805A9"/>
    <w:rsid w:val="00B8070F"/>
    <w:rsid w:val="00B80929"/>
    <w:rsid w:val="00B80A55"/>
    <w:rsid w:val="00B80C85"/>
    <w:rsid w:val="00B80EA1"/>
    <w:rsid w:val="00B80F2B"/>
    <w:rsid w:val="00B810B3"/>
    <w:rsid w:val="00B8140B"/>
    <w:rsid w:val="00B81544"/>
    <w:rsid w:val="00B8168F"/>
    <w:rsid w:val="00B821D0"/>
    <w:rsid w:val="00B821E1"/>
    <w:rsid w:val="00B82734"/>
    <w:rsid w:val="00B82D64"/>
    <w:rsid w:val="00B82EBD"/>
    <w:rsid w:val="00B8301E"/>
    <w:rsid w:val="00B831F9"/>
    <w:rsid w:val="00B83462"/>
    <w:rsid w:val="00B83543"/>
    <w:rsid w:val="00B8384A"/>
    <w:rsid w:val="00B84032"/>
    <w:rsid w:val="00B840AE"/>
    <w:rsid w:val="00B84164"/>
    <w:rsid w:val="00B8416D"/>
    <w:rsid w:val="00B841F4"/>
    <w:rsid w:val="00B844D5"/>
    <w:rsid w:val="00B84FDA"/>
    <w:rsid w:val="00B8506F"/>
    <w:rsid w:val="00B85099"/>
    <w:rsid w:val="00B851AF"/>
    <w:rsid w:val="00B853E4"/>
    <w:rsid w:val="00B854C4"/>
    <w:rsid w:val="00B85822"/>
    <w:rsid w:val="00B85AD0"/>
    <w:rsid w:val="00B85F53"/>
    <w:rsid w:val="00B86178"/>
    <w:rsid w:val="00B86603"/>
    <w:rsid w:val="00B8685E"/>
    <w:rsid w:val="00B86B8A"/>
    <w:rsid w:val="00B874DF"/>
    <w:rsid w:val="00B878F8"/>
    <w:rsid w:val="00B87902"/>
    <w:rsid w:val="00B87970"/>
    <w:rsid w:val="00B87D63"/>
    <w:rsid w:val="00B87F49"/>
    <w:rsid w:val="00B9017C"/>
    <w:rsid w:val="00B90E23"/>
    <w:rsid w:val="00B90E53"/>
    <w:rsid w:val="00B90F9F"/>
    <w:rsid w:val="00B91143"/>
    <w:rsid w:val="00B9133B"/>
    <w:rsid w:val="00B91A57"/>
    <w:rsid w:val="00B91D80"/>
    <w:rsid w:val="00B91F11"/>
    <w:rsid w:val="00B91F24"/>
    <w:rsid w:val="00B92091"/>
    <w:rsid w:val="00B926B0"/>
    <w:rsid w:val="00B927CB"/>
    <w:rsid w:val="00B92B73"/>
    <w:rsid w:val="00B92C0F"/>
    <w:rsid w:val="00B92EE6"/>
    <w:rsid w:val="00B93044"/>
    <w:rsid w:val="00B930CE"/>
    <w:rsid w:val="00B9329D"/>
    <w:rsid w:val="00B93566"/>
    <w:rsid w:val="00B93BC2"/>
    <w:rsid w:val="00B93F1D"/>
    <w:rsid w:val="00B94352"/>
    <w:rsid w:val="00B94444"/>
    <w:rsid w:val="00B9556C"/>
    <w:rsid w:val="00B957E0"/>
    <w:rsid w:val="00B9581C"/>
    <w:rsid w:val="00B95CAA"/>
    <w:rsid w:val="00B96066"/>
    <w:rsid w:val="00B96096"/>
    <w:rsid w:val="00B96442"/>
    <w:rsid w:val="00B96745"/>
    <w:rsid w:val="00B971E0"/>
    <w:rsid w:val="00B97388"/>
    <w:rsid w:val="00B975C0"/>
    <w:rsid w:val="00B97709"/>
    <w:rsid w:val="00B977C5"/>
    <w:rsid w:val="00B97AF8"/>
    <w:rsid w:val="00B97FE1"/>
    <w:rsid w:val="00BA0778"/>
    <w:rsid w:val="00BA0B4E"/>
    <w:rsid w:val="00BA0C38"/>
    <w:rsid w:val="00BA0EE4"/>
    <w:rsid w:val="00BA0F59"/>
    <w:rsid w:val="00BA107A"/>
    <w:rsid w:val="00BA13C3"/>
    <w:rsid w:val="00BA17D9"/>
    <w:rsid w:val="00BA1B0C"/>
    <w:rsid w:val="00BA1D49"/>
    <w:rsid w:val="00BA1D7C"/>
    <w:rsid w:val="00BA1E62"/>
    <w:rsid w:val="00BA20C5"/>
    <w:rsid w:val="00BA21DE"/>
    <w:rsid w:val="00BA23BA"/>
    <w:rsid w:val="00BA254C"/>
    <w:rsid w:val="00BA26C6"/>
    <w:rsid w:val="00BA2D6A"/>
    <w:rsid w:val="00BA2D7A"/>
    <w:rsid w:val="00BA3077"/>
    <w:rsid w:val="00BA30F7"/>
    <w:rsid w:val="00BA314A"/>
    <w:rsid w:val="00BA3EF8"/>
    <w:rsid w:val="00BA3F84"/>
    <w:rsid w:val="00BA4142"/>
    <w:rsid w:val="00BA4295"/>
    <w:rsid w:val="00BA4433"/>
    <w:rsid w:val="00BA447B"/>
    <w:rsid w:val="00BA4C14"/>
    <w:rsid w:val="00BA4C22"/>
    <w:rsid w:val="00BA54B9"/>
    <w:rsid w:val="00BA58A1"/>
    <w:rsid w:val="00BA58A9"/>
    <w:rsid w:val="00BA5B89"/>
    <w:rsid w:val="00BA678D"/>
    <w:rsid w:val="00BA683E"/>
    <w:rsid w:val="00BA6A31"/>
    <w:rsid w:val="00BA6B1D"/>
    <w:rsid w:val="00BA6DC1"/>
    <w:rsid w:val="00BA78C8"/>
    <w:rsid w:val="00BA7A47"/>
    <w:rsid w:val="00BA7BC0"/>
    <w:rsid w:val="00BA7C0A"/>
    <w:rsid w:val="00BA7D94"/>
    <w:rsid w:val="00BA7FC6"/>
    <w:rsid w:val="00BB001E"/>
    <w:rsid w:val="00BB0165"/>
    <w:rsid w:val="00BB083F"/>
    <w:rsid w:val="00BB08E2"/>
    <w:rsid w:val="00BB0A33"/>
    <w:rsid w:val="00BB0D4D"/>
    <w:rsid w:val="00BB0E3B"/>
    <w:rsid w:val="00BB1157"/>
    <w:rsid w:val="00BB1319"/>
    <w:rsid w:val="00BB13FA"/>
    <w:rsid w:val="00BB145B"/>
    <w:rsid w:val="00BB16BD"/>
    <w:rsid w:val="00BB1857"/>
    <w:rsid w:val="00BB1860"/>
    <w:rsid w:val="00BB192F"/>
    <w:rsid w:val="00BB1A49"/>
    <w:rsid w:val="00BB23FE"/>
    <w:rsid w:val="00BB24F1"/>
    <w:rsid w:val="00BB26C3"/>
    <w:rsid w:val="00BB2854"/>
    <w:rsid w:val="00BB2A51"/>
    <w:rsid w:val="00BB2AA1"/>
    <w:rsid w:val="00BB30E2"/>
    <w:rsid w:val="00BB33CC"/>
    <w:rsid w:val="00BB34A5"/>
    <w:rsid w:val="00BB355B"/>
    <w:rsid w:val="00BB3729"/>
    <w:rsid w:val="00BB38B7"/>
    <w:rsid w:val="00BB3978"/>
    <w:rsid w:val="00BB3B64"/>
    <w:rsid w:val="00BB3E36"/>
    <w:rsid w:val="00BB41E9"/>
    <w:rsid w:val="00BB49E6"/>
    <w:rsid w:val="00BB4D5C"/>
    <w:rsid w:val="00BB4E9F"/>
    <w:rsid w:val="00BB50E8"/>
    <w:rsid w:val="00BB5260"/>
    <w:rsid w:val="00BB53CD"/>
    <w:rsid w:val="00BB58BD"/>
    <w:rsid w:val="00BB59B6"/>
    <w:rsid w:val="00BB605C"/>
    <w:rsid w:val="00BB6963"/>
    <w:rsid w:val="00BB6A8C"/>
    <w:rsid w:val="00BB6B1C"/>
    <w:rsid w:val="00BB6C69"/>
    <w:rsid w:val="00BB6E6C"/>
    <w:rsid w:val="00BB6E8F"/>
    <w:rsid w:val="00BB6FC0"/>
    <w:rsid w:val="00BB7063"/>
    <w:rsid w:val="00BB74F7"/>
    <w:rsid w:val="00BB75CD"/>
    <w:rsid w:val="00BB7844"/>
    <w:rsid w:val="00BC01E4"/>
    <w:rsid w:val="00BC030A"/>
    <w:rsid w:val="00BC0B31"/>
    <w:rsid w:val="00BC0CE4"/>
    <w:rsid w:val="00BC0FD0"/>
    <w:rsid w:val="00BC1252"/>
    <w:rsid w:val="00BC1343"/>
    <w:rsid w:val="00BC1F02"/>
    <w:rsid w:val="00BC21BA"/>
    <w:rsid w:val="00BC21C6"/>
    <w:rsid w:val="00BC22D0"/>
    <w:rsid w:val="00BC2430"/>
    <w:rsid w:val="00BC2585"/>
    <w:rsid w:val="00BC31E5"/>
    <w:rsid w:val="00BC3204"/>
    <w:rsid w:val="00BC4087"/>
    <w:rsid w:val="00BC427C"/>
    <w:rsid w:val="00BC45B1"/>
    <w:rsid w:val="00BC4780"/>
    <w:rsid w:val="00BC4AA4"/>
    <w:rsid w:val="00BC4B49"/>
    <w:rsid w:val="00BC4C50"/>
    <w:rsid w:val="00BC4C83"/>
    <w:rsid w:val="00BC4C89"/>
    <w:rsid w:val="00BC51C9"/>
    <w:rsid w:val="00BC5EEF"/>
    <w:rsid w:val="00BC6158"/>
    <w:rsid w:val="00BC61F8"/>
    <w:rsid w:val="00BC65EB"/>
    <w:rsid w:val="00BC69C7"/>
    <w:rsid w:val="00BC6CFB"/>
    <w:rsid w:val="00BC7448"/>
    <w:rsid w:val="00BC74FD"/>
    <w:rsid w:val="00BC75F1"/>
    <w:rsid w:val="00BC76C7"/>
    <w:rsid w:val="00BC7B55"/>
    <w:rsid w:val="00BD005D"/>
    <w:rsid w:val="00BD03D8"/>
    <w:rsid w:val="00BD04C9"/>
    <w:rsid w:val="00BD0599"/>
    <w:rsid w:val="00BD0764"/>
    <w:rsid w:val="00BD0867"/>
    <w:rsid w:val="00BD0F23"/>
    <w:rsid w:val="00BD138C"/>
    <w:rsid w:val="00BD15F4"/>
    <w:rsid w:val="00BD186D"/>
    <w:rsid w:val="00BD19B7"/>
    <w:rsid w:val="00BD1CE7"/>
    <w:rsid w:val="00BD1E60"/>
    <w:rsid w:val="00BD2143"/>
    <w:rsid w:val="00BD2744"/>
    <w:rsid w:val="00BD285D"/>
    <w:rsid w:val="00BD29FD"/>
    <w:rsid w:val="00BD2F93"/>
    <w:rsid w:val="00BD305C"/>
    <w:rsid w:val="00BD3204"/>
    <w:rsid w:val="00BD34D6"/>
    <w:rsid w:val="00BD383A"/>
    <w:rsid w:val="00BD3A5E"/>
    <w:rsid w:val="00BD3D1C"/>
    <w:rsid w:val="00BD3D2C"/>
    <w:rsid w:val="00BD3F83"/>
    <w:rsid w:val="00BD4219"/>
    <w:rsid w:val="00BD433B"/>
    <w:rsid w:val="00BD4608"/>
    <w:rsid w:val="00BD4651"/>
    <w:rsid w:val="00BD4686"/>
    <w:rsid w:val="00BD46EE"/>
    <w:rsid w:val="00BD4773"/>
    <w:rsid w:val="00BD47EB"/>
    <w:rsid w:val="00BD48C6"/>
    <w:rsid w:val="00BD49F9"/>
    <w:rsid w:val="00BD4A7E"/>
    <w:rsid w:val="00BD4BCF"/>
    <w:rsid w:val="00BD4C0C"/>
    <w:rsid w:val="00BD500C"/>
    <w:rsid w:val="00BD56FD"/>
    <w:rsid w:val="00BD570C"/>
    <w:rsid w:val="00BD5A63"/>
    <w:rsid w:val="00BD5BED"/>
    <w:rsid w:val="00BD5C49"/>
    <w:rsid w:val="00BD5E82"/>
    <w:rsid w:val="00BD619F"/>
    <w:rsid w:val="00BD6506"/>
    <w:rsid w:val="00BD6A06"/>
    <w:rsid w:val="00BD70BB"/>
    <w:rsid w:val="00BD74DE"/>
    <w:rsid w:val="00BD779F"/>
    <w:rsid w:val="00BD7C46"/>
    <w:rsid w:val="00BE0188"/>
    <w:rsid w:val="00BE05AD"/>
    <w:rsid w:val="00BE06AF"/>
    <w:rsid w:val="00BE0774"/>
    <w:rsid w:val="00BE0C22"/>
    <w:rsid w:val="00BE0E1F"/>
    <w:rsid w:val="00BE111C"/>
    <w:rsid w:val="00BE18E8"/>
    <w:rsid w:val="00BE1B37"/>
    <w:rsid w:val="00BE1E66"/>
    <w:rsid w:val="00BE1F96"/>
    <w:rsid w:val="00BE254C"/>
    <w:rsid w:val="00BE2645"/>
    <w:rsid w:val="00BE29BF"/>
    <w:rsid w:val="00BE2AA8"/>
    <w:rsid w:val="00BE2ECA"/>
    <w:rsid w:val="00BE3237"/>
    <w:rsid w:val="00BE341D"/>
    <w:rsid w:val="00BE3929"/>
    <w:rsid w:val="00BE3D6A"/>
    <w:rsid w:val="00BE3DDA"/>
    <w:rsid w:val="00BE4327"/>
    <w:rsid w:val="00BE4555"/>
    <w:rsid w:val="00BE45D0"/>
    <w:rsid w:val="00BE4ABC"/>
    <w:rsid w:val="00BE4B70"/>
    <w:rsid w:val="00BE4F2A"/>
    <w:rsid w:val="00BE51D8"/>
    <w:rsid w:val="00BE563C"/>
    <w:rsid w:val="00BE59DD"/>
    <w:rsid w:val="00BE6122"/>
    <w:rsid w:val="00BE6405"/>
    <w:rsid w:val="00BE6839"/>
    <w:rsid w:val="00BE69F9"/>
    <w:rsid w:val="00BE6E77"/>
    <w:rsid w:val="00BE6FB4"/>
    <w:rsid w:val="00BE7411"/>
    <w:rsid w:val="00BE745A"/>
    <w:rsid w:val="00BE7734"/>
    <w:rsid w:val="00BE78A4"/>
    <w:rsid w:val="00BE792A"/>
    <w:rsid w:val="00BE7E97"/>
    <w:rsid w:val="00BF0280"/>
    <w:rsid w:val="00BF0287"/>
    <w:rsid w:val="00BF0358"/>
    <w:rsid w:val="00BF0557"/>
    <w:rsid w:val="00BF0749"/>
    <w:rsid w:val="00BF08E4"/>
    <w:rsid w:val="00BF0B71"/>
    <w:rsid w:val="00BF0E3C"/>
    <w:rsid w:val="00BF11DB"/>
    <w:rsid w:val="00BF131E"/>
    <w:rsid w:val="00BF1509"/>
    <w:rsid w:val="00BF154A"/>
    <w:rsid w:val="00BF173F"/>
    <w:rsid w:val="00BF17D3"/>
    <w:rsid w:val="00BF1BAD"/>
    <w:rsid w:val="00BF1D12"/>
    <w:rsid w:val="00BF1FB3"/>
    <w:rsid w:val="00BF22A2"/>
    <w:rsid w:val="00BF2DAD"/>
    <w:rsid w:val="00BF33AA"/>
    <w:rsid w:val="00BF34F0"/>
    <w:rsid w:val="00BF35D4"/>
    <w:rsid w:val="00BF3683"/>
    <w:rsid w:val="00BF36AE"/>
    <w:rsid w:val="00BF3951"/>
    <w:rsid w:val="00BF396F"/>
    <w:rsid w:val="00BF3A04"/>
    <w:rsid w:val="00BF3A28"/>
    <w:rsid w:val="00BF3C83"/>
    <w:rsid w:val="00BF3D43"/>
    <w:rsid w:val="00BF452B"/>
    <w:rsid w:val="00BF4DD5"/>
    <w:rsid w:val="00BF5353"/>
    <w:rsid w:val="00BF590A"/>
    <w:rsid w:val="00BF593F"/>
    <w:rsid w:val="00BF5C91"/>
    <w:rsid w:val="00BF5F6C"/>
    <w:rsid w:val="00BF6231"/>
    <w:rsid w:val="00BF64E7"/>
    <w:rsid w:val="00BF66AC"/>
    <w:rsid w:val="00BF66E8"/>
    <w:rsid w:val="00BF6B8D"/>
    <w:rsid w:val="00BF6D73"/>
    <w:rsid w:val="00BF6E09"/>
    <w:rsid w:val="00BF6F96"/>
    <w:rsid w:val="00BF788D"/>
    <w:rsid w:val="00BF7B4E"/>
    <w:rsid w:val="00BF7E21"/>
    <w:rsid w:val="00C005E4"/>
    <w:rsid w:val="00C00CA1"/>
    <w:rsid w:val="00C00D52"/>
    <w:rsid w:val="00C00DC8"/>
    <w:rsid w:val="00C010BA"/>
    <w:rsid w:val="00C018C6"/>
    <w:rsid w:val="00C01E80"/>
    <w:rsid w:val="00C024A0"/>
    <w:rsid w:val="00C02C66"/>
    <w:rsid w:val="00C02E2D"/>
    <w:rsid w:val="00C02F02"/>
    <w:rsid w:val="00C030E1"/>
    <w:rsid w:val="00C03920"/>
    <w:rsid w:val="00C0399C"/>
    <w:rsid w:val="00C03CCA"/>
    <w:rsid w:val="00C03CFA"/>
    <w:rsid w:val="00C03DF9"/>
    <w:rsid w:val="00C03E69"/>
    <w:rsid w:val="00C040EE"/>
    <w:rsid w:val="00C04730"/>
    <w:rsid w:val="00C04A6F"/>
    <w:rsid w:val="00C04ADB"/>
    <w:rsid w:val="00C04C10"/>
    <w:rsid w:val="00C04DF8"/>
    <w:rsid w:val="00C0507D"/>
    <w:rsid w:val="00C050C8"/>
    <w:rsid w:val="00C052A8"/>
    <w:rsid w:val="00C05A55"/>
    <w:rsid w:val="00C05CE9"/>
    <w:rsid w:val="00C05D41"/>
    <w:rsid w:val="00C05EE6"/>
    <w:rsid w:val="00C0622C"/>
    <w:rsid w:val="00C06957"/>
    <w:rsid w:val="00C06A31"/>
    <w:rsid w:val="00C06BBD"/>
    <w:rsid w:val="00C07532"/>
    <w:rsid w:val="00C075B7"/>
    <w:rsid w:val="00C0781E"/>
    <w:rsid w:val="00C10229"/>
    <w:rsid w:val="00C107E3"/>
    <w:rsid w:val="00C10828"/>
    <w:rsid w:val="00C1089C"/>
    <w:rsid w:val="00C10A8A"/>
    <w:rsid w:val="00C10A96"/>
    <w:rsid w:val="00C10BBE"/>
    <w:rsid w:val="00C10E06"/>
    <w:rsid w:val="00C10FF5"/>
    <w:rsid w:val="00C11710"/>
    <w:rsid w:val="00C11939"/>
    <w:rsid w:val="00C11F7F"/>
    <w:rsid w:val="00C12303"/>
    <w:rsid w:val="00C1234D"/>
    <w:rsid w:val="00C1235F"/>
    <w:rsid w:val="00C12393"/>
    <w:rsid w:val="00C12798"/>
    <w:rsid w:val="00C1284B"/>
    <w:rsid w:val="00C13287"/>
    <w:rsid w:val="00C13686"/>
    <w:rsid w:val="00C13972"/>
    <w:rsid w:val="00C13A4C"/>
    <w:rsid w:val="00C13B39"/>
    <w:rsid w:val="00C13EBF"/>
    <w:rsid w:val="00C14068"/>
    <w:rsid w:val="00C14309"/>
    <w:rsid w:val="00C14491"/>
    <w:rsid w:val="00C1455F"/>
    <w:rsid w:val="00C14AC9"/>
    <w:rsid w:val="00C14DD1"/>
    <w:rsid w:val="00C155FF"/>
    <w:rsid w:val="00C15899"/>
    <w:rsid w:val="00C1590D"/>
    <w:rsid w:val="00C15BE8"/>
    <w:rsid w:val="00C15C2B"/>
    <w:rsid w:val="00C15D01"/>
    <w:rsid w:val="00C15FD6"/>
    <w:rsid w:val="00C16056"/>
    <w:rsid w:val="00C16144"/>
    <w:rsid w:val="00C16181"/>
    <w:rsid w:val="00C161D8"/>
    <w:rsid w:val="00C163D0"/>
    <w:rsid w:val="00C164F6"/>
    <w:rsid w:val="00C1715C"/>
    <w:rsid w:val="00C172CB"/>
    <w:rsid w:val="00C172D8"/>
    <w:rsid w:val="00C173C2"/>
    <w:rsid w:val="00C17CBC"/>
    <w:rsid w:val="00C17D52"/>
    <w:rsid w:val="00C17DD1"/>
    <w:rsid w:val="00C17E49"/>
    <w:rsid w:val="00C17F44"/>
    <w:rsid w:val="00C201DA"/>
    <w:rsid w:val="00C20272"/>
    <w:rsid w:val="00C2028A"/>
    <w:rsid w:val="00C20778"/>
    <w:rsid w:val="00C2092F"/>
    <w:rsid w:val="00C20979"/>
    <w:rsid w:val="00C20FC3"/>
    <w:rsid w:val="00C20FDF"/>
    <w:rsid w:val="00C21722"/>
    <w:rsid w:val="00C22563"/>
    <w:rsid w:val="00C229DC"/>
    <w:rsid w:val="00C23299"/>
    <w:rsid w:val="00C23664"/>
    <w:rsid w:val="00C23C7A"/>
    <w:rsid w:val="00C24526"/>
    <w:rsid w:val="00C246AE"/>
    <w:rsid w:val="00C246FC"/>
    <w:rsid w:val="00C24796"/>
    <w:rsid w:val="00C24DA3"/>
    <w:rsid w:val="00C25060"/>
    <w:rsid w:val="00C251E6"/>
    <w:rsid w:val="00C25278"/>
    <w:rsid w:val="00C25457"/>
    <w:rsid w:val="00C25508"/>
    <w:rsid w:val="00C258A2"/>
    <w:rsid w:val="00C258DB"/>
    <w:rsid w:val="00C259D7"/>
    <w:rsid w:val="00C25AB5"/>
    <w:rsid w:val="00C25FB8"/>
    <w:rsid w:val="00C261A9"/>
    <w:rsid w:val="00C263EB"/>
    <w:rsid w:val="00C2653F"/>
    <w:rsid w:val="00C26E5C"/>
    <w:rsid w:val="00C26E87"/>
    <w:rsid w:val="00C26E90"/>
    <w:rsid w:val="00C27364"/>
    <w:rsid w:val="00C276EC"/>
    <w:rsid w:val="00C276F1"/>
    <w:rsid w:val="00C27B71"/>
    <w:rsid w:val="00C27D43"/>
    <w:rsid w:val="00C30367"/>
    <w:rsid w:val="00C308BE"/>
    <w:rsid w:val="00C30A54"/>
    <w:rsid w:val="00C30BC8"/>
    <w:rsid w:val="00C30EE7"/>
    <w:rsid w:val="00C30EE9"/>
    <w:rsid w:val="00C313EE"/>
    <w:rsid w:val="00C31D24"/>
    <w:rsid w:val="00C325CC"/>
    <w:rsid w:val="00C325E4"/>
    <w:rsid w:val="00C3263B"/>
    <w:rsid w:val="00C32989"/>
    <w:rsid w:val="00C32B36"/>
    <w:rsid w:val="00C32DAA"/>
    <w:rsid w:val="00C32F33"/>
    <w:rsid w:val="00C3322D"/>
    <w:rsid w:val="00C33495"/>
    <w:rsid w:val="00C33C28"/>
    <w:rsid w:val="00C33C30"/>
    <w:rsid w:val="00C33DA6"/>
    <w:rsid w:val="00C3402C"/>
    <w:rsid w:val="00C34CF7"/>
    <w:rsid w:val="00C34D0C"/>
    <w:rsid w:val="00C34F6C"/>
    <w:rsid w:val="00C34F70"/>
    <w:rsid w:val="00C352DC"/>
    <w:rsid w:val="00C35851"/>
    <w:rsid w:val="00C35F5F"/>
    <w:rsid w:val="00C36205"/>
    <w:rsid w:val="00C366FB"/>
    <w:rsid w:val="00C3673F"/>
    <w:rsid w:val="00C36741"/>
    <w:rsid w:val="00C36A1B"/>
    <w:rsid w:val="00C36A51"/>
    <w:rsid w:val="00C36C65"/>
    <w:rsid w:val="00C36C71"/>
    <w:rsid w:val="00C36CC5"/>
    <w:rsid w:val="00C3703D"/>
    <w:rsid w:val="00C37351"/>
    <w:rsid w:val="00C37694"/>
    <w:rsid w:val="00C376C8"/>
    <w:rsid w:val="00C377C5"/>
    <w:rsid w:val="00C377FB"/>
    <w:rsid w:val="00C37C04"/>
    <w:rsid w:val="00C37F99"/>
    <w:rsid w:val="00C4019A"/>
    <w:rsid w:val="00C40477"/>
    <w:rsid w:val="00C40595"/>
    <w:rsid w:val="00C40A58"/>
    <w:rsid w:val="00C40B16"/>
    <w:rsid w:val="00C40CFC"/>
    <w:rsid w:val="00C40D65"/>
    <w:rsid w:val="00C41257"/>
    <w:rsid w:val="00C4156E"/>
    <w:rsid w:val="00C415A5"/>
    <w:rsid w:val="00C41F73"/>
    <w:rsid w:val="00C423D5"/>
    <w:rsid w:val="00C425FF"/>
    <w:rsid w:val="00C42958"/>
    <w:rsid w:val="00C429AD"/>
    <w:rsid w:val="00C42D5A"/>
    <w:rsid w:val="00C42F5D"/>
    <w:rsid w:val="00C431CD"/>
    <w:rsid w:val="00C43A85"/>
    <w:rsid w:val="00C43B7E"/>
    <w:rsid w:val="00C43C0D"/>
    <w:rsid w:val="00C43CEF"/>
    <w:rsid w:val="00C43DFD"/>
    <w:rsid w:val="00C43E04"/>
    <w:rsid w:val="00C44406"/>
    <w:rsid w:val="00C4445D"/>
    <w:rsid w:val="00C449D5"/>
    <w:rsid w:val="00C45171"/>
    <w:rsid w:val="00C45314"/>
    <w:rsid w:val="00C45334"/>
    <w:rsid w:val="00C45335"/>
    <w:rsid w:val="00C458DD"/>
    <w:rsid w:val="00C45D8C"/>
    <w:rsid w:val="00C460E7"/>
    <w:rsid w:val="00C4653C"/>
    <w:rsid w:val="00C465AA"/>
    <w:rsid w:val="00C4673D"/>
    <w:rsid w:val="00C46887"/>
    <w:rsid w:val="00C469EC"/>
    <w:rsid w:val="00C46EF9"/>
    <w:rsid w:val="00C470B0"/>
    <w:rsid w:val="00C4781B"/>
    <w:rsid w:val="00C478F6"/>
    <w:rsid w:val="00C47AE1"/>
    <w:rsid w:val="00C47B27"/>
    <w:rsid w:val="00C47B37"/>
    <w:rsid w:val="00C47BF0"/>
    <w:rsid w:val="00C47BF7"/>
    <w:rsid w:val="00C47F41"/>
    <w:rsid w:val="00C50042"/>
    <w:rsid w:val="00C50096"/>
    <w:rsid w:val="00C500B9"/>
    <w:rsid w:val="00C50113"/>
    <w:rsid w:val="00C50753"/>
    <w:rsid w:val="00C50903"/>
    <w:rsid w:val="00C50B4F"/>
    <w:rsid w:val="00C50D7C"/>
    <w:rsid w:val="00C50DFD"/>
    <w:rsid w:val="00C511E0"/>
    <w:rsid w:val="00C5146A"/>
    <w:rsid w:val="00C514E2"/>
    <w:rsid w:val="00C51599"/>
    <w:rsid w:val="00C515E3"/>
    <w:rsid w:val="00C51715"/>
    <w:rsid w:val="00C51A73"/>
    <w:rsid w:val="00C51D26"/>
    <w:rsid w:val="00C51D37"/>
    <w:rsid w:val="00C520F4"/>
    <w:rsid w:val="00C52803"/>
    <w:rsid w:val="00C52F06"/>
    <w:rsid w:val="00C52F1E"/>
    <w:rsid w:val="00C52F4D"/>
    <w:rsid w:val="00C53113"/>
    <w:rsid w:val="00C53142"/>
    <w:rsid w:val="00C53284"/>
    <w:rsid w:val="00C536C2"/>
    <w:rsid w:val="00C537C6"/>
    <w:rsid w:val="00C537F9"/>
    <w:rsid w:val="00C53E94"/>
    <w:rsid w:val="00C53FE0"/>
    <w:rsid w:val="00C54288"/>
    <w:rsid w:val="00C54767"/>
    <w:rsid w:val="00C54A6B"/>
    <w:rsid w:val="00C54BBD"/>
    <w:rsid w:val="00C54BEB"/>
    <w:rsid w:val="00C54F34"/>
    <w:rsid w:val="00C555D6"/>
    <w:rsid w:val="00C55A23"/>
    <w:rsid w:val="00C55A7C"/>
    <w:rsid w:val="00C55D60"/>
    <w:rsid w:val="00C56122"/>
    <w:rsid w:val="00C56245"/>
    <w:rsid w:val="00C564EC"/>
    <w:rsid w:val="00C56897"/>
    <w:rsid w:val="00C569DA"/>
    <w:rsid w:val="00C56F14"/>
    <w:rsid w:val="00C5719A"/>
    <w:rsid w:val="00C57773"/>
    <w:rsid w:val="00C5786E"/>
    <w:rsid w:val="00C57895"/>
    <w:rsid w:val="00C579B7"/>
    <w:rsid w:val="00C57ADF"/>
    <w:rsid w:val="00C57C88"/>
    <w:rsid w:val="00C57EAC"/>
    <w:rsid w:val="00C57FA2"/>
    <w:rsid w:val="00C57FEC"/>
    <w:rsid w:val="00C6047C"/>
    <w:rsid w:val="00C60493"/>
    <w:rsid w:val="00C6053A"/>
    <w:rsid w:val="00C606FE"/>
    <w:rsid w:val="00C60915"/>
    <w:rsid w:val="00C60922"/>
    <w:rsid w:val="00C60D72"/>
    <w:rsid w:val="00C6107A"/>
    <w:rsid w:val="00C61720"/>
    <w:rsid w:val="00C6180A"/>
    <w:rsid w:val="00C61F57"/>
    <w:rsid w:val="00C62022"/>
    <w:rsid w:val="00C629BD"/>
    <w:rsid w:val="00C629CB"/>
    <w:rsid w:val="00C62B08"/>
    <w:rsid w:val="00C62B11"/>
    <w:rsid w:val="00C630C9"/>
    <w:rsid w:val="00C631D1"/>
    <w:rsid w:val="00C63695"/>
    <w:rsid w:val="00C63C1E"/>
    <w:rsid w:val="00C6405D"/>
    <w:rsid w:val="00C64334"/>
    <w:rsid w:val="00C64443"/>
    <w:rsid w:val="00C6454A"/>
    <w:rsid w:val="00C64763"/>
    <w:rsid w:val="00C64842"/>
    <w:rsid w:val="00C65622"/>
    <w:rsid w:val="00C65A16"/>
    <w:rsid w:val="00C65FD1"/>
    <w:rsid w:val="00C664AE"/>
    <w:rsid w:val="00C6669B"/>
    <w:rsid w:val="00C66D17"/>
    <w:rsid w:val="00C67DCA"/>
    <w:rsid w:val="00C67E3E"/>
    <w:rsid w:val="00C70750"/>
    <w:rsid w:val="00C70888"/>
    <w:rsid w:val="00C7105B"/>
    <w:rsid w:val="00C711C4"/>
    <w:rsid w:val="00C71470"/>
    <w:rsid w:val="00C7159C"/>
    <w:rsid w:val="00C715B7"/>
    <w:rsid w:val="00C71659"/>
    <w:rsid w:val="00C717E2"/>
    <w:rsid w:val="00C718AB"/>
    <w:rsid w:val="00C71951"/>
    <w:rsid w:val="00C719DF"/>
    <w:rsid w:val="00C71CEF"/>
    <w:rsid w:val="00C722BB"/>
    <w:rsid w:val="00C723B2"/>
    <w:rsid w:val="00C724CA"/>
    <w:rsid w:val="00C72A39"/>
    <w:rsid w:val="00C72D63"/>
    <w:rsid w:val="00C72DB0"/>
    <w:rsid w:val="00C7321F"/>
    <w:rsid w:val="00C732C4"/>
    <w:rsid w:val="00C734C9"/>
    <w:rsid w:val="00C734D7"/>
    <w:rsid w:val="00C7365D"/>
    <w:rsid w:val="00C73C57"/>
    <w:rsid w:val="00C73C73"/>
    <w:rsid w:val="00C73C9B"/>
    <w:rsid w:val="00C73D21"/>
    <w:rsid w:val="00C74038"/>
    <w:rsid w:val="00C741E7"/>
    <w:rsid w:val="00C7428F"/>
    <w:rsid w:val="00C74733"/>
    <w:rsid w:val="00C74824"/>
    <w:rsid w:val="00C74CA7"/>
    <w:rsid w:val="00C75119"/>
    <w:rsid w:val="00C7534C"/>
    <w:rsid w:val="00C75B95"/>
    <w:rsid w:val="00C75BD8"/>
    <w:rsid w:val="00C75DC6"/>
    <w:rsid w:val="00C75E06"/>
    <w:rsid w:val="00C76408"/>
    <w:rsid w:val="00C7659A"/>
    <w:rsid w:val="00C76C4A"/>
    <w:rsid w:val="00C76EE8"/>
    <w:rsid w:val="00C77088"/>
    <w:rsid w:val="00C77254"/>
    <w:rsid w:val="00C77532"/>
    <w:rsid w:val="00C77A3F"/>
    <w:rsid w:val="00C77AFD"/>
    <w:rsid w:val="00C77D7B"/>
    <w:rsid w:val="00C77E3C"/>
    <w:rsid w:val="00C77E83"/>
    <w:rsid w:val="00C77FBF"/>
    <w:rsid w:val="00C790ED"/>
    <w:rsid w:val="00C800B4"/>
    <w:rsid w:val="00C804AC"/>
    <w:rsid w:val="00C8068F"/>
    <w:rsid w:val="00C80744"/>
    <w:rsid w:val="00C80770"/>
    <w:rsid w:val="00C808FF"/>
    <w:rsid w:val="00C80BEE"/>
    <w:rsid w:val="00C80EC2"/>
    <w:rsid w:val="00C8143B"/>
    <w:rsid w:val="00C816B3"/>
    <w:rsid w:val="00C827BF"/>
    <w:rsid w:val="00C82803"/>
    <w:rsid w:val="00C82914"/>
    <w:rsid w:val="00C829F5"/>
    <w:rsid w:val="00C82A64"/>
    <w:rsid w:val="00C82FA2"/>
    <w:rsid w:val="00C830A3"/>
    <w:rsid w:val="00C83A3E"/>
    <w:rsid w:val="00C8407E"/>
    <w:rsid w:val="00C84403"/>
    <w:rsid w:val="00C84CB8"/>
    <w:rsid w:val="00C84FE1"/>
    <w:rsid w:val="00C85044"/>
    <w:rsid w:val="00C8532E"/>
    <w:rsid w:val="00C85782"/>
    <w:rsid w:val="00C86169"/>
    <w:rsid w:val="00C8632D"/>
    <w:rsid w:val="00C86368"/>
    <w:rsid w:val="00C864FD"/>
    <w:rsid w:val="00C86A5D"/>
    <w:rsid w:val="00C86B9E"/>
    <w:rsid w:val="00C870B1"/>
    <w:rsid w:val="00C8729D"/>
    <w:rsid w:val="00C87AAE"/>
    <w:rsid w:val="00C901C3"/>
    <w:rsid w:val="00C902AB"/>
    <w:rsid w:val="00C903F6"/>
    <w:rsid w:val="00C905E6"/>
    <w:rsid w:val="00C907F9"/>
    <w:rsid w:val="00C90C6E"/>
    <w:rsid w:val="00C90DA9"/>
    <w:rsid w:val="00C912CB"/>
    <w:rsid w:val="00C9179A"/>
    <w:rsid w:val="00C91EC1"/>
    <w:rsid w:val="00C91ED8"/>
    <w:rsid w:val="00C92367"/>
    <w:rsid w:val="00C92442"/>
    <w:rsid w:val="00C92448"/>
    <w:rsid w:val="00C9249E"/>
    <w:rsid w:val="00C92629"/>
    <w:rsid w:val="00C92E29"/>
    <w:rsid w:val="00C92EDE"/>
    <w:rsid w:val="00C93579"/>
    <w:rsid w:val="00C9392B"/>
    <w:rsid w:val="00C93A10"/>
    <w:rsid w:val="00C93C18"/>
    <w:rsid w:val="00C941BC"/>
    <w:rsid w:val="00C9436F"/>
    <w:rsid w:val="00C94422"/>
    <w:rsid w:val="00C948FB"/>
    <w:rsid w:val="00C94C33"/>
    <w:rsid w:val="00C94FF4"/>
    <w:rsid w:val="00C95568"/>
    <w:rsid w:val="00C955B7"/>
    <w:rsid w:val="00C95632"/>
    <w:rsid w:val="00C956AA"/>
    <w:rsid w:val="00C9590B"/>
    <w:rsid w:val="00C95BFC"/>
    <w:rsid w:val="00C962B8"/>
    <w:rsid w:val="00C96ADF"/>
    <w:rsid w:val="00C96BE8"/>
    <w:rsid w:val="00C96F0C"/>
    <w:rsid w:val="00C972EE"/>
    <w:rsid w:val="00C97585"/>
    <w:rsid w:val="00C97670"/>
    <w:rsid w:val="00C978EE"/>
    <w:rsid w:val="00CA01DE"/>
    <w:rsid w:val="00CA038B"/>
    <w:rsid w:val="00CA0F12"/>
    <w:rsid w:val="00CA1003"/>
    <w:rsid w:val="00CA12D5"/>
    <w:rsid w:val="00CA157E"/>
    <w:rsid w:val="00CA15C8"/>
    <w:rsid w:val="00CA1BCD"/>
    <w:rsid w:val="00CA1DBD"/>
    <w:rsid w:val="00CA1E74"/>
    <w:rsid w:val="00CA1F27"/>
    <w:rsid w:val="00CA1F75"/>
    <w:rsid w:val="00CA1F84"/>
    <w:rsid w:val="00CA1FF8"/>
    <w:rsid w:val="00CA2AE2"/>
    <w:rsid w:val="00CA2D5A"/>
    <w:rsid w:val="00CA2E42"/>
    <w:rsid w:val="00CA2E80"/>
    <w:rsid w:val="00CA2EB8"/>
    <w:rsid w:val="00CA3229"/>
    <w:rsid w:val="00CA33CD"/>
    <w:rsid w:val="00CA3646"/>
    <w:rsid w:val="00CA392F"/>
    <w:rsid w:val="00CA3AFB"/>
    <w:rsid w:val="00CA3B85"/>
    <w:rsid w:val="00CA3CE6"/>
    <w:rsid w:val="00CA3D4C"/>
    <w:rsid w:val="00CA4482"/>
    <w:rsid w:val="00CA4693"/>
    <w:rsid w:val="00CA4859"/>
    <w:rsid w:val="00CA49F2"/>
    <w:rsid w:val="00CA4C5E"/>
    <w:rsid w:val="00CA4CF3"/>
    <w:rsid w:val="00CA4F57"/>
    <w:rsid w:val="00CA505B"/>
    <w:rsid w:val="00CA5767"/>
    <w:rsid w:val="00CA5993"/>
    <w:rsid w:val="00CA5C4D"/>
    <w:rsid w:val="00CA5FC0"/>
    <w:rsid w:val="00CA6097"/>
    <w:rsid w:val="00CA627B"/>
    <w:rsid w:val="00CA6309"/>
    <w:rsid w:val="00CA67AE"/>
    <w:rsid w:val="00CA6EBC"/>
    <w:rsid w:val="00CA749E"/>
    <w:rsid w:val="00CA75D9"/>
    <w:rsid w:val="00CA76C6"/>
    <w:rsid w:val="00CA7A9E"/>
    <w:rsid w:val="00CA7BB6"/>
    <w:rsid w:val="00CA7CEE"/>
    <w:rsid w:val="00CA7F39"/>
    <w:rsid w:val="00CA7FC4"/>
    <w:rsid w:val="00CAA185"/>
    <w:rsid w:val="00CB001D"/>
    <w:rsid w:val="00CB0087"/>
    <w:rsid w:val="00CB0297"/>
    <w:rsid w:val="00CB069F"/>
    <w:rsid w:val="00CB0A22"/>
    <w:rsid w:val="00CB0B6D"/>
    <w:rsid w:val="00CB0B8B"/>
    <w:rsid w:val="00CB0C80"/>
    <w:rsid w:val="00CB0E74"/>
    <w:rsid w:val="00CB12D6"/>
    <w:rsid w:val="00CB1426"/>
    <w:rsid w:val="00CB14FD"/>
    <w:rsid w:val="00CB1F6A"/>
    <w:rsid w:val="00CB21A6"/>
    <w:rsid w:val="00CB253A"/>
    <w:rsid w:val="00CB2A52"/>
    <w:rsid w:val="00CB2B45"/>
    <w:rsid w:val="00CB2C0A"/>
    <w:rsid w:val="00CB327C"/>
    <w:rsid w:val="00CB343C"/>
    <w:rsid w:val="00CB35A4"/>
    <w:rsid w:val="00CB38AB"/>
    <w:rsid w:val="00CB3963"/>
    <w:rsid w:val="00CB3B63"/>
    <w:rsid w:val="00CB3DD7"/>
    <w:rsid w:val="00CB447F"/>
    <w:rsid w:val="00CB4537"/>
    <w:rsid w:val="00CB461F"/>
    <w:rsid w:val="00CB48A0"/>
    <w:rsid w:val="00CB4D8F"/>
    <w:rsid w:val="00CB509A"/>
    <w:rsid w:val="00CB52A1"/>
    <w:rsid w:val="00CB58B6"/>
    <w:rsid w:val="00CB58D9"/>
    <w:rsid w:val="00CB5AD1"/>
    <w:rsid w:val="00CB5CB8"/>
    <w:rsid w:val="00CB5DF2"/>
    <w:rsid w:val="00CB602C"/>
    <w:rsid w:val="00CB6181"/>
    <w:rsid w:val="00CB61AD"/>
    <w:rsid w:val="00CB62CC"/>
    <w:rsid w:val="00CB63C6"/>
    <w:rsid w:val="00CB6C31"/>
    <w:rsid w:val="00CB6CFB"/>
    <w:rsid w:val="00CB6DCB"/>
    <w:rsid w:val="00CB6E89"/>
    <w:rsid w:val="00CB6EAB"/>
    <w:rsid w:val="00CB6F1E"/>
    <w:rsid w:val="00CB6F54"/>
    <w:rsid w:val="00CB743F"/>
    <w:rsid w:val="00CB76CA"/>
    <w:rsid w:val="00CB7859"/>
    <w:rsid w:val="00CB7E3F"/>
    <w:rsid w:val="00CC01D7"/>
    <w:rsid w:val="00CC0716"/>
    <w:rsid w:val="00CC08D7"/>
    <w:rsid w:val="00CC0D7F"/>
    <w:rsid w:val="00CC10F7"/>
    <w:rsid w:val="00CC1313"/>
    <w:rsid w:val="00CC1756"/>
    <w:rsid w:val="00CC1CEA"/>
    <w:rsid w:val="00CC1DEF"/>
    <w:rsid w:val="00CC2122"/>
    <w:rsid w:val="00CC2420"/>
    <w:rsid w:val="00CC2824"/>
    <w:rsid w:val="00CC28D4"/>
    <w:rsid w:val="00CC28F5"/>
    <w:rsid w:val="00CC296D"/>
    <w:rsid w:val="00CC297D"/>
    <w:rsid w:val="00CC299B"/>
    <w:rsid w:val="00CC2A7F"/>
    <w:rsid w:val="00CC31FD"/>
    <w:rsid w:val="00CC32F4"/>
    <w:rsid w:val="00CC387F"/>
    <w:rsid w:val="00CC3B05"/>
    <w:rsid w:val="00CC3EC0"/>
    <w:rsid w:val="00CC4380"/>
    <w:rsid w:val="00CC4428"/>
    <w:rsid w:val="00CC545B"/>
    <w:rsid w:val="00CC55DA"/>
    <w:rsid w:val="00CC5874"/>
    <w:rsid w:val="00CC61A5"/>
    <w:rsid w:val="00CC70EC"/>
    <w:rsid w:val="00CC721A"/>
    <w:rsid w:val="00CC767F"/>
    <w:rsid w:val="00CC79B8"/>
    <w:rsid w:val="00CC7E29"/>
    <w:rsid w:val="00CC7EFF"/>
    <w:rsid w:val="00CD003C"/>
    <w:rsid w:val="00CD013A"/>
    <w:rsid w:val="00CD0948"/>
    <w:rsid w:val="00CD0F18"/>
    <w:rsid w:val="00CD0F39"/>
    <w:rsid w:val="00CD1442"/>
    <w:rsid w:val="00CD1544"/>
    <w:rsid w:val="00CD1567"/>
    <w:rsid w:val="00CD165E"/>
    <w:rsid w:val="00CD16EA"/>
    <w:rsid w:val="00CD16F6"/>
    <w:rsid w:val="00CD1B41"/>
    <w:rsid w:val="00CD1C7E"/>
    <w:rsid w:val="00CD1D02"/>
    <w:rsid w:val="00CD1EEF"/>
    <w:rsid w:val="00CD247B"/>
    <w:rsid w:val="00CD264D"/>
    <w:rsid w:val="00CD28B1"/>
    <w:rsid w:val="00CD2A68"/>
    <w:rsid w:val="00CD2CBA"/>
    <w:rsid w:val="00CD2F36"/>
    <w:rsid w:val="00CD2FF7"/>
    <w:rsid w:val="00CD3011"/>
    <w:rsid w:val="00CD35ED"/>
    <w:rsid w:val="00CD38C9"/>
    <w:rsid w:val="00CD3E76"/>
    <w:rsid w:val="00CD3F7A"/>
    <w:rsid w:val="00CD3FFD"/>
    <w:rsid w:val="00CD4338"/>
    <w:rsid w:val="00CD4458"/>
    <w:rsid w:val="00CD46CD"/>
    <w:rsid w:val="00CD4827"/>
    <w:rsid w:val="00CD4967"/>
    <w:rsid w:val="00CD4E47"/>
    <w:rsid w:val="00CD5029"/>
    <w:rsid w:val="00CD551F"/>
    <w:rsid w:val="00CD579B"/>
    <w:rsid w:val="00CD5F49"/>
    <w:rsid w:val="00CD70E3"/>
    <w:rsid w:val="00CD717A"/>
    <w:rsid w:val="00CD7395"/>
    <w:rsid w:val="00CD7791"/>
    <w:rsid w:val="00CD7BD1"/>
    <w:rsid w:val="00CE003F"/>
    <w:rsid w:val="00CE03CA"/>
    <w:rsid w:val="00CE049F"/>
    <w:rsid w:val="00CE09C1"/>
    <w:rsid w:val="00CE0CB8"/>
    <w:rsid w:val="00CE1382"/>
    <w:rsid w:val="00CE157D"/>
    <w:rsid w:val="00CE1589"/>
    <w:rsid w:val="00CE168F"/>
    <w:rsid w:val="00CE16D8"/>
    <w:rsid w:val="00CE18F7"/>
    <w:rsid w:val="00CE256D"/>
    <w:rsid w:val="00CE25C2"/>
    <w:rsid w:val="00CE277B"/>
    <w:rsid w:val="00CE2BDE"/>
    <w:rsid w:val="00CE2D75"/>
    <w:rsid w:val="00CE30E2"/>
    <w:rsid w:val="00CE31B7"/>
    <w:rsid w:val="00CE3555"/>
    <w:rsid w:val="00CE3A9D"/>
    <w:rsid w:val="00CE3C6C"/>
    <w:rsid w:val="00CE3CFD"/>
    <w:rsid w:val="00CE4244"/>
    <w:rsid w:val="00CE4A22"/>
    <w:rsid w:val="00CE4AFB"/>
    <w:rsid w:val="00CE4C36"/>
    <w:rsid w:val="00CE4FC7"/>
    <w:rsid w:val="00CE4FD8"/>
    <w:rsid w:val="00CE4FEB"/>
    <w:rsid w:val="00CE5473"/>
    <w:rsid w:val="00CE57D6"/>
    <w:rsid w:val="00CE591B"/>
    <w:rsid w:val="00CE5AD5"/>
    <w:rsid w:val="00CE60A2"/>
    <w:rsid w:val="00CE623D"/>
    <w:rsid w:val="00CE660D"/>
    <w:rsid w:val="00CE669B"/>
    <w:rsid w:val="00CE68FC"/>
    <w:rsid w:val="00CE69B3"/>
    <w:rsid w:val="00CE6A0E"/>
    <w:rsid w:val="00CE6B5E"/>
    <w:rsid w:val="00CE7089"/>
    <w:rsid w:val="00CE708C"/>
    <w:rsid w:val="00CE72CC"/>
    <w:rsid w:val="00CE7C19"/>
    <w:rsid w:val="00CF0116"/>
    <w:rsid w:val="00CF021E"/>
    <w:rsid w:val="00CF0367"/>
    <w:rsid w:val="00CF03D0"/>
    <w:rsid w:val="00CF05AC"/>
    <w:rsid w:val="00CF0B12"/>
    <w:rsid w:val="00CF0C94"/>
    <w:rsid w:val="00CF0CC8"/>
    <w:rsid w:val="00CF0E84"/>
    <w:rsid w:val="00CF0EEB"/>
    <w:rsid w:val="00CF1312"/>
    <w:rsid w:val="00CF1336"/>
    <w:rsid w:val="00CF13F5"/>
    <w:rsid w:val="00CF14AD"/>
    <w:rsid w:val="00CF1570"/>
    <w:rsid w:val="00CF1AD4"/>
    <w:rsid w:val="00CF1C71"/>
    <w:rsid w:val="00CF20DA"/>
    <w:rsid w:val="00CF2477"/>
    <w:rsid w:val="00CF2625"/>
    <w:rsid w:val="00CF283A"/>
    <w:rsid w:val="00CF2A41"/>
    <w:rsid w:val="00CF2CDE"/>
    <w:rsid w:val="00CF3126"/>
    <w:rsid w:val="00CF3132"/>
    <w:rsid w:val="00CF361A"/>
    <w:rsid w:val="00CF3696"/>
    <w:rsid w:val="00CF370C"/>
    <w:rsid w:val="00CF3889"/>
    <w:rsid w:val="00CF3B58"/>
    <w:rsid w:val="00CF433D"/>
    <w:rsid w:val="00CF4DD8"/>
    <w:rsid w:val="00CF53EF"/>
    <w:rsid w:val="00CF54F4"/>
    <w:rsid w:val="00CF5C66"/>
    <w:rsid w:val="00CF5D7D"/>
    <w:rsid w:val="00CF5DE3"/>
    <w:rsid w:val="00CF5E74"/>
    <w:rsid w:val="00CF642D"/>
    <w:rsid w:val="00CF651B"/>
    <w:rsid w:val="00CF6906"/>
    <w:rsid w:val="00CF6B9C"/>
    <w:rsid w:val="00CF7108"/>
    <w:rsid w:val="00CF7141"/>
    <w:rsid w:val="00CF7539"/>
    <w:rsid w:val="00D004DD"/>
    <w:rsid w:val="00D00831"/>
    <w:rsid w:val="00D00928"/>
    <w:rsid w:val="00D0093B"/>
    <w:rsid w:val="00D00BF3"/>
    <w:rsid w:val="00D00DAE"/>
    <w:rsid w:val="00D00E16"/>
    <w:rsid w:val="00D00FF0"/>
    <w:rsid w:val="00D01352"/>
    <w:rsid w:val="00D014CF"/>
    <w:rsid w:val="00D0157E"/>
    <w:rsid w:val="00D01994"/>
    <w:rsid w:val="00D01EF6"/>
    <w:rsid w:val="00D01FFA"/>
    <w:rsid w:val="00D02020"/>
    <w:rsid w:val="00D02159"/>
    <w:rsid w:val="00D02241"/>
    <w:rsid w:val="00D025C8"/>
    <w:rsid w:val="00D0282E"/>
    <w:rsid w:val="00D02FA6"/>
    <w:rsid w:val="00D032D1"/>
    <w:rsid w:val="00D04032"/>
    <w:rsid w:val="00D04168"/>
    <w:rsid w:val="00D042BD"/>
    <w:rsid w:val="00D0435E"/>
    <w:rsid w:val="00D04838"/>
    <w:rsid w:val="00D05363"/>
    <w:rsid w:val="00D053C2"/>
    <w:rsid w:val="00D05D48"/>
    <w:rsid w:val="00D05E6B"/>
    <w:rsid w:val="00D06120"/>
    <w:rsid w:val="00D067E0"/>
    <w:rsid w:val="00D068E5"/>
    <w:rsid w:val="00D06BFB"/>
    <w:rsid w:val="00D06F33"/>
    <w:rsid w:val="00D06F5B"/>
    <w:rsid w:val="00D07025"/>
    <w:rsid w:val="00D0741A"/>
    <w:rsid w:val="00D07F02"/>
    <w:rsid w:val="00D100A6"/>
    <w:rsid w:val="00D10797"/>
    <w:rsid w:val="00D10A91"/>
    <w:rsid w:val="00D10CC1"/>
    <w:rsid w:val="00D10F29"/>
    <w:rsid w:val="00D1103A"/>
    <w:rsid w:val="00D11718"/>
    <w:rsid w:val="00D1192A"/>
    <w:rsid w:val="00D12013"/>
    <w:rsid w:val="00D1234C"/>
    <w:rsid w:val="00D124AC"/>
    <w:rsid w:val="00D12A68"/>
    <w:rsid w:val="00D12C89"/>
    <w:rsid w:val="00D12C9C"/>
    <w:rsid w:val="00D130E6"/>
    <w:rsid w:val="00D133D5"/>
    <w:rsid w:val="00D133DB"/>
    <w:rsid w:val="00D134A8"/>
    <w:rsid w:val="00D1352E"/>
    <w:rsid w:val="00D13610"/>
    <w:rsid w:val="00D13901"/>
    <w:rsid w:val="00D13922"/>
    <w:rsid w:val="00D13B56"/>
    <w:rsid w:val="00D13E37"/>
    <w:rsid w:val="00D14012"/>
    <w:rsid w:val="00D141D7"/>
    <w:rsid w:val="00D149B9"/>
    <w:rsid w:val="00D149F1"/>
    <w:rsid w:val="00D14DB5"/>
    <w:rsid w:val="00D14F2D"/>
    <w:rsid w:val="00D1527F"/>
    <w:rsid w:val="00D1542B"/>
    <w:rsid w:val="00D15762"/>
    <w:rsid w:val="00D15B36"/>
    <w:rsid w:val="00D15D08"/>
    <w:rsid w:val="00D15E0D"/>
    <w:rsid w:val="00D15EE2"/>
    <w:rsid w:val="00D16156"/>
    <w:rsid w:val="00D16612"/>
    <w:rsid w:val="00D168A1"/>
    <w:rsid w:val="00D16BC1"/>
    <w:rsid w:val="00D16DE4"/>
    <w:rsid w:val="00D16E7A"/>
    <w:rsid w:val="00D17030"/>
    <w:rsid w:val="00D17041"/>
    <w:rsid w:val="00D17048"/>
    <w:rsid w:val="00D17260"/>
    <w:rsid w:val="00D172E8"/>
    <w:rsid w:val="00D17F12"/>
    <w:rsid w:val="00D17FD3"/>
    <w:rsid w:val="00D20527"/>
    <w:rsid w:val="00D205BC"/>
    <w:rsid w:val="00D20903"/>
    <w:rsid w:val="00D20CAD"/>
    <w:rsid w:val="00D20CD3"/>
    <w:rsid w:val="00D20F16"/>
    <w:rsid w:val="00D21470"/>
    <w:rsid w:val="00D21DCB"/>
    <w:rsid w:val="00D21EAC"/>
    <w:rsid w:val="00D22108"/>
    <w:rsid w:val="00D223B4"/>
    <w:rsid w:val="00D227F6"/>
    <w:rsid w:val="00D228EB"/>
    <w:rsid w:val="00D22E33"/>
    <w:rsid w:val="00D22EC8"/>
    <w:rsid w:val="00D22F4F"/>
    <w:rsid w:val="00D22FB8"/>
    <w:rsid w:val="00D23261"/>
    <w:rsid w:val="00D23927"/>
    <w:rsid w:val="00D23AF1"/>
    <w:rsid w:val="00D23BDB"/>
    <w:rsid w:val="00D23DAD"/>
    <w:rsid w:val="00D23DC3"/>
    <w:rsid w:val="00D242A9"/>
    <w:rsid w:val="00D250B7"/>
    <w:rsid w:val="00D250F1"/>
    <w:rsid w:val="00D25153"/>
    <w:rsid w:val="00D25208"/>
    <w:rsid w:val="00D25590"/>
    <w:rsid w:val="00D25825"/>
    <w:rsid w:val="00D25927"/>
    <w:rsid w:val="00D25E86"/>
    <w:rsid w:val="00D26115"/>
    <w:rsid w:val="00D26228"/>
    <w:rsid w:val="00D2624E"/>
    <w:rsid w:val="00D26404"/>
    <w:rsid w:val="00D264B8"/>
    <w:rsid w:val="00D26572"/>
    <w:rsid w:val="00D265E1"/>
    <w:rsid w:val="00D26706"/>
    <w:rsid w:val="00D26A1C"/>
    <w:rsid w:val="00D26A6E"/>
    <w:rsid w:val="00D26B9A"/>
    <w:rsid w:val="00D26D1A"/>
    <w:rsid w:val="00D27138"/>
    <w:rsid w:val="00D272A8"/>
    <w:rsid w:val="00D27914"/>
    <w:rsid w:val="00D27EF5"/>
    <w:rsid w:val="00D301F2"/>
    <w:rsid w:val="00D303DA"/>
    <w:rsid w:val="00D30445"/>
    <w:rsid w:val="00D306DE"/>
    <w:rsid w:val="00D3071D"/>
    <w:rsid w:val="00D30983"/>
    <w:rsid w:val="00D31326"/>
    <w:rsid w:val="00D31693"/>
    <w:rsid w:val="00D3191A"/>
    <w:rsid w:val="00D31934"/>
    <w:rsid w:val="00D31ECE"/>
    <w:rsid w:val="00D32543"/>
    <w:rsid w:val="00D325AF"/>
    <w:rsid w:val="00D329D4"/>
    <w:rsid w:val="00D32C5D"/>
    <w:rsid w:val="00D32E32"/>
    <w:rsid w:val="00D336A8"/>
    <w:rsid w:val="00D336D9"/>
    <w:rsid w:val="00D33A3D"/>
    <w:rsid w:val="00D34382"/>
    <w:rsid w:val="00D34526"/>
    <w:rsid w:val="00D34663"/>
    <w:rsid w:val="00D3471E"/>
    <w:rsid w:val="00D34796"/>
    <w:rsid w:val="00D34A2C"/>
    <w:rsid w:val="00D3529F"/>
    <w:rsid w:val="00D35442"/>
    <w:rsid w:val="00D35455"/>
    <w:rsid w:val="00D3553A"/>
    <w:rsid w:val="00D356C4"/>
    <w:rsid w:val="00D35B6F"/>
    <w:rsid w:val="00D35D1F"/>
    <w:rsid w:val="00D35E70"/>
    <w:rsid w:val="00D3644E"/>
    <w:rsid w:val="00D36EEC"/>
    <w:rsid w:val="00D37047"/>
    <w:rsid w:val="00D37052"/>
    <w:rsid w:val="00D37389"/>
    <w:rsid w:val="00D3753A"/>
    <w:rsid w:val="00D376DF"/>
    <w:rsid w:val="00D37ACA"/>
    <w:rsid w:val="00D40783"/>
    <w:rsid w:val="00D40EF8"/>
    <w:rsid w:val="00D40F8F"/>
    <w:rsid w:val="00D4122B"/>
    <w:rsid w:val="00D4149D"/>
    <w:rsid w:val="00D41549"/>
    <w:rsid w:val="00D41676"/>
    <w:rsid w:val="00D41818"/>
    <w:rsid w:val="00D41827"/>
    <w:rsid w:val="00D41A3A"/>
    <w:rsid w:val="00D41C3E"/>
    <w:rsid w:val="00D4249C"/>
    <w:rsid w:val="00D426A9"/>
    <w:rsid w:val="00D42869"/>
    <w:rsid w:val="00D42B21"/>
    <w:rsid w:val="00D42D5B"/>
    <w:rsid w:val="00D42DF1"/>
    <w:rsid w:val="00D42E67"/>
    <w:rsid w:val="00D42E69"/>
    <w:rsid w:val="00D42FEC"/>
    <w:rsid w:val="00D4347C"/>
    <w:rsid w:val="00D435D8"/>
    <w:rsid w:val="00D438B6"/>
    <w:rsid w:val="00D4411C"/>
    <w:rsid w:val="00D4412E"/>
    <w:rsid w:val="00D441CC"/>
    <w:rsid w:val="00D445DD"/>
    <w:rsid w:val="00D44D26"/>
    <w:rsid w:val="00D44E2E"/>
    <w:rsid w:val="00D44F74"/>
    <w:rsid w:val="00D451C2"/>
    <w:rsid w:val="00D453B1"/>
    <w:rsid w:val="00D45734"/>
    <w:rsid w:val="00D4586E"/>
    <w:rsid w:val="00D45948"/>
    <w:rsid w:val="00D45CDE"/>
    <w:rsid w:val="00D45D43"/>
    <w:rsid w:val="00D45DE3"/>
    <w:rsid w:val="00D46029"/>
    <w:rsid w:val="00D4605D"/>
    <w:rsid w:val="00D4613F"/>
    <w:rsid w:val="00D463A4"/>
    <w:rsid w:val="00D46473"/>
    <w:rsid w:val="00D466D3"/>
    <w:rsid w:val="00D4695B"/>
    <w:rsid w:val="00D46C59"/>
    <w:rsid w:val="00D46CE7"/>
    <w:rsid w:val="00D46D3A"/>
    <w:rsid w:val="00D46F33"/>
    <w:rsid w:val="00D471F1"/>
    <w:rsid w:val="00D477B6"/>
    <w:rsid w:val="00D47A83"/>
    <w:rsid w:val="00D47FFC"/>
    <w:rsid w:val="00D50291"/>
    <w:rsid w:val="00D50335"/>
    <w:rsid w:val="00D50440"/>
    <w:rsid w:val="00D507C2"/>
    <w:rsid w:val="00D50B76"/>
    <w:rsid w:val="00D510F8"/>
    <w:rsid w:val="00D51B2F"/>
    <w:rsid w:val="00D51CC4"/>
    <w:rsid w:val="00D521AD"/>
    <w:rsid w:val="00D52352"/>
    <w:rsid w:val="00D52473"/>
    <w:rsid w:val="00D52925"/>
    <w:rsid w:val="00D52B2D"/>
    <w:rsid w:val="00D52ECE"/>
    <w:rsid w:val="00D532BA"/>
    <w:rsid w:val="00D5341A"/>
    <w:rsid w:val="00D53523"/>
    <w:rsid w:val="00D53628"/>
    <w:rsid w:val="00D53AC7"/>
    <w:rsid w:val="00D53D59"/>
    <w:rsid w:val="00D53DEA"/>
    <w:rsid w:val="00D5437A"/>
    <w:rsid w:val="00D5455D"/>
    <w:rsid w:val="00D545FC"/>
    <w:rsid w:val="00D546E3"/>
    <w:rsid w:val="00D5478D"/>
    <w:rsid w:val="00D54AEE"/>
    <w:rsid w:val="00D54B0D"/>
    <w:rsid w:val="00D54BBE"/>
    <w:rsid w:val="00D54CA0"/>
    <w:rsid w:val="00D54E68"/>
    <w:rsid w:val="00D5506A"/>
    <w:rsid w:val="00D55207"/>
    <w:rsid w:val="00D5544B"/>
    <w:rsid w:val="00D55998"/>
    <w:rsid w:val="00D55CB4"/>
    <w:rsid w:val="00D56147"/>
    <w:rsid w:val="00D562CC"/>
    <w:rsid w:val="00D56381"/>
    <w:rsid w:val="00D56479"/>
    <w:rsid w:val="00D568AA"/>
    <w:rsid w:val="00D56954"/>
    <w:rsid w:val="00D56B85"/>
    <w:rsid w:val="00D5700B"/>
    <w:rsid w:val="00D574F8"/>
    <w:rsid w:val="00D57750"/>
    <w:rsid w:val="00D57943"/>
    <w:rsid w:val="00D57D47"/>
    <w:rsid w:val="00D60195"/>
    <w:rsid w:val="00D60411"/>
    <w:rsid w:val="00D60B80"/>
    <w:rsid w:val="00D60E10"/>
    <w:rsid w:val="00D61235"/>
    <w:rsid w:val="00D613E2"/>
    <w:rsid w:val="00D613FE"/>
    <w:rsid w:val="00D614E8"/>
    <w:rsid w:val="00D6160D"/>
    <w:rsid w:val="00D616BA"/>
    <w:rsid w:val="00D617FA"/>
    <w:rsid w:val="00D61A12"/>
    <w:rsid w:val="00D61B69"/>
    <w:rsid w:val="00D61EC3"/>
    <w:rsid w:val="00D62255"/>
    <w:rsid w:val="00D624D5"/>
    <w:rsid w:val="00D62EB0"/>
    <w:rsid w:val="00D6310C"/>
    <w:rsid w:val="00D635F8"/>
    <w:rsid w:val="00D63687"/>
    <w:rsid w:val="00D638D8"/>
    <w:rsid w:val="00D63E58"/>
    <w:rsid w:val="00D63ED7"/>
    <w:rsid w:val="00D6410A"/>
    <w:rsid w:val="00D641E1"/>
    <w:rsid w:val="00D645F8"/>
    <w:rsid w:val="00D64B8C"/>
    <w:rsid w:val="00D64ED0"/>
    <w:rsid w:val="00D651B7"/>
    <w:rsid w:val="00D65210"/>
    <w:rsid w:val="00D655CC"/>
    <w:rsid w:val="00D65F5D"/>
    <w:rsid w:val="00D66614"/>
    <w:rsid w:val="00D66CA6"/>
    <w:rsid w:val="00D66DA9"/>
    <w:rsid w:val="00D671A0"/>
    <w:rsid w:val="00D67346"/>
    <w:rsid w:val="00D67524"/>
    <w:rsid w:val="00D67630"/>
    <w:rsid w:val="00D67722"/>
    <w:rsid w:val="00D67A6C"/>
    <w:rsid w:val="00D67F8A"/>
    <w:rsid w:val="00D701A8"/>
    <w:rsid w:val="00D70400"/>
    <w:rsid w:val="00D704FD"/>
    <w:rsid w:val="00D707C8"/>
    <w:rsid w:val="00D70998"/>
    <w:rsid w:val="00D714C7"/>
    <w:rsid w:val="00D71562"/>
    <w:rsid w:val="00D717CA"/>
    <w:rsid w:val="00D71F50"/>
    <w:rsid w:val="00D7266B"/>
    <w:rsid w:val="00D727F0"/>
    <w:rsid w:val="00D72837"/>
    <w:rsid w:val="00D73015"/>
    <w:rsid w:val="00D73047"/>
    <w:rsid w:val="00D73237"/>
    <w:rsid w:val="00D732AD"/>
    <w:rsid w:val="00D73540"/>
    <w:rsid w:val="00D7369E"/>
    <w:rsid w:val="00D73FA3"/>
    <w:rsid w:val="00D73FAE"/>
    <w:rsid w:val="00D74096"/>
    <w:rsid w:val="00D74107"/>
    <w:rsid w:val="00D74299"/>
    <w:rsid w:val="00D74645"/>
    <w:rsid w:val="00D7473C"/>
    <w:rsid w:val="00D74793"/>
    <w:rsid w:val="00D74A37"/>
    <w:rsid w:val="00D74F4A"/>
    <w:rsid w:val="00D752BE"/>
    <w:rsid w:val="00D7531D"/>
    <w:rsid w:val="00D75D29"/>
    <w:rsid w:val="00D75D74"/>
    <w:rsid w:val="00D763B3"/>
    <w:rsid w:val="00D7645E"/>
    <w:rsid w:val="00D76527"/>
    <w:rsid w:val="00D76974"/>
    <w:rsid w:val="00D76DA6"/>
    <w:rsid w:val="00D77361"/>
    <w:rsid w:val="00D77738"/>
    <w:rsid w:val="00D77949"/>
    <w:rsid w:val="00D77A0B"/>
    <w:rsid w:val="00D77B84"/>
    <w:rsid w:val="00D80004"/>
    <w:rsid w:val="00D804AA"/>
    <w:rsid w:val="00D8052A"/>
    <w:rsid w:val="00D805A0"/>
    <w:rsid w:val="00D8089F"/>
    <w:rsid w:val="00D8112B"/>
    <w:rsid w:val="00D81318"/>
    <w:rsid w:val="00D81860"/>
    <w:rsid w:val="00D81961"/>
    <w:rsid w:val="00D81B23"/>
    <w:rsid w:val="00D81B2F"/>
    <w:rsid w:val="00D81BF5"/>
    <w:rsid w:val="00D81F19"/>
    <w:rsid w:val="00D8234E"/>
    <w:rsid w:val="00D826AE"/>
    <w:rsid w:val="00D8284C"/>
    <w:rsid w:val="00D830AB"/>
    <w:rsid w:val="00D830DC"/>
    <w:rsid w:val="00D833F3"/>
    <w:rsid w:val="00D83853"/>
    <w:rsid w:val="00D83E0F"/>
    <w:rsid w:val="00D842BF"/>
    <w:rsid w:val="00D845BF"/>
    <w:rsid w:val="00D84839"/>
    <w:rsid w:val="00D84B2C"/>
    <w:rsid w:val="00D84C7A"/>
    <w:rsid w:val="00D84F43"/>
    <w:rsid w:val="00D85065"/>
    <w:rsid w:val="00D851CA"/>
    <w:rsid w:val="00D857D6"/>
    <w:rsid w:val="00D85BC4"/>
    <w:rsid w:val="00D85C81"/>
    <w:rsid w:val="00D85D00"/>
    <w:rsid w:val="00D8645F"/>
    <w:rsid w:val="00D86474"/>
    <w:rsid w:val="00D870B2"/>
    <w:rsid w:val="00D87448"/>
    <w:rsid w:val="00D87645"/>
    <w:rsid w:val="00D87822"/>
    <w:rsid w:val="00D87A38"/>
    <w:rsid w:val="00D87C88"/>
    <w:rsid w:val="00D87C9E"/>
    <w:rsid w:val="00D90576"/>
    <w:rsid w:val="00D9094A"/>
    <w:rsid w:val="00D909D9"/>
    <w:rsid w:val="00D90A6A"/>
    <w:rsid w:val="00D90A87"/>
    <w:rsid w:val="00D90CD6"/>
    <w:rsid w:val="00D90E6E"/>
    <w:rsid w:val="00D911E5"/>
    <w:rsid w:val="00D91256"/>
    <w:rsid w:val="00D9155D"/>
    <w:rsid w:val="00D919DF"/>
    <w:rsid w:val="00D91E49"/>
    <w:rsid w:val="00D92190"/>
    <w:rsid w:val="00D923A4"/>
    <w:rsid w:val="00D929DD"/>
    <w:rsid w:val="00D92B0B"/>
    <w:rsid w:val="00D92C78"/>
    <w:rsid w:val="00D93C8F"/>
    <w:rsid w:val="00D93E3E"/>
    <w:rsid w:val="00D94033"/>
    <w:rsid w:val="00D9443E"/>
    <w:rsid w:val="00D94957"/>
    <w:rsid w:val="00D94F33"/>
    <w:rsid w:val="00D94FDD"/>
    <w:rsid w:val="00D95D9C"/>
    <w:rsid w:val="00D960CA"/>
    <w:rsid w:val="00D9626F"/>
    <w:rsid w:val="00D9650C"/>
    <w:rsid w:val="00D9662B"/>
    <w:rsid w:val="00D9675E"/>
    <w:rsid w:val="00D9696F"/>
    <w:rsid w:val="00D96AC9"/>
    <w:rsid w:val="00D96C48"/>
    <w:rsid w:val="00D96D71"/>
    <w:rsid w:val="00D972DA"/>
    <w:rsid w:val="00D973DC"/>
    <w:rsid w:val="00D9773F"/>
    <w:rsid w:val="00D97FDF"/>
    <w:rsid w:val="00DA026A"/>
    <w:rsid w:val="00DA032C"/>
    <w:rsid w:val="00DA0422"/>
    <w:rsid w:val="00DA062A"/>
    <w:rsid w:val="00DA093E"/>
    <w:rsid w:val="00DA099E"/>
    <w:rsid w:val="00DA0A0F"/>
    <w:rsid w:val="00DA0E11"/>
    <w:rsid w:val="00DA0EE8"/>
    <w:rsid w:val="00DA0F5E"/>
    <w:rsid w:val="00DA1329"/>
    <w:rsid w:val="00DA1650"/>
    <w:rsid w:val="00DA16B6"/>
    <w:rsid w:val="00DA1755"/>
    <w:rsid w:val="00DA1A11"/>
    <w:rsid w:val="00DA1A88"/>
    <w:rsid w:val="00DA20E9"/>
    <w:rsid w:val="00DA235E"/>
    <w:rsid w:val="00DA243A"/>
    <w:rsid w:val="00DA2ABB"/>
    <w:rsid w:val="00DA2AFC"/>
    <w:rsid w:val="00DA2BB5"/>
    <w:rsid w:val="00DA2C11"/>
    <w:rsid w:val="00DA2E01"/>
    <w:rsid w:val="00DA30BB"/>
    <w:rsid w:val="00DA3191"/>
    <w:rsid w:val="00DA3289"/>
    <w:rsid w:val="00DA391F"/>
    <w:rsid w:val="00DA3AA4"/>
    <w:rsid w:val="00DA3DDB"/>
    <w:rsid w:val="00DA3E0A"/>
    <w:rsid w:val="00DA3F7A"/>
    <w:rsid w:val="00DA3FA9"/>
    <w:rsid w:val="00DA4954"/>
    <w:rsid w:val="00DA4DA8"/>
    <w:rsid w:val="00DA5031"/>
    <w:rsid w:val="00DA5411"/>
    <w:rsid w:val="00DA54FD"/>
    <w:rsid w:val="00DA587D"/>
    <w:rsid w:val="00DA58F9"/>
    <w:rsid w:val="00DA5C79"/>
    <w:rsid w:val="00DA5D6B"/>
    <w:rsid w:val="00DA64D5"/>
    <w:rsid w:val="00DA6796"/>
    <w:rsid w:val="00DA67BC"/>
    <w:rsid w:val="00DA7197"/>
    <w:rsid w:val="00DA7420"/>
    <w:rsid w:val="00DA74C0"/>
    <w:rsid w:val="00DA7718"/>
    <w:rsid w:val="00DA7882"/>
    <w:rsid w:val="00DA7B01"/>
    <w:rsid w:val="00DB0229"/>
    <w:rsid w:val="00DB038C"/>
    <w:rsid w:val="00DB058B"/>
    <w:rsid w:val="00DB07C2"/>
    <w:rsid w:val="00DB0CE5"/>
    <w:rsid w:val="00DB0DD1"/>
    <w:rsid w:val="00DB1005"/>
    <w:rsid w:val="00DB12BA"/>
    <w:rsid w:val="00DB143F"/>
    <w:rsid w:val="00DB1662"/>
    <w:rsid w:val="00DB1E60"/>
    <w:rsid w:val="00DB1F17"/>
    <w:rsid w:val="00DB223B"/>
    <w:rsid w:val="00DB2247"/>
    <w:rsid w:val="00DB22E8"/>
    <w:rsid w:val="00DB253E"/>
    <w:rsid w:val="00DB25BE"/>
    <w:rsid w:val="00DB2C53"/>
    <w:rsid w:val="00DB2CE9"/>
    <w:rsid w:val="00DB300D"/>
    <w:rsid w:val="00DB30F9"/>
    <w:rsid w:val="00DB3136"/>
    <w:rsid w:val="00DB3401"/>
    <w:rsid w:val="00DB3543"/>
    <w:rsid w:val="00DB3635"/>
    <w:rsid w:val="00DB38A0"/>
    <w:rsid w:val="00DB38BF"/>
    <w:rsid w:val="00DB3C91"/>
    <w:rsid w:val="00DB3E2E"/>
    <w:rsid w:val="00DB4159"/>
    <w:rsid w:val="00DB41EC"/>
    <w:rsid w:val="00DB47B3"/>
    <w:rsid w:val="00DB48CC"/>
    <w:rsid w:val="00DB49CB"/>
    <w:rsid w:val="00DB4ABC"/>
    <w:rsid w:val="00DB4AE8"/>
    <w:rsid w:val="00DB4D35"/>
    <w:rsid w:val="00DB4E46"/>
    <w:rsid w:val="00DB5064"/>
    <w:rsid w:val="00DB516B"/>
    <w:rsid w:val="00DB550C"/>
    <w:rsid w:val="00DB5661"/>
    <w:rsid w:val="00DB5749"/>
    <w:rsid w:val="00DB5A5A"/>
    <w:rsid w:val="00DB5DCD"/>
    <w:rsid w:val="00DB6B47"/>
    <w:rsid w:val="00DB6C15"/>
    <w:rsid w:val="00DB6C71"/>
    <w:rsid w:val="00DB6CEF"/>
    <w:rsid w:val="00DB6E07"/>
    <w:rsid w:val="00DB744D"/>
    <w:rsid w:val="00DB796B"/>
    <w:rsid w:val="00DB7A45"/>
    <w:rsid w:val="00DB7DA4"/>
    <w:rsid w:val="00DB7EAB"/>
    <w:rsid w:val="00DC028C"/>
    <w:rsid w:val="00DC03D8"/>
    <w:rsid w:val="00DC0A59"/>
    <w:rsid w:val="00DC0B8D"/>
    <w:rsid w:val="00DC0D8E"/>
    <w:rsid w:val="00DC1109"/>
    <w:rsid w:val="00DC13BD"/>
    <w:rsid w:val="00DC1929"/>
    <w:rsid w:val="00DC1BC0"/>
    <w:rsid w:val="00DC1C40"/>
    <w:rsid w:val="00DC1C42"/>
    <w:rsid w:val="00DC22D4"/>
    <w:rsid w:val="00DC2463"/>
    <w:rsid w:val="00DC2623"/>
    <w:rsid w:val="00DC2870"/>
    <w:rsid w:val="00DC28AC"/>
    <w:rsid w:val="00DC2C8E"/>
    <w:rsid w:val="00DC2D05"/>
    <w:rsid w:val="00DC2F70"/>
    <w:rsid w:val="00DC3057"/>
    <w:rsid w:val="00DC3CC8"/>
    <w:rsid w:val="00DC3E16"/>
    <w:rsid w:val="00DC3E57"/>
    <w:rsid w:val="00DC4240"/>
    <w:rsid w:val="00DC443F"/>
    <w:rsid w:val="00DC480E"/>
    <w:rsid w:val="00DC4C6A"/>
    <w:rsid w:val="00DC4DB1"/>
    <w:rsid w:val="00DC4EC5"/>
    <w:rsid w:val="00DC5450"/>
    <w:rsid w:val="00DC5550"/>
    <w:rsid w:val="00DC55EC"/>
    <w:rsid w:val="00DC55FF"/>
    <w:rsid w:val="00DC5692"/>
    <w:rsid w:val="00DC56A8"/>
    <w:rsid w:val="00DC5B05"/>
    <w:rsid w:val="00DC6038"/>
    <w:rsid w:val="00DC637E"/>
    <w:rsid w:val="00DC6745"/>
    <w:rsid w:val="00DC6AD9"/>
    <w:rsid w:val="00DC6BD5"/>
    <w:rsid w:val="00DC70C3"/>
    <w:rsid w:val="00DC724B"/>
    <w:rsid w:val="00DC734C"/>
    <w:rsid w:val="00DC77CB"/>
    <w:rsid w:val="00DC7C45"/>
    <w:rsid w:val="00DD0275"/>
    <w:rsid w:val="00DD0299"/>
    <w:rsid w:val="00DD0AFF"/>
    <w:rsid w:val="00DD0BFA"/>
    <w:rsid w:val="00DD0C0E"/>
    <w:rsid w:val="00DD0F19"/>
    <w:rsid w:val="00DD112C"/>
    <w:rsid w:val="00DD122A"/>
    <w:rsid w:val="00DD16F4"/>
    <w:rsid w:val="00DD1921"/>
    <w:rsid w:val="00DD1D6F"/>
    <w:rsid w:val="00DD1DFD"/>
    <w:rsid w:val="00DD1E68"/>
    <w:rsid w:val="00DD24D0"/>
    <w:rsid w:val="00DD27D0"/>
    <w:rsid w:val="00DD2848"/>
    <w:rsid w:val="00DD29EC"/>
    <w:rsid w:val="00DD2B6B"/>
    <w:rsid w:val="00DD2C4F"/>
    <w:rsid w:val="00DD2C50"/>
    <w:rsid w:val="00DD3521"/>
    <w:rsid w:val="00DD35FA"/>
    <w:rsid w:val="00DD3BED"/>
    <w:rsid w:val="00DD3D5F"/>
    <w:rsid w:val="00DD3EEC"/>
    <w:rsid w:val="00DD4054"/>
    <w:rsid w:val="00DD40CB"/>
    <w:rsid w:val="00DD53C2"/>
    <w:rsid w:val="00DD53CB"/>
    <w:rsid w:val="00DD5591"/>
    <w:rsid w:val="00DD587F"/>
    <w:rsid w:val="00DD59D3"/>
    <w:rsid w:val="00DD65D7"/>
    <w:rsid w:val="00DD6649"/>
    <w:rsid w:val="00DD6D43"/>
    <w:rsid w:val="00DD7710"/>
    <w:rsid w:val="00DD7EA4"/>
    <w:rsid w:val="00DE00B2"/>
    <w:rsid w:val="00DE0479"/>
    <w:rsid w:val="00DE0610"/>
    <w:rsid w:val="00DE0B30"/>
    <w:rsid w:val="00DE0C2C"/>
    <w:rsid w:val="00DE0E82"/>
    <w:rsid w:val="00DE112F"/>
    <w:rsid w:val="00DE1A50"/>
    <w:rsid w:val="00DE1CE3"/>
    <w:rsid w:val="00DE1E69"/>
    <w:rsid w:val="00DE22B9"/>
    <w:rsid w:val="00DE2405"/>
    <w:rsid w:val="00DE27E6"/>
    <w:rsid w:val="00DE2EE6"/>
    <w:rsid w:val="00DE2FCD"/>
    <w:rsid w:val="00DE31BE"/>
    <w:rsid w:val="00DE36A5"/>
    <w:rsid w:val="00DE36DB"/>
    <w:rsid w:val="00DE373A"/>
    <w:rsid w:val="00DE3C85"/>
    <w:rsid w:val="00DE3FFB"/>
    <w:rsid w:val="00DE4015"/>
    <w:rsid w:val="00DE4138"/>
    <w:rsid w:val="00DE436C"/>
    <w:rsid w:val="00DE4517"/>
    <w:rsid w:val="00DE45DA"/>
    <w:rsid w:val="00DE4930"/>
    <w:rsid w:val="00DE497B"/>
    <w:rsid w:val="00DE4A0F"/>
    <w:rsid w:val="00DE4CE0"/>
    <w:rsid w:val="00DE51B1"/>
    <w:rsid w:val="00DE53D9"/>
    <w:rsid w:val="00DE555F"/>
    <w:rsid w:val="00DE55D6"/>
    <w:rsid w:val="00DE5853"/>
    <w:rsid w:val="00DE599C"/>
    <w:rsid w:val="00DE5BC3"/>
    <w:rsid w:val="00DE5D00"/>
    <w:rsid w:val="00DE643D"/>
    <w:rsid w:val="00DE6810"/>
    <w:rsid w:val="00DE6820"/>
    <w:rsid w:val="00DE6843"/>
    <w:rsid w:val="00DE6A5C"/>
    <w:rsid w:val="00DE6B22"/>
    <w:rsid w:val="00DE71BD"/>
    <w:rsid w:val="00DE765D"/>
    <w:rsid w:val="00DE78E0"/>
    <w:rsid w:val="00DE7D79"/>
    <w:rsid w:val="00DF00EB"/>
    <w:rsid w:val="00DF030E"/>
    <w:rsid w:val="00DF05E4"/>
    <w:rsid w:val="00DF06DB"/>
    <w:rsid w:val="00DF07A6"/>
    <w:rsid w:val="00DF08E6"/>
    <w:rsid w:val="00DF0911"/>
    <w:rsid w:val="00DF096F"/>
    <w:rsid w:val="00DF0AB4"/>
    <w:rsid w:val="00DF0D5E"/>
    <w:rsid w:val="00DF11D5"/>
    <w:rsid w:val="00DF1A27"/>
    <w:rsid w:val="00DF1D50"/>
    <w:rsid w:val="00DF1D94"/>
    <w:rsid w:val="00DF1FFC"/>
    <w:rsid w:val="00DF2249"/>
    <w:rsid w:val="00DF2696"/>
    <w:rsid w:val="00DF282A"/>
    <w:rsid w:val="00DF2893"/>
    <w:rsid w:val="00DF2DD6"/>
    <w:rsid w:val="00DF32B6"/>
    <w:rsid w:val="00DF3A48"/>
    <w:rsid w:val="00DF449E"/>
    <w:rsid w:val="00DF44D2"/>
    <w:rsid w:val="00DF452C"/>
    <w:rsid w:val="00DF481C"/>
    <w:rsid w:val="00DF4C51"/>
    <w:rsid w:val="00DF4DC4"/>
    <w:rsid w:val="00DF4E7E"/>
    <w:rsid w:val="00DF51AF"/>
    <w:rsid w:val="00DF5507"/>
    <w:rsid w:val="00DF55BB"/>
    <w:rsid w:val="00DF56BC"/>
    <w:rsid w:val="00DF5B95"/>
    <w:rsid w:val="00DF5DD9"/>
    <w:rsid w:val="00DF6247"/>
    <w:rsid w:val="00DF6439"/>
    <w:rsid w:val="00DF6BCA"/>
    <w:rsid w:val="00DF6C26"/>
    <w:rsid w:val="00DF6FD4"/>
    <w:rsid w:val="00DF6FDA"/>
    <w:rsid w:val="00DF766E"/>
    <w:rsid w:val="00DF7789"/>
    <w:rsid w:val="00DF7817"/>
    <w:rsid w:val="00DF7E74"/>
    <w:rsid w:val="00E003EA"/>
    <w:rsid w:val="00E00425"/>
    <w:rsid w:val="00E00484"/>
    <w:rsid w:val="00E004C8"/>
    <w:rsid w:val="00E005C9"/>
    <w:rsid w:val="00E00754"/>
    <w:rsid w:val="00E00879"/>
    <w:rsid w:val="00E009A6"/>
    <w:rsid w:val="00E00D12"/>
    <w:rsid w:val="00E00E73"/>
    <w:rsid w:val="00E00ECD"/>
    <w:rsid w:val="00E01083"/>
    <w:rsid w:val="00E011B4"/>
    <w:rsid w:val="00E01497"/>
    <w:rsid w:val="00E01845"/>
    <w:rsid w:val="00E01A6F"/>
    <w:rsid w:val="00E01B5E"/>
    <w:rsid w:val="00E01B6D"/>
    <w:rsid w:val="00E01B85"/>
    <w:rsid w:val="00E01BC3"/>
    <w:rsid w:val="00E0220E"/>
    <w:rsid w:val="00E022AB"/>
    <w:rsid w:val="00E022C7"/>
    <w:rsid w:val="00E02379"/>
    <w:rsid w:val="00E02391"/>
    <w:rsid w:val="00E02889"/>
    <w:rsid w:val="00E02FDF"/>
    <w:rsid w:val="00E03553"/>
    <w:rsid w:val="00E0375F"/>
    <w:rsid w:val="00E03BD1"/>
    <w:rsid w:val="00E03C58"/>
    <w:rsid w:val="00E03D01"/>
    <w:rsid w:val="00E03F6E"/>
    <w:rsid w:val="00E0418D"/>
    <w:rsid w:val="00E045A6"/>
    <w:rsid w:val="00E046E8"/>
    <w:rsid w:val="00E0472F"/>
    <w:rsid w:val="00E0482B"/>
    <w:rsid w:val="00E04A7B"/>
    <w:rsid w:val="00E04D6F"/>
    <w:rsid w:val="00E0509E"/>
    <w:rsid w:val="00E054CB"/>
    <w:rsid w:val="00E0555D"/>
    <w:rsid w:val="00E05D9A"/>
    <w:rsid w:val="00E05E63"/>
    <w:rsid w:val="00E066F9"/>
    <w:rsid w:val="00E06E0D"/>
    <w:rsid w:val="00E0707F"/>
    <w:rsid w:val="00E0715E"/>
    <w:rsid w:val="00E07242"/>
    <w:rsid w:val="00E07287"/>
    <w:rsid w:val="00E0730A"/>
    <w:rsid w:val="00E07470"/>
    <w:rsid w:val="00E074B9"/>
    <w:rsid w:val="00E07DF1"/>
    <w:rsid w:val="00E07E7F"/>
    <w:rsid w:val="00E07FFC"/>
    <w:rsid w:val="00E101E9"/>
    <w:rsid w:val="00E108EC"/>
    <w:rsid w:val="00E10CE9"/>
    <w:rsid w:val="00E10FE8"/>
    <w:rsid w:val="00E1107E"/>
    <w:rsid w:val="00E110E2"/>
    <w:rsid w:val="00E1114D"/>
    <w:rsid w:val="00E11489"/>
    <w:rsid w:val="00E116D2"/>
    <w:rsid w:val="00E1185C"/>
    <w:rsid w:val="00E12128"/>
    <w:rsid w:val="00E1223C"/>
    <w:rsid w:val="00E122CC"/>
    <w:rsid w:val="00E12480"/>
    <w:rsid w:val="00E125E2"/>
    <w:rsid w:val="00E12D84"/>
    <w:rsid w:val="00E12ECE"/>
    <w:rsid w:val="00E12FFA"/>
    <w:rsid w:val="00E13078"/>
    <w:rsid w:val="00E131F8"/>
    <w:rsid w:val="00E1367B"/>
    <w:rsid w:val="00E13BC3"/>
    <w:rsid w:val="00E13C09"/>
    <w:rsid w:val="00E13FEF"/>
    <w:rsid w:val="00E143AF"/>
    <w:rsid w:val="00E14588"/>
    <w:rsid w:val="00E14605"/>
    <w:rsid w:val="00E147B8"/>
    <w:rsid w:val="00E14B44"/>
    <w:rsid w:val="00E152FC"/>
    <w:rsid w:val="00E15343"/>
    <w:rsid w:val="00E15594"/>
    <w:rsid w:val="00E15808"/>
    <w:rsid w:val="00E15978"/>
    <w:rsid w:val="00E15E7C"/>
    <w:rsid w:val="00E16261"/>
    <w:rsid w:val="00E16717"/>
    <w:rsid w:val="00E168E0"/>
    <w:rsid w:val="00E16D6B"/>
    <w:rsid w:val="00E16E8B"/>
    <w:rsid w:val="00E17242"/>
    <w:rsid w:val="00E17493"/>
    <w:rsid w:val="00E17799"/>
    <w:rsid w:val="00E178CF"/>
    <w:rsid w:val="00E17C96"/>
    <w:rsid w:val="00E17E54"/>
    <w:rsid w:val="00E17EF5"/>
    <w:rsid w:val="00E2002F"/>
    <w:rsid w:val="00E20267"/>
    <w:rsid w:val="00E205E5"/>
    <w:rsid w:val="00E20DDA"/>
    <w:rsid w:val="00E20DE4"/>
    <w:rsid w:val="00E2198F"/>
    <w:rsid w:val="00E21A1C"/>
    <w:rsid w:val="00E21CF2"/>
    <w:rsid w:val="00E21DE1"/>
    <w:rsid w:val="00E224F7"/>
    <w:rsid w:val="00E22AD6"/>
    <w:rsid w:val="00E22DCC"/>
    <w:rsid w:val="00E22E36"/>
    <w:rsid w:val="00E2335E"/>
    <w:rsid w:val="00E242FA"/>
    <w:rsid w:val="00E24F77"/>
    <w:rsid w:val="00E24FAD"/>
    <w:rsid w:val="00E251B4"/>
    <w:rsid w:val="00E251B8"/>
    <w:rsid w:val="00E25448"/>
    <w:rsid w:val="00E25548"/>
    <w:rsid w:val="00E255C0"/>
    <w:rsid w:val="00E25A85"/>
    <w:rsid w:val="00E25ACD"/>
    <w:rsid w:val="00E25CEF"/>
    <w:rsid w:val="00E26501"/>
    <w:rsid w:val="00E2678B"/>
    <w:rsid w:val="00E267CE"/>
    <w:rsid w:val="00E26AAC"/>
    <w:rsid w:val="00E26C1C"/>
    <w:rsid w:val="00E26C4D"/>
    <w:rsid w:val="00E26CE0"/>
    <w:rsid w:val="00E26EBD"/>
    <w:rsid w:val="00E26F3F"/>
    <w:rsid w:val="00E2738D"/>
    <w:rsid w:val="00E27566"/>
    <w:rsid w:val="00E2758D"/>
    <w:rsid w:val="00E27615"/>
    <w:rsid w:val="00E276D6"/>
    <w:rsid w:val="00E2775D"/>
    <w:rsid w:val="00E302E9"/>
    <w:rsid w:val="00E30560"/>
    <w:rsid w:val="00E306F6"/>
    <w:rsid w:val="00E30765"/>
    <w:rsid w:val="00E30C07"/>
    <w:rsid w:val="00E30DDF"/>
    <w:rsid w:val="00E30E2F"/>
    <w:rsid w:val="00E310D8"/>
    <w:rsid w:val="00E31890"/>
    <w:rsid w:val="00E31ABC"/>
    <w:rsid w:val="00E31B82"/>
    <w:rsid w:val="00E31B85"/>
    <w:rsid w:val="00E31FDE"/>
    <w:rsid w:val="00E32104"/>
    <w:rsid w:val="00E322DA"/>
    <w:rsid w:val="00E32354"/>
    <w:rsid w:val="00E3248C"/>
    <w:rsid w:val="00E32672"/>
    <w:rsid w:val="00E32C8A"/>
    <w:rsid w:val="00E32DFD"/>
    <w:rsid w:val="00E32E9B"/>
    <w:rsid w:val="00E330FE"/>
    <w:rsid w:val="00E3348F"/>
    <w:rsid w:val="00E33671"/>
    <w:rsid w:val="00E33F6C"/>
    <w:rsid w:val="00E34117"/>
    <w:rsid w:val="00E343E5"/>
    <w:rsid w:val="00E3472B"/>
    <w:rsid w:val="00E348AC"/>
    <w:rsid w:val="00E349B8"/>
    <w:rsid w:val="00E34C99"/>
    <w:rsid w:val="00E354B5"/>
    <w:rsid w:val="00E35557"/>
    <w:rsid w:val="00E35630"/>
    <w:rsid w:val="00E35770"/>
    <w:rsid w:val="00E35C4C"/>
    <w:rsid w:val="00E35FC8"/>
    <w:rsid w:val="00E362FA"/>
    <w:rsid w:val="00E368C9"/>
    <w:rsid w:val="00E36B16"/>
    <w:rsid w:val="00E36C46"/>
    <w:rsid w:val="00E36D0A"/>
    <w:rsid w:val="00E370E1"/>
    <w:rsid w:val="00E37377"/>
    <w:rsid w:val="00E37392"/>
    <w:rsid w:val="00E3797A"/>
    <w:rsid w:val="00E37996"/>
    <w:rsid w:val="00E37F48"/>
    <w:rsid w:val="00E4007E"/>
    <w:rsid w:val="00E40803"/>
    <w:rsid w:val="00E40B6D"/>
    <w:rsid w:val="00E40CFD"/>
    <w:rsid w:val="00E40FD7"/>
    <w:rsid w:val="00E41658"/>
    <w:rsid w:val="00E41CD1"/>
    <w:rsid w:val="00E41CFA"/>
    <w:rsid w:val="00E41DA4"/>
    <w:rsid w:val="00E41DE7"/>
    <w:rsid w:val="00E41E66"/>
    <w:rsid w:val="00E42070"/>
    <w:rsid w:val="00E42329"/>
    <w:rsid w:val="00E4243E"/>
    <w:rsid w:val="00E4249B"/>
    <w:rsid w:val="00E42B9E"/>
    <w:rsid w:val="00E42BEC"/>
    <w:rsid w:val="00E42C2F"/>
    <w:rsid w:val="00E43084"/>
    <w:rsid w:val="00E436C6"/>
    <w:rsid w:val="00E43950"/>
    <w:rsid w:val="00E43ACF"/>
    <w:rsid w:val="00E43C3E"/>
    <w:rsid w:val="00E4407B"/>
    <w:rsid w:val="00E4408B"/>
    <w:rsid w:val="00E44150"/>
    <w:rsid w:val="00E44789"/>
    <w:rsid w:val="00E44A4D"/>
    <w:rsid w:val="00E44E92"/>
    <w:rsid w:val="00E45001"/>
    <w:rsid w:val="00E45746"/>
    <w:rsid w:val="00E4581B"/>
    <w:rsid w:val="00E45BEA"/>
    <w:rsid w:val="00E460A3"/>
    <w:rsid w:val="00E46260"/>
    <w:rsid w:val="00E46495"/>
    <w:rsid w:val="00E4665C"/>
    <w:rsid w:val="00E4666C"/>
    <w:rsid w:val="00E46741"/>
    <w:rsid w:val="00E467CA"/>
    <w:rsid w:val="00E46BB5"/>
    <w:rsid w:val="00E46F8F"/>
    <w:rsid w:val="00E46FCA"/>
    <w:rsid w:val="00E4721F"/>
    <w:rsid w:val="00E47303"/>
    <w:rsid w:val="00E474BB"/>
    <w:rsid w:val="00E474BE"/>
    <w:rsid w:val="00E475A9"/>
    <w:rsid w:val="00E47B19"/>
    <w:rsid w:val="00E5060C"/>
    <w:rsid w:val="00E50AF5"/>
    <w:rsid w:val="00E50C44"/>
    <w:rsid w:val="00E50CE1"/>
    <w:rsid w:val="00E50D5A"/>
    <w:rsid w:val="00E50E79"/>
    <w:rsid w:val="00E51372"/>
    <w:rsid w:val="00E524AD"/>
    <w:rsid w:val="00E528CE"/>
    <w:rsid w:val="00E52F60"/>
    <w:rsid w:val="00E53211"/>
    <w:rsid w:val="00E5347B"/>
    <w:rsid w:val="00E53866"/>
    <w:rsid w:val="00E53BD2"/>
    <w:rsid w:val="00E54020"/>
    <w:rsid w:val="00E540CC"/>
    <w:rsid w:val="00E546DB"/>
    <w:rsid w:val="00E549F9"/>
    <w:rsid w:val="00E54DA7"/>
    <w:rsid w:val="00E5504B"/>
    <w:rsid w:val="00E55372"/>
    <w:rsid w:val="00E5548C"/>
    <w:rsid w:val="00E558CC"/>
    <w:rsid w:val="00E55DD7"/>
    <w:rsid w:val="00E55F17"/>
    <w:rsid w:val="00E5604E"/>
    <w:rsid w:val="00E562C9"/>
    <w:rsid w:val="00E56336"/>
    <w:rsid w:val="00E56387"/>
    <w:rsid w:val="00E56706"/>
    <w:rsid w:val="00E56774"/>
    <w:rsid w:val="00E56877"/>
    <w:rsid w:val="00E56FE3"/>
    <w:rsid w:val="00E57131"/>
    <w:rsid w:val="00E57DDF"/>
    <w:rsid w:val="00E60224"/>
    <w:rsid w:val="00E60350"/>
    <w:rsid w:val="00E604C2"/>
    <w:rsid w:val="00E6073D"/>
    <w:rsid w:val="00E60B4D"/>
    <w:rsid w:val="00E60D28"/>
    <w:rsid w:val="00E60FCC"/>
    <w:rsid w:val="00E61560"/>
    <w:rsid w:val="00E6160D"/>
    <w:rsid w:val="00E61874"/>
    <w:rsid w:val="00E61B33"/>
    <w:rsid w:val="00E62095"/>
    <w:rsid w:val="00E6241D"/>
    <w:rsid w:val="00E62648"/>
    <w:rsid w:val="00E626DE"/>
    <w:rsid w:val="00E62731"/>
    <w:rsid w:val="00E628D2"/>
    <w:rsid w:val="00E62A11"/>
    <w:rsid w:val="00E63020"/>
    <w:rsid w:val="00E630BF"/>
    <w:rsid w:val="00E63275"/>
    <w:rsid w:val="00E63779"/>
    <w:rsid w:val="00E641EC"/>
    <w:rsid w:val="00E647E5"/>
    <w:rsid w:val="00E64966"/>
    <w:rsid w:val="00E64BA2"/>
    <w:rsid w:val="00E64BAF"/>
    <w:rsid w:val="00E656B9"/>
    <w:rsid w:val="00E656F7"/>
    <w:rsid w:val="00E65A43"/>
    <w:rsid w:val="00E6694C"/>
    <w:rsid w:val="00E66B01"/>
    <w:rsid w:val="00E66BF7"/>
    <w:rsid w:val="00E66CE9"/>
    <w:rsid w:val="00E66D60"/>
    <w:rsid w:val="00E66EAC"/>
    <w:rsid w:val="00E672EE"/>
    <w:rsid w:val="00E674C5"/>
    <w:rsid w:val="00E700D2"/>
    <w:rsid w:val="00E700EA"/>
    <w:rsid w:val="00E7025E"/>
    <w:rsid w:val="00E7032E"/>
    <w:rsid w:val="00E7037F"/>
    <w:rsid w:val="00E70665"/>
    <w:rsid w:val="00E70C70"/>
    <w:rsid w:val="00E70D8E"/>
    <w:rsid w:val="00E70E86"/>
    <w:rsid w:val="00E70F04"/>
    <w:rsid w:val="00E71015"/>
    <w:rsid w:val="00E71762"/>
    <w:rsid w:val="00E7185B"/>
    <w:rsid w:val="00E719A9"/>
    <w:rsid w:val="00E719C1"/>
    <w:rsid w:val="00E71A1C"/>
    <w:rsid w:val="00E71BAB"/>
    <w:rsid w:val="00E72089"/>
    <w:rsid w:val="00E72153"/>
    <w:rsid w:val="00E72298"/>
    <w:rsid w:val="00E72682"/>
    <w:rsid w:val="00E72736"/>
    <w:rsid w:val="00E72739"/>
    <w:rsid w:val="00E72974"/>
    <w:rsid w:val="00E72A0A"/>
    <w:rsid w:val="00E73201"/>
    <w:rsid w:val="00E733A0"/>
    <w:rsid w:val="00E733F0"/>
    <w:rsid w:val="00E7348E"/>
    <w:rsid w:val="00E734CF"/>
    <w:rsid w:val="00E7385A"/>
    <w:rsid w:val="00E739C7"/>
    <w:rsid w:val="00E74234"/>
    <w:rsid w:val="00E744F5"/>
    <w:rsid w:val="00E74649"/>
    <w:rsid w:val="00E74B05"/>
    <w:rsid w:val="00E74ED2"/>
    <w:rsid w:val="00E750BB"/>
    <w:rsid w:val="00E75C09"/>
    <w:rsid w:val="00E75EDE"/>
    <w:rsid w:val="00E75EEB"/>
    <w:rsid w:val="00E763AA"/>
    <w:rsid w:val="00E76407"/>
    <w:rsid w:val="00E765AF"/>
    <w:rsid w:val="00E76652"/>
    <w:rsid w:val="00E76800"/>
    <w:rsid w:val="00E76AA4"/>
    <w:rsid w:val="00E77385"/>
    <w:rsid w:val="00E7754B"/>
    <w:rsid w:val="00E775DE"/>
    <w:rsid w:val="00E777DD"/>
    <w:rsid w:val="00E77D9A"/>
    <w:rsid w:val="00E80027"/>
    <w:rsid w:val="00E802FD"/>
    <w:rsid w:val="00E80528"/>
    <w:rsid w:val="00E80580"/>
    <w:rsid w:val="00E806B3"/>
    <w:rsid w:val="00E807F2"/>
    <w:rsid w:val="00E808D5"/>
    <w:rsid w:val="00E80A0C"/>
    <w:rsid w:val="00E80A25"/>
    <w:rsid w:val="00E81515"/>
    <w:rsid w:val="00E81EEA"/>
    <w:rsid w:val="00E821C7"/>
    <w:rsid w:val="00E8274D"/>
    <w:rsid w:val="00E82889"/>
    <w:rsid w:val="00E82AA9"/>
    <w:rsid w:val="00E82B09"/>
    <w:rsid w:val="00E82D72"/>
    <w:rsid w:val="00E82DD1"/>
    <w:rsid w:val="00E82F8B"/>
    <w:rsid w:val="00E83308"/>
    <w:rsid w:val="00E83349"/>
    <w:rsid w:val="00E835ED"/>
    <w:rsid w:val="00E839E5"/>
    <w:rsid w:val="00E83AFD"/>
    <w:rsid w:val="00E83DC4"/>
    <w:rsid w:val="00E845A3"/>
    <w:rsid w:val="00E846D1"/>
    <w:rsid w:val="00E84984"/>
    <w:rsid w:val="00E84B45"/>
    <w:rsid w:val="00E84BE2"/>
    <w:rsid w:val="00E84C80"/>
    <w:rsid w:val="00E84DC8"/>
    <w:rsid w:val="00E84F68"/>
    <w:rsid w:val="00E84FCB"/>
    <w:rsid w:val="00E85AAB"/>
    <w:rsid w:val="00E85AC6"/>
    <w:rsid w:val="00E85DAF"/>
    <w:rsid w:val="00E86073"/>
    <w:rsid w:val="00E863C0"/>
    <w:rsid w:val="00E863DE"/>
    <w:rsid w:val="00E86687"/>
    <w:rsid w:val="00E8679A"/>
    <w:rsid w:val="00E86AA2"/>
    <w:rsid w:val="00E86B1F"/>
    <w:rsid w:val="00E86DAD"/>
    <w:rsid w:val="00E873CB"/>
    <w:rsid w:val="00E878BE"/>
    <w:rsid w:val="00E879C7"/>
    <w:rsid w:val="00E879CE"/>
    <w:rsid w:val="00E87C3E"/>
    <w:rsid w:val="00E87CA4"/>
    <w:rsid w:val="00E87CE6"/>
    <w:rsid w:val="00E90039"/>
    <w:rsid w:val="00E90368"/>
    <w:rsid w:val="00E903B1"/>
    <w:rsid w:val="00E90585"/>
    <w:rsid w:val="00E907F1"/>
    <w:rsid w:val="00E90BBA"/>
    <w:rsid w:val="00E90C44"/>
    <w:rsid w:val="00E90CEC"/>
    <w:rsid w:val="00E9105B"/>
    <w:rsid w:val="00E9129C"/>
    <w:rsid w:val="00E9195D"/>
    <w:rsid w:val="00E91AA7"/>
    <w:rsid w:val="00E91B51"/>
    <w:rsid w:val="00E91DE3"/>
    <w:rsid w:val="00E91F3F"/>
    <w:rsid w:val="00E920C2"/>
    <w:rsid w:val="00E92107"/>
    <w:rsid w:val="00E922F4"/>
    <w:rsid w:val="00E923A3"/>
    <w:rsid w:val="00E925A4"/>
    <w:rsid w:val="00E926D6"/>
    <w:rsid w:val="00E92A00"/>
    <w:rsid w:val="00E93095"/>
    <w:rsid w:val="00E932B3"/>
    <w:rsid w:val="00E932F6"/>
    <w:rsid w:val="00E93DE5"/>
    <w:rsid w:val="00E93E3F"/>
    <w:rsid w:val="00E93F66"/>
    <w:rsid w:val="00E946B0"/>
    <w:rsid w:val="00E947C5"/>
    <w:rsid w:val="00E94893"/>
    <w:rsid w:val="00E9528E"/>
    <w:rsid w:val="00E954DE"/>
    <w:rsid w:val="00E95700"/>
    <w:rsid w:val="00E95A7A"/>
    <w:rsid w:val="00E95EE9"/>
    <w:rsid w:val="00E962D5"/>
    <w:rsid w:val="00E963D1"/>
    <w:rsid w:val="00E968EC"/>
    <w:rsid w:val="00E96F8B"/>
    <w:rsid w:val="00E97087"/>
    <w:rsid w:val="00E973BB"/>
    <w:rsid w:val="00E9765A"/>
    <w:rsid w:val="00E97719"/>
    <w:rsid w:val="00E97887"/>
    <w:rsid w:val="00E97F7B"/>
    <w:rsid w:val="00EA009F"/>
    <w:rsid w:val="00EA0342"/>
    <w:rsid w:val="00EA195A"/>
    <w:rsid w:val="00EA1BC1"/>
    <w:rsid w:val="00EA21F6"/>
    <w:rsid w:val="00EA234C"/>
    <w:rsid w:val="00EA23BD"/>
    <w:rsid w:val="00EA2621"/>
    <w:rsid w:val="00EA2DB9"/>
    <w:rsid w:val="00EA3182"/>
    <w:rsid w:val="00EA3286"/>
    <w:rsid w:val="00EA3544"/>
    <w:rsid w:val="00EA35A2"/>
    <w:rsid w:val="00EA3738"/>
    <w:rsid w:val="00EA3870"/>
    <w:rsid w:val="00EA3965"/>
    <w:rsid w:val="00EA3BE1"/>
    <w:rsid w:val="00EA3CBD"/>
    <w:rsid w:val="00EA3D39"/>
    <w:rsid w:val="00EA3D66"/>
    <w:rsid w:val="00EA3EE1"/>
    <w:rsid w:val="00EA4003"/>
    <w:rsid w:val="00EA43B2"/>
    <w:rsid w:val="00EA43D5"/>
    <w:rsid w:val="00EA4424"/>
    <w:rsid w:val="00EA45A2"/>
    <w:rsid w:val="00EA4A6C"/>
    <w:rsid w:val="00EA4A93"/>
    <w:rsid w:val="00EA4CE8"/>
    <w:rsid w:val="00EA5311"/>
    <w:rsid w:val="00EA583C"/>
    <w:rsid w:val="00EA5A0A"/>
    <w:rsid w:val="00EA5A54"/>
    <w:rsid w:val="00EA618D"/>
    <w:rsid w:val="00EA61D8"/>
    <w:rsid w:val="00EA6259"/>
    <w:rsid w:val="00EA64C5"/>
    <w:rsid w:val="00EA6534"/>
    <w:rsid w:val="00EA666C"/>
    <w:rsid w:val="00EA6775"/>
    <w:rsid w:val="00EA6897"/>
    <w:rsid w:val="00EA6A1C"/>
    <w:rsid w:val="00EA6A82"/>
    <w:rsid w:val="00EA6B89"/>
    <w:rsid w:val="00EA6C26"/>
    <w:rsid w:val="00EA6C32"/>
    <w:rsid w:val="00EA71BF"/>
    <w:rsid w:val="00EA7A4E"/>
    <w:rsid w:val="00EA7AEE"/>
    <w:rsid w:val="00EB035C"/>
    <w:rsid w:val="00EB0762"/>
    <w:rsid w:val="00EB099C"/>
    <w:rsid w:val="00EB0AC6"/>
    <w:rsid w:val="00EB0EAF"/>
    <w:rsid w:val="00EB152C"/>
    <w:rsid w:val="00EB19C5"/>
    <w:rsid w:val="00EB1C4B"/>
    <w:rsid w:val="00EB1C64"/>
    <w:rsid w:val="00EB1D1B"/>
    <w:rsid w:val="00EB23E9"/>
    <w:rsid w:val="00EB2637"/>
    <w:rsid w:val="00EB289F"/>
    <w:rsid w:val="00EB2AA6"/>
    <w:rsid w:val="00EB2B40"/>
    <w:rsid w:val="00EB2B91"/>
    <w:rsid w:val="00EB2D52"/>
    <w:rsid w:val="00EB3A09"/>
    <w:rsid w:val="00EB3A5D"/>
    <w:rsid w:val="00EB3AC3"/>
    <w:rsid w:val="00EB3DA4"/>
    <w:rsid w:val="00EB3DF1"/>
    <w:rsid w:val="00EB3F57"/>
    <w:rsid w:val="00EB3F70"/>
    <w:rsid w:val="00EB41B1"/>
    <w:rsid w:val="00EB4785"/>
    <w:rsid w:val="00EB47BC"/>
    <w:rsid w:val="00EB49BF"/>
    <w:rsid w:val="00EB4BEF"/>
    <w:rsid w:val="00EB4E58"/>
    <w:rsid w:val="00EB51C2"/>
    <w:rsid w:val="00EB5372"/>
    <w:rsid w:val="00EB5457"/>
    <w:rsid w:val="00EB57E8"/>
    <w:rsid w:val="00EB65B4"/>
    <w:rsid w:val="00EB6915"/>
    <w:rsid w:val="00EB6AF9"/>
    <w:rsid w:val="00EB6BDB"/>
    <w:rsid w:val="00EB6D2B"/>
    <w:rsid w:val="00EB727E"/>
    <w:rsid w:val="00EB772C"/>
    <w:rsid w:val="00EB795F"/>
    <w:rsid w:val="00EB7AA9"/>
    <w:rsid w:val="00EB7D5D"/>
    <w:rsid w:val="00EC0030"/>
    <w:rsid w:val="00EC01D5"/>
    <w:rsid w:val="00EC01E2"/>
    <w:rsid w:val="00EC0728"/>
    <w:rsid w:val="00EC0A41"/>
    <w:rsid w:val="00EC0B02"/>
    <w:rsid w:val="00EC0E1F"/>
    <w:rsid w:val="00EC104C"/>
    <w:rsid w:val="00EC1339"/>
    <w:rsid w:val="00EC143B"/>
    <w:rsid w:val="00EC1441"/>
    <w:rsid w:val="00EC1520"/>
    <w:rsid w:val="00EC15E1"/>
    <w:rsid w:val="00EC16DE"/>
    <w:rsid w:val="00EC16E6"/>
    <w:rsid w:val="00EC1782"/>
    <w:rsid w:val="00EC1887"/>
    <w:rsid w:val="00EC18FD"/>
    <w:rsid w:val="00EC1D56"/>
    <w:rsid w:val="00EC25DD"/>
    <w:rsid w:val="00EC2780"/>
    <w:rsid w:val="00EC2792"/>
    <w:rsid w:val="00EC2940"/>
    <w:rsid w:val="00EC29B5"/>
    <w:rsid w:val="00EC2D97"/>
    <w:rsid w:val="00EC2DF2"/>
    <w:rsid w:val="00EC2E36"/>
    <w:rsid w:val="00EC3035"/>
    <w:rsid w:val="00EC3085"/>
    <w:rsid w:val="00EC3BAA"/>
    <w:rsid w:val="00EC4039"/>
    <w:rsid w:val="00EC4342"/>
    <w:rsid w:val="00EC4750"/>
    <w:rsid w:val="00EC4893"/>
    <w:rsid w:val="00EC4AB4"/>
    <w:rsid w:val="00EC4DFC"/>
    <w:rsid w:val="00EC4FD5"/>
    <w:rsid w:val="00EC556D"/>
    <w:rsid w:val="00EC586F"/>
    <w:rsid w:val="00EC58D3"/>
    <w:rsid w:val="00EC59DB"/>
    <w:rsid w:val="00EC5C11"/>
    <w:rsid w:val="00EC5D7E"/>
    <w:rsid w:val="00EC5DB9"/>
    <w:rsid w:val="00EC6371"/>
    <w:rsid w:val="00EC63D2"/>
    <w:rsid w:val="00EC6825"/>
    <w:rsid w:val="00EC69D0"/>
    <w:rsid w:val="00EC7156"/>
    <w:rsid w:val="00EC71BB"/>
    <w:rsid w:val="00EC765D"/>
    <w:rsid w:val="00EC7E9F"/>
    <w:rsid w:val="00EC7F42"/>
    <w:rsid w:val="00ED006B"/>
    <w:rsid w:val="00ED0156"/>
    <w:rsid w:val="00ED04BC"/>
    <w:rsid w:val="00ED05EE"/>
    <w:rsid w:val="00ED06D9"/>
    <w:rsid w:val="00ED0986"/>
    <w:rsid w:val="00ED0B5B"/>
    <w:rsid w:val="00ED0D96"/>
    <w:rsid w:val="00ED1214"/>
    <w:rsid w:val="00ED12FA"/>
    <w:rsid w:val="00ED15AA"/>
    <w:rsid w:val="00ED1614"/>
    <w:rsid w:val="00ED16C6"/>
    <w:rsid w:val="00ED19CB"/>
    <w:rsid w:val="00ED19D3"/>
    <w:rsid w:val="00ED1C70"/>
    <w:rsid w:val="00ED1EE0"/>
    <w:rsid w:val="00ED2376"/>
    <w:rsid w:val="00ED24A4"/>
    <w:rsid w:val="00ED24C2"/>
    <w:rsid w:val="00ED27B1"/>
    <w:rsid w:val="00ED2E48"/>
    <w:rsid w:val="00ED3604"/>
    <w:rsid w:val="00ED3632"/>
    <w:rsid w:val="00ED36C4"/>
    <w:rsid w:val="00ED3906"/>
    <w:rsid w:val="00ED3994"/>
    <w:rsid w:val="00ED41B3"/>
    <w:rsid w:val="00ED434E"/>
    <w:rsid w:val="00ED486C"/>
    <w:rsid w:val="00ED4A3E"/>
    <w:rsid w:val="00ED5100"/>
    <w:rsid w:val="00ED540D"/>
    <w:rsid w:val="00ED5840"/>
    <w:rsid w:val="00ED5895"/>
    <w:rsid w:val="00ED5C3E"/>
    <w:rsid w:val="00ED68B6"/>
    <w:rsid w:val="00ED69EE"/>
    <w:rsid w:val="00ED7113"/>
    <w:rsid w:val="00ED7DCF"/>
    <w:rsid w:val="00EE0011"/>
    <w:rsid w:val="00EE0089"/>
    <w:rsid w:val="00EE0207"/>
    <w:rsid w:val="00EE06DA"/>
    <w:rsid w:val="00EE08C7"/>
    <w:rsid w:val="00EE0C78"/>
    <w:rsid w:val="00EE1684"/>
    <w:rsid w:val="00EE182B"/>
    <w:rsid w:val="00EE1995"/>
    <w:rsid w:val="00EE1A13"/>
    <w:rsid w:val="00EE1ED9"/>
    <w:rsid w:val="00EE1EEA"/>
    <w:rsid w:val="00EE233C"/>
    <w:rsid w:val="00EE29CD"/>
    <w:rsid w:val="00EE29CE"/>
    <w:rsid w:val="00EE2AD6"/>
    <w:rsid w:val="00EE2B88"/>
    <w:rsid w:val="00EE2E8C"/>
    <w:rsid w:val="00EE3325"/>
    <w:rsid w:val="00EE34EC"/>
    <w:rsid w:val="00EE3A56"/>
    <w:rsid w:val="00EE3AE2"/>
    <w:rsid w:val="00EE3B9E"/>
    <w:rsid w:val="00EE4018"/>
    <w:rsid w:val="00EE44EF"/>
    <w:rsid w:val="00EE45FA"/>
    <w:rsid w:val="00EE4A8B"/>
    <w:rsid w:val="00EE4D33"/>
    <w:rsid w:val="00EE5263"/>
    <w:rsid w:val="00EE5300"/>
    <w:rsid w:val="00EE530D"/>
    <w:rsid w:val="00EE53E7"/>
    <w:rsid w:val="00EE551A"/>
    <w:rsid w:val="00EE5AB9"/>
    <w:rsid w:val="00EE5F1C"/>
    <w:rsid w:val="00EE5FB5"/>
    <w:rsid w:val="00EE67C4"/>
    <w:rsid w:val="00EE689E"/>
    <w:rsid w:val="00EE6934"/>
    <w:rsid w:val="00EE7E36"/>
    <w:rsid w:val="00EF00F9"/>
    <w:rsid w:val="00EF0232"/>
    <w:rsid w:val="00EF0643"/>
    <w:rsid w:val="00EF0E41"/>
    <w:rsid w:val="00EF1352"/>
    <w:rsid w:val="00EF15DF"/>
    <w:rsid w:val="00EF160B"/>
    <w:rsid w:val="00EF1D4D"/>
    <w:rsid w:val="00EF2164"/>
    <w:rsid w:val="00EF257C"/>
    <w:rsid w:val="00EF28D9"/>
    <w:rsid w:val="00EF2995"/>
    <w:rsid w:val="00EF2C54"/>
    <w:rsid w:val="00EF2FF9"/>
    <w:rsid w:val="00EF35D2"/>
    <w:rsid w:val="00EF3738"/>
    <w:rsid w:val="00EF3A41"/>
    <w:rsid w:val="00EF3B05"/>
    <w:rsid w:val="00EF3C58"/>
    <w:rsid w:val="00EF3C85"/>
    <w:rsid w:val="00EF3F4A"/>
    <w:rsid w:val="00EF3F53"/>
    <w:rsid w:val="00EF3FD3"/>
    <w:rsid w:val="00EF482A"/>
    <w:rsid w:val="00EF4BF7"/>
    <w:rsid w:val="00EF4EE0"/>
    <w:rsid w:val="00EF53A8"/>
    <w:rsid w:val="00EF54ED"/>
    <w:rsid w:val="00EF5883"/>
    <w:rsid w:val="00EF591C"/>
    <w:rsid w:val="00EF5AC1"/>
    <w:rsid w:val="00EF5B50"/>
    <w:rsid w:val="00EF6459"/>
    <w:rsid w:val="00EF6548"/>
    <w:rsid w:val="00EF6C10"/>
    <w:rsid w:val="00EF6D1D"/>
    <w:rsid w:val="00EF7018"/>
    <w:rsid w:val="00EF713B"/>
    <w:rsid w:val="00EF71F0"/>
    <w:rsid w:val="00EF7233"/>
    <w:rsid w:val="00EF7248"/>
    <w:rsid w:val="00EF725D"/>
    <w:rsid w:val="00EF7274"/>
    <w:rsid w:val="00EF72BE"/>
    <w:rsid w:val="00EF73BF"/>
    <w:rsid w:val="00EF7DB9"/>
    <w:rsid w:val="00F00069"/>
    <w:rsid w:val="00F001CD"/>
    <w:rsid w:val="00F0038C"/>
    <w:rsid w:val="00F00450"/>
    <w:rsid w:val="00F00477"/>
    <w:rsid w:val="00F00C0F"/>
    <w:rsid w:val="00F0125E"/>
    <w:rsid w:val="00F02216"/>
    <w:rsid w:val="00F02217"/>
    <w:rsid w:val="00F0232E"/>
    <w:rsid w:val="00F02A95"/>
    <w:rsid w:val="00F0379A"/>
    <w:rsid w:val="00F039F7"/>
    <w:rsid w:val="00F03E17"/>
    <w:rsid w:val="00F04040"/>
    <w:rsid w:val="00F043D1"/>
    <w:rsid w:val="00F04679"/>
    <w:rsid w:val="00F048C7"/>
    <w:rsid w:val="00F048F7"/>
    <w:rsid w:val="00F04C71"/>
    <w:rsid w:val="00F0528D"/>
    <w:rsid w:val="00F0564D"/>
    <w:rsid w:val="00F059B3"/>
    <w:rsid w:val="00F059BA"/>
    <w:rsid w:val="00F05B2D"/>
    <w:rsid w:val="00F05B48"/>
    <w:rsid w:val="00F05BB5"/>
    <w:rsid w:val="00F0614D"/>
    <w:rsid w:val="00F06393"/>
    <w:rsid w:val="00F0664C"/>
    <w:rsid w:val="00F06667"/>
    <w:rsid w:val="00F06785"/>
    <w:rsid w:val="00F06D85"/>
    <w:rsid w:val="00F06F20"/>
    <w:rsid w:val="00F070F7"/>
    <w:rsid w:val="00F071C0"/>
    <w:rsid w:val="00F0761D"/>
    <w:rsid w:val="00F07F87"/>
    <w:rsid w:val="00F10054"/>
    <w:rsid w:val="00F10326"/>
    <w:rsid w:val="00F10410"/>
    <w:rsid w:val="00F10A69"/>
    <w:rsid w:val="00F10C8A"/>
    <w:rsid w:val="00F11051"/>
    <w:rsid w:val="00F11115"/>
    <w:rsid w:val="00F112D6"/>
    <w:rsid w:val="00F11311"/>
    <w:rsid w:val="00F1144E"/>
    <w:rsid w:val="00F115E3"/>
    <w:rsid w:val="00F11603"/>
    <w:rsid w:val="00F11883"/>
    <w:rsid w:val="00F11A59"/>
    <w:rsid w:val="00F11AB6"/>
    <w:rsid w:val="00F11D15"/>
    <w:rsid w:val="00F11F8E"/>
    <w:rsid w:val="00F1206A"/>
    <w:rsid w:val="00F1216E"/>
    <w:rsid w:val="00F121C0"/>
    <w:rsid w:val="00F12D6B"/>
    <w:rsid w:val="00F13033"/>
    <w:rsid w:val="00F13137"/>
    <w:rsid w:val="00F1336A"/>
    <w:rsid w:val="00F135F5"/>
    <w:rsid w:val="00F137C6"/>
    <w:rsid w:val="00F138A0"/>
    <w:rsid w:val="00F13CB6"/>
    <w:rsid w:val="00F13D9B"/>
    <w:rsid w:val="00F14192"/>
    <w:rsid w:val="00F142D7"/>
    <w:rsid w:val="00F149BD"/>
    <w:rsid w:val="00F14AFC"/>
    <w:rsid w:val="00F14C99"/>
    <w:rsid w:val="00F157B0"/>
    <w:rsid w:val="00F16180"/>
    <w:rsid w:val="00F16766"/>
    <w:rsid w:val="00F16AB5"/>
    <w:rsid w:val="00F16B70"/>
    <w:rsid w:val="00F16C9D"/>
    <w:rsid w:val="00F16CB2"/>
    <w:rsid w:val="00F173B6"/>
    <w:rsid w:val="00F17546"/>
    <w:rsid w:val="00F17554"/>
    <w:rsid w:val="00F1767A"/>
    <w:rsid w:val="00F2032D"/>
    <w:rsid w:val="00F205EE"/>
    <w:rsid w:val="00F20628"/>
    <w:rsid w:val="00F207B0"/>
    <w:rsid w:val="00F208E1"/>
    <w:rsid w:val="00F20933"/>
    <w:rsid w:val="00F21415"/>
    <w:rsid w:val="00F21B18"/>
    <w:rsid w:val="00F21C8F"/>
    <w:rsid w:val="00F222DA"/>
    <w:rsid w:val="00F22376"/>
    <w:rsid w:val="00F225AA"/>
    <w:rsid w:val="00F22919"/>
    <w:rsid w:val="00F22BEF"/>
    <w:rsid w:val="00F23049"/>
    <w:rsid w:val="00F231FA"/>
    <w:rsid w:val="00F234AF"/>
    <w:rsid w:val="00F23641"/>
    <w:rsid w:val="00F239B7"/>
    <w:rsid w:val="00F23D1D"/>
    <w:rsid w:val="00F240AB"/>
    <w:rsid w:val="00F240E4"/>
    <w:rsid w:val="00F2447D"/>
    <w:rsid w:val="00F252C4"/>
    <w:rsid w:val="00F25466"/>
    <w:rsid w:val="00F255AF"/>
    <w:rsid w:val="00F25652"/>
    <w:rsid w:val="00F25CDF"/>
    <w:rsid w:val="00F25D74"/>
    <w:rsid w:val="00F25D7E"/>
    <w:rsid w:val="00F25DBC"/>
    <w:rsid w:val="00F25F67"/>
    <w:rsid w:val="00F265B7"/>
    <w:rsid w:val="00F2663F"/>
    <w:rsid w:val="00F26727"/>
    <w:rsid w:val="00F26F94"/>
    <w:rsid w:val="00F27019"/>
    <w:rsid w:val="00F27115"/>
    <w:rsid w:val="00F27A2A"/>
    <w:rsid w:val="00F27B39"/>
    <w:rsid w:val="00F30526"/>
    <w:rsid w:val="00F30D72"/>
    <w:rsid w:val="00F30E57"/>
    <w:rsid w:val="00F30F0B"/>
    <w:rsid w:val="00F31129"/>
    <w:rsid w:val="00F312B5"/>
    <w:rsid w:val="00F31454"/>
    <w:rsid w:val="00F31761"/>
    <w:rsid w:val="00F32079"/>
    <w:rsid w:val="00F320C1"/>
    <w:rsid w:val="00F32134"/>
    <w:rsid w:val="00F326B4"/>
    <w:rsid w:val="00F32CEE"/>
    <w:rsid w:val="00F32E21"/>
    <w:rsid w:val="00F32EC5"/>
    <w:rsid w:val="00F3315E"/>
    <w:rsid w:val="00F335A6"/>
    <w:rsid w:val="00F335C2"/>
    <w:rsid w:val="00F337FB"/>
    <w:rsid w:val="00F340C7"/>
    <w:rsid w:val="00F34179"/>
    <w:rsid w:val="00F34390"/>
    <w:rsid w:val="00F3455B"/>
    <w:rsid w:val="00F34D23"/>
    <w:rsid w:val="00F34EE7"/>
    <w:rsid w:val="00F353B9"/>
    <w:rsid w:val="00F3566A"/>
    <w:rsid w:val="00F35678"/>
    <w:rsid w:val="00F35723"/>
    <w:rsid w:val="00F3597F"/>
    <w:rsid w:val="00F36069"/>
    <w:rsid w:val="00F36751"/>
    <w:rsid w:val="00F3683F"/>
    <w:rsid w:val="00F36C60"/>
    <w:rsid w:val="00F36D47"/>
    <w:rsid w:val="00F3703F"/>
    <w:rsid w:val="00F37273"/>
    <w:rsid w:val="00F372EA"/>
    <w:rsid w:val="00F3734D"/>
    <w:rsid w:val="00F374A2"/>
    <w:rsid w:val="00F3757F"/>
    <w:rsid w:val="00F37C64"/>
    <w:rsid w:val="00F400E6"/>
    <w:rsid w:val="00F406D3"/>
    <w:rsid w:val="00F40C00"/>
    <w:rsid w:val="00F40C65"/>
    <w:rsid w:val="00F40DAC"/>
    <w:rsid w:val="00F40DD5"/>
    <w:rsid w:val="00F40F22"/>
    <w:rsid w:val="00F411A7"/>
    <w:rsid w:val="00F412E7"/>
    <w:rsid w:val="00F413D5"/>
    <w:rsid w:val="00F414B3"/>
    <w:rsid w:val="00F41A3D"/>
    <w:rsid w:val="00F41B11"/>
    <w:rsid w:val="00F41DF6"/>
    <w:rsid w:val="00F41F94"/>
    <w:rsid w:val="00F42004"/>
    <w:rsid w:val="00F421A1"/>
    <w:rsid w:val="00F42381"/>
    <w:rsid w:val="00F423B0"/>
    <w:rsid w:val="00F42734"/>
    <w:rsid w:val="00F42BA2"/>
    <w:rsid w:val="00F42CF6"/>
    <w:rsid w:val="00F42D2D"/>
    <w:rsid w:val="00F43950"/>
    <w:rsid w:val="00F4398B"/>
    <w:rsid w:val="00F43B50"/>
    <w:rsid w:val="00F43BD6"/>
    <w:rsid w:val="00F43D0D"/>
    <w:rsid w:val="00F43FBF"/>
    <w:rsid w:val="00F43FD3"/>
    <w:rsid w:val="00F4435C"/>
    <w:rsid w:val="00F444CC"/>
    <w:rsid w:val="00F44608"/>
    <w:rsid w:val="00F446D9"/>
    <w:rsid w:val="00F44829"/>
    <w:rsid w:val="00F44AA2"/>
    <w:rsid w:val="00F44BE0"/>
    <w:rsid w:val="00F4501B"/>
    <w:rsid w:val="00F453B7"/>
    <w:rsid w:val="00F4570E"/>
    <w:rsid w:val="00F4595F"/>
    <w:rsid w:val="00F45D0A"/>
    <w:rsid w:val="00F46529"/>
    <w:rsid w:val="00F465B5"/>
    <w:rsid w:val="00F468B6"/>
    <w:rsid w:val="00F46936"/>
    <w:rsid w:val="00F46940"/>
    <w:rsid w:val="00F46A0D"/>
    <w:rsid w:val="00F47167"/>
    <w:rsid w:val="00F4720E"/>
    <w:rsid w:val="00F47433"/>
    <w:rsid w:val="00F47571"/>
    <w:rsid w:val="00F476AC"/>
    <w:rsid w:val="00F477C7"/>
    <w:rsid w:val="00F47B7B"/>
    <w:rsid w:val="00F47C4F"/>
    <w:rsid w:val="00F50120"/>
    <w:rsid w:val="00F501A7"/>
    <w:rsid w:val="00F502D1"/>
    <w:rsid w:val="00F507D4"/>
    <w:rsid w:val="00F50D2C"/>
    <w:rsid w:val="00F50F28"/>
    <w:rsid w:val="00F51220"/>
    <w:rsid w:val="00F51229"/>
    <w:rsid w:val="00F51703"/>
    <w:rsid w:val="00F5182C"/>
    <w:rsid w:val="00F51888"/>
    <w:rsid w:val="00F51C31"/>
    <w:rsid w:val="00F51DC0"/>
    <w:rsid w:val="00F52758"/>
    <w:rsid w:val="00F52849"/>
    <w:rsid w:val="00F52B1B"/>
    <w:rsid w:val="00F52F91"/>
    <w:rsid w:val="00F53374"/>
    <w:rsid w:val="00F533B2"/>
    <w:rsid w:val="00F53455"/>
    <w:rsid w:val="00F5384F"/>
    <w:rsid w:val="00F53CBD"/>
    <w:rsid w:val="00F54068"/>
    <w:rsid w:val="00F54469"/>
    <w:rsid w:val="00F54791"/>
    <w:rsid w:val="00F54BAE"/>
    <w:rsid w:val="00F54BED"/>
    <w:rsid w:val="00F54D60"/>
    <w:rsid w:val="00F54D6A"/>
    <w:rsid w:val="00F553FA"/>
    <w:rsid w:val="00F55986"/>
    <w:rsid w:val="00F55A97"/>
    <w:rsid w:val="00F55C4A"/>
    <w:rsid w:val="00F5641E"/>
    <w:rsid w:val="00F56440"/>
    <w:rsid w:val="00F56928"/>
    <w:rsid w:val="00F56A0F"/>
    <w:rsid w:val="00F56C66"/>
    <w:rsid w:val="00F56CEF"/>
    <w:rsid w:val="00F56E0F"/>
    <w:rsid w:val="00F57064"/>
    <w:rsid w:val="00F570F9"/>
    <w:rsid w:val="00F57489"/>
    <w:rsid w:val="00F578C6"/>
    <w:rsid w:val="00F60647"/>
    <w:rsid w:val="00F60C95"/>
    <w:rsid w:val="00F60CB6"/>
    <w:rsid w:val="00F610BA"/>
    <w:rsid w:val="00F61268"/>
    <w:rsid w:val="00F61285"/>
    <w:rsid w:val="00F6137B"/>
    <w:rsid w:val="00F61663"/>
    <w:rsid w:val="00F617D6"/>
    <w:rsid w:val="00F61AC4"/>
    <w:rsid w:val="00F61C0D"/>
    <w:rsid w:val="00F61CDA"/>
    <w:rsid w:val="00F61E57"/>
    <w:rsid w:val="00F61EA6"/>
    <w:rsid w:val="00F61FAF"/>
    <w:rsid w:val="00F62203"/>
    <w:rsid w:val="00F622D3"/>
    <w:rsid w:val="00F62306"/>
    <w:rsid w:val="00F62B29"/>
    <w:rsid w:val="00F62D7E"/>
    <w:rsid w:val="00F63134"/>
    <w:rsid w:val="00F63169"/>
    <w:rsid w:val="00F636F8"/>
    <w:rsid w:val="00F637AF"/>
    <w:rsid w:val="00F63DD6"/>
    <w:rsid w:val="00F64506"/>
    <w:rsid w:val="00F647F0"/>
    <w:rsid w:val="00F6491E"/>
    <w:rsid w:val="00F64CCD"/>
    <w:rsid w:val="00F64D7A"/>
    <w:rsid w:val="00F64DB0"/>
    <w:rsid w:val="00F64EED"/>
    <w:rsid w:val="00F64F0E"/>
    <w:rsid w:val="00F65A19"/>
    <w:rsid w:val="00F65AFE"/>
    <w:rsid w:val="00F65FCC"/>
    <w:rsid w:val="00F66031"/>
    <w:rsid w:val="00F665C3"/>
    <w:rsid w:val="00F6661E"/>
    <w:rsid w:val="00F6677C"/>
    <w:rsid w:val="00F66F13"/>
    <w:rsid w:val="00F67010"/>
    <w:rsid w:val="00F67670"/>
    <w:rsid w:val="00F679C6"/>
    <w:rsid w:val="00F67B7F"/>
    <w:rsid w:val="00F707D0"/>
    <w:rsid w:val="00F708B3"/>
    <w:rsid w:val="00F708D5"/>
    <w:rsid w:val="00F70DAC"/>
    <w:rsid w:val="00F70F01"/>
    <w:rsid w:val="00F713C1"/>
    <w:rsid w:val="00F71CCF"/>
    <w:rsid w:val="00F7234F"/>
    <w:rsid w:val="00F725B6"/>
    <w:rsid w:val="00F72A8F"/>
    <w:rsid w:val="00F72C4F"/>
    <w:rsid w:val="00F72C92"/>
    <w:rsid w:val="00F72D98"/>
    <w:rsid w:val="00F7336B"/>
    <w:rsid w:val="00F73547"/>
    <w:rsid w:val="00F737EB"/>
    <w:rsid w:val="00F74B47"/>
    <w:rsid w:val="00F74D16"/>
    <w:rsid w:val="00F74D99"/>
    <w:rsid w:val="00F75173"/>
    <w:rsid w:val="00F751AD"/>
    <w:rsid w:val="00F752A4"/>
    <w:rsid w:val="00F75749"/>
    <w:rsid w:val="00F757C8"/>
    <w:rsid w:val="00F76046"/>
    <w:rsid w:val="00F761D7"/>
    <w:rsid w:val="00F7671D"/>
    <w:rsid w:val="00F769DD"/>
    <w:rsid w:val="00F76D2D"/>
    <w:rsid w:val="00F76DD5"/>
    <w:rsid w:val="00F76DD9"/>
    <w:rsid w:val="00F76E7E"/>
    <w:rsid w:val="00F772B3"/>
    <w:rsid w:val="00F774BA"/>
    <w:rsid w:val="00F77871"/>
    <w:rsid w:val="00F77920"/>
    <w:rsid w:val="00F77D10"/>
    <w:rsid w:val="00F77FEA"/>
    <w:rsid w:val="00F77FF1"/>
    <w:rsid w:val="00F80004"/>
    <w:rsid w:val="00F800DC"/>
    <w:rsid w:val="00F80402"/>
    <w:rsid w:val="00F806D2"/>
    <w:rsid w:val="00F80708"/>
    <w:rsid w:val="00F809C3"/>
    <w:rsid w:val="00F80A01"/>
    <w:rsid w:val="00F80BF4"/>
    <w:rsid w:val="00F80DF0"/>
    <w:rsid w:val="00F81531"/>
    <w:rsid w:val="00F815E1"/>
    <w:rsid w:val="00F815F1"/>
    <w:rsid w:val="00F816F7"/>
    <w:rsid w:val="00F817BD"/>
    <w:rsid w:val="00F82057"/>
    <w:rsid w:val="00F82436"/>
    <w:rsid w:val="00F825D9"/>
    <w:rsid w:val="00F8268F"/>
    <w:rsid w:val="00F82A65"/>
    <w:rsid w:val="00F82B37"/>
    <w:rsid w:val="00F82F05"/>
    <w:rsid w:val="00F82FE7"/>
    <w:rsid w:val="00F83012"/>
    <w:rsid w:val="00F8314B"/>
    <w:rsid w:val="00F83203"/>
    <w:rsid w:val="00F83308"/>
    <w:rsid w:val="00F837E2"/>
    <w:rsid w:val="00F83808"/>
    <w:rsid w:val="00F8406D"/>
    <w:rsid w:val="00F84206"/>
    <w:rsid w:val="00F842D6"/>
    <w:rsid w:val="00F84356"/>
    <w:rsid w:val="00F845E6"/>
    <w:rsid w:val="00F8483B"/>
    <w:rsid w:val="00F84E24"/>
    <w:rsid w:val="00F85A71"/>
    <w:rsid w:val="00F86282"/>
    <w:rsid w:val="00F863F7"/>
    <w:rsid w:val="00F86978"/>
    <w:rsid w:val="00F869B6"/>
    <w:rsid w:val="00F86CA6"/>
    <w:rsid w:val="00F86E12"/>
    <w:rsid w:val="00F86F4B"/>
    <w:rsid w:val="00F875C5"/>
    <w:rsid w:val="00F902B7"/>
    <w:rsid w:val="00F906F3"/>
    <w:rsid w:val="00F9079B"/>
    <w:rsid w:val="00F909D0"/>
    <w:rsid w:val="00F90B12"/>
    <w:rsid w:val="00F90C4C"/>
    <w:rsid w:val="00F91100"/>
    <w:rsid w:val="00F9136A"/>
    <w:rsid w:val="00F91788"/>
    <w:rsid w:val="00F9190B"/>
    <w:rsid w:val="00F91C93"/>
    <w:rsid w:val="00F91D8F"/>
    <w:rsid w:val="00F921F5"/>
    <w:rsid w:val="00F92602"/>
    <w:rsid w:val="00F9285E"/>
    <w:rsid w:val="00F92DBA"/>
    <w:rsid w:val="00F92E6C"/>
    <w:rsid w:val="00F93017"/>
    <w:rsid w:val="00F9320D"/>
    <w:rsid w:val="00F9395F"/>
    <w:rsid w:val="00F93B24"/>
    <w:rsid w:val="00F93E88"/>
    <w:rsid w:val="00F940B1"/>
    <w:rsid w:val="00F947B7"/>
    <w:rsid w:val="00F94F94"/>
    <w:rsid w:val="00F95008"/>
    <w:rsid w:val="00F95086"/>
    <w:rsid w:val="00F95622"/>
    <w:rsid w:val="00F95FA7"/>
    <w:rsid w:val="00F966E3"/>
    <w:rsid w:val="00F96D3D"/>
    <w:rsid w:val="00F96E3C"/>
    <w:rsid w:val="00F96E62"/>
    <w:rsid w:val="00F970A5"/>
    <w:rsid w:val="00F971EC"/>
    <w:rsid w:val="00F972D2"/>
    <w:rsid w:val="00F97BAF"/>
    <w:rsid w:val="00F97C86"/>
    <w:rsid w:val="00FA0508"/>
    <w:rsid w:val="00FA05E2"/>
    <w:rsid w:val="00FA066A"/>
    <w:rsid w:val="00FA06A2"/>
    <w:rsid w:val="00FA090C"/>
    <w:rsid w:val="00FA0A61"/>
    <w:rsid w:val="00FA0A68"/>
    <w:rsid w:val="00FA1078"/>
    <w:rsid w:val="00FA10E7"/>
    <w:rsid w:val="00FA1275"/>
    <w:rsid w:val="00FA130D"/>
    <w:rsid w:val="00FA16F4"/>
    <w:rsid w:val="00FA1AF2"/>
    <w:rsid w:val="00FA1CEC"/>
    <w:rsid w:val="00FA1DED"/>
    <w:rsid w:val="00FA1E3E"/>
    <w:rsid w:val="00FA1F77"/>
    <w:rsid w:val="00FA2750"/>
    <w:rsid w:val="00FA2A44"/>
    <w:rsid w:val="00FA2A50"/>
    <w:rsid w:val="00FA2A54"/>
    <w:rsid w:val="00FA2B7D"/>
    <w:rsid w:val="00FA2BBF"/>
    <w:rsid w:val="00FA2F80"/>
    <w:rsid w:val="00FA2F98"/>
    <w:rsid w:val="00FA32B8"/>
    <w:rsid w:val="00FA33D9"/>
    <w:rsid w:val="00FA3415"/>
    <w:rsid w:val="00FA34E8"/>
    <w:rsid w:val="00FA3A27"/>
    <w:rsid w:val="00FA3BE6"/>
    <w:rsid w:val="00FA3DC0"/>
    <w:rsid w:val="00FA3EAB"/>
    <w:rsid w:val="00FA41AA"/>
    <w:rsid w:val="00FA42AE"/>
    <w:rsid w:val="00FA4331"/>
    <w:rsid w:val="00FA471E"/>
    <w:rsid w:val="00FA49AA"/>
    <w:rsid w:val="00FA49C7"/>
    <w:rsid w:val="00FA4A06"/>
    <w:rsid w:val="00FA4B97"/>
    <w:rsid w:val="00FA4D0B"/>
    <w:rsid w:val="00FA55AB"/>
    <w:rsid w:val="00FA55CD"/>
    <w:rsid w:val="00FA5654"/>
    <w:rsid w:val="00FA5A90"/>
    <w:rsid w:val="00FA5E8A"/>
    <w:rsid w:val="00FA5F3C"/>
    <w:rsid w:val="00FA637F"/>
    <w:rsid w:val="00FA6400"/>
    <w:rsid w:val="00FA644A"/>
    <w:rsid w:val="00FA66EA"/>
    <w:rsid w:val="00FA6971"/>
    <w:rsid w:val="00FA6F89"/>
    <w:rsid w:val="00FA7412"/>
    <w:rsid w:val="00FA7757"/>
    <w:rsid w:val="00FA7A54"/>
    <w:rsid w:val="00FA7B23"/>
    <w:rsid w:val="00FA7D93"/>
    <w:rsid w:val="00FA7E99"/>
    <w:rsid w:val="00FB0405"/>
    <w:rsid w:val="00FB04A0"/>
    <w:rsid w:val="00FB05E5"/>
    <w:rsid w:val="00FB0714"/>
    <w:rsid w:val="00FB07E9"/>
    <w:rsid w:val="00FB09CF"/>
    <w:rsid w:val="00FB151B"/>
    <w:rsid w:val="00FB1C07"/>
    <w:rsid w:val="00FB1FCC"/>
    <w:rsid w:val="00FB2201"/>
    <w:rsid w:val="00FB25E6"/>
    <w:rsid w:val="00FB26D2"/>
    <w:rsid w:val="00FB279C"/>
    <w:rsid w:val="00FB2962"/>
    <w:rsid w:val="00FB2991"/>
    <w:rsid w:val="00FB2ABE"/>
    <w:rsid w:val="00FB2F27"/>
    <w:rsid w:val="00FB321C"/>
    <w:rsid w:val="00FB332D"/>
    <w:rsid w:val="00FB339C"/>
    <w:rsid w:val="00FB3467"/>
    <w:rsid w:val="00FB35BC"/>
    <w:rsid w:val="00FB3E56"/>
    <w:rsid w:val="00FB47F5"/>
    <w:rsid w:val="00FB4AF3"/>
    <w:rsid w:val="00FB4EDF"/>
    <w:rsid w:val="00FB4FD0"/>
    <w:rsid w:val="00FB5267"/>
    <w:rsid w:val="00FB5587"/>
    <w:rsid w:val="00FB562A"/>
    <w:rsid w:val="00FB5681"/>
    <w:rsid w:val="00FB59D6"/>
    <w:rsid w:val="00FB5B18"/>
    <w:rsid w:val="00FB5C31"/>
    <w:rsid w:val="00FB5D9C"/>
    <w:rsid w:val="00FB5ECA"/>
    <w:rsid w:val="00FB5ED1"/>
    <w:rsid w:val="00FB60F1"/>
    <w:rsid w:val="00FB6224"/>
    <w:rsid w:val="00FB63F4"/>
    <w:rsid w:val="00FB6494"/>
    <w:rsid w:val="00FB659D"/>
    <w:rsid w:val="00FB670C"/>
    <w:rsid w:val="00FB74A2"/>
    <w:rsid w:val="00FB7DA7"/>
    <w:rsid w:val="00FC00EF"/>
    <w:rsid w:val="00FC0115"/>
    <w:rsid w:val="00FC02AF"/>
    <w:rsid w:val="00FC0756"/>
    <w:rsid w:val="00FC07D5"/>
    <w:rsid w:val="00FC0877"/>
    <w:rsid w:val="00FC0927"/>
    <w:rsid w:val="00FC095C"/>
    <w:rsid w:val="00FC0AC7"/>
    <w:rsid w:val="00FC0FEC"/>
    <w:rsid w:val="00FC1635"/>
    <w:rsid w:val="00FC1B24"/>
    <w:rsid w:val="00FC1F01"/>
    <w:rsid w:val="00FC1F87"/>
    <w:rsid w:val="00FC20C3"/>
    <w:rsid w:val="00FC2877"/>
    <w:rsid w:val="00FC2A24"/>
    <w:rsid w:val="00FC2ED1"/>
    <w:rsid w:val="00FC2FD8"/>
    <w:rsid w:val="00FC3310"/>
    <w:rsid w:val="00FC36C2"/>
    <w:rsid w:val="00FC3838"/>
    <w:rsid w:val="00FC39AE"/>
    <w:rsid w:val="00FC3B38"/>
    <w:rsid w:val="00FC3D42"/>
    <w:rsid w:val="00FC4B10"/>
    <w:rsid w:val="00FC4C40"/>
    <w:rsid w:val="00FC4CB1"/>
    <w:rsid w:val="00FC511A"/>
    <w:rsid w:val="00FC550C"/>
    <w:rsid w:val="00FC56BF"/>
    <w:rsid w:val="00FC5F2A"/>
    <w:rsid w:val="00FC6420"/>
    <w:rsid w:val="00FC64C2"/>
    <w:rsid w:val="00FC64CC"/>
    <w:rsid w:val="00FC6B44"/>
    <w:rsid w:val="00FC6DFD"/>
    <w:rsid w:val="00FC6F6E"/>
    <w:rsid w:val="00FC7036"/>
    <w:rsid w:val="00FC7E4F"/>
    <w:rsid w:val="00FD004B"/>
    <w:rsid w:val="00FD07E0"/>
    <w:rsid w:val="00FD0B7E"/>
    <w:rsid w:val="00FD0BC9"/>
    <w:rsid w:val="00FD0EFD"/>
    <w:rsid w:val="00FD0F77"/>
    <w:rsid w:val="00FD1080"/>
    <w:rsid w:val="00FD138A"/>
    <w:rsid w:val="00FD140E"/>
    <w:rsid w:val="00FD1B26"/>
    <w:rsid w:val="00FD1CC2"/>
    <w:rsid w:val="00FD2040"/>
    <w:rsid w:val="00FD21C8"/>
    <w:rsid w:val="00FD26D3"/>
    <w:rsid w:val="00FD27D7"/>
    <w:rsid w:val="00FD295B"/>
    <w:rsid w:val="00FD2CC7"/>
    <w:rsid w:val="00FD337D"/>
    <w:rsid w:val="00FD343E"/>
    <w:rsid w:val="00FD36E8"/>
    <w:rsid w:val="00FD3977"/>
    <w:rsid w:val="00FD3B9F"/>
    <w:rsid w:val="00FD3F16"/>
    <w:rsid w:val="00FD41D7"/>
    <w:rsid w:val="00FD4295"/>
    <w:rsid w:val="00FD42E3"/>
    <w:rsid w:val="00FD44A4"/>
    <w:rsid w:val="00FD4718"/>
    <w:rsid w:val="00FD48DD"/>
    <w:rsid w:val="00FD4CC5"/>
    <w:rsid w:val="00FD4E5B"/>
    <w:rsid w:val="00FD512D"/>
    <w:rsid w:val="00FD553F"/>
    <w:rsid w:val="00FD58A6"/>
    <w:rsid w:val="00FD5A4F"/>
    <w:rsid w:val="00FD5A75"/>
    <w:rsid w:val="00FD5C66"/>
    <w:rsid w:val="00FD5E01"/>
    <w:rsid w:val="00FD5ED2"/>
    <w:rsid w:val="00FD63A5"/>
    <w:rsid w:val="00FD6481"/>
    <w:rsid w:val="00FD6735"/>
    <w:rsid w:val="00FD6C6F"/>
    <w:rsid w:val="00FD7244"/>
    <w:rsid w:val="00FD7302"/>
    <w:rsid w:val="00FD7624"/>
    <w:rsid w:val="00FD79F2"/>
    <w:rsid w:val="00FD7C48"/>
    <w:rsid w:val="00FE006A"/>
    <w:rsid w:val="00FE00BE"/>
    <w:rsid w:val="00FE02F7"/>
    <w:rsid w:val="00FE05A6"/>
    <w:rsid w:val="00FE05FC"/>
    <w:rsid w:val="00FE0604"/>
    <w:rsid w:val="00FE0C96"/>
    <w:rsid w:val="00FE0DBD"/>
    <w:rsid w:val="00FE12C3"/>
    <w:rsid w:val="00FE182D"/>
    <w:rsid w:val="00FE1D84"/>
    <w:rsid w:val="00FE21CA"/>
    <w:rsid w:val="00FE27A8"/>
    <w:rsid w:val="00FE2FED"/>
    <w:rsid w:val="00FE3296"/>
    <w:rsid w:val="00FE3818"/>
    <w:rsid w:val="00FE3D75"/>
    <w:rsid w:val="00FE40F3"/>
    <w:rsid w:val="00FE42BE"/>
    <w:rsid w:val="00FE47B1"/>
    <w:rsid w:val="00FE50BB"/>
    <w:rsid w:val="00FE5536"/>
    <w:rsid w:val="00FE55BB"/>
    <w:rsid w:val="00FE57F9"/>
    <w:rsid w:val="00FE5834"/>
    <w:rsid w:val="00FE5943"/>
    <w:rsid w:val="00FE630C"/>
    <w:rsid w:val="00FE635B"/>
    <w:rsid w:val="00FE6AF7"/>
    <w:rsid w:val="00FE6EFA"/>
    <w:rsid w:val="00FE7601"/>
    <w:rsid w:val="00FE7AB7"/>
    <w:rsid w:val="00FE7CD2"/>
    <w:rsid w:val="00FE7F92"/>
    <w:rsid w:val="00FF0522"/>
    <w:rsid w:val="00FF05F4"/>
    <w:rsid w:val="00FF0705"/>
    <w:rsid w:val="00FF0808"/>
    <w:rsid w:val="00FF081A"/>
    <w:rsid w:val="00FF0A1D"/>
    <w:rsid w:val="00FF0AE6"/>
    <w:rsid w:val="00FF0E81"/>
    <w:rsid w:val="00FF10AB"/>
    <w:rsid w:val="00FF1170"/>
    <w:rsid w:val="00FF1B4A"/>
    <w:rsid w:val="00FF1E33"/>
    <w:rsid w:val="00FF1E38"/>
    <w:rsid w:val="00FF1FDC"/>
    <w:rsid w:val="00FF286D"/>
    <w:rsid w:val="00FF2B8D"/>
    <w:rsid w:val="00FF2DA8"/>
    <w:rsid w:val="00FF2E24"/>
    <w:rsid w:val="00FF3046"/>
    <w:rsid w:val="00FF3B1F"/>
    <w:rsid w:val="00FF4154"/>
    <w:rsid w:val="00FF43CA"/>
    <w:rsid w:val="00FF465D"/>
    <w:rsid w:val="00FF4721"/>
    <w:rsid w:val="00FF4932"/>
    <w:rsid w:val="00FF4C53"/>
    <w:rsid w:val="00FF524A"/>
    <w:rsid w:val="00FF57C5"/>
    <w:rsid w:val="00FF5C8A"/>
    <w:rsid w:val="00FF5F0E"/>
    <w:rsid w:val="00FF6387"/>
    <w:rsid w:val="00FF638F"/>
    <w:rsid w:val="00FF65B9"/>
    <w:rsid w:val="00FF66A6"/>
    <w:rsid w:val="00FF68A6"/>
    <w:rsid w:val="00FF6D95"/>
    <w:rsid w:val="00FF6E01"/>
    <w:rsid w:val="00FF6F0E"/>
    <w:rsid w:val="00FF71AC"/>
    <w:rsid w:val="00FF74F4"/>
    <w:rsid w:val="0103731B"/>
    <w:rsid w:val="01079D95"/>
    <w:rsid w:val="010C1D98"/>
    <w:rsid w:val="0118C1FF"/>
    <w:rsid w:val="01310801"/>
    <w:rsid w:val="013C12B6"/>
    <w:rsid w:val="01549595"/>
    <w:rsid w:val="0167FAAC"/>
    <w:rsid w:val="0167FD3E"/>
    <w:rsid w:val="016D7B9D"/>
    <w:rsid w:val="0193B72C"/>
    <w:rsid w:val="01B9972C"/>
    <w:rsid w:val="01BB7ED9"/>
    <w:rsid w:val="01E8FFAE"/>
    <w:rsid w:val="01EE73AD"/>
    <w:rsid w:val="0208C0D6"/>
    <w:rsid w:val="020D5CBC"/>
    <w:rsid w:val="0211237B"/>
    <w:rsid w:val="02184FAF"/>
    <w:rsid w:val="023390D0"/>
    <w:rsid w:val="023B14D4"/>
    <w:rsid w:val="0240E689"/>
    <w:rsid w:val="024A79B8"/>
    <w:rsid w:val="0259A49E"/>
    <w:rsid w:val="0274D95D"/>
    <w:rsid w:val="027C4F09"/>
    <w:rsid w:val="027CBC5C"/>
    <w:rsid w:val="02973F8D"/>
    <w:rsid w:val="02B19139"/>
    <w:rsid w:val="02B64BFE"/>
    <w:rsid w:val="02BEE6CB"/>
    <w:rsid w:val="02C9660C"/>
    <w:rsid w:val="02D7CA0F"/>
    <w:rsid w:val="0308948F"/>
    <w:rsid w:val="031044A7"/>
    <w:rsid w:val="0346874E"/>
    <w:rsid w:val="03486217"/>
    <w:rsid w:val="034B45E4"/>
    <w:rsid w:val="03596AF1"/>
    <w:rsid w:val="03620BD8"/>
    <w:rsid w:val="036B2B56"/>
    <w:rsid w:val="038D914D"/>
    <w:rsid w:val="039014F9"/>
    <w:rsid w:val="039AB3CF"/>
    <w:rsid w:val="03E199EA"/>
    <w:rsid w:val="03E2C29B"/>
    <w:rsid w:val="03E58912"/>
    <w:rsid w:val="03F7D36D"/>
    <w:rsid w:val="0405569A"/>
    <w:rsid w:val="040A104D"/>
    <w:rsid w:val="0412F43E"/>
    <w:rsid w:val="041EBE73"/>
    <w:rsid w:val="042E6F9B"/>
    <w:rsid w:val="043A4EC2"/>
    <w:rsid w:val="043B4049"/>
    <w:rsid w:val="044BE025"/>
    <w:rsid w:val="04742540"/>
    <w:rsid w:val="04841DA2"/>
    <w:rsid w:val="04883551"/>
    <w:rsid w:val="04913247"/>
    <w:rsid w:val="04A415BC"/>
    <w:rsid w:val="04BD2F3D"/>
    <w:rsid w:val="04C8BA82"/>
    <w:rsid w:val="04F58A2C"/>
    <w:rsid w:val="04F6A322"/>
    <w:rsid w:val="04FB6DC0"/>
    <w:rsid w:val="05096D75"/>
    <w:rsid w:val="051D5A70"/>
    <w:rsid w:val="054AF297"/>
    <w:rsid w:val="059A2372"/>
    <w:rsid w:val="05A705CD"/>
    <w:rsid w:val="05B063C9"/>
    <w:rsid w:val="05B723C2"/>
    <w:rsid w:val="05C6ACF7"/>
    <w:rsid w:val="05EA4604"/>
    <w:rsid w:val="05EB04BA"/>
    <w:rsid w:val="0616F72D"/>
    <w:rsid w:val="06201E56"/>
    <w:rsid w:val="06217716"/>
    <w:rsid w:val="062456F6"/>
    <w:rsid w:val="0624F0C9"/>
    <w:rsid w:val="0633B6E5"/>
    <w:rsid w:val="063925C8"/>
    <w:rsid w:val="06A36B17"/>
    <w:rsid w:val="06A596D6"/>
    <w:rsid w:val="06A7F11E"/>
    <w:rsid w:val="06B702D3"/>
    <w:rsid w:val="06B71B92"/>
    <w:rsid w:val="06C248AA"/>
    <w:rsid w:val="06D84035"/>
    <w:rsid w:val="0701AD95"/>
    <w:rsid w:val="070A7438"/>
    <w:rsid w:val="0716C5B8"/>
    <w:rsid w:val="0724F559"/>
    <w:rsid w:val="0733D113"/>
    <w:rsid w:val="0741E3F7"/>
    <w:rsid w:val="0741FCC3"/>
    <w:rsid w:val="074219D6"/>
    <w:rsid w:val="074D7C56"/>
    <w:rsid w:val="075D0CB8"/>
    <w:rsid w:val="075D19AE"/>
    <w:rsid w:val="076F2031"/>
    <w:rsid w:val="0783CAF1"/>
    <w:rsid w:val="078E4667"/>
    <w:rsid w:val="07A3CC81"/>
    <w:rsid w:val="07AD7E8A"/>
    <w:rsid w:val="07D8C112"/>
    <w:rsid w:val="07E63FA1"/>
    <w:rsid w:val="07F922EB"/>
    <w:rsid w:val="07FCC63D"/>
    <w:rsid w:val="07FE8EEA"/>
    <w:rsid w:val="080103CF"/>
    <w:rsid w:val="08074CC2"/>
    <w:rsid w:val="080DD775"/>
    <w:rsid w:val="081A27B3"/>
    <w:rsid w:val="081A8A58"/>
    <w:rsid w:val="0837DC91"/>
    <w:rsid w:val="0844E983"/>
    <w:rsid w:val="08473C83"/>
    <w:rsid w:val="084FBE9D"/>
    <w:rsid w:val="085E43E7"/>
    <w:rsid w:val="08795E36"/>
    <w:rsid w:val="088972CB"/>
    <w:rsid w:val="089AAB12"/>
    <w:rsid w:val="08C8FAA2"/>
    <w:rsid w:val="08CABE57"/>
    <w:rsid w:val="08D1D5A6"/>
    <w:rsid w:val="08D66B2C"/>
    <w:rsid w:val="08EDB9B0"/>
    <w:rsid w:val="09251DE7"/>
    <w:rsid w:val="093FFC59"/>
    <w:rsid w:val="094855D1"/>
    <w:rsid w:val="0949B78A"/>
    <w:rsid w:val="097E3C40"/>
    <w:rsid w:val="0994D005"/>
    <w:rsid w:val="099511DE"/>
    <w:rsid w:val="0997CC57"/>
    <w:rsid w:val="099DDA37"/>
    <w:rsid w:val="09A995B4"/>
    <w:rsid w:val="09B35615"/>
    <w:rsid w:val="09B5FB92"/>
    <w:rsid w:val="09C62937"/>
    <w:rsid w:val="09C6F4A3"/>
    <w:rsid w:val="09E514CF"/>
    <w:rsid w:val="09F3F2C1"/>
    <w:rsid w:val="0A04FCFE"/>
    <w:rsid w:val="0A142996"/>
    <w:rsid w:val="0A23F761"/>
    <w:rsid w:val="0A25578D"/>
    <w:rsid w:val="0A28183C"/>
    <w:rsid w:val="0A5EB95D"/>
    <w:rsid w:val="0A68B762"/>
    <w:rsid w:val="0A692D64"/>
    <w:rsid w:val="0A76D69E"/>
    <w:rsid w:val="0A7BB7EE"/>
    <w:rsid w:val="0A997BD6"/>
    <w:rsid w:val="0AB3373C"/>
    <w:rsid w:val="0ABD252E"/>
    <w:rsid w:val="0AD4DEB5"/>
    <w:rsid w:val="0ADDC29E"/>
    <w:rsid w:val="0AFC3274"/>
    <w:rsid w:val="0B183D63"/>
    <w:rsid w:val="0B1CA292"/>
    <w:rsid w:val="0B51E9A8"/>
    <w:rsid w:val="0B561F2D"/>
    <w:rsid w:val="0B5F6837"/>
    <w:rsid w:val="0B6354F5"/>
    <w:rsid w:val="0B7C2086"/>
    <w:rsid w:val="0B9969D2"/>
    <w:rsid w:val="0BB0E5F6"/>
    <w:rsid w:val="0BBE41BC"/>
    <w:rsid w:val="0BC081A8"/>
    <w:rsid w:val="0BC7BED1"/>
    <w:rsid w:val="0BCD2FB6"/>
    <w:rsid w:val="0BE0D57C"/>
    <w:rsid w:val="0BFCCB68"/>
    <w:rsid w:val="0C047C78"/>
    <w:rsid w:val="0C08FDF4"/>
    <w:rsid w:val="0C0FA8A0"/>
    <w:rsid w:val="0C10C59C"/>
    <w:rsid w:val="0C1C3DFC"/>
    <w:rsid w:val="0C2593D2"/>
    <w:rsid w:val="0C65ED6E"/>
    <w:rsid w:val="0C995BA1"/>
    <w:rsid w:val="0CA6DFF8"/>
    <w:rsid w:val="0CB80C31"/>
    <w:rsid w:val="0CC7AA81"/>
    <w:rsid w:val="0D02100E"/>
    <w:rsid w:val="0D14645F"/>
    <w:rsid w:val="0D337DB3"/>
    <w:rsid w:val="0D3FF16B"/>
    <w:rsid w:val="0D5B4A17"/>
    <w:rsid w:val="0D76FCA2"/>
    <w:rsid w:val="0D8F3FBB"/>
    <w:rsid w:val="0D8F4E70"/>
    <w:rsid w:val="0D9F3818"/>
    <w:rsid w:val="0DA21C4D"/>
    <w:rsid w:val="0DA269FA"/>
    <w:rsid w:val="0DB4901D"/>
    <w:rsid w:val="0DC954C7"/>
    <w:rsid w:val="0DD76FC1"/>
    <w:rsid w:val="0DDE0805"/>
    <w:rsid w:val="0DECF9AE"/>
    <w:rsid w:val="0DFEFC27"/>
    <w:rsid w:val="0E20110F"/>
    <w:rsid w:val="0E4DC362"/>
    <w:rsid w:val="0E68CC24"/>
    <w:rsid w:val="0E6E0D4E"/>
    <w:rsid w:val="0E71F332"/>
    <w:rsid w:val="0E79643E"/>
    <w:rsid w:val="0E7B0D05"/>
    <w:rsid w:val="0E8AEF39"/>
    <w:rsid w:val="0E97F9CD"/>
    <w:rsid w:val="0E9E029A"/>
    <w:rsid w:val="0EB63603"/>
    <w:rsid w:val="0EBC2633"/>
    <w:rsid w:val="0EC9BCAF"/>
    <w:rsid w:val="0EE270B5"/>
    <w:rsid w:val="0EFBB4BA"/>
    <w:rsid w:val="0F154047"/>
    <w:rsid w:val="0F18DAE5"/>
    <w:rsid w:val="0F3A360F"/>
    <w:rsid w:val="0F613B27"/>
    <w:rsid w:val="0F686751"/>
    <w:rsid w:val="0F7FAF5A"/>
    <w:rsid w:val="0F827578"/>
    <w:rsid w:val="0F91B78C"/>
    <w:rsid w:val="0FB4B6D6"/>
    <w:rsid w:val="0FBCC374"/>
    <w:rsid w:val="0FC0FAEA"/>
    <w:rsid w:val="0FCDA40F"/>
    <w:rsid w:val="0FD1C53D"/>
    <w:rsid w:val="0FDDF965"/>
    <w:rsid w:val="100C2564"/>
    <w:rsid w:val="10148CC4"/>
    <w:rsid w:val="1018DF19"/>
    <w:rsid w:val="102044E8"/>
    <w:rsid w:val="1027008D"/>
    <w:rsid w:val="10451F90"/>
    <w:rsid w:val="1050FD4F"/>
    <w:rsid w:val="105A21A3"/>
    <w:rsid w:val="1064C3C2"/>
    <w:rsid w:val="106CA810"/>
    <w:rsid w:val="10781945"/>
    <w:rsid w:val="107984E6"/>
    <w:rsid w:val="1091CE37"/>
    <w:rsid w:val="109C9374"/>
    <w:rsid w:val="10A105DC"/>
    <w:rsid w:val="10A622A1"/>
    <w:rsid w:val="10AC8A7B"/>
    <w:rsid w:val="10ACAAEE"/>
    <w:rsid w:val="10B1EBD0"/>
    <w:rsid w:val="10C38FB6"/>
    <w:rsid w:val="10C93D62"/>
    <w:rsid w:val="10E8474E"/>
    <w:rsid w:val="10F1395E"/>
    <w:rsid w:val="1100A6F2"/>
    <w:rsid w:val="1124E0F2"/>
    <w:rsid w:val="112581CD"/>
    <w:rsid w:val="1127C37D"/>
    <w:rsid w:val="1129623E"/>
    <w:rsid w:val="1134C9AB"/>
    <w:rsid w:val="11371B6A"/>
    <w:rsid w:val="113C133D"/>
    <w:rsid w:val="114A867A"/>
    <w:rsid w:val="11532CDF"/>
    <w:rsid w:val="1154EB2D"/>
    <w:rsid w:val="115A8B8A"/>
    <w:rsid w:val="117F388D"/>
    <w:rsid w:val="1183E50A"/>
    <w:rsid w:val="1184C9DE"/>
    <w:rsid w:val="1192DFB1"/>
    <w:rsid w:val="11945276"/>
    <w:rsid w:val="11A6EBB8"/>
    <w:rsid w:val="11BAD8DD"/>
    <w:rsid w:val="11DE25A0"/>
    <w:rsid w:val="11E4FE9E"/>
    <w:rsid w:val="11E8A1E1"/>
    <w:rsid w:val="12014BE6"/>
    <w:rsid w:val="120403EE"/>
    <w:rsid w:val="12314191"/>
    <w:rsid w:val="123B09B6"/>
    <w:rsid w:val="12449975"/>
    <w:rsid w:val="1246BB1F"/>
    <w:rsid w:val="1247DAA5"/>
    <w:rsid w:val="125AD3BB"/>
    <w:rsid w:val="128252F5"/>
    <w:rsid w:val="12A9F39F"/>
    <w:rsid w:val="12BE8AEA"/>
    <w:rsid w:val="12DF7383"/>
    <w:rsid w:val="130D2D3F"/>
    <w:rsid w:val="134799AC"/>
    <w:rsid w:val="13674F1B"/>
    <w:rsid w:val="138F7D97"/>
    <w:rsid w:val="1396F7FC"/>
    <w:rsid w:val="13A38C1E"/>
    <w:rsid w:val="13B9CE34"/>
    <w:rsid w:val="13C0FB59"/>
    <w:rsid w:val="13F8F923"/>
    <w:rsid w:val="1409467C"/>
    <w:rsid w:val="141FBD34"/>
    <w:rsid w:val="1429827A"/>
    <w:rsid w:val="1462D4F9"/>
    <w:rsid w:val="1466BE8A"/>
    <w:rsid w:val="1468734F"/>
    <w:rsid w:val="146BB619"/>
    <w:rsid w:val="146DACAE"/>
    <w:rsid w:val="1482BEC8"/>
    <w:rsid w:val="148E0FD6"/>
    <w:rsid w:val="14AEED31"/>
    <w:rsid w:val="14B1E422"/>
    <w:rsid w:val="14C1902B"/>
    <w:rsid w:val="14C5AC66"/>
    <w:rsid w:val="14E3C307"/>
    <w:rsid w:val="14EA7D3A"/>
    <w:rsid w:val="14F2EDCC"/>
    <w:rsid w:val="14F7098F"/>
    <w:rsid w:val="152F19BE"/>
    <w:rsid w:val="1545A166"/>
    <w:rsid w:val="154EFCA8"/>
    <w:rsid w:val="154F0344"/>
    <w:rsid w:val="15622148"/>
    <w:rsid w:val="1563DC39"/>
    <w:rsid w:val="157B20E5"/>
    <w:rsid w:val="157C9AD4"/>
    <w:rsid w:val="1585C762"/>
    <w:rsid w:val="15865A0D"/>
    <w:rsid w:val="1586BF64"/>
    <w:rsid w:val="1593C79A"/>
    <w:rsid w:val="15AC9AA4"/>
    <w:rsid w:val="15C20105"/>
    <w:rsid w:val="15CA8600"/>
    <w:rsid w:val="15CE7358"/>
    <w:rsid w:val="15E95EC5"/>
    <w:rsid w:val="15F139F6"/>
    <w:rsid w:val="1613140C"/>
    <w:rsid w:val="16213913"/>
    <w:rsid w:val="162ACD02"/>
    <w:rsid w:val="164E5758"/>
    <w:rsid w:val="1655B44A"/>
    <w:rsid w:val="16677422"/>
    <w:rsid w:val="16696C60"/>
    <w:rsid w:val="166B90F4"/>
    <w:rsid w:val="16748FCC"/>
    <w:rsid w:val="1690A866"/>
    <w:rsid w:val="16984F45"/>
    <w:rsid w:val="16B21A42"/>
    <w:rsid w:val="16B2BB4B"/>
    <w:rsid w:val="16B7DC89"/>
    <w:rsid w:val="16C481FB"/>
    <w:rsid w:val="16C95CAC"/>
    <w:rsid w:val="16DAFC2A"/>
    <w:rsid w:val="17075D46"/>
    <w:rsid w:val="172D1947"/>
    <w:rsid w:val="17304E77"/>
    <w:rsid w:val="17356AD5"/>
    <w:rsid w:val="1738653D"/>
    <w:rsid w:val="173B28E4"/>
    <w:rsid w:val="1743426A"/>
    <w:rsid w:val="174F99E9"/>
    <w:rsid w:val="1760D811"/>
    <w:rsid w:val="176BB7F2"/>
    <w:rsid w:val="176C87A8"/>
    <w:rsid w:val="176F3514"/>
    <w:rsid w:val="17715D24"/>
    <w:rsid w:val="178D8476"/>
    <w:rsid w:val="17A9F607"/>
    <w:rsid w:val="17ABB591"/>
    <w:rsid w:val="17C2B9DD"/>
    <w:rsid w:val="17CF1943"/>
    <w:rsid w:val="17D93E5B"/>
    <w:rsid w:val="17FDD90D"/>
    <w:rsid w:val="17FF55C9"/>
    <w:rsid w:val="181BA320"/>
    <w:rsid w:val="1824243C"/>
    <w:rsid w:val="1828A69D"/>
    <w:rsid w:val="18329D0E"/>
    <w:rsid w:val="183341F5"/>
    <w:rsid w:val="1834F8AD"/>
    <w:rsid w:val="183CE4A1"/>
    <w:rsid w:val="18470C82"/>
    <w:rsid w:val="185585CD"/>
    <w:rsid w:val="185ED0C0"/>
    <w:rsid w:val="186D34F3"/>
    <w:rsid w:val="1875D6E7"/>
    <w:rsid w:val="187B5062"/>
    <w:rsid w:val="187E8056"/>
    <w:rsid w:val="188FA574"/>
    <w:rsid w:val="1896F132"/>
    <w:rsid w:val="18B25C3B"/>
    <w:rsid w:val="18BCC49E"/>
    <w:rsid w:val="18C8E0CF"/>
    <w:rsid w:val="18E5BD38"/>
    <w:rsid w:val="18FC4727"/>
    <w:rsid w:val="1901DED8"/>
    <w:rsid w:val="190C8CD8"/>
    <w:rsid w:val="1926D3D9"/>
    <w:rsid w:val="1936F429"/>
    <w:rsid w:val="195537FE"/>
    <w:rsid w:val="1959FD32"/>
    <w:rsid w:val="195A2470"/>
    <w:rsid w:val="1965498A"/>
    <w:rsid w:val="196B679A"/>
    <w:rsid w:val="19A01959"/>
    <w:rsid w:val="19B04067"/>
    <w:rsid w:val="19BBBADB"/>
    <w:rsid w:val="19C35934"/>
    <w:rsid w:val="19CCA9DE"/>
    <w:rsid w:val="19D95F22"/>
    <w:rsid w:val="1A147A32"/>
    <w:rsid w:val="1A1BC19C"/>
    <w:rsid w:val="1A21B1F8"/>
    <w:rsid w:val="1A24D184"/>
    <w:rsid w:val="1A2DEDFA"/>
    <w:rsid w:val="1A2EC807"/>
    <w:rsid w:val="1A32D853"/>
    <w:rsid w:val="1A45C3E6"/>
    <w:rsid w:val="1A4E1A34"/>
    <w:rsid w:val="1A6D8669"/>
    <w:rsid w:val="1A73B710"/>
    <w:rsid w:val="1A7C2855"/>
    <w:rsid w:val="1A8B0C0F"/>
    <w:rsid w:val="1A903D17"/>
    <w:rsid w:val="1AA703FD"/>
    <w:rsid w:val="1ABE5159"/>
    <w:rsid w:val="1ACC9DCC"/>
    <w:rsid w:val="1AD3B813"/>
    <w:rsid w:val="1AD72D65"/>
    <w:rsid w:val="1AF1D845"/>
    <w:rsid w:val="1B28384D"/>
    <w:rsid w:val="1B2C9433"/>
    <w:rsid w:val="1B2EEFF4"/>
    <w:rsid w:val="1B4E3047"/>
    <w:rsid w:val="1B73C614"/>
    <w:rsid w:val="1B7B9ECC"/>
    <w:rsid w:val="1B7EED0B"/>
    <w:rsid w:val="1B8502AC"/>
    <w:rsid w:val="1B8EED0E"/>
    <w:rsid w:val="1B949C65"/>
    <w:rsid w:val="1BC12EAC"/>
    <w:rsid w:val="1BD1C154"/>
    <w:rsid w:val="1BE004D1"/>
    <w:rsid w:val="1BED3901"/>
    <w:rsid w:val="1BFC9C5D"/>
    <w:rsid w:val="1BFEEDFA"/>
    <w:rsid w:val="1C00AA7E"/>
    <w:rsid w:val="1C046ADF"/>
    <w:rsid w:val="1C0A9102"/>
    <w:rsid w:val="1C0BA6BB"/>
    <w:rsid w:val="1C24D8A2"/>
    <w:rsid w:val="1C3AB261"/>
    <w:rsid w:val="1C474A30"/>
    <w:rsid w:val="1C5FFB98"/>
    <w:rsid w:val="1C60996F"/>
    <w:rsid w:val="1C61F836"/>
    <w:rsid w:val="1C7CEB54"/>
    <w:rsid w:val="1C8B72B9"/>
    <w:rsid w:val="1C90AB41"/>
    <w:rsid w:val="1CA0988C"/>
    <w:rsid w:val="1CA6BFDD"/>
    <w:rsid w:val="1CC767BC"/>
    <w:rsid w:val="1CFFCB29"/>
    <w:rsid w:val="1D0258DD"/>
    <w:rsid w:val="1D15F5B1"/>
    <w:rsid w:val="1D181C67"/>
    <w:rsid w:val="1D217F2C"/>
    <w:rsid w:val="1D452B46"/>
    <w:rsid w:val="1D517B1D"/>
    <w:rsid w:val="1D585E4D"/>
    <w:rsid w:val="1D6A62BD"/>
    <w:rsid w:val="1D7D4EC9"/>
    <w:rsid w:val="1D82B2B8"/>
    <w:rsid w:val="1D937C1A"/>
    <w:rsid w:val="1D9D4EC1"/>
    <w:rsid w:val="1DB901A9"/>
    <w:rsid w:val="1DE6F191"/>
    <w:rsid w:val="1DE87D31"/>
    <w:rsid w:val="1E08D413"/>
    <w:rsid w:val="1E16FB76"/>
    <w:rsid w:val="1E372668"/>
    <w:rsid w:val="1E45D086"/>
    <w:rsid w:val="1E4D4289"/>
    <w:rsid w:val="1E8509FD"/>
    <w:rsid w:val="1E88115E"/>
    <w:rsid w:val="1EAB7E31"/>
    <w:rsid w:val="1EAFC2CA"/>
    <w:rsid w:val="1EBA9583"/>
    <w:rsid w:val="1ED03B94"/>
    <w:rsid w:val="1EDBC595"/>
    <w:rsid w:val="1EEB9998"/>
    <w:rsid w:val="1EEFDEFA"/>
    <w:rsid w:val="1EF1C731"/>
    <w:rsid w:val="1F0677B8"/>
    <w:rsid w:val="1F0B83AD"/>
    <w:rsid w:val="1F2DAEFF"/>
    <w:rsid w:val="1F2E396B"/>
    <w:rsid w:val="1F30A5BA"/>
    <w:rsid w:val="1F320FCB"/>
    <w:rsid w:val="1F4DCCB4"/>
    <w:rsid w:val="1F4E3F30"/>
    <w:rsid w:val="1F5A58EA"/>
    <w:rsid w:val="1F627D5E"/>
    <w:rsid w:val="1F67EAEA"/>
    <w:rsid w:val="1F68ED3B"/>
    <w:rsid w:val="1F759770"/>
    <w:rsid w:val="1F82AD5E"/>
    <w:rsid w:val="1F9A348A"/>
    <w:rsid w:val="1FA1FE93"/>
    <w:rsid w:val="1FAF1E5C"/>
    <w:rsid w:val="1FC2ECC6"/>
    <w:rsid w:val="1FCA701B"/>
    <w:rsid w:val="1FCB51C8"/>
    <w:rsid w:val="1FD2F1B0"/>
    <w:rsid w:val="20206F2B"/>
    <w:rsid w:val="20599538"/>
    <w:rsid w:val="206857E7"/>
    <w:rsid w:val="208CB82D"/>
    <w:rsid w:val="2097D293"/>
    <w:rsid w:val="20A3804F"/>
    <w:rsid w:val="20AA0B02"/>
    <w:rsid w:val="20B3CCF5"/>
    <w:rsid w:val="20D1F4AB"/>
    <w:rsid w:val="20F36A1D"/>
    <w:rsid w:val="20F853AD"/>
    <w:rsid w:val="21317088"/>
    <w:rsid w:val="2134F1F1"/>
    <w:rsid w:val="2157F94F"/>
    <w:rsid w:val="215CED81"/>
    <w:rsid w:val="21636F80"/>
    <w:rsid w:val="2165EA73"/>
    <w:rsid w:val="217EC6E3"/>
    <w:rsid w:val="21A93075"/>
    <w:rsid w:val="21C8DD21"/>
    <w:rsid w:val="21F5D736"/>
    <w:rsid w:val="21F62C8C"/>
    <w:rsid w:val="21FC9C47"/>
    <w:rsid w:val="221A795E"/>
    <w:rsid w:val="221CC80A"/>
    <w:rsid w:val="22345F76"/>
    <w:rsid w:val="22397A23"/>
    <w:rsid w:val="22409D86"/>
    <w:rsid w:val="224C72BE"/>
    <w:rsid w:val="2259F567"/>
    <w:rsid w:val="22722675"/>
    <w:rsid w:val="227C8BE0"/>
    <w:rsid w:val="2291B667"/>
    <w:rsid w:val="22A70FAE"/>
    <w:rsid w:val="22A813BB"/>
    <w:rsid w:val="22B191DB"/>
    <w:rsid w:val="22D22BF1"/>
    <w:rsid w:val="22D312E0"/>
    <w:rsid w:val="22EF0291"/>
    <w:rsid w:val="22FA2C75"/>
    <w:rsid w:val="23347049"/>
    <w:rsid w:val="23430B4A"/>
    <w:rsid w:val="238B1BD2"/>
    <w:rsid w:val="238B5699"/>
    <w:rsid w:val="239843BF"/>
    <w:rsid w:val="23B6BA4D"/>
    <w:rsid w:val="23C5DD05"/>
    <w:rsid w:val="23CB27E5"/>
    <w:rsid w:val="23D11C32"/>
    <w:rsid w:val="2417EED4"/>
    <w:rsid w:val="242954C1"/>
    <w:rsid w:val="242F7C48"/>
    <w:rsid w:val="2433C4C4"/>
    <w:rsid w:val="24504C1A"/>
    <w:rsid w:val="247858FC"/>
    <w:rsid w:val="247B07C8"/>
    <w:rsid w:val="248F09B0"/>
    <w:rsid w:val="24A6EC45"/>
    <w:rsid w:val="24AD377A"/>
    <w:rsid w:val="24B467D4"/>
    <w:rsid w:val="24DA6BDA"/>
    <w:rsid w:val="24DE72A7"/>
    <w:rsid w:val="24DFAAB6"/>
    <w:rsid w:val="2511A43A"/>
    <w:rsid w:val="25149B07"/>
    <w:rsid w:val="251D282D"/>
    <w:rsid w:val="254CD76F"/>
    <w:rsid w:val="254DCE2A"/>
    <w:rsid w:val="25575EAF"/>
    <w:rsid w:val="25660632"/>
    <w:rsid w:val="258F0D8D"/>
    <w:rsid w:val="259991B7"/>
    <w:rsid w:val="25A995FE"/>
    <w:rsid w:val="25C2B6C3"/>
    <w:rsid w:val="25C6D3ED"/>
    <w:rsid w:val="25C8EC34"/>
    <w:rsid w:val="25F5E92D"/>
    <w:rsid w:val="26095BC9"/>
    <w:rsid w:val="261ACBCD"/>
    <w:rsid w:val="2626025D"/>
    <w:rsid w:val="26305A63"/>
    <w:rsid w:val="2636519A"/>
    <w:rsid w:val="263E1F90"/>
    <w:rsid w:val="2673D549"/>
    <w:rsid w:val="26829D6F"/>
    <w:rsid w:val="2688369E"/>
    <w:rsid w:val="268DF18B"/>
    <w:rsid w:val="26923DD5"/>
    <w:rsid w:val="26B7A450"/>
    <w:rsid w:val="26D95132"/>
    <w:rsid w:val="27099275"/>
    <w:rsid w:val="271CB7AF"/>
    <w:rsid w:val="273EAF69"/>
    <w:rsid w:val="274FB820"/>
    <w:rsid w:val="27603049"/>
    <w:rsid w:val="2768B2AE"/>
    <w:rsid w:val="27754E84"/>
    <w:rsid w:val="27A1A884"/>
    <w:rsid w:val="27ADB7A0"/>
    <w:rsid w:val="27B7082B"/>
    <w:rsid w:val="27C015D4"/>
    <w:rsid w:val="27CBDB09"/>
    <w:rsid w:val="27E7C119"/>
    <w:rsid w:val="27FA23F8"/>
    <w:rsid w:val="27FDE986"/>
    <w:rsid w:val="27FE1894"/>
    <w:rsid w:val="2809A46A"/>
    <w:rsid w:val="28107102"/>
    <w:rsid w:val="2815243D"/>
    <w:rsid w:val="28226507"/>
    <w:rsid w:val="282F916D"/>
    <w:rsid w:val="2837E962"/>
    <w:rsid w:val="28462F27"/>
    <w:rsid w:val="2856ECB8"/>
    <w:rsid w:val="28710D14"/>
    <w:rsid w:val="288878C4"/>
    <w:rsid w:val="2898130E"/>
    <w:rsid w:val="289F3AE4"/>
    <w:rsid w:val="28A4D1D8"/>
    <w:rsid w:val="28CBF380"/>
    <w:rsid w:val="290FC774"/>
    <w:rsid w:val="291DFAF5"/>
    <w:rsid w:val="2923E55D"/>
    <w:rsid w:val="293495F5"/>
    <w:rsid w:val="294B0398"/>
    <w:rsid w:val="296DA0BB"/>
    <w:rsid w:val="2977C5CF"/>
    <w:rsid w:val="2982A363"/>
    <w:rsid w:val="2988C403"/>
    <w:rsid w:val="29894550"/>
    <w:rsid w:val="298CF02B"/>
    <w:rsid w:val="298DF88B"/>
    <w:rsid w:val="29A8E554"/>
    <w:rsid w:val="29B61CE3"/>
    <w:rsid w:val="29DB4B5C"/>
    <w:rsid w:val="29DCF4DF"/>
    <w:rsid w:val="29E89F73"/>
    <w:rsid w:val="29E9A18A"/>
    <w:rsid w:val="2A0B9858"/>
    <w:rsid w:val="2A144BB0"/>
    <w:rsid w:val="2A199448"/>
    <w:rsid w:val="2A2BC576"/>
    <w:rsid w:val="2A2C4C8B"/>
    <w:rsid w:val="2A61C5F2"/>
    <w:rsid w:val="2A669455"/>
    <w:rsid w:val="2A69A3F5"/>
    <w:rsid w:val="2A6A13BA"/>
    <w:rsid w:val="2A7E75EB"/>
    <w:rsid w:val="2A81CA92"/>
    <w:rsid w:val="2AAEF94C"/>
    <w:rsid w:val="2AC08D0E"/>
    <w:rsid w:val="2AD8A99F"/>
    <w:rsid w:val="2AE57FA0"/>
    <w:rsid w:val="2B1BF5C6"/>
    <w:rsid w:val="2B27D26D"/>
    <w:rsid w:val="2B2BFE93"/>
    <w:rsid w:val="2B336EE9"/>
    <w:rsid w:val="2B60A1AE"/>
    <w:rsid w:val="2B62C07A"/>
    <w:rsid w:val="2B68CA0D"/>
    <w:rsid w:val="2B68D318"/>
    <w:rsid w:val="2B7D7AAF"/>
    <w:rsid w:val="2BAA5B88"/>
    <w:rsid w:val="2BB671CA"/>
    <w:rsid w:val="2BBC98F9"/>
    <w:rsid w:val="2BC1B4A1"/>
    <w:rsid w:val="2BC9963B"/>
    <w:rsid w:val="2BD08905"/>
    <w:rsid w:val="2BF98D32"/>
    <w:rsid w:val="2BFA4F61"/>
    <w:rsid w:val="2BFF3B3D"/>
    <w:rsid w:val="2C10B162"/>
    <w:rsid w:val="2C2392B1"/>
    <w:rsid w:val="2C33397A"/>
    <w:rsid w:val="2C5A8018"/>
    <w:rsid w:val="2C7E9504"/>
    <w:rsid w:val="2C8F6975"/>
    <w:rsid w:val="2C948D2F"/>
    <w:rsid w:val="2C994D8B"/>
    <w:rsid w:val="2CA83873"/>
    <w:rsid w:val="2CD67E17"/>
    <w:rsid w:val="2CDFCFEB"/>
    <w:rsid w:val="2CDFE7EF"/>
    <w:rsid w:val="2CFF2274"/>
    <w:rsid w:val="2D16472D"/>
    <w:rsid w:val="2D19B067"/>
    <w:rsid w:val="2D205411"/>
    <w:rsid w:val="2D2A6118"/>
    <w:rsid w:val="2D2CA060"/>
    <w:rsid w:val="2D59F09A"/>
    <w:rsid w:val="2D6EEF46"/>
    <w:rsid w:val="2D70732A"/>
    <w:rsid w:val="2D8D280C"/>
    <w:rsid w:val="2D9DD3F0"/>
    <w:rsid w:val="2DA630CC"/>
    <w:rsid w:val="2DA74C88"/>
    <w:rsid w:val="2DA99B50"/>
    <w:rsid w:val="2DB8316D"/>
    <w:rsid w:val="2DB94569"/>
    <w:rsid w:val="2DC21DAC"/>
    <w:rsid w:val="2DE7CAC4"/>
    <w:rsid w:val="2DF53973"/>
    <w:rsid w:val="2E03D0C7"/>
    <w:rsid w:val="2E07A598"/>
    <w:rsid w:val="2E308F21"/>
    <w:rsid w:val="2E31B2C7"/>
    <w:rsid w:val="2E338CCC"/>
    <w:rsid w:val="2E3B18B4"/>
    <w:rsid w:val="2E680CB0"/>
    <w:rsid w:val="2E6E4F62"/>
    <w:rsid w:val="2E82301A"/>
    <w:rsid w:val="2E855D5F"/>
    <w:rsid w:val="2E86B0F5"/>
    <w:rsid w:val="2E8CDEA1"/>
    <w:rsid w:val="2E9BEAD7"/>
    <w:rsid w:val="2EA284A1"/>
    <w:rsid w:val="2EA5B815"/>
    <w:rsid w:val="2EBA751C"/>
    <w:rsid w:val="2EBF046D"/>
    <w:rsid w:val="2EDDB758"/>
    <w:rsid w:val="2EEBFF67"/>
    <w:rsid w:val="2F2E3174"/>
    <w:rsid w:val="2F387A31"/>
    <w:rsid w:val="2F388E9A"/>
    <w:rsid w:val="2F3CF885"/>
    <w:rsid w:val="2F4B462D"/>
    <w:rsid w:val="2F5EDF94"/>
    <w:rsid w:val="2F78AB3D"/>
    <w:rsid w:val="2F9B4F13"/>
    <w:rsid w:val="2F9BFB0B"/>
    <w:rsid w:val="2FCAAD31"/>
    <w:rsid w:val="2FE08D67"/>
    <w:rsid w:val="2FF4EB25"/>
    <w:rsid w:val="2FF796DC"/>
    <w:rsid w:val="2FFF0494"/>
    <w:rsid w:val="30078B5A"/>
    <w:rsid w:val="301B1D31"/>
    <w:rsid w:val="302DC461"/>
    <w:rsid w:val="30677C9C"/>
    <w:rsid w:val="3076362F"/>
    <w:rsid w:val="307A29B6"/>
    <w:rsid w:val="3082ABA3"/>
    <w:rsid w:val="308762E5"/>
    <w:rsid w:val="308E017E"/>
    <w:rsid w:val="309CBC7A"/>
    <w:rsid w:val="30CA3553"/>
    <w:rsid w:val="30D27F5A"/>
    <w:rsid w:val="30D565B5"/>
    <w:rsid w:val="30DAEBE7"/>
    <w:rsid w:val="30E433F4"/>
    <w:rsid w:val="30E90477"/>
    <w:rsid w:val="30F95594"/>
    <w:rsid w:val="310185AC"/>
    <w:rsid w:val="3101A7EB"/>
    <w:rsid w:val="3108F66F"/>
    <w:rsid w:val="310C1D1E"/>
    <w:rsid w:val="312913DE"/>
    <w:rsid w:val="31819A71"/>
    <w:rsid w:val="318A580B"/>
    <w:rsid w:val="3195780D"/>
    <w:rsid w:val="31BC612E"/>
    <w:rsid w:val="31DD4874"/>
    <w:rsid w:val="320BCF89"/>
    <w:rsid w:val="3224856A"/>
    <w:rsid w:val="3236E2EE"/>
    <w:rsid w:val="324A7C55"/>
    <w:rsid w:val="324BE24A"/>
    <w:rsid w:val="325E9FD2"/>
    <w:rsid w:val="32632362"/>
    <w:rsid w:val="32659417"/>
    <w:rsid w:val="3278BC0E"/>
    <w:rsid w:val="32803B43"/>
    <w:rsid w:val="328CD2D7"/>
    <w:rsid w:val="32AAE7CA"/>
    <w:rsid w:val="32D3A9D2"/>
    <w:rsid w:val="32E65BE6"/>
    <w:rsid w:val="32F004A5"/>
    <w:rsid w:val="32F4B4D2"/>
    <w:rsid w:val="32F659CA"/>
    <w:rsid w:val="33283C5A"/>
    <w:rsid w:val="332B43D4"/>
    <w:rsid w:val="333EDF6A"/>
    <w:rsid w:val="33404DB1"/>
    <w:rsid w:val="334B4B3F"/>
    <w:rsid w:val="334E5EE3"/>
    <w:rsid w:val="3354F840"/>
    <w:rsid w:val="336A075F"/>
    <w:rsid w:val="336A70C2"/>
    <w:rsid w:val="336BCDC7"/>
    <w:rsid w:val="33771451"/>
    <w:rsid w:val="3378CB09"/>
    <w:rsid w:val="3398F310"/>
    <w:rsid w:val="33A9169B"/>
    <w:rsid w:val="33B1DDD2"/>
    <w:rsid w:val="33BBEA94"/>
    <w:rsid w:val="33C0103F"/>
    <w:rsid w:val="33F453F2"/>
    <w:rsid w:val="33FF4C2D"/>
    <w:rsid w:val="34183C9E"/>
    <w:rsid w:val="3428C112"/>
    <w:rsid w:val="342969CC"/>
    <w:rsid w:val="34495CBA"/>
    <w:rsid w:val="3451BBDD"/>
    <w:rsid w:val="3452969D"/>
    <w:rsid w:val="346C7D00"/>
    <w:rsid w:val="346E39ED"/>
    <w:rsid w:val="3484307C"/>
    <w:rsid w:val="34B9493D"/>
    <w:rsid w:val="34CB17B3"/>
    <w:rsid w:val="34D9F373"/>
    <w:rsid w:val="34F67620"/>
    <w:rsid w:val="35042845"/>
    <w:rsid w:val="353085DE"/>
    <w:rsid w:val="35372B60"/>
    <w:rsid w:val="355631DF"/>
    <w:rsid w:val="3559EE0E"/>
    <w:rsid w:val="356303F3"/>
    <w:rsid w:val="35691160"/>
    <w:rsid w:val="35706EC3"/>
    <w:rsid w:val="3577B2F8"/>
    <w:rsid w:val="3577E8D7"/>
    <w:rsid w:val="358C7435"/>
    <w:rsid w:val="3592CC09"/>
    <w:rsid w:val="359549A7"/>
    <w:rsid w:val="35ABE678"/>
    <w:rsid w:val="35AE26CD"/>
    <w:rsid w:val="35CB9EF7"/>
    <w:rsid w:val="35D31D63"/>
    <w:rsid w:val="35D6CB8E"/>
    <w:rsid w:val="35DCBCB3"/>
    <w:rsid w:val="35E1542D"/>
    <w:rsid w:val="35E9F51F"/>
    <w:rsid w:val="35EB4E71"/>
    <w:rsid w:val="35F2C0C9"/>
    <w:rsid w:val="360E8CBD"/>
    <w:rsid w:val="361551CE"/>
    <w:rsid w:val="36213B07"/>
    <w:rsid w:val="364146C4"/>
    <w:rsid w:val="3646BCA8"/>
    <w:rsid w:val="36533C5B"/>
    <w:rsid w:val="36612F7E"/>
    <w:rsid w:val="36A2C39C"/>
    <w:rsid w:val="36D39BB6"/>
    <w:rsid w:val="36D418A3"/>
    <w:rsid w:val="36E7B15A"/>
    <w:rsid w:val="36EFDE6E"/>
    <w:rsid w:val="373D3673"/>
    <w:rsid w:val="3747E48F"/>
    <w:rsid w:val="37656DA2"/>
    <w:rsid w:val="3766283B"/>
    <w:rsid w:val="377B71CC"/>
    <w:rsid w:val="37A7B211"/>
    <w:rsid w:val="37AB7D56"/>
    <w:rsid w:val="37CAE380"/>
    <w:rsid w:val="37E47E9C"/>
    <w:rsid w:val="38187481"/>
    <w:rsid w:val="381D139B"/>
    <w:rsid w:val="3846A0F3"/>
    <w:rsid w:val="38638C13"/>
    <w:rsid w:val="387A1927"/>
    <w:rsid w:val="389F9540"/>
    <w:rsid w:val="38A8ABFF"/>
    <w:rsid w:val="38B1DA27"/>
    <w:rsid w:val="38B31773"/>
    <w:rsid w:val="38CB889B"/>
    <w:rsid w:val="38D2394E"/>
    <w:rsid w:val="38DEE91B"/>
    <w:rsid w:val="38E380BC"/>
    <w:rsid w:val="38E44660"/>
    <w:rsid w:val="38EBAF6C"/>
    <w:rsid w:val="38EBF242"/>
    <w:rsid w:val="38F4D4CF"/>
    <w:rsid w:val="39011318"/>
    <w:rsid w:val="390B7907"/>
    <w:rsid w:val="3914CDA9"/>
    <w:rsid w:val="3917A48C"/>
    <w:rsid w:val="391FEE7A"/>
    <w:rsid w:val="39354CB4"/>
    <w:rsid w:val="39581BC6"/>
    <w:rsid w:val="395D7D7C"/>
    <w:rsid w:val="396ADA7F"/>
    <w:rsid w:val="397EE351"/>
    <w:rsid w:val="39872729"/>
    <w:rsid w:val="398BD1F8"/>
    <w:rsid w:val="398DD692"/>
    <w:rsid w:val="399A6BA5"/>
    <w:rsid w:val="39A2D690"/>
    <w:rsid w:val="39A2DAA7"/>
    <w:rsid w:val="39B72AE6"/>
    <w:rsid w:val="3A037F25"/>
    <w:rsid w:val="3A0D8CF0"/>
    <w:rsid w:val="3A260B9A"/>
    <w:rsid w:val="3A3FC819"/>
    <w:rsid w:val="3A473EE7"/>
    <w:rsid w:val="3A6926F1"/>
    <w:rsid w:val="3A6F02B5"/>
    <w:rsid w:val="3AA7CA6C"/>
    <w:rsid w:val="3AB10317"/>
    <w:rsid w:val="3AB5AB76"/>
    <w:rsid w:val="3AD32DDC"/>
    <w:rsid w:val="3AD6C127"/>
    <w:rsid w:val="3AFA5F37"/>
    <w:rsid w:val="3B31B683"/>
    <w:rsid w:val="3B3339D3"/>
    <w:rsid w:val="3B766F75"/>
    <w:rsid w:val="3B7C16AC"/>
    <w:rsid w:val="3B8EA648"/>
    <w:rsid w:val="3BB3F55E"/>
    <w:rsid w:val="3BC56F5A"/>
    <w:rsid w:val="3BCE4493"/>
    <w:rsid w:val="3BE05DAD"/>
    <w:rsid w:val="3C01453E"/>
    <w:rsid w:val="3C0243F5"/>
    <w:rsid w:val="3C0EE296"/>
    <w:rsid w:val="3C1509B4"/>
    <w:rsid w:val="3C384D18"/>
    <w:rsid w:val="3C440D65"/>
    <w:rsid w:val="3C55483C"/>
    <w:rsid w:val="3C807422"/>
    <w:rsid w:val="3CAA3FDE"/>
    <w:rsid w:val="3CB1CF49"/>
    <w:rsid w:val="3CBC95D5"/>
    <w:rsid w:val="3CFFE302"/>
    <w:rsid w:val="3D0D1209"/>
    <w:rsid w:val="3D24F806"/>
    <w:rsid w:val="3D3FA877"/>
    <w:rsid w:val="3D6706BF"/>
    <w:rsid w:val="3D77C994"/>
    <w:rsid w:val="3D78A2D7"/>
    <w:rsid w:val="3D7D590B"/>
    <w:rsid w:val="3DB85873"/>
    <w:rsid w:val="3DBE8917"/>
    <w:rsid w:val="3DC24839"/>
    <w:rsid w:val="3DD59ABE"/>
    <w:rsid w:val="3DF21000"/>
    <w:rsid w:val="3E154DCF"/>
    <w:rsid w:val="3E29326E"/>
    <w:rsid w:val="3E2D2F1C"/>
    <w:rsid w:val="3E4F8966"/>
    <w:rsid w:val="3E5A35C0"/>
    <w:rsid w:val="3E5BE672"/>
    <w:rsid w:val="3E631657"/>
    <w:rsid w:val="3E6676D4"/>
    <w:rsid w:val="3E6AB0D3"/>
    <w:rsid w:val="3E9449E4"/>
    <w:rsid w:val="3EB53483"/>
    <w:rsid w:val="3EBBF195"/>
    <w:rsid w:val="3EBEB393"/>
    <w:rsid w:val="3EBF87C4"/>
    <w:rsid w:val="3EFB2CFA"/>
    <w:rsid w:val="3F176D05"/>
    <w:rsid w:val="3F257E66"/>
    <w:rsid w:val="3F4400DB"/>
    <w:rsid w:val="3F55D298"/>
    <w:rsid w:val="3F6F1C63"/>
    <w:rsid w:val="3F7CC7FB"/>
    <w:rsid w:val="3F9D8A5E"/>
    <w:rsid w:val="3FA93A48"/>
    <w:rsid w:val="3FC6D283"/>
    <w:rsid w:val="3FCCC240"/>
    <w:rsid w:val="403C9CB5"/>
    <w:rsid w:val="4045B2F0"/>
    <w:rsid w:val="404DA1F3"/>
    <w:rsid w:val="405493C7"/>
    <w:rsid w:val="4061ADC5"/>
    <w:rsid w:val="408912AC"/>
    <w:rsid w:val="40C06A4F"/>
    <w:rsid w:val="40DD853C"/>
    <w:rsid w:val="40E444CC"/>
    <w:rsid w:val="41269CD1"/>
    <w:rsid w:val="41363C6A"/>
    <w:rsid w:val="413D5411"/>
    <w:rsid w:val="4162D12C"/>
    <w:rsid w:val="41672DD2"/>
    <w:rsid w:val="416CD453"/>
    <w:rsid w:val="417549A1"/>
    <w:rsid w:val="417C8B12"/>
    <w:rsid w:val="4197573E"/>
    <w:rsid w:val="41BF780C"/>
    <w:rsid w:val="41DB19AC"/>
    <w:rsid w:val="41DF69B7"/>
    <w:rsid w:val="41EBF4BA"/>
    <w:rsid w:val="41F25538"/>
    <w:rsid w:val="421F5465"/>
    <w:rsid w:val="421F6F20"/>
    <w:rsid w:val="4239966A"/>
    <w:rsid w:val="424274FC"/>
    <w:rsid w:val="4249AC09"/>
    <w:rsid w:val="4297D710"/>
    <w:rsid w:val="429A9885"/>
    <w:rsid w:val="42A0B806"/>
    <w:rsid w:val="42BDE8DF"/>
    <w:rsid w:val="42D7AE82"/>
    <w:rsid w:val="42E500CC"/>
    <w:rsid w:val="430140BD"/>
    <w:rsid w:val="431D392E"/>
    <w:rsid w:val="43273114"/>
    <w:rsid w:val="432C5DBE"/>
    <w:rsid w:val="435CD8FD"/>
    <w:rsid w:val="4362E12D"/>
    <w:rsid w:val="4375BFFB"/>
    <w:rsid w:val="437CFBA9"/>
    <w:rsid w:val="43BDECD0"/>
    <w:rsid w:val="43CCEC21"/>
    <w:rsid w:val="43CD7EE0"/>
    <w:rsid w:val="43DD0D94"/>
    <w:rsid w:val="43E29F85"/>
    <w:rsid w:val="43F2B970"/>
    <w:rsid w:val="43F39D06"/>
    <w:rsid w:val="4405928D"/>
    <w:rsid w:val="442577BE"/>
    <w:rsid w:val="442D0CC6"/>
    <w:rsid w:val="4436A3F1"/>
    <w:rsid w:val="44573114"/>
    <w:rsid w:val="4468439E"/>
    <w:rsid w:val="4469B4C7"/>
    <w:rsid w:val="446F446A"/>
    <w:rsid w:val="447BB825"/>
    <w:rsid w:val="44ABBDD1"/>
    <w:rsid w:val="44AD4786"/>
    <w:rsid w:val="44C6A212"/>
    <w:rsid w:val="44C85BD8"/>
    <w:rsid w:val="44CC03A3"/>
    <w:rsid w:val="44EB647A"/>
    <w:rsid w:val="4504D479"/>
    <w:rsid w:val="45520374"/>
    <w:rsid w:val="4572D9FB"/>
    <w:rsid w:val="457A8E43"/>
    <w:rsid w:val="45803403"/>
    <w:rsid w:val="459237A2"/>
    <w:rsid w:val="459E8BF1"/>
    <w:rsid w:val="45A2F1C5"/>
    <w:rsid w:val="45A874AC"/>
    <w:rsid w:val="45B74760"/>
    <w:rsid w:val="45B9647E"/>
    <w:rsid w:val="45BEE0A0"/>
    <w:rsid w:val="45D29D41"/>
    <w:rsid w:val="45FEB72A"/>
    <w:rsid w:val="4604245F"/>
    <w:rsid w:val="4610AB4B"/>
    <w:rsid w:val="464D7589"/>
    <w:rsid w:val="464FD6A4"/>
    <w:rsid w:val="4652B249"/>
    <w:rsid w:val="46598DCD"/>
    <w:rsid w:val="4697F547"/>
    <w:rsid w:val="46C8E5FF"/>
    <w:rsid w:val="46C929E3"/>
    <w:rsid w:val="46CE1779"/>
    <w:rsid w:val="46F48D53"/>
    <w:rsid w:val="4713B23A"/>
    <w:rsid w:val="472C1F9F"/>
    <w:rsid w:val="473B21EE"/>
    <w:rsid w:val="476B6992"/>
    <w:rsid w:val="47F64CFC"/>
    <w:rsid w:val="480E1043"/>
    <w:rsid w:val="4835B92A"/>
    <w:rsid w:val="483A96B8"/>
    <w:rsid w:val="48437214"/>
    <w:rsid w:val="484C568D"/>
    <w:rsid w:val="486E44DF"/>
    <w:rsid w:val="48879A9D"/>
    <w:rsid w:val="4891331E"/>
    <w:rsid w:val="48BE3731"/>
    <w:rsid w:val="48C5D4A1"/>
    <w:rsid w:val="48E1FBF6"/>
    <w:rsid w:val="48F3CE45"/>
    <w:rsid w:val="48F52053"/>
    <w:rsid w:val="49076685"/>
    <w:rsid w:val="490DE224"/>
    <w:rsid w:val="490F45C5"/>
    <w:rsid w:val="492AEC96"/>
    <w:rsid w:val="494E8FFB"/>
    <w:rsid w:val="495610DB"/>
    <w:rsid w:val="496A19F5"/>
    <w:rsid w:val="496F104F"/>
    <w:rsid w:val="497A5789"/>
    <w:rsid w:val="49860144"/>
    <w:rsid w:val="49908416"/>
    <w:rsid w:val="4993D3F9"/>
    <w:rsid w:val="4994DF62"/>
    <w:rsid w:val="49A0BD03"/>
    <w:rsid w:val="49A0D73E"/>
    <w:rsid w:val="49A35780"/>
    <w:rsid w:val="49BE1D8E"/>
    <w:rsid w:val="49C0A5DF"/>
    <w:rsid w:val="49DDC8FF"/>
    <w:rsid w:val="49E5D243"/>
    <w:rsid w:val="49E99506"/>
    <w:rsid w:val="49F65F77"/>
    <w:rsid w:val="4A0D88BF"/>
    <w:rsid w:val="4A228F32"/>
    <w:rsid w:val="4A255537"/>
    <w:rsid w:val="4A428FE2"/>
    <w:rsid w:val="4A4AA503"/>
    <w:rsid w:val="4A765319"/>
    <w:rsid w:val="4A78BE7F"/>
    <w:rsid w:val="4A7916D2"/>
    <w:rsid w:val="4A7DB926"/>
    <w:rsid w:val="4A7EAA6A"/>
    <w:rsid w:val="4A8B0C51"/>
    <w:rsid w:val="4A91DD7F"/>
    <w:rsid w:val="4A96CBFD"/>
    <w:rsid w:val="4AD9BAF7"/>
    <w:rsid w:val="4AF4D17C"/>
    <w:rsid w:val="4B08C5A6"/>
    <w:rsid w:val="4B095861"/>
    <w:rsid w:val="4B135612"/>
    <w:rsid w:val="4B1AC1EC"/>
    <w:rsid w:val="4B1D6C9D"/>
    <w:rsid w:val="4B25ADE2"/>
    <w:rsid w:val="4B335493"/>
    <w:rsid w:val="4B393510"/>
    <w:rsid w:val="4B4678C4"/>
    <w:rsid w:val="4B52C098"/>
    <w:rsid w:val="4B625EBC"/>
    <w:rsid w:val="4B7138A5"/>
    <w:rsid w:val="4B725FB5"/>
    <w:rsid w:val="4B74A04A"/>
    <w:rsid w:val="4B97EF3B"/>
    <w:rsid w:val="4B9A86D5"/>
    <w:rsid w:val="4B9B4A8A"/>
    <w:rsid w:val="4BAACBD4"/>
    <w:rsid w:val="4BACD760"/>
    <w:rsid w:val="4BB58E21"/>
    <w:rsid w:val="4BC35DA0"/>
    <w:rsid w:val="4BC5C615"/>
    <w:rsid w:val="4BC9934B"/>
    <w:rsid w:val="4BCB7600"/>
    <w:rsid w:val="4BDA2486"/>
    <w:rsid w:val="4BFD83CF"/>
    <w:rsid w:val="4BFEDA40"/>
    <w:rsid w:val="4C10F832"/>
    <w:rsid w:val="4C447770"/>
    <w:rsid w:val="4C482AC0"/>
    <w:rsid w:val="4C64FFE2"/>
    <w:rsid w:val="4CA1C9F6"/>
    <w:rsid w:val="4CA77B12"/>
    <w:rsid w:val="4CAF191E"/>
    <w:rsid w:val="4CB6BE8D"/>
    <w:rsid w:val="4CC9B046"/>
    <w:rsid w:val="4CCE5E18"/>
    <w:rsid w:val="4CD40D6F"/>
    <w:rsid w:val="4CEB9B89"/>
    <w:rsid w:val="4CF38927"/>
    <w:rsid w:val="4CFC05CD"/>
    <w:rsid w:val="4D56B851"/>
    <w:rsid w:val="4D57ADA4"/>
    <w:rsid w:val="4D623BD7"/>
    <w:rsid w:val="4D69E3EA"/>
    <w:rsid w:val="4D6BFC38"/>
    <w:rsid w:val="4D8C6839"/>
    <w:rsid w:val="4D8FD6B5"/>
    <w:rsid w:val="4DB4BF51"/>
    <w:rsid w:val="4DC2CD9C"/>
    <w:rsid w:val="4DF02C77"/>
    <w:rsid w:val="4DF04C8C"/>
    <w:rsid w:val="4DF3C72D"/>
    <w:rsid w:val="4E20FDFB"/>
    <w:rsid w:val="4E5A51F6"/>
    <w:rsid w:val="4E719A53"/>
    <w:rsid w:val="4EA3352E"/>
    <w:rsid w:val="4EA3CC4A"/>
    <w:rsid w:val="4EACF47A"/>
    <w:rsid w:val="4EC71B3B"/>
    <w:rsid w:val="4ED1DF79"/>
    <w:rsid w:val="4ED6605C"/>
    <w:rsid w:val="4EFFFC9B"/>
    <w:rsid w:val="4F038F4E"/>
    <w:rsid w:val="4F304161"/>
    <w:rsid w:val="4F319BEF"/>
    <w:rsid w:val="4F3B43BE"/>
    <w:rsid w:val="4F469242"/>
    <w:rsid w:val="4F53A21B"/>
    <w:rsid w:val="4F784854"/>
    <w:rsid w:val="4F853B18"/>
    <w:rsid w:val="4F8AEDDC"/>
    <w:rsid w:val="4F9FC5D9"/>
    <w:rsid w:val="4FB1A898"/>
    <w:rsid w:val="4FE5FBB6"/>
    <w:rsid w:val="4FE9DCF1"/>
    <w:rsid w:val="4FF149C4"/>
    <w:rsid w:val="50018F3A"/>
    <w:rsid w:val="5011DBFA"/>
    <w:rsid w:val="501499D8"/>
    <w:rsid w:val="501D4EAD"/>
    <w:rsid w:val="501D6B50"/>
    <w:rsid w:val="503AA59F"/>
    <w:rsid w:val="504E0114"/>
    <w:rsid w:val="506051E8"/>
    <w:rsid w:val="506FFDDD"/>
    <w:rsid w:val="5085C879"/>
    <w:rsid w:val="508B4D87"/>
    <w:rsid w:val="508BCED4"/>
    <w:rsid w:val="50985E96"/>
    <w:rsid w:val="50B65094"/>
    <w:rsid w:val="50C7CB0B"/>
    <w:rsid w:val="50DC9E6D"/>
    <w:rsid w:val="50DDC980"/>
    <w:rsid w:val="50E08EAA"/>
    <w:rsid w:val="50EA076D"/>
    <w:rsid w:val="5115B27B"/>
    <w:rsid w:val="5147FF92"/>
    <w:rsid w:val="514F030B"/>
    <w:rsid w:val="51620F2F"/>
    <w:rsid w:val="516621F2"/>
    <w:rsid w:val="5168C74A"/>
    <w:rsid w:val="516D1BC0"/>
    <w:rsid w:val="5179B1FD"/>
    <w:rsid w:val="5182E1F5"/>
    <w:rsid w:val="51A00661"/>
    <w:rsid w:val="51C10938"/>
    <w:rsid w:val="51D1BE7C"/>
    <w:rsid w:val="51D477F7"/>
    <w:rsid w:val="51DD38B3"/>
    <w:rsid w:val="51ECFDE8"/>
    <w:rsid w:val="51F3D20A"/>
    <w:rsid w:val="51F9CA74"/>
    <w:rsid w:val="520FDA58"/>
    <w:rsid w:val="5211C34C"/>
    <w:rsid w:val="5222EB4A"/>
    <w:rsid w:val="52313AB1"/>
    <w:rsid w:val="523E4B4D"/>
    <w:rsid w:val="52401216"/>
    <w:rsid w:val="52466CB1"/>
    <w:rsid w:val="52728E8E"/>
    <w:rsid w:val="5283A227"/>
    <w:rsid w:val="52853E6A"/>
    <w:rsid w:val="52ACE103"/>
    <w:rsid w:val="52EC25DB"/>
    <w:rsid w:val="52F50C71"/>
    <w:rsid w:val="52FA2C7D"/>
    <w:rsid w:val="5303A316"/>
    <w:rsid w:val="53086506"/>
    <w:rsid w:val="530DA056"/>
    <w:rsid w:val="531DC43C"/>
    <w:rsid w:val="533BFEB0"/>
    <w:rsid w:val="5347F2D7"/>
    <w:rsid w:val="534FDE05"/>
    <w:rsid w:val="53566DB1"/>
    <w:rsid w:val="535FEB7C"/>
    <w:rsid w:val="538BE00D"/>
    <w:rsid w:val="53BA44AE"/>
    <w:rsid w:val="53BD693E"/>
    <w:rsid w:val="53CEC372"/>
    <w:rsid w:val="53CFF95C"/>
    <w:rsid w:val="53E9DE45"/>
    <w:rsid w:val="540A5847"/>
    <w:rsid w:val="541390D8"/>
    <w:rsid w:val="54283561"/>
    <w:rsid w:val="543D892E"/>
    <w:rsid w:val="543DC747"/>
    <w:rsid w:val="54484FBA"/>
    <w:rsid w:val="544A2D6D"/>
    <w:rsid w:val="547EF05B"/>
    <w:rsid w:val="548DC6EA"/>
    <w:rsid w:val="5498215F"/>
    <w:rsid w:val="54A396C4"/>
    <w:rsid w:val="54CA15F5"/>
    <w:rsid w:val="54D7F3DD"/>
    <w:rsid w:val="54FE7C0E"/>
    <w:rsid w:val="550B06BC"/>
    <w:rsid w:val="5555DDDE"/>
    <w:rsid w:val="557CE9CD"/>
    <w:rsid w:val="5587FF6B"/>
    <w:rsid w:val="55B8A89B"/>
    <w:rsid w:val="55BBAD5B"/>
    <w:rsid w:val="55E44F7D"/>
    <w:rsid w:val="55ED037A"/>
    <w:rsid w:val="55FB26B7"/>
    <w:rsid w:val="56099887"/>
    <w:rsid w:val="560F671C"/>
    <w:rsid w:val="56202F67"/>
    <w:rsid w:val="56368189"/>
    <w:rsid w:val="563CF832"/>
    <w:rsid w:val="563E14B1"/>
    <w:rsid w:val="5643A861"/>
    <w:rsid w:val="56604102"/>
    <w:rsid w:val="56761398"/>
    <w:rsid w:val="56764A6B"/>
    <w:rsid w:val="56816CC5"/>
    <w:rsid w:val="569796F1"/>
    <w:rsid w:val="569AE849"/>
    <w:rsid w:val="56A63F58"/>
    <w:rsid w:val="56ABABDD"/>
    <w:rsid w:val="56ACD505"/>
    <w:rsid w:val="56BDA407"/>
    <w:rsid w:val="56DC0929"/>
    <w:rsid w:val="56DE7D6E"/>
    <w:rsid w:val="56EFB5D9"/>
    <w:rsid w:val="56F99223"/>
    <w:rsid w:val="56FF40F7"/>
    <w:rsid w:val="5703755A"/>
    <w:rsid w:val="575537B2"/>
    <w:rsid w:val="575A8B55"/>
    <w:rsid w:val="575F0A49"/>
    <w:rsid w:val="57744A8B"/>
    <w:rsid w:val="577DA0E4"/>
    <w:rsid w:val="578ADBA8"/>
    <w:rsid w:val="57A2F847"/>
    <w:rsid w:val="57A472BE"/>
    <w:rsid w:val="57C7DD5D"/>
    <w:rsid w:val="57D321FC"/>
    <w:rsid w:val="57EDABE5"/>
    <w:rsid w:val="58220D1B"/>
    <w:rsid w:val="58239753"/>
    <w:rsid w:val="582508EE"/>
    <w:rsid w:val="58369759"/>
    <w:rsid w:val="58677A77"/>
    <w:rsid w:val="587B8A57"/>
    <w:rsid w:val="5895A0B9"/>
    <w:rsid w:val="5898B5D9"/>
    <w:rsid w:val="589EF57D"/>
    <w:rsid w:val="589F1A5D"/>
    <w:rsid w:val="589FF794"/>
    <w:rsid w:val="58C97201"/>
    <w:rsid w:val="58D1395B"/>
    <w:rsid w:val="58D36989"/>
    <w:rsid w:val="58EBB378"/>
    <w:rsid w:val="58F2DAC1"/>
    <w:rsid w:val="59150515"/>
    <w:rsid w:val="5915442C"/>
    <w:rsid w:val="593EB689"/>
    <w:rsid w:val="59478547"/>
    <w:rsid w:val="594E2F4A"/>
    <w:rsid w:val="595823DA"/>
    <w:rsid w:val="595A0EC2"/>
    <w:rsid w:val="596BB775"/>
    <w:rsid w:val="596F99C5"/>
    <w:rsid w:val="59811CB4"/>
    <w:rsid w:val="5989A78D"/>
    <w:rsid w:val="598B2BA6"/>
    <w:rsid w:val="59A05E3D"/>
    <w:rsid w:val="59B21C20"/>
    <w:rsid w:val="59BDB4AF"/>
    <w:rsid w:val="59EFEA31"/>
    <w:rsid w:val="5A060DA4"/>
    <w:rsid w:val="5A094B5A"/>
    <w:rsid w:val="5A3219A2"/>
    <w:rsid w:val="5A6E9726"/>
    <w:rsid w:val="5A724B19"/>
    <w:rsid w:val="5AB4815B"/>
    <w:rsid w:val="5AC10738"/>
    <w:rsid w:val="5AC2DB46"/>
    <w:rsid w:val="5ACA6EBD"/>
    <w:rsid w:val="5AD7029C"/>
    <w:rsid w:val="5AE34F53"/>
    <w:rsid w:val="5AEDDA22"/>
    <w:rsid w:val="5B1C2070"/>
    <w:rsid w:val="5B459F6C"/>
    <w:rsid w:val="5B514372"/>
    <w:rsid w:val="5B616CAF"/>
    <w:rsid w:val="5B67F18F"/>
    <w:rsid w:val="5B783150"/>
    <w:rsid w:val="5B897636"/>
    <w:rsid w:val="5BA5B6F6"/>
    <w:rsid w:val="5BE15518"/>
    <w:rsid w:val="5BF43591"/>
    <w:rsid w:val="5C0A0353"/>
    <w:rsid w:val="5C0C71D3"/>
    <w:rsid w:val="5C0E1D54"/>
    <w:rsid w:val="5C1BE8FF"/>
    <w:rsid w:val="5C1D9C0A"/>
    <w:rsid w:val="5C27FB78"/>
    <w:rsid w:val="5C3D85AC"/>
    <w:rsid w:val="5C5E9A94"/>
    <w:rsid w:val="5C8668FA"/>
    <w:rsid w:val="5C8B0B36"/>
    <w:rsid w:val="5CABC0BC"/>
    <w:rsid w:val="5CCB02CC"/>
    <w:rsid w:val="5CCBDABB"/>
    <w:rsid w:val="5CE94DA3"/>
    <w:rsid w:val="5CEDE45B"/>
    <w:rsid w:val="5CF6E8D8"/>
    <w:rsid w:val="5CFA608A"/>
    <w:rsid w:val="5D11C0D6"/>
    <w:rsid w:val="5D2AB7DE"/>
    <w:rsid w:val="5D340AB4"/>
    <w:rsid w:val="5D3855A6"/>
    <w:rsid w:val="5D623C68"/>
    <w:rsid w:val="5D8164A3"/>
    <w:rsid w:val="5DA67392"/>
    <w:rsid w:val="5DA9D152"/>
    <w:rsid w:val="5DB17DC2"/>
    <w:rsid w:val="5DD21CA8"/>
    <w:rsid w:val="5DE9D67D"/>
    <w:rsid w:val="5DEC03B8"/>
    <w:rsid w:val="5DFC48BE"/>
    <w:rsid w:val="5E09A876"/>
    <w:rsid w:val="5E09D271"/>
    <w:rsid w:val="5E200209"/>
    <w:rsid w:val="5E2E964C"/>
    <w:rsid w:val="5E3E30E9"/>
    <w:rsid w:val="5E4426FD"/>
    <w:rsid w:val="5E4C40D5"/>
    <w:rsid w:val="5E5061B3"/>
    <w:rsid w:val="5E50658C"/>
    <w:rsid w:val="5E539FE9"/>
    <w:rsid w:val="5E5D06A2"/>
    <w:rsid w:val="5E663A3F"/>
    <w:rsid w:val="5E6FD192"/>
    <w:rsid w:val="5E708DF2"/>
    <w:rsid w:val="5E7693A6"/>
    <w:rsid w:val="5E7E4893"/>
    <w:rsid w:val="5E854FDA"/>
    <w:rsid w:val="5EAFA61B"/>
    <w:rsid w:val="5EDCF216"/>
    <w:rsid w:val="5EE2EB32"/>
    <w:rsid w:val="5EE7E65A"/>
    <w:rsid w:val="5F1E4705"/>
    <w:rsid w:val="5F55A7AD"/>
    <w:rsid w:val="5F697317"/>
    <w:rsid w:val="5F9ED30F"/>
    <w:rsid w:val="5FBE784B"/>
    <w:rsid w:val="5FCC9407"/>
    <w:rsid w:val="5FCEE829"/>
    <w:rsid w:val="5FF026AA"/>
    <w:rsid w:val="5FF7C483"/>
    <w:rsid w:val="5FF92A97"/>
    <w:rsid w:val="5FFFF898"/>
    <w:rsid w:val="600BE955"/>
    <w:rsid w:val="600CBD86"/>
    <w:rsid w:val="60224D85"/>
    <w:rsid w:val="60225ABE"/>
    <w:rsid w:val="602AB010"/>
    <w:rsid w:val="6031DF37"/>
    <w:rsid w:val="603E324A"/>
    <w:rsid w:val="603FB117"/>
    <w:rsid w:val="60569838"/>
    <w:rsid w:val="60662D55"/>
    <w:rsid w:val="60719C72"/>
    <w:rsid w:val="60790CF9"/>
    <w:rsid w:val="607CC1F3"/>
    <w:rsid w:val="608FBFC5"/>
    <w:rsid w:val="60B490F5"/>
    <w:rsid w:val="60D5ED31"/>
    <w:rsid w:val="60D8F997"/>
    <w:rsid w:val="60DB557D"/>
    <w:rsid w:val="60E57AD8"/>
    <w:rsid w:val="60E6245C"/>
    <w:rsid w:val="612708F2"/>
    <w:rsid w:val="6141B2F7"/>
    <w:rsid w:val="61443E90"/>
    <w:rsid w:val="6149D46D"/>
    <w:rsid w:val="61500776"/>
    <w:rsid w:val="61602053"/>
    <w:rsid w:val="616AE4DD"/>
    <w:rsid w:val="6189C377"/>
    <w:rsid w:val="61AFB79F"/>
    <w:rsid w:val="61C82305"/>
    <w:rsid w:val="61F29F89"/>
    <w:rsid w:val="61FCA56E"/>
    <w:rsid w:val="62060A28"/>
    <w:rsid w:val="620D6404"/>
    <w:rsid w:val="620DF004"/>
    <w:rsid w:val="6214D4FD"/>
    <w:rsid w:val="621B9213"/>
    <w:rsid w:val="621C0B26"/>
    <w:rsid w:val="621EEABE"/>
    <w:rsid w:val="62368E63"/>
    <w:rsid w:val="623A426A"/>
    <w:rsid w:val="624BB7A4"/>
    <w:rsid w:val="625BC067"/>
    <w:rsid w:val="62642BE6"/>
    <w:rsid w:val="62688773"/>
    <w:rsid w:val="626C2A7F"/>
    <w:rsid w:val="627EA9A3"/>
    <w:rsid w:val="62A3169B"/>
    <w:rsid w:val="62B38554"/>
    <w:rsid w:val="62B82B43"/>
    <w:rsid w:val="62C96D07"/>
    <w:rsid w:val="62ED63E4"/>
    <w:rsid w:val="62F2AB73"/>
    <w:rsid w:val="62F44DF4"/>
    <w:rsid w:val="631065C0"/>
    <w:rsid w:val="631A25BC"/>
    <w:rsid w:val="63286C36"/>
    <w:rsid w:val="6360D6D0"/>
    <w:rsid w:val="636E201C"/>
    <w:rsid w:val="637A3414"/>
    <w:rsid w:val="637B82BC"/>
    <w:rsid w:val="6387319C"/>
    <w:rsid w:val="6387F521"/>
    <w:rsid w:val="63912BF6"/>
    <w:rsid w:val="63ACCFA7"/>
    <w:rsid w:val="63BA2EB5"/>
    <w:rsid w:val="63C0812E"/>
    <w:rsid w:val="63C5E9F7"/>
    <w:rsid w:val="63FECCA4"/>
    <w:rsid w:val="64022E9A"/>
    <w:rsid w:val="640EB1CC"/>
    <w:rsid w:val="6419F982"/>
    <w:rsid w:val="641DF496"/>
    <w:rsid w:val="641DFA61"/>
    <w:rsid w:val="643AE809"/>
    <w:rsid w:val="6440DA7E"/>
    <w:rsid w:val="64435507"/>
    <w:rsid w:val="6480B406"/>
    <w:rsid w:val="6482528E"/>
    <w:rsid w:val="648920BB"/>
    <w:rsid w:val="648A7448"/>
    <w:rsid w:val="64905107"/>
    <w:rsid w:val="6496B9D8"/>
    <w:rsid w:val="64A05A7D"/>
    <w:rsid w:val="64A3FD46"/>
    <w:rsid w:val="64A9CF3B"/>
    <w:rsid w:val="64BE9EEF"/>
    <w:rsid w:val="64E3F0C1"/>
    <w:rsid w:val="650E94BD"/>
    <w:rsid w:val="650FFAF5"/>
    <w:rsid w:val="6517564E"/>
    <w:rsid w:val="651881FA"/>
    <w:rsid w:val="651AF7D3"/>
    <w:rsid w:val="651ECC52"/>
    <w:rsid w:val="651F1710"/>
    <w:rsid w:val="653E1BD4"/>
    <w:rsid w:val="6554FC7C"/>
    <w:rsid w:val="65562B6C"/>
    <w:rsid w:val="656B56BF"/>
    <w:rsid w:val="657B374B"/>
    <w:rsid w:val="65A09460"/>
    <w:rsid w:val="65AD77B6"/>
    <w:rsid w:val="65DD0DC7"/>
    <w:rsid w:val="65DE59C7"/>
    <w:rsid w:val="65F2339A"/>
    <w:rsid w:val="660B8DCD"/>
    <w:rsid w:val="661D25AF"/>
    <w:rsid w:val="66230ABD"/>
    <w:rsid w:val="662CF977"/>
    <w:rsid w:val="6660F49A"/>
    <w:rsid w:val="6670D694"/>
    <w:rsid w:val="6678CFB6"/>
    <w:rsid w:val="6689DCE4"/>
    <w:rsid w:val="669BD2F4"/>
    <w:rsid w:val="66A5EB89"/>
    <w:rsid w:val="66CE013D"/>
    <w:rsid w:val="66D667E4"/>
    <w:rsid w:val="66F305F1"/>
    <w:rsid w:val="671361D2"/>
    <w:rsid w:val="67360B8D"/>
    <w:rsid w:val="673A1274"/>
    <w:rsid w:val="673DF1E0"/>
    <w:rsid w:val="674E1CC8"/>
    <w:rsid w:val="675F1EFF"/>
    <w:rsid w:val="6777FFE8"/>
    <w:rsid w:val="677E16E9"/>
    <w:rsid w:val="6781A0BC"/>
    <w:rsid w:val="678D82AE"/>
    <w:rsid w:val="679E3DE4"/>
    <w:rsid w:val="67BB9BE4"/>
    <w:rsid w:val="67C9ACA1"/>
    <w:rsid w:val="67CCCFF1"/>
    <w:rsid w:val="6819BDC1"/>
    <w:rsid w:val="681B91FB"/>
    <w:rsid w:val="683AECF1"/>
    <w:rsid w:val="684E6824"/>
    <w:rsid w:val="6850A474"/>
    <w:rsid w:val="686A43DA"/>
    <w:rsid w:val="687B7661"/>
    <w:rsid w:val="687F44CB"/>
    <w:rsid w:val="6884B143"/>
    <w:rsid w:val="68A6247A"/>
    <w:rsid w:val="68B68175"/>
    <w:rsid w:val="68BE7CC3"/>
    <w:rsid w:val="68C63A05"/>
    <w:rsid w:val="68C6B1E2"/>
    <w:rsid w:val="68C8819F"/>
    <w:rsid w:val="68C8B6A2"/>
    <w:rsid w:val="68C99A58"/>
    <w:rsid w:val="68D92FCB"/>
    <w:rsid w:val="68E66EE6"/>
    <w:rsid w:val="68E9011C"/>
    <w:rsid w:val="68EE96DB"/>
    <w:rsid w:val="6916257A"/>
    <w:rsid w:val="6916EFC3"/>
    <w:rsid w:val="692340F9"/>
    <w:rsid w:val="6943224C"/>
    <w:rsid w:val="69529C83"/>
    <w:rsid w:val="696E38A3"/>
    <w:rsid w:val="6975ED8D"/>
    <w:rsid w:val="6978FB56"/>
    <w:rsid w:val="697B5C70"/>
    <w:rsid w:val="697BEEF8"/>
    <w:rsid w:val="69A225E1"/>
    <w:rsid w:val="69B5E9F3"/>
    <w:rsid w:val="69C347BC"/>
    <w:rsid w:val="69C51ED1"/>
    <w:rsid w:val="69CAB266"/>
    <w:rsid w:val="69FBED61"/>
    <w:rsid w:val="6A07F542"/>
    <w:rsid w:val="6A130510"/>
    <w:rsid w:val="6A28A48D"/>
    <w:rsid w:val="6A525AA7"/>
    <w:rsid w:val="6A750DBE"/>
    <w:rsid w:val="6A803A72"/>
    <w:rsid w:val="6A8DC623"/>
    <w:rsid w:val="6A9C5631"/>
    <w:rsid w:val="6AA6D98C"/>
    <w:rsid w:val="6AAEFD61"/>
    <w:rsid w:val="6ABE9A1D"/>
    <w:rsid w:val="6AD7A4C5"/>
    <w:rsid w:val="6ADCE299"/>
    <w:rsid w:val="6B24692A"/>
    <w:rsid w:val="6B3AB8E9"/>
    <w:rsid w:val="6B3B2F9B"/>
    <w:rsid w:val="6B448204"/>
    <w:rsid w:val="6B5CB0ED"/>
    <w:rsid w:val="6B5FBE15"/>
    <w:rsid w:val="6B6A9BE6"/>
    <w:rsid w:val="6B8BB610"/>
    <w:rsid w:val="6B8DF232"/>
    <w:rsid w:val="6BC516FE"/>
    <w:rsid w:val="6BCBE6A7"/>
    <w:rsid w:val="6BCE7240"/>
    <w:rsid w:val="6BDA1443"/>
    <w:rsid w:val="6BE20AF7"/>
    <w:rsid w:val="6BF56F32"/>
    <w:rsid w:val="6C1FD994"/>
    <w:rsid w:val="6C249B9D"/>
    <w:rsid w:val="6C28B48E"/>
    <w:rsid w:val="6C29734B"/>
    <w:rsid w:val="6C2FA735"/>
    <w:rsid w:val="6C335C79"/>
    <w:rsid w:val="6C4064D5"/>
    <w:rsid w:val="6C4A46DA"/>
    <w:rsid w:val="6C52062F"/>
    <w:rsid w:val="6C52AD57"/>
    <w:rsid w:val="6C56429C"/>
    <w:rsid w:val="6C5B5D3E"/>
    <w:rsid w:val="6C68B91E"/>
    <w:rsid w:val="6C7392DB"/>
    <w:rsid w:val="6C8B3FDF"/>
    <w:rsid w:val="6CD4CF57"/>
    <w:rsid w:val="6CD4D19C"/>
    <w:rsid w:val="6CDEE60F"/>
    <w:rsid w:val="6CDF0E45"/>
    <w:rsid w:val="6CDFFAB4"/>
    <w:rsid w:val="6CE89029"/>
    <w:rsid w:val="6CF0E0CC"/>
    <w:rsid w:val="6CF8C3C5"/>
    <w:rsid w:val="6D218D6B"/>
    <w:rsid w:val="6D26A4F4"/>
    <w:rsid w:val="6D39E088"/>
    <w:rsid w:val="6D507C51"/>
    <w:rsid w:val="6D671918"/>
    <w:rsid w:val="6D69A455"/>
    <w:rsid w:val="6D82E8B6"/>
    <w:rsid w:val="6D8C7E53"/>
    <w:rsid w:val="6D94CEEB"/>
    <w:rsid w:val="6DDE6D45"/>
    <w:rsid w:val="6DEBB5A5"/>
    <w:rsid w:val="6DEE2F08"/>
    <w:rsid w:val="6DF08C67"/>
    <w:rsid w:val="6DF82518"/>
    <w:rsid w:val="6E18D2DB"/>
    <w:rsid w:val="6E245550"/>
    <w:rsid w:val="6E2F45C7"/>
    <w:rsid w:val="6E386357"/>
    <w:rsid w:val="6E41AEBA"/>
    <w:rsid w:val="6E444AD7"/>
    <w:rsid w:val="6E44647B"/>
    <w:rsid w:val="6E5139C7"/>
    <w:rsid w:val="6E5AF1D7"/>
    <w:rsid w:val="6E8CA1E4"/>
    <w:rsid w:val="6E9DBB59"/>
    <w:rsid w:val="6ECB796F"/>
    <w:rsid w:val="6ED2DDB0"/>
    <w:rsid w:val="6EDFD84A"/>
    <w:rsid w:val="6EDFDD03"/>
    <w:rsid w:val="6EF7FF4E"/>
    <w:rsid w:val="6F1ADABD"/>
    <w:rsid w:val="6F3314A1"/>
    <w:rsid w:val="6F5499C3"/>
    <w:rsid w:val="6F5B5F01"/>
    <w:rsid w:val="6F650A54"/>
    <w:rsid w:val="6F6735A8"/>
    <w:rsid w:val="6F712580"/>
    <w:rsid w:val="6F77C118"/>
    <w:rsid w:val="6FB034AC"/>
    <w:rsid w:val="6FCA2804"/>
    <w:rsid w:val="6FE1863E"/>
    <w:rsid w:val="6FF0670F"/>
    <w:rsid w:val="6FF2CDB3"/>
    <w:rsid w:val="70068D7E"/>
    <w:rsid w:val="7007A1B1"/>
    <w:rsid w:val="700E221A"/>
    <w:rsid w:val="701BB415"/>
    <w:rsid w:val="7047140A"/>
    <w:rsid w:val="7047815A"/>
    <w:rsid w:val="704D5F7C"/>
    <w:rsid w:val="7056979D"/>
    <w:rsid w:val="705D7968"/>
    <w:rsid w:val="70677EE0"/>
    <w:rsid w:val="707B14D5"/>
    <w:rsid w:val="7095D831"/>
    <w:rsid w:val="7096D5DF"/>
    <w:rsid w:val="709AFF4E"/>
    <w:rsid w:val="70B6C457"/>
    <w:rsid w:val="70B87B0F"/>
    <w:rsid w:val="70BDDDAB"/>
    <w:rsid w:val="70C17693"/>
    <w:rsid w:val="70C43E46"/>
    <w:rsid w:val="70C56E6C"/>
    <w:rsid w:val="70F64B56"/>
    <w:rsid w:val="70FAC1F8"/>
    <w:rsid w:val="7118E3C5"/>
    <w:rsid w:val="711EA38C"/>
    <w:rsid w:val="712135DB"/>
    <w:rsid w:val="712591F9"/>
    <w:rsid w:val="71394A3D"/>
    <w:rsid w:val="71437183"/>
    <w:rsid w:val="719BA6D3"/>
    <w:rsid w:val="719CFDC7"/>
    <w:rsid w:val="71B1C310"/>
    <w:rsid w:val="71B931D4"/>
    <w:rsid w:val="71C29BB2"/>
    <w:rsid w:val="71C676BE"/>
    <w:rsid w:val="71D2F145"/>
    <w:rsid w:val="71E6FA36"/>
    <w:rsid w:val="7213C0CD"/>
    <w:rsid w:val="7214FC54"/>
    <w:rsid w:val="72205D82"/>
    <w:rsid w:val="7226EBEF"/>
    <w:rsid w:val="722AF8B4"/>
    <w:rsid w:val="728D2079"/>
    <w:rsid w:val="72A4DA22"/>
    <w:rsid w:val="72EC68CF"/>
    <w:rsid w:val="72F01B4D"/>
    <w:rsid w:val="730C22D5"/>
    <w:rsid w:val="730E4737"/>
    <w:rsid w:val="7316BD7D"/>
    <w:rsid w:val="732794C5"/>
    <w:rsid w:val="7351A0A3"/>
    <w:rsid w:val="7356AA4E"/>
    <w:rsid w:val="73598FDB"/>
    <w:rsid w:val="73615099"/>
    <w:rsid w:val="73649C90"/>
    <w:rsid w:val="736664C7"/>
    <w:rsid w:val="73716E07"/>
    <w:rsid w:val="7381857C"/>
    <w:rsid w:val="7383D151"/>
    <w:rsid w:val="739CF184"/>
    <w:rsid w:val="73A3438E"/>
    <w:rsid w:val="73B6F5EE"/>
    <w:rsid w:val="73C29363"/>
    <w:rsid w:val="74043069"/>
    <w:rsid w:val="742AD6F9"/>
    <w:rsid w:val="742E1FF6"/>
    <w:rsid w:val="7432F7ED"/>
    <w:rsid w:val="74338911"/>
    <w:rsid w:val="744D9A70"/>
    <w:rsid w:val="7450AFE6"/>
    <w:rsid w:val="748A72E8"/>
    <w:rsid w:val="74924F78"/>
    <w:rsid w:val="749AFBFF"/>
    <w:rsid w:val="74B3AEE0"/>
    <w:rsid w:val="74BB9DFC"/>
    <w:rsid w:val="74E95C5F"/>
    <w:rsid w:val="74F3BCB2"/>
    <w:rsid w:val="74F3F5A2"/>
    <w:rsid w:val="74F7A6F3"/>
    <w:rsid w:val="7521CF1C"/>
    <w:rsid w:val="75240D75"/>
    <w:rsid w:val="753022EF"/>
    <w:rsid w:val="753EEF0F"/>
    <w:rsid w:val="754FF933"/>
    <w:rsid w:val="7578EBEE"/>
    <w:rsid w:val="757B6F61"/>
    <w:rsid w:val="75806640"/>
    <w:rsid w:val="75818471"/>
    <w:rsid w:val="7598B123"/>
    <w:rsid w:val="75AC0F93"/>
    <w:rsid w:val="75B28244"/>
    <w:rsid w:val="75CE9293"/>
    <w:rsid w:val="75E8CC8A"/>
    <w:rsid w:val="763F7A85"/>
    <w:rsid w:val="7642B471"/>
    <w:rsid w:val="764E7C48"/>
    <w:rsid w:val="767E2EFF"/>
    <w:rsid w:val="768F248F"/>
    <w:rsid w:val="76A00C5D"/>
    <w:rsid w:val="76AE6C37"/>
    <w:rsid w:val="76AF272D"/>
    <w:rsid w:val="76CEA620"/>
    <w:rsid w:val="76D09EE7"/>
    <w:rsid w:val="76E0B4CC"/>
    <w:rsid w:val="76E537DD"/>
    <w:rsid w:val="76F77B3D"/>
    <w:rsid w:val="7739032A"/>
    <w:rsid w:val="7739370A"/>
    <w:rsid w:val="7740CC67"/>
    <w:rsid w:val="775092D0"/>
    <w:rsid w:val="777A0875"/>
    <w:rsid w:val="777CE353"/>
    <w:rsid w:val="7783DA56"/>
    <w:rsid w:val="778A6ED9"/>
    <w:rsid w:val="779BB049"/>
    <w:rsid w:val="77A2F9FC"/>
    <w:rsid w:val="77BDD074"/>
    <w:rsid w:val="77C8D26D"/>
    <w:rsid w:val="77CECBA0"/>
    <w:rsid w:val="77E3B22F"/>
    <w:rsid w:val="77F8E915"/>
    <w:rsid w:val="78028F23"/>
    <w:rsid w:val="7808D8D5"/>
    <w:rsid w:val="78279F0E"/>
    <w:rsid w:val="782A5FED"/>
    <w:rsid w:val="78316D2B"/>
    <w:rsid w:val="783E37B5"/>
    <w:rsid w:val="7840FAAC"/>
    <w:rsid w:val="7864E78E"/>
    <w:rsid w:val="787D242C"/>
    <w:rsid w:val="788B7D78"/>
    <w:rsid w:val="789B9D41"/>
    <w:rsid w:val="78BEEA5C"/>
    <w:rsid w:val="78C7B960"/>
    <w:rsid w:val="78CF158D"/>
    <w:rsid w:val="78D86438"/>
    <w:rsid w:val="78DF989B"/>
    <w:rsid w:val="7911301F"/>
    <w:rsid w:val="7927C99B"/>
    <w:rsid w:val="792E0BF4"/>
    <w:rsid w:val="7937E054"/>
    <w:rsid w:val="7946991B"/>
    <w:rsid w:val="795534FB"/>
    <w:rsid w:val="795AC9D3"/>
    <w:rsid w:val="797CBD28"/>
    <w:rsid w:val="7985DFA1"/>
    <w:rsid w:val="798EE887"/>
    <w:rsid w:val="79AD68ED"/>
    <w:rsid w:val="79B5EF21"/>
    <w:rsid w:val="79BCC704"/>
    <w:rsid w:val="79D3AA0A"/>
    <w:rsid w:val="79D992BC"/>
    <w:rsid w:val="79DB9C06"/>
    <w:rsid w:val="79E9976C"/>
    <w:rsid w:val="79F5DCDD"/>
    <w:rsid w:val="79F6DB3A"/>
    <w:rsid w:val="79F93A63"/>
    <w:rsid w:val="7A0665FD"/>
    <w:rsid w:val="7A382409"/>
    <w:rsid w:val="7A929F22"/>
    <w:rsid w:val="7AAAC9DE"/>
    <w:rsid w:val="7AAD8283"/>
    <w:rsid w:val="7AB75AF2"/>
    <w:rsid w:val="7ACFCC63"/>
    <w:rsid w:val="7AFCF041"/>
    <w:rsid w:val="7B0AED25"/>
    <w:rsid w:val="7B148507"/>
    <w:rsid w:val="7B37F932"/>
    <w:rsid w:val="7B5A73F8"/>
    <w:rsid w:val="7B745F0F"/>
    <w:rsid w:val="7BC3754B"/>
    <w:rsid w:val="7BC4FBAC"/>
    <w:rsid w:val="7BCCCF6E"/>
    <w:rsid w:val="7BED3038"/>
    <w:rsid w:val="7BEFB973"/>
    <w:rsid w:val="7BF3887C"/>
    <w:rsid w:val="7C1F4030"/>
    <w:rsid w:val="7C2CC22F"/>
    <w:rsid w:val="7C3C68B9"/>
    <w:rsid w:val="7C49C00A"/>
    <w:rsid w:val="7C4AC6C4"/>
    <w:rsid w:val="7C5809A8"/>
    <w:rsid w:val="7CBEA8D8"/>
    <w:rsid w:val="7CD1A7BC"/>
    <w:rsid w:val="7CD77DA1"/>
    <w:rsid w:val="7CD8D2ED"/>
    <w:rsid w:val="7CE942F2"/>
    <w:rsid w:val="7CF11BB8"/>
    <w:rsid w:val="7D02D7DC"/>
    <w:rsid w:val="7D059FD2"/>
    <w:rsid w:val="7D218E34"/>
    <w:rsid w:val="7D2C918A"/>
    <w:rsid w:val="7D3A19AE"/>
    <w:rsid w:val="7D615FEC"/>
    <w:rsid w:val="7D62C828"/>
    <w:rsid w:val="7D7F4A98"/>
    <w:rsid w:val="7D9C7792"/>
    <w:rsid w:val="7DAEC95C"/>
    <w:rsid w:val="7DB58FBC"/>
    <w:rsid w:val="7DD07ACE"/>
    <w:rsid w:val="7DD2EFB6"/>
    <w:rsid w:val="7DE195CA"/>
    <w:rsid w:val="7DE3485D"/>
    <w:rsid w:val="7DE4573A"/>
    <w:rsid w:val="7DFA4767"/>
    <w:rsid w:val="7E050230"/>
    <w:rsid w:val="7E0E43FC"/>
    <w:rsid w:val="7E0F990A"/>
    <w:rsid w:val="7E43D39C"/>
    <w:rsid w:val="7E63FF50"/>
    <w:rsid w:val="7E6B9AD7"/>
    <w:rsid w:val="7E6CDD26"/>
    <w:rsid w:val="7E98D2B4"/>
    <w:rsid w:val="7E9D72D2"/>
    <w:rsid w:val="7EA630F7"/>
    <w:rsid w:val="7ECBCC23"/>
    <w:rsid w:val="7ED31E42"/>
    <w:rsid w:val="7ED89A28"/>
    <w:rsid w:val="7EEB36C0"/>
    <w:rsid w:val="7EEFC65B"/>
    <w:rsid w:val="7F069194"/>
    <w:rsid w:val="7F120A7E"/>
    <w:rsid w:val="7F22E089"/>
    <w:rsid w:val="7F3AC5D4"/>
    <w:rsid w:val="7F40FDFE"/>
    <w:rsid w:val="7F4FCAAB"/>
    <w:rsid w:val="7F529B72"/>
    <w:rsid w:val="7F73475B"/>
    <w:rsid w:val="7F7D481A"/>
    <w:rsid w:val="7F7EF907"/>
    <w:rsid w:val="7FA2E0D6"/>
    <w:rsid w:val="7FB95174"/>
    <w:rsid w:val="7FBD9ECC"/>
    <w:rsid w:val="7FDB38B2"/>
    <w:rsid w:val="7FE2F4C7"/>
    <w:rsid w:val="7FED8316"/>
    <w:rsid w:val="7FFD68BA"/>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14:docId w14:val="0A4964E3"/>
  <w15:docId w15:val="{8E180131-52E0-4ABF-80E3-A16D33C47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unhideWhenUsed="1" w:qFormat="1"/>
    <w:lsdException w:name="heading 3" w:locked="1" w:uiPriority="9" w:unhideWhenUsed="1" w:qFormat="1"/>
    <w:lsdException w:name="heading 4" w:locked="1" w:uiPriority="9" w:unhideWhenUsed="1" w:qFormat="1"/>
    <w:lsdException w:name="heading 5" w:locked="1"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locked="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unhideWhenUsed="1"/>
    <w:lsdException w:name="Body Text" w:locked="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qFormat="1"/>
    <w:lsdException w:name="Subtle Reference" w:uiPriority="31"/>
    <w:lsdException w:name="Intense Reference" w:uiPriority="32"/>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D3F83"/>
    <w:pPr>
      <w:spacing w:before="120" w:after="120"/>
      <w:jc w:val="both"/>
    </w:pPr>
    <w:rPr>
      <w:sz w:val="22"/>
      <w:szCs w:val="22"/>
      <w:lang w:eastAsia="en-US"/>
    </w:rPr>
  </w:style>
  <w:style w:type="paragraph" w:styleId="Nagwek1">
    <w:name w:val="heading 1"/>
    <w:basedOn w:val="Normalny"/>
    <w:next w:val="Normalny"/>
    <w:link w:val="Nagwek1Znak"/>
    <w:autoRedefine/>
    <w:uiPriority w:val="9"/>
    <w:qFormat/>
    <w:rsid w:val="00C308BE"/>
    <w:pPr>
      <w:keepNext/>
      <w:numPr>
        <w:numId w:val="134"/>
      </w:numPr>
      <w:tabs>
        <w:tab w:val="left" w:pos="1134"/>
      </w:tabs>
      <w:suppressAutoHyphens/>
      <w:spacing w:before="240"/>
      <w:jc w:val="left"/>
      <w:outlineLvl w:val="0"/>
    </w:pPr>
    <w:rPr>
      <w:b/>
      <w:color w:val="003399"/>
      <w:sz w:val="28"/>
      <w:szCs w:val="28"/>
    </w:rPr>
  </w:style>
  <w:style w:type="paragraph" w:styleId="Nagwek2">
    <w:name w:val="heading 2"/>
    <w:basedOn w:val="Nagwek1"/>
    <w:next w:val="Normalny"/>
    <w:link w:val="Nagwek2Znak"/>
    <w:autoRedefine/>
    <w:uiPriority w:val="9"/>
    <w:qFormat/>
    <w:rsid w:val="00B50FFD"/>
    <w:pPr>
      <w:numPr>
        <w:ilvl w:val="1"/>
      </w:numPr>
      <w:ind w:left="1134" w:hanging="1143"/>
      <w:outlineLvl w:val="1"/>
    </w:pPr>
  </w:style>
  <w:style w:type="paragraph" w:styleId="Nagwek3">
    <w:name w:val="heading 3"/>
    <w:basedOn w:val="Nagwek2"/>
    <w:next w:val="Normalny"/>
    <w:link w:val="Nagwek3Znak"/>
    <w:autoRedefine/>
    <w:uiPriority w:val="9"/>
    <w:qFormat/>
    <w:rsid w:val="00B50FFD"/>
    <w:pPr>
      <w:numPr>
        <w:ilvl w:val="2"/>
      </w:numPr>
      <w:ind w:left="1134" w:hanging="1134"/>
      <w:outlineLvl w:val="2"/>
    </w:pPr>
    <w:rPr>
      <w:rFonts w:asciiTheme="minorHAnsi" w:hAnsiTheme="minorHAnsi" w:cstheme="minorHAnsi"/>
      <w:sz w:val="24"/>
      <w:szCs w:val="22"/>
    </w:rPr>
  </w:style>
  <w:style w:type="paragraph" w:styleId="Nagwek4">
    <w:name w:val="heading 4"/>
    <w:basedOn w:val="Normalny"/>
    <w:next w:val="Normalny"/>
    <w:link w:val="Nagwek4Znak"/>
    <w:uiPriority w:val="9"/>
    <w:qFormat/>
    <w:rsid w:val="00B50FFD"/>
    <w:pPr>
      <w:keepNext/>
      <w:numPr>
        <w:ilvl w:val="3"/>
        <w:numId w:val="135"/>
      </w:numPr>
      <w:tabs>
        <w:tab w:val="left" w:pos="1134"/>
      </w:tabs>
      <w:suppressAutoHyphens/>
      <w:jc w:val="left"/>
      <w:outlineLvl w:val="3"/>
    </w:pPr>
    <w:rPr>
      <w:b/>
      <w:bCs/>
      <w:color w:val="003399"/>
    </w:rPr>
  </w:style>
  <w:style w:type="paragraph" w:styleId="Nagwek5">
    <w:name w:val="heading 5"/>
    <w:basedOn w:val="Normalny"/>
    <w:next w:val="Normalny"/>
    <w:link w:val="Nagwek5Znak"/>
    <w:uiPriority w:val="99"/>
    <w:qFormat/>
    <w:rsid w:val="00AA0CAB"/>
    <w:pPr>
      <w:keepNext/>
      <w:suppressAutoHyphens/>
      <w:outlineLvl w:val="4"/>
    </w:pPr>
    <w:rPr>
      <w:b/>
      <w:bCs/>
    </w:rPr>
  </w:style>
  <w:style w:type="paragraph" w:styleId="Nagwek6">
    <w:name w:val="heading 6"/>
    <w:basedOn w:val="Normalny"/>
    <w:next w:val="Normalny"/>
    <w:link w:val="Nagwek6Znak"/>
    <w:uiPriority w:val="9"/>
    <w:unhideWhenUsed/>
    <w:qFormat/>
    <w:locked/>
    <w:rsid w:val="0082042D"/>
    <w:pPr>
      <w:keepNext/>
      <w:keepLines/>
      <w:numPr>
        <w:ilvl w:val="5"/>
        <w:numId w:val="135"/>
      </w:numPr>
      <w:spacing w:before="40" w:after="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nhideWhenUsed/>
    <w:qFormat/>
    <w:locked/>
    <w:rsid w:val="0082042D"/>
    <w:pPr>
      <w:keepNext/>
      <w:keepLines/>
      <w:numPr>
        <w:ilvl w:val="6"/>
        <w:numId w:val="135"/>
      </w:numPr>
      <w:spacing w:before="40" w:after="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locked/>
    <w:rsid w:val="0082042D"/>
    <w:pPr>
      <w:keepNext/>
      <w:keepLines/>
      <w:numPr>
        <w:ilvl w:val="7"/>
        <w:numId w:val="135"/>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locked/>
    <w:rsid w:val="0082042D"/>
    <w:pPr>
      <w:keepNext/>
      <w:keepLines/>
      <w:numPr>
        <w:ilvl w:val="8"/>
        <w:numId w:val="13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C308BE"/>
    <w:rPr>
      <w:b/>
      <w:color w:val="003399"/>
      <w:sz w:val="28"/>
      <w:szCs w:val="28"/>
      <w:lang w:eastAsia="en-US"/>
    </w:rPr>
  </w:style>
  <w:style w:type="character" w:customStyle="1" w:styleId="Nagwek2Znak">
    <w:name w:val="Nagłówek 2 Znak"/>
    <w:link w:val="Nagwek2"/>
    <w:uiPriority w:val="9"/>
    <w:locked/>
    <w:rsid w:val="00B50FFD"/>
    <w:rPr>
      <w:b/>
      <w:color w:val="003399"/>
      <w:sz w:val="28"/>
      <w:szCs w:val="28"/>
      <w:lang w:eastAsia="en-US"/>
    </w:rPr>
  </w:style>
  <w:style w:type="character" w:customStyle="1" w:styleId="Nagwek3Znak">
    <w:name w:val="Nagłówek 3 Znak"/>
    <w:link w:val="Nagwek3"/>
    <w:uiPriority w:val="9"/>
    <w:locked/>
    <w:rsid w:val="00B50FFD"/>
    <w:rPr>
      <w:rFonts w:asciiTheme="minorHAnsi" w:hAnsiTheme="minorHAnsi" w:cstheme="minorHAnsi"/>
      <w:b/>
      <w:color w:val="003399"/>
      <w:sz w:val="24"/>
      <w:szCs w:val="22"/>
      <w:lang w:eastAsia="en-US"/>
    </w:rPr>
  </w:style>
  <w:style w:type="character" w:customStyle="1" w:styleId="Nagwek4Znak">
    <w:name w:val="Nagłówek 4 Znak"/>
    <w:link w:val="Nagwek4"/>
    <w:uiPriority w:val="9"/>
    <w:locked/>
    <w:rsid w:val="00B50FFD"/>
    <w:rPr>
      <w:b/>
      <w:bCs/>
      <w:color w:val="003399"/>
      <w:sz w:val="22"/>
      <w:szCs w:val="22"/>
      <w:lang w:eastAsia="en-US"/>
    </w:rPr>
  </w:style>
  <w:style w:type="character" w:customStyle="1" w:styleId="Nagwek5Znak">
    <w:name w:val="Nagłówek 5 Znak"/>
    <w:link w:val="Nagwek5"/>
    <w:uiPriority w:val="99"/>
    <w:locked/>
    <w:rsid w:val="00AA0CAB"/>
    <w:rPr>
      <w:b/>
      <w:bCs/>
      <w:sz w:val="22"/>
      <w:szCs w:val="22"/>
      <w:lang w:eastAsia="en-US"/>
    </w:rPr>
  </w:style>
  <w:style w:type="paragraph" w:styleId="Akapitzlist">
    <w:name w:val="List Paragraph"/>
    <w:aliases w:val="WYPUNKTOWANIE Akapit z listą,List_Paragraph,Multilevel para_II,List Paragraph1,Akapit z listą BS,Bullet1,Bullets,List Paragraph 1,References,List Paragraph (numbered (a)),IBL List Paragraph,List Paragraph nowy,Numbered List Paragraph,L1"/>
    <w:basedOn w:val="Normalny"/>
    <w:link w:val="AkapitzlistZnak"/>
    <w:uiPriority w:val="99"/>
    <w:qFormat/>
    <w:rsid w:val="00F06393"/>
    <w:pPr>
      <w:numPr>
        <w:numId w:val="8"/>
      </w:numPr>
      <w:ind w:left="567"/>
    </w:pPr>
  </w:style>
  <w:style w:type="character" w:customStyle="1" w:styleId="AkapitzlistZnak">
    <w:name w:val="Akapit z listą Znak"/>
    <w:aliases w:val="WYPUNKTOWANIE Akapit z listą Znak,List_Paragraph Znak,Multilevel para_II Znak,List Paragraph1 Znak,Akapit z listą BS Znak,Bullet1 Znak,Bullets Znak,List Paragraph 1 Znak,References Znak,List Paragraph (numbered (a)) Znak,L1 Znak"/>
    <w:link w:val="Akapitzlist"/>
    <w:uiPriority w:val="99"/>
    <w:qFormat/>
    <w:locked/>
    <w:rsid w:val="00F06393"/>
    <w:rPr>
      <w:sz w:val="22"/>
      <w:szCs w:val="22"/>
      <w:lang w:eastAsia="en-US"/>
    </w:rPr>
  </w:style>
  <w:style w:type="paragraph" w:styleId="Nagwekspisutreci">
    <w:name w:val="TOC Heading"/>
    <w:basedOn w:val="Nagwek1"/>
    <w:next w:val="Normalny"/>
    <w:uiPriority w:val="99"/>
    <w:qFormat/>
    <w:rsid w:val="00A46C03"/>
    <w:pPr>
      <w:keepLines/>
      <w:spacing w:after="0" w:line="259" w:lineRule="auto"/>
      <w:ind w:left="0" w:firstLine="0"/>
      <w:outlineLvl w:val="9"/>
    </w:pPr>
    <w:rPr>
      <w:rFonts w:eastAsia="Times New Roman" w:cs="Calibri"/>
      <w:b w:val="0"/>
      <w:color w:val="2F5496"/>
      <w:lang w:eastAsia="pl-PL"/>
    </w:rPr>
  </w:style>
  <w:style w:type="paragraph" w:styleId="Spistreci1">
    <w:name w:val="toc 1"/>
    <w:basedOn w:val="Normalny"/>
    <w:next w:val="Normalny"/>
    <w:autoRedefine/>
    <w:uiPriority w:val="39"/>
    <w:rsid w:val="0007186D"/>
    <w:pPr>
      <w:tabs>
        <w:tab w:val="left" w:pos="567"/>
        <w:tab w:val="right" w:leader="dot" w:pos="9062"/>
      </w:tabs>
      <w:ind w:left="567" w:hanging="567"/>
    </w:pPr>
    <w:rPr>
      <w:b/>
      <w:smallCaps/>
      <w:noProof/>
      <w:sz w:val="18"/>
      <w:szCs w:val="20"/>
    </w:rPr>
  </w:style>
  <w:style w:type="paragraph" w:styleId="Spistreci2">
    <w:name w:val="toc 2"/>
    <w:basedOn w:val="Normalny"/>
    <w:next w:val="Normalny"/>
    <w:autoRedefine/>
    <w:uiPriority w:val="39"/>
    <w:rsid w:val="003D1FCE"/>
    <w:pPr>
      <w:tabs>
        <w:tab w:val="left" w:pos="851"/>
        <w:tab w:val="right" w:leader="dot" w:pos="9062"/>
      </w:tabs>
      <w:ind w:left="851" w:hanging="567"/>
    </w:pPr>
    <w:rPr>
      <w:noProof/>
      <w:sz w:val="18"/>
      <w:szCs w:val="20"/>
    </w:rPr>
  </w:style>
  <w:style w:type="paragraph" w:styleId="Spistreci3">
    <w:name w:val="toc 3"/>
    <w:basedOn w:val="Normalny"/>
    <w:next w:val="Normalny"/>
    <w:autoRedefine/>
    <w:uiPriority w:val="39"/>
    <w:rsid w:val="0007186D"/>
    <w:pPr>
      <w:tabs>
        <w:tab w:val="left" w:pos="1276"/>
        <w:tab w:val="right" w:leader="dot" w:pos="9062"/>
      </w:tabs>
      <w:ind w:left="1276" w:hanging="709"/>
      <w:contextualSpacing/>
    </w:pPr>
    <w:rPr>
      <w:i/>
      <w:noProof/>
      <w:sz w:val="18"/>
      <w:szCs w:val="20"/>
    </w:rPr>
  </w:style>
  <w:style w:type="character" w:styleId="Hipercze">
    <w:name w:val="Hyperlink"/>
    <w:uiPriority w:val="99"/>
    <w:rsid w:val="007E433F"/>
    <w:rPr>
      <w:rFonts w:cs="Times New Roman"/>
      <w:color w:val="0563C1"/>
      <w:u w:val="single"/>
    </w:rPr>
  </w:style>
  <w:style w:type="paragraph" w:styleId="Nagwek">
    <w:name w:val="header"/>
    <w:basedOn w:val="Normalny"/>
    <w:link w:val="NagwekZnak"/>
    <w:uiPriority w:val="99"/>
    <w:rsid w:val="00922729"/>
    <w:pPr>
      <w:tabs>
        <w:tab w:val="center" w:pos="4536"/>
        <w:tab w:val="right" w:pos="9072"/>
      </w:tabs>
    </w:pPr>
  </w:style>
  <w:style w:type="character" w:customStyle="1" w:styleId="NagwekZnak">
    <w:name w:val="Nagłówek Znak"/>
    <w:link w:val="Nagwek"/>
    <w:uiPriority w:val="99"/>
    <w:locked/>
    <w:rsid w:val="00922729"/>
    <w:rPr>
      <w:sz w:val="22"/>
      <w:lang w:eastAsia="en-US"/>
    </w:rPr>
  </w:style>
  <w:style w:type="paragraph" w:styleId="Listapunktowana">
    <w:name w:val="List Bullet"/>
    <w:basedOn w:val="Normalny"/>
    <w:uiPriority w:val="99"/>
    <w:rsid w:val="00E75EDE"/>
    <w:pPr>
      <w:numPr>
        <w:numId w:val="1"/>
      </w:numPr>
      <w:contextualSpacing/>
    </w:pPr>
  </w:style>
  <w:style w:type="paragraph" w:customStyle="1" w:styleId="Punktowanie">
    <w:name w:val="Punktowanie"/>
    <w:basedOn w:val="Akapitzlist"/>
    <w:link w:val="PunktowanieZnak"/>
    <w:uiPriority w:val="99"/>
    <w:rsid w:val="00F64DB0"/>
    <w:pPr>
      <w:ind w:left="0"/>
    </w:pPr>
  </w:style>
  <w:style w:type="character" w:customStyle="1" w:styleId="PunktowanieZnak">
    <w:name w:val="Punktowanie Znak"/>
    <w:link w:val="Punktowanie"/>
    <w:uiPriority w:val="99"/>
    <w:locked/>
    <w:rsid w:val="00F64DB0"/>
    <w:rPr>
      <w:sz w:val="22"/>
      <w:szCs w:val="22"/>
      <w:lang w:eastAsia="en-US"/>
    </w:rPr>
  </w:style>
  <w:style w:type="table" w:styleId="Tabela-Siatka">
    <w:name w:val="Table Grid"/>
    <w:basedOn w:val="Standardowy"/>
    <w:uiPriority w:val="39"/>
    <w:rsid w:val="00F64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Tabela/Rysunek,TABELA,Legend,rysunek,Podpis nad obiektem,Legenda Znak Znak Znak,Legenda Znak Znak,Legenda Znak Znak Znak Znak,Legenda Znak Znak Znak Znak Znak Znak,Legenda Znak Znak Znak Znak Znak Znak Znak"/>
    <w:basedOn w:val="Normalny"/>
    <w:next w:val="Normalny"/>
    <w:link w:val="LegendaZnak"/>
    <w:autoRedefine/>
    <w:uiPriority w:val="35"/>
    <w:qFormat/>
    <w:rsid w:val="006802BB"/>
    <w:pPr>
      <w:keepNext/>
      <w:spacing w:before="40" w:after="0"/>
      <w:ind w:left="1276" w:hanging="1276"/>
      <w:jc w:val="left"/>
    </w:pPr>
    <w:rPr>
      <w:b/>
      <w:bCs/>
      <w:sz w:val="20"/>
    </w:rPr>
  </w:style>
  <w:style w:type="character" w:customStyle="1" w:styleId="LegendaZnak">
    <w:name w:val="Legenda Znak"/>
    <w:aliases w:val="Tabela/Rysunek Znak,TABELA Znak,Legend Znak,rysunek Znak,Podpis nad obiektem Znak,Legenda Znak Znak Znak Znak1,Legenda Znak Znak Znak1,Legenda Znak Znak Znak Znak Znak,Legenda Znak Znak Znak Znak Znak Znak Znak1"/>
    <w:link w:val="Legenda"/>
    <w:uiPriority w:val="35"/>
    <w:locked/>
    <w:rsid w:val="006802BB"/>
    <w:rPr>
      <w:b/>
      <w:bCs/>
      <w:szCs w:val="22"/>
      <w:lang w:eastAsia="en-US"/>
    </w:rPr>
  </w:style>
  <w:style w:type="paragraph" w:styleId="Tekstprzypisudolnego">
    <w:name w:val="footnote text"/>
    <w:aliases w:val="Podrozdział"/>
    <w:basedOn w:val="Normalny"/>
    <w:link w:val="TekstprzypisudolnegoZnak"/>
    <w:qFormat/>
    <w:rsid w:val="00A377DE"/>
    <w:rPr>
      <w:sz w:val="20"/>
      <w:szCs w:val="20"/>
    </w:rPr>
  </w:style>
  <w:style w:type="character" w:customStyle="1" w:styleId="TekstprzypisudolnegoZnak">
    <w:name w:val="Tekst przypisu dolnego Znak"/>
    <w:aliases w:val="Podrozdział Znak"/>
    <w:link w:val="Tekstprzypisudolnego"/>
    <w:uiPriority w:val="99"/>
    <w:locked/>
    <w:rsid w:val="00A377DE"/>
    <w:rPr>
      <w:lang w:eastAsia="en-US"/>
    </w:rPr>
  </w:style>
  <w:style w:type="character" w:styleId="Odwoanieprzypisudolnego">
    <w:name w:val="footnote reference"/>
    <w:aliases w:val="Odwołanie przypisu,EN Footnote Reference,Times 10 Point,Exposant 3 Point,Footnote symbol,Footnote reference number,note TESI,stylish,Footnote Reference Number"/>
    <w:qFormat/>
    <w:rsid w:val="00A377DE"/>
    <w:rPr>
      <w:rFonts w:cs="Times New Roman"/>
      <w:vertAlign w:val="superscript"/>
    </w:rPr>
  </w:style>
  <w:style w:type="paragraph" w:customStyle="1" w:styleId="Przypisdolny">
    <w:name w:val="Przypis dolny"/>
    <w:basedOn w:val="Tekstprzypisudolnego"/>
    <w:link w:val="PrzypisdolnyZnak"/>
    <w:uiPriority w:val="99"/>
    <w:rsid w:val="00A377DE"/>
    <w:rPr>
      <w:sz w:val="18"/>
    </w:rPr>
  </w:style>
  <w:style w:type="character" w:customStyle="1" w:styleId="PrzypisdolnyZnak">
    <w:name w:val="Przypis dolny Znak"/>
    <w:link w:val="Przypisdolny"/>
    <w:uiPriority w:val="99"/>
    <w:locked/>
    <w:rsid w:val="00A377DE"/>
    <w:rPr>
      <w:sz w:val="18"/>
      <w:lang w:eastAsia="en-US"/>
    </w:rPr>
  </w:style>
  <w:style w:type="paragraph" w:customStyle="1" w:styleId="Teksttabelilewy">
    <w:name w:val="Tekst tabeli lewy"/>
    <w:basedOn w:val="Normalny"/>
    <w:link w:val="TeksttabelilewyZnak"/>
    <w:uiPriority w:val="99"/>
    <w:qFormat/>
    <w:rsid w:val="008908BC"/>
    <w:pPr>
      <w:spacing w:before="0" w:after="0"/>
    </w:pPr>
    <w:rPr>
      <w:sz w:val="20"/>
    </w:rPr>
  </w:style>
  <w:style w:type="paragraph" w:customStyle="1" w:styleId="Teksttabeliprawy">
    <w:name w:val="Tekst tabeli prawy"/>
    <w:basedOn w:val="Normalny"/>
    <w:link w:val="TeksttabeliprawyZnak"/>
    <w:autoRedefine/>
    <w:uiPriority w:val="99"/>
    <w:qFormat/>
    <w:rsid w:val="00EB6AF9"/>
    <w:pPr>
      <w:spacing w:before="40"/>
      <w:jc w:val="right"/>
    </w:pPr>
    <w:rPr>
      <w:i/>
      <w:color w:val="003399"/>
      <w:sz w:val="20"/>
      <w:szCs w:val="20"/>
      <w:lang w:eastAsia="zh-CN"/>
    </w:rPr>
  </w:style>
  <w:style w:type="paragraph" w:customStyle="1" w:styleId="Teksttabelisrodek">
    <w:name w:val="Tekst tabeli srodek"/>
    <w:basedOn w:val="Teksttabeliprawy"/>
    <w:rsid w:val="006E5F79"/>
    <w:pPr>
      <w:ind w:left="283"/>
      <w:jc w:val="center"/>
    </w:pPr>
    <w:rPr>
      <w:i w:val="0"/>
      <w:iCs/>
      <w:color w:val="auto"/>
    </w:rPr>
  </w:style>
  <w:style w:type="paragraph" w:customStyle="1" w:styleId="Teksttabelinaglowek">
    <w:name w:val="Tekst tabeli naglowek"/>
    <w:basedOn w:val="Normalny"/>
    <w:rsid w:val="001D39BC"/>
    <w:pPr>
      <w:spacing w:before="0" w:after="0"/>
      <w:jc w:val="center"/>
    </w:pPr>
    <w:rPr>
      <w:b/>
      <w:sz w:val="20"/>
      <w:szCs w:val="20"/>
    </w:rPr>
  </w:style>
  <w:style w:type="paragraph" w:styleId="Listapunktowana2">
    <w:name w:val="List Bullet 2"/>
    <w:basedOn w:val="Normalny"/>
    <w:uiPriority w:val="99"/>
    <w:rsid w:val="00B04FB1"/>
    <w:pPr>
      <w:tabs>
        <w:tab w:val="left" w:pos="567"/>
      </w:tabs>
      <w:ind w:left="567" w:hanging="284"/>
      <w:contextualSpacing/>
    </w:pPr>
  </w:style>
  <w:style w:type="paragraph" w:styleId="Listapunktowana3">
    <w:name w:val="List Bullet 3"/>
    <w:basedOn w:val="Normalny"/>
    <w:uiPriority w:val="99"/>
    <w:rsid w:val="00FD5A75"/>
    <w:pPr>
      <w:tabs>
        <w:tab w:val="left" w:pos="851"/>
      </w:tabs>
      <w:ind w:left="851" w:hanging="284"/>
      <w:contextualSpacing/>
    </w:pPr>
    <w:rPr>
      <w:szCs w:val="18"/>
    </w:rPr>
  </w:style>
  <w:style w:type="paragraph" w:styleId="Tekstkomentarza">
    <w:name w:val="annotation text"/>
    <w:basedOn w:val="Normalny"/>
    <w:link w:val="TekstkomentarzaZnak"/>
    <w:uiPriority w:val="99"/>
    <w:rsid w:val="00FA6971"/>
    <w:pPr>
      <w:spacing w:before="0" w:after="160"/>
      <w:jc w:val="left"/>
    </w:pPr>
    <w:rPr>
      <w:sz w:val="20"/>
      <w:szCs w:val="20"/>
    </w:rPr>
  </w:style>
  <w:style w:type="character" w:customStyle="1" w:styleId="TekstkomentarzaZnak">
    <w:name w:val="Tekst komentarza Znak"/>
    <w:link w:val="Tekstkomentarza"/>
    <w:uiPriority w:val="99"/>
    <w:locked/>
    <w:rsid w:val="00FA6971"/>
    <w:rPr>
      <w:lang w:eastAsia="en-US"/>
    </w:rPr>
  </w:style>
  <w:style w:type="paragraph" w:styleId="Tematkomentarza">
    <w:name w:val="annotation subject"/>
    <w:basedOn w:val="Tekstkomentarza"/>
    <w:next w:val="Tekstkomentarza"/>
    <w:link w:val="TematkomentarzaZnak"/>
    <w:uiPriority w:val="99"/>
    <w:rsid w:val="00363D79"/>
    <w:pPr>
      <w:spacing w:before="120" w:after="120"/>
      <w:jc w:val="both"/>
    </w:pPr>
    <w:rPr>
      <w:b/>
      <w:bCs/>
    </w:rPr>
  </w:style>
  <w:style w:type="character" w:customStyle="1" w:styleId="TematkomentarzaZnak">
    <w:name w:val="Temat komentarza Znak"/>
    <w:link w:val="Tematkomentarza"/>
    <w:uiPriority w:val="99"/>
    <w:locked/>
    <w:rsid w:val="00363D79"/>
    <w:rPr>
      <w:b/>
      <w:lang w:eastAsia="en-US"/>
    </w:rPr>
  </w:style>
  <w:style w:type="paragraph" w:styleId="Stopka">
    <w:name w:val="footer"/>
    <w:aliases w:val="stand"/>
    <w:basedOn w:val="Normalny"/>
    <w:link w:val="StopkaZnak"/>
    <w:uiPriority w:val="99"/>
    <w:rsid w:val="00E35770"/>
    <w:pPr>
      <w:pBdr>
        <w:top w:val="single" w:sz="4" w:space="1" w:color="auto"/>
      </w:pBdr>
      <w:tabs>
        <w:tab w:val="center" w:pos="4536"/>
        <w:tab w:val="right" w:pos="9072"/>
      </w:tabs>
      <w:jc w:val="center"/>
    </w:pPr>
    <w:rPr>
      <w:sz w:val="18"/>
      <w:szCs w:val="18"/>
    </w:rPr>
  </w:style>
  <w:style w:type="character" w:customStyle="1" w:styleId="StopkaZnak">
    <w:name w:val="Stopka Znak"/>
    <w:aliases w:val="stand Znak"/>
    <w:link w:val="Stopka"/>
    <w:uiPriority w:val="99"/>
    <w:locked/>
    <w:rsid w:val="00E35770"/>
    <w:rPr>
      <w:sz w:val="18"/>
      <w:lang w:eastAsia="en-US"/>
    </w:rPr>
  </w:style>
  <w:style w:type="paragraph" w:customStyle="1" w:styleId="Nagwekstrony">
    <w:name w:val="Nagłówek strony"/>
    <w:basedOn w:val="Tytu"/>
    <w:uiPriority w:val="99"/>
    <w:rsid w:val="002A6D85"/>
    <w:pPr>
      <w:pBdr>
        <w:bottom w:val="single" w:sz="4" w:space="1" w:color="003399"/>
      </w:pBdr>
      <w:spacing w:before="0" w:after="0"/>
    </w:pPr>
    <w:rPr>
      <w:b w:val="0"/>
      <w:bCs/>
      <w:spacing w:val="-10"/>
      <w:sz w:val="14"/>
      <w:szCs w:val="14"/>
    </w:rPr>
  </w:style>
  <w:style w:type="paragraph" w:styleId="Tytu">
    <w:name w:val="Title"/>
    <w:basedOn w:val="Normalny"/>
    <w:next w:val="Normalny"/>
    <w:link w:val="TytuZnak"/>
    <w:uiPriority w:val="99"/>
    <w:qFormat/>
    <w:rsid w:val="001730AE"/>
    <w:pPr>
      <w:keepNext/>
      <w:suppressAutoHyphens/>
      <w:spacing w:before="240"/>
      <w:jc w:val="left"/>
    </w:pPr>
    <w:rPr>
      <w:b/>
      <w:color w:val="003399"/>
      <w:sz w:val="28"/>
      <w:szCs w:val="28"/>
    </w:rPr>
  </w:style>
  <w:style w:type="character" w:customStyle="1" w:styleId="TytuZnak">
    <w:name w:val="Tytuł Znak"/>
    <w:link w:val="Tytu"/>
    <w:uiPriority w:val="99"/>
    <w:locked/>
    <w:rsid w:val="00A565BC"/>
    <w:rPr>
      <w:b/>
      <w:color w:val="003399"/>
      <w:sz w:val="28"/>
      <w:szCs w:val="28"/>
      <w:lang w:eastAsia="en-US"/>
    </w:rPr>
  </w:style>
  <w:style w:type="paragraph" w:styleId="Spisilustracji">
    <w:name w:val="table of figures"/>
    <w:basedOn w:val="Normalny"/>
    <w:next w:val="Normalny"/>
    <w:uiPriority w:val="99"/>
    <w:rsid w:val="00A95F09"/>
    <w:pPr>
      <w:tabs>
        <w:tab w:val="left" w:pos="1134"/>
        <w:tab w:val="right" w:leader="dot" w:pos="9072"/>
      </w:tabs>
      <w:spacing w:before="40" w:after="40"/>
      <w:ind w:left="1134" w:hanging="1134"/>
    </w:pPr>
    <w:rPr>
      <w:sz w:val="18"/>
    </w:rPr>
  </w:style>
  <w:style w:type="character" w:styleId="Tytuksiki">
    <w:name w:val="Book Title"/>
    <w:uiPriority w:val="99"/>
    <w:qFormat/>
    <w:rsid w:val="00DF7789"/>
    <w:rPr>
      <w:b/>
      <w:color w:val="2F5496"/>
      <w:sz w:val="28"/>
    </w:rPr>
  </w:style>
  <w:style w:type="character" w:styleId="Odwoaniedokomentarza">
    <w:name w:val="annotation reference"/>
    <w:uiPriority w:val="99"/>
    <w:rsid w:val="00FA6971"/>
    <w:rPr>
      <w:rFonts w:cs="Times New Roman"/>
      <w:sz w:val="16"/>
    </w:rPr>
  </w:style>
  <w:style w:type="paragraph" w:styleId="Tekstdymka">
    <w:name w:val="Balloon Text"/>
    <w:basedOn w:val="Normalny"/>
    <w:link w:val="TekstdymkaZnak"/>
    <w:uiPriority w:val="99"/>
    <w:rsid w:val="00FA6971"/>
    <w:pPr>
      <w:spacing w:before="0" w:after="0"/>
    </w:pPr>
    <w:rPr>
      <w:rFonts w:ascii="Segoe UI" w:hAnsi="Segoe UI"/>
      <w:sz w:val="18"/>
      <w:szCs w:val="18"/>
    </w:rPr>
  </w:style>
  <w:style w:type="character" w:customStyle="1" w:styleId="TekstdymkaZnak">
    <w:name w:val="Tekst dymka Znak"/>
    <w:link w:val="Tekstdymka"/>
    <w:uiPriority w:val="99"/>
    <w:locked/>
    <w:rsid w:val="00FA6971"/>
    <w:rPr>
      <w:rFonts w:ascii="Segoe UI" w:hAnsi="Segoe UI"/>
      <w:sz w:val="18"/>
      <w:lang w:eastAsia="en-US"/>
    </w:rPr>
  </w:style>
  <w:style w:type="paragraph" w:styleId="Tekstpodstawowy">
    <w:name w:val="Body Text"/>
    <w:basedOn w:val="Normalny"/>
    <w:link w:val="TekstpodstawowyZnak"/>
    <w:uiPriority w:val="99"/>
    <w:rsid w:val="00B41CD9"/>
    <w:pPr>
      <w:spacing w:before="0" w:after="0" w:line="276" w:lineRule="auto"/>
    </w:pPr>
  </w:style>
  <w:style w:type="character" w:customStyle="1" w:styleId="TekstpodstawowyZnak">
    <w:name w:val="Tekst podstawowy Znak"/>
    <w:link w:val="Tekstpodstawowy"/>
    <w:uiPriority w:val="99"/>
    <w:locked/>
    <w:rsid w:val="00B41CD9"/>
    <w:rPr>
      <w:sz w:val="22"/>
      <w:lang w:eastAsia="en-US"/>
    </w:rPr>
  </w:style>
  <w:style w:type="paragraph" w:customStyle="1" w:styleId="punktory">
    <w:name w:val="punktory"/>
    <w:basedOn w:val="Tekstpodstawowy"/>
    <w:link w:val="punktoryZnak"/>
    <w:uiPriority w:val="99"/>
    <w:rsid w:val="00B41CD9"/>
    <w:pPr>
      <w:numPr>
        <w:numId w:val="3"/>
      </w:numPr>
      <w:tabs>
        <w:tab w:val="left" w:pos="567"/>
      </w:tabs>
      <w:contextualSpacing/>
    </w:pPr>
  </w:style>
  <w:style w:type="character" w:customStyle="1" w:styleId="punktoryZnak">
    <w:name w:val="punktory Znak"/>
    <w:link w:val="punktory"/>
    <w:uiPriority w:val="99"/>
    <w:locked/>
    <w:rsid w:val="00B41CD9"/>
    <w:rPr>
      <w:sz w:val="22"/>
      <w:szCs w:val="22"/>
      <w:lang w:eastAsia="en-US"/>
    </w:rPr>
  </w:style>
  <w:style w:type="paragraph" w:customStyle="1" w:styleId="OZNRODZAKTUtznustawalubrozporzdzenieiorganwydajcy">
    <w:name w:val="OZN_RODZ_AKTU – tzn. ustawa lub rozporządzenie i organ wydający"/>
    <w:next w:val="Normalny"/>
    <w:uiPriority w:val="99"/>
    <w:rsid w:val="00D23261"/>
    <w:pPr>
      <w:keepNext/>
      <w:suppressAutoHyphens/>
      <w:spacing w:after="120" w:line="360" w:lineRule="auto"/>
      <w:jc w:val="center"/>
    </w:pPr>
    <w:rPr>
      <w:rFonts w:ascii="Times" w:eastAsia="Times New Roman" w:hAnsi="Times"/>
      <w:b/>
      <w:bCs/>
      <w:caps/>
      <w:spacing w:val="54"/>
      <w:kern w:val="24"/>
      <w:sz w:val="24"/>
      <w:szCs w:val="24"/>
    </w:rPr>
  </w:style>
  <w:style w:type="paragraph" w:customStyle="1" w:styleId="paragraphscxw238505274bcx2">
    <w:name w:val="paragraph scxw238505274 bcx2"/>
    <w:basedOn w:val="Normalny"/>
    <w:uiPriority w:val="99"/>
    <w:rsid w:val="004D05AF"/>
    <w:pPr>
      <w:spacing w:before="100" w:beforeAutospacing="1" w:after="100" w:afterAutospacing="1"/>
      <w:jc w:val="left"/>
    </w:pPr>
    <w:rPr>
      <w:rFonts w:ascii="Times New Roman" w:eastAsia="Times New Roman" w:hAnsi="Times New Roman"/>
      <w:sz w:val="24"/>
      <w:szCs w:val="24"/>
      <w:lang w:eastAsia="pl-PL"/>
    </w:rPr>
  </w:style>
  <w:style w:type="paragraph" w:styleId="Listanumerowana2">
    <w:name w:val="List Number 2"/>
    <w:basedOn w:val="Normalny"/>
    <w:uiPriority w:val="99"/>
    <w:rsid w:val="00C04A6F"/>
    <w:pPr>
      <w:numPr>
        <w:numId w:val="2"/>
      </w:numPr>
      <w:contextualSpacing/>
    </w:pPr>
  </w:style>
  <w:style w:type="paragraph" w:styleId="Listanumerowana">
    <w:name w:val="List Number"/>
    <w:basedOn w:val="Normalny"/>
    <w:uiPriority w:val="99"/>
    <w:rsid w:val="0077315B"/>
    <w:pPr>
      <w:numPr>
        <w:numId w:val="5"/>
      </w:numPr>
      <w:contextualSpacing/>
    </w:pPr>
    <w:rPr>
      <w:b/>
    </w:rPr>
  </w:style>
  <w:style w:type="character" w:customStyle="1" w:styleId="spellingerrorscxw238505274bcx2">
    <w:name w:val="spellingerror scxw238505274 bcx2"/>
    <w:uiPriority w:val="99"/>
    <w:rsid w:val="004D05AF"/>
    <w:rPr>
      <w:rFonts w:cs="Times New Roman"/>
    </w:rPr>
  </w:style>
  <w:style w:type="paragraph" w:customStyle="1" w:styleId="Bullet1">
    <w:name w:val="~Bullet1"/>
    <w:basedOn w:val="Tekstpodstawowy"/>
    <w:uiPriority w:val="99"/>
    <w:qFormat/>
    <w:rsid w:val="004D05AF"/>
    <w:pPr>
      <w:numPr>
        <w:numId w:val="4"/>
      </w:numPr>
      <w:tabs>
        <w:tab w:val="left" w:pos="284"/>
      </w:tabs>
    </w:pPr>
    <w:rPr>
      <w:rFonts w:eastAsia="Times New Roman"/>
    </w:rPr>
  </w:style>
  <w:style w:type="character" w:customStyle="1" w:styleId="eop">
    <w:name w:val="eop"/>
    <w:rsid w:val="004D05AF"/>
  </w:style>
  <w:style w:type="character" w:customStyle="1" w:styleId="spellingerror">
    <w:name w:val="spellingerror"/>
    <w:uiPriority w:val="99"/>
    <w:rsid w:val="004D05AF"/>
  </w:style>
  <w:style w:type="character" w:styleId="Pogrubienie">
    <w:name w:val="Strong"/>
    <w:uiPriority w:val="99"/>
    <w:qFormat/>
    <w:rsid w:val="00C73C9B"/>
    <w:rPr>
      <w:rFonts w:asciiTheme="minorHAnsi" w:hAnsiTheme="minorHAnsi"/>
      <w:b/>
    </w:rPr>
  </w:style>
  <w:style w:type="paragraph" w:styleId="Tekstprzypisukocowego">
    <w:name w:val="endnote text"/>
    <w:basedOn w:val="Normalny"/>
    <w:link w:val="TekstprzypisukocowegoZnak"/>
    <w:uiPriority w:val="99"/>
    <w:rsid w:val="00914B3D"/>
    <w:rPr>
      <w:sz w:val="20"/>
      <w:szCs w:val="20"/>
    </w:rPr>
  </w:style>
  <w:style w:type="character" w:customStyle="1" w:styleId="TekstprzypisukocowegoZnak">
    <w:name w:val="Tekst przypisu końcowego Znak"/>
    <w:link w:val="Tekstprzypisukocowego"/>
    <w:uiPriority w:val="99"/>
    <w:locked/>
    <w:rsid w:val="00914B3D"/>
    <w:rPr>
      <w:lang w:eastAsia="en-US"/>
    </w:rPr>
  </w:style>
  <w:style w:type="character" w:styleId="Odwoanieprzypisukocowego">
    <w:name w:val="endnote reference"/>
    <w:uiPriority w:val="99"/>
    <w:rsid w:val="00914B3D"/>
    <w:rPr>
      <w:rFonts w:cs="Times New Roman"/>
      <w:vertAlign w:val="superscript"/>
    </w:rPr>
  </w:style>
  <w:style w:type="paragraph" w:styleId="Poprawka">
    <w:name w:val="Revision"/>
    <w:hidden/>
    <w:uiPriority w:val="99"/>
    <w:semiHidden/>
    <w:rsid w:val="00082CC0"/>
    <w:rPr>
      <w:sz w:val="22"/>
      <w:szCs w:val="22"/>
      <w:lang w:eastAsia="en-US"/>
    </w:rPr>
  </w:style>
  <w:style w:type="character" w:customStyle="1" w:styleId="Nierozpoznanawzmianka1">
    <w:name w:val="Nierozpoznana wzmianka1"/>
    <w:uiPriority w:val="99"/>
    <w:rsid w:val="00960E1A"/>
    <w:rPr>
      <w:rFonts w:cs="Times New Roman"/>
      <w:color w:val="605E5C"/>
      <w:shd w:val="clear" w:color="auto" w:fill="E1DFDD"/>
    </w:rPr>
  </w:style>
  <w:style w:type="character" w:customStyle="1" w:styleId="Wzmianka1">
    <w:name w:val="Wzmianka1"/>
    <w:uiPriority w:val="99"/>
    <w:rsid w:val="00960E1A"/>
    <w:rPr>
      <w:rFonts w:cs="Times New Roman"/>
      <w:color w:val="2B579A"/>
      <w:shd w:val="clear" w:color="auto" w:fill="E1DFDD"/>
    </w:rPr>
  </w:style>
  <w:style w:type="character" w:customStyle="1" w:styleId="normaltextrun">
    <w:name w:val="normaltextrun"/>
    <w:rsid w:val="00EB4BEF"/>
    <w:rPr>
      <w:rFonts w:cs="Times New Roman"/>
    </w:rPr>
  </w:style>
  <w:style w:type="paragraph" w:customStyle="1" w:styleId="paragraph">
    <w:name w:val="paragraph"/>
    <w:basedOn w:val="Normalny"/>
    <w:rsid w:val="00AC2A26"/>
    <w:pPr>
      <w:spacing w:before="100" w:beforeAutospacing="1" w:after="100" w:afterAutospacing="1"/>
      <w:jc w:val="left"/>
    </w:pPr>
    <w:rPr>
      <w:rFonts w:ascii="Times New Roman" w:eastAsia="Times New Roman" w:hAnsi="Times New Roman"/>
      <w:sz w:val="24"/>
      <w:szCs w:val="24"/>
      <w:lang w:eastAsia="pl-PL"/>
    </w:rPr>
  </w:style>
  <w:style w:type="character" w:customStyle="1" w:styleId="Nagwek6Znak">
    <w:name w:val="Nagłówek 6 Znak"/>
    <w:basedOn w:val="Domylnaczcionkaakapitu"/>
    <w:link w:val="Nagwek6"/>
    <w:uiPriority w:val="9"/>
    <w:rsid w:val="0082042D"/>
    <w:rPr>
      <w:rFonts w:asciiTheme="majorHAnsi" w:eastAsiaTheme="majorEastAsia" w:hAnsiTheme="majorHAnsi" w:cstheme="majorBidi"/>
      <w:color w:val="243F60" w:themeColor="accent1" w:themeShade="7F"/>
      <w:sz w:val="22"/>
      <w:szCs w:val="22"/>
      <w:lang w:eastAsia="en-US"/>
    </w:rPr>
  </w:style>
  <w:style w:type="character" w:customStyle="1" w:styleId="Nagwek7Znak">
    <w:name w:val="Nagłówek 7 Znak"/>
    <w:basedOn w:val="Domylnaczcionkaakapitu"/>
    <w:link w:val="Nagwek7"/>
    <w:rsid w:val="0082042D"/>
    <w:rPr>
      <w:rFonts w:asciiTheme="majorHAnsi" w:eastAsiaTheme="majorEastAsia" w:hAnsiTheme="majorHAnsi" w:cstheme="majorBidi"/>
      <w:i/>
      <w:iCs/>
      <w:color w:val="243F60" w:themeColor="accent1" w:themeShade="7F"/>
      <w:sz w:val="22"/>
      <w:szCs w:val="22"/>
      <w:lang w:eastAsia="en-US"/>
    </w:rPr>
  </w:style>
  <w:style w:type="character" w:customStyle="1" w:styleId="Nagwek8Znak">
    <w:name w:val="Nagłówek 8 Znak"/>
    <w:basedOn w:val="Domylnaczcionkaakapitu"/>
    <w:link w:val="Nagwek8"/>
    <w:rsid w:val="0082042D"/>
    <w:rPr>
      <w:rFonts w:asciiTheme="majorHAnsi" w:eastAsiaTheme="majorEastAsia" w:hAnsiTheme="majorHAnsi" w:cstheme="majorBidi"/>
      <w:color w:val="272727" w:themeColor="text1" w:themeTint="D8"/>
      <w:sz w:val="21"/>
      <w:szCs w:val="21"/>
      <w:lang w:eastAsia="en-US"/>
    </w:rPr>
  </w:style>
  <w:style w:type="character" w:customStyle="1" w:styleId="Nagwek9Znak">
    <w:name w:val="Nagłówek 9 Znak"/>
    <w:basedOn w:val="Domylnaczcionkaakapitu"/>
    <w:link w:val="Nagwek9"/>
    <w:rsid w:val="0082042D"/>
    <w:rPr>
      <w:rFonts w:asciiTheme="majorHAnsi" w:eastAsiaTheme="majorEastAsia" w:hAnsiTheme="majorHAnsi" w:cstheme="majorBidi"/>
      <w:i/>
      <w:iCs/>
      <w:color w:val="272727" w:themeColor="text1" w:themeTint="D8"/>
      <w:sz w:val="21"/>
      <w:szCs w:val="21"/>
      <w:lang w:eastAsia="en-US"/>
    </w:rPr>
  </w:style>
  <w:style w:type="paragraph" w:customStyle="1" w:styleId="Tytuzaacznika">
    <w:name w:val="Tytuł załacznika"/>
    <w:basedOn w:val="Nagwek2"/>
    <w:link w:val="TytuzaacznikaChar"/>
    <w:qFormat/>
    <w:rsid w:val="00B15070"/>
    <w:pPr>
      <w:numPr>
        <w:ilvl w:val="0"/>
        <w:numId w:val="0"/>
      </w:numPr>
      <w:jc w:val="right"/>
    </w:pPr>
  </w:style>
  <w:style w:type="paragraph" w:styleId="Spistreci4">
    <w:name w:val="toc 4"/>
    <w:basedOn w:val="Normalny"/>
    <w:next w:val="Normalny"/>
    <w:autoRedefine/>
    <w:uiPriority w:val="39"/>
    <w:unhideWhenUsed/>
    <w:locked/>
    <w:rsid w:val="00584651"/>
    <w:pPr>
      <w:tabs>
        <w:tab w:val="right" w:leader="dot" w:pos="9062"/>
      </w:tabs>
      <w:spacing w:after="100"/>
      <w:ind w:left="1701" w:hanging="1134"/>
    </w:pPr>
    <w:rPr>
      <w:noProof/>
    </w:rPr>
  </w:style>
  <w:style w:type="character" w:styleId="Wyrnienieintensywne">
    <w:name w:val="Intense Emphasis"/>
    <w:basedOn w:val="Domylnaczcionkaakapitu"/>
    <w:uiPriority w:val="99"/>
    <w:qFormat/>
    <w:rsid w:val="00D20527"/>
    <w:rPr>
      <w:i/>
      <w:iCs/>
      <w:color w:val="4F81BD" w:themeColor="accent1"/>
    </w:rPr>
  </w:style>
  <w:style w:type="paragraph" w:customStyle="1" w:styleId="Default">
    <w:name w:val="Default"/>
    <w:rsid w:val="0062762E"/>
    <w:pPr>
      <w:autoSpaceDE w:val="0"/>
      <w:autoSpaceDN w:val="0"/>
      <w:adjustRightInd w:val="0"/>
    </w:pPr>
    <w:rPr>
      <w:rFonts w:ascii="Times New Roman" w:eastAsiaTheme="minorHAnsi" w:hAnsi="Times New Roman"/>
      <w:color w:val="000000"/>
      <w:sz w:val="24"/>
      <w:szCs w:val="24"/>
      <w:lang w:eastAsia="en-US"/>
    </w:rPr>
  </w:style>
  <w:style w:type="paragraph" w:customStyle="1" w:styleId="m1292144548206604748msolistparagraph">
    <w:name w:val="m_1292144548206604748msolistparagraph"/>
    <w:basedOn w:val="Normalny"/>
    <w:rsid w:val="009D35FB"/>
    <w:pPr>
      <w:spacing w:before="100" w:beforeAutospacing="1" w:after="100" w:afterAutospacing="1" w:line="276" w:lineRule="auto"/>
      <w:jc w:val="left"/>
    </w:pPr>
    <w:rPr>
      <w:rFonts w:ascii="Times New Roman" w:eastAsia="Times New Roman" w:hAnsi="Times New Roman"/>
      <w:sz w:val="24"/>
      <w:szCs w:val="24"/>
      <w:lang w:eastAsia="pl-PL"/>
    </w:rPr>
  </w:style>
  <w:style w:type="paragraph" w:styleId="Spistreci5">
    <w:name w:val="toc 5"/>
    <w:basedOn w:val="Normalny"/>
    <w:next w:val="Normalny"/>
    <w:autoRedefine/>
    <w:uiPriority w:val="39"/>
    <w:unhideWhenUsed/>
    <w:locked/>
    <w:rsid w:val="008D60EC"/>
    <w:pPr>
      <w:spacing w:before="0" w:after="100" w:line="259" w:lineRule="auto"/>
      <w:ind w:left="880"/>
      <w:jc w:val="left"/>
    </w:pPr>
    <w:rPr>
      <w:rFonts w:asciiTheme="minorHAnsi" w:eastAsiaTheme="minorEastAsia" w:hAnsiTheme="minorHAnsi" w:cstheme="minorBidi"/>
      <w:lang w:val="de-DE" w:eastAsia="ja-JP"/>
    </w:rPr>
  </w:style>
  <w:style w:type="paragraph" w:styleId="Spistreci6">
    <w:name w:val="toc 6"/>
    <w:basedOn w:val="Normalny"/>
    <w:next w:val="Normalny"/>
    <w:autoRedefine/>
    <w:uiPriority w:val="39"/>
    <w:unhideWhenUsed/>
    <w:locked/>
    <w:rsid w:val="008D60EC"/>
    <w:pPr>
      <w:spacing w:before="0" w:after="100" w:line="259" w:lineRule="auto"/>
      <w:ind w:left="1100"/>
      <w:jc w:val="left"/>
    </w:pPr>
    <w:rPr>
      <w:rFonts w:asciiTheme="minorHAnsi" w:eastAsiaTheme="minorEastAsia" w:hAnsiTheme="minorHAnsi" w:cstheme="minorBidi"/>
      <w:lang w:val="de-DE" w:eastAsia="ja-JP"/>
    </w:rPr>
  </w:style>
  <w:style w:type="paragraph" w:styleId="Spistreci7">
    <w:name w:val="toc 7"/>
    <w:basedOn w:val="Normalny"/>
    <w:next w:val="Normalny"/>
    <w:autoRedefine/>
    <w:uiPriority w:val="39"/>
    <w:unhideWhenUsed/>
    <w:locked/>
    <w:rsid w:val="008D60EC"/>
    <w:pPr>
      <w:spacing w:before="0" w:after="100" w:line="259" w:lineRule="auto"/>
      <w:ind w:left="1320"/>
      <w:jc w:val="left"/>
    </w:pPr>
    <w:rPr>
      <w:rFonts w:asciiTheme="minorHAnsi" w:eastAsiaTheme="minorEastAsia" w:hAnsiTheme="minorHAnsi" w:cstheme="minorBidi"/>
      <w:lang w:val="de-DE" w:eastAsia="ja-JP"/>
    </w:rPr>
  </w:style>
  <w:style w:type="paragraph" w:styleId="Spistreci8">
    <w:name w:val="toc 8"/>
    <w:basedOn w:val="Normalny"/>
    <w:next w:val="Normalny"/>
    <w:autoRedefine/>
    <w:uiPriority w:val="39"/>
    <w:unhideWhenUsed/>
    <w:locked/>
    <w:rsid w:val="008D60EC"/>
    <w:pPr>
      <w:spacing w:before="0" w:after="100" w:line="259" w:lineRule="auto"/>
      <w:ind w:left="1540"/>
      <w:jc w:val="left"/>
    </w:pPr>
    <w:rPr>
      <w:rFonts w:asciiTheme="minorHAnsi" w:eastAsiaTheme="minorEastAsia" w:hAnsiTheme="minorHAnsi" w:cstheme="minorBidi"/>
      <w:lang w:val="de-DE" w:eastAsia="ja-JP"/>
    </w:rPr>
  </w:style>
  <w:style w:type="paragraph" w:styleId="Spistreci9">
    <w:name w:val="toc 9"/>
    <w:basedOn w:val="Normalny"/>
    <w:next w:val="Normalny"/>
    <w:autoRedefine/>
    <w:uiPriority w:val="39"/>
    <w:unhideWhenUsed/>
    <w:locked/>
    <w:rsid w:val="008D60EC"/>
    <w:pPr>
      <w:spacing w:before="0" w:after="100" w:line="259" w:lineRule="auto"/>
      <w:ind w:left="1760"/>
      <w:jc w:val="left"/>
    </w:pPr>
    <w:rPr>
      <w:rFonts w:asciiTheme="minorHAnsi" w:eastAsiaTheme="minorEastAsia" w:hAnsiTheme="minorHAnsi" w:cstheme="minorBidi"/>
      <w:lang w:val="de-DE" w:eastAsia="ja-JP"/>
    </w:rPr>
  </w:style>
  <w:style w:type="character" w:styleId="Nierozpoznanawzmianka">
    <w:name w:val="Unresolved Mention"/>
    <w:basedOn w:val="Domylnaczcionkaakapitu"/>
    <w:uiPriority w:val="99"/>
    <w:semiHidden/>
    <w:unhideWhenUsed/>
    <w:rsid w:val="008D60EC"/>
    <w:rPr>
      <w:color w:val="605E5C"/>
      <w:shd w:val="clear" w:color="auto" w:fill="E1DFDD"/>
    </w:rPr>
  </w:style>
  <w:style w:type="character" w:customStyle="1" w:styleId="tabLebaZnak">
    <w:name w:val="tab_Leba Znak"/>
    <w:basedOn w:val="Domylnaczcionkaakapitu"/>
    <w:link w:val="tabLeba"/>
    <w:uiPriority w:val="99"/>
    <w:locked/>
    <w:rsid w:val="00EB6915"/>
    <w:rPr>
      <w:rFonts w:ascii="Times New Roman" w:eastAsia="Times New Roman" w:hAnsi="Times New Roman"/>
      <w:sz w:val="24"/>
    </w:rPr>
  </w:style>
  <w:style w:type="paragraph" w:customStyle="1" w:styleId="tabLeba">
    <w:name w:val="tab_Leba"/>
    <w:basedOn w:val="Normalny"/>
    <w:link w:val="tabLebaZnak"/>
    <w:uiPriority w:val="99"/>
    <w:rsid w:val="00EB6915"/>
    <w:pPr>
      <w:spacing w:after="0" w:line="264" w:lineRule="auto"/>
    </w:pPr>
    <w:rPr>
      <w:rFonts w:ascii="Times New Roman" w:eastAsia="Times New Roman" w:hAnsi="Times New Roman"/>
      <w:sz w:val="24"/>
      <w:szCs w:val="20"/>
      <w:lang w:eastAsia="pl-PL"/>
    </w:rPr>
  </w:style>
  <w:style w:type="paragraph" w:customStyle="1" w:styleId="NSTabelanaglowek">
    <w:name w:val="NS_Tabela_naglowek"/>
    <w:basedOn w:val="Normalny"/>
    <w:autoRedefine/>
    <w:qFormat/>
    <w:rsid w:val="00332A4E"/>
    <w:pPr>
      <w:numPr>
        <w:numId w:val="6"/>
      </w:numPr>
      <w:spacing w:before="240" w:line="276" w:lineRule="auto"/>
      <w:ind w:left="567" w:firstLine="0"/>
    </w:pPr>
    <w:rPr>
      <w:rFonts w:ascii="Arial" w:eastAsia="WenQuanYi Micro Hei" w:hAnsi="Arial" w:cs="Lohit Devanagari"/>
      <w:szCs w:val="24"/>
      <w:lang w:eastAsia="zh-CN" w:bidi="hi-IN"/>
    </w:rPr>
  </w:style>
  <w:style w:type="paragraph" w:customStyle="1" w:styleId="akapitlistaglowna">
    <w:name w:val="akapit lista glowna"/>
    <w:basedOn w:val="Akapitzlist"/>
    <w:link w:val="akapitlistaglownaZnak"/>
    <w:autoRedefine/>
    <w:qFormat/>
    <w:rsid w:val="00332A4E"/>
    <w:pPr>
      <w:spacing w:before="0" w:after="160" w:line="276" w:lineRule="auto"/>
      <w:ind w:left="499" w:hanging="357"/>
    </w:pPr>
    <w:rPr>
      <w:rFonts w:asciiTheme="minorHAnsi" w:eastAsiaTheme="minorHAnsi" w:hAnsiTheme="minorHAnsi" w:cstheme="minorBidi"/>
      <w:b/>
      <w:caps/>
      <w:color w:val="003399"/>
      <w:lang w:eastAsia="pl-PL"/>
    </w:rPr>
  </w:style>
  <w:style w:type="character" w:customStyle="1" w:styleId="akapitlistaglownaZnak">
    <w:name w:val="akapit lista glowna Znak"/>
    <w:basedOn w:val="AkapitzlistZnak"/>
    <w:link w:val="akapitlistaglowna"/>
    <w:rsid w:val="00332A4E"/>
    <w:rPr>
      <w:rFonts w:asciiTheme="minorHAnsi" w:eastAsiaTheme="minorHAnsi" w:hAnsiTheme="minorHAnsi" w:cstheme="minorBidi"/>
      <w:b/>
      <w:caps/>
      <w:color w:val="003399"/>
      <w:sz w:val="22"/>
      <w:szCs w:val="22"/>
      <w:lang w:eastAsia="en-US"/>
    </w:rPr>
  </w:style>
  <w:style w:type="paragraph" w:customStyle="1" w:styleId="Akapitzlist1">
    <w:name w:val="Akapit z listą1"/>
    <w:basedOn w:val="Normalny"/>
    <w:link w:val="ListParagraphChar"/>
    <w:autoRedefine/>
    <w:rsid w:val="00332A4E"/>
    <w:pPr>
      <w:spacing w:before="0" w:after="160" w:line="276" w:lineRule="auto"/>
      <w:ind w:left="720" w:hanging="360"/>
    </w:pPr>
    <w:rPr>
      <w:rFonts w:eastAsia="Times New Roman"/>
      <w:lang w:eastAsia="pl-PL"/>
    </w:rPr>
  </w:style>
  <w:style w:type="character" w:customStyle="1" w:styleId="ListParagraphChar">
    <w:name w:val="List Paragraph Char"/>
    <w:aliases w:val="Sl_Akapit z listą Char,Akapit z listą1 Char"/>
    <w:basedOn w:val="Domylnaczcionkaakapitu"/>
    <w:link w:val="Akapitzlist1"/>
    <w:uiPriority w:val="99"/>
    <w:qFormat/>
    <w:locked/>
    <w:rsid w:val="00332A4E"/>
    <w:rPr>
      <w:rFonts w:eastAsia="Times New Roman"/>
      <w:sz w:val="22"/>
      <w:szCs w:val="22"/>
    </w:rPr>
  </w:style>
  <w:style w:type="paragraph" w:styleId="NormalnyWeb">
    <w:name w:val="Normal (Web)"/>
    <w:basedOn w:val="Normalny"/>
    <w:uiPriority w:val="99"/>
    <w:unhideWhenUsed/>
    <w:rsid w:val="00DF4E7E"/>
    <w:pPr>
      <w:spacing w:before="100" w:beforeAutospacing="1" w:after="100" w:afterAutospacing="1"/>
      <w:jc w:val="left"/>
    </w:pPr>
    <w:rPr>
      <w:rFonts w:ascii="Times New Roman" w:eastAsia="Times New Roman" w:hAnsi="Times New Roman"/>
      <w:sz w:val="24"/>
      <w:szCs w:val="24"/>
      <w:lang w:eastAsia="pl-PL"/>
    </w:rPr>
  </w:style>
  <w:style w:type="paragraph" w:customStyle="1" w:styleId="gmail-m8141832117258590531gmail-m-4193680487846415356msolistparagraph">
    <w:name w:val="gmail-m_8141832117258590531gmail-m-4193680487846415356msolistparagraph"/>
    <w:basedOn w:val="Normalny"/>
    <w:rsid w:val="005F7C46"/>
    <w:pPr>
      <w:spacing w:before="100" w:beforeAutospacing="1" w:after="100" w:afterAutospacing="1"/>
      <w:jc w:val="left"/>
    </w:pPr>
    <w:rPr>
      <w:rFonts w:eastAsiaTheme="minorHAnsi" w:cs="Calibri"/>
      <w:lang w:eastAsia="pl-PL"/>
    </w:rPr>
  </w:style>
  <w:style w:type="paragraph" w:styleId="Bezodstpw">
    <w:name w:val="No Spacing"/>
    <w:link w:val="BezodstpwZnak"/>
    <w:uiPriority w:val="1"/>
    <w:qFormat/>
    <w:rsid w:val="00DC7C45"/>
    <w:rPr>
      <w:rFonts w:asciiTheme="minorHAnsi" w:eastAsiaTheme="minorHAnsi" w:hAnsiTheme="minorHAnsi" w:cstheme="minorBidi"/>
      <w:sz w:val="22"/>
      <w:szCs w:val="22"/>
      <w:lang w:eastAsia="en-US"/>
    </w:rPr>
  </w:style>
  <w:style w:type="paragraph" w:customStyle="1" w:styleId="Rysunek">
    <w:name w:val="Rysunek"/>
    <w:basedOn w:val="Legenda"/>
    <w:link w:val="RysunekZnak"/>
    <w:uiPriority w:val="2"/>
    <w:qFormat/>
    <w:rsid w:val="00A565BC"/>
    <w:rPr>
      <w:bCs w:val="0"/>
      <w:iCs/>
    </w:rPr>
  </w:style>
  <w:style w:type="paragraph" w:customStyle="1" w:styleId="rdo0">
    <w:name w:val="Żródło"/>
    <w:basedOn w:val="Normalny"/>
    <w:link w:val="rdoZnak"/>
    <w:qFormat/>
    <w:rsid w:val="00A03266"/>
    <w:pPr>
      <w:spacing w:before="40"/>
      <w:jc w:val="right"/>
    </w:pPr>
    <w:rPr>
      <w:rFonts w:asciiTheme="minorHAnsi" w:hAnsiTheme="minorHAnsi" w:cstheme="minorHAnsi"/>
      <w:i/>
      <w:iCs/>
      <w:color w:val="003399"/>
      <w:sz w:val="18"/>
      <w:szCs w:val="18"/>
    </w:rPr>
  </w:style>
  <w:style w:type="character" w:customStyle="1" w:styleId="RysunekZnak">
    <w:name w:val="Rysunek Znak"/>
    <w:basedOn w:val="LegendaZnak"/>
    <w:link w:val="Rysunek"/>
    <w:uiPriority w:val="2"/>
    <w:rsid w:val="00A565BC"/>
    <w:rPr>
      <w:b/>
      <w:bCs w:val="0"/>
      <w:iCs/>
      <w:szCs w:val="22"/>
      <w:lang w:eastAsia="en-US"/>
    </w:rPr>
  </w:style>
  <w:style w:type="table" w:customStyle="1" w:styleId="Tabela-Siatka1">
    <w:name w:val="Tabela - Siatka1"/>
    <w:basedOn w:val="Standardowy"/>
    <w:next w:val="Tabela-Siatka"/>
    <w:uiPriority w:val="39"/>
    <w:rsid w:val="00A0326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doZnak">
    <w:name w:val="Żródło Znak"/>
    <w:basedOn w:val="Domylnaczcionkaakapitu"/>
    <w:link w:val="rdo0"/>
    <w:rsid w:val="00A03266"/>
    <w:rPr>
      <w:rFonts w:asciiTheme="minorHAnsi" w:hAnsiTheme="minorHAnsi" w:cstheme="minorHAnsi"/>
      <w:i/>
      <w:iCs/>
      <w:color w:val="003399"/>
      <w:sz w:val="18"/>
      <w:szCs w:val="18"/>
      <w:lang w:eastAsia="en-US"/>
    </w:rPr>
  </w:style>
  <w:style w:type="paragraph" w:customStyle="1" w:styleId="Tabela">
    <w:name w:val="Tabela"/>
    <w:basedOn w:val="Legenda"/>
    <w:link w:val="TabelaZnak"/>
    <w:qFormat/>
    <w:rsid w:val="00C4673D"/>
    <w:pPr>
      <w:tabs>
        <w:tab w:val="left" w:pos="1134"/>
      </w:tabs>
      <w:spacing w:before="120" w:after="40"/>
      <w:ind w:left="1134" w:hanging="1134"/>
      <w:jc w:val="both"/>
    </w:pPr>
    <w:rPr>
      <w:bCs w:val="0"/>
      <w:iCs/>
      <w:szCs w:val="20"/>
    </w:rPr>
  </w:style>
  <w:style w:type="character" w:customStyle="1" w:styleId="TabelaZnak">
    <w:name w:val="Tabela Znak"/>
    <w:basedOn w:val="LegendaZnak"/>
    <w:link w:val="Tabela"/>
    <w:rsid w:val="00C4673D"/>
    <w:rPr>
      <w:b/>
      <w:bCs w:val="0"/>
      <w:iCs/>
      <w:szCs w:val="22"/>
      <w:lang w:eastAsia="en-US"/>
    </w:rPr>
  </w:style>
  <w:style w:type="paragraph" w:customStyle="1" w:styleId="Standard">
    <w:name w:val="Standard"/>
    <w:rsid w:val="00A03266"/>
    <w:pPr>
      <w:suppressAutoHyphens/>
      <w:autoSpaceDN w:val="0"/>
      <w:textAlignment w:val="baseline"/>
    </w:pPr>
    <w:rPr>
      <w:rFonts w:ascii="Liberation Serif" w:eastAsia="SimSun" w:hAnsi="Liberation Serif" w:cs="Mangal"/>
      <w:kern w:val="3"/>
      <w:sz w:val="24"/>
      <w:szCs w:val="24"/>
      <w:lang w:val="en-US" w:eastAsia="zh-CN" w:bidi="hi-IN"/>
    </w:rPr>
  </w:style>
  <w:style w:type="paragraph" w:customStyle="1" w:styleId="Numerowanie">
    <w:name w:val="Numerowanie"/>
    <w:basedOn w:val="Akapitzlist"/>
    <w:link w:val="NumerowanieZnak"/>
    <w:uiPriority w:val="2"/>
    <w:qFormat/>
    <w:rsid w:val="00F11051"/>
    <w:pPr>
      <w:widowControl w:val="0"/>
      <w:numPr>
        <w:numId w:val="138"/>
      </w:numPr>
      <w:autoSpaceDE w:val="0"/>
      <w:autoSpaceDN w:val="0"/>
      <w:adjustRightInd w:val="0"/>
      <w:ind w:right="111"/>
    </w:pPr>
    <w:rPr>
      <w:rFonts w:asciiTheme="minorHAnsi" w:eastAsiaTheme="minorHAnsi" w:hAnsiTheme="minorHAnsi" w:cstheme="minorHAnsi"/>
      <w:color w:val="000000"/>
    </w:rPr>
  </w:style>
  <w:style w:type="paragraph" w:customStyle="1" w:styleId="Przypis">
    <w:name w:val="Przypis"/>
    <w:basedOn w:val="Tekstprzypisudolnego"/>
    <w:link w:val="PrzypisZnak"/>
    <w:uiPriority w:val="2"/>
    <w:qFormat/>
    <w:rsid w:val="00A03266"/>
    <w:rPr>
      <w:sz w:val="18"/>
      <w:szCs w:val="18"/>
    </w:rPr>
  </w:style>
  <w:style w:type="character" w:customStyle="1" w:styleId="NumerowanieZnak">
    <w:name w:val="Numerowanie Znak"/>
    <w:basedOn w:val="AkapitzlistZnak"/>
    <w:link w:val="Numerowanie"/>
    <w:uiPriority w:val="2"/>
    <w:rsid w:val="00F11051"/>
    <w:rPr>
      <w:rFonts w:asciiTheme="minorHAnsi" w:eastAsiaTheme="minorHAnsi" w:hAnsiTheme="minorHAnsi" w:cstheme="minorHAnsi"/>
      <w:color w:val="000000"/>
      <w:sz w:val="22"/>
      <w:szCs w:val="22"/>
      <w:lang w:eastAsia="en-US"/>
    </w:rPr>
  </w:style>
  <w:style w:type="character" w:customStyle="1" w:styleId="PrzypisZnak">
    <w:name w:val="Przypis Znak"/>
    <w:basedOn w:val="TekstprzypisudolnegoZnak"/>
    <w:link w:val="Przypis"/>
    <w:uiPriority w:val="2"/>
    <w:rsid w:val="00A03266"/>
    <w:rPr>
      <w:sz w:val="18"/>
      <w:szCs w:val="18"/>
      <w:lang w:eastAsia="en-US"/>
    </w:rPr>
  </w:style>
  <w:style w:type="character" w:customStyle="1" w:styleId="Nierozpoznanawzmianka2">
    <w:name w:val="Nierozpoznana wzmianka2"/>
    <w:basedOn w:val="Domylnaczcionkaakapitu"/>
    <w:uiPriority w:val="99"/>
    <w:semiHidden/>
    <w:unhideWhenUsed/>
    <w:rsid w:val="000831EE"/>
    <w:rPr>
      <w:color w:val="605E5C"/>
      <w:shd w:val="clear" w:color="auto" w:fill="E1DFDD"/>
    </w:rPr>
  </w:style>
  <w:style w:type="paragraph" w:customStyle="1" w:styleId="tekst">
    <w:name w:val="tekst"/>
    <w:basedOn w:val="Normalny"/>
    <w:link w:val="tekstZnak1"/>
    <w:uiPriority w:val="99"/>
    <w:qFormat/>
    <w:rsid w:val="000831EE"/>
    <w:pPr>
      <w:spacing w:before="0" w:after="22"/>
      <w:ind w:firstLine="425"/>
    </w:pPr>
    <w:rPr>
      <w:rFonts w:ascii="Arial" w:eastAsia="Times New Roman" w:hAnsi="Arial" w:cs="Arial"/>
      <w:sz w:val="20"/>
      <w:szCs w:val="20"/>
      <w:lang w:eastAsia="pl-PL"/>
    </w:rPr>
  </w:style>
  <w:style w:type="character" w:customStyle="1" w:styleId="tekstZnak1">
    <w:name w:val="tekst Znak1"/>
    <w:basedOn w:val="Domylnaczcionkaakapitu"/>
    <w:link w:val="tekst"/>
    <w:uiPriority w:val="99"/>
    <w:rsid w:val="000831EE"/>
    <w:rPr>
      <w:rFonts w:ascii="Arial" w:eastAsia="Times New Roman" w:hAnsi="Arial" w:cs="Arial"/>
    </w:rPr>
  </w:style>
  <w:style w:type="paragraph" w:customStyle="1" w:styleId="M1">
    <w:name w:val="M_1"/>
    <w:basedOn w:val="Normalny"/>
    <w:link w:val="M1Znak"/>
    <w:qFormat/>
    <w:rsid w:val="000831EE"/>
    <w:pPr>
      <w:numPr>
        <w:numId w:val="10"/>
      </w:numPr>
      <w:spacing w:before="0" w:after="22"/>
    </w:pPr>
    <w:rPr>
      <w:rFonts w:ascii="Arial" w:hAnsi="Arial" w:cs="Arial"/>
      <w:sz w:val="20"/>
      <w:szCs w:val="20"/>
      <w:lang w:eastAsia="pl-PL"/>
    </w:rPr>
  </w:style>
  <w:style w:type="character" w:customStyle="1" w:styleId="M1Znak">
    <w:name w:val="M_1 Znak"/>
    <w:link w:val="M1"/>
    <w:rsid w:val="000831EE"/>
    <w:rPr>
      <w:rFonts w:ascii="Arial" w:hAnsi="Arial" w:cs="Arial"/>
    </w:rPr>
  </w:style>
  <w:style w:type="character" w:customStyle="1" w:styleId="UnresolvedMention1">
    <w:name w:val="Unresolved Mention1"/>
    <w:basedOn w:val="Domylnaczcionkaakapitu"/>
    <w:uiPriority w:val="99"/>
    <w:semiHidden/>
    <w:unhideWhenUsed/>
    <w:rsid w:val="0039647C"/>
    <w:rPr>
      <w:color w:val="605E5C"/>
      <w:shd w:val="clear" w:color="auto" w:fill="E1DFDD"/>
    </w:rPr>
  </w:style>
  <w:style w:type="character" w:customStyle="1" w:styleId="Raport-tekstpodstawowyZnak">
    <w:name w:val="Raport - tekst podstawowy Znak"/>
    <w:basedOn w:val="Domylnaczcionkaakapitu"/>
    <w:link w:val="Raport-tekstpodstawowy"/>
    <w:uiPriority w:val="99"/>
    <w:locked/>
    <w:rsid w:val="0039647C"/>
  </w:style>
  <w:style w:type="paragraph" w:customStyle="1" w:styleId="Raport-tekstpodstawowy">
    <w:name w:val="Raport - tekst podstawowy"/>
    <w:basedOn w:val="Normalny"/>
    <w:link w:val="Raport-tekstpodstawowyZnak"/>
    <w:uiPriority w:val="99"/>
    <w:qFormat/>
    <w:rsid w:val="0039647C"/>
    <w:pPr>
      <w:spacing w:before="0" w:line="276" w:lineRule="auto"/>
      <w:ind w:firstLine="709"/>
    </w:pPr>
    <w:rPr>
      <w:sz w:val="20"/>
      <w:szCs w:val="20"/>
      <w:lang w:eastAsia="pl-PL"/>
    </w:rPr>
  </w:style>
  <w:style w:type="character" w:styleId="Numerstrony">
    <w:name w:val="page number"/>
    <w:basedOn w:val="Domylnaczcionkaakapitu"/>
    <w:uiPriority w:val="99"/>
    <w:rsid w:val="0039647C"/>
  </w:style>
  <w:style w:type="paragraph" w:customStyle="1" w:styleId="raporttekst">
    <w:name w:val="raport tekst"/>
    <w:basedOn w:val="Normalny"/>
    <w:link w:val="raporttekstZnak"/>
    <w:uiPriority w:val="99"/>
    <w:rsid w:val="0039647C"/>
    <w:pPr>
      <w:spacing w:before="240" w:line="276" w:lineRule="auto"/>
    </w:pPr>
  </w:style>
  <w:style w:type="character" w:customStyle="1" w:styleId="raporttekstZnak">
    <w:name w:val="raport tekst Znak"/>
    <w:link w:val="raporttekst"/>
    <w:uiPriority w:val="99"/>
    <w:locked/>
    <w:rsid w:val="0039647C"/>
    <w:rPr>
      <w:sz w:val="22"/>
      <w:szCs w:val="22"/>
      <w:lang w:eastAsia="en-US"/>
    </w:rPr>
  </w:style>
  <w:style w:type="paragraph" w:customStyle="1" w:styleId="Normalny1">
    <w:name w:val="Normalny1"/>
    <w:basedOn w:val="Normalny"/>
    <w:link w:val="Normalny1Znak"/>
    <w:qFormat/>
    <w:rsid w:val="0039647C"/>
    <w:pPr>
      <w:spacing w:line="336" w:lineRule="auto"/>
      <w:ind w:firstLine="851"/>
    </w:pPr>
    <w:rPr>
      <w:rFonts w:asciiTheme="minorHAnsi" w:eastAsiaTheme="minorHAnsi" w:hAnsiTheme="minorHAnsi" w:cstheme="minorBidi"/>
    </w:rPr>
  </w:style>
  <w:style w:type="character" w:customStyle="1" w:styleId="Normalny1Znak">
    <w:name w:val="Normalny1 Znak"/>
    <w:basedOn w:val="Domylnaczcionkaakapitu"/>
    <w:link w:val="Normalny1"/>
    <w:rsid w:val="0039647C"/>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1"/>
    <w:locked/>
    <w:rsid w:val="0039647C"/>
    <w:rPr>
      <w:rFonts w:asciiTheme="minorHAnsi" w:eastAsiaTheme="minorHAnsi" w:hAnsiTheme="minorHAnsi" w:cstheme="minorBidi"/>
      <w:sz w:val="22"/>
      <w:szCs w:val="22"/>
      <w:lang w:eastAsia="en-US"/>
    </w:rPr>
  </w:style>
  <w:style w:type="table" w:customStyle="1" w:styleId="TableGrid0">
    <w:name w:val="Table Grid0"/>
    <w:rsid w:val="0039647C"/>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RysunkiDPAL">
    <w:name w:val="Rysunki_DPAL"/>
    <w:basedOn w:val="Normalny"/>
    <w:rsid w:val="0039647C"/>
    <w:pPr>
      <w:keepNext/>
      <w:spacing w:before="240"/>
      <w:jc w:val="center"/>
    </w:pPr>
    <w:rPr>
      <w:rFonts w:asciiTheme="minorHAnsi" w:eastAsiaTheme="minorHAnsi" w:hAnsiTheme="minorHAnsi" w:cstheme="minorBidi"/>
      <w:b/>
      <w:bCs/>
      <w:color w:val="365F91" w:themeColor="accent1" w:themeShade="BF"/>
      <w:szCs w:val="18"/>
    </w:rPr>
  </w:style>
  <w:style w:type="paragraph" w:customStyle="1" w:styleId="LegendaTABELE">
    <w:name w:val="Legenda TABELE"/>
    <w:basedOn w:val="Normalny"/>
    <w:qFormat/>
    <w:rsid w:val="0039647C"/>
    <w:pPr>
      <w:keepNext/>
      <w:ind w:left="1134" w:hanging="1134"/>
      <w:jc w:val="left"/>
    </w:pPr>
    <w:rPr>
      <w:rFonts w:asciiTheme="minorHAnsi" w:eastAsiaTheme="minorEastAsia" w:hAnsiTheme="minorHAnsi" w:cstheme="minorBidi"/>
      <w:b/>
      <w:bCs/>
      <w:color w:val="365F91" w:themeColor="accent1" w:themeShade="BF"/>
      <w:szCs w:val="20"/>
    </w:rPr>
  </w:style>
  <w:style w:type="paragraph" w:customStyle="1" w:styleId="WNIOSKIdpal">
    <w:name w:val="WNIOSKI_dpal"/>
    <w:basedOn w:val="Normalny"/>
    <w:qFormat/>
    <w:rsid w:val="0039647C"/>
    <w:pPr>
      <w:numPr>
        <w:numId w:val="15"/>
      </w:numPr>
      <w:spacing w:before="0" w:after="240" w:line="276" w:lineRule="auto"/>
    </w:pPr>
    <w:rPr>
      <w:rFonts w:ascii="Arial Narrow" w:eastAsiaTheme="minorHAnsi" w:hAnsi="Arial Narrow" w:cstheme="minorBidi"/>
    </w:rPr>
  </w:style>
  <w:style w:type="paragraph" w:customStyle="1" w:styleId="TekstRaport">
    <w:name w:val="Tekst Raport"/>
    <w:basedOn w:val="Tekstpodstawowy"/>
    <w:link w:val="TekstRaportZnak"/>
    <w:uiPriority w:val="99"/>
    <w:rsid w:val="0039647C"/>
    <w:pPr>
      <w:spacing w:before="120" w:after="120" w:line="360" w:lineRule="auto"/>
    </w:pPr>
    <w:rPr>
      <w:rFonts w:ascii="Arial Narrow" w:eastAsia="Times New Roman" w:hAnsi="Arial Narrow"/>
      <w:sz w:val="20"/>
      <w:szCs w:val="24"/>
      <w:lang w:eastAsia="pl-PL"/>
    </w:rPr>
  </w:style>
  <w:style w:type="character" w:customStyle="1" w:styleId="TekstRaportZnak">
    <w:name w:val="Tekst Raport Znak"/>
    <w:basedOn w:val="Domylnaczcionkaakapitu"/>
    <w:link w:val="TekstRaport"/>
    <w:uiPriority w:val="99"/>
    <w:locked/>
    <w:rsid w:val="0039647C"/>
    <w:rPr>
      <w:rFonts w:ascii="Arial Narrow" w:eastAsia="Times New Roman" w:hAnsi="Arial Narrow"/>
      <w:szCs w:val="24"/>
    </w:rPr>
  </w:style>
  <w:style w:type="paragraph" w:customStyle="1" w:styleId="CM1">
    <w:name w:val="CM1"/>
    <w:basedOn w:val="Default"/>
    <w:next w:val="Default"/>
    <w:uiPriority w:val="99"/>
    <w:rsid w:val="0039647C"/>
    <w:rPr>
      <w:rFonts w:ascii="EUAlbertina" w:eastAsia="Calibri" w:hAnsi="EUAlbertina"/>
      <w:color w:val="auto"/>
    </w:rPr>
  </w:style>
  <w:style w:type="paragraph" w:customStyle="1" w:styleId="CM4">
    <w:name w:val="CM4"/>
    <w:basedOn w:val="Default"/>
    <w:next w:val="Default"/>
    <w:uiPriority w:val="99"/>
    <w:rsid w:val="0039647C"/>
    <w:rPr>
      <w:rFonts w:ascii="EUAlbertina" w:eastAsia="Calibri" w:hAnsi="EUAlbertina"/>
      <w:color w:val="auto"/>
    </w:rPr>
  </w:style>
  <w:style w:type="paragraph" w:customStyle="1" w:styleId="tekstpodstawowy0">
    <w:name w:val="tekst_podstawowy"/>
    <w:basedOn w:val="Normalny"/>
    <w:link w:val="tekstpodstawowyZnak0"/>
    <w:uiPriority w:val="99"/>
    <w:rsid w:val="0039647C"/>
    <w:pPr>
      <w:spacing w:before="0" w:line="360" w:lineRule="auto"/>
      <w:ind w:firstLine="709"/>
    </w:pPr>
    <w:rPr>
      <w:rFonts w:ascii="Arial" w:eastAsia="Times New Roman" w:hAnsi="Arial"/>
      <w:lang w:eastAsia="pl-PL"/>
    </w:rPr>
  </w:style>
  <w:style w:type="character" w:customStyle="1" w:styleId="tekstpodstawowyZnak0">
    <w:name w:val="tekst_podstawowy Znak"/>
    <w:basedOn w:val="Domylnaczcionkaakapitu"/>
    <w:link w:val="tekstpodstawowy0"/>
    <w:uiPriority w:val="99"/>
    <w:locked/>
    <w:rsid w:val="0039647C"/>
    <w:rPr>
      <w:rFonts w:ascii="Arial" w:eastAsia="Times New Roman" w:hAnsi="Arial"/>
      <w:sz w:val="22"/>
      <w:szCs w:val="22"/>
    </w:rPr>
  </w:style>
  <w:style w:type="paragraph" w:styleId="Tekstpodstawowy2">
    <w:name w:val="Body Text 2"/>
    <w:basedOn w:val="Normalny"/>
    <w:link w:val="Tekstpodstawowy2Znak"/>
    <w:uiPriority w:val="99"/>
    <w:rsid w:val="0039647C"/>
    <w:pPr>
      <w:spacing w:before="0" w:line="480" w:lineRule="auto"/>
    </w:pPr>
    <w:rPr>
      <w:rFonts w:ascii="Arial" w:hAnsi="Arial"/>
    </w:rPr>
  </w:style>
  <w:style w:type="character" w:customStyle="1" w:styleId="Tekstpodstawowy2Znak">
    <w:name w:val="Tekst podstawowy 2 Znak"/>
    <w:basedOn w:val="Domylnaczcionkaakapitu"/>
    <w:link w:val="Tekstpodstawowy2"/>
    <w:uiPriority w:val="99"/>
    <w:rsid w:val="0039647C"/>
    <w:rPr>
      <w:rFonts w:ascii="Arial" w:hAnsi="Arial"/>
      <w:sz w:val="22"/>
      <w:szCs w:val="22"/>
      <w:lang w:eastAsia="en-US"/>
    </w:rPr>
  </w:style>
  <w:style w:type="paragraph" w:styleId="Tekstpodstawowywcity2">
    <w:name w:val="Body Text Indent 2"/>
    <w:basedOn w:val="Normalny"/>
    <w:link w:val="Tekstpodstawowywcity2Znak"/>
    <w:uiPriority w:val="99"/>
    <w:semiHidden/>
    <w:rsid w:val="0039647C"/>
    <w:pPr>
      <w:spacing w:before="0" w:line="480" w:lineRule="auto"/>
      <w:ind w:left="283"/>
    </w:pPr>
    <w:rPr>
      <w:rFonts w:ascii="Arial" w:hAnsi="Arial"/>
    </w:rPr>
  </w:style>
  <w:style w:type="character" w:customStyle="1" w:styleId="Tekstpodstawowywcity2Znak">
    <w:name w:val="Tekst podstawowy wcięty 2 Znak"/>
    <w:basedOn w:val="Domylnaczcionkaakapitu"/>
    <w:link w:val="Tekstpodstawowywcity2"/>
    <w:uiPriority w:val="99"/>
    <w:semiHidden/>
    <w:rsid w:val="0039647C"/>
    <w:rPr>
      <w:rFonts w:ascii="Arial" w:hAnsi="Arial"/>
      <w:sz w:val="22"/>
      <w:szCs w:val="22"/>
      <w:lang w:eastAsia="en-US"/>
    </w:rPr>
  </w:style>
  <w:style w:type="paragraph" w:customStyle="1" w:styleId="tekstwtabeli">
    <w:name w:val="tekst_w_tabeli"/>
    <w:basedOn w:val="Normalny"/>
    <w:uiPriority w:val="99"/>
    <w:rsid w:val="0039647C"/>
    <w:pPr>
      <w:spacing w:before="0" w:after="0" w:line="360" w:lineRule="auto"/>
    </w:pPr>
    <w:rPr>
      <w:rFonts w:ascii="Arial" w:eastAsia="Times New Roman" w:hAnsi="Arial"/>
      <w:color w:val="0000FF"/>
      <w:sz w:val="20"/>
      <w:szCs w:val="24"/>
      <w:lang w:eastAsia="pl-PL"/>
    </w:rPr>
  </w:style>
  <w:style w:type="paragraph" w:customStyle="1" w:styleId="TytuRaportu">
    <w:name w:val="Tytuł Raportu"/>
    <w:basedOn w:val="Normalny"/>
    <w:uiPriority w:val="99"/>
    <w:rsid w:val="0039647C"/>
    <w:pPr>
      <w:spacing w:before="240" w:after="240" w:line="360" w:lineRule="auto"/>
      <w:jc w:val="center"/>
    </w:pPr>
    <w:rPr>
      <w:rFonts w:ascii="Arial Black" w:eastAsia="Times New Roman" w:hAnsi="Arial Black"/>
      <w:sz w:val="24"/>
      <w:szCs w:val="24"/>
      <w:lang w:eastAsia="pl-PL"/>
    </w:rPr>
  </w:style>
  <w:style w:type="paragraph" w:styleId="Tekstpodstawowywcity">
    <w:name w:val="Body Text Indent"/>
    <w:basedOn w:val="Normalny"/>
    <w:link w:val="TekstpodstawowywcityZnak"/>
    <w:uiPriority w:val="99"/>
    <w:rsid w:val="0039647C"/>
    <w:pPr>
      <w:spacing w:before="0" w:line="276" w:lineRule="auto"/>
      <w:ind w:left="283"/>
    </w:pPr>
    <w:rPr>
      <w:rFonts w:ascii="Arial" w:hAnsi="Arial"/>
    </w:rPr>
  </w:style>
  <w:style w:type="character" w:customStyle="1" w:styleId="TekstpodstawowywcityZnak">
    <w:name w:val="Tekst podstawowy wcięty Znak"/>
    <w:basedOn w:val="Domylnaczcionkaakapitu"/>
    <w:link w:val="Tekstpodstawowywcity"/>
    <w:uiPriority w:val="99"/>
    <w:rsid w:val="0039647C"/>
    <w:rPr>
      <w:rFonts w:ascii="Arial" w:hAnsi="Arial"/>
      <w:sz w:val="22"/>
      <w:szCs w:val="22"/>
      <w:lang w:eastAsia="en-US"/>
    </w:rPr>
  </w:style>
  <w:style w:type="character" w:styleId="Tekstzastpczy">
    <w:name w:val="Placeholder Text"/>
    <w:basedOn w:val="Domylnaczcionkaakapitu"/>
    <w:uiPriority w:val="99"/>
    <w:semiHidden/>
    <w:rsid w:val="0039647C"/>
    <w:rPr>
      <w:rFonts w:cs="Times New Roman"/>
      <w:color w:val="808080"/>
    </w:rPr>
  </w:style>
  <w:style w:type="paragraph" w:styleId="Zwykytekst">
    <w:name w:val="Plain Text"/>
    <w:basedOn w:val="Normalny"/>
    <w:link w:val="ZwykytekstZnak"/>
    <w:uiPriority w:val="99"/>
    <w:rsid w:val="0039647C"/>
    <w:pPr>
      <w:spacing w:before="0" w:after="0"/>
    </w:pPr>
    <w:rPr>
      <w:rFonts w:ascii="Consolas" w:eastAsia="Times New Roman" w:hAnsi="Consolas"/>
      <w:sz w:val="21"/>
      <w:szCs w:val="21"/>
      <w:lang w:eastAsia="pl-PL"/>
    </w:rPr>
  </w:style>
  <w:style w:type="character" w:customStyle="1" w:styleId="ZwykytekstZnak">
    <w:name w:val="Zwykły tekst Znak"/>
    <w:basedOn w:val="Domylnaczcionkaakapitu"/>
    <w:link w:val="Zwykytekst"/>
    <w:uiPriority w:val="99"/>
    <w:rsid w:val="0039647C"/>
    <w:rPr>
      <w:rFonts w:ascii="Consolas" w:eastAsia="Times New Roman" w:hAnsi="Consolas"/>
      <w:sz w:val="21"/>
      <w:szCs w:val="21"/>
    </w:rPr>
  </w:style>
  <w:style w:type="paragraph" w:customStyle="1" w:styleId="spisliteratury">
    <w:name w:val="spis literatury"/>
    <w:basedOn w:val="Normalny"/>
    <w:uiPriority w:val="99"/>
    <w:rsid w:val="0039647C"/>
    <w:pPr>
      <w:numPr>
        <w:numId w:val="16"/>
      </w:numPr>
    </w:pPr>
    <w:rPr>
      <w:rFonts w:ascii="Arial" w:eastAsia="Times New Roman" w:hAnsi="Arial" w:cs="Arial"/>
      <w:lang w:eastAsia="pl-PL"/>
    </w:rPr>
  </w:style>
  <w:style w:type="paragraph" w:customStyle="1" w:styleId="Pa02">
    <w:name w:val="Pa0+2"/>
    <w:basedOn w:val="Default"/>
    <w:next w:val="Default"/>
    <w:uiPriority w:val="99"/>
    <w:rsid w:val="0039647C"/>
    <w:pPr>
      <w:spacing w:line="241" w:lineRule="atLeast"/>
    </w:pPr>
    <w:rPr>
      <w:rFonts w:ascii="Myriad Pro" w:eastAsia="Calibri" w:hAnsi="Myriad Pro"/>
      <w:color w:val="auto"/>
    </w:rPr>
  </w:style>
  <w:style w:type="character" w:customStyle="1" w:styleId="A12">
    <w:name w:val="A1+2"/>
    <w:uiPriority w:val="99"/>
    <w:rsid w:val="0039647C"/>
    <w:rPr>
      <w:color w:val="000000"/>
      <w:sz w:val="28"/>
    </w:rPr>
  </w:style>
  <w:style w:type="paragraph" w:styleId="Podtytu">
    <w:name w:val="Subtitle"/>
    <w:basedOn w:val="Normalny"/>
    <w:next w:val="Normalny"/>
    <w:link w:val="PodtytuZnak"/>
    <w:uiPriority w:val="11"/>
    <w:qFormat/>
    <w:locked/>
    <w:rsid w:val="0039647C"/>
    <w:pPr>
      <w:numPr>
        <w:ilvl w:val="1"/>
      </w:numPr>
      <w:spacing w:before="0" w:after="200"/>
    </w:pPr>
    <w:rPr>
      <w:rFonts w:ascii="Arial" w:eastAsia="Times New Roman" w:hAnsi="Arial"/>
      <w:b/>
      <w:iCs/>
      <w:szCs w:val="24"/>
    </w:rPr>
  </w:style>
  <w:style w:type="character" w:customStyle="1" w:styleId="PodtytuZnak">
    <w:name w:val="Podtytuł Znak"/>
    <w:basedOn w:val="Domylnaczcionkaakapitu"/>
    <w:link w:val="Podtytu"/>
    <w:uiPriority w:val="11"/>
    <w:rsid w:val="0039647C"/>
    <w:rPr>
      <w:rFonts w:ascii="Arial" w:eastAsia="Times New Roman" w:hAnsi="Arial"/>
      <w:b/>
      <w:iCs/>
      <w:sz w:val="22"/>
      <w:szCs w:val="24"/>
      <w:lang w:eastAsia="en-US"/>
    </w:rPr>
  </w:style>
  <w:style w:type="paragraph" w:customStyle="1" w:styleId="Tytulrozdz">
    <w:name w:val="Tytul_rozdz"/>
    <w:basedOn w:val="Tytu"/>
    <w:uiPriority w:val="99"/>
    <w:rsid w:val="0039647C"/>
    <w:pPr>
      <w:keepNext w:val="0"/>
      <w:numPr>
        <w:numId w:val="18"/>
      </w:numPr>
      <w:overflowPunct w:val="0"/>
      <w:autoSpaceDE w:val="0"/>
      <w:autoSpaceDN w:val="0"/>
      <w:adjustRightInd w:val="0"/>
      <w:spacing w:before="0" w:after="200"/>
      <w:textAlignment w:val="baseline"/>
    </w:pPr>
    <w:rPr>
      <w:rFonts w:ascii="Arial" w:eastAsia="Times New Roman" w:hAnsi="Arial"/>
      <w:bCs/>
      <w:color w:val="auto"/>
      <w:sz w:val="26"/>
      <w:szCs w:val="20"/>
      <w:lang w:eastAsia="pl-PL"/>
    </w:rPr>
  </w:style>
  <w:style w:type="paragraph" w:customStyle="1" w:styleId="Podtyturozdz">
    <w:name w:val="Podtytuł_rozdz"/>
    <w:basedOn w:val="Podtytu"/>
    <w:uiPriority w:val="99"/>
    <w:rsid w:val="0039647C"/>
    <w:pPr>
      <w:numPr>
        <w:ilvl w:val="0"/>
        <w:numId w:val="19"/>
      </w:numPr>
    </w:pPr>
  </w:style>
  <w:style w:type="paragraph" w:customStyle="1" w:styleId="Rozdzial">
    <w:name w:val="Rozdzial"/>
    <w:basedOn w:val="Normalny"/>
    <w:link w:val="RozdzialZnak"/>
    <w:uiPriority w:val="99"/>
    <w:rsid w:val="0039647C"/>
    <w:pPr>
      <w:spacing w:before="0" w:line="276" w:lineRule="auto"/>
    </w:pPr>
    <w:rPr>
      <w:rFonts w:ascii="Arial" w:hAnsi="Arial"/>
      <w:szCs w:val="20"/>
    </w:rPr>
  </w:style>
  <w:style w:type="paragraph" w:customStyle="1" w:styleId="kropkowanierozdz">
    <w:name w:val="kropkowanie_rozdz"/>
    <w:basedOn w:val="Akapitzlist"/>
    <w:link w:val="kropkowanierozdzZnak"/>
    <w:uiPriority w:val="99"/>
    <w:rsid w:val="0039647C"/>
    <w:pPr>
      <w:numPr>
        <w:numId w:val="17"/>
      </w:numPr>
      <w:spacing w:before="0" w:after="80" w:line="271" w:lineRule="auto"/>
    </w:pPr>
    <w:rPr>
      <w:rFonts w:ascii="Arial" w:hAnsi="Arial"/>
      <w:szCs w:val="24"/>
    </w:rPr>
  </w:style>
  <w:style w:type="paragraph" w:customStyle="1" w:styleId="punktowanierozdz">
    <w:name w:val="punktowanie_rozdz"/>
    <w:basedOn w:val="kropkowanierozdz"/>
    <w:uiPriority w:val="99"/>
    <w:rsid w:val="0039647C"/>
    <w:pPr>
      <w:numPr>
        <w:numId w:val="20"/>
      </w:numPr>
    </w:pPr>
  </w:style>
  <w:style w:type="paragraph" w:customStyle="1" w:styleId="Tabelatytu">
    <w:name w:val="Tabela_tytuł"/>
    <w:basedOn w:val="Legenda"/>
    <w:uiPriority w:val="99"/>
    <w:rsid w:val="0039647C"/>
    <w:pPr>
      <w:tabs>
        <w:tab w:val="left" w:pos="1134"/>
      </w:tabs>
      <w:spacing w:before="240" w:after="120"/>
      <w:ind w:left="680" w:hanging="680"/>
    </w:pPr>
    <w:rPr>
      <w:rFonts w:ascii="Arial Narrow" w:hAnsi="Arial Narrow"/>
      <w:sz w:val="18"/>
      <w:szCs w:val="20"/>
    </w:rPr>
  </w:style>
  <w:style w:type="paragraph" w:customStyle="1" w:styleId="2kropkowanie">
    <w:name w:val="2_kropkowanie"/>
    <w:basedOn w:val="kropkowanierozdz"/>
    <w:uiPriority w:val="99"/>
    <w:rsid w:val="0039647C"/>
    <w:pPr>
      <w:numPr>
        <w:numId w:val="21"/>
      </w:numPr>
      <w:tabs>
        <w:tab w:val="num" w:pos="432"/>
      </w:tabs>
    </w:pPr>
  </w:style>
  <w:style w:type="paragraph" w:customStyle="1" w:styleId="opistabela">
    <w:name w:val="opis_tabela"/>
    <w:basedOn w:val="Normalny"/>
    <w:uiPriority w:val="99"/>
    <w:rsid w:val="0039647C"/>
    <w:pPr>
      <w:spacing w:before="0" w:after="60"/>
    </w:pPr>
    <w:rPr>
      <w:rFonts w:ascii="Arial" w:hAnsi="Arial" w:cs="Arial"/>
      <w:iCs/>
      <w:sz w:val="16"/>
      <w:szCs w:val="20"/>
    </w:rPr>
  </w:style>
  <w:style w:type="paragraph" w:customStyle="1" w:styleId="3kropkowane">
    <w:name w:val="3_kropkowane"/>
    <w:basedOn w:val="2kropkowanie"/>
    <w:uiPriority w:val="99"/>
    <w:rsid w:val="0039647C"/>
    <w:pPr>
      <w:ind w:left="1434"/>
    </w:pPr>
  </w:style>
  <w:style w:type="paragraph" w:customStyle="1" w:styleId="Spistabel">
    <w:name w:val="Spis_tabel"/>
    <w:basedOn w:val="Akapitzlist"/>
    <w:uiPriority w:val="99"/>
    <w:rsid w:val="0039647C"/>
    <w:pPr>
      <w:numPr>
        <w:numId w:val="0"/>
      </w:numPr>
      <w:spacing w:before="0" w:after="200" w:line="276" w:lineRule="auto"/>
      <w:ind w:left="284"/>
    </w:pPr>
    <w:rPr>
      <w:rFonts w:ascii="Arial" w:hAnsi="Arial"/>
    </w:rPr>
  </w:style>
  <w:style w:type="paragraph" w:customStyle="1" w:styleId="numeracja">
    <w:name w:val="numeracja"/>
    <w:basedOn w:val="kropkowanierozdz"/>
    <w:uiPriority w:val="99"/>
    <w:rsid w:val="0039647C"/>
    <w:pPr>
      <w:numPr>
        <w:numId w:val="22"/>
      </w:numPr>
    </w:pPr>
  </w:style>
  <w:style w:type="paragraph" w:customStyle="1" w:styleId="numeracja2">
    <w:name w:val="numeracja 2"/>
    <w:basedOn w:val="kropkowanierozdz"/>
    <w:uiPriority w:val="99"/>
    <w:rsid w:val="0039647C"/>
    <w:pPr>
      <w:numPr>
        <w:numId w:val="23"/>
      </w:numPr>
    </w:pPr>
  </w:style>
  <w:style w:type="paragraph" w:customStyle="1" w:styleId="TabelaRaport">
    <w:name w:val="Tabela Raport"/>
    <w:basedOn w:val="TekstRaport"/>
    <w:autoRedefine/>
    <w:uiPriority w:val="99"/>
    <w:rsid w:val="0039647C"/>
    <w:pPr>
      <w:spacing w:before="0" w:after="0" w:line="240" w:lineRule="auto"/>
      <w:ind w:hanging="70"/>
      <w:jc w:val="center"/>
    </w:pPr>
    <w:rPr>
      <w:bCs/>
      <w:sz w:val="16"/>
      <w:szCs w:val="18"/>
    </w:rPr>
  </w:style>
  <w:style w:type="paragraph" w:customStyle="1" w:styleId="RaportPodpisTabeli">
    <w:name w:val="Raport Podpis Tabeli"/>
    <w:basedOn w:val="Legenda"/>
    <w:uiPriority w:val="99"/>
    <w:rsid w:val="0039647C"/>
    <w:pPr>
      <w:keepNext w:val="0"/>
      <w:tabs>
        <w:tab w:val="left" w:pos="1134"/>
      </w:tabs>
      <w:spacing w:before="0" w:after="240"/>
      <w:ind w:left="0" w:firstLine="0"/>
      <w:jc w:val="center"/>
    </w:pPr>
    <w:rPr>
      <w:rFonts w:ascii="Arial Narrow" w:eastAsia="Times New Roman" w:hAnsi="Arial Narrow"/>
      <w:sz w:val="16"/>
      <w:szCs w:val="20"/>
      <w:lang w:eastAsia="pl-PL"/>
    </w:rPr>
  </w:style>
  <w:style w:type="table" w:styleId="Jasnecieniowanieakcent4">
    <w:name w:val="Light Shading Accent 4"/>
    <w:basedOn w:val="Standardowy"/>
    <w:uiPriority w:val="99"/>
    <w:rsid w:val="0039647C"/>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UyteHipercze">
    <w:name w:val="FollowedHyperlink"/>
    <w:basedOn w:val="Domylnaczcionkaakapitu"/>
    <w:uiPriority w:val="99"/>
    <w:rsid w:val="0039647C"/>
    <w:rPr>
      <w:rFonts w:cs="Times New Roman"/>
      <w:color w:val="800080"/>
      <w:u w:val="single"/>
    </w:rPr>
  </w:style>
  <w:style w:type="paragraph" w:customStyle="1" w:styleId="xl65">
    <w:name w:val="xl65"/>
    <w:basedOn w:val="Normalny"/>
    <w:uiPriority w:val="99"/>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6">
    <w:name w:val="xl66"/>
    <w:basedOn w:val="Normalny"/>
    <w:uiPriority w:val="99"/>
    <w:rsid w:val="0039647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7">
    <w:name w:val="xl67"/>
    <w:basedOn w:val="Normalny"/>
    <w:uiPriority w:val="99"/>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8">
    <w:name w:val="xl68"/>
    <w:basedOn w:val="Normalny"/>
    <w:uiPriority w:val="99"/>
    <w:rsid w:val="0039647C"/>
    <w:pPr>
      <w:pBdr>
        <w:left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9">
    <w:name w:val="xl69"/>
    <w:basedOn w:val="Normalny"/>
    <w:uiPriority w:val="99"/>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0">
    <w:name w:val="xl70"/>
    <w:basedOn w:val="Normalny"/>
    <w:uiPriority w:val="99"/>
    <w:rsid w:val="003964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1">
    <w:name w:val="xl71"/>
    <w:basedOn w:val="Normalny"/>
    <w:uiPriority w:val="99"/>
    <w:rsid w:val="003964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2">
    <w:name w:val="xl72"/>
    <w:basedOn w:val="Normalny"/>
    <w:uiPriority w:val="99"/>
    <w:rsid w:val="0039647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3">
    <w:name w:val="xl73"/>
    <w:basedOn w:val="Normalny"/>
    <w:uiPriority w:val="99"/>
    <w:rsid w:val="0039647C"/>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4">
    <w:name w:val="xl74"/>
    <w:basedOn w:val="Normalny"/>
    <w:uiPriority w:val="99"/>
    <w:rsid w:val="0039647C"/>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5">
    <w:name w:val="xl75"/>
    <w:basedOn w:val="Normalny"/>
    <w:uiPriority w:val="99"/>
    <w:rsid w:val="0039647C"/>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6">
    <w:name w:val="xl76"/>
    <w:basedOn w:val="Normalny"/>
    <w:uiPriority w:val="99"/>
    <w:rsid w:val="0039647C"/>
    <w:pPr>
      <w:pBdr>
        <w:top w:val="single" w:sz="8" w:space="0" w:color="auto"/>
        <w:left w:val="single" w:sz="8"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7">
    <w:name w:val="xl77"/>
    <w:basedOn w:val="Normalny"/>
    <w:uiPriority w:val="99"/>
    <w:rsid w:val="0039647C"/>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8">
    <w:name w:val="xl78"/>
    <w:basedOn w:val="Normalny"/>
    <w:uiPriority w:val="99"/>
    <w:rsid w:val="0039647C"/>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9">
    <w:name w:val="xl79"/>
    <w:basedOn w:val="Normalny"/>
    <w:uiPriority w:val="99"/>
    <w:rsid w:val="0039647C"/>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0">
    <w:name w:val="xl80"/>
    <w:basedOn w:val="Normalny"/>
    <w:uiPriority w:val="99"/>
    <w:rsid w:val="0039647C"/>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1">
    <w:name w:val="xl81"/>
    <w:basedOn w:val="Normalny"/>
    <w:uiPriority w:val="99"/>
    <w:rsid w:val="0039647C"/>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2">
    <w:name w:val="xl82"/>
    <w:basedOn w:val="Normalny"/>
    <w:uiPriority w:val="99"/>
    <w:rsid w:val="0039647C"/>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3">
    <w:name w:val="xl83"/>
    <w:basedOn w:val="Normalny"/>
    <w:uiPriority w:val="99"/>
    <w:rsid w:val="003964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4">
    <w:name w:val="xl84"/>
    <w:basedOn w:val="Normalny"/>
    <w:uiPriority w:val="99"/>
    <w:rsid w:val="0039647C"/>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5">
    <w:name w:val="xl85"/>
    <w:basedOn w:val="Normalny"/>
    <w:uiPriority w:val="99"/>
    <w:rsid w:val="0039647C"/>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6">
    <w:name w:val="xl86"/>
    <w:basedOn w:val="Normalny"/>
    <w:uiPriority w:val="99"/>
    <w:rsid w:val="0039647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7">
    <w:name w:val="xl87"/>
    <w:basedOn w:val="Normalny"/>
    <w:uiPriority w:val="99"/>
    <w:rsid w:val="0039647C"/>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8">
    <w:name w:val="xl88"/>
    <w:basedOn w:val="Normalny"/>
    <w:uiPriority w:val="99"/>
    <w:rsid w:val="0039647C"/>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89">
    <w:name w:val="xl89"/>
    <w:basedOn w:val="Normalny"/>
    <w:uiPriority w:val="99"/>
    <w:rsid w:val="0039647C"/>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0">
    <w:name w:val="xl90"/>
    <w:basedOn w:val="Normalny"/>
    <w:uiPriority w:val="99"/>
    <w:rsid w:val="0039647C"/>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1">
    <w:name w:val="xl91"/>
    <w:basedOn w:val="Normalny"/>
    <w:uiPriority w:val="99"/>
    <w:rsid w:val="0039647C"/>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2">
    <w:name w:val="xl92"/>
    <w:basedOn w:val="Normalny"/>
    <w:uiPriority w:val="99"/>
    <w:rsid w:val="0039647C"/>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3">
    <w:name w:val="xl93"/>
    <w:basedOn w:val="Normalny"/>
    <w:uiPriority w:val="99"/>
    <w:rsid w:val="0039647C"/>
    <w:pPr>
      <w:pBdr>
        <w:top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4">
    <w:name w:val="xl94"/>
    <w:basedOn w:val="Normalny"/>
    <w:uiPriority w:val="99"/>
    <w:rsid w:val="0039647C"/>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5">
    <w:name w:val="xl95"/>
    <w:basedOn w:val="Normalny"/>
    <w:uiPriority w:val="99"/>
    <w:rsid w:val="0039647C"/>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6">
    <w:name w:val="xl96"/>
    <w:basedOn w:val="Normalny"/>
    <w:uiPriority w:val="99"/>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styleId="Mapadokumentu">
    <w:name w:val="Document Map"/>
    <w:basedOn w:val="Normalny"/>
    <w:link w:val="MapadokumentuZnak"/>
    <w:uiPriority w:val="99"/>
    <w:rsid w:val="0039647C"/>
    <w:pPr>
      <w:spacing w:before="0" w:after="0"/>
      <w:jc w:val="left"/>
    </w:pPr>
    <w:rPr>
      <w:rFonts w:ascii="Tahoma" w:hAnsi="Tahoma" w:cs="Tahoma"/>
      <w:sz w:val="16"/>
      <w:szCs w:val="16"/>
    </w:rPr>
  </w:style>
  <w:style w:type="character" w:customStyle="1" w:styleId="MapadokumentuZnak">
    <w:name w:val="Mapa dokumentu Znak"/>
    <w:basedOn w:val="Domylnaczcionkaakapitu"/>
    <w:link w:val="Mapadokumentu"/>
    <w:uiPriority w:val="99"/>
    <w:rsid w:val="0039647C"/>
    <w:rPr>
      <w:rFonts w:ascii="Tahoma" w:hAnsi="Tahoma" w:cs="Tahoma"/>
      <w:sz w:val="16"/>
      <w:szCs w:val="16"/>
      <w:lang w:eastAsia="en-US"/>
    </w:rPr>
  </w:style>
  <w:style w:type="paragraph" w:customStyle="1" w:styleId="xl63">
    <w:name w:val="xl63"/>
    <w:basedOn w:val="Normalny"/>
    <w:uiPriority w:val="99"/>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4">
    <w:name w:val="xl64"/>
    <w:basedOn w:val="Normalny"/>
    <w:uiPriority w:val="99"/>
    <w:rsid w:val="0039647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character" w:customStyle="1" w:styleId="h2">
    <w:name w:val="h2"/>
    <w:basedOn w:val="Domylnaczcionkaakapitu"/>
    <w:uiPriority w:val="99"/>
    <w:rsid w:val="0039647C"/>
    <w:rPr>
      <w:rFonts w:cs="Times New Roman"/>
    </w:rPr>
  </w:style>
  <w:style w:type="character" w:customStyle="1" w:styleId="h1">
    <w:name w:val="h1"/>
    <w:basedOn w:val="Domylnaczcionkaakapitu"/>
    <w:uiPriority w:val="99"/>
    <w:rsid w:val="0039647C"/>
    <w:rPr>
      <w:rFonts w:cs="Times New Roman"/>
    </w:rPr>
  </w:style>
  <w:style w:type="paragraph" w:customStyle="1" w:styleId="punktowanie2">
    <w:name w:val="punktowanie2"/>
    <w:basedOn w:val="kropkowanierozdz"/>
    <w:uiPriority w:val="99"/>
    <w:rsid w:val="0039647C"/>
    <w:pPr>
      <w:numPr>
        <w:numId w:val="24"/>
      </w:numPr>
    </w:pPr>
  </w:style>
  <w:style w:type="table" w:customStyle="1" w:styleId="rednialista11">
    <w:name w:val="Średnia lista 11"/>
    <w:uiPriority w:val="99"/>
    <w:rsid w:val="0039647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odpisy">
    <w:name w:val="podpisy"/>
    <w:basedOn w:val="TekstRaport"/>
    <w:link w:val="podpisyZnak"/>
    <w:uiPriority w:val="99"/>
    <w:rsid w:val="0039647C"/>
    <w:pPr>
      <w:spacing w:before="240" w:after="0"/>
    </w:pPr>
    <w:rPr>
      <w:rFonts w:ascii="Arial" w:hAnsi="Arial" w:cs="Arial"/>
      <w:sz w:val="18"/>
      <w:szCs w:val="18"/>
    </w:rPr>
  </w:style>
  <w:style w:type="character" w:customStyle="1" w:styleId="podpisyZnak">
    <w:name w:val="podpisy Znak"/>
    <w:basedOn w:val="TekstRaportZnak"/>
    <w:link w:val="podpisy"/>
    <w:uiPriority w:val="99"/>
    <w:locked/>
    <w:rsid w:val="0039647C"/>
    <w:rPr>
      <w:rFonts w:ascii="Arial" w:eastAsia="Times New Roman" w:hAnsi="Arial" w:cs="Arial"/>
      <w:sz w:val="18"/>
      <w:szCs w:val="18"/>
    </w:rPr>
  </w:style>
  <w:style w:type="paragraph" w:customStyle="1" w:styleId="Mojspistresci">
    <w:name w:val="Moj_spis_tresci"/>
    <w:basedOn w:val="Spistreci1"/>
    <w:uiPriority w:val="99"/>
    <w:rsid w:val="0039647C"/>
    <w:pPr>
      <w:tabs>
        <w:tab w:val="clear" w:pos="567"/>
        <w:tab w:val="clear" w:pos="9062"/>
        <w:tab w:val="right" w:leader="dot" w:pos="709"/>
        <w:tab w:val="left" w:pos="901"/>
        <w:tab w:val="right" w:leader="dot" w:pos="9205"/>
      </w:tabs>
      <w:spacing w:before="0" w:afterLines="50" w:after="200"/>
      <w:ind w:left="284" w:hanging="284"/>
      <w:jc w:val="left"/>
    </w:pPr>
    <w:rPr>
      <w:rFonts w:ascii="Arial Narrow" w:hAnsi="Arial Narrow"/>
      <w:smallCaps w:val="0"/>
      <w:sz w:val="28"/>
      <w:szCs w:val="22"/>
    </w:rPr>
  </w:style>
  <w:style w:type="paragraph" w:customStyle="1" w:styleId="rycinyspis">
    <w:name w:val="rycinyspis"/>
    <w:basedOn w:val="Spisilustracji"/>
    <w:uiPriority w:val="99"/>
    <w:rsid w:val="0039647C"/>
    <w:pPr>
      <w:tabs>
        <w:tab w:val="clear" w:pos="1134"/>
        <w:tab w:val="clear" w:pos="9072"/>
        <w:tab w:val="right" w:leader="dot" w:pos="9205"/>
      </w:tabs>
      <w:spacing w:before="0"/>
      <w:ind w:left="851" w:hanging="794"/>
    </w:pPr>
    <w:rPr>
      <w:rFonts w:ascii="Arial" w:hAnsi="Arial" w:cs="Arial"/>
      <w:i/>
      <w:noProof/>
      <w:sz w:val="20"/>
      <w:szCs w:val="20"/>
    </w:rPr>
  </w:style>
  <w:style w:type="paragraph" w:customStyle="1" w:styleId="zanum">
    <w:name w:val="zał_num"/>
    <w:basedOn w:val="kropkowanierozdz"/>
    <w:uiPriority w:val="99"/>
    <w:rsid w:val="0039647C"/>
  </w:style>
  <w:style w:type="paragraph" w:customStyle="1" w:styleId="1nagwek">
    <w:name w:val="1. nagłówek"/>
    <w:basedOn w:val="Nagwek1"/>
    <w:next w:val="atpodstawowy"/>
    <w:uiPriority w:val="99"/>
    <w:rsid w:val="0039647C"/>
    <w:pPr>
      <w:keepLines/>
      <w:numPr>
        <w:numId w:val="25"/>
      </w:numPr>
      <w:spacing w:before="360" w:line="276" w:lineRule="auto"/>
    </w:pPr>
    <w:rPr>
      <w:rFonts w:ascii="Arial Narrow" w:eastAsia="Times New Roman" w:hAnsi="Arial Narrow" w:cs="Arial"/>
      <w:bCs/>
      <w:smallCaps/>
      <w:color w:val="auto"/>
      <w:sz w:val="32"/>
      <w:szCs w:val="24"/>
    </w:rPr>
  </w:style>
  <w:style w:type="paragraph" w:customStyle="1" w:styleId="atpodstawowy">
    <w:name w:val="a_t_podstawowy"/>
    <w:basedOn w:val="Normalny"/>
    <w:uiPriority w:val="99"/>
    <w:rsid w:val="0039647C"/>
    <w:pPr>
      <w:spacing w:before="0" w:after="80" w:line="276" w:lineRule="auto"/>
      <w:ind w:firstLine="567"/>
    </w:pPr>
    <w:rPr>
      <w:rFonts w:ascii="Arial Narrow" w:hAnsi="Arial Narrow"/>
    </w:rPr>
  </w:style>
  <w:style w:type="paragraph" w:customStyle="1" w:styleId="2nagowek">
    <w:name w:val="2. nagłowek"/>
    <w:basedOn w:val="Nagwek2"/>
    <w:next w:val="atpodstawowy"/>
    <w:uiPriority w:val="99"/>
    <w:rsid w:val="0039647C"/>
    <w:pPr>
      <w:keepLines/>
      <w:numPr>
        <w:ilvl w:val="0"/>
        <w:numId w:val="26"/>
      </w:numPr>
      <w:spacing w:before="360" w:line="276" w:lineRule="auto"/>
    </w:pPr>
    <w:rPr>
      <w:rFonts w:ascii="Arial" w:eastAsia="Times New Roman" w:hAnsi="Arial"/>
      <w:bCs/>
      <w:color w:val="215868"/>
      <w:sz w:val="24"/>
      <w:szCs w:val="26"/>
    </w:rPr>
  </w:style>
  <w:style w:type="paragraph" w:customStyle="1" w:styleId="awypunktowanie">
    <w:name w:val="a_wypunktowanie"/>
    <w:basedOn w:val="atpodstawowy"/>
    <w:uiPriority w:val="99"/>
    <w:rsid w:val="0039647C"/>
    <w:pPr>
      <w:numPr>
        <w:numId w:val="27"/>
      </w:numPr>
    </w:pPr>
  </w:style>
  <w:style w:type="paragraph" w:customStyle="1" w:styleId="abwypunktowanie">
    <w:name w:val="ab_wypunktowanie"/>
    <w:basedOn w:val="awypunktowanie"/>
    <w:uiPriority w:val="99"/>
    <w:rsid w:val="0039647C"/>
    <w:pPr>
      <w:numPr>
        <w:numId w:val="28"/>
      </w:numPr>
    </w:pPr>
  </w:style>
  <w:style w:type="paragraph" w:customStyle="1" w:styleId="3nagwek">
    <w:name w:val="3. nagłówek"/>
    <w:basedOn w:val="Nagwek3"/>
    <w:next w:val="atpodstawowy"/>
    <w:uiPriority w:val="99"/>
    <w:rsid w:val="0039647C"/>
    <w:pPr>
      <w:keepLines/>
      <w:numPr>
        <w:numId w:val="29"/>
      </w:numPr>
      <w:spacing w:after="240" w:line="276" w:lineRule="auto"/>
    </w:pPr>
    <w:rPr>
      <w:rFonts w:ascii="Arial Narrow" w:eastAsia="Times New Roman" w:hAnsi="Arial Narrow" w:cs="Times New Roman"/>
      <w:bCs/>
      <w:color w:val="215868"/>
    </w:rPr>
  </w:style>
  <w:style w:type="paragraph" w:customStyle="1" w:styleId="I-tytudpal">
    <w:name w:val="I - tytuł _dpal"/>
    <w:basedOn w:val="Normalny"/>
    <w:link w:val="I-tytudpalZnak"/>
    <w:autoRedefine/>
    <w:uiPriority w:val="99"/>
    <w:rsid w:val="0039647C"/>
    <w:pPr>
      <w:numPr>
        <w:numId w:val="30"/>
      </w:numPr>
      <w:spacing w:after="240"/>
      <w:jc w:val="left"/>
    </w:pPr>
    <w:rPr>
      <w:rFonts w:ascii="Arial Narrow" w:eastAsia="Times New Roman" w:hAnsi="Arial Narrow"/>
      <w:b/>
      <w:sz w:val="28"/>
      <w:szCs w:val="24"/>
      <w:lang w:eastAsia="pl-PL"/>
    </w:rPr>
  </w:style>
  <w:style w:type="character" w:customStyle="1" w:styleId="I-tytudpalZnak">
    <w:name w:val="I - tytuł _dpal Znak"/>
    <w:basedOn w:val="Domylnaczcionkaakapitu"/>
    <w:link w:val="I-tytudpal"/>
    <w:uiPriority w:val="99"/>
    <w:locked/>
    <w:rsid w:val="0039647C"/>
    <w:rPr>
      <w:rFonts w:ascii="Arial Narrow" w:eastAsia="Times New Roman" w:hAnsi="Arial Narrow"/>
      <w:b/>
      <w:sz w:val="28"/>
      <w:szCs w:val="24"/>
    </w:rPr>
  </w:style>
  <w:style w:type="paragraph" w:customStyle="1" w:styleId="TableText">
    <w:name w:val="TableText"/>
    <w:basedOn w:val="Normalny"/>
    <w:uiPriority w:val="99"/>
    <w:rsid w:val="0039647C"/>
    <w:pPr>
      <w:suppressAutoHyphens/>
      <w:spacing w:before="0" w:after="0"/>
      <w:jc w:val="center"/>
    </w:pPr>
    <w:rPr>
      <w:rFonts w:ascii="Arial Narrow" w:eastAsia="Times New Roman" w:hAnsi="Arial Narrow"/>
      <w:sz w:val="16"/>
      <w:szCs w:val="20"/>
      <w:lang w:val="en-GB" w:eastAsia="ar-SA"/>
    </w:rPr>
  </w:style>
  <w:style w:type="paragraph" w:customStyle="1" w:styleId="TestRaportPunktowany">
    <w:name w:val="Test Raport Punktowany"/>
    <w:basedOn w:val="TekstRaport"/>
    <w:autoRedefine/>
    <w:uiPriority w:val="99"/>
    <w:rsid w:val="0039647C"/>
    <w:pPr>
      <w:numPr>
        <w:ilvl w:val="1"/>
        <w:numId w:val="30"/>
      </w:numPr>
      <w:tabs>
        <w:tab w:val="clear" w:pos="792"/>
      </w:tabs>
    </w:pPr>
  </w:style>
  <w:style w:type="paragraph" w:customStyle="1" w:styleId="JCWPd-nagwek">
    <w:name w:val="JCWPd-nagłówek"/>
    <w:basedOn w:val="Tekstpodstawowy"/>
    <w:link w:val="JCWPd-nagwekZnak"/>
    <w:uiPriority w:val="99"/>
    <w:rsid w:val="0039647C"/>
    <w:pPr>
      <w:spacing w:before="360" w:after="240"/>
      <w:jc w:val="left"/>
    </w:pPr>
    <w:rPr>
      <w:rFonts w:ascii="Arial Narrow" w:hAnsi="Arial Narrow"/>
      <w:b/>
      <w:sz w:val="24"/>
      <w:u w:val="single"/>
    </w:rPr>
  </w:style>
  <w:style w:type="character" w:customStyle="1" w:styleId="JCWPd-nagwekZnak">
    <w:name w:val="JCWPd-nagłówek Znak"/>
    <w:basedOn w:val="Domylnaczcionkaakapitu"/>
    <w:link w:val="JCWPd-nagwek"/>
    <w:uiPriority w:val="99"/>
    <w:locked/>
    <w:rsid w:val="0039647C"/>
    <w:rPr>
      <w:rFonts w:ascii="Arial Narrow" w:hAnsi="Arial Narrow"/>
      <w:b/>
      <w:sz w:val="24"/>
      <w:szCs w:val="22"/>
      <w:u w:val="single"/>
      <w:lang w:eastAsia="en-US"/>
    </w:rPr>
  </w:style>
  <w:style w:type="character" w:customStyle="1" w:styleId="RozdzialZnak">
    <w:name w:val="Rozdzial Znak"/>
    <w:basedOn w:val="Domylnaczcionkaakapitu"/>
    <w:link w:val="Rozdzial"/>
    <w:uiPriority w:val="99"/>
    <w:locked/>
    <w:rsid w:val="0039647C"/>
    <w:rPr>
      <w:rFonts w:ascii="Arial" w:hAnsi="Arial"/>
      <w:sz w:val="22"/>
      <w:lang w:eastAsia="en-US"/>
    </w:rPr>
  </w:style>
  <w:style w:type="character" w:customStyle="1" w:styleId="kropkowanierozdzZnak">
    <w:name w:val="kropkowanie_rozdz Znak"/>
    <w:basedOn w:val="Domylnaczcionkaakapitu"/>
    <w:link w:val="kropkowanierozdz"/>
    <w:uiPriority w:val="99"/>
    <w:locked/>
    <w:rsid w:val="0039647C"/>
    <w:rPr>
      <w:rFonts w:ascii="Arial" w:hAnsi="Arial"/>
      <w:sz w:val="22"/>
      <w:szCs w:val="24"/>
      <w:lang w:eastAsia="en-US"/>
    </w:rPr>
  </w:style>
  <w:style w:type="paragraph" w:customStyle="1" w:styleId="APodpispodfigury">
    <w:name w:val="APodpis pod figury"/>
    <w:basedOn w:val="Rozdzial"/>
    <w:uiPriority w:val="99"/>
    <w:rsid w:val="0039647C"/>
    <w:pPr>
      <w:suppressAutoHyphens/>
      <w:spacing w:before="240" w:after="480" w:line="260" w:lineRule="exact"/>
      <w:jc w:val="center"/>
    </w:pPr>
    <w:rPr>
      <w:b/>
      <w:sz w:val="20"/>
    </w:rPr>
  </w:style>
  <w:style w:type="paragraph" w:customStyle="1" w:styleId="aRaportPodpisTabeli">
    <w:name w:val="a_Raport Podpis Tabeli"/>
    <w:basedOn w:val="Legenda"/>
    <w:uiPriority w:val="99"/>
    <w:rsid w:val="0039647C"/>
    <w:pPr>
      <w:tabs>
        <w:tab w:val="left" w:pos="1134"/>
      </w:tabs>
      <w:spacing w:before="0" w:after="120"/>
      <w:ind w:left="0" w:firstLine="0"/>
    </w:pPr>
    <w:rPr>
      <w:rFonts w:ascii="Arial Narrow" w:eastAsia="Times New Roman" w:hAnsi="Arial Narrow"/>
      <w:sz w:val="16"/>
      <w:szCs w:val="20"/>
      <w:lang w:eastAsia="pl-PL"/>
    </w:rPr>
  </w:style>
  <w:style w:type="paragraph" w:customStyle="1" w:styleId="NormalnyPW">
    <w:name w:val="Normalny PW"/>
    <w:basedOn w:val="Normalny"/>
    <w:uiPriority w:val="99"/>
    <w:rsid w:val="0039647C"/>
    <w:pPr>
      <w:spacing w:before="0" w:line="360" w:lineRule="auto"/>
    </w:pPr>
    <w:rPr>
      <w:rFonts w:ascii="Times New Roman" w:eastAsia="Times New Roman" w:hAnsi="Times New Roman"/>
      <w:sz w:val="24"/>
    </w:rPr>
  </w:style>
  <w:style w:type="paragraph" w:customStyle="1" w:styleId="Nagwek2Raport">
    <w:name w:val="Nagłówek 2 Raport"/>
    <w:basedOn w:val="I-tytudpal"/>
    <w:uiPriority w:val="99"/>
    <w:rsid w:val="0039647C"/>
    <w:pPr>
      <w:numPr>
        <w:ilvl w:val="1"/>
        <w:numId w:val="31"/>
      </w:numPr>
      <w:tabs>
        <w:tab w:val="clear" w:pos="789"/>
      </w:tabs>
      <w:spacing w:before="240"/>
    </w:pPr>
    <w:rPr>
      <w:b w:val="0"/>
    </w:rPr>
  </w:style>
  <w:style w:type="paragraph" w:customStyle="1" w:styleId="Nagowek3Raport">
    <w:name w:val="Nagłowek 3 Raport"/>
    <w:basedOn w:val="Nagwek2Raport"/>
    <w:uiPriority w:val="99"/>
    <w:rsid w:val="0039647C"/>
    <w:pPr>
      <w:numPr>
        <w:ilvl w:val="2"/>
      </w:numPr>
      <w:tabs>
        <w:tab w:val="clear" w:pos="1221"/>
      </w:tabs>
    </w:pPr>
    <w:rPr>
      <w:b/>
      <w:sz w:val="20"/>
    </w:rPr>
  </w:style>
  <w:style w:type="paragraph" w:customStyle="1" w:styleId="TabelaRaportNagwk">
    <w:name w:val="Tabela Raport Nagłówk"/>
    <w:basedOn w:val="TabelaRaport"/>
    <w:uiPriority w:val="99"/>
    <w:rsid w:val="0039647C"/>
    <w:rPr>
      <w:bCs w:val="0"/>
      <w:szCs w:val="16"/>
    </w:rPr>
  </w:style>
  <w:style w:type="paragraph" w:customStyle="1" w:styleId="StylSpistreci1Zprawej-146cm">
    <w:name w:val="Styl Spis treści 1 + Z prawej:  -1.46 cm"/>
    <w:basedOn w:val="Spistreci1"/>
    <w:autoRedefine/>
    <w:uiPriority w:val="99"/>
    <w:rsid w:val="0039647C"/>
    <w:pPr>
      <w:tabs>
        <w:tab w:val="clear" w:pos="567"/>
        <w:tab w:val="clear" w:pos="9062"/>
        <w:tab w:val="right" w:leader="dot" w:pos="709"/>
        <w:tab w:val="left" w:pos="1260"/>
        <w:tab w:val="right" w:leader="dot" w:pos="9498"/>
      </w:tabs>
      <w:spacing w:afterLines="50" w:after="200" w:line="360" w:lineRule="auto"/>
      <w:ind w:left="539" w:right="-829" w:hanging="359"/>
      <w:jc w:val="left"/>
    </w:pPr>
    <w:rPr>
      <w:rFonts w:ascii="Arial Narrow" w:eastAsia="Times New Roman" w:hAnsi="Arial Narrow"/>
      <w:b w:val="0"/>
      <w:smallCaps w:val="0"/>
      <w:sz w:val="28"/>
      <w:lang w:eastAsia="pl-PL"/>
    </w:rPr>
  </w:style>
  <w:style w:type="paragraph" w:customStyle="1" w:styleId="RaportBibliografia">
    <w:name w:val="Raport Bibliografia"/>
    <w:basedOn w:val="TekstRaport"/>
    <w:uiPriority w:val="99"/>
    <w:rsid w:val="0039647C"/>
  </w:style>
  <w:style w:type="paragraph" w:customStyle="1" w:styleId="BodyText21">
    <w:name w:val="Body Text 21"/>
    <w:basedOn w:val="Normalny"/>
    <w:uiPriority w:val="99"/>
    <w:rsid w:val="0039647C"/>
    <w:pPr>
      <w:tabs>
        <w:tab w:val="num" w:pos="1728"/>
      </w:tabs>
      <w:spacing w:before="0" w:after="0" w:line="360" w:lineRule="auto"/>
      <w:ind w:left="1728" w:hanging="648"/>
    </w:pPr>
    <w:rPr>
      <w:rFonts w:ascii="Arial" w:eastAsia="Times New Roman" w:hAnsi="Arial"/>
      <w:sz w:val="24"/>
      <w:szCs w:val="20"/>
      <w:lang w:eastAsia="pl-PL"/>
    </w:rPr>
  </w:style>
  <w:style w:type="paragraph" w:customStyle="1" w:styleId="RaportNagwek4">
    <w:name w:val="Raport Nagłówek 4"/>
    <w:basedOn w:val="I-tytudpal"/>
    <w:autoRedefine/>
    <w:uiPriority w:val="99"/>
    <w:rsid w:val="0039647C"/>
    <w:pPr>
      <w:numPr>
        <w:numId w:val="0"/>
      </w:numPr>
      <w:tabs>
        <w:tab w:val="num" w:pos="1418"/>
      </w:tabs>
      <w:spacing w:after="360"/>
      <w:ind w:left="1417" w:hanging="992"/>
    </w:pPr>
  </w:style>
  <w:style w:type="paragraph" w:customStyle="1" w:styleId="standard1">
    <w:name w:val="standard1"/>
    <w:basedOn w:val="Normalny"/>
    <w:uiPriority w:val="99"/>
    <w:rsid w:val="0039647C"/>
    <w:pPr>
      <w:spacing w:before="0" w:after="0" w:line="360" w:lineRule="auto"/>
      <w:ind w:firstLine="709"/>
    </w:pPr>
    <w:rPr>
      <w:rFonts w:ascii="Times New Roman" w:eastAsia="Times New Roman" w:hAnsi="Times New Roman"/>
      <w:sz w:val="24"/>
      <w:szCs w:val="20"/>
      <w:lang w:eastAsia="pl-PL"/>
    </w:rPr>
  </w:style>
  <w:style w:type="paragraph" w:customStyle="1" w:styleId="Rysunektytu">
    <w:name w:val="Rysunek_tytuł"/>
    <w:basedOn w:val="Tabelatytu"/>
    <w:next w:val="atpodstawowy"/>
    <w:uiPriority w:val="99"/>
    <w:rsid w:val="0039647C"/>
    <w:pPr>
      <w:keepNext w:val="0"/>
      <w:spacing w:before="120" w:after="240"/>
      <w:ind w:left="0" w:firstLine="0"/>
      <w:jc w:val="center"/>
    </w:pPr>
  </w:style>
  <w:style w:type="paragraph" w:customStyle="1" w:styleId="standard12">
    <w:name w:val="standard12"/>
    <w:basedOn w:val="Normalny"/>
    <w:uiPriority w:val="99"/>
    <w:rsid w:val="0039647C"/>
    <w:pPr>
      <w:suppressAutoHyphens/>
      <w:spacing w:before="0" w:after="0" w:line="360" w:lineRule="auto"/>
      <w:jc w:val="left"/>
    </w:pPr>
    <w:rPr>
      <w:rFonts w:ascii="Times New Roman" w:eastAsia="Times New Roman" w:hAnsi="Times New Roman"/>
      <w:sz w:val="24"/>
      <w:szCs w:val="20"/>
      <w:lang w:eastAsia="pl-PL"/>
    </w:rPr>
  </w:style>
  <w:style w:type="paragraph" w:customStyle="1" w:styleId="podsumowanie">
    <w:name w:val="podsumowanie"/>
    <w:basedOn w:val="atpodstawowy"/>
    <w:uiPriority w:val="99"/>
    <w:rsid w:val="0039647C"/>
    <w:pPr>
      <w:numPr>
        <w:numId w:val="32"/>
      </w:numPr>
    </w:pPr>
  </w:style>
  <w:style w:type="paragraph" w:customStyle="1" w:styleId="II-tytu-dpal">
    <w:name w:val="II - tytuł - dpal"/>
    <w:basedOn w:val="Normalny"/>
    <w:uiPriority w:val="99"/>
    <w:rsid w:val="0039647C"/>
    <w:pPr>
      <w:spacing w:before="480" w:after="240"/>
    </w:pPr>
    <w:rPr>
      <w:rFonts w:ascii="Arial Narrow" w:hAnsi="Arial Narrow"/>
      <w:b/>
      <w:smallCaps/>
      <w:sz w:val="28"/>
    </w:rPr>
  </w:style>
  <w:style w:type="paragraph" w:customStyle="1" w:styleId="III-tytu-dpal">
    <w:name w:val="III - tytuł - dpal"/>
    <w:basedOn w:val="II-tytu-dpal"/>
    <w:uiPriority w:val="99"/>
    <w:rsid w:val="0039647C"/>
    <w:rPr>
      <w:smallCaps w:val="0"/>
      <w:sz w:val="24"/>
    </w:rPr>
  </w:style>
  <w:style w:type="character" w:customStyle="1" w:styleId="apple-converted-space">
    <w:name w:val="apple-converted-space"/>
    <w:basedOn w:val="Domylnaczcionkaakapitu"/>
    <w:uiPriority w:val="99"/>
    <w:rsid w:val="0039647C"/>
    <w:rPr>
      <w:rFonts w:cs="Times New Roman"/>
    </w:rPr>
  </w:style>
  <w:style w:type="paragraph" w:customStyle="1" w:styleId="Tekstraportdpal">
    <w:name w:val="Tekst raport_dpal"/>
    <w:basedOn w:val="TekstRaport"/>
    <w:uiPriority w:val="99"/>
    <w:rsid w:val="0039647C"/>
    <w:pPr>
      <w:spacing w:before="0"/>
      <w:ind w:firstLine="709"/>
    </w:pPr>
    <w:rPr>
      <w:sz w:val="22"/>
      <w:szCs w:val="20"/>
    </w:rPr>
  </w:style>
  <w:style w:type="paragraph" w:customStyle="1" w:styleId="Nagowek1Raport">
    <w:name w:val="Nagłowek 1 Raport"/>
    <w:basedOn w:val="Normalny"/>
    <w:link w:val="Nagowek1RaportZnak"/>
    <w:autoRedefine/>
    <w:uiPriority w:val="99"/>
    <w:rsid w:val="0039647C"/>
    <w:pPr>
      <w:spacing w:before="480" w:after="360"/>
      <w:jc w:val="center"/>
      <w:outlineLvl w:val="0"/>
    </w:pPr>
    <w:rPr>
      <w:rFonts w:ascii="Arial Narrow" w:eastAsia="Times New Roman" w:hAnsi="Arial Narrow"/>
      <w:b/>
      <w:sz w:val="28"/>
      <w:szCs w:val="24"/>
      <w:lang w:eastAsia="pl-PL"/>
    </w:rPr>
  </w:style>
  <w:style w:type="character" w:customStyle="1" w:styleId="Nagowek1RaportZnak">
    <w:name w:val="Nagłowek 1 Raport Znak"/>
    <w:basedOn w:val="Domylnaczcionkaakapitu"/>
    <w:link w:val="Nagowek1Raport"/>
    <w:uiPriority w:val="99"/>
    <w:locked/>
    <w:rsid w:val="0039647C"/>
    <w:rPr>
      <w:rFonts w:ascii="Arial Narrow" w:eastAsia="Times New Roman" w:hAnsi="Arial Narrow"/>
      <w:b/>
      <w:sz w:val="28"/>
      <w:szCs w:val="24"/>
    </w:rPr>
  </w:style>
  <w:style w:type="paragraph" w:customStyle="1" w:styleId="StylNagwek1aciskiArialNarrowPo12pt">
    <w:name w:val="Styl Nagłówek 1 + (Łaciński) Arial Narrow Po:  12 pt"/>
    <w:basedOn w:val="Nagwek1"/>
    <w:uiPriority w:val="99"/>
    <w:rsid w:val="0039647C"/>
    <w:pPr>
      <w:keepLines/>
      <w:numPr>
        <w:numId w:val="0"/>
      </w:numPr>
      <w:spacing w:before="480"/>
    </w:pPr>
    <w:rPr>
      <w:rFonts w:ascii="Arial Narrow" w:eastAsia="Times New Roman" w:hAnsi="Arial Narrow"/>
      <w:bCs/>
      <w:color w:val="365F91"/>
      <w:szCs w:val="20"/>
      <w:lang w:eastAsia="pl-PL"/>
    </w:rPr>
  </w:style>
  <w:style w:type="paragraph" w:customStyle="1" w:styleId="Tekstpodstawowy21">
    <w:name w:val="Tekst podstawowy 21"/>
    <w:basedOn w:val="Normalny"/>
    <w:uiPriority w:val="99"/>
    <w:rsid w:val="0039647C"/>
    <w:pPr>
      <w:spacing w:before="0" w:after="0" w:line="360" w:lineRule="auto"/>
    </w:pPr>
    <w:rPr>
      <w:rFonts w:ascii="Arial" w:eastAsia="Times New Roman" w:hAnsi="Arial"/>
      <w:sz w:val="24"/>
      <w:szCs w:val="20"/>
      <w:lang w:eastAsia="pl-PL"/>
    </w:rPr>
  </w:style>
  <w:style w:type="character" w:customStyle="1" w:styleId="odkryjnastepnyblok">
    <w:name w:val="odkryjnastepnyblok"/>
    <w:basedOn w:val="Domylnaczcionkaakapitu"/>
    <w:uiPriority w:val="99"/>
    <w:rsid w:val="0039647C"/>
    <w:rPr>
      <w:rFonts w:cs="Times New Roman"/>
    </w:rPr>
  </w:style>
  <w:style w:type="paragraph" w:customStyle="1" w:styleId="Nagwek2dpal">
    <w:name w:val="Nagłówek 2_dpal"/>
    <w:basedOn w:val="Nagwek1"/>
    <w:uiPriority w:val="99"/>
    <w:rsid w:val="0039647C"/>
    <w:pPr>
      <w:keepLines/>
      <w:numPr>
        <w:numId w:val="0"/>
      </w:numPr>
      <w:spacing w:before="480" w:after="360"/>
    </w:pPr>
    <w:rPr>
      <w:rFonts w:ascii="Arial Narrow" w:eastAsia="Times New Roman" w:hAnsi="Arial Narrow"/>
      <w:bCs/>
      <w:color w:val="365F91"/>
      <w:sz w:val="26"/>
      <w:szCs w:val="20"/>
      <w:lang w:eastAsia="pl-PL"/>
    </w:rPr>
  </w:style>
  <w:style w:type="paragraph" w:customStyle="1" w:styleId="Nagwek3dpal">
    <w:name w:val="Nagłówek 3_dpal"/>
    <w:basedOn w:val="Nagwek2"/>
    <w:uiPriority w:val="99"/>
    <w:rsid w:val="0039647C"/>
    <w:pPr>
      <w:numPr>
        <w:ilvl w:val="0"/>
        <w:numId w:val="0"/>
      </w:numPr>
      <w:spacing w:before="360"/>
      <w:ind w:left="578" w:hanging="578"/>
    </w:pPr>
    <w:rPr>
      <w:rFonts w:ascii="Arial Narrow" w:eastAsia="Times New Roman" w:hAnsi="Arial Narrow"/>
      <w:bCs/>
      <w:color w:val="1F497D"/>
      <w:sz w:val="24"/>
      <w:szCs w:val="20"/>
      <w:lang w:eastAsia="pl-PL"/>
    </w:rPr>
  </w:style>
  <w:style w:type="paragraph" w:customStyle="1" w:styleId="StylLegendaWyjustowany">
    <w:name w:val="Styl Legenda + Wyjustowany"/>
    <w:basedOn w:val="Legenda"/>
    <w:uiPriority w:val="99"/>
    <w:rsid w:val="0039647C"/>
    <w:pPr>
      <w:keepNext w:val="0"/>
      <w:tabs>
        <w:tab w:val="left" w:pos="1134"/>
      </w:tabs>
      <w:spacing w:before="120" w:after="360"/>
      <w:ind w:left="0" w:firstLine="0"/>
      <w:jc w:val="center"/>
    </w:pPr>
    <w:rPr>
      <w:rFonts w:ascii="Arial Narrow" w:eastAsia="Times New Roman" w:hAnsi="Arial Narrow"/>
      <w:szCs w:val="20"/>
      <w:lang w:eastAsia="pl-PL"/>
    </w:rPr>
  </w:style>
  <w:style w:type="paragraph" w:customStyle="1" w:styleId="1nagoweksprawozdanie2010">
    <w:name w:val="1. nagłowek sprawozdanie 2010"/>
    <w:basedOn w:val="Nagwek1"/>
    <w:uiPriority w:val="99"/>
    <w:rsid w:val="0039647C"/>
    <w:pPr>
      <w:numPr>
        <w:numId w:val="0"/>
      </w:numPr>
      <w:spacing w:before="360" w:after="360" w:line="360" w:lineRule="auto"/>
    </w:pPr>
    <w:rPr>
      <w:rFonts w:ascii="Arial Narrow" w:eastAsia="Times New Roman" w:hAnsi="Arial Narrow" w:cs="Arial"/>
      <w:color w:val="000000"/>
      <w:kern w:val="32"/>
      <w:szCs w:val="22"/>
      <w:lang w:eastAsia="pl-PL"/>
    </w:rPr>
  </w:style>
  <w:style w:type="paragraph" w:customStyle="1" w:styleId="tekstsprawozdanie2010">
    <w:name w:val="tekst sprawozdanie 2010"/>
    <w:basedOn w:val="Normalny"/>
    <w:uiPriority w:val="99"/>
    <w:rsid w:val="0039647C"/>
    <w:pPr>
      <w:spacing w:before="0" w:after="0" w:line="360" w:lineRule="auto"/>
      <w:ind w:firstLine="680"/>
    </w:pPr>
    <w:rPr>
      <w:rFonts w:ascii="Arial Narrow" w:eastAsia="Times New Roman" w:hAnsi="Arial Narrow" w:cs="Arial"/>
      <w:color w:val="000000"/>
      <w:sz w:val="24"/>
      <w:lang w:eastAsia="pl-PL"/>
    </w:rPr>
  </w:style>
  <w:style w:type="paragraph" w:customStyle="1" w:styleId="2nagweksprawozdanie2010">
    <w:name w:val="2 nagłówek sprawozdanie 2010"/>
    <w:basedOn w:val="Nagwek"/>
    <w:uiPriority w:val="99"/>
    <w:rsid w:val="0039647C"/>
    <w:pPr>
      <w:tabs>
        <w:tab w:val="left" w:pos="708"/>
      </w:tabs>
      <w:spacing w:after="360"/>
      <w:ind w:left="709"/>
      <w:jc w:val="left"/>
    </w:pPr>
    <w:rPr>
      <w:rFonts w:ascii="Arial Narrow" w:eastAsia="Times New Roman" w:hAnsi="Arial Narrow" w:cs="Arial"/>
      <w:b/>
      <w:color w:val="000000"/>
      <w:sz w:val="24"/>
      <w:szCs w:val="24"/>
      <w:lang w:eastAsia="pl-PL"/>
    </w:rPr>
  </w:style>
  <w:style w:type="paragraph" w:customStyle="1" w:styleId="3nagweksprawozdanie2010">
    <w:name w:val="3 nagłówek sprawozdanie 2010"/>
    <w:basedOn w:val="1nagoweksprawozdanie2010"/>
    <w:uiPriority w:val="99"/>
    <w:rsid w:val="0039647C"/>
    <w:rPr>
      <w:sz w:val="22"/>
    </w:rPr>
  </w:style>
  <w:style w:type="paragraph" w:customStyle="1" w:styleId="StylNagwek1aciskiArialNarrowPo12pt1">
    <w:name w:val="Styl Nagłówek 1 + (Łaciński) Arial Narrow Po:  12 pt1"/>
    <w:basedOn w:val="Nagwek1"/>
    <w:uiPriority w:val="99"/>
    <w:rsid w:val="0039647C"/>
    <w:pPr>
      <w:keepLines/>
      <w:numPr>
        <w:numId w:val="0"/>
      </w:numPr>
      <w:spacing w:before="840"/>
    </w:pPr>
    <w:rPr>
      <w:rFonts w:ascii="Arial Narrow" w:eastAsia="Times New Roman" w:hAnsi="Arial Narrow"/>
      <w:bCs/>
      <w:color w:val="365F91"/>
      <w:szCs w:val="20"/>
      <w:lang w:eastAsia="pl-PL"/>
    </w:rPr>
  </w:style>
  <w:style w:type="character" w:customStyle="1" w:styleId="bn">
    <w:name w:val="bn"/>
    <w:basedOn w:val="Domylnaczcionkaakapitu"/>
    <w:uiPriority w:val="99"/>
    <w:rsid w:val="0039647C"/>
    <w:rPr>
      <w:rFonts w:cs="Times New Roman"/>
    </w:rPr>
  </w:style>
  <w:style w:type="character" w:customStyle="1" w:styleId="nm">
    <w:name w:val="nm"/>
    <w:basedOn w:val="Domylnaczcionkaakapitu"/>
    <w:uiPriority w:val="99"/>
    <w:rsid w:val="0039647C"/>
    <w:rPr>
      <w:rFonts w:cs="Times New Roman"/>
    </w:rPr>
  </w:style>
  <w:style w:type="paragraph" w:customStyle="1" w:styleId="StylLegendaArialNarrow10ptAutomatycznyPrzed18ptP">
    <w:name w:val="Styl Legenda + Arial Narrow 10 pt Automatyczny Przed:  18 pt P..."/>
    <w:basedOn w:val="Legenda"/>
    <w:uiPriority w:val="99"/>
    <w:rsid w:val="0039647C"/>
    <w:pPr>
      <w:keepNext w:val="0"/>
      <w:tabs>
        <w:tab w:val="left" w:pos="1134"/>
      </w:tabs>
      <w:spacing w:before="360" w:after="120"/>
      <w:ind w:left="794" w:hanging="794"/>
    </w:pPr>
    <w:rPr>
      <w:rFonts w:ascii="Arial Narrow" w:eastAsia="Times New Roman" w:hAnsi="Arial Narrow"/>
      <w:szCs w:val="20"/>
      <w:lang w:eastAsia="pl-PL"/>
    </w:rPr>
  </w:style>
  <w:style w:type="paragraph" w:customStyle="1" w:styleId="StylNagwek1aciskiArialNarrowAutomatycznyPo12pt">
    <w:name w:val="Styl Nagłówek 1 + (Łaciński) Arial Narrow Automatyczny Po:  12 pt"/>
    <w:basedOn w:val="Nagwek1"/>
    <w:uiPriority w:val="99"/>
    <w:rsid w:val="0039647C"/>
    <w:pPr>
      <w:keepLines/>
      <w:numPr>
        <w:numId w:val="0"/>
      </w:numPr>
      <w:spacing w:after="480"/>
    </w:pPr>
    <w:rPr>
      <w:rFonts w:ascii="Arial Narrow" w:eastAsia="Times New Roman" w:hAnsi="Arial Narrow"/>
      <w:bCs/>
      <w:color w:val="auto"/>
      <w:szCs w:val="20"/>
      <w:lang w:eastAsia="pl-PL"/>
    </w:rPr>
  </w:style>
  <w:style w:type="paragraph" w:customStyle="1" w:styleId="Azotany">
    <w:name w:val="Azotany"/>
    <w:basedOn w:val="Normalny"/>
    <w:link w:val="AzotanyZnak"/>
    <w:uiPriority w:val="99"/>
    <w:rsid w:val="0039647C"/>
    <w:pPr>
      <w:spacing w:before="0" w:line="360" w:lineRule="auto"/>
    </w:pPr>
    <w:rPr>
      <w:rFonts w:ascii="Arial Narrow" w:eastAsia="Times New Roman" w:hAnsi="Arial Narrow"/>
      <w:szCs w:val="20"/>
      <w:lang w:eastAsia="pl-PL"/>
    </w:rPr>
  </w:style>
  <w:style w:type="character" w:customStyle="1" w:styleId="AzotanyZnak">
    <w:name w:val="Azotany Znak"/>
    <w:basedOn w:val="Domylnaczcionkaakapitu"/>
    <w:link w:val="Azotany"/>
    <w:uiPriority w:val="99"/>
    <w:locked/>
    <w:rsid w:val="0039647C"/>
    <w:rPr>
      <w:rFonts w:ascii="Arial Narrow" w:eastAsia="Times New Roman" w:hAnsi="Arial Narrow"/>
      <w:sz w:val="22"/>
    </w:rPr>
  </w:style>
  <w:style w:type="paragraph" w:customStyle="1" w:styleId="celp">
    <w:name w:val="cel_p"/>
    <w:basedOn w:val="Normalny"/>
    <w:uiPriority w:val="99"/>
    <w:rsid w:val="0039647C"/>
    <w:pPr>
      <w:spacing w:before="100" w:beforeAutospacing="1" w:after="100" w:afterAutospacing="1"/>
      <w:jc w:val="left"/>
    </w:pPr>
    <w:rPr>
      <w:rFonts w:ascii="Times New Roman" w:eastAsia="Times New Roman" w:hAnsi="Times New Roman"/>
      <w:sz w:val="24"/>
      <w:szCs w:val="24"/>
      <w:lang w:eastAsia="pl-PL"/>
    </w:rPr>
  </w:style>
  <w:style w:type="numbering" w:customStyle="1" w:styleId="Styl1">
    <w:name w:val="Styl1"/>
    <w:rsid w:val="0039647C"/>
    <w:pPr>
      <w:numPr>
        <w:numId w:val="14"/>
      </w:numPr>
    </w:pPr>
  </w:style>
  <w:style w:type="character" w:customStyle="1" w:styleId="st">
    <w:name w:val="st"/>
    <w:basedOn w:val="Domylnaczcionkaakapitu"/>
    <w:rsid w:val="0039647C"/>
  </w:style>
  <w:style w:type="character" w:styleId="Uwydatnienie">
    <w:name w:val="Emphasis"/>
    <w:basedOn w:val="Domylnaczcionkaakapitu"/>
    <w:uiPriority w:val="20"/>
    <w:qFormat/>
    <w:locked/>
    <w:rsid w:val="0039647C"/>
    <w:rPr>
      <w:i/>
      <w:iCs/>
    </w:rPr>
  </w:style>
  <w:style w:type="paragraph" w:customStyle="1" w:styleId="font5">
    <w:name w:val="font5"/>
    <w:basedOn w:val="Normalny"/>
    <w:rsid w:val="0039647C"/>
    <w:pPr>
      <w:spacing w:before="100" w:beforeAutospacing="1" w:after="100" w:afterAutospacing="1"/>
      <w:jc w:val="left"/>
    </w:pPr>
    <w:rPr>
      <w:rFonts w:eastAsia="Times New Roman"/>
      <w:color w:val="000000"/>
      <w:sz w:val="16"/>
      <w:szCs w:val="16"/>
      <w:lang w:eastAsia="pl-PL"/>
    </w:rPr>
  </w:style>
  <w:style w:type="paragraph" w:customStyle="1" w:styleId="font6">
    <w:name w:val="font6"/>
    <w:basedOn w:val="Normalny"/>
    <w:rsid w:val="0039647C"/>
    <w:pPr>
      <w:spacing w:before="100" w:beforeAutospacing="1" w:after="100" w:afterAutospacing="1"/>
      <w:jc w:val="left"/>
    </w:pPr>
    <w:rPr>
      <w:rFonts w:eastAsia="Times New Roman"/>
      <w:b/>
      <w:bCs/>
      <w:sz w:val="16"/>
      <w:szCs w:val="16"/>
      <w:lang w:eastAsia="pl-PL"/>
    </w:rPr>
  </w:style>
  <w:style w:type="paragraph" w:customStyle="1" w:styleId="font7">
    <w:name w:val="font7"/>
    <w:basedOn w:val="Normalny"/>
    <w:rsid w:val="0039647C"/>
    <w:pPr>
      <w:spacing w:before="100" w:beforeAutospacing="1" w:after="100" w:afterAutospacing="1"/>
      <w:jc w:val="left"/>
    </w:pPr>
    <w:rPr>
      <w:rFonts w:eastAsia="Times New Roman"/>
      <w:i/>
      <w:iCs/>
      <w:sz w:val="16"/>
      <w:szCs w:val="16"/>
      <w:lang w:eastAsia="pl-PL"/>
    </w:rPr>
  </w:style>
  <w:style w:type="paragraph" w:customStyle="1" w:styleId="font8">
    <w:name w:val="font8"/>
    <w:basedOn w:val="Normalny"/>
    <w:rsid w:val="0039647C"/>
    <w:pPr>
      <w:spacing w:before="100" w:beforeAutospacing="1" w:after="100" w:afterAutospacing="1"/>
      <w:jc w:val="left"/>
    </w:pPr>
    <w:rPr>
      <w:rFonts w:eastAsia="Times New Roman"/>
      <w:color w:val="000000"/>
      <w:sz w:val="16"/>
      <w:szCs w:val="16"/>
      <w:u w:val="single"/>
      <w:lang w:eastAsia="pl-PL"/>
    </w:rPr>
  </w:style>
  <w:style w:type="paragraph" w:customStyle="1" w:styleId="xl157">
    <w:name w:val="xl157"/>
    <w:basedOn w:val="Normalny"/>
    <w:rsid w:val="0039647C"/>
    <w:pPr>
      <w:spacing w:before="100" w:beforeAutospacing="1" w:after="100" w:afterAutospacing="1"/>
      <w:jc w:val="center"/>
      <w:textAlignment w:val="center"/>
    </w:pPr>
    <w:rPr>
      <w:rFonts w:eastAsia="Times New Roman"/>
      <w:sz w:val="16"/>
      <w:szCs w:val="16"/>
      <w:lang w:eastAsia="pl-PL"/>
    </w:rPr>
  </w:style>
  <w:style w:type="paragraph" w:customStyle="1" w:styleId="xl158">
    <w:name w:val="xl158"/>
    <w:basedOn w:val="Normalny"/>
    <w:rsid w:val="0039647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59">
    <w:name w:val="xl159"/>
    <w:basedOn w:val="Normalny"/>
    <w:rsid w:val="0039647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 w:val="16"/>
      <w:szCs w:val="16"/>
      <w:lang w:eastAsia="pl-PL"/>
    </w:rPr>
  </w:style>
  <w:style w:type="paragraph" w:customStyle="1" w:styleId="xl160">
    <w:name w:val="xl160"/>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1">
    <w:name w:val="xl161"/>
    <w:basedOn w:val="Normalny"/>
    <w:rsid w:val="0039647C"/>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2">
    <w:name w:val="xl162"/>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3">
    <w:name w:val="xl163"/>
    <w:basedOn w:val="Normalny"/>
    <w:rsid w:val="0039647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4">
    <w:name w:val="xl164"/>
    <w:basedOn w:val="Normalny"/>
    <w:rsid w:val="00396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i/>
      <w:iCs/>
      <w:sz w:val="16"/>
      <w:szCs w:val="16"/>
      <w:lang w:eastAsia="pl-PL"/>
    </w:rPr>
  </w:style>
  <w:style w:type="paragraph" w:customStyle="1" w:styleId="xl165">
    <w:name w:val="xl165"/>
    <w:basedOn w:val="Normalny"/>
    <w:rsid w:val="00396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sz w:val="16"/>
      <w:szCs w:val="16"/>
      <w:lang w:eastAsia="pl-PL"/>
    </w:rPr>
  </w:style>
  <w:style w:type="paragraph" w:customStyle="1" w:styleId="xl166">
    <w:name w:val="xl166"/>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6"/>
      <w:szCs w:val="16"/>
      <w:lang w:eastAsia="pl-PL"/>
    </w:rPr>
  </w:style>
  <w:style w:type="paragraph" w:customStyle="1" w:styleId="xl167">
    <w:name w:val="xl167"/>
    <w:basedOn w:val="Normalny"/>
    <w:rsid w:val="00396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8">
    <w:name w:val="xl168"/>
    <w:basedOn w:val="Normalny"/>
    <w:rsid w:val="00396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9">
    <w:name w:val="xl169"/>
    <w:basedOn w:val="Normalny"/>
    <w:rsid w:val="0039647C"/>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0">
    <w:name w:val="xl170"/>
    <w:basedOn w:val="Normalny"/>
    <w:rsid w:val="0039647C"/>
    <w:pPr>
      <w:pBdr>
        <w:top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1">
    <w:name w:val="xl171"/>
    <w:basedOn w:val="Normalny"/>
    <w:rsid w:val="0039647C"/>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2">
    <w:name w:val="xl172"/>
    <w:basedOn w:val="Normalny"/>
    <w:rsid w:val="0039647C"/>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3">
    <w:name w:val="xl173"/>
    <w:basedOn w:val="Normalny"/>
    <w:rsid w:val="0039647C"/>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4">
    <w:name w:val="xl174"/>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6"/>
      <w:szCs w:val="16"/>
      <w:lang w:eastAsia="pl-PL"/>
    </w:rPr>
  </w:style>
  <w:style w:type="paragraph" w:customStyle="1" w:styleId="xl175">
    <w:name w:val="xl175"/>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76">
    <w:name w:val="xl176"/>
    <w:basedOn w:val="Normalny"/>
    <w:rsid w:val="003964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Normalny2">
    <w:name w:val="Normalny2"/>
    <w:rsid w:val="0039647C"/>
    <w:pPr>
      <w:suppressAutoHyphens/>
      <w:autoSpaceDN w:val="0"/>
      <w:spacing w:after="160" w:line="254" w:lineRule="auto"/>
      <w:textAlignment w:val="baseline"/>
    </w:pPr>
    <w:rPr>
      <w:sz w:val="22"/>
      <w:szCs w:val="22"/>
      <w:lang w:eastAsia="en-US"/>
    </w:rPr>
  </w:style>
  <w:style w:type="character" w:customStyle="1" w:styleId="Domylnaczcionkaakapitu1">
    <w:name w:val="Domyślna czcionka akapitu1"/>
    <w:rsid w:val="0039647C"/>
  </w:style>
  <w:style w:type="paragraph" w:customStyle="1" w:styleId="Akapitzlist2">
    <w:name w:val="Akapit z listą2"/>
    <w:basedOn w:val="Normalny2"/>
    <w:rsid w:val="0039647C"/>
    <w:pPr>
      <w:ind w:left="720"/>
    </w:pPr>
  </w:style>
  <w:style w:type="character" w:customStyle="1" w:styleId="normaltextrunscxw162028371bcx2">
    <w:name w:val="normaltextrun scxw162028371 bcx2"/>
    <w:basedOn w:val="Domylnaczcionkaakapitu"/>
    <w:rsid w:val="00EA5311"/>
  </w:style>
  <w:style w:type="paragraph" w:customStyle="1" w:styleId="Wykres">
    <w:name w:val="Wykres"/>
    <w:basedOn w:val="Legenda"/>
    <w:link w:val="WykresZnak"/>
    <w:uiPriority w:val="2"/>
    <w:qFormat/>
    <w:rsid w:val="007E5892"/>
    <w:pPr>
      <w:jc w:val="both"/>
    </w:pPr>
  </w:style>
  <w:style w:type="paragraph" w:customStyle="1" w:styleId="Tabela-tekst">
    <w:name w:val="Tabela - tekst"/>
    <w:basedOn w:val="Normalny"/>
    <w:link w:val="Tabela-tekstZnak"/>
    <w:uiPriority w:val="2"/>
    <w:qFormat/>
    <w:rsid w:val="00A16503"/>
    <w:pPr>
      <w:suppressAutoHyphens/>
      <w:spacing w:before="40" w:after="40"/>
      <w:jc w:val="left"/>
    </w:pPr>
    <w:rPr>
      <w:rFonts w:asciiTheme="minorHAnsi" w:eastAsia="Times New Roman" w:hAnsiTheme="minorHAnsi" w:cstheme="minorHAnsi"/>
      <w:sz w:val="20"/>
      <w:szCs w:val="20"/>
      <w:lang w:eastAsia="pl-PL"/>
    </w:rPr>
  </w:style>
  <w:style w:type="character" w:customStyle="1" w:styleId="WykresZnak">
    <w:name w:val="Wykres Znak"/>
    <w:basedOn w:val="LegendaZnak"/>
    <w:link w:val="Wykres"/>
    <w:uiPriority w:val="2"/>
    <w:qFormat/>
    <w:rsid w:val="007E5892"/>
    <w:rPr>
      <w:b/>
      <w:bCs/>
      <w:szCs w:val="22"/>
      <w:lang w:eastAsia="en-US"/>
    </w:rPr>
  </w:style>
  <w:style w:type="character" w:customStyle="1" w:styleId="Tabela-tekstZnak">
    <w:name w:val="Tabela - tekst Znak"/>
    <w:basedOn w:val="Domylnaczcionkaakapitu"/>
    <w:link w:val="Tabela-tekst"/>
    <w:uiPriority w:val="2"/>
    <w:rsid w:val="00A16503"/>
    <w:rPr>
      <w:rFonts w:asciiTheme="minorHAnsi" w:eastAsia="Times New Roman" w:hAnsiTheme="minorHAnsi" w:cstheme="minorHAnsi"/>
    </w:rPr>
  </w:style>
  <w:style w:type="paragraph" w:customStyle="1" w:styleId="Literowanie">
    <w:name w:val="Literowanie"/>
    <w:basedOn w:val="Akapitzlist"/>
    <w:link w:val="LiterowanieZnak"/>
    <w:uiPriority w:val="2"/>
    <w:qFormat/>
    <w:rsid w:val="003E70D0"/>
    <w:pPr>
      <w:numPr>
        <w:numId w:val="0"/>
      </w:numPr>
    </w:pPr>
  </w:style>
  <w:style w:type="character" w:customStyle="1" w:styleId="LiterowanieZnak">
    <w:name w:val="Literowanie Znak"/>
    <w:basedOn w:val="AkapitzlistZnak"/>
    <w:link w:val="Literowanie"/>
    <w:uiPriority w:val="2"/>
    <w:rsid w:val="00A03144"/>
    <w:rPr>
      <w:sz w:val="22"/>
      <w:szCs w:val="22"/>
      <w:lang w:eastAsia="en-US"/>
    </w:rPr>
  </w:style>
  <w:style w:type="paragraph" w:customStyle="1" w:styleId="Textbody">
    <w:name w:val="Text body"/>
    <w:basedOn w:val="Standard"/>
    <w:rsid w:val="00F17554"/>
    <w:pPr>
      <w:spacing w:after="140" w:line="288" w:lineRule="auto"/>
    </w:pPr>
  </w:style>
  <w:style w:type="paragraph" w:customStyle="1" w:styleId="Tab">
    <w:name w:val="Tab."/>
    <w:basedOn w:val="Legenda"/>
    <w:rsid w:val="00F17554"/>
    <w:pPr>
      <w:keepNext w:val="0"/>
      <w:suppressLineNumbers/>
      <w:tabs>
        <w:tab w:val="left" w:pos="1134"/>
      </w:tabs>
      <w:suppressAutoHyphens/>
      <w:autoSpaceDN w:val="0"/>
      <w:spacing w:before="120" w:after="120"/>
      <w:ind w:left="0" w:firstLine="0"/>
      <w:textAlignment w:val="baseline"/>
    </w:pPr>
    <w:rPr>
      <w:rFonts w:ascii="Liberation Serif" w:eastAsia="SimSun" w:hAnsi="Liberation Serif" w:cs="Mangal"/>
      <w:b w:val="0"/>
      <w:bCs w:val="0"/>
      <w:i/>
      <w:iCs/>
      <w:kern w:val="3"/>
      <w:sz w:val="24"/>
      <w:szCs w:val="24"/>
      <w:lang w:val="en-US" w:eastAsia="zh-CN" w:bidi="hi-IN"/>
    </w:rPr>
  </w:style>
  <w:style w:type="paragraph" w:customStyle="1" w:styleId="TableContents">
    <w:name w:val="Table Contents"/>
    <w:basedOn w:val="Standard"/>
    <w:rsid w:val="004F53D2"/>
    <w:pPr>
      <w:suppressLineNumbers/>
    </w:pPr>
    <w:rPr>
      <w:sz w:val="18"/>
    </w:rPr>
  </w:style>
  <w:style w:type="paragraph" w:customStyle="1" w:styleId="Rys">
    <w:name w:val="Rys."/>
    <w:basedOn w:val="Legenda"/>
    <w:rsid w:val="00F17554"/>
    <w:pPr>
      <w:keepNext w:val="0"/>
      <w:suppressLineNumbers/>
      <w:tabs>
        <w:tab w:val="left" w:pos="1134"/>
      </w:tabs>
      <w:suppressAutoHyphens/>
      <w:autoSpaceDN w:val="0"/>
      <w:spacing w:before="120" w:after="120"/>
      <w:ind w:left="0" w:firstLine="0"/>
      <w:textAlignment w:val="baseline"/>
    </w:pPr>
    <w:rPr>
      <w:rFonts w:ascii="Liberation Serif" w:eastAsia="SimSun" w:hAnsi="Liberation Serif" w:cs="Mangal"/>
      <w:b w:val="0"/>
      <w:bCs w:val="0"/>
      <w:i/>
      <w:iCs/>
      <w:kern w:val="3"/>
      <w:sz w:val="24"/>
      <w:szCs w:val="24"/>
      <w:lang w:val="en-US" w:eastAsia="zh-CN" w:bidi="hi-IN"/>
    </w:rPr>
  </w:style>
  <w:style w:type="table" w:customStyle="1" w:styleId="TableGrid1">
    <w:name w:val="Table Grid1"/>
    <w:rsid w:val="00F1755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Tekstpodstawowywcity3">
    <w:name w:val="Body Text Indent 3"/>
    <w:basedOn w:val="Normalny"/>
    <w:link w:val="Tekstpodstawowywcity3Znak"/>
    <w:rsid w:val="00F17554"/>
    <w:pPr>
      <w:spacing w:before="0"/>
      <w:ind w:left="283"/>
      <w:jc w:val="left"/>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rsid w:val="00F17554"/>
    <w:rPr>
      <w:rFonts w:ascii="Times New Roman" w:eastAsia="Times New Roman" w:hAnsi="Times New Roman"/>
      <w:sz w:val="16"/>
      <w:szCs w:val="16"/>
    </w:rPr>
  </w:style>
  <w:style w:type="paragraph" w:styleId="Lista2">
    <w:name w:val="List 2"/>
    <w:basedOn w:val="Normalny"/>
    <w:uiPriority w:val="99"/>
    <w:semiHidden/>
    <w:unhideWhenUsed/>
    <w:rsid w:val="00F17554"/>
    <w:pPr>
      <w:spacing w:before="0" w:after="0"/>
      <w:ind w:left="566" w:hanging="283"/>
      <w:contextualSpacing/>
      <w:jc w:val="left"/>
    </w:pPr>
    <w:rPr>
      <w:rFonts w:ascii="Times New Roman" w:eastAsia="Times New Roman" w:hAnsi="Times New Roman"/>
      <w:sz w:val="24"/>
      <w:szCs w:val="24"/>
      <w:lang w:eastAsia="pl-PL"/>
    </w:rPr>
  </w:style>
  <w:style w:type="paragraph" w:customStyle="1" w:styleId="Bullet2">
    <w:name w:val="~Bullet2"/>
    <w:basedOn w:val="Bullet1"/>
    <w:rsid w:val="00F17554"/>
    <w:pPr>
      <w:numPr>
        <w:numId w:val="0"/>
      </w:numPr>
      <w:tabs>
        <w:tab w:val="clear" w:pos="284"/>
        <w:tab w:val="num" w:pos="567"/>
      </w:tabs>
      <w:spacing w:line="260" w:lineRule="exact"/>
      <w:ind w:left="567" w:hanging="283"/>
      <w:jc w:val="left"/>
    </w:pPr>
    <w:rPr>
      <w:rFonts w:ascii="Arial" w:hAnsi="Arial" w:cs="Arial"/>
      <w:sz w:val="20"/>
      <w:szCs w:val="24"/>
      <w:lang w:val="en-GB" w:eastAsia="en-GB"/>
    </w:rPr>
  </w:style>
  <w:style w:type="paragraph" w:customStyle="1" w:styleId="Bullet3">
    <w:name w:val="~Bullet3"/>
    <w:basedOn w:val="Bullet2"/>
    <w:rsid w:val="00F17554"/>
    <w:pPr>
      <w:tabs>
        <w:tab w:val="clear" w:pos="567"/>
        <w:tab w:val="num" w:pos="851"/>
        <w:tab w:val="num" w:pos="3011"/>
      </w:tabs>
      <w:ind w:left="851" w:hanging="284"/>
    </w:pPr>
  </w:style>
  <w:style w:type="paragraph" w:customStyle="1" w:styleId="Wypunktowanie-IIpoziom">
    <w:name w:val="Wypunktowanie - II poziom"/>
    <w:basedOn w:val="Akapitzlist"/>
    <w:link w:val="Wypunktowanie-IIpoziomZnak"/>
    <w:uiPriority w:val="2"/>
    <w:qFormat/>
    <w:rsid w:val="00F17554"/>
    <w:pPr>
      <w:numPr>
        <w:ilvl w:val="1"/>
        <w:numId w:val="0"/>
      </w:numPr>
      <w:suppressAutoHyphens/>
      <w:autoSpaceDN w:val="0"/>
      <w:spacing w:before="0" w:after="160" w:line="244" w:lineRule="auto"/>
      <w:ind w:left="773" w:hanging="360"/>
      <w:textAlignment w:val="baseline"/>
    </w:pPr>
    <w:rPr>
      <w:bCs/>
    </w:rPr>
  </w:style>
  <w:style w:type="character" w:customStyle="1" w:styleId="Wypunktowanie-IIpoziomZnak">
    <w:name w:val="Wypunktowanie - II poziom Znak"/>
    <w:basedOn w:val="Domylnaczcionkaakapitu"/>
    <w:link w:val="Wypunktowanie-IIpoziom"/>
    <w:uiPriority w:val="2"/>
    <w:rsid w:val="00F17554"/>
    <w:rPr>
      <w:bCs/>
      <w:sz w:val="22"/>
      <w:szCs w:val="22"/>
      <w:lang w:eastAsia="en-US"/>
    </w:rPr>
  </w:style>
  <w:style w:type="table" w:customStyle="1" w:styleId="TableGrid2">
    <w:name w:val="Table Grid2"/>
    <w:rsid w:val="00F1755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eksttabelipunkty">
    <w:name w:val="Tekst tabeli punkty"/>
    <w:basedOn w:val="Teksttabeliprawy"/>
    <w:uiPriority w:val="2"/>
    <w:rsid w:val="00F17554"/>
    <w:pPr>
      <w:numPr>
        <w:numId w:val="68"/>
      </w:numPr>
      <w:suppressAutoHyphens/>
      <w:spacing w:after="40"/>
      <w:jc w:val="left"/>
    </w:pPr>
    <w:rPr>
      <w:i w:val="0"/>
      <w:color w:val="auto"/>
      <w:lang w:eastAsia="en-US"/>
    </w:rPr>
  </w:style>
  <w:style w:type="paragraph" w:customStyle="1" w:styleId="Wypunktowanie">
    <w:name w:val="Wypunktowanie"/>
    <w:basedOn w:val="Akapitzlist"/>
    <w:link w:val="WypunktowanieZnak"/>
    <w:uiPriority w:val="2"/>
    <w:rsid w:val="00F17554"/>
    <w:pPr>
      <w:numPr>
        <w:numId w:val="69"/>
      </w:numPr>
      <w:suppressAutoHyphens/>
      <w:autoSpaceDN w:val="0"/>
      <w:spacing w:before="0" w:after="160" w:line="244" w:lineRule="auto"/>
      <w:textAlignment w:val="baseline"/>
    </w:pPr>
    <w:rPr>
      <w:b/>
    </w:rPr>
  </w:style>
  <w:style w:type="character" w:customStyle="1" w:styleId="WypunktowanieZnak">
    <w:name w:val="Wypunktowanie Znak"/>
    <w:basedOn w:val="AkapitzlistZnak"/>
    <w:link w:val="Wypunktowanie"/>
    <w:uiPriority w:val="2"/>
    <w:rsid w:val="00F17554"/>
    <w:rPr>
      <w:b/>
      <w:sz w:val="22"/>
      <w:szCs w:val="22"/>
      <w:lang w:eastAsia="en-US"/>
    </w:rPr>
  </w:style>
  <w:style w:type="character" w:customStyle="1" w:styleId="scxw147901900">
    <w:name w:val="scxw147901900"/>
    <w:basedOn w:val="Domylnaczcionkaakapitu"/>
    <w:rsid w:val="00F17554"/>
  </w:style>
  <w:style w:type="paragraph" w:customStyle="1" w:styleId="Punkty3">
    <w:name w:val="Punkty3"/>
    <w:basedOn w:val="Normalny"/>
    <w:link w:val="Punkty3Znak"/>
    <w:qFormat/>
    <w:rsid w:val="00F17554"/>
    <w:pPr>
      <w:numPr>
        <w:numId w:val="70"/>
      </w:numPr>
      <w:spacing w:before="60" w:after="60"/>
      <w:jc w:val="left"/>
    </w:pPr>
  </w:style>
  <w:style w:type="character" w:customStyle="1" w:styleId="Punkty3Znak">
    <w:name w:val="Punkty3 Znak"/>
    <w:basedOn w:val="Domylnaczcionkaakapitu"/>
    <w:link w:val="Punkty3"/>
    <w:rsid w:val="00F17554"/>
    <w:rPr>
      <w:sz w:val="22"/>
      <w:szCs w:val="22"/>
      <w:lang w:eastAsia="en-US"/>
    </w:rPr>
  </w:style>
  <w:style w:type="character" w:customStyle="1" w:styleId="rdo1Znak">
    <w:name w:val="Źródło1 Znak"/>
    <w:basedOn w:val="Domylnaczcionkaakapitu"/>
    <w:link w:val="rdo1"/>
    <w:locked/>
    <w:rsid w:val="00F17554"/>
    <w:rPr>
      <w:rFonts w:ascii="Symbol" w:hAnsi="Symbol" w:cs="Symbol"/>
      <w:i/>
      <w:iCs/>
      <w:color w:val="003399"/>
      <w:lang w:eastAsia="zh-CN"/>
    </w:rPr>
  </w:style>
  <w:style w:type="paragraph" w:customStyle="1" w:styleId="rdo1">
    <w:name w:val="Źródło1"/>
    <w:basedOn w:val="Normalny"/>
    <w:next w:val="Normalny"/>
    <w:link w:val="rdo1Znak"/>
    <w:rsid w:val="00F17554"/>
    <w:pPr>
      <w:spacing w:before="40" w:after="240"/>
      <w:jc w:val="right"/>
    </w:pPr>
    <w:rPr>
      <w:rFonts w:ascii="Symbol" w:hAnsi="Symbol" w:cs="Symbol"/>
      <w:i/>
      <w:iCs/>
      <w:color w:val="003399"/>
      <w:sz w:val="20"/>
      <w:szCs w:val="20"/>
      <w:lang w:eastAsia="zh-CN"/>
    </w:rPr>
  </w:style>
  <w:style w:type="paragraph" w:customStyle="1" w:styleId="Wyp-IIpoziom">
    <w:name w:val="Wyp - II poziom"/>
    <w:basedOn w:val="Akapitzlist"/>
    <w:link w:val="Wyp-IIpoziomZnak"/>
    <w:uiPriority w:val="2"/>
    <w:qFormat/>
    <w:rsid w:val="00F17554"/>
    <w:pPr>
      <w:suppressAutoHyphens/>
      <w:autoSpaceDN w:val="0"/>
      <w:spacing w:before="0" w:after="160" w:line="244" w:lineRule="auto"/>
      <w:textAlignment w:val="baseline"/>
    </w:pPr>
    <w:rPr>
      <w:bCs/>
    </w:rPr>
  </w:style>
  <w:style w:type="character" w:customStyle="1" w:styleId="Wyp-IIpoziomZnak">
    <w:name w:val="Wyp - II poziom Znak"/>
    <w:basedOn w:val="AkapitzlistZnak"/>
    <w:link w:val="Wyp-IIpoziom"/>
    <w:uiPriority w:val="2"/>
    <w:rsid w:val="00F17554"/>
    <w:rPr>
      <w:bCs/>
      <w:sz w:val="22"/>
      <w:szCs w:val="22"/>
      <w:lang w:eastAsia="en-US"/>
    </w:rPr>
  </w:style>
  <w:style w:type="character" w:customStyle="1" w:styleId="font71">
    <w:name w:val="font71"/>
    <w:basedOn w:val="Domylnaczcionkaakapitu"/>
    <w:rsid w:val="00F17554"/>
    <w:rPr>
      <w:rFonts w:ascii="Times New Roman" w:hAnsi="Times New Roman" w:cs="Times New Roman" w:hint="default"/>
      <w:b w:val="0"/>
      <w:bCs w:val="0"/>
      <w:i w:val="0"/>
      <w:iCs w:val="0"/>
      <w:strike w:val="0"/>
      <w:dstrike w:val="0"/>
      <w:color w:val="auto"/>
      <w:sz w:val="14"/>
      <w:szCs w:val="14"/>
      <w:u w:val="none"/>
      <w:effect w:val="none"/>
    </w:rPr>
  </w:style>
  <w:style w:type="character" w:customStyle="1" w:styleId="font51">
    <w:name w:val="font51"/>
    <w:basedOn w:val="Domylnaczcionkaakapitu"/>
    <w:rsid w:val="00F17554"/>
    <w:rPr>
      <w:rFonts w:ascii="Calibri" w:hAnsi="Calibri" w:cs="Calibri" w:hint="default"/>
      <w:b w:val="0"/>
      <w:bCs w:val="0"/>
      <w:i w:val="0"/>
      <w:iCs w:val="0"/>
      <w:strike w:val="0"/>
      <w:dstrike w:val="0"/>
      <w:color w:val="auto"/>
      <w:sz w:val="22"/>
      <w:szCs w:val="22"/>
      <w:u w:val="none"/>
      <w:effect w:val="none"/>
    </w:rPr>
  </w:style>
  <w:style w:type="character" w:customStyle="1" w:styleId="font101">
    <w:name w:val="font101"/>
    <w:basedOn w:val="Domylnaczcionkaakapitu"/>
    <w:rsid w:val="00F17554"/>
    <w:rPr>
      <w:rFonts w:ascii="Times New Roman" w:hAnsi="Times New Roman" w:cs="Times New Roman" w:hint="default"/>
      <w:b/>
      <w:bCs/>
      <w:i w:val="0"/>
      <w:iCs w:val="0"/>
      <w:strike w:val="0"/>
      <w:dstrike w:val="0"/>
      <w:color w:val="auto"/>
      <w:sz w:val="14"/>
      <w:szCs w:val="14"/>
      <w:u w:val="none"/>
      <w:effect w:val="none"/>
    </w:rPr>
  </w:style>
  <w:style w:type="character" w:customStyle="1" w:styleId="font61">
    <w:name w:val="font61"/>
    <w:basedOn w:val="Domylnaczcionkaakapitu"/>
    <w:rsid w:val="00F17554"/>
    <w:rPr>
      <w:rFonts w:ascii="Calibri" w:hAnsi="Calibri" w:cs="Calibri" w:hint="default"/>
      <w:b/>
      <w:bCs/>
      <w:i w:val="0"/>
      <w:iCs w:val="0"/>
      <w:strike w:val="0"/>
      <w:dstrike w:val="0"/>
      <w:color w:val="auto"/>
      <w:sz w:val="22"/>
      <w:szCs w:val="22"/>
      <w:u w:val="none"/>
      <w:effect w:val="none"/>
    </w:rPr>
  </w:style>
  <w:style w:type="paragraph" w:customStyle="1" w:styleId="Punkty">
    <w:name w:val="Punkty"/>
    <w:basedOn w:val="Normalny"/>
    <w:link w:val="PunktyZnak"/>
    <w:qFormat/>
    <w:rsid w:val="00F17554"/>
  </w:style>
  <w:style w:type="character" w:customStyle="1" w:styleId="PunktyZnak">
    <w:name w:val="Punkty Znak"/>
    <w:link w:val="Punkty"/>
    <w:rsid w:val="00F17554"/>
    <w:rPr>
      <w:sz w:val="22"/>
      <w:szCs w:val="22"/>
      <w:lang w:eastAsia="en-US"/>
    </w:rPr>
  </w:style>
  <w:style w:type="character" w:customStyle="1" w:styleId="Przypisdolny1Znak">
    <w:name w:val="Przypis dolny1 Znak"/>
    <w:basedOn w:val="Domylnaczcionkaakapitu"/>
    <w:link w:val="Przypisdolny1"/>
    <w:locked/>
    <w:rsid w:val="00F17554"/>
    <w:rPr>
      <w:rFonts w:ascii="Times New Roman" w:eastAsia="Times New Roman" w:hAnsi="Times New Roman"/>
      <w:sz w:val="16"/>
      <w:szCs w:val="16"/>
    </w:rPr>
  </w:style>
  <w:style w:type="paragraph" w:customStyle="1" w:styleId="Przypisdolny1">
    <w:name w:val="Przypis dolny1"/>
    <w:basedOn w:val="NormalnyWeb"/>
    <w:link w:val="Przypisdolny1Znak"/>
    <w:qFormat/>
    <w:rsid w:val="00F17554"/>
    <w:pPr>
      <w:autoSpaceDN w:val="0"/>
      <w:spacing w:before="40" w:beforeAutospacing="0" w:after="40" w:afterAutospacing="0"/>
      <w:jc w:val="both"/>
    </w:pPr>
    <w:rPr>
      <w:sz w:val="16"/>
      <w:szCs w:val="16"/>
    </w:rPr>
  </w:style>
  <w:style w:type="character" w:customStyle="1" w:styleId="Punkty1Znak">
    <w:name w:val="Punkty 1 Znak"/>
    <w:aliases w:val="2 Znak,3 Znak"/>
    <w:basedOn w:val="Domylnaczcionkaakapitu"/>
    <w:link w:val="Punkty1"/>
    <w:locked/>
    <w:rsid w:val="00F17554"/>
  </w:style>
  <w:style w:type="paragraph" w:customStyle="1" w:styleId="Punkty1">
    <w:name w:val="Punkty 1"/>
    <w:aliases w:val="2,3"/>
    <w:basedOn w:val="Normalny"/>
    <w:next w:val="Normalny"/>
    <w:link w:val="Punkty1Znak"/>
    <w:qFormat/>
    <w:rsid w:val="00F17554"/>
    <w:pPr>
      <w:numPr>
        <w:numId w:val="74"/>
      </w:numPr>
      <w:suppressAutoHyphens/>
      <w:autoSpaceDN w:val="0"/>
    </w:pPr>
    <w:rPr>
      <w:sz w:val="20"/>
      <w:szCs w:val="20"/>
      <w:lang w:eastAsia="pl-PL"/>
    </w:rPr>
  </w:style>
  <w:style w:type="table" w:customStyle="1" w:styleId="PlainTable21">
    <w:name w:val="Plain Table 21"/>
    <w:basedOn w:val="Standardowy"/>
    <w:uiPriority w:val="42"/>
    <w:rsid w:val="00F17554"/>
    <w:rPr>
      <w:rFonts w:asciiTheme="minorHAnsi" w:eastAsiaTheme="minorHAnsi" w:hAnsiTheme="minorHAnsi" w:cstheme="minorBidi"/>
      <w:sz w:val="22"/>
      <w:szCs w:val="22"/>
      <w:lang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Standard"/>
    <w:rsid w:val="00F17554"/>
    <w:pPr>
      <w:suppressAutoHyphens w:val="0"/>
      <w:spacing w:before="280" w:after="119"/>
      <w:textAlignment w:val="auto"/>
    </w:pPr>
    <w:rPr>
      <w:rFonts w:ascii="Times New Roman" w:eastAsia="Times New Roman" w:hAnsi="Times New Roman" w:cs="Times New Roman"/>
      <w:color w:val="000000"/>
    </w:rPr>
  </w:style>
  <w:style w:type="character" w:customStyle="1" w:styleId="contextualspellingandgrammarerror">
    <w:name w:val="contextualspellingandgrammarerror"/>
    <w:basedOn w:val="Domylnaczcionkaakapitu"/>
    <w:rsid w:val="00F17554"/>
  </w:style>
  <w:style w:type="table" w:customStyle="1" w:styleId="Tabelasiatki5ciemnaakcent51">
    <w:name w:val="Tabela siatki 5 — ciemna — akcent 51"/>
    <w:basedOn w:val="Standardowy"/>
    <w:uiPriority w:val="50"/>
    <w:rsid w:val="00F17554"/>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style>
  <w:style w:type="table" w:customStyle="1" w:styleId="GridTable5Dark-Accent11">
    <w:name w:val="Grid Table 5 Dark - Accent 11"/>
    <w:basedOn w:val="Standardowy"/>
    <w:uiPriority w:val="50"/>
    <w:rsid w:val="00F17554"/>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51">
    <w:name w:val="Grid Table 4 - Accent 51"/>
    <w:basedOn w:val="Standardowy"/>
    <w:uiPriority w:val="49"/>
    <w:rsid w:val="00F17554"/>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Punkty2">
    <w:name w:val="Punkty 2"/>
    <w:basedOn w:val="Normalny"/>
    <w:next w:val="Normalny"/>
    <w:link w:val="Punkty2Znak"/>
    <w:uiPriority w:val="99"/>
    <w:rsid w:val="00F17554"/>
    <w:pPr>
      <w:tabs>
        <w:tab w:val="num" w:pos="720"/>
      </w:tabs>
      <w:ind w:left="720" w:hanging="720"/>
    </w:pPr>
    <w:rPr>
      <w:szCs w:val="20"/>
    </w:rPr>
  </w:style>
  <w:style w:type="character" w:customStyle="1" w:styleId="Punkty2Znak">
    <w:name w:val="Punkty 2 Znak"/>
    <w:link w:val="Punkty2"/>
    <w:uiPriority w:val="99"/>
    <w:locked/>
    <w:rsid w:val="00F17554"/>
    <w:rPr>
      <w:sz w:val="22"/>
      <w:lang w:eastAsia="en-US"/>
    </w:rPr>
  </w:style>
  <w:style w:type="character" w:customStyle="1" w:styleId="acopre">
    <w:name w:val="acopre"/>
    <w:basedOn w:val="Domylnaczcionkaakapitu"/>
    <w:uiPriority w:val="99"/>
    <w:rsid w:val="00F17554"/>
    <w:rPr>
      <w:rFonts w:cs="Times New Roman"/>
    </w:rPr>
  </w:style>
  <w:style w:type="paragraph" w:customStyle="1" w:styleId="rdo">
    <w:name w:val="Źródło"/>
    <w:basedOn w:val="Punktowanie"/>
    <w:link w:val="rdoZnak0"/>
    <w:uiPriority w:val="99"/>
    <w:rsid w:val="007C0ECF"/>
    <w:pPr>
      <w:numPr>
        <w:numId w:val="60"/>
      </w:numPr>
      <w:ind w:left="0" w:hanging="284"/>
      <w:jc w:val="right"/>
    </w:pPr>
    <w:rPr>
      <w:i/>
      <w:color w:val="003399"/>
      <w:sz w:val="18"/>
    </w:rPr>
  </w:style>
  <w:style w:type="character" w:customStyle="1" w:styleId="rdoZnak0">
    <w:name w:val="Źródło Znak"/>
    <w:link w:val="rdo"/>
    <w:uiPriority w:val="99"/>
    <w:locked/>
    <w:rsid w:val="007C0ECF"/>
    <w:rPr>
      <w:i/>
      <w:color w:val="003399"/>
      <w:sz w:val="18"/>
      <w:szCs w:val="22"/>
      <w:lang w:eastAsia="en-US"/>
    </w:rPr>
  </w:style>
  <w:style w:type="table" w:customStyle="1" w:styleId="IIaPGW">
    <w:name w:val="IIaPGW"/>
    <w:basedOn w:val="Standardowy"/>
    <w:next w:val="Tabela-Siatka"/>
    <w:uiPriority w:val="39"/>
    <w:rsid w:val="007C0ECF"/>
    <w:pPr>
      <w:spacing w:before="40" w:after="40"/>
    </w:pPr>
    <w:rPr>
      <w:rFonts w:asciiTheme="minorHAnsi" w:eastAsiaTheme="minorHAnsi" w:hAnsi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jc w:val="left"/>
      </w:pPr>
      <w:rPr>
        <w:rFonts w:asciiTheme="minorHAnsi" w:hAnsiTheme="minorHAnsi"/>
        <w:sz w:val="20"/>
      </w:rPr>
      <w:tblPr/>
      <w:trPr>
        <w:tblHeader/>
      </w:trPr>
      <w:tcPr>
        <w:shd w:val="clear" w:color="auto" w:fill="BFBFBF" w:themeFill="background1" w:themeFillShade="BF"/>
      </w:tcPr>
    </w:tblStylePr>
  </w:style>
  <w:style w:type="table" w:styleId="Tabelasiatki1jasna">
    <w:name w:val="Grid Table 1 Light"/>
    <w:basedOn w:val="Standardowy"/>
    <w:uiPriority w:val="46"/>
    <w:rsid w:val="007C0EC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umerowanie-IIpoziom">
    <w:name w:val="Numerowanie - II poziom"/>
    <w:basedOn w:val="Numerowanie"/>
    <w:link w:val="Numerowanie-IIpoziomZnak"/>
    <w:uiPriority w:val="2"/>
    <w:qFormat/>
    <w:rsid w:val="007C0ECF"/>
    <w:pPr>
      <w:numPr>
        <w:numId w:val="0"/>
      </w:numPr>
      <w:suppressAutoHyphens/>
      <w:ind w:left="567" w:right="113" w:hanging="283"/>
      <w:textAlignment w:val="baseline"/>
    </w:pPr>
  </w:style>
  <w:style w:type="paragraph" w:customStyle="1" w:styleId="N4">
    <w:name w:val="N4"/>
    <w:basedOn w:val="Normalny"/>
    <w:link w:val="N4Znak"/>
    <w:uiPriority w:val="2"/>
    <w:qFormat/>
    <w:rsid w:val="007C0ECF"/>
    <w:pPr>
      <w:tabs>
        <w:tab w:val="left" w:pos="567"/>
      </w:tabs>
      <w:spacing w:before="240"/>
    </w:pPr>
    <w:rPr>
      <w:rFonts w:asciiTheme="minorHAnsi" w:hAnsiTheme="minorHAnsi" w:cstheme="minorHAnsi"/>
      <w:b/>
      <w:bCs/>
    </w:rPr>
  </w:style>
  <w:style w:type="character" w:customStyle="1" w:styleId="Numerowanie-IIpoziomZnak">
    <w:name w:val="Numerowanie - II poziom Znak"/>
    <w:basedOn w:val="NumerowanieZnak"/>
    <w:link w:val="Numerowanie-IIpoziom"/>
    <w:uiPriority w:val="2"/>
    <w:rsid w:val="007C0ECF"/>
    <w:rPr>
      <w:rFonts w:asciiTheme="minorHAnsi" w:eastAsiaTheme="minorHAnsi" w:hAnsiTheme="minorHAnsi" w:cstheme="minorHAnsi"/>
      <w:color w:val="000000"/>
      <w:sz w:val="22"/>
      <w:szCs w:val="22"/>
      <w:lang w:eastAsia="en-US"/>
    </w:rPr>
  </w:style>
  <w:style w:type="character" w:customStyle="1" w:styleId="N4Znak">
    <w:name w:val="N4 Znak"/>
    <w:basedOn w:val="Domylnaczcionkaakapitu"/>
    <w:link w:val="N4"/>
    <w:uiPriority w:val="2"/>
    <w:rsid w:val="007C0ECF"/>
    <w:rPr>
      <w:rFonts w:asciiTheme="minorHAnsi" w:hAnsiTheme="minorHAnsi" w:cstheme="minorHAnsi"/>
      <w:b/>
      <w:bCs/>
      <w:sz w:val="22"/>
      <w:szCs w:val="22"/>
      <w:lang w:eastAsia="en-US"/>
    </w:rPr>
  </w:style>
  <w:style w:type="paragraph" w:customStyle="1" w:styleId="tekstzwykly">
    <w:name w:val="tekst zwykly"/>
    <w:basedOn w:val="Normalny"/>
    <w:link w:val="tekstzwyklyZnak"/>
    <w:uiPriority w:val="2"/>
    <w:qFormat/>
    <w:rsid w:val="007C0ECF"/>
  </w:style>
  <w:style w:type="character" w:customStyle="1" w:styleId="tekstzwyklyZnak">
    <w:name w:val="tekst zwykly Znak"/>
    <w:basedOn w:val="Domylnaczcionkaakapitu"/>
    <w:link w:val="tekstzwykly"/>
    <w:uiPriority w:val="2"/>
    <w:rsid w:val="007C0ECF"/>
    <w:rPr>
      <w:sz w:val="22"/>
      <w:szCs w:val="22"/>
      <w:lang w:eastAsia="en-US"/>
    </w:rPr>
  </w:style>
  <w:style w:type="table" w:customStyle="1" w:styleId="TableGrid3">
    <w:name w:val="Table Grid3"/>
    <w:rsid w:val="0052737E"/>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textrun">
    <w:name w:val="textrun"/>
    <w:basedOn w:val="Domylnaczcionkaakapitu"/>
    <w:rsid w:val="008315EC"/>
  </w:style>
  <w:style w:type="character" w:customStyle="1" w:styleId="trackchangetextdeletion">
    <w:name w:val="trackchangetextdeletion"/>
    <w:basedOn w:val="Domylnaczcionkaakapitu"/>
    <w:rsid w:val="008315EC"/>
  </w:style>
  <w:style w:type="character" w:customStyle="1" w:styleId="trackedchange">
    <w:name w:val="trackedchange"/>
    <w:basedOn w:val="Domylnaczcionkaakapitu"/>
    <w:rsid w:val="008315EC"/>
  </w:style>
  <w:style w:type="character" w:customStyle="1" w:styleId="trackchangetextinsertion">
    <w:name w:val="trackchangetextinsertion"/>
    <w:basedOn w:val="Domylnaczcionkaakapitu"/>
    <w:rsid w:val="008315EC"/>
  </w:style>
  <w:style w:type="character" w:customStyle="1" w:styleId="fieldrange">
    <w:name w:val="fieldrange"/>
    <w:basedOn w:val="Domylnaczcionkaakapitu"/>
    <w:rsid w:val="008315EC"/>
  </w:style>
  <w:style w:type="paragraph" w:customStyle="1" w:styleId="Italicnumerowany">
    <w:name w:val="Italic numerowany"/>
    <w:basedOn w:val="Literowanie"/>
    <w:link w:val="ItalicnumerowanyChar"/>
    <w:qFormat/>
    <w:rsid w:val="00170636"/>
    <w:pPr>
      <w:numPr>
        <w:numId w:val="97"/>
      </w:numPr>
    </w:pPr>
    <w:rPr>
      <w:i/>
      <w:iCs/>
    </w:rPr>
  </w:style>
  <w:style w:type="paragraph" w:customStyle="1" w:styleId="Tytuplanu">
    <w:name w:val="Tytuł planu"/>
    <w:basedOn w:val="Tytuzaacznika"/>
    <w:link w:val="TytuplanuChar"/>
    <w:qFormat/>
    <w:rsid w:val="007A0B6F"/>
    <w:pPr>
      <w:jc w:val="center"/>
    </w:pPr>
  </w:style>
  <w:style w:type="character" w:customStyle="1" w:styleId="ItalicnumerowanyChar">
    <w:name w:val="Italic numerowany Char"/>
    <w:basedOn w:val="LiterowanieZnak"/>
    <w:link w:val="Italicnumerowany"/>
    <w:rsid w:val="00170636"/>
    <w:rPr>
      <w:i/>
      <w:iCs/>
      <w:sz w:val="22"/>
      <w:szCs w:val="22"/>
      <w:lang w:eastAsia="en-US"/>
    </w:rPr>
  </w:style>
  <w:style w:type="character" w:customStyle="1" w:styleId="TytuzaacznikaChar">
    <w:name w:val="Tytuł załacznika Char"/>
    <w:basedOn w:val="Nagwek2Znak"/>
    <w:link w:val="Tytuzaacznika"/>
    <w:rsid w:val="007A0B6F"/>
    <w:rPr>
      <w:b/>
      <w:color w:val="003399"/>
      <w:sz w:val="28"/>
      <w:szCs w:val="28"/>
      <w:lang w:eastAsia="en-US"/>
    </w:rPr>
  </w:style>
  <w:style w:type="character" w:customStyle="1" w:styleId="TytuplanuChar">
    <w:name w:val="Tytuł planu Char"/>
    <w:basedOn w:val="TytuzaacznikaChar"/>
    <w:link w:val="Tytuplanu"/>
    <w:rsid w:val="007A0B6F"/>
    <w:rPr>
      <w:b/>
      <w:color w:val="003399"/>
      <w:sz w:val="28"/>
      <w:szCs w:val="28"/>
      <w:lang w:eastAsia="en-US"/>
    </w:rPr>
  </w:style>
  <w:style w:type="character" w:customStyle="1" w:styleId="scxw98406075">
    <w:name w:val="scxw98406075"/>
    <w:basedOn w:val="Domylnaczcionkaakapitu"/>
    <w:rsid w:val="00A10796"/>
  </w:style>
  <w:style w:type="paragraph" w:customStyle="1" w:styleId="pawe">
    <w:name w:val="paweł"/>
    <w:basedOn w:val="Normalny"/>
    <w:link w:val="paweZnak"/>
    <w:rsid w:val="00A10796"/>
    <w:pPr>
      <w:suppressAutoHyphens/>
      <w:ind w:left="567" w:hanging="567"/>
      <w:jc w:val="center"/>
    </w:pPr>
    <w:rPr>
      <w:rFonts w:ascii="Times New Roman" w:eastAsia="Times New Roman" w:hAnsi="Times New Roman"/>
      <w:noProof/>
      <w:sz w:val="24"/>
      <w:szCs w:val="24"/>
      <w:lang w:eastAsia="pl-PL"/>
    </w:rPr>
  </w:style>
  <w:style w:type="character" w:customStyle="1" w:styleId="paweZnak">
    <w:name w:val="paweł Znak"/>
    <w:basedOn w:val="Domylnaczcionkaakapitu"/>
    <w:link w:val="pawe"/>
    <w:rsid w:val="00A10796"/>
    <w:rPr>
      <w:rFonts w:ascii="Times New Roman" w:eastAsia="Times New Roman" w:hAnsi="Times New Roman"/>
      <w:noProof/>
      <w:sz w:val="24"/>
      <w:szCs w:val="24"/>
    </w:rPr>
  </w:style>
  <w:style w:type="paragraph" w:customStyle="1" w:styleId="Normalny3">
    <w:name w:val="Normalny3"/>
    <w:uiPriority w:val="99"/>
    <w:rsid w:val="00A10796"/>
    <w:pPr>
      <w:suppressAutoHyphens/>
      <w:autoSpaceDN w:val="0"/>
      <w:spacing w:after="160" w:line="254" w:lineRule="auto"/>
      <w:textAlignment w:val="baseline"/>
    </w:pPr>
    <w:rPr>
      <w:sz w:val="22"/>
      <w:szCs w:val="22"/>
      <w:lang w:eastAsia="en-US"/>
    </w:rPr>
  </w:style>
  <w:style w:type="character" w:customStyle="1" w:styleId="Domylnaczcionkaakapitu2">
    <w:name w:val="Domyślna czcionka akapitu2"/>
    <w:rsid w:val="00A10796"/>
  </w:style>
  <w:style w:type="paragraph" w:customStyle="1" w:styleId="Akapitzlist3">
    <w:name w:val="Akapit z listą3"/>
    <w:basedOn w:val="Normalny3"/>
    <w:uiPriority w:val="99"/>
    <w:rsid w:val="00A10796"/>
    <w:pPr>
      <w:ind w:left="720"/>
    </w:pPr>
  </w:style>
  <w:style w:type="table" w:customStyle="1" w:styleId="TableGrid00">
    <w:name w:val="Table Grid00"/>
    <w:rsid w:val="00A10796"/>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tabchar">
    <w:name w:val="tabchar"/>
    <w:basedOn w:val="Domylnaczcionkaakapitu"/>
    <w:rsid w:val="00A10796"/>
  </w:style>
  <w:style w:type="paragraph" w:styleId="Cytat">
    <w:name w:val="Quote"/>
    <w:basedOn w:val="Normalny"/>
    <w:next w:val="Normalny"/>
    <w:link w:val="CytatZnak"/>
    <w:uiPriority w:val="29"/>
    <w:qFormat/>
    <w:rsid w:val="00A10796"/>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A10796"/>
    <w:rPr>
      <w:i/>
      <w:iCs/>
      <w:color w:val="404040" w:themeColor="text1" w:themeTint="BF"/>
      <w:sz w:val="22"/>
      <w:szCs w:val="22"/>
      <w:lang w:eastAsia="en-US"/>
    </w:rPr>
  </w:style>
  <w:style w:type="table" w:customStyle="1" w:styleId="Tabelasiatki5ciemnaakcent11">
    <w:name w:val="Tabela siatki 5 — ciemna — akcent 11"/>
    <w:basedOn w:val="Standardowy"/>
    <w:uiPriority w:val="50"/>
    <w:rsid w:val="00A10796"/>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4akcent51">
    <w:name w:val="Tabela siatki 4 — akcent 51"/>
    <w:basedOn w:val="Standardowy"/>
    <w:uiPriority w:val="49"/>
    <w:rsid w:val="00A10796"/>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0">
    <w:name w:val="Table Grid10"/>
    <w:rsid w:val="00A10796"/>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ela-pkt">
    <w:name w:val="tabela -pkt"/>
    <w:basedOn w:val="Akapitzlist"/>
    <w:link w:val="tabela-pktZnak"/>
    <w:uiPriority w:val="99"/>
    <w:qFormat/>
    <w:rsid w:val="00A10796"/>
    <w:pPr>
      <w:numPr>
        <w:numId w:val="118"/>
      </w:numPr>
      <w:suppressAutoHyphens/>
      <w:spacing w:before="40" w:after="40"/>
      <w:ind w:left="159" w:hanging="159"/>
      <w:jc w:val="left"/>
    </w:pPr>
    <w:rPr>
      <w:rFonts w:asciiTheme="minorHAnsi" w:hAnsiTheme="minorHAnsi"/>
      <w:bCs/>
    </w:rPr>
  </w:style>
  <w:style w:type="character" w:customStyle="1" w:styleId="tabela-pktZnak">
    <w:name w:val="tabela -pkt Znak"/>
    <w:basedOn w:val="AkapitzlistZnak"/>
    <w:link w:val="tabela-pkt"/>
    <w:uiPriority w:val="99"/>
    <w:rsid w:val="00A10796"/>
    <w:rPr>
      <w:rFonts w:asciiTheme="minorHAnsi" w:hAnsiTheme="minorHAnsi"/>
      <w:bCs/>
      <w:sz w:val="22"/>
      <w:szCs w:val="22"/>
      <w:lang w:eastAsia="en-US"/>
    </w:rPr>
  </w:style>
  <w:style w:type="table" w:styleId="Tabelasiatki4">
    <w:name w:val="Grid Table 4"/>
    <w:basedOn w:val="Standardowy"/>
    <w:uiPriority w:val="49"/>
    <w:rsid w:val="00A1079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PGW">
    <w:name w:val="aPGW"/>
    <w:basedOn w:val="Standardowy"/>
    <w:uiPriority w:val="99"/>
    <w:rsid w:val="00A10796"/>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table" w:customStyle="1" w:styleId="Styl2">
    <w:name w:val="Styl2"/>
    <w:basedOn w:val="Standardowy"/>
    <w:uiPriority w:val="99"/>
    <w:rsid w:val="00A10796"/>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Theme="minorHAnsi" w:hAnsiTheme="minorHAnsi"/>
        <w:b/>
        <w:sz w:val="20"/>
      </w:rPr>
      <w:tblPr/>
      <w:trPr>
        <w:tblHeader/>
      </w:trPr>
      <w:tcPr>
        <w:shd w:val="clear" w:color="auto" w:fill="BFBFBF" w:themeFill="background1" w:themeFillShade="BF"/>
      </w:tcPr>
    </w:tblStylePr>
  </w:style>
  <w:style w:type="paragraph" w:customStyle="1" w:styleId="Tablenagwek">
    <w:name w:val="Table_nagłówek"/>
    <w:basedOn w:val="Teksttabeliprawy"/>
    <w:link w:val="TablenagwekZnak"/>
    <w:qFormat/>
    <w:rsid w:val="00A10796"/>
    <w:pPr>
      <w:spacing w:after="40"/>
    </w:pPr>
    <w:rPr>
      <w:b/>
      <w:bCs/>
      <w:szCs w:val="22"/>
    </w:rPr>
  </w:style>
  <w:style w:type="character" w:customStyle="1" w:styleId="TeksttabelilewyZnak">
    <w:name w:val="Tekst tabeli lewy Znak"/>
    <w:basedOn w:val="Domylnaczcionkaakapitu"/>
    <w:link w:val="Teksttabelilewy"/>
    <w:uiPriority w:val="99"/>
    <w:rsid w:val="00A10796"/>
    <w:rPr>
      <w:szCs w:val="22"/>
      <w:lang w:eastAsia="en-US"/>
    </w:rPr>
  </w:style>
  <w:style w:type="character" w:customStyle="1" w:styleId="TeksttabeliprawyZnak">
    <w:name w:val="Tekst tabeli prawy Znak"/>
    <w:basedOn w:val="TeksttabelilewyZnak"/>
    <w:link w:val="Teksttabeliprawy"/>
    <w:uiPriority w:val="99"/>
    <w:rsid w:val="00A10796"/>
    <w:rPr>
      <w:i/>
      <w:color w:val="003399"/>
      <w:szCs w:val="22"/>
      <w:lang w:eastAsia="zh-CN"/>
    </w:rPr>
  </w:style>
  <w:style w:type="character" w:customStyle="1" w:styleId="TablenagwekZnak">
    <w:name w:val="Table_nagłówek Znak"/>
    <w:basedOn w:val="TeksttabeliprawyZnak"/>
    <w:link w:val="Tablenagwek"/>
    <w:rsid w:val="00A10796"/>
    <w:rPr>
      <w:b/>
      <w:bCs/>
      <w:i/>
      <w:color w:val="003399"/>
      <w:szCs w:val="22"/>
      <w:lang w:eastAsia="zh-CN"/>
    </w:rPr>
  </w:style>
  <w:style w:type="paragraph" w:customStyle="1" w:styleId="Telsttabelilewybold">
    <w:name w:val="Telst tabeli lewy bold"/>
    <w:basedOn w:val="Teksttabelisrodek"/>
    <w:uiPriority w:val="99"/>
    <w:qFormat/>
    <w:rsid w:val="00A10796"/>
    <w:pPr>
      <w:spacing w:after="40"/>
      <w:ind w:left="0"/>
      <w:jc w:val="left"/>
    </w:pPr>
    <w:rPr>
      <w:b/>
      <w:bCs/>
      <w:iCs w:val="0"/>
      <w:szCs w:val="22"/>
      <w:lang w:eastAsia="pl-PL"/>
    </w:rPr>
  </w:style>
  <w:style w:type="paragraph" w:customStyle="1" w:styleId="Teksttabelilewybold">
    <w:name w:val="Tekst tabeli lewy bold"/>
    <w:basedOn w:val="Teksttabelilewy"/>
    <w:uiPriority w:val="99"/>
    <w:qFormat/>
    <w:rsid w:val="00A10796"/>
    <w:pPr>
      <w:jc w:val="left"/>
    </w:pPr>
    <w:rPr>
      <w:b/>
    </w:rPr>
  </w:style>
  <w:style w:type="numbering" w:customStyle="1" w:styleId="Styl3">
    <w:name w:val="Styl3"/>
    <w:uiPriority w:val="99"/>
    <w:rsid w:val="00A10796"/>
    <w:pPr>
      <w:numPr>
        <w:numId w:val="116"/>
      </w:numPr>
    </w:pPr>
  </w:style>
  <w:style w:type="numbering" w:customStyle="1" w:styleId="Styl4">
    <w:name w:val="Styl4"/>
    <w:uiPriority w:val="99"/>
    <w:rsid w:val="00A10796"/>
    <w:pPr>
      <w:numPr>
        <w:numId w:val="139"/>
      </w:numPr>
    </w:pPr>
  </w:style>
  <w:style w:type="character" w:customStyle="1" w:styleId="fn-ref">
    <w:name w:val="fn-ref"/>
    <w:basedOn w:val="Domylnaczcionkaakapitu"/>
    <w:rsid w:val="00A10796"/>
  </w:style>
  <w:style w:type="paragraph" w:customStyle="1" w:styleId="Wykazskrotow">
    <w:name w:val="Wykaz skrotow"/>
    <w:basedOn w:val="Normalny"/>
    <w:qFormat/>
    <w:rsid w:val="00A10796"/>
    <w:rPr>
      <w:rFonts w:eastAsiaTheme="minorHAnsi" w:cs="Calibri"/>
      <w:sz w:val="18"/>
      <w:szCs w:val="18"/>
    </w:rPr>
  </w:style>
  <w:style w:type="paragraph" w:customStyle="1" w:styleId="Wykazskrotowbold">
    <w:name w:val="Wykaz skrotow bold"/>
    <w:basedOn w:val="Wykazskrotow"/>
    <w:qFormat/>
    <w:rsid w:val="00A10796"/>
    <w:pPr>
      <w:jc w:val="left"/>
    </w:pPr>
    <w:rPr>
      <w:rFonts w:asciiTheme="minorHAnsi" w:hAnsiTheme="minorHAnsi"/>
      <w:b/>
      <w:bCs/>
    </w:rPr>
  </w:style>
  <w:style w:type="character" w:customStyle="1" w:styleId="tabrun">
    <w:name w:val="tabrun"/>
    <w:basedOn w:val="Domylnaczcionkaakapitu"/>
    <w:rsid w:val="008018DF"/>
  </w:style>
  <w:style w:type="character" w:customStyle="1" w:styleId="linebreakblob">
    <w:name w:val="linebreakblob"/>
    <w:basedOn w:val="Domylnaczcionkaakapitu"/>
    <w:rsid w:val="008018DF"/>
  </w:style>
  <w:style w:type="character" w:customStyle="1" w:styleId="scxw153255812">
    <w:name w:val="scxw153255812"/>
    <w:basedOn w:val="Domylnaczcionkaakapitu"/>
    <w:rsid w:val="008018DF"/>
  </w:style>
  <w:style w:type="character" w:customStyle="1" w:styleId="Nagwek3Znak1">
    <w:name w:val="Nagłówek 3 Znak1"/>
    <w:aliases w:val="Nagłówek 4_dpal Znak1"/>
    <w:basedOn w:val="Domylnaczcionkaakapitu"/>
    <w:uiPriority w:val="99"/>
    <w:semiHidden/>
    <w:rsid w:val="00860BC1"/>
    <w:rPr>
      <w:rFonts w:asciiTheme="majorHAnsi" w:eastAsiaTheme="majorEastAsia" w:hAnsiTheme="majorHAnsi" w:cstheme="majorBidi"/>
      <w:color w:val="243F60" w:themeColor="accent1" w:themeShade="7F"/>
      <w:sz w:val="24"/>
      <w:szCs w:val="24"/>
      <w:lang w:eastAsia="en-US"/>
    </w:rPr>
  </w:style>
  <w:style w:type="character" w:customStyle="1" w:styleId="TekstprzypisudolnegoZnak1">
    <w:name w:val="Tekst przypisu dolnego Znak1"/>
    <w:aliases w:val="Podrozdział Znak1"/>
    <w:basedOn w:val="Domylnaczcionkaakapitu"/>
    <w:uiPriority w:val="99"/>
    <w:semiHidden/>
    <w:rsid w:val="00860BC1"/>
    <w:rPr>
      <w:rFonts w:ascii="Calibri" w:eastAsia="Calibri" w:hAnsi="Calibri" w:cs="Times New Roman"/>
      <w:sz w:val="20"/>
      <w:szCs w:val="20"/>
    </w:rPr>
  </w:style>
  <w:style w:type="character" w:customStyle="1" w:styleId="StopkaZnak1">
    <w:name w:val="Stopka Znak1"/>
    <w:aliases w:val="stand Znak1"/>
    <w:basedOn w:val="Domylnaczcionkaakapitu"/>
    <w:uiPriority w:val="99"/>
    <w:semiHidden/>
    <w:rsid w:val="00860BC1"/>
    <w:rPr>
      <w:rFonts w:ascii="Calibri" w:eastAsia="Calibri" w:hAnsi="Calibri" w:cs="Times New Roman"/>
    </w:rPr>
  </w:style>
  <w:style w:type="paragraph" w:customStyle="1" w:styleId="Tytuspisu">
    <w:name w:val="Tytuł spisu"/>
    <w:basedOn w:val="Tytu"/>
    <w:qFormat/>
    <w:rsid w:val="00F713C1"/>
    <w:rPr>
      <w:lang w:val="en-US"/>
    </w:rPr>
  </w:style>
  <w:style w:type="paragraph" w:customStyle="1" w:styleId="Listapunktowana1">
    <w:name w:val="Lista punktowana 1"/>
    <w:basedOn w:val="Akapitzlist"/>
    <w:qFormat/>
    <w:rsid w:val="00DD7EA4"/>
    <w:pPr>
      <w:numPr>
        <w:numId w:val="0"/>
      </w:numPr>
      <w:suppressAutoHyphens/>
      <w:ind w:left="426" w:hanging="284"/>
      <w:contextualSpacing/>
    </w:pPr>
    <w:rPr>
      <w:rFonts w:cs="Calibri"/>
      <w:lang w:eastAsia="pl-PL"/>
    </w:rPr>
  </w:style>
  <w:style w:type="character" w:customStyle="1" w:styleId="TABELANagwekZnak">
    <w:name w:val="TABELA_Nagłówek Znak"/>
    <w:basedOn w:val="Domylnaczcionkaakapitu"/>
    <w:link w:val="TABELANagwek"/>
    <w:qFormat/>
    <w:rsid w:val="00DD7EA4"/>
    <w:rPr>
      <w:rFonts w:cs="Calibri"/>
      <w:b/>
      <w:bCs/>
    </w:rPr>
  </w:style>
  <w:style w:type="character" w:customStyle="1" w:styleId="TABELAwysrodkowaneZnak">
    <w:name w:val="TABELA_wysrodkowane Znak"/>
    <w:basedOn w:val="Domylnaczcionkaakapitu"/>
    <w:link w:val="TABELAwysrodkowane"/>
    <w:qFormat/>
    <w:rsid w:val="00DD7EA4"/>
    <w:rPr>
      <w:rFonts w:cs="Calibri"/>
    </w:rPr>
  </w:style>
  <w:style w:type="character" w:customStyle="1" w:styleId="TABELAdolewejZnak">
    <w:name w:val="TABELA_do lewej Znak"/>
    <w:basedOn w:val="Domylnaczcionkaakapitu"/>
    <w:link w:val="TABELAdolewej"/>
    <w:qFormat/>
    <w:rsid w:val="00DD7EA4"/>
    <w:rPr>
      <w:rFonts w:cs="Calibri"/>
    </w:rPr>
  </w:style>
  <w:style w:type="paragraph" w:customStyle="1" w:styleId="TABELANagwek">
    <w:name w:val="TABELA_Nagłówek"/>
    <w:basedOn w:val="Normalny"/>
    <w:link w:val="TABELANagwekZnak"/>
    <w:qFormat/>
    <w:rsid w:val="00DD7EA4"/>
    <w:pPr>
      <w:suppressAutoHyphens/>
      <w:spacing w:before="40" w:after="40"/>
      <w:jc w:val="center"/>
    </w:pPr>
    <w:rPr>
      <w:rFonts w:cs="Calibri"/>
      <w:b/>
      <w:bCs/>
      <w:sz w:val="20"/>
      <w:szCs w:val="20"/>
      <w:lang w:eastAsia="pl-PL"/>
    </w:rPr>
  </w:style>
  <w:style w:type="paragraph" w:customStyle="1" w:styleId="TABELAwysrodkowane">
    <w:name w:val="TABELA_wysrodkowane"/>
    <w:basedOn w:val="Normalny"/>
    <w:link w:val="TABELAwysrodkowaneZnak"/>
    <w:qFormat/>
    <w:rsid w:val="00DD7EA4"/>
    <w:pPr>
      <w:suppressAutoHyphens/>
      <w:spacing w:before="40" w:after="40"/>
      <w:jc w:val="center"/>
    </w:pPr>
    <w:rPr>
      <w:rFonts w:cs="Calibri"/>
      <w:sz w:val="20"/>
      <w:szCs w:val="20"/>
      <w:lang w:eastAsia="pl-PL"/>
    </w:rPr>
  </w:style>
  <w:style w:type="paragraph" w:customStyle="1" w:styleId="TABELAdolewej">
    <w:name w:val="TABELA_do lewej"/>
    <w:basedOn w:val="Normalny"/>
    <w:link w:val="TABELAdolewejZnak"/>
    <w:qFormat/>
    <w:rsid w:val="00DD7EA4"/>
    <w:pPr>
      <w:suppressAutoHyphens/>
      <w:spacing w:before="40" w:after="40"/>
      <w:jc w:val="left"/>
    </w:pPr>
    <w:rPr>
      <w:rFonts w:cs="Calibri"/>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10496">
      <w:bodyDiv w:val="1"/>
      <w:marLeft w:val="0"/>
      <w:marRight w:val="0"/>
      <w:marTop w:val="0"/>
      <w:marBottom w:val="0"/>
      <w:divBdr>
        <w:top w:val="none" w:sz="0" w:space="0" w:color="auto"/>
        <w:left w:val="none" w:sz="0" w:space="0" w:color="auto"/>
        <w:bottom w:val="none" w:sz="0" w:space="0" w:color="auto"/>
        <w:right w:val="none" w:sz="0" w:space="0" w:color="auto"/>
      </w:divBdr>
    </w:div>
    <w:div w:id="32656233">
      <w:bodyDiv w:val="1"/>
      <w:marLeft w:val="0"/>
      <w:marRight w:val="0"/>
      <w:marTop w:val="0"/>
      <w:marBottom w:val="0"/>
      <w:divBdr>
        <w:top w:val="none" w:sz="0" w:space="0" w:color="auto"/>
        <w:left w:val="none" w:sz="0" w:space="0" w:color="auto"/>
        <w:bottom w:val="none" w:sz="0" w:space="0" w:color="auto"/>
        <w:right w:val="none" w:sz="0" w:space="0" w:color="auto"/>
      </w:divBdr>
    </w:div>
    <w:div w:id="78330115">
      <w:bodyDiv w:val="1"/>
      <w:marLeft w:val="0"/>
      <w:marRight w:val="0"/>
      <w:marTop w:val="0"/>
      <w:marBottom w:val="0"/>
      <w:divBdr>
        <w:top w:val="none" w:sz="0" w:space="0" w:color="auto"/>
        <w:left w:val="none" w:sz="0" w:space="0" w:color="auto"/>
        <w:bottom w:val="none" w:sz="0" w:space="0" w:color="auto"/>
        <w:right w:val="none" w:sz="0" w:space="0" w:color="auto"/>
      </w:divBdr>
    </w:div>
    <w:div w:id="107091789">
      <w:bodyDiv w:val="1"/>
      <w:marLeft w:val="0"/>
      <w:marRight w:val="0"/>
      <w:marTop w:val="0"/>
      <w:marBottom w:val="0"/>
      <w:divBdr>
        <w:top w:val="none" w:sz="0" w:space="0" w:color="auto"/>
        <w:left w:val="none" w:sz="0" w:space="0" w:color="auto"/>
        <w:bottom w:val="none" w:sz="0" w:space="0" w:color="auto"/>
        <w:right w:val="none" w:sz="0" w:space="0" w:color="auto"/>
      </w:divBdr>
    </w:div>
    <w:div w:id="243151427">
      <w:bodyDiv w:val="1"/>
      <w:marLeft w:val="0"/>
      <w:marRight w:val="0"/>
      <w:marTop w:val="0"/>
      <w:marBottom w:val="0"/>
      <w:divBdr>
        <w:top w:val="none" w:sz="0" w:space="0" w:color="auto"/>
        <w:left w:val="none" w:sz="0" w:space="0" w:color="auto"/>
        <w:bottom w:val="none" w:sz="0" w:space="0" w:color="auto"/>
        <w:right w:val="none" w:sz="0" w:space="0" w:color="auto"/>
      </w:divBdr>
    </w:div>
    <w:div w:id="302732428">
      <w:bodyDiv w:val="1"/>
      <w:marLeft w:val="0"/>
      <w:marRight w:val="0"/>
      <w:marTop w:val="0"/>
      <w:marBottom w:val="0"/>
      <w:divBdr>
        <w:top w:val="none" w:sz="0" w:space="0" w:color="auto"/>
        <w:left w:val="none" w:sz="0" w:space="0" w:color="auto"/>
        <w:bottom w:val="none" w:sz="0" w:space="0" w:color="auto"/>
        <w:right w:val="none" w:sz="0" w:space="0" w:color="auto"/>
      </w:divBdr>
      <w:divsChild>
        <w:div w:id="667949739">
          <w:marLeft w:val="0"/>
          <w:marRight w:val="0"/>
          <w:marTop w:val="0"/>
          <w:marBottom w:val="0"/>
          <w:divBdr>
            <w:top w:val="none" w:sz="0" w:space="0" w:color="auto"/>
            <w:left w:val="none" w:sz="0" w:space="0" w:color="auto"/>
            <w:bottom w:val="none" w:sz="0" w:space="0" w:color="auto"/>
            <w:right w:val="none" w:sz="0" w:space="0" w:color="auto"/>
          </w:divBdr>
        </w:div>
      </w:divsChild>
    </w:div>
    <w:div w:id="315769475">
      <w:bodyDiv w:val="1"/>
      <w:marLeft w:val="0"/>
      <w:marRight w:val="0"/>
      <w:marTop w:val="0"/>
      <w:marBottom w:val="0"/>
      <w:divBdr>
        <w:top w:val="none" w:sz="0" w:space="0" w:color="auto"/>
        <w:left w:val="none" w:sz="0" w:space="0" w:color="auto"/>
        <w:bottom w:val="none" w:sz="0" w:space="0" w:color="auto"/>
        <w:right w:val="none" w:sz="0" w:space="0" w:color="auto"/>
      </w:divBdr>
    </w:div>
    <w:div w:id="394202779">
      <w:bodyDiv w:val="1"/>
      <w:marLeft w:val="0"/>
      <w:marRight w:val="0"/>
      <w:marTop w:val="0"/>
      <w:marBottom w:val="0"/>
      <w:divBdr>
        <w:top w:val="none" w:sz="0" w:space="0" w:color="auto"/>
        <w:left w:val="none" w:sz="0" w:space="0" w:color="auto"/>
        <w:bottom w:val="none" w:sz="0" w:space="0" w:color="auto"/>
        <w:right w:val="none" w:sz="0" w:space="0" w:color="auto"/>
      </w:divBdr>
    </w:div>
    <w:div w:id="411125693">
      <w:bodyDiv w:val="1"/>
      <w:marLeft w:val="0"/>
      <w:marRight w:val="0"/>
      <w:marTop w:val="0"/>
      <w:marBottom w:val="0"/>
      <w:divBdr>
        <w:top w:val="none" w:sz="0" w:space="0" w:color="auto"/>
        <w:left w:val="none" w:sz="0" w:space="0" w:color="auto"/>
        <w:bottom w:val="none" w:sz="0" w:space="0" w:color="auto"/>
        <w:right w:val="none" w:sz="0" w:space="0" w:color="auto"/>
      </w:divBdr>
    </w:div>
    <w:div w:id="446504006">
      <w:bodyDiv w:val="1"/>
      <w:marLeft w:val="0"/>
      <w:marRight w:val="0"/>
      <w:marTop w:val="0"/>
      <w:marBottom w:val="0"/>
      <w:divBdr>
        <w:top w:val="none" w:sz="0" w:space="0" w:color="auto"/>
        <w:left w:val="none" w:sz="0" w:space="0" w:color="auto"/>
        <w:bottom w:val="none" w:sz="0" w:space="0" w:color="auto"/>
        <w:right w:val="none" w:sz="0" w:space="0" w:color="auto"/>
      </w:divBdr>
    </w:div>
    <w:div w:id="488063072">
      <w:bodyDiv w:val="1"/>
      <w:marLeft w:val="0"/>
      <w:marRight w:val="0"/>
      <w:marTop w:val="0"/>
      <w:marBottom w:val="0"/>
      <w:divBdr>
        <w:top w:val="none" w:sz="0" w:space="0" w:color="auto"/>
        <w:left w:val="none" w:sz="0" w:space="0" w:color="auto"/>
        <w:bottom w:val="none" w:sz="0" w:space="0" w:color="auto"/>
        <w:right w:val="none" w:sz="0" w:space="0" w:color="auto"/>
      </w:divBdr>
    </w:div>
    <w:div w:id="509955171">
      <w:bodyDiv w:val="1"/>
      <w:marLeft w:val="0"/>
      <w:marRight w:val="0"/>
      <w:marTop w:val="0"/>
      <w:marBottom w:val="0"/>
      <w:divBdr>
        <w:top w:val="none" w:sz="0" w:space="0" w:color="auto"/>
        <w:left w:val="none" w:sz="0" w:space="0" w:color="auto"/>
        <w:bottom w:val="none" w:sz="0" w:space="0" w:color="auto"/>
        <w:right w:val="none" w:sz="0" w:space="0" w:color="auto"/>
      </w:divBdr>
    </w:div>
    <w:div w:id="625354987">
      <w:bodyDiv w:val="1"/>
      <w:marLeft w:val="0"/>
      <w:marRight w:val="0"/>
      <w:marTop w:val="0"/>
      <w:marBottom w:val="0"/>
      <w:divBdr>
        <w:top w:val="none" w:sz="0" w:space="0" w:color="auto"/>
        <w:left w:val="none" w:sz="0" w:space="0" w:color="auto"/>
        <w:bottom w:val="none" w:sz="0" w:space="0" w:color="auto"/>
        <w:right w:val="none" w:sz="0" w:space="0" w:color="auto"/>
      </w:divBdr>
      <w:divsChild>
        <w:div w:id="1357002393">
          <w:marLeft w:val="0"/>
          <w:marRight w:val="0"/>
          <w:marTop w:val="0"/>
          <w:marBottom w:val="0"/>
          <w:divBdr>
            <w:top w:val="none" w:sz="0" w:space="0" w:color="auto"/>
            <w:left w:val="none" w:sz="0" w:space="0" w:color="auto"/>
            <w:bottom w:val="none" w:sz="0" w:space="0" w:color="auto"/>
            <w:right w:val="none" w:sz="0" w:space="0" w:color="auto"/>
          </w:divBdr>
        </w:div>
      </w:divsChild>
    </w:div>
    <w:div w:id="637153895">
      <w:bodyDiv w:val="1"/>
      <w:marLeft w:val="0"/>
      <w:marRight w:val="0"/>
      <w:marTop w:val="0"/>
      <w:marBottom w:val="0"/>
      <w:divBdr>
        <w:top w:val="none" w:sz="0" w:space="0" w:color="auto"/>
        <w:left w:val="none" w:sz="0" w:space="0" w:color="auto"/>
        <w:bottom w:val="none" w:sz="0" w:space="0" w:color="auto"/>
        <w:right w:val="none" w:sz="0" w:space="0" w:color="auto"/>
      </w:divBdr>
      <w:divsChild>
        <w:div w:id="1653019540">
          <w:marLeft w:val="0"/>
          <w:marRight w:val="0"/>
          <w:marTop w:val="0"/>
          <w:marBottom w:val="0"/>
          <w:divBdr>
            <w:top w:val="none" w:sz="0" w:space="0" w:color="auto"/>
            <w:left w:val="none" w:sz="0" w:space="0" w:color="auto"/>
            <w:bottom w:val="none" w:sz="0" w:space="0" w:color="auto"/>
            <w:right w:val="none" w:sz="0" w:space="0" w:color="auto"/>
          </w:divBdr>
        </w:div>
      </w:divsChild>
    </w:div>
    <w:div w:id="645205628">
      <w:bodyDiv w:val="1"/>
      <w:marLeft w:val="0"/>
      <w:marRight w:val="0"/>
      <w:marTop w:val="0"/>
      <w:marBottom w:val="0"/>
      <w:divBdr>
        <w:top w:val="none" w:sz="0" w:space="0" w:color="auto"/>
        <w:left w:val="none" w:sz="0" w:space="0" w:color="auto"/>
        <w:bottom w:val="none" w:sz="0" w:space="0" w:color="auto"/>
        <w:right w:val="none" w:sz="0" w:space="0" w:color="auto"/>
      </w:divBdr>
    </w:div>
    <w:div w:id="650525720">
      <w:bodyDiv w:val="1"/>
      <w:marLeft w:val="0"/>
      <w:marRight w:val="0"/>
      <w:marTop w:val="0"/>
      <w:marBottom w:val="0"/>
      <w:divBdr>
        <w:top w:val="none" w:sz="0" w:space="0" w:color="auto"/>
        <w:left w:val="none" w:sz="0" w:space="0" w:color="auto"/>
        <w:bottom w:val="none" w:sz="0" w:space="0" w:color="auto"/>
        <w:right w:val="none" w:sz="0" w:space="0" w:color="auto"/>
      </w:divBdr>
    </w:div>
    <w:div w:id="663363460">
      <w:bodyDiv w:val="1"/>
      <w:marLeft w:val="0"/>
      <w:marRight w:val="0"/>
      <w:marTop w:val="0"/>
      <w:marBottom w:val="0"/>
      <w:divBdr>
        <w:top w:val="none" w:sz="0" w:space="0" w:color="auto"/>
        <w:left w:val="none" w:sz="0" w:space="0" w:color="auto"/>
        <w:bottom w:val="none" w:sz="0" w:space="0" w:color="auto"/>
        <w:right w:val="none" w:sz="0" w:space="0" w:color="auto"/>
      </w:divBdr>
    </w:div>
    <w:div w:id="766926310">
      <w:bodyDiv w:val="1"/>
      <w:marLeft w:val="0"/>
      <w:marRight w:val="0"/>
      <w:marTop w:val="0"/>
      <w:marBottom w:val="0"/>
      <w:divBdr>
        <w:top w:val="none" w:sz="0" w:space="0" w:color="auto"/>
        <w:left w:val="none" w:sz="0" w:space="0" w:color="auto"/>
        <w:bottom w:val="none" w:sz="0" w:space="0" w:color="auto"/>
        <w:right w:val="none" w:sz="0" w:space="0" w:color="auto"/>
      </w:divBdr>
    </w:div>
    <w:div w:id="794719120">
      <w:bodyDiv w:val="1"/>
      <w:marLeft w:val="0"/>
      <w:marRight w:val="0"/>
      <w:marTop w:val="0"/>
      <w:marBottom w:val="0"/>
      <w:divBdr>
        <w:top w:val="none" w:sz="0" w:space="0" w:color="auto"/>
        <w:left w:val="none" w:sz="0" w:space="0" w:color="auto"/>
        <w:bottom w:val="none" w:sz="0" w:space="0" w:color="auto"/>
        <w:right w:val="none" w:sz="0" w:space="0" w:color="auto"/>
      </w:divBdr>
    </w:div>
    <w:div w:id="795027784">
      <w:bodyDiv w:val="1"/>
      <w:marLeft w:val="0"/>
      <w:marRight w:val="0"/>
      <w:marTop w:val="0"/>
      <w:marBottom w:val="0"/>
      <w:divBdr>
        <w:top w:val="none" w:sz="0" w:space="0" w:color="auto"/>
        <w:left w:val="none" w:sz="0" w:space="0" w:color="auto"/>
        <w:bottom w:val="none" w:sz="0" w:space="0" w:color="auto"/>
        <w:right w:val="none" w:sz="0" w:space="0" w:color="auto"/>
      </w:divBdr>
      <w:divsChild>
        <w:div w:id="2111965603">
          <w:marLeft w:val="0"/>
          <w:marRight w:val="0"/>
          <w:marTop w:val="0"/>
          <w:marBottom w:val="0"/>
          <w:divBdr>
            <w:top w:val="none" w:sz="0" w:space="0" w:color="auto"/>
            <w:left w:val="none" w:sz="0" w:space="0" w:color="auto"/>
            <w:bottom w:val="none" w:sz="0" w:space="0" w:color="auto"/>
            <w:right w:val="none" w:sz="0" w:space="0" w:color="auto"/>
          </w:divBdr>
        </w:div>
      </w:divsChild>
    </w:div>
    <w:div w:id="813252305">
      <w:bodyDiv w:val="1"/>
      <w:marLeft w:val="0"/>
      <w:marRight w:val="0"/>
      <w:marTop w:val="0"/>
      <w:marBottom w:val="0"/>
      <w:divBdr>
        <w:top w:val="none" w:sz="0" w:space="0" w:color="auto"/>
        <w:left w:val="none" w:sz="0" w:space="0" w:color="auto"/>
        <w:bottom w:val="none" w:sz="0" w:space="0" w:color="auto"/>
        <w:right w:val="none" w:sz="0" w:space="0" w:color="auto"/>
      </w:divBdr>
      <w:divsChild>
        <w:div w:id="457459014">
          <w:marLeft w:val="0"/>
          <w:marRight w:val="0"/>
          <w:marTop w:val="0"/>
          <w:marBottom w:val="0"/>
          <w:divBdr>
            <w:top w:val="none" w:sz="0" w:space="0" w:color="auto"/>
            <w:left w:val="none" w:sz="0" w:space="0" w:color="auto"/>
            <w:bottom w:val="none" w:sz="0" w:space="0" w:color="auto"/>
            <w:right w:val="none" w:sz="0" w:space="0" w:color="auto"/>
          </w:divBdr>
        </w:div>
      </w:divsChild>
    </w:div>
    <w:div w:id="815687368">
      <w:bodyDiv w:val="1"/>
      <w:marLeft w:val="0"/>
      <w:marRight w:val="0"/>
      <w:marTop w:val="0"/>
      <w:marBottom w:val="0"/>
      <w:divBdr>
        <w:top w:val="none" w:sz="0" w:space="0" w:color="auto"/>
        <w:left w:val="none" w:sz="0" w:space="0" w:color="auto"/>
        <w:bottom w:val="none" w:sz="0" w:space="0" w:color="auto"/>
        <w:right w:val="none" w:sz="0" w:space="0" w:color="auto"/>
      </w:divBdr>
    </w:div>
    <w:div w:id="822428912">
      <w:bodyDiv w:val="1"/>
      <w:marLeft w:val="0"/>
      <w:marRight w:val="0"/>
      <w:marTop w:val="0"/>
      <w:marBottom w:val="0"/>
      <w:divBdr>
        <w:top w:val="none" w:sz="0" w:space="0" w:color="auto"/>
        <w:left w:val="none" w:sz="0" w:space="0" w:color="auto"/>
        <w:bottom w:val="none" w:sz="0" w:space="0" w:color="auto"/>
        <w:right w:val="none" w:sz="0" w:space="0" w:color="auto"/>
      </w:divBdr>
    </w:div>
    <w:div w:id="927956736">
      <w:bodyDiv w:val="1"/>
      <w:marLeft w:val="0"/>
      <w:marRight w:val="0"/>
      <w:marTop w:val="0"/>
      <w:marBottom w:val="0"/>
      <w:divBdr>
        <w:top w:val="none" w:sz="0" w:space="0" w:color="auto"/>
        <w:left w:val="none" w:sz="0" w:space="0" w:color="auto"/>
        <w:bottom w:val="none" w:sz="0" w:space="0" w:color="auto"/>
        <w:right w:val="none" w:sz="0" w:space="0" w:color="auto"/>
      </w:divBdr>
    </w:div>
    <w:div w:id="937371511">
      <w:bodyDiv w:val="1"/>
      <w:marLeft w:val="0"/>
      <w:marRight w:val="0"/>
      <w:marTop w:val="0"/>
      <w:marBottom w:val="0"/>
      <w:divBdr>
        <w:top w:val="none" w:sz="0" w:space="0" w:color="auto"/>
        <w:left w:val="none" w:sz="0" w:space="0" w:color="auto"/>
        <w:bottom w:val="none" w:sz="0" w:space="0" w:color="auto"/>
        <w:right w:val="none" w:sz="0" w:space="0" w:color="auto"/>
      </w:divBdr>
    </w:div>
    <w:div w:id="959530487">
      <w:bodyDiv w:val="1"/>
      <w:marLeft w:val="0"/>
      <w:marRight w:val="0"/>
      <w:marTop w:val="0"/>
      <w:marBottom w:val="0"/>
      <w:divBdr>
        <w:top w:val="none" w:sz="0" w:space="0" w:color="auto"/>
        <w:left w:val="none" w:sz="0" w:space="0" w:color="auto"/>
        <w:bottom w:val="none" w:sz="0" w:space="0" w:color="auto"/>
        <w:right w:val="none" w:sz="0" w:space="0" w:color="auto"/>
      </w:divBdr>
      <w:divsChild>
        <w:div w:id="202835124">
          <w:marLeft w:val="0"/>
          <w:marRight w:val="0"/>
          <w:marTop w:val="0"/>
          <w:marBottom w:val="0"/>
          <w:divBdr>
            <w:top w:val="none" w:sz="0" w:space="0" w:color="auto"/>
            <w:left w:val="none" w:sz="0" w:space="0" w:color="auto"/>
            <w:bottom w:val="none" w:sz="0" w:space="0" w:color="auto"/>
            <w:right w:val="none" w:sz="0" w:space="0" w:color="auto"/>
          </w:divBdr>
        </w:div>
        <w:div w:id="494348289">
          <w:marLeft w:val="0"/>
          <w:marRight w:val="0"/>
          <w:marTop w:val="0"/>
          <w:marBottom w:val="0"/>
          <w:divBdr>
            <w:top w:val="none" w:sz="0" w:space="0" w:color="auto"/>
            <w:left w:val="none" w:sz="0" w:space="0" w:color="auto"/>
            <w:bottom w:val="none" w:sz="0" w:space="0" w:color="auto"/>
            <w:right w:val="none" w:sz="0" w:space="0" w:color="auto"/>
          </w:divBdr>
        </w:div>
        <w:div w:id="993949047">
          <w:marLeft w:val="0"/>
          <w:marRight w:val="0"/>
          <w:marTop w:val="0"/>
          <w:marBottom w:val="0"/>
          <w:divBdr>
            <w:top w:val="none" w:sz="0" w:space="0" w:color="auto"/>
            <w:left w:val="none" w:sz="0" w:space="0" w:color="auto"/>
            <w:bottom w:val="none" w:sz="0" w:space="0" w:color="auto"/>
            <w:right w:val="none" w:sz="0" w:space="0" w:color="auto"/>
          </w:divBdr>
        </w:div>
        <w:div w:id="997925236">
          <w:marLeft w:val="0"/>
          <w:marRight w:val="0"/>
          <w:marTop w:val="0"/>
          <w:marBottom w:val="0"/>
          <w:divBdr>
            <w:top w:val="none" w:sz="0" w:space="0" w:color="auto"/>
            <w:left w:val="none" w:sz="0" w:space="0" w:color="auto"/>
            <w:bottom w:val="none" w:sz="0" w:space="0" w:color="auto"/>
            <w:right w:val="none" w:sz="0" w:space="0" w:color="auto"/>
          </w:divBdr>
        </w:div>
        <w:div w:id="1136071389">
          <w:marLeft w:val="0"/>
          <w:marRight w:val="0"/>
          <w:marTop w:val="0"/>
          <w:marBottom w:val="0"/>
          <w:divBdr>
            <w:top w:val="none" w:sz="0" w:space="0" w:color="auto"/>
            <w:left w:val="none" w:sz="0" w:space="0" w:color="auto"/>
            <w:bottom w:val="none" w:sz="0" w:space="0" w:color="auto"/>
            <w:right w:val="none" w:sz="0" w:space="0" w:color="auto"/>
          </w:divBdr>
        </w:div>
        <w:div w:id="1704944497">
          <w:marLeft w:val="0"/>
          <w:marRight w:val="0"/>
          <w:marTop w:val="0"/>
          <w:marBottom w:val="0"/>
          <w:divBdr>
            <w:top w:val="none" w:sz="0" w:space="0" w:color="auto"/>
            <w:left w:val="none" w:sz="0" w:space="0" w:color="auto"/>
            <w:bottom w:val="none" w:sz="0" w:space="0" w:color="auto"/>
            <w:right w:val="none" w:sz="0" w:space="0" w:color="auto"/>
          </w:divBdr>
        </w:div>
        <w:div w:id="1989748306">
          <w:marLeft w:val="0"/>
          <w:marRight w:val="0"/>
          <w:marTop w:val="0"/>
          <w:marBottom w:val="0"/>
          <w:divBdr>
            <w:top w:val="none" w:sz="0" w:space="0" w:color="auto"/>
            <w:left w:val="none" w:sz="0" w:space="0" w:color="auto"/>
            <w:bottom w:val="none" w:sz="0" w:space="0" w:color="auto"/>
            <w:right w:val="none" w:sz="0" w:space="0" w:color="auto"/>
          </w:divBdr>
        </w:div>
        <w:div w:id="2072387043">
          <w:marLeft w:val="0"/>
          <w:marRight w:val="0"/>
          <w:marTop w:val="0"/>
          <w:marBottom w:val="0"/>
          <w:divBdr>
            <w:top w:val="none" w:sz="0" w:space="0" w:color="auto"/>
            <w:left w:val="none" w:sz="0" w:space="0" w:color="auto"/>
            <w:bottom w:val="none" w:sz="0" w:space="0" w:color="auto"/>
            <w:right w:val="none" w:sz="0" w:space="0" w:color="auto"/>
          </w:divBdr>
        </w:div>
      </w:divsChild>
    </w:div>
    <w:div w:id="987897604">
      <w:bodyDiv w:val="1"/>
      <w:marLeft w:val="0"/>
      <w:marRight w:val="0"/>
      <w:marTop w:val="0"/>
      <w:marBottom w:val="0"/>
      <w:divBdr>
        <w:top w:val="none" w:sz="0" w:space="0" w:color="auto"/>
        <w:left w:val="none" w:sz="0" w:space="0" w:color="auto"/>
        <w:bottom w:val="none" w:sz="0" w:space="0" w:color="auto"/>
        <w:right w:val="none" w:sz="0" w:space="0" w:color="auto"/>
      </w:divBdr>
      <w:divsChild>
        <w:div w:id="1309437037">
          <w:marLeft w:val="0"/>
          <w:marRight w:val="0"/>
          <w:marTop w:val="0"/>
          <w:marBottom w:val="0"/>
          <w:divBdr>
            <w:top w:val="none" w:sz="0" w:space="0" w:color="auto"/>
            <w:left w:val="none" w:sz="0" w:space="0" w:color="auto"/>
            <w:bottom w:val="none" w:sz="0" w:space="0" w:color="auto"/>
            <w:right w:val="none" w:sz="0" w:space="0" w:color="auto"/>
          </w:divBdr>
          <w:divsChild>
            <w:div w:id="2095516051">
              <w:marLeft w:val="0"/>
              <w:marRight w:val="0"/>
              <w:marTop w:val="0"/>
              <w:marBottom w:val="0"/>
              <w:divBdr>
                <w:top w:val="none" w:sz="0" w:space="0" w:color="auto"/>
                <w:left w:val="none" w:sz="0" w:space="0" w:color="auto"/>
                <w:bottom w:val="none" w:sz="0" w:space="0" w:color="auto"/>
                <w:right w:val="none" w:sz="0" w:space="0" w:color="auto"/>
              </w:divBdr>
              <w:divsChild>
                <w:div w:id="8260251">
                  <w:marLeft w:val="0"/>
                  <w:marRight w:val="0"/>
                  <w:marTop w:val="0"/>
                  <w:marBottom w:val="0"/>
                  <w:divBdr>
                    <w:top w:val="none" w:sz="0" w:space="0" w:color="auto"/>
                    <w:left w:val="none" w:sz="0" w:space="0" w:color="auto"/>
                    <w:bottom w:val="none" w:sz="0" w:space="0" w:color="auto"/>
                    <w:right w:val="none" w:sz="0" w:space="0" w:color="auto"/>
                  </w:divBdr>
                  <w:divsChild>
                    <w:div w:id="371610556">
                      <w:marLeft w:val="0"/>
                      <w:marRight w:val="0"/>
                      <w:marTop w:val="0"/>
                      <w:marBottom w:val="0"/>
                      <w:divBdr>
                        <w:top w:val="none" w:sz="0" w:space="0" w:color="auto"/>
                        <w:left w:val="none" w:sz="0" w:space="0" w:color="auto"/>
                        <w:bottom w:val="none" w:sz="0" w:space="0" w:color="auto"/>
                        <w:right w:val="none" w:sz="0" w:space="0" w:color="auto"/>
                      </w:divBdr>
                    </w:div>
                  </w:divsChild>
                </w:div>
                <w:div w:id="8874236">
                  <w:marLeft w:val="0"/>
                  <w:marRight w:val="0"/>
                  <w:marTop w:val="0"/>
                  <w:marBottom w:val="0"/>
                  <w:divBdr>
                    <w:top w:val="none" w:sz="0" w:space="0" w:color="auto"/>
                    <w:left w:val="none" w:sz="0" w:space="0" w:color="auto"/>
                    <w:bottom w:val="none" w:sz="0" w:space="0" w:color="auto"/>
                    <w:right w:val="none" w:sz="0" w:space="0" w:color="auto"/>
                  </w:divBdr>
                  <w:divsChild>
                    <w:div w:id="554510912">
                      <w:marLeft w:val="0"/>
                      <w:marRight w:val="0"/>
                      <w:marTop w:val="0"/>
                      <w:marBottom w:val="0"/>
                      <w:divBdr>
                        <w:top w:val="none" w:sz="0" w:space="0" w:color="auto"/>
                        <w:left w:val="none" w:sz="0" w:space="0" w:color="auto"/>
                        <w:bottom w:val="none" w:sz="0" w:space="0" w:color="auto"/>
                        <w:right w:val="none" w:sz="0" w:space="0" w:color="auto"/>
                      </w:divBdr>
                    </w:div>
                  </w:divsChild>
                </w:div>
                <w:div w:id="13072612">
                  <w:marLeft w:val="0"/>
                  <w:marRight w:val="0"/>
                  <w:marTop w:val="0"/>
                  <w:marBottom w:val="0"/>
                  <w:divBdr>
                    <w:top w:val="none" w:sz="0" w:space="0" w:color="auto"/>
                    <w:left w:val="none" w:sz="0" w:space="0" w:color="auto"/>
                    <w:bottom w:val="none" w:sz="0" w:space="0" w:color="auto"/>
                    <w:right w:val="none" w:sz="0" w:space="0" w:color="auto"/>
                  </w:divBdr>
                  <w:divsChild>
                    <w:div w:id="234123128">
                      <w:marLeft w:val="0"/>
                      <w:marRight w:val="0"/>
                      <w:marTop w:val="0"/>
                      <w:marBottom w:val="0"/>
                      <w:divBdr>
                        <w:top w:val="none" w:sz="0" w:space="0" w:color="auto"/>
                        <w:left w:val="none" w:sz="0" w:space="0" w:color="auto"/>
                        <w:bottom w:val="none" w:sz="0" w:space="0" w:color="auto"/>
                        <w:right w:val="none" w:sz="0" w:space="0" w:color="auto"/>
                      </w:divBdr>
                    </w:div>
                  </w:divsChild>
                </w:div>
                <w:div w:id="13385934">
                  <w:marLeft w:val="0"/>
                  <w:marRight w:val="0"/>
                  <w:marTop w:val="0"/>
                  <w:marBottom w:val="0"/>
                  <w:divBdr>
                    <w:top w:val="none" w:sz="0" w:space="0" w:color="auto"/>
                    <w:left w:val="none" w:sz="0" w:space="0" w:color="auto"/>
                    <w:bottom w:val="none" w:sz="0" w:space="0" w:color="auto"/>
                    <w:right w:val="none" w:sz="0" w:space="0" w:color="auto"/>
                  </w:divBdr>
                  <w:divsChild>
                    <w:div w:id="472333713">
                      <w:marLeft w:val="0"/>
                      <w:marRight w:val="0"/>
                      <w:marTop w:val="0"/>
                      <w:marBottom w:val="0"/>
                      <w:divBdr>
                        <w:top w:val="none" w:sz="0" w:space="0" w:color="auto"/>
                        <w:left w:val="none" w:sz="0" w:space="0" w:color="auto"/>
                        <w:bottom w:val="none" w:sz="0" w:space="0" w:color="auto"/>
                        <w:right w:val="none" w:sz="0" w:space="0" w:color="auto"/>
                      </w:divBdr>
                    </w:div>
                  </w:divsChild>
                </w:div>
                <w:div w:id="25495887">
                  <w:marLeft w:val="0"/>
                  <w:marRight w:val="0"/>
                  <w:marTop w:val="0"/>
                  <w:marBottom w:val="0"/>
                  <w:divBdr>
                    <w:top w:val="none" w:sz="0" w:space="0" w:color="auto"/>
                    <w:left w:val="none" w:sz="0" w:space="0" w:color="auto"/>
                    <w:bottom w:val="none" w:sz="0" w:space="0" w:color="auto"/>
                    <w:right w:val="none" w:sz="0" w:space="0" w:color="auto"/>
                  </w:divBdr>
                  <w:divsChild>
                    <w:div w:id="967513636">
                      <w:marLeft w:val="0"/>
                      <w:marRight w:val="0"/>
                      <w:marTop w:val="0"/>
                      <w:marBottom w:val="0"/>
                      <w:divBdr>
                        <w:top w:val="none" w:sz="0" w:space="0" w:color="auto"/>
                        <w:left w:val="none" w:sz="0" w:space="0" w:color="auto"/>
                        <w:bottom w:val="none" w:sz="0" w:space="0" w:color="auto"/>
                        <w:right w:val="none" w:sz="0" w:space="0" w:color="auto"/>
                      </w:divBdr>
                    </w:div>
                  </w:divsChild>
                </w:div>
                <w:div w:id="43406495">
                  <w:marLeft w:val="0"/>
                  <w:marRight w:val="0"/>
                  <w:marTop w:val="0"/>
                  <w:marBottom w:val="0"/>
                  <w:divBdr>
                    <w:top w:val="none" w:sz="0" w:space="0" w:color="auto"/>
                    <w:left w:val="none" w:sz="0" w:space="0" w:color="auto"/>
                    <w:bottom w:val="none" w:sz="0" w:space="0" w:color="auto"/>
                    <w:right w:val="none" w:sz="0" w:space="0" w:color="auto"/>
                  </w:divBdr>
                  <w:divsChild>
                    <w:div w:id="687411111">
                      <w:marLeft w:val="0"/>
                      <w:marRight w:val="0"/>
                      <w:marTop w:val="0"/>
                      <w:marBottom w:val="0"/>
                      <w:divBdr>
                        <w:top w:val="none" w:sz="0" w:space="0" w:color="auto"/>
                        <w:left w:val="none" w:sz="0" w:space="0" w:color="auto"/>
                        <w:bottom w:val="none" w:sz="0" w:space="0" w:color="auto"/>
                        <w:right w:val="none" w:sz="0" w:space="0" w:color="auto"/>
                      </w:divBdr>
                    </w:div>
                  </w:divsChild>
                </w:div>
                <w:div w:id="48767473">
                  <w:marLeft w:val="0"/>
                  <w:marRight w:val="0"/>
                  <w:marTop w:val="0"/>
                  <w:marBottom w:val="0"/>
                  <w:divBdr>
                    <w:top w:val="none" w:sz="0" w:space="0" w:color="auto"/>
                    <w:left w:val="none" w:sz="0" w:space="0" w:color="auto"/>
                    <w:bottom w:val="none" w:sz="0" w:space="0" w:color="auto"/>
                    <w:right w:val="none" w:sz="0" w:space="0" w:color="auto"/>
                  </w:divBdr>
                  <w:divsChild>
                    <w:div w:id="1435904310">
                      <w:marLeft w:val="0"/>
                      <w:marRight w:val="0"/>
                      <w:marTop w:val="0"/>
                      <w:marBottom w:val="0"/>
                      <w:divBdr>
                        <w:top w:val="none" w:sz="0" w:space="0" w:color="auto"/>
                        <w:left w:val="none" w:sz="0" w:space="0" w:color="auto"/>
                        <w:bottom w:val="none" w:sz="0" w:space="0" w:color="auto"/>
                        <w:right w:val="none" w:sz="0" w:space="0" w:color="auto"/>
                      </w:divBdr>
                    </w:div>
                  </w:divsChild>
                </w:div>
                <w:div w:id="51002977">
                  <w:marLeft w:val="0"/>
                  <w:marRight w:val="0"/>
                  <w:marTop w:val="0"/>
                  <w:marBottom w:val="0"/>
                  <w:divBdr>
                    <w:top w:val="none" w:sz="0" w:space="0" w:color="auto"/>
                    <w:left w:val="none" w:sz="0" w:space="0" w:color="auto"/>
                    <w:bottom w:val="none" w:sz="0" w:space="0" w:color="auto"/>
                    <w:right w:val="none" w:sz="0" w:space="0" w:color="auto"/>
                  </w:divBdr>
                  <w:divsChild>
                    <w:div w:id="2035185359">
                      <w:marLeft w:val="0"/>
                      <w:marRight w:val="0"/>
                      <w:marTop w:val="0"/>
                      <w:marBottom w:val="0"/>
                      <w:divBdr>
                        <w:top w:val="none" w:sz="0" w:space="0" w:color="auto"/>
                        <w:left w:val="none" w:sz="0" w:space="0" w:color="auto"/>
                        <w:bottom w:val="none" w:sz="0" w:space="0" w:color="auto"/>
                        <w:right w:val="none" w:sz="0" w:space="0" w:color="auto"/>
                      </w:divBdr>
                    </w:div>
                  </w:divsChild>
                </w:div>
                <w:div w:id="57019794">
                  <w:marLeft w:val="0"/>
                  <w:marRight w:val="0"/>
                  <w:marTop w:val="0"/>
                  <w:marBottom w:val="0"/>
                  <w:divBdr>
                    <w:top w:val="none" w:sz="0" w:space="0" w:color="auto"/>
                    <w:left w:val="none" w:sz="0" w:space="0" w:color="auto"/>
                    <w:bottom w:val="none" w:sz="0" w:space="0" w:color="auto"/>
                    <w:right w:val="none" w:sz="0" w:space="0" w:color="auto"/>
                  </w:divBdr>
                  <w:divsChild>
                    <w:div w:id="253787008">
                      <w:marLeft w:val="0"/>
                      <w:marRight w:val="0"/>
                      <w:marTop w:val="0"/>
                      <w:marBottom w:val="0"/>
                      <w:divBdr>
                        <w:top w:val="none" w:sz="0" w:space="0" w:color="auto"/>
                        <w:left w:val="none" w:sz="0" w:space="0" w:color="auto"/>
                        <w:bottom w:val="none" w:sz="0" w:space="0" w:color="auto"/>
                        <w:right w:val="none" w:sz="0" w:space="0" w:color="auto"/>
                      </w:divBdr>
                    </w:div>
                  </w:divsChild>
                </w:div>
                <w:div w:id="63989421">
                  <w:marLeft w:val="0"/>
                  <w:marRight w:val="0"/>
                  <w:marTop w:val="0"/>
                  <w:marBottom w:val="0"/>
                  <w:divBdr>
                    <w:top w:val="none" w:sz="0" w:space="0" w:color="auto"/>
                    <w:left w:val="none" w:sz="0" w:space="0" w:color="auto"/>
                    <w:bottom w:val="none" w:sz="0" w:space="0" w:color="auto"/>
                    <w:right w:val="none" w:sz="0" w:space="0" w:color="auto"/>
                  </w:divBdr>
                  <w:divsChild>
                    <w:div w:id="1572889917">
                      <w:marLeft w:val="0"/>
                      <w:marRight w:val="0"/>
                      <w:marTop w:val="0"/>
                      <w:marBottom w:val="0"/>
                      <w:divBdr>
                        <w:top w:val="none" w:sz="0" w:space="0" w:color="auto"/>
                        <w:left w:val="none" w:sz="0" w:space="0" w:color="auto"/>
                        <w:bottom w:val="none" w:sz="0" w:space="0" w:color="auto"/>
                        <w:right w:val="none" w:sz="0" w:space="0" w:color="auto"/>
                      </w:divBdr>
                    </w:div>
                  </w:divsChild>
                </w:div>
                <w:div w:id="71048520">
                  <w:marLeft w:val="0"/>
                  <w:marRight w:val="0"/>
                  <w:marTop w:val="0"/>
                  <w:marBottom w:val="0"/>
                  <w:divBdr>
                    <w:top w:val="none" w:sz="0" w:space="0" w:color="auto"/>
                    <w:left w:val="none" w:sz="0" w:space="0" w:color="auto"/>
                    <w:bottom w:val="none" w:sz="0" w:space="0" w:color="auto"/>
                    <w:right w:val="none" w:sz="0" w:space="0" w:color="auto"/>
                  </w:divBdr>
                  <w:divsChild>
                    <w:div w:id="61412430">
                      <w:marLeft w:val="0"/>
                      <w:marRight w:val="0"/>
                      <w:marTop w:val="0"/>
                      <w:marBottom w:val="0"/>
                      <w:divBdr>
                        <w:top w:val="none" w:sz="0" w:space="0" w:color="auto"/>
                        <w:left w:val="none" w:sz="0" w:space="0" w:color="auto"/>
                        <w:bottom w:val="none" w:sz="0" w:space="0" w:color="auto"/>
                        <w:right w:val="none" w:sz="0" w:space="0" w:color="auto"/>
                      </w:divBdr>
                    </w:div>
                  </w:divsChild>
                </w:div>
                <w:div w:id="71631481">
                  <w:marLeft w:val="0"/>
                  <w:marRight w:val="0"/>
                  <w:marTop w:val="0"/>
                  <w:marBottom w:val="0"/>
                  <w:divBdr>
                    <w:top w:val="none" w:sz="0" w:space="0" w:color="auto"/>
                    <w:left w:val="none" w:sz="0" w:space="0" w:color="auto"/>
                    <w:bottom w:val="none" w:sz="0" w:space="0" w:color="auto"/>
                    <w:right w:val="none" w:sz="0" w:space="0" w:color="auto"/>
                  </w:divBdr>
                  <w:divsChild>
                    <w:div w:id="779566705">
                      <w:marLeft w:val="0"/>
                      <w:marRight w:val="0"/>
                      <w:marTop w:val="0"/>
                      <w:marBottom w:val="0"/>
                      <w:divBdr>
                        <w:top w:val="none" w:sz="0" w:space="0" w:color="auto"/>
                        <w:left w:val="none" w:sz="0" w:space="0" w:color="auto"/>
                        <w:bottom w:val="none" w:sz="0" w:space="0" w:color="auto"/>
                        <w:right w:val="none" w:sz="0" w:space="0" w:color="auto"/>
                      </w:divBdr>
                    </w:div>
                  </w:divsChild>
                </w:div>
                <w:div w:id="89936254">
                  <w:marLeft w:val="0"/>
                  <w:marRight w:val="0"/>
                  <w:marTop w:val="0"/>
                  <w:marBottom w:val="0"/>
                  <w:divBdr>
                    <w:top w:val="none" w:sz="0" w:space="0" w:color="auto"/>
                    <w:left w:val="none" w:sz="0" w:space="0" w:color="auto"/>
                    <w:bottom w:val="none" w:sz="0" w:space="0" w:color="auto"/>
                    <w:right w:val="none" w:sz="0" w:space="0" w:color="auto"/>
                  </w:divBdr>
                  <w:divsChild>
                    <w:div w:id="316959124">
                      <w:marLeft w:val="0"/>
                      <w:marRight w:val="0"/>
                      <w:marTop w:val="0"/>
                      <w:marBottom w:val="0"/>
                      <w:divBdr>
                        <w:top w:val="none" w:sz="0" w:space="0" w:color="auto"/>
                        <w:left w:val="none" w:sz="0" w:space="0" w:color="auto"/>
                        <w:bottom w:val="none" w:sz="0" w:space="0" w:color="auto"/>
                        <w:right w:val="none" w:sz="0" w:space="0" w:color="auto"/>
                      </w:divBdr>
                    </w:div>
                  </w:divsChild>
                </w:div>
                <w:div w:id="92677145">
                  <w:marLeft w:val="0"/>
                  <w:marRight w:val="0"/>
                  <w:marTop w:val="0"/>
                  <w:marBottom w:val="0"/>
                  <w:divBdr>
                    <w:top w:val="none" w:sz="0" w:space="0" w:color="auto"/>
                    <w:left w:val="none" w:sz="0" w:space="0" w:color="auto"/>
                    <w:bottom w:val="none" w:sz="0" w:space="0" w:color="auto"/>
                    <w:right w:val="none" w:sz="0" w:space="0" w:color="auto"/>
                  </w:divBdr>
                  <w:divsChild>
                    <w:div w:id="1690791804">
                      <w:marLeft w:val="0"/>
                      <w:marRight w:val="0"/>
                      <w:marTop w:val="0"/>
                      <w:marBottom w:val="0"/>
                      <w:divBdr>
                        <w:top w:val="none" w:sz="0" w:space="0" w:color="auto"/>
                        <w:left w:val="none" w:sz="0" w:space="0" w:color="auto"/>
                        <w:bottom w:val="none" w:sz="0" w:space="0" w:color="auto"/>
                        <w:right w:val="none" w:sz="0" w:space="0" w:color="auto"/>
                      </w:divBdr>
                    </w:div>
                  </w:divsChild>
                </w:div>
                <w:div w:id="93793140">
                  <w:marLeft w:val="0"/>
                  <w:marRight w:val="0"/>
                  <w:marTop w:val="0"/>
                  <w:marBottom w:val="0"/>
                  <w:divBdr>
                    <w:top w:val="none" w:sz="0" w:space="0" w:color="auto"/>
                    <w:left w:val="none" w:sz="0" w:space="0" w:color="auto"/>
                    <w:bottom w:val="none" w:sz="0" w:space="0" w:color="auto"/>
                    <w:right w:val="none" w:sz="0" w:space="0" w:color="auto"/>
                  </w:divBdr>
                  <w:divsChild>
                    <w:div w:id="1578125911">
                      <w:marLeft w:val="0"/>
                      <w:marRight w:val="0"/>
                      <w:marTop w:val="0"/>
                      <w:marBottom w:val="0"/>
                      <w:divBdr>
                        <w:top w:val="none" w:sz="0" w:space="0" w:color="auto"/>
                        <w:left w:val="none" w:sz="0" w:space="0" w:color="auto"/>
                        <w:bottom w:val="none" w:sz="0" w:space="0" w:color="auto"/>
                        <w:right w:val="none" w:sz="0" w:space="0" w:color="auto"/>
                      </w:divBdr>
                    </w:div>
                  </w:divsChild>
                </w:div>
                <w:div w:id="99617358">
                  <w:marLeft w:val="0"/>
                  <w:marRight w:val="0"/>
                  <w:marTop w:val="0"/>
                  <w:marBottom w:val="0"/>
                  <w:divBdr>
                    <w:top w:val="none" w:sz="0" w:space="0" w:color="auto"/>
                    <w:left w:val="none" w:sz="0" w:space="0" w:color="auto"/>
                    <w:bottom w:val="none" w:sz="0" w:space="0" w:color="auto"/>
                    <w:right w:val="none" w:sz="0" w:space="0" w:color="auto"/>
                  </w:divBdr>
                  <w:divsChild>
                    <w:div w:id="2122069299">
                      <w:marLeft w:val="0"/>
                      <w:marRight w:val="0"/>
                      <w:marTop w:val="0"/>
                      <w:marBottom w:val="0"/>
                      <w:divBdr>
                        <w:top w:val="none" w:sz="0" w:space="0" w:color="auto"/>
                        <w:left w:val="none" w:sz="0" w:space="0" w:color="auto"/>
                        <w:bottom w:val="none" w:sz="0" w:space="0" w:color="auto"/>
                        <w:right w:val="none" w:sz="0" w:space="0" w:color="auto"/>
                      </w:divBdr>
                    </w:div>
                  </w:divsChild>
                </w:div>
                <w:div w:id="108748701">
                  <w:marLeft w:val="0"/>
                  <w:marRight w:val="0"/>
                  <w:marTop w:val="0"/>
                  <w:marBottom w:val="0"/>
                  <w:divBdr>
                    <w:top w:val="none" w:sz="0" w:space="0" w:color="auto"/>
                    <w:left w:val="none" w:sz="0" w:space="0" w:color="auto"/>
                    <w:bottom w:val="none" w:sz="0" w:space="0" w:color="auto"/>
                    <w:right w:val="none" w:sz="0" w:space="0" w:color="auto"/>
                  </w:divBdr>
                  <w:divsChild>
                    <w:div w:id="1771200429">
                      <w:marLeft w:val="0"/>
                      <w:marRight w:val="0"/>
                      <w:marTop w:val="0"/>
                      <w:marBottom w:val="0"/>
                      <w:divBdr>
                        <w:top w:val="none" w:sz="0" w:space="0" w:color="auto"/>
                        <w:left w:val="none" w:sz="0" w:space="0" w:color="auto"/>
                        <w:bottom w:val="none" w:sz="0" w:space="0" w:color="auto"/>
                        <w:right w:val="none" w:sz="0" w:space="0" w:color="auto"/>
                      </w:divBdr>
                    </w:div>
                  </w:divsChild>
                </w:div>
                <w:div w:id="112863924">
                  <w:marLeft w:val="0"/>
                  <w:marRight w:val="0"/>
                  <w:marTop w:val="0"/>
                  <w:marBottom w:val="0"/>
                  <w:divBdr>
                    <w:top w:val="none" w:sz="0" w:space="0" w:color="auto"/>
                    <w:left w:val="none" w:sz="0" w:space="0" w:color="auto"/>
                    <w:bottom w:val="none" w:sz="0" w:space="0" w:color="auto"/>
                    <w:right w:val="none" w:sz="0" w:space="0" w:color="auto"/>
                  </w:divBdr>
                  <w:divsChild>
                    <w:div w:id="86116589">
                      <w:marLeft w:val="0"/>
                      <w:marRight w:val="0"/>
                      <w:marTop w:val="0"/>
                      <w:marBottom w:val="0"/>
                      <w:divBdr>
                        <w:top w:val="none" w:sz="0" w:space="0" w:color="auto"/>
                        <w:left w:val="none" w:sz="0" w:space="0" w:color="auto"/>
                        <w:bottom w:val="none" w:sz="0" w:space="0" w:color="auto"/>
                        <w:right w:val="none" w:sz="0" w:space="0" w:color="auto"/>
                      </w:divBdr>
                    </w:div>
                  </w:divsChild>
                </w:div>
                <w:div w:id="121457898">
                  <w:marLeft w:val="0"/>
                  <w:marRight w:val="0"/>
                  <w:marTop w:val="0"/>
                  <w:marBottom w:val="0"/>
                  <w:divBdr>
                    <w:top w:val="none" w:sz="0" w:space="0" w:color="auto"/>
                    <w:left w:val="none" w:sz="0" w:space="0" w:color="auto"/>
                    <w:bottom w:val="none" w:sz="0" w:space="0" w:color="auto"/>
                    <w:right w:val="none" w:sz="0" w:space="0" w:color="auto"/>
                  </w:divBdr>
                  <w:divsChild>
                    <w:div w:id="501969007">
                      <w:marLeft w:val="0"/>
                      <w:marRight w:val="0"/>
                      <w:marTop w:val="0"/>
                      <w:marBottom w:val="0"/>
                      <w:divBdr>
                        <w:top w:val="none" w:sz="0" w:space="0" w:color="auto"/>
                        <w:left w:val="none" w:sz="0" w:space="0" w:color="auto"/>
                        <w:bottom w:val="none" w:sz="0" w:space="0" w:color="auto"/>
                        <w:right w:val="none" w:sz="0" w:space="0" w:color="auto"/>
                      </w:divBdr>
                    </w:div>
                  </w:divsChild>
                </w:div>
                <w:div w:id="129445481">
                  <w:marLeft w:val="0"/>
                  <w:marRight w:val="0"/>
                  <w:marTop w:val="0"/>
                  <w:marBottom w:val="0"/>
                  <w:divBdr>
                    <w:top w:val="none" w:sz="0" w:space="0" w:color="auto"/>
                    <w:left w:val="none" w:sz="0" w:space="0" w:color="auto"/>
                    <w:bottom w:val="none" w:sz="0" w:space="0" w:color="auto"/>
                    <w:right w:val="none" w:sz="0" w:space="0" w:color="auto"/>
                  </w:divBdr>
                  <w:divsChild>
                    <w:div w:id="2034531043">
                      <w:marLeft w:val="0"/>
                      <w:marRight w:val="0"/>
                      <w:marTop w:val="0"/>
                      <w:marBottom w:val="0"/>
                      <w:divBdr>
                        <w:top w:val="none" w:sz="0" w:space="0" w:color="auto"/>
                        <w:left w:val="none" w:sz="0" w:space="0" w:color="auto"/>
                        <w:bottom w:val="none" w:sz="0" w:space="0" w:color="auto"/>
                        <w:right w:val="none" w:sz="0" w:space="0" w:color="auto"/>
                      </w:divBdr>
                    </w:div>
                  </w:divsChild>
                </w:div>
                <w:div w:id="156768348">
                  <w:marLeft w:val="0"/>
                  <w:marRight w:val="0"/>
                  <w:marTop w:val="0"/>
                  <w:marBottom w:val="0"/>
                  <w:divBdr>
                    <w:top w:val="none" w:sz="0" w:space="0" w:color="auto"/>
                    <w:left w:val="none" w:sz="0" w:space="0" w:color="auto"/>
                    <w:bottom w:val="none" w:sz="0" w:space="0" w:color="auto"/>
                    <w:right w:val="none" w:sz="0" w:space="0" w:color="auto"/>
                  </w:divBdr>
                  <w:divsChild>
                    <w:div w:id="934483893">
                      <w:marLeft w:val="0"/>
                      <w:marRight w:val="0"/>
                      <w:marTop w:val="0"/>
                      <w:marBottom w:val="0"/>
                      <w:divBdr>
                        <w:top w:val="none" w:sz="0" w:space="0" w:color="auto"/>
                        <w:left w:val="none" w:sz="0" w:space="0" w:color="auto"/>
                        <w:bottom w:val="none" w:sz="0" w:space="0" w:color="auto"/>
                        <w:right w:val="none" w:sz="0" w:space="0" w:color="auto"/>
                      </w:divBdr>
                    </w:div>
                  </w:divsChild>
                </w:div>
                <w:div w:id="162936672">
                  <w:marLeft w:val="0"/>
                  <w:marRight w:val="0"/>
                  <w:marTop w:val="0"/>
                  <w:marBottom w:val="0"/>
                  <w:divBdr>
                    <w:top w:val="none" w:sz="0" w:space="0" w:color="auto"/>
                    <w:left w:val="none" w:sz="0" w:space="0" w:color="auto"/>
                    <w:bottom w:val="none" w:sz="0" w:space="0" w:color="auto"/>
                    <w:right w:val="none" w:sz="0" w:space="0" w:color="auto"/>
                  </w:divBdr>
                  <w:divsChild>
                    <w:div w:id="751659042">
                      <w:marLeft w:val="0"/>
                      <w:marRight w:val="0"/>
                      <w:marTop w:val="0"/>
                      <w:marBottom w:val="0"/>
                      <w:divBdr>
                        <w:top w:val="none" w:sz="0" w:space="0" w:color="auto"/>
                        <w:left w:val="none" w:sz="0" w:space="0" w:color="auto"/>
                        <w:bottom w:val="none" w:sz="0" w:space="0" w:color="auto"/>
                        <w:right w:val="none" w:sz="0" w:space="0" w:color="auto"/>
                      </w:divBdr>
                    </w:div>
                  </w:divsChild>
                </w:div>
                <w:div w:id="176426588">
                  <w:marLeft w:val="0"/>
                  <w:marRight w:val="0"/>
                  <w:marTop w:val="0"/>
                  <w:marBottom w:val="0"/>
                  <w:divBdr>
                    <w:top w:val="none" w:sz="0" w:space="0" w:color="auto"/>
                    <w:left w:val="none" w:sz="0" w:space="0" w:color="auto"/>
                    <w:bottom w:val="none" w:sz="0" w:space="0" w:color="auto"/>
                    <w:right w:val="none" w:sz="0" w:space="0" w:color="auto"/>
                  </w:divBdr>
                  <w:divsChild>
                    <w:div w:id="1264534356">
                      <w:marLeft w:val="0"/>
                      <w:marRight w:val="0"/>
                      <w:marTop w:val="0"/>
                      <w:marBottom w:val="0"/>
                      <w:divBdr>
                        <w:top w:val="none" w:sz="0" w:space="0" w:color="auto"/>
                        <w:left w:val="none" w:sz="0" w:space="0" w:color="auto"/>
                        <w:bottom w:val="none" w:sz="0" w:space="0" w:color="auto"/>
                        <w:right w:val="none" w:sz="0" w:space="0" w:color="auto"/>
                      </w:divBdr>
                    </w:div>
                  </w:divsChild>
                </w:div>
                <w:div w:id="177089356">
                  <w:marLeft w:val="0"/>
                  <w:marRight w:val="0"/>
                  <w:marTop w:val="0"/>
                  <w:marBottom w:val="0"/>
                  <w:divBdr>
                    <w:top w:val="none" w:sz="0" w:space="0" w:color="auto"/>
                    <w:left w:val="none" w:sz="0" w:space="0" w:color="auto"/>
                    <w:bottom w:val="none" w:sz="0" w:space="0" w:color="auto"/>
                    <w:right w:val="none" w:sz="0" w:space="0" w:color="auto"/>
                  </w:divBdr>
                  <w:divsChild>
                    <w:div w:id="733310417">
                      <w:marLeft w:val="0"/>
                      <w:marRight w:val="0"/>
                      <w:marTop w:val="0"/>
                      <w:marBottom w:val="0"/>
                      <w:divBdr>
                        <w:top w:val="none" w:sz="0" w:space="0" w:color="auto"/>
                        <w:left w:val="none" w:sz="0" w:space="0" w:color="auto"/>
                        <w:bottom w:val="none" w:sz="0" w:space="0" w:color="auto"/>
                        <w:right w:val="none" w:sz="0" w:space="0" w:color="auto"/>
                      </w:divBdr>
                    </w:div>
                  </w:divsChild>
                </w:div>
                <w:div w:id="178783425">
                  <w:marLeft w:val="0"/>
                  <w:marRight w:val="0"/>
                  <w:marTop w:val="0"/>
                  <w:marBottom w:val="0"/>
                  <w:divBdr>
                    <w:top w:val="none" w:sz="0" w:space="0" w:color="auto"/>
                    <w:left w:val="none" w:sz="0" w:space="0" w:color="auto"/>
                    <w:bottom w:val="none" w:sz="0" w:space="0" w:color="auto"/>
                    <w:right w:val="none" w:sz="0" w:space="0" w:color="auto"/>
                  </w:divBdr>
                  <w:divsChild>
                    <w:div w:id="209730474">
                      <w:marLeft w:val="0"/>
                      <w:marRight w:val="0"/>
                      <w:marTop w:val="0"/>
                      <w:marBottom w:val="0"/>
                      <w:divBdr>
                        <w:top w:val="none" w:sz="0" w:space="0" w:color="auto"/>
                        <w:left w:val="none" w:sz="0" w:space="0" w:color="auto"/>
                        <w:bottom w:val="none" w:sz="0" w:space="0" w:color="auto"/>
                        <w:right w:val="none" w:sz="0" w:space="0" w:color="auto"/>
                      </w:divBdr>
                    </w:div>
                  </w:divsChild>
                </w:div>
                <w:div w:id="187302601">
                  <w:marLeft w:val="0"/>
                  <w:marRight w:val="0"/>
                  <w:marTop w:val="0"/>
                  <w:marBottom w:val="0"/>
                  <w:divBdr>
                    <w:top w:val="none" w:sz="0" w:space="0" w:color="auto"/>
                    <w:left w:val="none" w:sz="0" w:space="0" w:color="auto"/>
                    <w:bottom w:val="none" w:sz="0" w:space="0" w:color="auto"/>
                    <w:right w:val="none" w:sz="0" w:space="0" w:color="auto"/>
                  </w:divBdr>
                  <w:divsChild>
                    <w:div w:id="1289776880">
                      <w:marLeft w:val="0"/>
                      <w:marRight w:val="0"/>
                      <w:marTop w:val="0"/>
                      <w:marBottom w:val="0"/>
                      <w:divBdr>
                        <w:top w:val="none" w:sz="0" w:space="0" w:color="auto"/>
                        <w:left w:val="none" w:sz="0" w:space="0" w:color="auto"/>
                        <w:bottom w:val="none" w:sz="0" w:space="0" w:color="auto"/>
                        <w:right w:val="none" w:sz="0" w:space="0" w:color="auto"/>
                      </w:divBdr>
                    </w:div>
                  </w:divsChild>
                </w:div>
                <w:div w:id="189075333">
                  <w:marLeft w:val="0"/>
                  <w:marRight w:val="0"/>
                  <w:marTop w:val="0"/>
                  <w:marBottom w:val="0"/>
                  <w:divBdr>
                    <w:top w:val="none" w:sz="0" w:space="0" w:color="auto"/>
                    <w:left w:val="none" w:sz="0" w:space="0" w:color="auto"/>
                    <w:bottom w:val="none" w:sz="0" w:space="0" w:color="auto"/>
                    <w:right w:val="none" w:sz="0" w:space="0" w:color="auto"/>
                  </w:divBdr>
                  <w:divsChild>
                    <w:div w:id="746078963">
                      <w:marLeft w:val="0"/>
                      <w:marRight w:val="0"/>
                      <w:marTop w:val="0"/>
                      <w:marBottom w:val="0"/>
                      <w:divBdr>
                        <w:top w:val="none" w:sz="0" w:space="0" w:color="auto"/>
                        <w:left w:val="none" w:sz="0" w:space="0" w:color="auto"/>
                        <w:bottom w:val="none" w:sz="0" w:space="0" w:color="auto"/>
                        <w:right w:val="none" w:sz="0" w:space="0" w:color="auto"/>
                      </w:divBdr>
                    </w:div>
                  </w:divsChild>
                </w:div>
                <w:div w:id="190918108">
                  <w:marLeft w:val="0"/>
                  <w:marRight w:val="0"/>
                  <w:marTop w:val="0"/>
                  <w:marBottom w:val="0"/>
                  <w:divBdr>
                    <w:top w:val="none" w:sz="0" w:space="0" w:color="auto"/>
                    <w:left w:val="none" w:sz="0" w:space="0" w:color="auto"/>
                    <w:bottom w:val="none" w:sz="0" w:space="0" w:color="auto"/>
                    <w:right w:val="none" w:sz="0" w:space="0" w:color="auto"/>
                  </w:divBdr>
                  <w:divsChild>
                    <w:div w:id="472674048">
                      <w:marLeft w:val="0"/>
                      <w:marRight w:val="0"/>
                      <w:marTop w:val="0"/>
                      <w:marBottom w:val="0"/>
                      <w:divBdr>
                        <w:top w:val="none" w:sz="0" w:space="0" w:color="auto"/>
                        <w:left w:val="none" w:sz="0" w:space="0" w:color="auto"/>
                        <w:bottom w:val="none" w:sz="0" w:space="0" w:color="auto"/>
                        <w:right w:val="none" w:sz="0" w:space="0" w:color="auto"/>
                      </w:divBdr>
                    </w:div>
                  </w:divsChild>
                </w:div>
                <w:div w:id="190920980">
                  <w:marLeft w:val="0"/>
                  <w:marRight w:val="0"/>
                  <w:marTop w:val="0"/>
                  <w:marBottom w:val="0"/>
                  <w:divBdr>
                    <w:top w:val="none" w:sz="0" w:space="0" w:color="auto"/>
                    <w:left w:val="none" w:sz="0" w:space="0" w:color="auto"/>
                    <w:bottom w:val="none" w:sz="0" w:space="0" w:color="auto"/>
                    <w:right w:val="none" w:sz="0" w:space="0" w:color="auto"/>
                  </w:divBdr>
                  <w:divsChild>
                    <w:div w:id="920525940">
                      <w:marLeft w:val="0"/>
                      <w:marRight w:val="0"/>
                      <w:marTop w:val="0"/>
                      <w:marBottom w:val="0"/>
                      <w:divBdr>
                        <w:top w:val="none" w:sz="0" w:space="0" w:color="auto"/>
                        <w:left w:val="none" w:sz="0" w:space="0" w:color="auto"/>
                        <w:bottom w:val="none" w:sz="0" w:space="0" w:color="auto"/>
                        <w:right w:val="none" w:sz="0" w:space="0" w:color="auto"/>
                      </w:divBdr>
                    </w:div>
                  </w:divsChild>
                </w:div>
                <w:div w:id="204215078">
                  <w:marLeft w:val="0"/>
                  <w:marRight w:val="0"/>
                  <w:marTop w:val="0"/>
                  <w:marBottom w:val="0"/>
                  <w:divBdr>
                    <w:top w:val="none" w:sz="0" w:space="0" w:color="auto"/>
                    <w:left w:val="none" w:sz="0" w:space="0" w:color="auto"/>
                    <w:bottom w:val="none" w:sz="0" w:space="0" w:color="auto"/>
                    <w:right w:val="none" w:sz="0" w:space="0" w:color="auto"/>
                  </w:divBdr>
                  <w:divsChild>
                    <w:div w:id="876697429">
                      <w:marLeft w:val="0"/>
                      <w:marRight w:val="0"/>
                      <w:marTop w:val="0"/>
                      <w:marBottom w:val="0"/>
                      <w:divBdr>
                        <w:top w:val="none" w:sz="0" w:space="0" w:color="auto"/>
                        <w:left w:val="none" w:sz="0" w:space="0" w:color="auto"/>
                        <w:bottom w:val="none" w:sz="0" w:space="0" w:color="auto"/>
                        <w:right w:val="none" w:sz="0" w:space="0" w:color="auto"/>
                      </w:divBdr>
                    </w:div>
                  </w:divsChild>
                </w:div>
                <w:div w:id="206916450">
                  <w:marLeft w:val="0"/>
                  <w:marRight w:val="0"/>
                  <w:marTop w:val="0"/>
                  <w:marBottom w:val="0"/>
                  <w:divBdr>
                    <w:top w:val="none" w:sz="0" w:space="0" w:color="auto"/>
                    <w:left w:val="none" w:sz="0" w:space="0" w:color="auto"/>
                    <w:bottom w:val="none" w:sz="0" w:space="0" w:color="auto"/>
                    <w:right w:val="none" w:sz="0" w:space="0" w:color="auto"/>
                  </w:divBdr>
                  <w:divsChild>
                    <w:div w:id="847059353">
                      <w:marLeft w:val="0"/>
                      <w:marRight w:val="0"/>
                      <w:marTop w:val="0"/>
                      <w:marBottom w:val="0"/>
                      <w:divBdr>
                        <w:top w:val="none" w:sz="0" w:space="0" w:color="auto"/>
                        <w:left w:val="none" w:sz="0" w:space="0" w:color="auto"/>
                        <w:bottom w:val="none" w:sz="0" w:space="0" w:color="auto"/>
                        <w:right w:val="none" w:sz="0" w:space="0" w:color="auto"/>
                      </w:divBdr>
                    </w:div>
                  </w:divsChild>
                </w:div>
                <w:div w:id="217861293">
                  <w:marLeft w:val="0"/>
                  <w:marRight w:val="0"/>
                  <w:marTop w:val="0"/>
                  <w:marBottom w:val="0"/>
                  <w:divBdr>
                    <w:top w:val="none" w:sz="0" w:space="0" w:color="auto"/>
                    <w:left w:val="none" w:sz="0" w:space="0" w:color="auto"/>
                    <w:bottom w:val="none" w:sz="0" w:space="0" w:color="auto"/>
                    <w:right w:val="none" w:sz="0" w:space="0" w:color="auto"/>
                  </w:divBdr>
                  <w:divsChild>
                    <w:div w:id="1905339108">
                      <w:marLeft w:val="0"/>
                      <w:marRight w:val="0"/>
                      <w:marTop w:val="0"/>
                      <w:marBottom w:val="0"/>
                      <w:divBdr>
                        <w:top w:val="none" w:sz="0" w:space="0" w:color="auto"/>
                        <w:left w:val="none" w:sz="0" w:space="0" w:color="auto"/>
                        <w:bottom w:val="none" w:sz="0" w:space="0" w:color="auto"/>
                        <w:right w:val="none" w:sz="0" w:space="0" w:color="auto"/>
                      </w:divBdr>
                    </w:div>
                  </w:divsChild>
                </w:div>
                <w:div w:id="218128250">
                  <w:marLeft w:val="0"/>
                  <w:marRight w:val="0"/>
                  <w:marTop w:val="0"/>
                  <w:marBottom w:val="0"/>
                  <w:divBdr>
                    <w:top w:val="none" w:sz="0" w:space="0" w:color="auto"/>
                    <w:left w:val="none" w:sz="0" w:space="0" w:color="auto"/>
                    <w:bottom w:val="none" w:sz="0" w:space="0" w:color="auto"/>
                    <w:right w:val="none" w:sz="0" w:space="0" w:color="auto"/>
                  </w:divBdr>
                  <w:divsChild>
                    <w:div w:id="1730641509">
                      <w:marLeft w:val="0"/>
                      <w:marRight w:val="0"/>
                      <w:marTop w:val="0"/>
                      <w:marBottom w:val="0"/>
                      <w:divBdr>
                        <w:top w:val="none" w:sz="0" w:space="0" w:color="auto"/>
                        <w:left w:val="none" w:sz="0" w:space="0" w:color="auto"/>
                        <w:bottom w:val="none" w:sz="0" w:space="0" w:color="auto"/>
                        <w:right w:val="none" w:sz="0" w:space="0" w:color="auto"/>
                      </w:divBdr>
                    </w:div>
                  </w:divsChild>
                </w:div>
                <w:div w:id="222178896">
                  <w:marLeft w:val="0"/>
                  <w:marRight w:val="0"/>
                  <w:marTop w:val="0"/>
                  <w:marBottom w:val="0"/>
                  <w:divBdr>
                    <w:top w:val="none" w:sz="0" w:space="0" w:color="auto"/>
                    <w:left w:val="none" w:sz="0" w:space="0" w:color="auto"/>
                    <w:bottom w:val="none" w:sz="0" w:space="0" w:color="auto"/>
                    <w:right w:val="none" w:sz="0" w:space="0" w:color="auto"/>
                  </w:divBdr>
                  <w:divsChild>
                    <w:div w:id="967320342">
                      <w:marLeft w:val="0"/>
                      <w:marRight w:val="0"/>
                      <w:marTop w:val="0"/>
                      <w:marBottom w:val="0"/>
                      <w:divBdr>
                        <w:top w:val="none" w:sz="0" w:space="0" w:color="auto"/>
                        <w:left w:val="none" w:sz="0" w:space="0" w:color="auto"/>
                        <w:bottom w:val="none" w:sz="0" w:space="0" w:color="auto"/>
                        <w:right w:val="none" w:sz="0" w:space="0" w:color="auto"/>
                      </w:divBdr>
                    </w:div>
                  </w:divsChild>
                </w:div>
                <w:div w:id="223682764">
                  <w:marLeft w:val="0"/>
                  <w:marRight w:val="0"/>
                  <w:marTop w:val="0"/>
                  <w:marBottom w:val="0"/>
                  <w:divBdr>
                    <w:top w:val="none" w:sz="0" w:space="0" w:color="auto"/>
                    <w:left w:val="none" w:sz="0" w:space="0" w:color="auto"/>
                    <w:bottom w:val="none" w:sz="0" w:space="0" w:color="auto"/>
                    <w:right w:val="none" w:sz="0" w:space="0" w:color="auto"/>
                  </w:divBdr>
                  <w:divsChild>
                    <w:div w:id="1230771752">
                      <w:marLeft w:val="0"/>
                      <w:marRight w:val="0"/>
                      <w:marTop w:val="0"/>
                      <w:marBottom w:val="0"/>
                      <w:divBdr>
                        <w:top w:val="none" w:sz="0" w:space="0" w:color="auto"/>
                        <w:left w:val="none" w:sz="0" w:space="0" w:color="auto"/>
                        <w:bottom w:val="none" w:sz="0" w:space="0" w:color="auto"/>
                        <w:right w:val="none" w:sz="0" w:space="0" w:color="auto"/>
                      </w:divBdr>
                    </w:div>
                  </w:divsChild>
                </w:div>
                <w:div w:id="228420368">
                  <w:marLeft w:val="0"/>
                  <w:marRight w:val="0"/>
                  <w:marTop w:val="0"/>
                  <w:marBottom w:val="0"/>
                  <w:divBdr>
                    <w:top w:val="none" w:sz="0" w:space="0" w:color="auto"/>
                    <w:left w:val="none" w:sz="0" w:space="0" w:color="auto"/>
                    <w:bottom w:val="none" w:sz="0" w:space="0" w:color="auto"/>
                    <w:right w:val="none" w:sz="0" w:space="0" w:color="auto"/>
                  </w:divBdr>
                  <w:divsChild>
                    <w:div w:id="1343776315">
                      <w:marLeft w:val="0"/>
                      <w:marRight w:val="0"/>
                      <w:marTop w:val="0"/>
                      <w:marBottom w:val="0"/>
                      <w:divBdr>
                        <w:top w:val="none" w:sz="0" w:space="0" w:color="auto"/>
                        <w:left w:val="none" w:sz="0" w:space="0" w:color="auto"/>
                        <w:bottom w:val="none" w:sz="0" w:space="0" w:color="auto"/>
                        <w:right w:val="none" w:sz="0" w:space="0" w:color="auto"/>
                      </w:divBdr>
                    </w:div>
                  </w:divsChild>
                </w:div>
                <w:div w:id="228535909">
                  <w:marLeft w:val="0"/>
                  <w:marRight w:val="0"/>
                  <w:marTop w:val="0"/>
                  <w:marBottom w:val="0"/>
                  <w:divBdr>
                    <w:top w:val="none" w:sz="0" w:space="0" w:color="auto"/>
                    <w:left w:val="none" w:sz="0" w:space="0" w:color="auto"/>
                    <w:bottom w:val="none" w:sz="0" w:space="0" w:color="auto"/>
                    <w:right w:val="none" w:sz="0" w:space="0" w:color="auto"/>
                  </w:divBdr>
                  <w:divsChild>
                    <w:div w:id="945190821">
                      <w:marLeft w:val="0"/>
                      <w:marRight w:val="0"/>
                      <w:marTop w:val="0"/>
                      <w:marBottom w:val="0"/>
                      <w:divBdr>
                        <w:top w:val="none" w:sz="0" w:space="0" w:color="auto"/>
                        <w:left w:val="none" w:sz="0" w:space="0" w:color="auto"/>
                        <w:bottom w:val="none" w:sz="0" w:space="0" w:color="auto"/>
                        <w:right w:val="none" w:sz="0" w:space="0" w:color="auto"/>
                      </w:divBdr>
                    </w:div>
                  </w:divsChild>
                </w:div>
                <w:div w:id="229271534">
                  <w:marLeft w:val="0"/>
                  <w:marRight w:val="0"/>
                  <w:marTop w:val="0"/>
                  <w:marBottom w:val="0"/>
                  <w:divBdr>
                    <w:top w:val="none" w:sz="0" w:space="0" w:color="auto"/>
                    <w:left w:val="none" w:sz="0" w:space="0" w:color="auto"/>
                    <w:bottom w:val="none" w:sz="0" w:space="0" w:color="auto"/>
                    <w:right w:val="none" w:sz="0" w:space="0" w:color="auto"/>
                  </w:divBdr>
                  <w:divsChild>
                    <w:div w:id="68045749">
                      <w:marLeft w:val="0"/>
                      <w:marRight w:val="0"/>
                      <w:marTop w:val="0"/>
                      <w:marBottom w:val="0"/>
                      <w:divBdr>
                        <w:top w:val="none" w:sz="0" w:space="0" w:color="auto"/>
                        <w:left w:val="none" w:sz="0" w:space="0" w:color="auto"/>
                        <w:bottom w:val="none" w:sz="0" w:space="0" w:color="auto"/>
                        <w:right w:val="none" w:sz="0" w:space="0" w:color="auto"/>
                      </w:divBdr>
                    </w:div>
                  </w:divsChild>
                </w:div>
                <w:div w:id="230432549">
                  <w:marLeft w:val="0"/>
                  <w:marRight w:val="0"/>
                  <w:marTop w:val="0"/>
                  <w:marBottom w:val="0"/>
                  <w:divBdr>
                    <w:top w:val="none" w:sz="0" w:space="0" w:color="auto"/>
                    <w:left w:val="none" w:sz="0" w:space="0" w:color="auto"/>
                    <w:bottom w:val="none" w:sz="0" w:space="0" w:color="auto"/>
                    <w:right w:val="none" w:sz="0" w:space="0" w:color="auto"/>
                  </w:divBdr>
                  <w:divsChild>
                    <w:div w:id="1394813021">
                      <w:marLeft w:val="0"/>
                      <w:marRight w:val="0"/>
                      <w:marTop w:val="0"/>
                      <w:marBottom w:val="0"/>
                      <w:divBdr>
                        <w:top w:val="none" w:sz="0" w:space="0" w:color="auto"/>
                        <w:left w:val="none" w:sz="0" w:space="0" w:color="auto"/>
                        <w:bottom w:val="none" w:sz="0" w:space="0" w:color="auto"/>
                        <w:right w:val="none" w:sz="0" w:space="0" w:color="auto"/>
                      </w:divBdr>
                    </w:div>
                  </w:divsChild>
                </w:div>
                <w:div w:id="253636243">
                  <w:marLeft w:val="0"/>
                  <w:marRight w:val="0"/>
                  <w:marTop w:val="0"/>
                  <w:marBottom w:val="0"/>
                  <w:divBdr>
                    <w:top w:val="none" w:sz="0" w:space="0" w:color="auto"/>
                    <w:left w:val="none" w:sz="0" w:space="0" w:color="auto"/>
                    <w:bottom w:val="none" w:sz="0" w:space="0" w:color="auto"/>
                    <w:right w:val="none" w:sz="0" w:space="0" w:color="auto"/>
                  </w:divBdr>
                  <w:divsChild>
                    <w:div w:id="959730107">
                      <w:marLeft w:val="0"/>
                      <w:marRight w:val="0"/>
                      <w:marTop w:val="0"/>
                      <w:marBottom w:val="0"/>
                      <w:divBdr>
                        <w:top w:val="none" w:sz="0" w:space="0" w:color="auto"/>
                        <w:left w:val="none" w:sz="0" w:space="0" w:color="auto"/>
                        <w:bottom w:val="none" w:sz="0" w:space="0" w:color="auto"/>
                        <w:right w:val="none" w:sz="0" w:space="0" w:color="auto"/>
                      </w:divBdr>
                    </w:div>
                  </w:divsChild>
                </w:div>
                <w:div w:id="280035458">
                  <w:marLeft w:val="0"/>
                  <w:marRight w:val="0"/>
                  <w:marTop w:val="0"/>
                  <w:marBottom w:val="0"/>
                  <w:divBdr>
                    <w:top w:val="none" w:sz="0" w:space="0" w:color="auto"/>
                    <w:left w:val="none" w:sz="0" w:space="0" w:color="auto"/>
                    <w:bottom w:val="none" w:sz="0" w:space="0" w:color="auto"/>
                    <w:right w:val="none" w:sz="0" w:space="0" w:color="auto"/>
                  </w:divBdr>
                  <w:divsChild>
                    <w:div w:id="318117349">
                      <w:marLeft w:val="0"/>
                      <w:marRight w:val="0"/>
                      <w:marTop w:val="0"/>
                      <w:marBottom w:val="0"/>
                      <w:divBdr>
                        <w:top w:val="none" w:sz="0" w:space="0" w:color="auto"/>
                        <w:left w:val="none" w:sz="0" w:space="0" w:color="auto"/>
                        <w:bottom w:val="none" w:sz="0" w:space="0" w:color="auto"/>
                        <w:right w:val="none" w:sz="0" w:space="0" w:color="auto"/>
                      </w:divBdr>
                    </w:div>
                  </w:divsChild>
                </w:div>
                <w:div w:id="280765716">
                  <w:marLeft w:val="0"/>
                  <w:marRight w:val="0"/>
                  <w:marTop w:val="0"/>
                  <w:marBottom w:val="0"/>
                  <w:divBdr>
                    <w:top w:val="none" w:sz="0" w:space="0" w:color="auto"/>
                    <w:left w:val="none" w:sz="0" w:space="0" w:color="auto"/>
                    <w:bottom w:val="none" w:sz="0" w:space="0" w:color="auto"/>
                    <w:right w:val="none" w:sz="0" w:space="0" w:color="auto"/>
                  </w:divBdr>
                  <w:divsChild>
                    <w:div w:id="464347263">
                      <w:marLeft w:val="0"/>
                      <w:marRight w:val="0"/>
                      <w:marTop w:val="0"/>
                      <w:marBottom w:val="0"/>
                      <w:divBdr>
                        <w:top w:val="none" w:sz="0" w:space="0" w:color="auto"/>
                        <w:left w:val="none" w:sz="0" w:space="0" w:color="auto"/>
                        <w:bottom w:val="none" w:sz="0" w:space="0" w:color="auto"/>
                        <w:right w:val="none" w:sz="0" w:space="0" w:color="auto"/>
                      </w:divBdr>
                    </w:div>
                  </w:divsChild>
                </w:div>
                <w:div w:id="292443531">
                  <w:marLeft w:val="0"/>
                  <w:marRight w:val="0"/>
                  <w:marTop w:val="0"/>
                  <w:marBottom w:val="0"/>
                  <w:divBdr>
                    <w:top w:val="none" w:sz="0" w:space="0" w:color="auto"/>
                    <w:left w:val="none" w:sz="0" w:space="0" w:color="auto"/>
                    <w:bottom w:val="none" w:sz="0" w:space="0" w:color="auto"/>
                    <w:right w:val="none" w:sz="0" w:space="0" w:color="auto"/>
                  </w:divBdr>
                  <w:divsChild>
                    <w:div w:id="512259501">
                      <w:marLeft w:val="0"/>
                      <w:marRight w:val="0"/>
                      <w:marTop w:val="0"/>
                      <w:marBottom w:val="0"/>
                      <w:divBdr>
                        <w:top w:val="none" w:sz="0" w:space="0" w:color="auto"/>
                        <w:left w:val="none" w:sz="0" w:space="0" w:color="auto"/>
                        <w:bottom w:val="none" w:sz="0" w:space="0" w:color="auto"/>
                        <w:right w:val="none" w:sz="0" w:space="0" w:color="auto"/>
                      </w:divBdr>
                    </w:div>
                  </w:divsChild>
                </w:div>
                <w:div w:id="295255843">
                  <w:marLeft w:val="0"/>
                  <w:marRight w:val="0"/>
                  <w:marTop w:val="0"/>
                  <w:marBottom w:val="0"/>
                  <w:divBdr>
                    <w:top w:val="none" w:sz="0" w:space="0" w:color="auto"/>
                    <w:left w:val="none" w:sz="0" w:space="0" w:color="auto"/>
                    <w:bottom w:val="none" w:sz="0" w:space="0" w:color="auto"/>
                    <w:right w:val="none" w:sz="0" w:space="0" w:color="auto"/>
                  </w:divBdr>
                  <w:divsChild>
                    <w:div w:id="2113043208">
                      <w:marLeft w:val="0"/>
                      <w:marRight w:val="0"/>
                      <w:marTop w:val="0"/>
                      <w:marBottom w:val="0"/>
                      <w:divBdr>
                        <w:top w:val="none" w:sz="0" w:space="0" w:color="auto"/>
                        <w:left w:val="none" w:sz="0" w:space="0" w:color="auto"/>
                        <w:bottom w:val="none" w:sz="0" w:space="0" w:color="auto"/>
                        <w:right w:val="none" w:sz="0" w:space="0" w:color="auto"/>
                      </w:divBdr>
                    </w:div>
                  </w:divsChild>
                </w:div>
                <w:div w:id="309023176">
                  <w:marLeft w:val="0"/>
                  <w:marRight w:val="0"/>
                  <w:marTop w:val="0"/>
                  <w:marBottom w:val="0"/>
                  <w:divBdr>
                    <w:top w:val="none" w:sz="0" w:space="0" w:color="auto"/>
                    <w:left w:val="none" w:sz="0" w:space="0" w:color="auto"/>
                    <w:bottom w:val="none" w:sz="0" w:space="0" w:color="auto"/>
                    <w:right w:val="none" w:sz="0" w:space="0" w:color="auto"/>
                  </w:divBdr>
                  <w:divsChild>
                    <w:div w:id="325787944">
                      <w:marLeft w:val="0"/>
                      <w:marRight w:val="0"/>
                      <w:marTop w:val="0"/>
                      <w:marBottom w:val="0"/>
                      <w:divBdr>
                        <w:top w:val="none" w:sz="0" w:space="0" w:color="auto"/>
                        <w:left w:val="none" w:sz="0" w:space="0" w:color="auto"/>
                        <w:bottom w:val="none" w:sz="0" w:space="0" w:color="auto"/>
                        <w:right w:val="none" w:sz="0" w:space="0" w:color="auto"/>
                      </w:divBdr>
                    </w:div>
                  </w:divsChild>
                </w:div>
                <w:div w:id="318193141">
                  <w:marLeft w:val="0"/>
                  <w:marRight w:val="0"/>
                  <w:marTop w:val="0"/>
                  <w:marBottom w:val="0"/>
                  <w:divBdr>
                    <w:top w:val="none" w:sz="0" w:space="0" w:color="auto"/>
                    <w:left w:val="none" w:sz="0" w:space="0" w:color="auto"/>
                    <w:bottom w:val="none" w:sz="0" w:space="0" w:color="auto"/>
                    <w:right w:val="none" w:sz="0" w:space="0" w:color="auto"/>
                  </w:divBdr>
                  <w:divsChild>
                    <w:div w:id="726564246">
                      <w:marLeft w:val="0"/>
                      <w:marRight w:val="0"/>
                      <w:marTop w:val="0"/>
                      <w:marBottom w:val="0"/>
                      <w:divBdr>
                        <w:top w:val="none" w:sz="0" w:space="0" w:color="auto"/>
                        <w:left w:val="none" w:sz="0" w:space="0" w:color="auto"/>
                        <w:bottom w:val="none" w:sz="0" w:space="0" w:color="auto"/>
                        <w:right w:val="none" w:sz="0" w:space="0" w:color="auto"/>
                      </w:divBdr>
                    </w:div>
                  </w:divsChild>
                </w:div>
                <w:div w:id="323515492">
                  <w:marLeft w:val="0"/>
                  <w:marRight w:val="0"/>
                  <w:marTop w:val="0"/>
                  <w:marBottom w:val="0"/>
                  <w:divBdr>
                    <w:top w:val="none" w:sz="0" w:space="0" w:color="auto"/>
                    <w:left w:val="none" w:sz="0" w:space="0" w:color="auto"/>
                    <w:bottom w:val="none" w:sz="0" w:space="0" w:color="auto"/>
                    <w:right w:val="none" w:sz="0" w:space="0" w:color="auto"/>
                  </w:divBdr>
                  <w:divsChild>
                    <w:div w:id="1896315860">
                      <w:marLeft w:val="0"/>
                      <w:marRight w:val="0"/>
                      <w:marTop w:val="0"/>
                      <w:marBottom w:val="0"/>
                      <w:divBdr>
                        <w:top w:val="none" w:sz="0" w:space="0" w:color="auto"/>
                        <w:left w:val="none" w:sz="0" w:space="0" w:color="auto"/>
                        <w:bottom w:val="none" w:sz="0" w:space="0" w:color="auto"/>
                        <w:right w:val="none" w:sz="0" w:space="0" w:color="auto"/>
                      </w:divBdr>
                    </w:div>
                  </w:divsChild>
                </w:div>
                <w:div w:id="331766225">
                  <w:marLeft w:val="0"/>
                  <w:marRight w:val="0"/>
                  <w:marTop w:val="0"/>
                  <w:marBottom w:val="0"/>
                  <w:divBdr>
                    <w:top w:val="none" w:sz="0" w:space="0" w:color="auto"/>
                    <w:left w:val="none" w:sz="0" w:space="0" w:color="auto"/>
                    <w:bottom w:val="none" w:sz="0" w:space="0" w:color="auto"/>
                    <w:right w:val="none" w:sz="0" w:space="0" w:color="auto"/>
                  </w:divBdr>
                  <w:divsChild>
                    <w:div w:id="163905933">
                      <w:marLeft w:val="0"/>
                      <w:marRight w:val="0"/>
                      <w:marTop w:val="0"/>
                      <w:marBottom w:val="0"/>
                      <w:divBdr>
                        <w:top w:val="none" w:sz="0" w:space="0" w:color="auto"/>
                        <w:left w:val="none" w:sz="0" w:space="0" w:color="auto"/>
                        <w:bottom w:val="none" w:sz="0" w:space="0" w:color="auto"/>
                        <w:right w:val="none" w:sz="0" w:space="0" w:color="auto"/>
                      </w:divBdr>
                    </w:div>
                  </w:divsChild>
                </w:div>
                <w:div w:id="333915654">
                  <w:marLeft w:val="0"/>
                  <w:marRight w:val="0"/>
                  <w:marTop w:val="0"/>
                  <w:marBottom w:val="0"/>
                  <w:divBdr>
                    <w:top w:val="none" w:sz="0" w:space="0" w:color="auto"/>
                    <w:left w:val="none" w:sz="0" w:space="0" w:color="auto"/>
                    <w:bottom w:val="none" w:sz="0" w:space="0" w:color="auto"/>
                    <w:right w:val="none" w:sz="0" w:space="0" w:color="auto"/>
                  </w:divBdr>
                  <w:divsChild>
                    <w:div w:id="88546476">
                      <w:marLeft w:val="0"/>
                      <w:marRight w:val="0"/>
                      <w:marTop w:val="0"/>
                      <w:marBottom w:val="0"/>
                      <w:divBdr>
                        <w:top w:val="none" w:sz="0" w:space="0" w:color="auto"/>
                        <w:left w:val="none" w:sz="0" w:space="0" w:color="auto"/>
                        <w:bottom w:val="none" w:sz="0" w:space="0" w:color="auto"/>
                        <w:right w:val="none" w:sz="0" w:space="0" w:color="auto"/>
                      </w:divBdr>
                    </w:div>
                  </w:divsChild>
                </w:div>
                <w:div w:id="346250466">
                  <w:marLeft w:val="0"/>
                  <w:marRight w:val="0"/>
                  <w:marTop w:val="0"/>
                  <w:marBottom w:val="0"/>
                  <w:divBdr>
                    <w:top w:val="none" w:sz="0" w:space="0" w:color="auto"/>
                    <w:left w:val="none" w:sz="0" w:space="0" w:color="auto"/>
                    <w:bottom w:val="none" w:sz="0" w:space="0" w:color="auto"/>
                    <w:right w:val="none" w:sz="0" w:space="0" w:color="auto"/>
                  </w:divBdr>
                  <w:divsChild>
                    <w:div w:id="1835682158">
                      <w:marLeft w:val="0"/>
                      <w:marRight w:val="0"/>
                      <w:marTop w:val="0"/>
                      <w:marBottom w:val="0"/>
                      <w:divBdr>
                        <w:top w:val="none" w:sz="0" w:space="0" w:color="auto"/>
                        <w:left w:val="none" w:sz="0" w:space="0" w:color="auto"/>
                        <w:bottom w:val="none" w:sz="0" w:space="0" w:color="auto"/>
                        <w:right w:val="none" w:sz="0" w:space="0" w:color="auto"/>
                      </w:divBdr>
                    </w:div>
                  </w:divsChild>
                </w:div>
                <w:div w:id="347223461">
                  <w:marLeft w:val="0"/>
                  <w:marRight w:val="0"/>
                  <w:marTop w:val="0"/>
                  <w:marBottom w:val="0"/>
                  <w:divBdr>
                    <w:top w:val="none" w:sz="0" w:space="0" w:color="auto"/>
                    <w:left w:val="none" w:sz="0" w:space="0" w:color="auto"/>
                    <w:bottom w:val="none" w:sz="0" w:space="0" w:color="auto"/>
                    <w:right w:val="none" w:sz="0" w:space="0" w:color="auto"/>
                  </w:divBdr>
                  <w:divsChild>
                    <w:div w:id="242182298">
                      <w:marLeft w:val="0"/>
                      <w:marRight w:val="0"/>
                      <w:marTop w:val="0"/>
                      <w:marBottom w:val="0"/>
                      <w:divBdr>
                        <w:top w:val="none" w:sz="0" w:space="0" w:color="auto"/>
                        <w:left w:val="none" w:sz="0" w:space="0" w:color="auto"/>
                        <w:bottom w:val="none" w:sz="0" w:space="0" w:color="auto"/>
                        <w:right w:val="none" w:sz="0" w:space="0" w:color="auto"/>
                      </w:divBdr>
                    </w:div>
                  </w:divsChild>
                </w:div>
                <w:div w:id="347871051">
                  <w:marLeft w:val="0"/>
                  <w:marRight w:val="0"/>
                  <w:marTop w:val="0"/>
                  <w:marBottom w:val="0"/>
                  <w:divBdr>
                    <w:top w:val="none" w:sz="0" w:space="0" w:color="auto"/>
                    <w:left w:val="none" w:sz="0" w:space="0" w:color="auto"/>
                    <w:bottom w:val="none" w:sz="0" w:space="0" w:color="auto"/>
                    <w:right w:val="none" w:sz="0" w:space="0" w:color="auto"/>
                  </w:divBdr>
                  <w:divsChild>
                    <w:div w:id="1729919812">
                      <w:marLeft w:val="0"/>
                      <w:marRight w:val="0"/>
                      <w:marTop w:val="0"/>
                      <w:marBottom w:val="0"/>
                      <w:divBdr>
                        <w:top w:val="none" w:sz="0" w:space="0" w:color="auto"/>
                        <w:left w:val="none" w:sz="0" w:space="0" w:color="auto"/>
                        <w:bottom w:val="none" w:sz="0" w:space="0" w:color="auto"/>
                        <w:right w:val="none" w:sz="0" w:space="0" w:color="auto"/>
                      </w:divBdr>
                    </w:div>
                  </w:divsChild>
                </w:div>
                <w:div w:id="361978217">
                  <w:marLeft w:val="0"/>
                  <w:marRight w:val="0"/>
                  <w:marTop w:val="0"/>
                  <w:marBottom w:val="0"/>
                  <w:divBdr>
                    <w:top w:val="none" w:sz="0" w:space="0" w:color="auto"/>
                    <w:left w:val="none" w:sz="0" w:space="0" w:color="auto"/>
                    <w:bottom w:val="none" w:sz="0" w:space="0" w:color="auto"/>
                    <w:right w:val="none" w:sz="0" w:space="0" w:color="auto"/>
                  </w:divBdr>
                  <w:divsChild>
                    <w:div w:id="709719379">
                      <w:marLeft w:val="0"/>
                      <w:marRight w:val="0"/>
                      <w:marTop w:val="0"/>
                      <w:marBottom w:val="0"/>
                      <w:divBdr>
                        <w:top w:val="none" w:sz="0" w:space="0" w:color="auto"/>
                        <w:left w:val="none" w:sz="0" w:space="0" w:color="auto"/>
                        <w:bottom w:val="none" w:sz="0" w:space="0" w:color="auto"/>
                        <w:right w:val="none" w:sz="0" w:space="0" w:color="auto"/>
                      </w:divBdr>
                    </w:div>
                  </w:divsChild>
                </w:div>
                <w:div w:id="366373989">
                  <w:marLeft w:val="0"/>
                  <w:marRight w:val="0"/>
                  <w:marTop w:val="0"/>
                  <w:marBottom w:val="0"/>
                  <w:divBdr>
                    <w:top w:val="none" w:sz="0" w:space="0" w:color="auto"/>
                    <w:left w:val="none" w:sz="0" w:space="0" w:color="auto"/>
                    <w:bottom w:val="none" w:sz="0" w:space="0" w:color="auto"/>
                    <w:right w:val="none" w:sz="0" w:space="0" w:color="auto"/>
                  </w:divBdr>
                  <w:divsChild>
                    <w:div w:id="1987321225">
                      <w:marLeft w:val="0"/>
                      <w:marRight w:val="0"/>
                      <w:marTop w:val="0"/>
                      <w:marBottom w:val="0"/>
                      <w:divBdr>
                        <w:top w:val="none" w:sz="0" w:space="0" w:color="auto"/>
                        <w:left w:val="none" w:sz="0" w:space="0" w:color="auto"/>
                        <w:bottom w:val="none" w:sz="0" w:space="0" w:color="auto"/>
                        <w:right w:val="none" w:sz="0" w:space="0" w:color="auto"/>
                      </w:divBdr>
                    </w:div>
                  </w:divsChild>
                </w:div>
                <w:div w:id="391198087">
                  <w:marLeft w:val="0"/>
                  <w:marRight w:val="0"/>
                  <w:marTop w:val="0"/>
                  <w:marBottom w:val="0"/>
                  <w:divBdr>
                    <w:top w:val="none" w:sz="0" w:space="0" w:color="auto"/>
                    <w:left w:val="none" w:sz="0" w:space="0" w:color="auto"/>
                    <w:bottom w:val="none" w:sz="0" w:space="0" w:color="auto"/>
                    <w:right w:val="none" w:sz="0" w:space="0" w:color="auto"/>
                  </w:divBdr>
                  <w:divsChild>
                    <w:div w:id="1380982470">
                      <w:marLeft w:val="0"/>
                      <w:marRight w:val="0"/>
                      <w:marTop w:val="0"/>
                      <w:marBottom w:val="0"/>
                      <w:divBdr>
                        <w:top w:val="none" w:sz="0" w:space="0" w:color="auto"/>
                        <w:left w:val="none" w:sz="0" w:space="0" w:color="auto"/>
                        <w:bottom w:val="none" w:sz="0" w:space="0" w:color="auto"/>
                        <w:right w:val="none" w:sz="0" w:space="0" w:color="auto"/>
                      </w:divBdr>
                    </w:div>
                  </w:divsChild>
                </w:div>
                <w:div w:id="393428886">
                  <w:marLeft w:val="0"/>
                  <w:marRight w:val="0"/>
                  <w:marTop w:val="0"/>
                  <w:marBottom w:val="0"/>
                  <w:divBdr>
                    <w:top w:val="none" w:sz="0" w:space="0" w:color="auto"/>
                    <w:left w:val="none" w:sz="0" w:space="0" w:color="auto"/>
                    <w:bottom w:val="none" w:sz="0" w:space="0" w:color="auto"/>
                    <w:right w:val="none" w:sz="0" w:space="0" w:color="auto"/>
                  </w:divBdr>
                  <w:divsChild>
                    <w:div w:id="1655792444">
                      <w:marLeft w:val="0"/>
                      <w:marRight w:val="0"/>
                      <w:marTop w:val="0"/>
                      <w:marBottom w:val="0"/>
                      <w:divBdr>
                        <w:top w:val="none" w:sz="0" w:space="0" w:color="auto"/>
                        <w:left w:val="none" w:sz="0" w:space="0" w:color="auto"/>
                        <w:bottom w:val="none" w:sz="0" w:space="0" w:color="auto"/>
                        <w:right w:val="none" w:sz="0" w:space="0" w:color="auto"/>
                      </w:divBdr>
                    </w:div>
                  </w:divsChild>
                </w:div>
                <w:div w:id="398211958">
                  <w:marLeft w:val="0"/>
                  <w:marRight w:val="0"/>
                  <w:marTop w:val="0"/>
                  <w:marBottom w:val="0"/>
                  <w:divBdr>
                    <w:top w:val="none" w:sz="0" w:space="0" w:color="auto"/>
                    <w:left w:val="none" w:sz="0" w:space="0" w:color="auto"/>
                    <w:bottom w:val="none" w:sz="0" w:space="0" w:color="auto"/>
                    <w:right w:val="none" w:sz="0" w:space="0" w:color="auto"/>
                  </w:divBdr>
                  <w:divsChild>
                    <w:div w:id="1289819545">
                      <w:marLeft w:val="0"/>
                      <w:marRight w:val="0"/>
                      <w:marTop w:val="0"/>
                      <w:marBottom w:val="0"/>
                      <w:divBdr>
                        <w:top w:val="none" w:sz="0" w:space="0" w:color="auto"/>
                        <w:left w:val="none" w:sz="0" w:space="0" w:color="auto"/>
                        <w:bottom w:val="none" w:sz="0" w:space="0" w:color="auto"/>
                        <w:right w:val="none" w:sz="0" w:space="0" w:color="auto"/>
                      </w:divBdr>
                    </w:div>
                  </w:divsChild>
                </w:div>
                <w:div w:id="400369145">
                  <w:marLeft w:val="0"/>
                  <w:marRight w:val="0"/>
                  <w:marTop w:val="0"/>
                  <w:marBottom w:val="0"/>
                  <w:divBdr>
                    <w:top w:val="none" w:sz="0" w:space="0" w:color="auto"/>
                    <w:left w:val="none" w:sz="0" w:space="0" w:color="auto"/>
                    <w:bottom w:val="none" w:sz="0" w:space="0" w:color="auto"/>
                    <w:right w:val="none" w:sz="0" w:space="0" w:color="auto"/>
                  </w:divBdr>
                  <w:divsChild>
                    <w:div w:id="358700505">
                      <w:marLeft w:val="0"/>
                      <w:marRight w:val="0"/>
                      <w:marTop w:val="0"/>
                      <w:marBottom w:val="0"/>
                      <w:divBdr>
                        <w:top w:val="none" w:sz="0" w:space="0" w:color="auto"/>
                        <w:left w:val="none" w:sz="0" w:space="0" w:color="auto"/>
                        <w:bottom w:val="none" w:sz="0" w:space="0" w:color="auto"/>
                        <w:right w:val="none" w:sz="0" w:space="0" w:color="auto"/>
                      </w:divBdr>
                    </w:div>
                  </w:divsChild>
                </w:div>
                <w:div w:id="407120788">
                  <w:marLeft w:val="0"/>
                  <w:marRight w:val="0"/>
                  <w:marTop w:val="0"/>
                  <w:marBottom w:val="0"/>
                  <w:divBdr>
                    <w:top w:val="none" w:sz="0" w:space="0" w:color="auto"/>
                    <w:left w:val="none" w:sz="0" w:space="0" w:color="auto"/>
                    <w:bottom w:val="none" w:sz="0" w:space="0" w:color="auto"/>
                    <w:right w:val="none" w:sz="0" w:space="0" w:color="auto"/>
                  </w:divBdr>
                  <w:divsChild>
                    <w:div w:id="750737441">
                      <w:marLeft w:val="0"/>
                      <w:marRight w:val="0"/>
                      <w:marTop w:val="0"/>
                      <w:marBottom w:val="0"/>
                      <w:divBdr>
                        <w:top w:val="none" w:sz="0" w:space="0" w:color="auto"/>
                        <w:left w:val="none" w:sz="0" w:space="0" w:color="auto"/>
                        <w:bottom w:val="none" w:sz="0" w:space="0" w:color="auto"/>
                        <w:right w:val="none" w:sz="0" w:space="0" w:color="auto"/>
                      </w:divBdr>
                    </w:div>
                  </w:divsChild>
                </w:div>
                <w:div w:id="418671627">
                  <w:marLeft w:val="0"/>
                  <w:marRight w:val="0"/>
                  <w:marTop w:val="0"/>
                  <w:marBottom w:val="0"/>
                  <w:divBdr>
                    <w:top w:val="none" w:sz="0" w:space="0" w:color="auto"/>
                    <w:left w:val="none" w:sz="0" w:space="0" w:color="auto"/>
                    <w:bottom w:val="none" w:sz="0" w:space="0" w:color="auto"/>
                    <w:right w:val="none" w:sz="0" w:space="0" w:color="auto"/>
                  </w:divBdr>
                  <w:divsChild>
                    <w:div w:id="1028608166">
                      <w:marLeft w:val="0"/>
                      <w:marRight w:val="0"/>
                      <w:marTop w:val="0"/>
                      <w:marBottom w:val="0"/>
                      <w:divBdr>
                        <w:top w:val="none" w:sz="0" w:space="0" w:color="auto"/>
                        <w:left w:val="none" w:sz="0" w:space="0" w:color="auto"/>
                        <w:bottom w:val="none" w:sz="0" w:space="0" w:color="auto"/>
                        <w:right w:val="none" w:sz="0" w:space="0" w:color="auto"/>
                      </w:divBdr>
                    </w:div>
                  </w:divsChild>
                </w:div>
                <w:div w:id="422143883">
                  <w:marLeft w:val="0"/>
                  <w:marRight w:val="0"/>
                  <w:marTop w:val="0"/>
                  <w:marBottom w:val="0"/>
                  <w:divBdr>
                    <w:top w:val="none" w:sz="0" w:space="0" w:color="auto"/>
                    <w:left w:val="none" w:sz="0" w:space="0" w:color="auto"/>
                    <w:bottom w:val="none" w:sz="0" w:space="0" w:color="auto"/>
                    <w:right w:val="none" w:sz="0" w:space="0" w:color="auto"/>
                  </w:divBdr>
                  <w:divsChild>
                    <w:div w:id="1160194031">
                      <w:marLeft w:val="0"/>
                      <w:marRight w:val="0"/>
                      <w:marTop w:val="0"/>
                      <w:marBottom w:val="0"/>
                      <w:divBdr>
                        <w:top w:val="none" w:sz="0" w:space="0" w:color="auto"/>
                        <w:left w:val="none" w:sz="0" w:space="0" w:color="auto"/>
                        <w:bottom w:val="none" w:sz="0" w:space="0" w:color="auto"/>
                        <w:right w:val="none" w:sz="0" w:space="0" w:color="auto"/>
                      </w:divBdr>
                    </w:div>
                  </w:divsChild>
                </w:div>
                <w:div w:id="425273378">
                  <w:marLeft w:val="0"/>
                  <w:marRight w:val="0"/>
                  <w:marTop w:val="0"/>
                  <w:marBottom w:val="0"/>
                  <w:divBdr>
                    <w:top w:val="none" w:sz="0" w:space="0" w:color="auto"/>
                    <w:left w:val="none" w:sz="0" w:space="0" w:color="auto"/>
                    <w:bottom w:val="none" w:sz="0" w:space="0" w:color="auto"/>
                    <w:right w:val="none" w:sz="0" w:space="0" w:color="auto"/>
                  </w:divBdr>
                  <w:divsChild>
                    <w:div w:id="451897302">
                      <w:marLeft w:val="0"/>
                      <w:marRight w:val="0"/>
                      <w:marTop w:val="0"/>
                      <w:marBottom w:val="0"/>
                      <w:divBdr>
                        <w:top w:val="none" w:sz="0" w:space="0" w:color="auto"/>
                        <w:left w:val="none" w:sz="0" w:space="0" w:color="auto"/>
                        <w:bottom w:val="none" w:sz="0" w:space="0" w:color="auto"/>
                        <w:right w:val="none" w:sz="0" w:space="0" w:color="auto"/>
                      </w:divBdr>
                    </w:div>
                  </w:divsChild>
                </w:div>
                <w:div w:id="425463175">
                  <w:marLeft w:val="0"/>
                  <w:marRight w:val="0"/>
                  <w:marTop w:val="0"/>
                  <w:marBottom w:val="0"/>
                  <w:divBdr>
                    <w:top w:val="none" w:sz="0" w:space="0" w:color="auto"/>
                    <w:left w:val="none" w:sz="0" w:space="0" w:color="auto"/>
                    <w:bottom w:val="none" w:sz="0" w:space="0" w:color="auto"/>
                    <w:right w:val="none" w:sz="0" w:space="0" w:color="auto"/>
                  </w:divBdr>
                  <w:divsChild>
                    <w:div w:id="1966425557">
                      <w:marLeft w:val="0"/>
                      <w:marRight w:val="0"/>
                      <w:marTop w:val="0"/>
                      <w:marBottom w:val="0"/>
                      <w:divBdr>
                        <w:top w:val="none" w:sz="0" w:space="0" w:color="auto"/>
                        <w:left w:val="none" w:sz="0" w:space="0" w:color="auto"/>
                        <w:bottom w:val="none" w:sz="0" w:space="0" w:color="auto"/>
                        <w:right w:val="none" w:sz="0" w:space="0" w:color="auto"/>
                      </w:divBdr>
                    </w:div>
                  </w:divsChild>
                </w:div>
                <w:div w:id="428621234">
                  <w:marLeft w:val="0"/>
                  <w:marRight w:val="0"/>
                  <w:marTop w:val="0"/>
                  <w:marBottom w:val="0"/>
                  <w:divBdr>
                    <w:top w:val="none" w:sz="0" w:space="0" w:color="auto"/>
                    <w:left w:val="none" w:sz="0" w:space="0" w:color="auto"/>
                    <w:bottom w:val="none" w:sz="0" w:space="0" w:color="auto"/>
                    <w:right w:val="none" w:sz="0" w:space="0" w:color="auto"/>
                  </w:divBdr>
                  <w:divsChild>
                    <w:div w:id="1978609841">
                      <w:marLeft w:val="0"/>
                      <w:marRight w:val="0"/>
                      <w:marTop w:val="0"/>
                      <w:marBottom w:val="0"/>
                      <w:divBdr>
                        <w:top w:val="none" w:sz="0" w:space="0" w:color="auto"/>
                        <w:left w:val="none" w:sz="0" w:space="0" w:color="auto"/>
                        <w:bottom w:val="none" w:sz="0" w:space="0" w:color="auto"/>
                        <w:right w:val="none" w:sz="0" w:space="0" w:color="auto"/>
                      </w:divBdr>
                    </w:div>
                  </w:divsChild>
                </w:div>
                <w:div w:id="438598935">
                  <w:marLeft w:val="0"/>
                  <w:marRight w:val="0"/>
                  <w:marTop w:val="0"/>
                  <w:marBottom w:val="0"/>
                  <w:divBdr>
                    <w:top w:val="none" w:sz="0" w:space="0" w:color="auto"/>
                    <w:left w:val="none" w:sz="0" w:space="0" w:color="auto"/>
                    <w:bottom w:val="none" w:sz="0" w:space="0" w:color="auto"/>
                    <w:right w:val="none" w:sz="0" w:space="0" w:color="auto"/>
                  </w:divBdr>
                  <w:divsChild>
                    <w:div w:id="531654050">
                      <w:marLeft w:val="0"/>
                      <w:marRight w:val="0"/>
                      <w:marTop w:val="0"/>
                      <w:marBottom w:val="0"/>
                      <w:divBdr>
                        <w:top w:val="none" w:sz="0" w:space="0" w:color="auto"/>
                        <w:left w:val="none" w:sz="0" w:space="0" w:color="auto"/>
                        <w:bottom w:val="none" w:sz="0" w:space="0" w:color="auto"/>
                        <w:right w:val="none" w:sz="0" w:space="0" w:color="auto"/>
                      </w:divBdr>
                    </w:div>
                  </w:divsChild>
                </w:div>
                <w:div w:id="439959529">
                  <w:marLeft w:val="0"/>
                  <w:marRight w:val="0"/>
                  <w:marTop w:val="0"/>
                  <w:marBottom w:val="0"/>
                  <w:divBdr>
                    <w:top w:val="none" w:sz="0" w:space="0" w:color="auto"/>
                    <w:left w:val="none" w:sz="0" w:space="0" w:color="auto"/>
                    <w:bottom w:val="none" w:sz="0" w:space="0" w:color="auto"/>
                    <w:right w:val="none" w:sz="0" w:space="0" w:color="auto"/>
                  </w:divBdr>
                  <w:divsChild>
                    <w:div w:id="1121144298">
                      <w:marLeft w:val="0"/>
                      <w:marRight w:val="0"/>
                      <w:marTop w:val="0"/>
                      <w:marBottom w:val="0"/>
                      <w:divBdr>
                        <w:top w:val="none" w:sz="0" w:space="0" w:color="auto"/>
                        <w:left w:val="none" w:sz="0" w:space="0" w:color="auto"/>
                        <w:bottom w:val="none" w:sz="0" w:space="0" w:color="auto"/>
                        <w:right w:val="none" w:sz="0" w:space="0" w:color="auto"/>
                      </w:divBdr>
                    </w:div>
                  </w:divsChild>
                </w:div>
                <w:div w:id="442263588">
                  <w:marLeft w:val="0"/>
                  <w:marRight w:val="0"/>
                  <w:marTop w:val="0"/>
                  <w:marBottom w:val="0"/>
                  <w:divBdr>
                    <w:top w:val="none" w:sz="0" w:space="0" w:color="auto"/>
                    <w:left w:val="none" w:sz="0" w:space="0" w:color="auto"/>
                    <w:bottom w:val="none" w:sz="0" w:space="0" w:color="auto"/>
                    <w:right w:val="none" w:sz="0" w:space="0" w:color="auto"/>
                  </w:divBdr>
                  <w:divsChild>
                    <w:div w:id="1014921562">
                      <w:marLeft w:val="0"/>
                      <w:marRight w:val="0"/>
                      <w:marTop w:val="0"/>
                      <w:marBottom w:val="0"/>
                      <w:divBdr>
                        <w:top w:val="none" w:sz="0" w:space="0" w:color="auto"/>
                        <w:left w:val="none" w:sz="0" w:space="0" w:color="auto"/>
                        <w:bottom w:val="none" w:sz="0" w:space="0" w:color="auto"/>
                        <w:right w:val="none" w:sz="0" w:space="0" w:color="auto"/>
                      </w:divBdr>
                    </w:div>
                  </w:divsChild>
                </w:div>
                <w:div w:id="465902752">
                  <w:marLeft w:val="0"/>
                  <w:marRight w:val="0"/>
                  <w:marTop w:val="0"/>
                  <w:marBottom w:val="0"/>
                  <w:divBdr>
                    <w:top w:val="none" w:sz="0" w:space="0" w:color="auto"/>
                    <w:left w:val="none" w:sz="0" w:space="0" w:color="auto"/>
                    <w:bottom w:val="none" w:sz="0" w:space="0" w:color="auto"/>
                    <w:right w:val="none" w:sz="0" w:space="0" w:color="auto"/>
                  </w:divBdr>
                  <w:divsChild>
                    <w:div w:id="1130899766">
                      <w:marLeft w:val="0"/>
                      <w:marRight w:val="0"/>
                      <w:marTop w:val="0"/>
                      <w:marBottom w:val="0"/>
                      <w:divBdr>
                        <w:top w:val="none" w:sz="0" w:space="0" w:color="auto"/>
                        <w:left w:val="none" w:sz="0" w:space="0" w:color="auto"/>
                        <w:bottom w:val="none" w:sz="0" w:space="0" w:color="auto"/>
                        <w:right w:val="none" w:sz="0" w:space="0" w:color="auto"/>
                      </w:divBdr>
                    </w:div>
                  </w:divsChild>
                </w:div>
                <w:div w:id="478961742">
                  <w:marLeft w:val="0"/>
                  <w:marRight w:val="0"/>
                  <w:marTop w:val="0"/>
                  <w:marBottom w:val="0"/>
                  <w:divBdr>
                    <w:top w:val="none" w:sz="0" w:space="0" w:color="auto"/>
                    <w:left w:val="none" w:sz="0" w:space="0" w:color="auto"/>
                    <w:bottom w:val="none" w:sz="0" w:space="0" w:color="auto"/>
                    <w:right w:val="none" w:sz="0" w:space="0" w:color="auto"/>
                  </w:divBdr>
                  <w:divsChild>
                    <w:div w:id="260526283">
                      <w:marLeft w:val="0"/>
                      <w:marRight w:val="0"/>
                      <w:marTop w:val="0"/>
                      <w:marBottom w:val="0"/>
                      <w:divBdr>
                        <w:top w:val="none" w:sz="0" w:space="0" w:color="auto"/>
                        <w:left w:val="none" w:sz="0" w:space="0" w:color="auto"/>
                        <w:bottom w:val="none" w:sz="0" w:space="0" w:color="auto"/>
                        <w:right w:val="none" w:sz="0" w:space="0" w:color="auto"/>
                      </w:divBdr>
                    </w:div>
                  </w:divsChild>
                </w:div>
                <w:div w:id="479273686">
                  <w:marLeft w:val="0"/>
                  <w:marRight w:val="0"/>
                  <w:marTop w:val="0"/>
                  <w:marBottom w:val="0"/>
                  <w:divBdr>
                    <w:top w:val="none" w:sz="0" w:space="0" w:color="auto"/>
                    <w:left w:val="none" w:sz="0" w:space="0" w:color="auto"/>
                    <w:bottom w:val="none" w:sz="0" w:space="0" w:color="auto"/>
                    <w:right w:val="none" w:sz="0" w:space="0" w:color="auto"/>
                  </w:divBdr>
                  <w:divsChild>
                    <w:div w:id="893009388">
                      <w:marLeft w:val="0"/>
                      <w:marRight w:val="0"/>
                      <w:marTop w:val="0"/>
                      <w:marBottom w:val="0"/>
                      <w:divBdr>
                        <w:top w:val="none" w:sz="0" w:space="0" w:color="auto"/>
                        <w:left w:val="none" w:sz="0" w:space="0" w:color="auto"/>
                        <w:bottom w:val="none" w:sz="0" w:space="0" w:color="auto"/>
                        <w:right w:val="none" w:sz="0" w:space="0" w:color="auto"/>
                      </w:divBdr>
                    </w:div>
                  </w:divsChild>
                </w:div>
                <w:div w:id="485517131">
                  <w:marLeft w:val="0"/>
                  <w:marRight w:val="0"/>
                  <w:marTop w:val="0"/>
                  <w:marBottom w:val="0"/>
                  <w:divBdr>
                    <w:top w:val="none" w:sz="0" w:space="0" w:color="auto"/>
                    <w:left w:val="none" w:sz="0" w:space="0" w:color="auto"/>
                    <w:bottom w:val="none" w:sz="0" w:space="0" w:color="auto"/>
                    <w:right w:val="none" w:sz="0" w:space="0" w:color="auto"/>
                  </w:divBdr>
                  <w:divsChild>
                    <w:div w:id="178862168">
                      <w:marLeft w:val="0"/>
                      <w:marRight w:val="0"/>
                      <w:marTop w:val="0"/>
                      <w:marBottom w:val="0"/>
                      <w:divBdr>
                        <w:top w:val="none" w:sz="0" w:space="0" w:color="auto"/>
                        <w:left w:val="none" w:sz="0" w:space="0" w:color="auto"/>
                        <w:bottom w:val="none" w:sz="0" w:space="0" w:color="auto"/>
                        <w:right w:val="none" w:sz="0" w:space="0" w:color="auto"/>
                      </w:divBdr>
                    </w:div>
                  </w:divsChild>
                </w:div>
                <w:div w:id="486633300">
                  <w:marLeft w:val="0"/>
                  <w:marRight w:val="0"/>
                  <w:marTop w:val="0"/>
                  <w:marBottom w:val="0"/>
                  <w:divBdr>
                    <w:top w:val="none" w:sz="0" w:space="0" w:color="auto"/>
                    <w:left w:val="none" w:sz="0" w:space="0" w:color="auto"/>
                    <w:bottom w:val="none" w:sz="0" w:space="0" w:color="auto"/>
                    <w:right w:val="none" w:sz="0" w:space="0" w:color="auto"/>
                  </w:divBdr>
                  <w:divsChild>
                    <w:div w:id="246892483">
                      <w:marLeft w:val="0"/>
                      <w:marRight w:val="0"/>
                      <w:marTop w:val="0"/>
                      <w:marBottom w:val="0"/>
                      <w:divBdr>
                        <w:top w:val="none" w:sz="0" w:space="0" w:color="auto"/>
                        <w:left w:val="none" w:sz="0" w:space="0" w:color="auto"/>
                        <w:bottom w:val="none" w:sz="0" w:space="0" w:color="auto"/>
                        <w:right w:val="none" w:sz="0" w:space="0" w:color="auto"/>
                      </w:divBdr>
                    </w:div>
                  </w:divsChild>
                </w:div>
                <w:div w:id="491409481">
                  <w:marLeft w:val="0"/>
                  <w:marRight w:val="0"/>
                  <w:marTop w:val="0"/>
                  <w:marBottom w:val="0"/>
                  <w:divBdr>
                    <w:top w:val="none" w:sz="0" w:space="0" w:color="auto"/>
                    <w:left w:val="none" w:sz="0" w:space="0" w:color="auto"/>
                    <w:bottom w:val="none" w:sz="0" w:space="0" w:color="auto"/>
                    <w:right w:val="none" w:sz="0" w:space="0" w:color="auto"/>
                  </w:divBdr>
                  <w:divsChild>
                    <w:div w:id="1847282604">
                      <w:marLeft w:val="0"/>
                      <w:marRight w:val="0"/>
                      <w:marTop w:val="0"/>
                      <w:marBottom w:val="0"/>
                      <w:divBdr>
                        <w:top w:val="none" w:sz="0" w:space="0" w:color="auto"/>
                        <w:left w:val="none" w:sz="0" w:space="0" w:color="auto"/>
                        <w:bottom w:val="none" w:sz="0" w:space="0" w:color="auto"/>
                        <w:right w:val="none" w:sz="0" w:space="0" w:color="auto"/>
                      </w:divBdr>
                    </w:div>
                  </w:divsChild>
                </w:div>
                <w:div w:id="493254666">
                  <w:marLeft w:val="0"/>
                  <w:marRight w:val="0"/>
                  <w:marTop w:val="0"/>
                  <w:marBottom w:val="0"/>
                  <w:divBdr>
                    <w:top w:val="none" w:sz="0" w:space="0" w:color="auto"/>
                    <w:left w:val="none" w:sz="0" w:space="0" w:color="auto"/>
                    <w:bottom w:val="none" w:sz="0" w:space="0" w:color="auto"/>
                    <w:right w:val="none" w:sz="0" w:space="0" w:color="auto"/>
                  </w:divBdr>
                  <w:divsChild>
                    <w:div w:id="1031419775">
                      <w:marLeft w:val="0"/>
                      <w:marRight w:val="0"/>
                      <w:marTop w:val="0"/>
                      <w:marBottom w:val="0"/>
                      <w:divBdr>
                        <w:top w:val="none" w:sz="0" w:space="0" w:color="auto"/>
                        <w:left w:val="none" w:sz="0" w:space="0" w:color="auto"/>
                        <w:bottom w:val="none" w:sz="0" w:space="0" w:color="auto"/>
                        <w:right w:val="none" w:sz="0" w:space="0" w:color="auto"/>
                      </w:divBdr>
                    </w:div>
                  </w:divsChild>
                </w:div>
                <w:div w:id="497581233">
                  <w:marLeft w:val="0"/>
                  <w:marRight w:val="0"/>
                  <w:marTop w:val="0"/>
                  <w:marBottom w:val="0"/>
                  <w:divBdr>
                    <w:top w:val="none" w:sz="0" w:space="0" w:color="auto"/>
                    <w:left w:val="none" w:sz="0" w:space="0" w:color="auto"/>
                    <w:bottom w:val="none" w:sz="0" w:space="0" w:color="auto"/>
                    <w:right w:val="none" w:sz="0" w:space="0" w:color="auto"/>
                  </w:divBdr>
                  <w:divsChild>
                    <w:div w:id="226453479">
                      <w:marLeft w:val="0"/>
                      <w:marRight w:val="0"/>
                      <w:marTop w:val="0"/>
                      <w:marBottom w:val="0"/>
                      <w:divBdr>
                        <w:top w:val="none" w:sz="0" w:space="0" w:color="auto"/>
                        <w:left w:val="none" w:sz="0" w:space="0" w:color="auto"/>
                        <w:bottom w:val="none" w:sz="0" w:space="0" w:color="auto"/>
                        <w:right w:val="none" w:sz="0" w:space="0" w:color="auto"/>
                      </w:divBdr>
                    </w:div>
                  </w:divsChild>
                </w:div>
                <w:div w:id="501168299">
                  <w:marLeft w:val="0"/>
                  <w:marRight w:val="0"/>
                  <w:marTop w:val="0"/>
                  <w:marBottom w:val="0"/>
                  <w:divBdr>
                    <w:top w:val="none" w:sz="0" w:space="0" w:color="auto"/>
                    <w:left w:val="none" w:sz="0" w:space="0" w:color="auto"/>
                    <w:bottom w:val="none" w:sz="0" w:space="0" w:color="auto"/>
                    <w:right w:val="none" w:sz="0" w:space="0" w:color="auto"/>
                  </w:divBdr>
                  <w:divsChild>
                    <w:div w:id="601915248">
                      <w:marLeft w:val="0"/>
                      <w:marRight w:val="0"/>
                      <w:marTop w:val="0"/>
                      <w:marBottom w:val="0"/>
                      <w:divBdr>
                        <w:top w:val="none" w:sz="0" w:space="0" w:color="auto"/>
                        <w:left w:val="none" w:sz="0" w:space="0" w:color="auto"/>
                        <w:bottom w:val="none" w:sz="0" w:space="0" w:color="auto"/>
                        <w:right w:val="none" w:sz="0" w:space="0" w:color="auto"/>
                      </w:divBdr>
                    </w:div>
                  </w:divsChild>
                </w:div>
                <w:div w:id="514424796">
                  <w:marLeft w:val="0"/>
                  <w:marRight w:val="0"/>
                  <w:marTop w:val="0"/>
                  <w:marBottom w:val="0"/>
                  <w:divBdr>
                    <w:top w:val="none" w:sz="0" w:space="0" w:color="auto"/>
                    <w:left w:val="none" w:sz="0" w:space="0" w:color="auto"/>
                    <w:bottom w:val="none" w:sz="0" w:space="0" w:color="auto"/>
                    <w:right w:val="none" w:sz="0" w:space="0" w:color="auto"/>
                  </w:divBdr>
                  <w:divsChild>
                    <w:div w:id="1207840732">
                      <w:marLeft w:val="0"/>
                      <w:marRight w:val="0"/>
                      <w:marTop w:val="0"/>
                      <w:marBottom w:val="0"/>
                      <w:divBdr>
                        <w:top w:val="none" w:sz="0" w:space="0" w:color="auto"/>
                        <w:left w:val="none" w:sz="0" w:space="0" w:color="auto"/>
                        <w:bottom w:val="none" w:sz="0" w:space="0" w:color="auto"/>
                        <w:right w:val="none" w:sz="0" w:space="0" w:color="auto"/>
                      </w:divBdr>
                    </w:div>
                  </w:divsChild>
                </w:div>
                <w:div w:id="514617030">
                  <w:marLeft w:val="0"/>
                  <w:marRight w:val="0"/>
                  <w:marTop w:val="0"/>
                  <w:marBottom w:val="0"/>
                  <w:divBdr>
                    <w:top w:val="none" w:sz="0" w:space="0" w:color="auto"/>
                    <w:left w:val="none" w:sz="0" w:space="0" w:color="auto"/>
                    <w:bottom w:val="none" w:sz="0" w:space="0" w:color="auto"/>
                    <w:right w:val="none" w:sz="0" w:space="0" w:color="auto"/>
                  </w:divBdr>
                  <w:divsChild>
                    <w:div w:id="1563906334">
                      <w:marLeft w:val="0"/>
                      <w:marRight w:val="0"/>
                      <w:marTop w:val="0"/>
                      <w:marBottom w:val="0"/>
                      <w:divBdr>
                        <w:top w:val="none" w:sz="0" w:space="0" w:color="auto"/>
                        <w:left w:val="none" w:sz="0" w:space="0" w:color="auto"/>
                        <w:bottom w:val="none" w:sz="0" w:space="0" w:color="auto"/>
                        <w:right w:val="none" w:sz="0" w:space="0" w:color="auto"/>
                      </w:divBdr>
                    </w:div>
                  </w:divsChild>
                </w:div>
                <w:div w:id="522284519">
                  <w:marLeft w:val="0"/>
                  <w:marRight w:val="0"/>
                  <w:marTop w:val="0"/>
                  <w:marBottom w:val="0"/>
                  <w:divBdr>
                    <w:top w:val="none" w:sz="0" w:space="0" w:color="auto"/>
                    <w:left w:val="none" w:sz="0" w:space="0" w:color="auto"/>
                    <w:bottom w:val="none" w:sz="0" w:space="0" w:color="auto"/>
                    <w:right w:val="none" w:sz="0" w:space="0" w:color="auto"/>
                  </w:divBdr>
                  <w:divsChild>
                    <w:div w:id="993603288">
                      <w:marLeft w:val="0"/>
                      <w:marRight w:val="0"/>
                      <w:marTop w:val="0"/>
                      <w:marBottom w:val="0"/>
                      <w:divBdr>
                        <w:top w:val="none" w:sz="0" w:space="0" w:color="auto"/>
                        <w:left w:val="none" w:sz="0" w:space="0" w:color="auto"/>
                        <w:bottom w:val="none" w:sz="0" w:space="0" w:color="auto"/>
                        <w:right w:val="none" w:sz="0" w:space="0" w:color="auto"/>
                      </w:divBdr>
                    </w:div>
                  </w:divsChild>
                </w:div>
                <w:div w:id="532495577">
                  <w:marLeft w:val="0"/>
                  <w:marRight w:val="0"/>
                  <w:marTop w:val="0"/>
                  <w:marBottom w:val="0"/>
                  <w:divBdr>
                    <w:top w:val="none" w:sz="0" w:space="0" w:color="auto"/>
                    <w:left w:val="none" w:sz="0" w:space="0" w:color="auto"/>
                    <w:bottom w:val="none" w:sz="0" w:space="0" w:color="auto"/>
                    <w:right w:val="none" w:sz="0" w:space="0" w:color="auto"/>
                  </w:divBdr>
                  <w:divsChild>
                    <w:div w:id="1759131459">
                      <w:marLeft w:val="0"/>
                      <w:marRight w:val="0"/>
                      <w:marTop w:val="0"/>
                      <w:marBottom w:val="0"/>
                      <w:divBdr>
                        <w:top w:val="none" w:sz="0" w:space="0" w:color="auto"/>
                        <w:left w:val="none" w:sz="0" w:space="0" w:color="auto"/>
                        <w:bottom w:val="none" w:sz="0" w:space="0" w:color="auto"/>
                        <w:right w:val="none" w:sz="0" w:space="0" w:color="auto"/>
                      </w:divBdr>
                    </w:div>
                  </w:divsChild>
                </w:div>
                <w:div w:id="536770660">
                  <w:marLeft w:val="0"/>
                  <w:marRight w:val="0"/>
                  <w:marTop w:val="0"/>
                  <w:marBottom w:val="0"/>
                  <w:divBdr>
                    <w:top w:val="none" w:sz="0" w:space="0" w:color="auto"/>
                    <w:left w:val="none" w:sz="0" w:space="0" w:color="auto"/>
                    <w:bottom w:val="none" w:sz="0" w:space="0" w:color="auto"/>
                    <w:right w:val="none" w:sz="0" w:space="0" w:color="auto"/>
                  </w:divBdr>
                  <w:divsChild>
                    <w:div w:id="2008164726">
                      <w:marLeft w:val="0"/>
                      <w:marRight w:val="0"/>
                      <w:marTop w:val="0"/>
                      <w:marBottom w:val="0"/>
                      <w:divBdr>
                        <w:top w:val="none" w:sz="0" w:space="0" w:color="auto"/>
                        <w:left w:val="none" w:sz="0" w:space="0" w:color="auto"/>
                        <w:bottom w:val="none" w:sz="0" w:space="0" w:color="auto"/>
                        <w:right w:val="none" w:sz="0" w:space="0" w:color="auto"/>
                      </w:divBdr>
                    </w:div>
                  </w:divsChild>
                </w:div>
                <w:div w:id="539055364">
                  <w:marLeft w:val="0"/>
                  <w:marRight w:val="0"/>
                  <w:marTop w:val="0"/>
                  <w:marBottom w:val="0"/>
                  <w:divBdr>
                    <w:top w:val="none" w:sz="0" w:space="0" w:color="auto"/>
                    <w:left w:val="none" w:sz="0" w:space="0" w:color="auto"/>
                    <w:bottom w:val="none" w:sz="0" w:space="0" w:color="auto"/>
                    <w:right w:val="none" w:sz="0" w:space="0" w:color="auto"/>
                  </w:divBdr>
                  <w:divsChild>
                    <w:div w:id="124012810">
                      <w:marLeft w:val="0"/>
                      <w:marRight w:val="0"/>
                      <w:marTop w:val="0"/>
                      <w:marBottom w:val="0"/>
                      <w:divBdr>
                        <w:top w:val="none" w:sz="0" w:space="0" w:color="auto"/>
                        <w:left w:val="none" w:sz="0" w:space="0" w:color="auto"/>
                        <w:bottom w:val="none" w:sz="0" w:space="0" w:color="auto"/>
                        <w:right w:val="none" w:sz="0" w:space="0" w:color="auto"/>
                      </w:divBdr>
                    </w:div>
                  </w:divsChild>
                </w:div>
                <w:div w:id="550114126">
                  <w:marLeft w:val="0"/>
                  <w:marRight w:val="0"/>
                  <w:marTop w:val="0"/>
                  <w:marBottom w:val="0"/>
                  <w:divBdr>
                    <w:top w:val="none" w:sz="0" w:space="0" w:color="auto"/>
                    <w:left w:val="none" w:sz="0" w:space="0" w:color="auto"/>
                    <w:bottom w:val="none" w:sz="0" w:space="0" w:color="auto"/>
                    <w:right w:val="none" w:sz="0" w:space="0" w:color="auto"/>
                  </w:divBdr>
                  <w:divsChild>
                    <w:div w:id="386220271">
                      <w:marLeft w:val="0"/>
                      <w:marRight w:val="0"/>
                      <w:marTop w:val="0"/>
                      <w:marBottom w:val="0"/>
                      <w:divBdr>
                        <w:top w:val="none" w:sz="0" w:space="0" w:color="auto"/>
                        <w:left w:val="none" w:sz="0" w:space="0" w:color="auto"/>
                        <w:bottom w:val="none" w:sz="0" w:space="0" w:color="auto"/>
                        <w:right w:val="none" w:sz="0" w:space="0" w:color="auto"/>
                      </w:divBdr>
                    </w:div>
                  </w:divsChild>
                </w:div>
                <w:div w:id="551893291">
                  <w:marLeft w:val="0"/>
                  <w:marRight w:val="0"/>
                  <w:marTop w:val="0"/>
                  <w:marBottom w:val="0"/>
                  <w:divBdr>
                    <w:top w:val="none" w:sz="0" w:space="0" w:color="auto"/>
                    <w:left w:val="none" w:sz="0" w:space="0" w:color="auto"/>
                    <w:bottom w:val="none" w:sz="0" w:space="0" w:color="auto"/>
                    <w:right w:val="none" w:sz="0" w:space="0" w:color="auto"/>
                  </w:divBdr>
                  <w:divsChild>
                    <w:div w:id="1427116804">
                      <w:marLeft w:val="0"/>
                      <w:marRight w:val="0"/>
                      <w:marTop w:val="0"/>
                      <w:marBottom w:val="0"/>
                      <w:divBdr>
                        <w:top w:val="none" w:sz="0" w:space="0" w:color="auto"/>
                        <w:left w:val="none" w:sz="0" w:space="0" w:color="auto"/>
                        <w:bottom w:val="none" w:sz="0" w:space="0" w:color="auto"/>
                        <w:right w:val="none" w:sz="0" w:space="0" w:color="auto"/>
                      </w:divBdr>
                    </w:div>
                  </w:divsChild>
                </w:div>
                <w:div w:id="563948053">
                  <w:marLeft w:val="0"/>
                  <w:marRight w:val="0"/>
                  <w:marTop w:val="0"/>
                  <w:marBottom w:val="0"/>
                  <w:divBdr>
                    <w:top w:val="none" w:sz="0" w:space="0" w:color="auto"/>
                    <w:left w:val="none" w:sz="0" w:space="0" w:color="auto"/>
                    <w:bottom w:val="none" w:sz="0" w:space="0" w:color="auto"/>
                    <w:right w:val="none" w:sz="0" w:space="0" w:color="auto"/>
                  </w:divBdr>
                  <w:divsChild>
                    <w:div w:id="1100642407">
                      <w:marLeft w:val="0"/>
                      <w:marRight w:val="0"/>
                      <w:marTop w:val="0"/>
                      <w:marBottom w:val="0"/>
                      <w:divBdr>
                        <w:top w:val="none" w:sz="0" w:space="0" w:color="auto"/>
                        <w:left w:val="none" w:sz="0" w:space="0" w:color="auto"/>
                        <w:bottom w:val="none" w:sz="0" w:space="0" w:color="auto"/>
                        <w:right w:val="none" w:sz="0" w:space="0" w:color="auto"/>
                      </w:divBdr>
                    </w:div>
                  </w:divsChild>
                </w:div>
                <w:div w:id="571352024">
                  <w:marLeft w:val="0"/>
                  <w:marRight w:val="0"/>
                  <w:marTop w:val="0"/>
                  <w:marBottom w:val="0"/>
                  <w:divBdr>
                    <w:top w:val="none" w:sz="0" w:space="0" w:color="auto"/>
                    <w:left w:val="none" w:sz="0" w:space="0" w:color="auto"/>
                    <w:bottom w:val="none" w:sz="0" w:space="0" w:color="auto"/>
                    <w:right w:val="none" w:sz="0" w:space="0" w:color="auto"/>
                  </w:divBdr>
                  <w:divsChild>
                    <w:div w:id="570965347">
                      <w:marLeft w:val="0"/>
                      <w:marRight w:val="0"/>
                      <w:marTop w:val="0"/>
                      <w:marBottom w:val="0"/>
                      <w:divBdr>
                        <w:top w:val="none" w:sz="0" w:space="0" w:color="auto"/>
                        <w:left w:val="none" w:sz="0" w:space="0" w:color="auto"/>
                        <w:bottom w:val="none" w:sz="0" w:space="0" w:color="auto"/>
                        <w:right w:val="none" w:sz="0" w:space="0" w:color="auto"/>
                      </w:divBdr>
                    </w:div>
                  </w:divsChild>
                </w:div>
                <w:div w:id="584270001">
                  <w:marLeft w:val="0"/>
                  <w:marRight w:val="0"/>
                  <w:marTop w:val="0"/>
                  <w:marBottom w:val="0"/>
                  <w:divBdr>
                    <w:top w:val="none" w:sz="0" w:space="0" w:color="auto"/>
                    <w:left w:val="none" w:sz="0" w:space="0" w:color="auto"/>
                    <w:bottom w:val="none" w:sz="0" w:space="0" w:color="auto"/>
                    <w:right w:val="none" w:sz="0" w:space="0" w:color="auto"/>
                  </w:divBdr>
                  <w:divsChild>
                    <w:div w:id="1056929928">
                      <w:marLeft w:val="0"/>
                      <w:marRight w:val="0"/>
                      <w:marTop w:val="0"/>
                      <w:marBottom w:val="0"/>
                      <w:divBdr>
                        <w:top w:val="none" w:sz="0" w:space="0" w:color="auto"/>
                        <w:left w:val="none" w:sz="0" w:space="0" w:color="auto"/>
                        <w:bottom w:val="none" w:sz="0" w:space="0" w:color="auto"/>
                        <w:right w:val="none" w:sz="0" w:space="0" w:color="auto"/>
                      </w:divBdr>
                    </w:div>
                  </w:divsChild>
                </w:div>
                <w:div w:id="584999061">
                  <w:marLeft w:val="0"/>
                  <w:marRight w:val="0"/>
                  <w:marTop w:val="0"/>
                  <w:marBottom w:val="0"/>
                  <w:divBdr>
                    <w:top w:val="none" w:sz="0" w:space="0" w:color="auto"/>
                    <w:left w:val="none" w:sz="0" w:space="0" w:color="auto"/>
                    <w:bottom w:val="none" w:sz="0" w:space="0" w:color="auto"/>
                    <w:right w:val="none" w:sz="0" w:space="0" w:color="auto"/>
                  </w:divBdr>
                  <w:divsChild>
                    <w:div w:id="1350326990">
                      <w:marLeft w:val="0"/>
                      <w:marRight w:val="0"/>
                      <w:marTop w:val="0"/>
                      <w:marBottom w:val="0"/>
                      <w:divBdr>
                        <w:top w:val="none" w:sz="0" w:space="0" w:color="auto"/>
                        <w:left w:val="none" w:sz="0" w:space="0" w:color="auto"/>
                        <w:bottom w:val="none" w:sz="0" w:space="0" w:color="auto"/>
                        <w:right w:val="none" w:sz="0" w:space="0" w:color="auto"/>
                      </w:divBdr>
                    </w:div>
                  </w:divsChild>
                </w:div>
                <w:div w:id="585572957">
                  <w:marLeft w:val="0"/>
                  <w:marRight w:val="0"/>
                  <w:marTop w:val="0"/>
                  <w:marBottom w:val="0"/>
                  <w:divBdr>
                    <w:top w:val="none" w:sz="0" w:space="0" w:color="auto"/>
                    <w:left w:val="none" w:sz="0" w:space="0" w:color="auto"/>
                    <w:bottom w:val="none" w:sz="0" w:space="0" w:color="auto"/>
                    <w:right w:val="none" w:sz="0" w:space="0" w:color="auto"/>
                  </w:divBdr>
                  <w:divsChild>
                    <w:div w:id="149641410">
                      <w:marLeft w:val="0"/>
                      <w:marRight w:val="0"/>
                      <w:marTop w:val="0"/>
                      <w:marBottom w:val="0"/>
                      <w:divBdr>
                        <w:top w:val="none" w:sz="0" w:space="0" w:color="auto"/>
                        <w:left w:val="none" w:sz="0" w:space="0" w:color="auto"/>
                        <w:bottom w:val="none" w:sz="0" w:space="0" w:color="auto"/>
                        <w:right w:val="none" w:sz="0" w:space="0" w:color="auto"/>
                      </w:divBdr>
                    </w:div>
                  </w:divsChild>
                </w:div>
                <w:div w:id="591663607">
                  <w:marLeft w:val="0"/>
                  <w:marRight w:val="0"/>
                  <w:marTop w:val="0"/>
                  <w:marBottom w:val="0"/>
                  <w:divBdr>
                    <w:top w:val="none" w:sz="0" w:space="0" w:color="auto"/>
                    <w:left w:val="none" w:sz="0" w:space="0" w:color="auto"/>
                    <w:bottom w:val="none" w:sz="0" w:space="0" w:color="auto"/>
                    <w:right w:val="none" w:sz="0" w:space="0" w:color="auto"/>
                  </w:divBdr>
                  <w:divsChild>
                    <w:div w:id="1781022018">
                      <w:marLeft w:val="0"/>
                      <w:marRight w:val="0"/>
                      <w:marTop w:val="0"/>
                      <w:marBottom w:val="0"/>
                      <w:divBdr>
                        <w:top w:val="none" w:sz="0" w:space="0" w:color="auto"/>
                        <w:left w:val="none" w:sz="0" w:space="0" w:color="auto"/>
                        <w:bottom w:val="none" w:sz="0" w:space="0" w:color="auto"/>
                        <w:right w:val="none" w:sz="0" w:space="0" w:color="auto"/>
                      </w:divBdr>
                    </w:div>
                  </w:divsChild>
                </w:div>
                <w:div w:id="594437957">
                  <w:marLeft w:val="0"/>
                  <w:marRight w:val="0"/>
                  <w:marTop w:val="0"/>
                  <w:marBottom w:val="0"/>
                  <w:divBdr>
                    <w:top w:val="none" w:sz="0" w:space="0" w:color="auto"/>
                    <w:left w:val="none" w:sz="0" w:space="0" w:color="auto"/>
                    <w:bottom w:val="none" w:sz="0" w:space="0" w:color="auto"/>
                    <w:right w:val="none" w:sz="0" w:space="0" w:color="auto"/>
                  </w:divBdr>
                  <w:divsChild>
                    <w:div w:id="416023810">
                      <w:marLeft w:val="0"/>
                      <w:marRight w:val="0"/>
                      <w:marTop w:val="0"/>
                      <w:marBottom w:val="0"/>
                      <w:divBdr>
                        <w:top w:val="none" w:sz="0" w:space="0" w:color="auto"/>
                        <w:left w:val="none" w:sz="0" w:space="0" w:color="auto"/>
                        <w:bottom w:val="none" w:sz="0" w:space="0" w:color="auto"/>
                        <w:right w:val="none" w:sz="0" w:space="0" w:color="auto"/>
                      </w:divBdr>
                    </w:div>
                  </w:divsChild>
                </w:div>
                <w:div w:id="603658914">
                  <w:marLeft w:val="0"/>
                  <w:marRight w:val="0"/>
                  <w:marTop w:val="0"/>
                  <w:marBottom w:val="0"/>
                  <w:divBdr>
                    <w:top w:val="none" w:sz="0" w:space="0" w:color="auto"/>
                    <w:left w:val="none" w:sz="0" w:space="0" w:color="auto"/>
                    <w:bottom w:val="none" w:sz="0" w:space="0" w:color="auto"/>
                    <w:right w:val="none" w:sz="0" w:space="0" w:color="auto"/>
                  </w:divBdr>
                  <w:divsChild>
                    <w:div w:id="333189796">
                      <w:marLeft w:val="0"/>
                      <w:marRight w:val="0"/>
                      <w:marTop w:val="0"/>
                      <w:marBottom w:val="0"/>
                      <w:divBdr>
                        <w:top w:val="none" w:sz="0" w:space="0" w:color="auto"/>
                        <w:left w:val="none" w:sz="0" w:space="0" w:color="auto"/>
                        <w:bottom w:val="none" w:sz="0" w:space="0" w:color="auto"/>
                        <w:right w:val="none" w:sz="0" w:space="0" w:color="auto"/>
                      </w:divBdr>
                    </w:div>
                  </w:divsChild>
                </w:div>
                <w:div w:id="611476946">
                  <w:marLeft w:val="0"/>
                  <w:marRight w:val="0"/>
                  <w:marTop w:val="0"/>
                  <w:marBottom w:val="0"/>
                  <w:divBdr>
                    <w:top w:val="none" w:sz="0" w:space="0" w:color="auto"/>
                    <w:left w:val="none" w:sz="0" w:space="0" w:color="auto"/>
                    <w:bottom w:val="none" w:sz="0" w:space="0" w:color="auto"/>
                    <w:right w:val="none" w:sz="0" w:space="0" w:color="auto"/>
                  </w:divBdr>
                  <w:divsChild>
                    <w:div w:id="1091049051">
                      <w:marLeft w:val="0"/>
                      <w:marRight w:val="0"/>
                      <w:marTop w:val="0"/>
                      <w:marBottom w:val="0"/>
                      <w:divBdr>
                        <w:top w:val="none" w:sz="0" w:space="0" w:color="auto"/>
                        <w:left w:val="none" w:sz="0" w:space="0" w:color="auto"/>
                        <w:bottom w:val="none" w:sz="0" w:space="0" w:color="auto"/>
                        <w:right w:val="none" w:sz="0" w:space="0" w:color="auto"/>
                      </w:divBdr>
                    </w:div>
                  </w:divsChild>
                </w:div>
                <w:div w:id="635839469">
                  <w:marLeft w:val="0"/>
                  <w:marRight w:val="0"/>
                  <w:marTop w:val="0"/>
                  <w:marBottom w:val="0"/>
                  <w:divBdr>
                    <w:top w:val="none" w:sz="0" w:space="0" w:color="auto"/>
                    <w:left w:val="none" w:sz="0" w:space="0" w:color="auto"/>
                    <w:bottom w:val="none" w:sz="0" w:space="0" w:color="auto"/>
                    <w:right w:val="none" w:sz="0" w:space="0" w:color="auto"/>
                  </w:divBdr>
                  <w:divsChild>
                    <w:div w:id="1138717972">
                      <w:marLeft w:val="0"/>
                      <w:marRight w:val="0"/>
                      <w:marTop w:val="0"/>
                      <w:marBottom w:val="0"/>
                      <w:divBdr>
                        <w:top w:val="none" w:sz="0" w:space="0" w:color="auto"/>
                        <w:left w:val="none" w:sz="0" w:space="0" w:color="auto"/>
                        <w:bottom w:val="none" w:sz="0" w:space="0" w:color="auto"/>
                        <w:right w:val="none" w:sz="0" w:space="0" w:color="auto"/>
                      </w:divBdr>
                    </w:div>
                  </w:divsChild>
                </w:div>
                <w:div w:id="637607462">
                  <w:marLeft w:val="0"/>
                  <w:marRight w:val="0"/>
                  <w:marTop w:val="0"/>
                  <w:marBottom w:val="0"/>
                  <w:divBdr>
                    <w:top w:val="none" w:sz="0" w:space="0" w:color="auto"/>
                    <w:left w:val="none" w:sz="0" w:space="0" w:color="auto"/>
                    <w:bottom w:val="none" w:sz="0" w:space="0" w:color="auto"/>
                    <w:right w:val="none" w:sz="0" w:space="0" w:color="auto"/>
                  </w:divBdr>
                  <w:divsChild>
                    <w:div w:id="368654651">
                      <w:marLeft w:val="0"/>
                      <w:marRight w:val="0"/>
                      <w:marTop w:val="0"/>
                      <w:marBottom w:val="0"/>
                      <w:divBdr>
                        <w:top w:val="none" w:sz="0" w:space="0" w:color="auto"/>
                        <w:left w:val="none" w:sz="0" w:space="0" w:color="auto"/>
                        <w:bottom w:val="none" w:sz="0" w:space="0" w:color="auto"/>
                        <w:right w:val="none" w:sz="0" w:space="0" w:color="auto"/>
                      </w:divBdr>
                    </w:div>
                  </w:divsChild>
                </w:div>
                <w:div w:id="638614154">
                  <w:marLeft w:val="0"/>
                  <w:marRight w:val="0"/>
                  <w:marTop w:val="0"/>
                  <w:marBottom w:val="0"/>
                  <w:divBdr>
                    <w:top w:val="none" w:sz="0" w:space="0" w:color="auto"/>
                    <w:left w:val="none" w:sz="0" w:space="0" w:color="auto"/>
                    <w:bottom w:val="none" w:sz="0" w:space="0" w:color="auto"/>
                    <w:right w:val="none" w:sz="0" w:space="0" w:color="auto"/>
                  </w:divBdr>
                  <w:divsChild>
                    <w:div w:id="1443109163">
                      <w:marLeft w:val="0"/>
                      <w:marRight w:val="0"/>
                      <w:marTop w:val="0"/>
                      <w:marBottom w:val="0"/>
                      <w:divBdr>
                        <w:top w:val="none" w:sz="0" w:space="0" w:color="auto"/>
                        <w:left w:val="none" w:sz="0" w:space="0" w:color="auto"/>
                        <w:bottom w:val="none" w:sz="0" w:space="0" w:color="auto"/>
                        <w:right w:val="none" w:sz="0" w:space="0" w:color="auto"/>
                      </w:divBdr>
                    </w:div>
                  </w:divsChild>
                </w:div>
                <w:div w:id="642586224">
                  <w:marLeft w:val="0"/>
                  <w:marRight w:val="0"/>
                  <w:marTop w:val="0"/>
                  <w:marBottom w:val="0"/>
                  <w:divBdr>
                    <w:top w:val="none" w:sz="0" w:space="0" w:color="auto"/>
                    <w:left w:val="none" w:sz="0" w:space="0" w:color="auto"/>
                    <w:bottom w:val="none" w:sz="0" w:space="0" w:color="auto"/>
                    <w:right w:val="none" w:sz="0" w:space="0" w:color="auto"/>
                  </w:divBdr>
                  <w:divsChild>
                    <w:div w:id="1636107068">
                      <w:marLeft w:val="0"/>
                      <w:marRight w:val="0"/>
                      <w:marTop w:val="0"/>
                      <w:marBottom w:val="0"/>
                      <w:divBdr>
                        <w:top w:val="none" w:sz="0" w:space="0" w:color="auto"/>
                        <w:left w:val="none" w:sz="0" w:space="0" w:color="auto"/>
                        <w:bottom w:val="none" w:sz="0" w:space="0" w:color="auto"/>
                        <w:right w:val="none" w:sz="0" w:space="0" w:color="auto"/>
                      </w:divBdr>
                    </w:div>
                  </w:divsChild>
                </w:div>
                <w:div w:id="657609739">
                  <w:marLeft w:val="0"/>
                  <w:marRight w:val="0"/>
                  <w:marTop w:val="0"/>
                  <w:marBottom w:val="0"/>
                  <w:divBdr>
                    <w:top w:val="none" w:sz="0" w:space="0" w:color="auto"/>
                    <w:left w:val="none" w:sz="0" w:space="0" w:color="auto"/>
                    <w:bottom w:val="none" w:sz="0" w:space="0" w:color="auto"/>
                    <w:right w:val="none" w:sz="0" w:space="0" w:color="auto"/>
                  </w:divBdr>
                  <w:divsChild>
                    <w:div w:id="1343244771">
                      <w:marLeft w:val="0"/>
                      <w:marRight w:val="0"/>
                      <w:marTop w:val="0"/>
                      <w:marBottom w:val="0"/>
                      <w:divBdr>
                        <w:top w:val="none" w:sz="0" w:space="0" w:color="auto"/>
                        <w:left w:val="none" w:sz="0" w:space="0" w:color="auto"/>
                        <w:bottom w:val="none" w:sz="0" w:space="0" w:color="auto"/>
                        <w:right w:val="none" w:sz="0" w:space="0" w:color="auto"/>
                      </w:divBdr>
                    </w:div>
                  </w:divsChild>
                </w:div>
                <w:div w:id="658507060">
                  <w:marLeft w:val="0"/>
                  <w:marRight w:val="0"/>
                  <w:marTop w:val="0"/>
                  <w:marBottom w:val="0"/>
                  <w:divBdr>
                    <w:top w:val="none" w:sz="0" w:space="0" w:color="auto"/>
                    <w:left w:val="none" w:sz="0" w:space="0" w:color="auto"/>
                    <w:bottom w:val="none" w:sz="0" w:space="0" w:color="auto"/>
                    <w:right w:val="none" w:sz="0" w:space="0" w:color="auto"/>
                  </w:divBdr>
                  <w:divsChild>
                    <w:div w:id="662242258">
                      <w:marLeft w:val="0"/>
                      <w:marRight w:val="0"/>
                      <w:marTop w:val="0"/>
                      <w:marBottom w:val="0"/>
                      <w:divBdr>
                        <w:top w:val="none" w:sz="0" w:space="0" w:color="auto"/>
                        <w:left w:val="none" w:sz="0" w:space="0" w:color="auto"/>
                        <w:bottom w:val="none" w:sz="0" w:space="0" w:color="auto"/>
                        <w:right w:val="none" w:sz="0" w:space="0" w:color="auto"/>
                      </w:divBdr>
                    </w:div>
                  </w:divsChild>
                </w:div>
                <w:div w:id="665480693">
                  <w:marLeft w:val="0"/>
                  <w:marRight w:val="0"/>
                  <w:marTop w:val="0"/>
                  <w:marBottom w:val="0"/>
                  <w:divBdr>
                    <w:top w:val="none" w:sz="0" w:space="0" w:color="auto"/>
                    <w:left w:val="none" w:sz="0" w:space="0" w:color="auto"/>
                    <w:bottom w:val="none" w:sz="0" w:space="0" w:color="auto"/>
                    <w:right w:val="none" w:sz="0" w:space="0" w:color="auto"/>
                  </w:divBdr>
                  <w:divsChild>
                    <w:div w:id="1284848505">
                      <w:marLeft w:val="0"/>
                      <w:marRight w:val="0"/>
                      <w:marTop w:val="0"/>
                      <w:marBottom w:val="0"/>
                      <w:divBdr>
                        <w:top w:val="none" w:sz="0" w:space="0" w:color="auto"/>
                        <w:left w:val="none" w:sz="0" w:space="0" w:color="auto"/>
                        <w:bottom w:val="none" w:sz="0" w:space="0" w:color="auto"/>
                        <w:right w:val="none" w:sz="0" w:space="0" w:color="auto"/>
                      </w:divBdr>
                    </w:div>
                  </w:divsChild>
                </w:div>
                <w:div w:id="666053886">
                  <w:marLeft w:val="0"/>
                  <w:marRight w:val="0"/>
                  <w:marTop w:val="0"/>
                  <w:marBottom w:val="0"/>
                  <w:divBdr>
                    <w:top w:val="none" w:sz="0" w:space="0" w:color="auto"/>
                    <w:left w:val="none" w:sz="0" w:space="0" w:color="auto"/>
                    <w:bottom w:val="none" w:sz="0" w:space="0" w:color="auto"/>
                    <w:right w:val="none" w:sz="0" w:space="0" w:color="auto"/>
                  </w:divBdr>
                  <w:divsChild>
                    <w:div w:id="232588633">
                      <w:marLeft w:val="0"/>
                      <w:marRight w:val="0"/>
                      <w:marTop w:val="0"/>
                      <w:marBottom w:val="0"/>
                      <w:divBdr>
                        <w:top w:val="none" w:sz="0" w:space="0" w:color="auto"/>
                        <w:left w:val="none" w:sz="0" w:space="0" w:color="auto"/>
                        <w:bottom w:val="none" w:sz="0" w:space="0" w:color="auto"/>
                        <w:right w:val="none" w:sz="0" w:space="0" w:color="auto"/>
                      </w:divBdr>
                    </w:div>
                  </w:divsChild>
                </w:div>
                <w:div w:id="684214935">
                  <w:marLeft w:val="0"/>
                  <w:marRight w:val="0"/>
                  <w:marTop w:val="0"/>
                  <w:marBottom w:val="0"/>
                  <w:divBdr>
                    <w:top w:val="none" w:sz="0" w:space="0" w:color="auto"/>
                    <w:left w:val="none" w:sz="0" w:space="0" w:color="auto"/>
                    <w:bottom w:val="none" w:sz="0" w:space="0" w:color="auto"/>
                    <w:right w:val="none" w:sz="0" w:space="0" w:color="auto"/>
                  </w:divBdr>
                  <w:divsChild>
                    <w:div w:id="1392848206">
                      <w:marLeft w:val="0"/>
                      <w:marRight w:val="0"/>
                      <w:marTop w:val="0"/>
                      <w:marBottom w:val="0"/>
                      <w:divBdr>
                        <w:top w:val="none" w:sz="0" w:space="0" w:color="auto"/>
                        <w:left w:val="none" w:sz="0" w:space="0" w:color="auto"/>
                        <w:bottom w:val="none" w:sz="0" w:space="0" w:color="auto"/>
                        <w:right w:val="none" w:sz="0" w:space="0" w:color="auto"/>
                      </w:divBdr>
                    </w:div>
                  </w:divsChild>
                </w:div>
                <w:div w:id="684554177">
                  <w:marLeft w:val="0"/>
                  <w:marRight w:val="0"/>
                  <w:marTop w:val="0"/>
                  <w:marBottom w:val="0"/>
                  <w:divBdr>
                    <w:top w:val="none" w:sz="0" w:space="0" w:color="auto"/>
                    <w:left w:val="none" w:sz="0" w:space="0" w:color="auto"/>
                    <w:bottom w:val="none" w:sz="0" w:space="0" w:color="auto"/>
                    <w:right w:val="none" w:sz="0" w:space="0" w:color="auto"/>
                  </w:divBdr>
                  <w:divsChild>
                    <w:div w:id="346559997">
                      <w:marLeft w:val="0"/>
                      <w:marRight w:val="0"/>
                      <w:marTop w:val="0"/>
                      <w:marBottom w:val="0"/>
                      <w:divBdr>
                        <w:top w:val="none" w:sz="0" w:space="0" w:color="auto"/>
                        <w:left w:val="none" w:sz="0" w:space="0" w:color="auto"/>
                        <w:bottom w:val="none" w:sz="0" w:space="0" w:color="auto"/>
                        <w:right w:val="none" w:sz="0" w:space="0" w:color="auto"/>
                      </w:divBdr>
                    </w:div>
                  </w:divsChild>
                </w:div>
                <w:div w:id="684869745">
                  <w:marLeft w:val="0"/>
                  <w:marRight w:val="0"/>
                  <w:marTop w:val="0"/>
                  <w:marBottom w:val="0"/>
                  <w:divBdr>
                    <w:top w:val="none" w:sz="0" w:space="0" w:color="auto"/>
                    <w:left w:val="none" w:sz="0" w:space="0" w:color="auto"/>
                    <w:bottom w:val="none" w:sz="0" w:space="0" w:color="auto"/>
                    <w:right w:val="none" w:sz="0" w:space="0" w:color="auto"/>
                  </w:divBdr>
                  <w:divsChild>
                    <w:div w:id="316302991">
                      <w:marLeft w:val="0"/>
                      <w:marRight w:val="0"/>
                      <w:marTop w:val="0"/>
                      <w:marBottom w:val="0"/>
                      <w:divBdr>
                        <w:top w:val="none" w:sz="0" w:space="0" w:color="auto"/>
                        <w:left w:val="none" w:sz="0" w:space="0" w:color="auto"/>
                        <w:bottom w:val="none" w:sz="0" w:space="0" w:color="auto"/>
                        <w:right w:val="none" w:sz="0" w:space="0" w:color="auto"/>
                      </w:divBdr>
                    </w:div>
                  </w:divsChild>
                </w:div>
                <w:div w:id="692072618">
                  <w:marLeft w:val="0"/>
                  <w:marRight w:val="0"/>
                  <w:marTop w:val="0"/>
                  <w:marBottom w:val="0"/>
                  <w:divBdr>
                    <w:top w:val="none" w:sz="0" w:space="0" w:color="auto"/>
                    <w:left w:val="none" w:sz="0" w:space="0" w:color="auto"/>
                    <w:bottom w:val="none" w:sz="0" w:space="0" w:color="auto"/>
                    <w:right w:val="none" w:sz="0" w:space="0" w:color="auto"/>
                  </w:divBdr>
                  <w:divsChild>
                    <w:div w:id="1726295524">
                      <w:marLeft w:val="0"/>
                      <w:marRight w:val="0"/>
                      <w:marTop w:val="0"/>
                      <w:marBottom w:val="0"/>
                      <w:divBdr>
                        <w:top w:val="none" w:sz="0" w:space="0" w:color="auto"/>
                        <w:left w:val="none" w:sz="0" w:space="0" w:color="auto"/>
                        <w:bottom w:val="none" w:sz="0" w:space="0" w:color="auto"/>
                        <w:right w:val="none" w:sz="0" w:space="0" w:color="auto"/>
                      </w:divBdr>
                    </w:div>
                  </w:divsChild>
                </w:div>
                <w:div w:id="692533466">
                  <w:marLeft w:val="0"/>
                  <w:marRight w:val="0"/>
                  <w:marTop w:val="0"/>
                  <w:marBottom w:val="0"/>
                  <w:divBdr>
                    <w:top w:val="none" w:sz="0" w:space="0" w:color="auto"/>
                    <w:left w:val="none" w:sz="0" w:space="0" w:color="auto"/>
                    <w:bottom w:val="none" w:sz="0" w:space="0" w:color="auto"/>
                    <w:right w:val="none" w:sz="0" w:space="0" w:color="auto"/>
                  </w:divBdr>
                  <w:divsChild>
                    <w:div w:id="316150740">
                      <w:marLeft w:val="0"/>
                      <w:marRight w:val="0"/>
                      <w:marTop w:val="0"/>
                      <w:marBottom w:val="0"/>
                      <w:divBdr>
                        <w:top w:val="none" w:sz="0" w:space="0" w:color="auto"/>
                        <w:left w:val="none" w:sz="0" w:space="0" w:color="auto"/>
                        <w:bottom w:val="none" w:sz="0" w:space="0" w:color="auto"/>
                        <w:right w:val="none" w:sz="0" w:space="0" w:color="auto"/>
                      </w:divBdr>
                    </w:div>
                  </w:divsChild>
                </w:div>
                <w:div w:id="692921868">
                  <w:marLeft w:val="0"/>
                  <w:marRight w:val="0"/>
                  <w:marTop w:val="0"/>
                  <w:marBottom w:val="0"/>
                  <w:divBdr>
                    <w:top w:val="none" w:sz="0" w:space="0" w:color="auto"/>
                    <w:left w:val="none" w:sz="0" w:space="0" w:color="auto"/>
                    <w:bottom w:val="none" w:sz="0" w:space="0" w:color="auto"/>
                    <w:right w:val="none" w:sz="0" w:space="0" w:color="auto"/>
                  </w:divBdr>
                  <w:divsChild>
                    <w:div w:id="1378047243">
                      <w:marLeft w:val="0"/>
                      <w:marRight w:val="0"/>
                      <w:marTop w:val="0"/>
                      <w:marBottom w:val="0"/>
                      <w:divBdr>
                        <w:top w:val="none" w:sz="0" w:space="0" w:color="auto"/>
                        <w:left w:val="none" w:sz="0" w:space="0" w:color="auto"/>
                        <w:bottom w:val="none" w:sz="0" w:space="0" w:color="auto"/>
                        <w:right w:val="none" w:sz="0" w:space="0" w:color="auto"/>
                      </w:divBdr>
                    </w:div>
                  </w:divsChild>
                </w:div>
                <w:div w:id="693462640">
                  <w:marLeft w:val="0"/>
                  <w:marRight w:val="0"/>
                  <w:marTop w:val="0"/>
                  <w:marBottom w:val="0"/>
                  <w:divBdr>
                    <w:top w:val="none" w:sz="0" w:space="0" w:color="auto"/>
                    <w:left w:val="none" w:sz="0" w:space="0" w:color="auto"/>
                    <w:bottom w:val="none" w:sz="0" w:space="0" w:color="auto"/>
                    <w:right w:val="none" w:sz="0" w:space="0" w:color="auto"/>
                  </w:divBdr>
                  <w:divsChild>
                    <w:div w:id="758062433">
                      <w:marLeft w:val="0"/>
                      <w:marRight w:val="0"/>
                      <w:marTop w:val="0"/>
                      <w:marBottom w:val="0"/>
                      <w:divBdr>
                        <w:top w:val="none" w:sz="0" w:space="0" w:color="auto"/>
                        <w:left w:val="none" w:sz="0" w:space="0" w:color="auto"/>
                        <w:bottom w:val="none" w:sz="0" w:space="0" w:color="auto"/>
                        <w:right w:val="none" w:sz="0" w:space="0" w:color="auto"/>
                      </w:divBdr>
                    </w:div>
                  </w:divsChild>
                </w:div>
                <w:div w:id="694162184">
                  <w:marLeft w:val="0"/>
                  <w:marRight w:val="0"/>
                  <w:marTop w:val="0"/>
                  <w:marBottom w:val="0"/>
                  <w:divBdr>
                    <w:top w:val="none" w:sz="0" w:space="0" w:color="auto"/>
                    <w:left w:val="none" w:sz="0" w:space="0" w:color="auto"/>
                    <w:bottom w:val="none" w:sz="0" w:space="0" w:color="auto"/>
                    <w:right w:val="none" w:sz="0" w:space="0" w:color="auto"/>
                  </w:divBdr>
                  <w:divsChild>
                    <w:div w:id="313414836">
                      <w:marLeft w:val="0"/>
                      <w:marRight w:val="0"/>
                      <w:marTop w:val="0"/>
                      <w:marBottom w:val="0"/>
                      <w:divBdr>
                        <w:top w:val="none" w:sz="0" w:space="0" w:color="auto"/>
                        <w:left w:val="none" w:sz="0" w:space="0" w:color="auto"/>
                        <w:bottom w:val="none" w:sz="0" w:space="0" w:color="auto"/>
                        <w:right w:val="none" w:sz="0" w:space="0" w:color="auto"/>
                      </w:divBdr>
                    </w:div>
                  </w:divsChild>
                </w:div>
                <w:div w:id="695234315">
                  <w:marLeft w:val="0"/>
                  <w:marRight w:val="0"/>
                  <w:marTop w:val="0"/>
                  <w:marBottom w:val="0"/>
                  <w:divBdr>
                    <w:top w:val="none" w:sz="0" w:space="0" w:color="auto"/>
                    <w:left w:val="none" w:sz="0" w:space="0" w:color="auto"/>
                    <w:bottom w:val="none" w:sz="0" w:space="0" w:color="auto"/>
                    <w:right w:val="none" w:sz="0" w:space="0" w:color="auto"/>
                  </w:divBdr>
                  <w:divsChild>
                    <w:div w:id="756942329">
                      <w:marLeft w:val="0"/>
                      <w:marRight w:val="0"/>
                      <w:marTop w:val="0"/>
                      <w:marBottom w:val="0"/>
                      <w:divBdr>
                        <w:top w:val="none" w:sz="0" w:space="0" w:color="auto"/>
                        <w:left w:val="none" w:sz="0" w:space="0" w:color="auto"/>
                        <w:bottom w:val="none" w:sz="0" w:space="0" w:color="auto"/>
                        <w:right w:val="none" w:sz="0" w:space="0" w:color="auto"/>
                      </w:divBdr>
                    </w:div>
                  </w:divsChild>
                </w:div>
                <w:div w:id="700590925">
                  <w:marLeft w:val="0"/>
                  <w:marRight w:val="0"/>
                  <w:marTop w:val="0"/>
                  <w:marBottom w:val="0"/>
                  <w:divBdr>
                    <w:top w:val="none" w:sz="0" w:space="0" w:color="auto"/>
                    <w:left w:val="none" w:sz="0" w:space="0" w:color="auto"/>
                    <w:bottom w:val="none" w:sz="0" w:space="0" w:color="auto"/>
                    <w:right w:val="none" w:sz="0" w:space="0" w:color="auto"/>
                  </w:divBdr>
                  <w:divsChild>
                    <w:div w:id="553740560">
                      <w:marLeft w:val="0"/>
                      <w:marRight w:val="0"/>
                      <w:marTop w:val="0"/>
                      <w:marBottom w:val="0"/>
                      <w:divBdr>
                        <w:top w:val="none" w:sz="0" w:space="0" w:color="auto"/>
                        <w:left w:val="none" w:sz="0" w:space="0" w:color="auto"/>
                        <w:bottom w:val="none" w:sz="0" w:space="0" w:color="auto"/>
                        <w:right w:val="none" w:sz="0" w:space="0" w:color="auto"/>
                      </w:divBdr>
                    </w:div>
                  </w:divsChild>
                </w:div>
                <w:div w:id="718020020">
                  <w:marLeft w:val="0"/>
                  <w:marRight w:val="0"/>
                  <w:marTop w:val="0"/>
                  <w:marBottom w:val="0"/>
                  <w:divBdr>
                    <w:top w:val="none" w:sz="0" w:space="0" w:color="auto"/>
                    <w:left w:val="none" w:sz="0" w:space="0" w:color="auto"/>
                    <w:bottom w:val="none" w:sz="0" w:space="0" w:color="auto"/>
                    <w:right w:val="none" w:sz="0" w:space="0" w:color="auto"/>
                  </w:divBdr>
                  <w:divsChild>
                    <w:div w:id="1017317010">
                      <w:marLeft w:val="0"/>
                      <w:marRight w:val="0"/>
                      <w:marTop w:val="0"/>
                      <w:marBottom w:val="0"/>
                      <w:divBdr>
                        <w:top w:val="none" w:sz="0" w:space="0" w:color="auto"/>
                        <w:left w:val="none" w:sz="0" w:space="0" w:color="auto"/>
                        <w:bottom w:val="none" w:sz="0" w:space="0" w:color="auto"/>
                        <w:right w:val="none" w:sz="0" w:space="0" w:color="auto"/>
                      </w:divBdr>
                    </w:div>
                  </w:divsChild>
                </w:div>
                <w:div w:id="726998016">
                  <w:marLeft w:val="0"/>
                  <w:marRight w:val="0"/>
                  <w:marTop w:val="0"/>
                  <w:marBottom w:val="0"/>
                  <w:divBdr>
                    <w:top w:val="none" w:sz="0" w:space="0" w:color="auto"/>
                    <w:left w:val="none" w:sz="0" w:space="0" w:color="auto"/>
                    <w:bottom w:val="none" w:sz="0" w:space="0" w:color="auto"/>
                    <w:right w:val="none" w:sz="0" w:space="0" w:color="auto"/>
                  </w:divBdr>
                  <w:divsChild>
                    <w:div w:id="356664603">
                      <w:marLeft w:val="0"/>
                      <w:marRight w:val="0"/>
                      <w:marTop w:val="0"/>
                      <w:marBottom w:val="0"/>
                      <w:divBdr>
                        <w:top w:val="none" w:sz="0" w:space="0" w:color="auto"/>
                        <w:left w:val="none" w:sz="0" w:space="0" w:color="auto"/>
                        <w:bottom w:val="none" w:sz="0" w:space="0" w:color="auto"/>
                        <w:right w:val="none" w:sz="0" w:space="0" w:color="auto"/>
                      </w:divBdr>
                    </w:div>
                  </w:divsChild>
                </w:div>
                <w:div w:id="728191588">
                  <w:marLeft w:val="0"/>
                  <w:marRight w:val="0"/>
                  <w:marTop w:val="0"/>
                  <w:marBottom w:val="0"/>
                  <w:divBdr>
                    <w:top w:val="none" w:sz="0" w:space="0" w:color="auto"/>
                    <w:left w:val="none" w:sz="0" w:space="0" w:color="auto"/>
                    <w:bottom w:val="none" w:sz="0" w:space="0" w:color="auto"/>
                    <w:right w:val="none" w:sz="0" w:space="0" w:color="auto"/>
                  </w:divBdr>
                  <w:divsChild>
                    <w:div w:id="156042535">
                      <w:marLeft w:val="0"/>
                      <w:marRight w:val="0"/>
                      <w:marTop w:val="0"/>
                      <w:marBottom w:val="0"/>
                      <w:divBdr>
                        <w:top w:val="none" w:sz="0" w:space="0" w:color="auto"/>
                        <w:left w:val="none" w:sz="0" w:space="0" w:color="auto"/>
                        <w:bottom w:val="none" w:sz="0" w:space="0" w:color="auto"/>
                        <w:right w:val="none" w:sz="0" w:space="0" w:color="auto"/>
                      </w:divBdr>
                    </w:div>
                  </w:divsChild>
                </w:div>
                <w:div w:id="778523204">
                  <w:marLeft w:val="0"/>
                  <w:marRight w:val="0"/>
                  <w:marTop w:val="0"/>
                  <w:marBottom w:val="0"/>
                  <w:divBdr>
                    <w:top w:val="none" w:sz="0" w:space="0" w:color="auto"/>
                    <w:left w:val="none" w:sz="0" w:space="0" w:color="auto"/>
                    <w:bottom w:val="none" w:sz="0" w:space="0" w:color="auto"/>
                    <w:right w:val="none" w:sz="0" w:space="0" w:color="auto"/>
                  </w:divBdr>
                  <w:divsChild>
                    <w:div w:id="1849175338">
                      <w:marLeft w:val="0"/>
                      <w:marRight w:val="0"/>
                      <w:marTop w:val="0"/>
                      <w:marBottom w:val="0"/>
                      <w:divBdr>
                        <w:top w:val="none" w:sz="0" w:space="0" w:color="auto"/>
                        <w:left w:val="none" w:sz="0" w:space="0" w:color="auto"/>
                        <w:bottom w:val="none" w:sz="0" w:space="0" w:color="auto"/>
                        <w:right w:val="none" w:sz="0" w:space="0" w:color="auto"/>
                      </w:divBdr>
                    </w:div>
                  </w:divsChild>
                </w:div>
                <w:div w:id="785344770">
                  <w:marLeft w:val="0"/>
                  <w:marRight w:val="0"/>
                  <w:marTop w:val="0"/>
                  <w:marBottom w:val="0"/>
                  <w:divBdr>
                    <w:top w:val="none" w:sz="0" w:space="0" w:color="auto"/>
                    <w:left w:val="none" w:sz="0" w:space="0" w:color="auto"/>
                    <w:bottom w:val="none" w:sz="0" w:space="0" w:color="auto"/>
                    <w:right w:val="none" w:sz="0" w:space="0" w:color="auto"/>
                  </w:divBdr>
                  <w:divsChild>
                    <w:div w:id="687677033">
                      <w:marLeft w:val="0"/>
                      <w:marRight w:val="0"/>
                      <w:marTop w:val="0"/>
                      <w:marBottom w:val="0"/>
                      <w:divBdr>
                        <w:top w:val="none" w:sz="0" w:space="0" w:color="auto"/>
                        <w:left w:val="none" w:sz="0" w:space="0" w:color="auto"/>
                        <w:bottom w:val="none" w:sz="0" w:space="0" w:color="auto"/>
                        <w:right w:val="none" w:sz="0" w:space="0" w:color="auto"/>
                      </w:divBdr>
                    </w:div>
                  </w:divsChild>
                </w:div>
                <w:div w:id="787046155">
                  <w:marLeft w:val="0"/>
                  <w:marRight w:val="0"/>
                  <w:marTop w:val="0"/>
                  <w:marBottom w:val="0"/>
                  <w:divBdr>
                    <w:top w:val="none" w:sz="0" w:space="0" w:color="auto"/>
                    <w:left w:val="none" w:sz="0" w:space="0" w:color="auto"/>
                    <w:bottom w:val="none" w:sz="0" w:space="0" w:color="auto"/>
                    <w:right w:val="none" w:sz="0" w:space="0" w:color="auto"/>
                  </w:divBdr>
                  <w:divsChild>
                    <w:div w:id="736172979">
                      <w:marLeft w:val="0"/>
                      <w:marRight w:val="0"/>
                      <w:marTop w:val="0"/>
                      <w:marBottom w:val="0"/>
                      <w:divBdr>
                        <w:top w:val="none" w:sz="0" w:space="0" w:color="auto"/>
                        <w:left w:val="none" w:sz="0" w:space="0" w:color="auto"/>
                        <w:bottom w:val="none" w:sz="0" w:space="0" w:color="auto"/>
                        <w:right w:val="none" w:sz="0" w:space="0" w:color="auto"/>
                      </w:divBdr>
                    </w:div>
                  </w:divsChild>
                </w:div>
                <w:div w:id="788936859">
                  <w:marLeft w:val="0"/>
                  <w:marRight w:val="0"/>
                  <w:marTop w:val="0"/>
                  <w:marBottom w:val="0"/>
                  <w:divBdr>
                    <w:top w:val="none" w:sz="0" w:space="0" w:color="auto"/>
                    <w:left w:val="none" w:sz="0" w:space="0" w:color="auto"/>
                    <w:bottom w:val="none" w:sz="0" w:space="0" w:color="auto"/>
                    <w:right w:val="none" w:sz="0" w:space="0" w:color="auto"/>
                  </w:divBdr>
                  <w:divsChild>
                    <w:div w:id="763458382">
                      <w:marLeft w:val="0"/>
                      <w:marRight w:val="0"/>
                      <w:marTop w:val="0"/>
                      <w:marBottom w:val="0"/>
                      <w:divBdr>
                        <w:top w:val="none" w:sz="0" w:space="0" w:color="auto"/>
                        <w:left w:val="none" w:sz="0" w:space="0" w:color="auto"/>
                        <w:bottom w:val="none" w:sz="0" w:space="0" w:color="auto"/>
                        <w:right w:val="none" w:sz="0" w:space="0" w:color="auto"/>
                      </w:divBdr>
                    </w:div>
                  </w:divsChild>
                </w:div>
                <w:div w:id="803473003">
                  <w:marLeft w:val="0"/>
                  <w:marRight w:val="0"/>
                  <w:marTop w:val="0"/>
                  <w:marBottom w:val="0"/>
                  <w:divBdr>
                    <w:top w:val="none" w:sz="0" w:space="0" w:color="auto"/>
                    <w:left w:val="none" w:sz="0" w:space="0" w:color="auto"/>
                    <w:bottom w:val="none" w:sz="0" w:space="0" w:color="auto"/>
                    <w:right w:val="none" w:sz="0" w:space="0" w:color="auto"/>
                  </w:divBdr>
                  <w:divsChild>
                    <w:div w:id="992098603">
                      <w:marLeft w:val="0"/>
                      <w:marRight w:val="0"/>
                      <w:marTop w:val="0"/>
                      <w:marBottom w:val="0"/>
                      <w:divBdr>
                        <w:top w:val="none" w:sz="0" w:space="0" w:color="auto"/>
                        <w:left w:val="none" w:sz="0" w:space="0" w:color="auto"/>
                        <w:bottom w:val="none" w:sz="0" w:space="0" w:color="auto"/>
                        <w:right w:val="none" w:sz="0" w:space="0" w:color="auto"/>
                      </w:divBdr>
                    </w:div>
                  </w:divsChild>
                </w:div>
                <w:div w:id="812865466">
                  <w:marLeft w:val="0"/>
                  <w:marRight w:val="0"/>
                  <w:marTop w:val="0"/>
                  <w:marBottom w:val="0"/>
                  <w:divBdr>
                    <w:top w:val="none" w:sz="0" w:space="0" w:color="auto"/>
                    <w:left w:val="none" w:sz="0" w:space="0" w:color="auto"/>
                    <w:bottom w:val="none" w:sz="0" w:space="0" w:color="auto"/>
                    <w:right w:val="none" w:sz="0" w:space="0" w:color="auto"/>
                  </w:divBdr>
                  <w:divsChild>
                    <w:div w:id="737361782">
                      <w:marLeft w:val="0"/>
                      <w:marRight w:val="0"/>
                      <w:marTop w:val="0"/>
                      <w:marBottom w:val="0"/>
                      <w:divBdr>
                        <w:top w:val="none" w:sz="0" w:space="0" w:color="auto"/>
                        <w:left w:val="none" w:sz="0" w:space="0" w:color="auto"/>
                        <w:bottom w:val="none" w:sz="0" w:space="0" w:color="auto"/>
                        <w:right w:val="none" w:sz="0" w:space="0" w:color="auto"/>
                      </w:divBdr>
                    </w:div>
                  </w:divsChild>
                </w:div>
                <w:div w:id="814613635">
                  <w:marLeft w:val="0"/>
                  <w:marRight w:val="0"/>
                  <w:marTop w:val="0"/>
                  <w:marBottom w:val="0"/>
                  <w:divBdr>
                    <w:top w:val="none" w:sz="0" w:space="0" w:color="auto"/>
                    <w:left w:val="none" w:sz="0" w:space="0" w:color="auto"/>
                    <w:bottom w:val="none" w:sz="0" w:space="0" w:color="auto"/>
                    <w:right w:val="none" w:sz="0" w:space="0" w:color="auto"/>
                  </w:divBdr>
                  <w:divsChild>
                    <w:div w:id="786462342">
                      <w:marLeft w:val="0"/>
                      <w:marRight w:val="0"/>
                      <w:marTop w:val="0"/>
                      <w:marBottom w:val="0"/>
                      <w:divBdr>
                        <w:top w:val="none" w:sz="0" w:space="0" w:color="auto"/>
                        <w:left w:val="none" w:sz="0" w:space="0" w:color="auto"/>
                        <w:bottom w:val="none" w:sz="0" w:space="0" w:color="auto"/>
                        <w:right w:val="none" w:sz="0" w:space="0" w:color="auto"/>
                      </w:divBdr>
                    </w:div>
                  </w:divsChild>
                </w:div>
                <w:div w:id="838734534">
                  <w:marLeft w:val="0"/>
                  <w:marRight w:val="0"/>
                  <w:marTop w:val="0"/>
                  <w:marBottom w:val="0"/>
                  <w:divBdr>
                    <w:top w:val="none" w:sz="0" w:space="0" w:color="auto"/>
                    <w:left w:val="none" w:sz="0" w:space="0" w:color="auto"/>
                    <w:bottom w:val="none" w:sz="0" w:space="0" w:color="auto"/>
                    <w:right w:val="none" w:sz="0" w:space="0" w:color="auto"/>
                  </w:divBdr>
                  <w:divsChild>
                    <w:div w:id="2047296264">
                      <w:marLeft w:val="0"/>
                      <w:marRight w:val="0"/>
                      <w:marTop w:val="0"/>
                      <w:marBottom w:val="0"/>
                      <w:divBdr>
                        <w:top w:val="none" w:sz="0" w:space="0" w:color="auto"/>
                        <w:left w:val="none" w:sz="0" w:space="0" w:color="auto"/>
                        <w:bottom w:val="none" w:sz="0" w:space="0" w:color="auto"/>
                        <w:right w:val="none" w:sz="0" w:space="0" w:color="auto"/>
                      </w:divBdr>
                    </w:div>
                  </w:divsChild>
                </w:div>
                <w:div w:id="840856735">
                  <w:marLeft w:val="0"/>
                  <w:marRight w:val="0"/>
                  <w:marTop w:val="0"/>
                  <w:marBottom w:val="0"/>
                  <w:divBdr>
                    <w:top w:val="none" w:sz="0" w:space="0" w:color="auto"/>
                    <w:left w:val="none" w:sz="0" w:space="0" w:color="auto"/>
                    <w:bottom w:val="none" w:sz="0" w:space="0" w:color="auto"/>
                    <w:right w:val="none" w:sz="0" w:space="0" w:color="auto"/>
                  </w:divBdr>
                  <w:divsChild>
                    <w:div w:id="512494617">
                      <w:marLeft w:val="0"/>
                      <w:marRight w:val="0"/>
                      <w:marTop w:val="0"/>
                      <w:marBottom w:val="0"/>
                      <w:divBdr>
                        <w:top w:val="none" w:sz="0" w:space="0" w:color="auto"/>
                        <w:left w:val="none" w:sz="0" w:space="0" w:color="auto"/>
                        <w:bottom w:val="none" w:sz="0" w:space="0" w:color="auto"/>
                        <w:right w:val="none" w:sz="0" w:space="0" w:color="auto"/>
                      </w:divBdr>
                    </w:div>
                  </w:divsChild>
                </w:div>
                <w:div w:id="843282729">
                  <w:marLeft w:val="0"/>
                  <w:marRight w:val="0"/>
                  <w:marTop w:val="0"/>
                  <w:marBottom w:val="0"/>
                  <w:divBdr>
                    <w:top w:val="none" w:sz="0" w:space="0" w:color="auto"/>
                    <w:left w:val="none" w:sz="0" w:space="0" w:color="auto"/>
                    <w:bottom w:val="none" w:sz="0" w:space="0" w:color="auto"/>
                    <w:right w:val="none" w:sz="0" w:space="0" w:color="auto"/>
                  </w:divBdr>
                  <w:divsChild>
                    <w:div w:id="2037732953">
                      <w:marLeft w:val="0"/>
                      <w:marRight w:val="0"/>
                      <w:marTop w:val="0"/>
                      <w:marBottom w:val="0"/>
                      <w:divBdr>
                        <w:top w:val="none" w:sz="0" w:space="0" w:color="auto"/>
                        <w:left w:val="none" w:sz="0" w:space="0" w:color="auto"/>
                        <w:bottom w:val="none" w:sz="0" w:space="0" w:color="auto"/>
                        <w:right w:val="none" w:sz="0" w:space="0" w:color="auto"/>
                      </w:divBdr>
                    </w:div>
                  </w:divsChild>
                </w:div>
                <w:div w:id="850797164">
                  <w:marLeft w:val="0"/>
                  <w:marRight w:val="0"/>
                  <w:marTop w:val="0"/>
                  <w:marBottom w:val="0"/>
                  <w:divBdr>
                    <w:top w:val="none" w:sz="0" w:space="0" w:color="auto"/>
                    <w:left w:val="none" w:sz="0" w:space="0" w:color="auto"/>
                    <w:bottom w:val="none" w:sz="0" w:space="0" w:color="auto"/>
                    <w:right w:val="none" w:sz="0" w:space="0" w:color="auto"/>
                  </w:divBdr>
                  <w:divsChild>
                    <w:div w:id="553154283">
                      <w:marLeft w:val="0"/>
                      <w:marRight w:val="0"/>
                      <w:marTop w:val="0"/>
                      <w:marBottom w:val="0"/>
                      <w:divBdr>
                        <w:top w:val="none" w:sz="0" w:space="0" w:color="auto"/>
                        <w:left w:val="none" w:sz="0" w:space="0" w:color="auto"/>
                        <w:bottom w:val="none" w:sz="0" w:space="0" w:color="auto"/>
                        <w:right w:val="none" w:sz="0" w:space="0" w:color="auto"/>
                      </w:divBdr>
                    </w:div>
                  </w:divsChild>
                </w:div>
                <w:div w:id="855659567">
                  <w:marLeft w:val="0"/>
                  <w:marRight w:val="0"/>
                  <w:marTop w:val="0"/>
                  <w:marBottom w:val="0"/>
                  <w:divBdr>
                    <w:top w:val="none" w:sz="0" w:space="0" w:color="auto"/>
                    <w:left w:val="none" w:sz="0" w:space="0" w:color="auto"/>
                    <w:bottom w:val="none" w:sz="0" w:space="0" w:color="auto"/>
                    <w:right w:val="none" w:sz="0" w:space="0" w:color="auto"/>
                  </w:divBdr>
                  <w:divsChild>
                    <w:div w:id="562252303">
                      <w:marLeft w:val="0"/>
                      <w:marRight w:val="0"/>
                      <w:marTop w:val="0"/>
                      <w:marBottom w:val="0"/>
                      <w:divBdr>
                        <w:top w:val="none" w:sz="0" w:space="0" w:color="auto"/>
                        <w:left w:val="none" w:sz="0" w:space="0" w:color="auto"/>
                        <w:bottom w:val="none" w:sz="0" w:space="0" w:color="auto"/>
                        <w:right w:val="none" w:sz="0" w:space="0" w:color="auto"/>
                      </w:divBdr>
                    </w:div>
                  </w:divsChild>
                </w:div>
                <w:div w:id="856194718">
                  <w:marLeft w:val="0"/>
                  <w:marRight w:val="0"/>
                  <w:marTop w:val="0"/>
                  <w:marBottom w:val="0"/>
                  <w:divBdr>
                    <w:top w:val="none" w:sz="0" w:space="0" w:color="auto"/>
                    <w:left w:val="none" w:sz="0" w:space="0" w:color="auto"/>
                    <w:bottom w:val="none" w:sz="0" w:space="0" w:color="auto"/>
                    <w:right w:val="none" w:sz="0" w:space="0" w:color="auto"/>
                  </w:divBdr>
                  <w:divsChild>
                    <w:div w:id="1915818026">
                      <w:marLeft w:val="0"/>
                      <w:marRight w:val="0"/>
                      <w:marTop w:val="0"/>
                      <w:marBottom w:val="0"/>
                      <w:divBdr>
                        <w:top w:val="none" w:sz="0" w:space="0" w:color="auto"/>
                        <w:left w:val="none" w:sz="0" w:space="0" w:color="auto"/>
                        <w:bottom w:val="none" w:sz="0" w:space="0" w:color="auto"/>
                        <w:right w:val="none" w:sz="0" w:space="0" w:color="auto"/>
                      </w:divBdr>
                    </w:div>
                  </w:divsChild>
                </w:div>
                <w:div w:id="873886398">
                  <w:marLeft w:val="0"/>
                  <w:marRight w:val="0"/>
                  <w:marTop w:val="0"/>
                  <w:marBottom w:val="0"/>
                  <w:divBdr>
                    <w:top w:val="none" w:sz="0" w:space="0" w:color="auto"/>
                    <w:left w:val="none" w:sz="0" w:space="0" w:color="auto"/>
                    <w:bottom w:val="none" w:sz="0" w:space="0" w:color="auto"/>
                    <w:right w:val="none" w:sz="0" w:space="0" w:color="auto"/>
                  </w:divBdr>
                  <w:divsChild>
                    <w:div w:id="551424886">
                      <w:marLeft w:val="0"/>
                      <w:marRight w:val="0"/>
                      <w:marTop w:val="0"/>
                      <w:marBottom w:val="0"/>
                      <w:divBdr>
                        <w:top w:val="none" w:sz="0" w:space="0" w:color="auto"/>
                        <w:left w:val="none" w:sz="0" w:space="0" w:color="auto"/>
                        <w:bottom w:val="none" w:sz="0" w:space="0" w:color="auto"/>
                        <w:right w:val="none" w:sz="0" w:space="0" w:color="auto"/>
                      </w:divBdr>
                    </w:div>
                  </w:divsChild>
                </w:div>
                <w:div w:id="882787728">
                  <w:marLeft w:val="0"/>
                  <w:marRight w:val="0"/>
                  <w:marTop w:val="0"/>
                  <w:marBottom w:val="0"/>
                  <w:divBdr>
                    <w:top w:val="none" w:sz="0" w:space="0" w:color="auto"/>
                    <w:left w:val="none" w:sz="0" w:space="0" w:color="auto"/>
                    <w:bottom w:val="none" w:sz="0" w:space="0" w:color="auto"/>
                    <w:right w:val="none" w:sz="0" w:space="0" w:color="auto"/>
                  </w:divBdr>
                  <w:divsChild>
                    <w:div w:id="239095181">
                      <w:marLeft w:val="0"/>
                      <w:marRight w:val="0"/>
                      <w:marTop w:val="0"/>
                      <w:marBottom w:val="0"/>
                      <w:divBdr>
                        <w:top w:val="none" w:sz="0" w:space="0" w:color="auto"/>
                        <w:left w:val="none" w:sz="0" w:space="0" w:color="auto"/>
                        <w:bottom w:val="none" w:sz="0" w:space="0" w:color="auto"/>
                        <w:right w:val="none" w:sz="0" w:space="0" w:color="auto"/>
                      </w:divBdr>
                    </w:div>
                  </w:divsChild>
                </w:div>
                <w:div w:id="883761144">
                  <w:marLeft w:val="0"/>
                  <w:marRight w:val="0"/>
                  <w:marTop w:val="0"/>
                  <w:marBottom w:val="0"/>
                  <w:divBdr>
                    <w:top w:val="none" w:sz="0" w:space="0" w:color="auto"/>
                    <w:left w:val="none" w:sz="0" w:space="0" w:color="auto"/>
                    <w:bottom w:val="none" w:sz="0" w:space="0" w:color="auto"/>
                    <w:right w:val="none" w:sz="0" w:space="0" w:color="auto"/>
                  </w:divBdr>
                  <w:divsChild>
                    <w:div w:id="1382483523">
                      <w:marLeft w:val="0"/>
                      <w:marRight w:val="0"/>
                      <w:marTop w:val="0"/>
                      <w:marBottom w:val="0"/>
                      <w:divBdr>
                        <w:top w:val="none" w:sz="0" w:space="0" w:color="auto"/>
                        <w:left w:val="none" w:sz="0" w:space="0" w:color="auto"/>
                        <w:bottom w:val="none" w:sz="0" w:space="0" w:color="auto"/>
                        <w:right w:val="none" w:sz="0" w:space="0" w:color="auto"/>
                      </w:divBdr>
                    </w:div>
                  </w:divsChild>
                </w:div>
                <w:div w:id="892161529">
                  <w:marLeft w:val="0"/>
                  <w:marRight w:val="0"/>
                  <w:marTop w:val="0"/>
                  <w:marBottom w:val="0"/>
                  <w:divBdr>
                    <w:top w:val="none" w:sz="0" w:space="0" w:color="auto"/>
                    <w:left w:val="none" w:sz="0" w:space="0" w:color="auto"/>
                    <w:bottom w:val="none" w:sz="0" w:space="0" w:color="auto"/>
                    <w:right w:val="none" w:sz="0" w:space="0" w:color="auto"/>
                  </w:divBdr>
                  <w:divsChild>
                    <w:div w:id="1804232796">
                      <w:marLeft w:val="0"/>
                      <w:marRight w:val="0"/>
                      <w:marTop w:val="0"/>
                      <w:marBottom w:val="0"/>
                      <w:divBdr>
                        <w:top w:val="none" w:sz="0" w:space="0" w:color="auto"/>
                        <w:left w:val="none" w:sz="0" w:space="0" w:color="auto"/>
                        <w:bottom w:val="none" w:sz="0" w:space="0" w:color="auto"/>
                        <w:right w:val="none" w:sz="0" w:space="0" w:color="auto"/>
                      </w:divBdr>
                    </w:div>
                  </w:divsChild>
                </w:div>
                <w:div w:id="898201313">
                  <w:marLeft w:val="0"/>
                  <w:marRight w:val="0"/>
                  <w:marTop w:val="0"/>
                  <w:marBottom w:val="0"/>
                  <w:divBdr>
                    <w:top w:val="none" w:sz="0" w:space="0" w:color="auto"/>
                    <w:left w:val="none" w:sz="0" w:space="0" w:color="auto"/>
                    <w:bottom w:val="none" w:sz="0" w:space="0" w:color="auto"/>
                    <w:right w:val="none" w:sz="0" w:space="0" w:color="auto"/>
                  </w:divBdr>
                  <w:divsChild>
                    <w:div w:id="924195012">
                      <w:marLeft w:val="0"/>
                      <w:marRight w:val="0"/>
                      <w:marTop w:val="0"/>
                      <w:marBottom w:val="0"/>
                      <w:divBdr>
                        <w:top w:val="none" w:sz="0" w:space="0" w:color="auto"/>
                        <w:left w:val="none" w:sz="0" w:space="0" w:color="auto"/>
                        <w:bottom w:val="none" w:sz="0" w:space="0" w:color="auto"/>
                        <w:right w:val="none" w:sz="0" w:space="0" w:color="auto"/>
                      </w:divBdr>
                    </w:div>
                  </w:divsChild>
                </w:div>
                <w:div w:id="902521625">
                  <w:marLeft w:val="0"/>
                  <w:marRight w:val="0"/>
                  <w:marTop w:val="0"/>
                  <w:marBottom w:val="0"/>
                  <w:divBdr>
                    <w:top w:val="none" w:sz="0" w:space="0" w:color="auto"/>
                    <w:left w:val="none" w:sz="0" w:space="0" w:color="auto"/>
                    <w:bottom w:val="none" w:sz="0" w:space="0" w:color="auto"/>
                    <w:right w:val="none" w:sz="0" w:space="0" w:color="auto"/>
                  </w:divBdr>
                  <w:divsChild>
                    <w:div w:id="503670893">
                      <w:marLeft w:val="0"/>
                      <w:marRight w:val="0"/>
                      <w:marTop w:val="0"/>
                      <w:marBottom w:val="0"/>
                      <w:divBdr>
                        <w:top w:val="none" w:sz="0" w:space="0" w:color="auto"/>
                        <w:left w:val="none" w:sz="0" w:space="0" w:color="auto"/>
                        <w:bottom w:val="none" w:sz="0" w:space="0" w:color="auto"/>
                        <w:right w:val="none" w:sz="0" w:space="0" w:color="auto"/>
                      </w:divBdr>
                    </w:div>
                  </w:divsChild>
                </w:div>
                <w:div w:id="911155985">
                  <w:marLeft w:val="0"/>
                  <w:marRight w:val="0"/>
                  <w:marTop w:val="0"/>
                  <w:marBottom w:val="0"/>
                  <w:divBdr>
                    <w:top w:val="none" w:sz="0" w:space="0" w:color="auto"/>
                    <w:left w:val="none" w:sz="0" w:space="0" w:color="auto"/>
                    <w:bottom w:val="none" w:sz="0" w:space="0" w:color="auto"/>
                    <w:right w:val="none" w:sz="0" w:space="0" w:color="auto"/>
                  </w:divBdr>
                  <w:divsChild>
                    <w:div w:id="1861699463">
                      <w:marLeft w:val="0"/>
                      <w:marRight w:val="0"/>
                      <w:marTop w:val="0"/>
                      <w:marBottom w:val="0"/>
                      <w:divBdr>
                        <w:top w:val="none" w:sz="0" w:space="0" w:color="auto"/>
                        <w:left w:val="none" w:sz="0" w:space="0" w:color="auto"/>
                        <w:bottom w:val="none" w:sz="0" w:space="0" w:color="auto"/>
                        <w:right w:val="none" w:sz="0" w:space="0" w:color="auto"/>
                      </w:divBdr>
                    </w:div>
                  </w:divsChild>
                </w:div>
                <w:div w:id="913932199">
                  <w:marLeft w:val="0"/>
                  <w:marRight w:val="0"/>
                  <w:marTop w:val="0"/>
                  <w:marBottom w:val="0"/>
                  <w:divBdr>
                    <w:top w:val="none" w:sz="0" w:space="0" w:color="auto"/>
                    <w:left w:val="none" w:sz="0" w:space="0" w:color="auto"/>
                    <w:bottom w:val="none" w:sz="0" w:space="0" w:color="auto"/>
                    <w:right w:val="none" w:sz="0" w:space="0" w:color="auto"/>
                  </w:divBdr>
                  <w:divsChild>
                    <w:div w:id="2131433171">
                      <w:marLeft w:val="0"/>
                      <w:marRight w:val="0"/>
                      <w:marTop w:val="0"/>
                      <w:marBottom w:val="0"/>
                      <w:divBdr>
                        <w:top w:val="none" w:sz="0" w:space="0" w:color="auto"/>
                        <w:left w:val="none" w:sz="0" w:space="0" w:color="auto"/>
                        <w:bottom w:val="none" w:sz="0" w:space="0" w:color="auto"/>
                        <w:right w:val="none" w:sz="0" w:space="0" w:color="auto"/>
                      </w:divBdr>
                    </w:div>
                  </w:divsChild>
                </w:div>
                <w:div w:id="917786207">
                  <w:marLeft w:val="0"/>
                  <w:marRight w:val="0"/>
                  <w:marTop w:val="0"/>
                  <w:marBottom w:val="0"/>
                  <w:divBdr>
                    <w:top w:val="none" w:sz="0" w:space="0" w:color="auto"/>
                    <w:left w:val="none" w:sz="0" w:space="0" w:color="auto"/>
                    <w:bottom w:val="none" w:sz="0" w:space="0" w:color="auto"/>
                    <w:right w:val="none" w:sz="0" w:space="0" w:color="auto"/>
                  </w:divBdr>
                  <w:divsChild>
                    <w:div w:id="1322541111">
                      <w:marLeft w:val="0"/>
                      <w:marRight w:val="0"/>
                      <w:marTop w:val="0"/>
                      <w:marBottom w:val="0"/>
                      <w:divBdr>
                        <w:top w:val="none" w:sz="0" w:space="0" w:color="auto"/>
                        <w:left w:val="none" w:sz="0" w:space="0" w:color="auto"/>
                        <w:bottom w:val="none" w:sz="0" w:space="0" w:color="auto"/>
                        <w:right w:val="none" w:sz="0" w:space="0" w:color="auto"/>
                      </w:divBdr>
                    </w:div>
                  </w:divsChild>
                </w:div>
                <w:div w:id="920791490">
                  <w:marLeft w:val="0"/>
                  <w:marRight w:val="0"/>
                  <w:marTop w:val="0"/>
                  <w:marBottom w:val="0"/>
                  <w:divBdr>
                    <w:top w:val="none" w:sz="0" w:space="0" w:color="auto"/>
                    <w:left w:val="none" w:sz="0" w:space="0" w:color="auto"/>
                    <w:bottom w:val="none" w:sz="0" w:space="0" w:color="auto"/>
                    <w:right w:val="none" w:sz="0" w:space="0" w:color="auto"/>
                  </w:divBdr>
                  <w:divsChild>
                    <w:div w:id="512644053">
                      <w:marLeft w:val="0"/>
                      <w:marRight w:val="0"/>
                      <w:marTop w:val="0"/>
                      <w:marBottom w:val="0"/>
                      <w:divBdr>
                        <w:top w:val="none" w:sz="0" w:space="0" w:color="auto"/>
                        <w:left w:val="none" w:sz="0" w:space="0" w:color="auto"/>
                        <w:bottom w:val="none" w:sz="0" w:space="0" w:color="auto"/>
                        <w:right w:val="none" w:sz="0" w:space="0" w:color="auto"/>
                      </w:divBdr>
                    </w:div>
                  </w:divsChild>
                </w:div>
                <w:div w:id="936908150">
                  <w:marLeft w:val="0"/>
                  <w:marRight w:val="0"/>
                  <w:marTop w:val="0"/>
                  <w:marBottom w:val="0"/>
                  <w:divBdr>
                    <w:top w:val="none" w:sz="0" w:space="0" w:color="auto"/>
                    <w:left w:val="none" w:sz="0" w:space="0" w:color="auto"/>
                    <w:bottom w:val="none" w:sz="0" w:space="0" w:color="auto"/>
                    <w:right w:val="none" w:sz="0" w:space="0" w:color="auto"/>
                  </w:divBdr>
                  <w:divsChild>
                    <w:div w:id="1438985587">
                      <w:marLeft w:val="0"/>
                      <w:marRight w:val="0"/>
                      <w:marTop w:val="0"/>
                      <w:marBottom w:val="0"/>
                      <w:divBdr>
                        <w:top w:val="none" w:sz="0" w:space="0" w:color="auto"/>
                        <w:left w:val="none" w:sz="0" w:space="0" w:color="auto"/>
                        <w:bottom w:val="none" w:sz="0" w:space="0" w:color="auto"/>
                        <w:right w:val="none" w:sz="0" w:space="0" w:color="auto"/>
                      </w:divBdr>
                    </w:div>
                  </w:divsChild>
                </w:div>
                <w:div w:id="938412230">
                  <w:marLeft w:val="0"/>
                  <w:marRight w:val="0"/>
                  <w:marTop w:val="0"/>
                  <w:marBottom w:val="0"/>
                  <w:divBdr>
                    <w:top w:val="none" w:sz="0" w:space="0" w:color="auto"/>
                    <w:left w:val="none" w:sz="0" w:space="0" w:color="auto"/>
                    <w:bottom w:val="none" w:sz="0" w:space="0" w:color="auto"/>
                    <w:right w:val="none" w:sz="0" w:space="0" w:color="auto"/>
                  </w:divBdr>
                  <w:divsChild>
                    <w:div w:id="680815068">
                      <w:marLeft w:val="0"/>
                      <w:marRight w:val="0"/>
                      <w:marTop w:val="0"/>
                      <w:marBottom w:val="0"/>
                      <w:divBdr>
                        <w:top w:val="none" w:sz="0" w:space="0" w:color="auto"/>
                        <w:left w:val="none" w:sz="0" w:space="0" w:color="auto"/>
                        <w:bottom w:val="none" w:sz="0" w:space="0" w:color="auto"/>
                        <w:right w:val="none" w:sz="0" w:space="0" w:color="auto"/>
                      </w:divBdr>
                    </w:div>
                  </w:divsChild>
                </w:div>
                <w:div w:id="939600930">
                  <w:marLeft w:val="0"/>
                  <w:marRight w:val="0"/>
                  <w:marTop w:val="0"/>
                  <w:marBottom w:val="0"/>
                  <w:divBdr>
                    <w:top w:val="none" w:sz="0" w:space="0" w:color="auto"/>
                    <w:left w:val="none" w:sz="0" w:space="0" w:color="auto"/>
                    <w:bottom w:val="none" w:sz="0" w:space="0" w:color="auto"/>
                    <w:right w:val="none" w:sz="0" w:space="0" w:color="auto"/>
                  </w:divBdr>
                  <w:divsChild>
                    <w:div w:id="515195410">
                      <w:marLeft w:val="0"/>
                      <w:marRight w:val="0"/>
                      <w:marTop w:val="0"/>
                      <w:marBottom w:val="0"/>
                      <w:divBdr>
                        <w:top w:val="none" w:sz="0" w:space="0" w:color="auto"/>
                        <w:left w:val="none" w:sz="0" w:space="0" w:color="auto"/>
                        <w:bottom w:val="none" w:sz="0" w:space="0" w:color="auto"/>
                        <w:right w:val="none" w:sz="0" w:space="0" w:color="auto"/>
                      </w:divBdr>
                    </w:div>
                  </w:divsChild>
                </w:div>
                <w:div w:id="940528075">
                  <w:marLeft w:val="0"/>
                  <w:marRight w:val="0"/>
                  <w:marTop w:val="0"/>
                  <w:marBottom w:val="0"/>
                  <w:divBdr>
                    <w:top w:val="none" w:sz="0" w:space="0" w:color="auto"/>
                    <w:left w:val="none" w:sz="0" w:space="0" w:color="auto"/>
                    <w:bottom w:val="none" w:sz="0" w:space="0" w:color="auto"/>
                    <w:right w:val="none" w:sz="0" w:space="0" w:color="auto"/>
                  </w:divBdr>
                  <w:divsChild>
                    <w:div w:id="1489907513">
                      <w:marLeft w:val="0"/>
                      <w:marRight w:val="0"/>
                      <w:marTop w:val="0"/>
                      <w:marBottom w:val="0"/>
                      <w:divBdr>
                        <w:top w:val="none" w:sz="0" w:space="0" w:color="auto"/>
                        <w:left w:val="none" w:sz="0" w:space="0" w:color="auto"/>
                        <w:bottom w:val="none" w:sz="0" w:space="0" w:color="auto"/>
                        <w:right w:val="none" w:sz="0" w:space="0" w:color="auto"/>
                      </w:divBdr>
                    </w:div>
                  </w:divsChild>
                </w:div>
                <w:div w:id="943345409">
                  <w:marLeft w:val="0"/>
                  <w:marRight w:val="0"/>
                  <w:marTop w:val="0"/>
                  <w:marBottom w:val="0"/>
                  <w:divBdr>
                    <w:top w:val="none" w:sz="0" w:space="0" w:color="auto"/>
                    <w:left w:val="none" w:sz="0" w:space="0" w:color="auto"/>
                    <w:bottom w:val="none" w:sz="0" w:space="0" w:color="auto"/>
                    <w:right w:val="none" w:sz="0" w:space="0" w:color="auto"/>
                  </w:divBdr>
                  <w:divsChild>
                    <w:div w:id="677537217">
                      <w:marLeft w:val="0"/>
                      <w:marRight w:val="0"/>
                      <w:marTop w:val="0"/>
                      <w:marBottom w:val="0"/>
                      <w:divBdr>
                        <w:top w:val="none" w:sz="0" w:space="0" w:color="auto"/>
                        <w:left w:val="none" w:sz="0" w:space="0" w:color="auto"/>
                        <w:bottom w:val="none" w:sz="0" w:space="0" w:color="auto"/>
                        <w:right w:val="none" w:sz="0" w:space="0" w:color="auto"/>
                      </w:divBdr>
                    </w:div>
                  </w:divsChild>
                </w:div>
                <w:div w:id="956987474">
                  <w:marLeft w:val="0"/>
                  <w:marRight w:val="0"/>
                  <w:marTop w:val="0"/>
                  <w:marBottom w:val="0"/>
                  <w:divBdr>
                    <w:top w:val="none" w:sz="0" w:space="0" w:color="auto"/>
                    <w:left w:val="none" w:sz="0" w:space="0" w:color="auto"/>
                    <w:bottom w:val="none" w:sz="0" w:space="0" w:color="auto"/>
                    <w:right w:val="none" w:sz="0" w:space="0" w:color="auto"/>
                  </w:divBdr>
                  <w:divsChild>
                    <w:div w:id="795217932">
                      <w:marLeft w:val="0"/>
                      <w:marRight w:val="0"/>
                      <w:marTop w:val="0"/>
                      <w:marBottom w:val="0"/>
                      <w:divBdr>
                        <w:top w:val="none" w:sz="0" w:space="0" w:color="auto"/>
                        <w:left w:val="none" w:sz="0" w:space="0" w:color="auto"/>
                        <w:bottom w:val="none" w:sz="0" w:space="0" w:color="auto"/>
                        <w:right w:val="none" w:sz="0" w:space="0" w:color="auto"/>
                      </w:divBdr>
                    </w:div>
                  </w:divsChild>
                </w:div>
                <w:div w:id="963534404">
                  <w:marLeft w:val="0"/>
                  <w:marRight w:val="0"/>
                  <w:marTop w:val="0"/>
                  <w:marBottom w:val="0"/>
                  <w:divBdr>
                    <w:top w:val="none" w:sz="0" w:space="0" w:color="auto"/>
                    <w:left w:val="none" w:sz="0" w:space="0" w:color="auto"/>
                    <w:bottom w:val="none" w:sz="0" w:space="0" w:color="auto"/>
                    <w:right w:val="none" w:sz="0" w:space="0" w:color="auto"/>
                  </w:divBdr>
                  <w:divsChild>
                    <w:div w:id="1968314428">
                      <w:marLeft w:val="0"/>
                      <w:marRight w:val="0"/>
                      <w:marTop w:val="0"/>
                      <w:marBottom w:val="0"/>
                      <w:divBdr>
                        <w:top w:val="none" w:sz="0" w:space="0" w:color="auto"/>
                        <w:left w:val="none" w:sz="0" w:space="0" w:color="auto"/>
                        <w:bottom w:val="none" w:sz="0" w:space="0" w:color="auto"/>
                        <w:right w:val="none" w:sz="0" w:space="0" w:color="auto"/>
                      </w:divBdr>
                    </w:div>
                  </w:divsChild>
                </w:div>
                <w:div w:id="965963350">
                  <w:marLeft w:val="0"/>
                  <w:marRight w:val="0"/>
                  <w:marTop w:val="0"/>
                  <w:marBottom w:val="0"/>
                  <w:divBdr>
                    <w:top w:val="none" w:sz="0" w:space="0" w:color="auto"/>
                    <w:left w:val="none" w:sz="0" w:space="0" w:color="auto"/>
                    <w:bottom w:val="none" w:sz="0" w:space="0" w:color="auto"/>
                    <w:right w:val="none" w:sz="0" w:space="0" w:color="auto"/>
                  </w:divBdr>
                  <w:divsChild>
                    <w:div w:id="1237477652">
                      <w:marLeft w:val="0"/>
                      <w:marRight w:val="0"/>
                      <w:marTop w:val="0"/>
                      <w:marBottom w:val="0"/>
                      <w:divBdr>
                        <w:top w:val="none" w:sz="0" w:space="0" w:color="auto"/>
                        <w:left w:val="none" w:sz="0" w:space="0" w:color="auto"/>
                        <w:bottom w:val="none" w:sz="0" w:space="0" w:color="auto"/>
                        <w:right w:val="none" w:sz="0" w:space="0" w:color="auto"/>
                      </w:divBdr>
                    </w:div>
                  </w:divsChild>
                </w:div>
                <w:div w:id="966659781">
                  <w:marLeft w:val="0"/>
                  <w:marRight w:val="0"/>
                  <w:marTop w:val="0"/>
                  <w:marBottom w:val="0"/>
                  <w:divBdr>
                    <w:top w:val="none" w:sz="0" w:space="0" w:color="auto"/>
                    <w:left w:val="none" w:sz="0" w:space="0" w:color="auto"/>
                    <w:bottom w:val="none" w:sz="0" w:space="0" w:color="auto"/>
                    <w:right w:val="none" w:sz="0" w:space="0" w:color="auto"/>
                  </w:divBdr>
                  <w:divsChild>
                    <w:div w:id="1797260853">
                      <w:marLeft w:val="0"/>
                      <w:marRight w:val="0"/>
                      <w:marTop w:val="0"/>
                      <w:marBottom w:val="0"/>
                      <w:divBdr>
                        <w:top w:val="none" w:sz="0" w:space="0" w:color="auto"/>
                        <w:left w:val="none" w:sz="0" w:space="0" w:color="auto"/>
                        <w:bottom w:val="none" w:sz="0" w:space="0" w:color="auto"/>
                        <w:right w:val="none" w:sz="0" w:space="0" w:color="auto"/>
                      </w:divBdr>
                    </w:div>
                  </w:divsChild>
                </w:div>
                <w:div w:id="968047792">
                  <w:marLeft w:val="0"/>
                  <w:marRight w:val="0"/>
                  <w:marTop w:val="0"/>
                  <w:marBottom w:val="0"/>
                  <w:divBdr>
                    <w:top w:val="none" w:sz="0" w:space="0" w:color="auto"/>
                    <w:left w:val="none" w:sz="0" w:space="0" w:color="auto"/>
                    <w:bottom w:val="none" w:sz="0" w:space="0" w:color="auto"/>
                    <w:right w:val="none" w:sz="0" w:space="0" w:color="auto"/>
                  </w:divBdr>
                  <w:divsChild>
                    <w:div w:id="1287590274">
                      <w:marLeft w:val="0"/>
                      <w:marRight w:val="0"/>
                      <w:marTop w:val="0"/>
                      <w:marBottom w:val="0"/>
                      <w:divBdr>
                        <w:top w:val="none" w:sz="0" w:space="0" w:color="auto"/>
                        <w:left w:val="none" w:sz="0" w:space="0" w:color="auto"/>
                        <w:bottom w:val="none" w:sz="0" w:space="0" w:color="auto"/>
                        <w:right w:val="none" w:sz="0" w:space="0" w:color="auto"/>
                      </w:divBdr>
                    </w:div>
                  </w:divsChild>
                </w:div>
                <w:div w:id="970596221">
                  <w:marLeft w:val="0"/>
                  <w:marRight w:val="0"/>
                  <w:marTop w:val="0"/>
                  <w:marBottom w:val="0"/>
                  <w:divBdr>
                    <w:top w:val="none" w:sz="0" w:space="0" w:color="auto"/>
                    <w:left w:val="none" w:sz="0" w:space="0" w:color="auto"/>
                    <w:bottom w:val="none" w:sz="0" w:space="0" w:color="auto"/>
                    <w:right w:val="none" w:sz="0" w:space="0" w:color="auto"/>
                  </w:divBdr>
                  <w:divsChild>
                    <w:div w:id="2131048817">
                      <w:marLeft w:val="0"/>
                      <w:marRight w:val="0"/>
                      <w:marTop w:val="0"/>
                      <w:marBottom w:val="0"/>
                      <w:divBdr>
                        <w:top w:val="none" w:sz="0" w:space="0" w:color="auto"/>
                        <w:left w:val="none" w:sz="0" w:space="0" w:color="auto"/>
                        <w:bottom w:val="none" w:sz="0" w:space="0" w:color="auto"/>
                        <w:right w:val="none" w:sz="0" w:space="0" w:color="auto"/>
                      </w:divBdr>
                    </w:div>
                  </w:divsChild>
                </w:div>
                <w:div w:id="971208222">
                  <w:marLeft w:val="0"/>
                  <w:marRight w:val="0"/>
                  <w:marTop w:val="0"/>
                  <w:marBottom w:val="0"/>
                  <w:divBdr>
                    <w:top w:val="none" w:sz="0" w:space="0" w:color="auto"/>
                    <w:left w:val="none" w:sz="0" w:space="0" w:color="auto"/>
                    <w:bottom w:val="none" w:sz="0" w:space="0" w:color="auto"/>
                    <w:right w:val="none" w:sz="0" w:space="0" w:color="auto"/>
                  </w:divBdr>
                  <w:divsChild>
                    <w:div w:id="1523738843">
                      <w:marLeft w:val="0"/>
                      <w:marRight w:val="0"/>
                      <w:marTop w:val="0"/>
                      <w:marBottom w:val="0"/>
                      <w:divBdr>
                        <w:top w:val="none" w:sz="0" w:space="0" w:color="auto"/>
                        <w:left w:val="none" w:sz="0" w:space="0" w:color="auto"/>
                        <w:bottom w:val="none" w:sz="0" w:space="0" w:color="auto"/>
                        <w:right w:val="none" w:sz="0" w:space="0" w:color="auto"/>
                      </w:divBdr>
                    </w:div>
                  </w:divsChild>
                </w:div>
                <w:div w:id="979309633">
                  <w:marLeft w:val="0"/>
                  <w:marRight w:val="0"/>
                  <w:marTop w:val="0"/>
                  <w:marBottom w:val="0"/>
                  <w:divBdr>
                    <w:top w:val="none" w:sz="0" w:space="0" w:color="auto"/>
                    <w:left w:val="none" w:sz="0" w:space="0" w:color="auto"/>
                    <w:bottom w:val="none" w:sz="0" w:space="0" w:color="auto"/>
                    <w:right w:val="none" w:sz="0" w:space="0" w:color="auto"/>
                  </w:divBdr>
                  <w:divsChild>
                    <w:div w:id="731193785">
                      <w:marLeft w:val="0"/>
                      <w:marRight w:val="0"/>
                      <w:marTop w:val="0"/>
                      <w:marBottom w:val="0"/>
                      <w:divBdr>
                        <w:top w:val="none" w:sz="0" w:space="0" w:color="auto"/>
                        <w:left w:val="none" w:sz="0" w:space="0" w:color="auto"/>
                        <w:bottom w:val="none" w:sz="0" w:space="0" w:color="auto"/>
                        <w:right w:val="none" w:sz="0" w:space="0" w:color="auto"/>
                      </w:divBdr>
                    </w:div>
                  </w:divsChild>
                </w:div>
                <w:div w:id="981079581">
                  <w:marLeft w:val="0"/>
                  <w:marRight w:val="0"/>
                  <w:marTop w:val="0"/>
                  <w:marBottom w:val="0"/>
                  <w:divBdr>
                    <w:top w:val="none" w:sz="0" w:space="0" w:color="auto"/>
                    <w:left w:val="none" w:sz="0" w:space="0" w:color="auto"/>
                    <w:bottom w:val="none" w:sz="0" w:space="0" w:color="auto"/>
                    <w:right w:val="none" w:sz="0" w:space="0" w:color="auto"/>
                  </w:divBdr>
                  <w:divsChild>
                    <w:div w:id="1541359442">
                      <w:marLeft w:val="0"/>
                      <w:marRight w:val="0"/>
                      <w:marTop w:val="0"/>
                      <w:marBottom w:val="0"/>
                      <w:divBdr>
                        <w:top w:val="none" w:sz="0" w:space="0" w:color="auto"/>
                        <w:left w:val="none" w:sz="0" w:space="0" w:color="auto"/>
                        <w:bottom w:val="none" w:sz="0" w:space="0" w:color="auto"/>
                        <w:right w:val="none" w:sz="0" w:space="0" w:color="auto"/>
                      </w:divBdr>
                    </w:div>
                  </w:divsChild>
                </w:div>
                <w:div w:id="1006595530">
                  <w:marLeft w:val="0"/>
                  <w:marRight w:val="0"/>
                  <w:marTop w:val="0"/>
                  <w:marBottom w:val="0"/>
                  <w:divBdr>
                    <w:top w:val="none" w:sz="0" w:space="0" w:color="auto"/>
                    <w:left w:val="none" w:sz="0" w:space="0" w:color="auto"/>
                    <w:bottom w:val="none" w:sz="0" w:space="0" w:color="auto"/>
                    <w:right w:val="none" w:sz="0" w:space="0" w:color="auto"/>
                  </w:divBdr>
                  <w:divsChild>
                    <w:div w:id="264843923">
                      <w:marLeft w:val="0"/>
                      <w:marRight w:val="0"/>
                      <w:marTop w:val="0"/>
                      <w:marBottom w:val="0"/>
                      <w:divBdr>
                        <w:top w:val="none" w:sz="0" w:space="0" w:color="auto"/>
                        <w:left w:val="none" w:sz="0" w:space="0" w:color="auto"/>
                        <w:bottom w:val="none" w:sz="0" w:space="0" w:color="auto"/>
                        <w:right w:val="none" w:sz="0" w:space="0" w:color="auto"/>
                      </w:divBdr>
                    </w:div>
                  </w:divsChild>
                </w:div>
                <w:div w:id="1012420078">
                  <w:marLeft w:val="0"/>
                  <w:marRight w:val="0"/>
                  <w:marTop w:val="0"/>
                  <w:marBottom w:val="0"/>
                  <w:divBdr>
                    <w:top w:val="none" w:sz="0" w:space="0" w:color="auto"/>
                    <w:left w:val="none" w:sz="0" w:space="0" w:color="auto"/>
                    <w:bottom w:val="none" w:sz="0" w:space="0" w:color="auto"/>
                    <w:right w:val="none" w:sz="0" w:space="0" w:color="auto"/>
                  </w:divBdr>
                  <w:divsChild>
                    <w:div w:id="1698195598">
                      <w:marLeft w:val="0"/>
                      <w:marRight w:val="0"/>
                      <w:marTop w:val="0"/>
                      <w:marBottom w:val="0"/>
                      <w:divBdr>
                        <w:top w:val="none" w:sz="0" w:space="0" w:color="auto"/>
                        <w:left w:val="none" w:sz="0" w:space="0" w:color="auto"/>
                        <w:bottom w:val="none" w:sz="0" w:space="0" w:color="auto"/>
                        <w:right w:val="none" w:sz="0" w:space="0" w:color="auto"/>
                      </w:divBdr>
                    </w:div>
                  </w:divsChild>
                </w:div>
                <w:div w:id="1014919916">
                  <w:marLeft w:val="0"/>
                  <w:marRight w:val="0"/>
                  <w:marTop w:val="0"/>
                  <w:marBottom w:val="0"/>
                  <w:divBdr>
                    <w:top w:val="none" w:sz="0" w:space="0" w:color="auto"/>
                    <w:left w:val="none" w:sz="0" w:space="0" w:color="auto"/>
                    <w:bottom w:val="none" w:sz="0" w:space="0" w:color="auto"/>
                    <w:right w:val="none" w:sz="0" w:space="0" w:color="auto"/>
                  </w:divBdr>
                  <w:divsChild>
                    <w:div w:id="1475634325">
                      <w:marLeft w:val="0"/>
                      <w:marRight w:val="0"/>
                      <w:marTop w:val="0"/>
                      <w:marBottom w:val="0"/>
                      <w:divBdr>
                        <w:top w:val="none" w:sz="0" w:space="0" w:color="auto"/>
                        <w:left w:val="none" w:sz="0" w:space="0" w:color="auto"/>
                        <w:bottom w:val="none" w:sz="0" w:space="0" w:color="auto"/>
                        <w:right w:val="none" w:sz="0" w:space="0" w:color="auto"/>
                      </w:divBdr>
                    </w:div>
                  </w:divsChild>
                </w:div>
                <w:div w:id="1018198138">
                  <w:marLeft w:val="0"/>
                  <w:marRight w:val="0"/>
                  <w:marTop w:val="0"/>
                  <w:marBottom w:val="0"/>
                  <w:divBdr>
                    <w:top w:val="none" w:sz="0" w:space="0" w:color="auto"/>
                    <w:left w:val="none" w:sz="0" w:space="0" w:color="auto"/>
                    <w:bottom w:val="none" w:sz="0" w:space="0" w:color="auto"/>
                    <w:right w:val="none" w:sz="0" w:space="0" w:color="auto"/>
                  </w:divBdr>
                  <w:divsChild>
                    <w:div w:id="744449816">
                      <w:marLeft w:val="0"/>
                      <w:marRight w:val="0"/>
                      <w:marTop w:val="0"/>
                      <w:marBottom w:val="0"/>
                      <w:divBdr>
                        <w:top w:val="none" w:sz="0" w:space="0" w:color="auto"/>
                        <w:left w:val="none" w:sz="0" w:space="0" w:color="auto"/>
                        <w:bottom w:val="none" w:sz="0" w:space="0" w:color="auto"/>
                        <w:right w:val="none" w:sz="0" w:space="0" w:color="auto"/>
                      </w:divBdr>
                    </w:div>
                  </w:divsChild>
                </w:div>
                <w:div w:id="1025180331">
                  <w:marLeft w:val="0"/>
                  <w:marRight w:val="0"/>
                  <w:marTop w:val="0"/>
                  <w:marBottom w:val="0"/>
                  <w:divBdr>
                    <w:top w:val="none" w:sz="0" w:space="0" w:color="auto"/>
                    <w:left w:val="none" w:sz="0" w:space="0" w:color="auto"/>
                    <w:bottom w:val="none" w:sz="0" w:space="0" w:color="auto"/>
                    <w:right w:val="none" w:sz="0" w:space="0" w:color="auto"/>
                  </w:divBdr>
                  <w:divsChild>
                    <w:div w:id="1113479436">
                      <w:marLeft w:val="0"/>
                      <w:marRight w:val="0"/>
                      <w:marTop w:val="0"/>
                      <w:marBottom w:val="0"/>
                      <w:divBdr>
                        <w:top w:val="none" w:sz="0" w:space="0" w:color="auto"/>
                        <w:left w:val="none" w:sz="0" w:space="0" w:color="auto"/>
                        <w:bottom w:val="none" w:sz="0" w:space="0" w:color="auto"/>
                        <w:right w:val="none" w:sz="0" w:space="0" w:color="auto"/>
                      </w:divBdr>
                    </w:div>
                  </w:divsChild>
                </w:div>
                <w:div w:id="1038819655">
                  <w:marLeft w:val="0"/>
                  <w:marRight w:val="0"/>
                  <w:marTop w:val="0"/>
                  <w:marBottom w:val="0"/>
                  <w:divBdr>
                    <w:top w:val="none" w:sz="0" w:space="0" w:color="auto"/>
                    <w:left w:val="none" w:sz="0" w:space="0" w:color="auto"/>
                    <w:bottom w:val="none" w:sz="0" w:space="0" w:color="auto"/>
                    <w:right w:val="none" w:sz="0" w:space="0" w:color="auto"/>
                  </w:divBdr>
                  <w:divsChild>
                    <w:div w:id="1400202599">
                      <w:marLeft w:val="0"/>
                      <w:marRight w:val="0"/>
                      <w:marTop w:val="0"/>
                      <w:marBottom w:val="0"/>
                      <w:divBdr>
                        <w:top w:val="none" w:sz="0" w:space="0" w:color="auto"/>
                        <w:left w:val="none" w:sz="0" w:space="0" w:color="auto"/>
                        <w:bottom w:val="none" w:sz="0" w:space="0" w:color="auto"/>
                        <w:right w:val="none" w:sz="0" w:space="0" w:color="auto"/>
                      </w:divBdr>
                    </w:div>
                  </w:divsChild>
                </w:div>
                <w:div w:id="1042360540">
                  <w:marLeft w:val="0"/>
                  <w:marRight w:val="0"/>
                  <w:marTop w:val="0"/>
                  <w:marBottom w:val="0"/>
                  <w:divBdr>
                    <w:top w:val="none" w:sz="0" w:space="0" w:color="auto"/>
                    <w:left w:val="none" w:sz="0" w:space="0" w:color="auto"/>
                    <w:bottom w:val="none" w:sz="0" w:space="0" w:color="auto"/>
                    <w:right w:val="none" w:sz="0" w:space="0" w:color="auto"/>
                  </w:divBdr>
                  <w:divsChild>
                    <w:div w:id="995691856">
                      <w:marLeft w:val="0"/>
                      <w:marRight w:val="0"/>
                      <w:marTop w:val="0"/>
                      <w:marBottom w:val="0"/>
                      <w:divBdr>
                        <w:top w:val="none" w:sz="0" w:space="0" w:color="auto"/>
                        <w:left w:val="none" w:sz="0" w:space="0" w:color="auto"/>
                        <w:bottom w:val="none" w:sz="0" w:space="0" w:color="auto"/>
                        <w:right w:val="none" w:sz="0" w:space="0" w:color="auto"/>
                      </w:divBdr>
                    </w:div>
                  </w:divsChild>
                </w:div>
                <w:div w:id="1042821689">
                  <w:marLeft w:val="0"/>
                  <w:marRight w:val="0"/>
                  <w:marTop w:val="0"/>
                  <w:marBottom w:val="0"/>
                  <w:divBdr>
                    <w:top w:val="none" w:sz="0" w:space="0" w:color="auto"/>
                    <w:left w:val="none" w:sz="0" w:space="0" w:color="auto"/>
                    <w:bottom w:val="none" w:sz="0" w:space="0" w:color="auto"/>
                    <w:right w:val="none" w:sz="0" w:space="0" w:color="auto"/>
                  </w:divBdr>
                  <w:divsChild>
                    <w:div w:id="1599950228">
                      <w:marLeft w:val="0"/>
                      <w:marRight w:val="0"/>
                      <w:marTop w:val="0"/>
                      <w:marBottom w:val="0"/>
                      <w:divBdr>
                        <w:top w:val="none" w:sz="0" w:space="0" w:color="auto"/>
                        <w:left w:val="none" w:sz="0" w:space="0" w:color="auto"/>
                        <w:bottom w:val="none" w:sz="0" w:space="0" w:color="auto"/>
                        <w:right w:val="none" w:sz="0" w:space="0" w:color="auto"/>
                      </w:divBdr>
                    </w:div>
                  </w:divsChild>
                </w:div>
                <w:div w:id="1046761930">
                  <w:marLeft w:val="0"/>
                  <w:marRight w:val="0"/>
                  <w:marTop w:val="0"/>
                  <w:marBottom w:val="0"/>
                  <w:divBdr>
                    <w:top w:val="none" w:sz="0" w:space="0" w:color="auto"/>
                    <w:left w:val="none" w:sz="0" w:space="0" w:color="auto"/>
                    <w:bottom w:val="none" w:sz="0" w:space="0" w:color="auto"/>
                    <w:right w:val="none" w:sz="0" w:space="0" w:color="auto"/>
                  </w:divBdr>
                  <w:divsChild>
                    <w:div w:id="304362574">
                      <w:marLeft w:val="0"/>
                      <w:marRight w:val="0"/>
                      <w:marTop w:val="0"/>
                      <w:marBottom w:val="0"/>
                      <w:divBdr>
                        <w:top w:val="none" w:sz="0" w:space="0" w:color="auto"/>
                        <w:left w:val="none" w:sz="0" w:space="0" w:color="auto"/>
                        <w:bottom w:val="none" w:sz="0" w:space="0" w:color="auto"/>
                        <w:right w:val="none" w:sz="0" w:space="0" w:color="auto"/>
                      </w:divBdr>
                    </w:div>
                  </w:divsChild>
                </w:div>
                <w:div w:id="1048992745">
                  <w:marLeft w:val="0"/>
                  <w:marRight w:val="0"/>
                  <w:marTop w:val="0"/>
                  <w:marBottom w:val="0"/>
                  <w:divBdr>
                    <w:top w:val="none" w:sz="0" w:space="0" w:color="auto"/>
                    <w:left w:val="none" w:sz="0" w:space="0" w:color="auto"/>
                    <w:bottom w:val="none" w:sz="0" w:space="0" w:color="auto"/>
                    <w:right w:val="none" w:sz="0" w:space="0" w:color="auto"/>
                  </w:divBdr>
                  <w:divsChild>
                    <w:div w:id="1673486514">
                      <w:marLeft w:val="0"/>
                      <w:marRight w:val="0"/>
                      <w:marTop w:val="0"/>
                      <w:marBottom w:val="0"/>
                      <w:divBdr>
                        <w:top w:val="none" w:sz="0" w:space="0" w:color="auto"/>
                        <w:left w:val="none" w:sz="0" w:space="0" w:color="auto"/>
                        <w:bottom w:val="none" w:sz="0" w:space="0" w:color="auto"/>
                        <w:right w:val="none" w:sz="0" w:space="0" w:color="auto"/>
                      </w:divBdr>
                    </w:div>
                  </w:divsChild>
                </w:div>
                <w:div w:id="1061320164">
                  <w:marLeft w:val="0"/>
                  <w:marRight w:val="0"/>
                  <w:marTop w:val="0"/>
                  <w:marBottom w:val="0"/>
                  <w:divBdr>
                    <w:top w:val="none" w:sz="0" w:space="0" w:color="auto"/>
                    <w:left w:val="none" w:sz="0" w:space="0" w:color="auto"/>
                    <w:bottom w:val="none" w:sz="0" w:space="0" w:color="auto"/>
                    <w:right w:val="none" w:sz="0" w:space="0" w:color="auto"/>
                  </w:divBdr>
                  <w:divsChild>
                    <w:div w:id="2093963438">
                      <w:marLeft w:val="0"/>
                      <w:marRight w:val="0"/>
                      <w:marTop w:val="0"/>
                      <w:marBottom w:val="0"/>
                      <w:divBdr>
                        <w:top w:val="none" w:sz="0" w:space="0" w:color="auto"/>
                        <w:left w:val="none" w:sz="0" w:space="0" w:color="auto"/>
                        <w:bottom w:val="none" w:sz="0" w:space="0" w:color="auto"/>
                        <w:right w:val="none" w:sz="0" w:space="0" w:color="auto"/>
                      </w:divBdr>
                    </w:div>
                  </w:divsChild>
                </w:div>
                <w:div w:id="1064794009">
                  <w:marLeft w:val="0"/>
                  <w:marRight w:val="0"/>
                  <w:marTop w:val="0"/>
                  <w:marBottom w:val="0"/>
                  <w:divBdr>
                    <w:top w:val="none" w:sz="0" w:space="0" w:color="auto"/>
                    <w:left w:val="none" w:sz="0" w:space="0" w:color="auto"/>
                    <w:bottom w:val="none" w:sz="0" w:space="0" w:color="auto"/>
                    <w:right w:val="none" w:sz="0" w:space="0" w:color="auto"/>
                  </w:divBdr>
                  <w:divsChild>
                    <w:div w:id="46342902">
                      <w:marLeft w:val="0"/>
                      <w:marRight w:val="0"/>
                      <w:marTop w:val="0"/>
                      <w:marBottom w:val="0"/>
                      <w:divBdr>
                        <w:top w:val="none" w:sz="0" w:space="0" w:color="auto"/>
                        <w:left w:val="none" w:sz="0" w:space="0" w:color="auto"/>
                        <w:bottom w:val="none" w:sz="0" w:space="0" w:color="auto"/>
                        <w:right w:val="none" w:sz="0" w:space="0" w:color="auto"/>
                      </w:divBdr>
                    </w:div>
                  </w:divsChild>
                </w:div>
                <w:div w:id="1065833210">
                  <w:marLeft w:val="0"/>
                  <w:marRight w:val="0"/>
                  <w:marTop w:val="0"/>
                  <w:marBottom w:val="0"/>
                  <w:divBdr>
                    <w:top w:val="none" w:sz="0" w:space="0" w:color="auto"/>
                    <w:left w:val="none" w:sz="0" w:space="0" w:color="auto"/>
                    <w:bottom w:val="none" w:sz="0" w:space="0" w:color="auto"/>
                    <w:right w:val="none" w:sz="0" w:space="0" w:color="auto"/>
                  </w:divBdr>
                  <w:divsChild>
                    <w:div w:id="768082812">
                      <w:marLeft w:val="0"/>
                      <w:marRight w:val="0"/>
                      <w:marTop w:val="0"/>
                      <w:marBottom w:val="0"/>
                      <w:divBdr>
                        <w:top w:val="none" w:sz="0" w:space="0" w:color="auto"/>
                        <w:left w:val="none" w:sz="0" w:space="0" w:color="auto"/>
                        <w:bottom w:val="none" w:sz="0" w:space="0" w:color="auto"/>
                        <w:right w:val="none" w:sz="0" w:space="0" w:color="auto"/>
                      </w:divBdr>
                    </w:div>
                  </w:divsChild>
                </w:div>
                <w:div w:id="1074275012">
                  <w:marLeft w:val="0"/>
                  <w:marRight w:val="0"/>
                  <w:marTop w:val="0"/>
                  <w:marBottom w:val="0"/>
                  <w:divBdr>
                    <w:top w:val="none" w:sz="0" w:space="0" w:color="auto"/>
                    <w:left w:val="none" w:sz="0" w:space="0" w:color="auto"/>
                    <w:bottom w:val="none" w:sz="0" w:space="0" w:color="auto"/>
                    <w:right w:val="none" w:sz="0" w:space="0" w:color="auto"/>
                  </w:divBdr>
                  <w:divsChild>
                    <w:div w:id="1598439407">
                      <w:marLeft w:val="0"/>
                      <w:marRight w:val="0"/>
                      <w:marTop w:val="0"/>
                      <w:marBottom w:val="0"/>
                      <w:divBdr>
                        <w:top w:val="none" w:sz="0" w:space="0" w:color="auto"/>
                        <w:left w:val="none" w:sz="0" w:space="0" w:color="auto"/>
                        <w:bottom w:val="none" w:sz="0" w:space="0" w:color="auto"/>
                        <w:right w:val="none" w:sz="0" w:space="0" w:color="auto"/>
                      </w:divBdr>
                    </w:div>
                  </w:divsChild>
                </w:div>
                <w:div w:id="1077441766">
                  <w:marLeft w:val="0"/>
                  <w:marRight w:val="0"/>
                  <w:marTop w:val="0"/>
                  <w:marBottom w:val="0"/>
                  <w:divBdr>
                    <w:top w:val="none" w:sz="0" w:space="0" w:color="auto"/>
                    <w:left w:val="none" w:sz="0" w:space="0" w:color="auto"/>
                    <w:bottom w:val="none" w:sz="0" w:space="0" w:color="auto"/>
                    <w:right w:val="none" w:sz="0" w:space="0" w:color="auto"/>
                  </w:divBdr>
                  <w:divsChild>
                    <w:div w:id="1295139726">
                      <w:marLeft w:val="0"/>
                      <w:marRight w:val="0"/>
                      <w:marTop w:val="0"/>
                      <w:marBottom w:val="0"/>
                      <w:divBdr>
                        <w:top w:val="none" w:sz="0" w:space="0" w:color="auto"/>
                        <w:left w:val="none" w:sz="0" w:space="0" w:color="auto"/>
                        <w:bottom w:val="none" w:sz="0" w:space="0" w:color="auto"/>
                        <w:right w:val="none" w:sz="0" w:space="0" w:color="auto"/>
                      </w:divBdr>
                    </w:div>
                  </w:divsChild>
                </w:div>
                <w:div w:id="1079399242">
                  <w:marLeft w:val="0"/>
                  <w:marRight w:val="0"/>
                  <w:marTop w:val="0"/>
                  <w:marBottom w:val="0"/>
                  <w:divBdr>
                    <w:top w:val="none" w:sz="0" w:space="0" w:color="auto"/>
                    <w:left w:val="none" w:sz="0" w:space="0" w:color="auto"/>
                    <w:bottom w:val="none" w:sz="0" w:space="0" w:color="auto"/>
                    <w:right w:val="none" w:sz="0" w:space="0" w:color="auto"/>
                  </w:divBdr>
                  <w:divsChild>
                    <w:div w:id="2045708333">
                      <w:marLeft w:val="0"/>
                      <w:marRight w:val="0"/>
                      <w:marTop w:val="0"/>
                      <w:marBottom w:val="0"/>
                      <w:divBdr>
                        <w:top w:val="none" w:sz="0" w:space="0" w:color="auto"/>
                        <w:left w:val="none" w:sz="0" w:space="0" w:color="auto"/>
                        <w:bottom w:val="none" w:sz="0" w:space="0" w:color="auto"/>
                        <w:right w:val="none" w:sz="0" w:space="0" w:color="auto"/>
                      </w:divBdr>
                    </w:div>
                  </w:divsChild>
                </w:div>
                <w:div w:id="1091468399">
                  <w:marLeft w:val="0"/>
                  <w:marRight w:val="0"/>
                  <w:marTop w:val="0"/>
                  <w:marBottom w:val="0"/>
                  <w:divBdr>
                    <w:top w:val="none" w:sz="0" w:space="0" w:color="auto"/>
                    <w:left w:val="none" w:sz="0" w:space="0" w:color="auto"/>
                    <w:bottom w:val="none" w:sz="0" w:space="0" w:color="auto"/>
                    <w:right w:val="none" w:sz="0" w:space="0" w:color="auto"/>
                  </w:divBdr>
                  <w:divsChild>
                    <w:div w:id="1011101764">
                      <w:marLeft w:val="0"/>
                      <w:marRight w:val="0"/>
                      <w:marTop w:val="0"/>
                      <w:marBottom w:val="0"/>
                      <w:divBdr>
                        <w:top w:val="none" w:sz="0" w:space="0" w:color="auto"/>
                        <w:left w:val="none" w:sz="0" w:space="0" w:color="auto"/>
                        <w:bottom w:val="none" w:sz="0" w:space="0" w:color="auto"/>
                        <w:right w:val="none" w:sz="0" w:space="0" w:color="auto"/>
                      </w:divBdr>
                    </w:div>
                  </w:divsChild>
                </w:div>
                <w:div w:id="1091898480">
                  <w:marLeft w:val="0"/>
                  <w:marRight w:val="0"/>
                  <w:marTop w:val="0"/>
                  <w:marBottom w:val="0"/>
                  <w:divBdr>
                    <w:top w:val="none" w:sz="0" w:space="0" w:color="auto"/>
                    <w:left w:val="none" w:sz="0" w:space="0" w:color="auto"/>
                    <w:bottom w:val="none" w:sz="0" w:space="0" w:color="auto"/>
                    <w:right w:val="none" w:sz="0" w:space="0" w:color="auto"/>
                  </w:divBdr>
                  <w:divsChild>
                    <w:div w:id="1275138338">
                      <w:marLeft w:val="0"/>
                      <w:marRight w:val="0"/>
                      <w:marTop w:val="0"/>
                      <w:marBottom w:val="0"/>
                      <w:divBdr>
                        <w:top w:val="none" w:sz="0" w:space="0" w:color="auto"/>
                        <w:left w:val="none" w:sz="0" w:space="0" w:color="auto"/>
                        <w:bottom w:val="none" w:sz="0" w:space="0" w:color="auto"/>
                        <w:right w:val="none" w:sz="0" w:space="0" w:color="auto"/>
                      </w:divBdr>
                    </w:div>
                  </w:divsChild>
                </w:div>
                <w:div w:id="1094013034">
                  <w:marLeft w:val="0"/>
                  <w:marRight w:val="0"/>
                  <w:marTop w:val="0"/>
                  <w:marBottom w:val="0"/>
                  <w:divBdr>
                    <w:top w:val="none" w:sz="0" w:space="0" w:color="auto"/>
                    <w:left w:val="none" w:sz="0" w:space="0" w:color="auto"/>
                    <w:bottom w:val="none" w:sz="0" w:space="0" w:color="auto"/>
                    <w:right w:val="none" w:sz="0" w:space="0" w:color="auto"/>
                  </w:divBdr>
                  <w:divsChild>
                    <w:div w:id="373040639">
                      <w:marLeft w:val="0"/>
                      <w:marRight w:val="0"/>
                      <w:marTop w:val="0"/>
                      <w:marBottom w:val="0"/>
                      <w:divBdr>
                        <w:top w:val="none" w:sz="0" w:space="0" w:color="auto"/>
                        <w:left w:val="none" w:sz="0" w:space="0" w:color="auto"/>
                        <w:bottom w:val="none" w:sz="0" w:space="0" w:color="auto"/>
                        <w:right w:val="none" w:sz="0" w:space="0" w:color="auto"/>
                      </w:divBdr>
                    </w:div>
                  </w:divsChild>
                </w:div>
                <w:div w:id="1098064308">
                  <w:marLeft w:val="0"/>
                  <w:marRight w:val="0"/>
                  <w:marTop w:val="0"/>
                  <w:marBottom w:val="0"/>
                  <w:divBdr>
                    <w:top w:val="none" w:sz="0" w:space="0" w:color="auto"/>
                    <w:left w:val="none" w:sz="0" w:space="0" w:color="auto"/>
                    <w:bottom w:val="none" w:sz="0" w:space="0" w:color="auto"/>
                    <w:right w:val="none" w:sz="0" w:space="0" w:color="auto"/>
                  </w:divBdr>
                  <w:divsChild>
                    <w:div w:id="931158574">
                      <w:marLeft w:val="0"/>
                      <w:marRight w:val="0"/>
                      <w:marTop w:val="0"/>
                      <w:marBottom w:val="0"/>
                      <w:divBdr>
                        <w:top w:val="none" w:sz="0" w:space="0" w:color="auto"/>
                        <w:left w:val="none" w:sz="0" w:space="0" w:color="auto"/>
                        <w:bottom w:val="none" w:sz="0" w:space="0" w:color="auto"/>
                        <w:right w:val="none" w:sz="0" w:space="0" w:color="auto"/>
                      </w:divBdr>
                    </w:div>
                  </w:divsChild>
                </w:div>
                <w:div w:id="1099106781">
                  <w:marLeft w:val="0"/>
                  <w:marRight w:val="0"/>
                  <w:marTop w:val="0"/>
                  <w:marBottom w:val="0"/>
                  <w:divBdr>
                    <w:top w:val="none" w:sz="0" w:space="0" w:color="auto"/>
                    <w:left w:val="none" w:sz="0" w:space="0" w:color="auto"/>
                    <w:bottom w:val="none" w:sz="0" w:space="0" w:color="auto"/>
                    <w:right w:val="none" w:sz="0" w:space="0" w:color="auto"/>
                  </w:divBdr>
                  <w:divsChild>
                    <w:div w:id="1563522251">
                      <w:marLeft w:val="0"/>
                      <w:marRight w:val="0"/>
                      <w:marTop w:val="0"/>
                      <w:marBottom w:val="0"/>
                      <w:divBdr>
                        <w:top w:val="none" w:sz="0" w:space="0" w:color="auto"/>
                        <w:left w:val="none" w:sz="0" w:space="0" w:color="auto"/>
                        <w:bottom w:val="none" w:sz="0" w:space="0" w:color="auto"/>
                        <w:right w:val="none" w:sz="0" w:space="0" w:color="auto"/>
                      </w:divBdr>
                    </w:div>
                  </w:divsChild>
                </w:div>
                <w:div w:id="1118335895">
                  <w:marLeft w:val="0"/>
                  <w:marRight w:val="0"/>
                  <w:marTop w:val="0"/>
                  <w:marBottom w:val="0"/>
                  <w:divBdr>
                    <w:top w:val="none" w:sz="0" w:space="0" w:color="auto"/>
                    <w:left w:val="none" w:sz="0" w:space="0" w:color="auto"/>
                    <w:bottom w:val="none" w:sz="0" w:space="0" w:color="auto"/>
                    <w:right w:val="none" w:sz="0" w:space="0" w:color="auto"/>
                  </w:divBdr>
                  <w:divsChild>
                    <w:div w:id="191310589">
                      <w:marLeft w:val="0"/>
                      <w:marRight w:val="0"/>
                      <w:marTop w:val="0"/>
                      <w:marBottom w:val="0"/>
                      <w:divBdr>
                        <w:top w:val="none" w:sz="0" w:space="0" w:color="auto"/>
                        <w:left w:val="none" w:sz="0" w:space="0" w:color="auto"/>
                        <w:bottom w:val="none" w:sz="0" w:space="0" w:color="auto"/>
                        <w:right w:val="none" w:sz="0" w:space="0" w:color="auto"/>
                      </w:divBdr>
                    </w:div>
                  </w:divsChild>
                </w:div>
                <w:div w:id="1137337505">
                  <w:marLeft w:val="0"/>
                  <w:marRight w:val="0"/>
                  <w:marTop w:val="0"/>
                  <w:marBottom w:val="0"/>
                  <w:divBdr>
                    <w:top w:val="none" w:sz="0" w:space="0" w:color="auto"/>
                    <w:left w:val="none" w:sz="0" w:space="0" w:color="auto"/>
                    <w:bottom w:val="none" w:sz="0" w:space="0" w:color="auto"/>
                    <w:right w:val="none" w:sz="0" w:space="0" w:color="auto"/>
                  </w:divBdr>
                  <w:divsChild>
                    <w:div w:id="896086978">
                      <w:marLeft w:val="0"/>
                      <w:marRight w:val="0"/>
                      <w:marTop w:val="0"/>
                      <w:marBottom w:val="0"/>
                      <w:divBdr>
                        <w:top w:val="none" w:sz="0" w:space="0" w:color="auto"/>
                        <w:left w:val="none" w:sz="0" w:space="0" w:color="auto"/>
                        <w:bottom w:val="none" w:sz="0" w:space="0" w:color="auto"/>
                        <w:right w:val="none" w:sz="0" w:space="0" w:color="auto"/>
                      </w:divBdr>
                    </w:div>
                  </w:divsChild>
                </w:div>
                <w:div w:id="1137452235">
                  <w:marLeft w:val="0"/>
                  <w:marRight w:val="0"/>
                  <w:marTop w:val="0"/>
                  <w:marBottom w:val="0"/>
                  <w:divBdr>
                    <w:top w:val="none" w:sz="0" w:space="0" w:color="auto"/>
                    <w:left w:val="none" w:sz="0" w:space="0" w:color="auto"/>
                    <w:bottom w:val="none" w:sz="0" w:space="0" w:color="auto"/>
                    <w:right w:val="none" w:sz="0" w:space="0" w:color="auto"/>
                  </w:divBdr>
                  <w:divsChild>
                    <w:div w:id="200242776">
                      <w:marLeft w:val="0"/>
                      <w:marRight w:val="0"/>
                      <w:marTop w:val="0"/>
                      <w:marBottom w:val="0"/>
                      <w:divBdr>
                        <w:top w:val="none" w:sz="0" w:space="0" w:color="auto"/>
                        <w:left w:val="none" w:sz="0" w:space="0" w:color="auto"/>
                        <w:bottom w:val="none" w:sz="0" w:space="0" w:color="auto"/>
                        <w:right w:val="none" w:sz="0" w:space="0" w:color="auto"/>
                      </w:divBdr>
                    </w:div>
                  </w:divsChild>
                </w:div>
                <w:div w:id="1139345826">
                  <w:marLeft w:val="0"/>
                  <w:marRight w:val="0"/>
                  <w:marTop w:val="0"/>
                  <w:marBottom w:val="0"/>
                  <w:divBdr>
                    <w:top w:val="none" w:sz="0" w:space="0" w:color="auto"/>
                    <w:left w:val="none" w:sz="0" w:space="0" w:color="auto"/>
                    <w:bottom w:val="none" w:sz="0" w:space="0" w:color="auto"/>
                    <w:right w:val="none" w:sz="0" w:space="0" w:color="auto"/>
                  </w:divBdr>
                  <w:divsChild>
                    <w:div w:id="2063366414">
                      <w:marLeft w:val="0"/>
                      <w:marRight w:val="0"/>
                      <w:marTop w:val="0"/>
                      <w:marBottom w:val="0"/>
                      <w:divBdr>
                        <w:top w:val="none" w:sz="0" w:space="0" w:color="auto"/>
                        <w:left w:val="none" w:sz="0" w:space="0" w:color="auto"/>
                        <w:bottom w:val="none" w:sz="0" w:space="0" w:color="auto"/>
                        <w:right w:val="none" w:sz="0" w:space="0" w:color="auto"/>
                      </w:divBdr>
                    </w:div>
                  </w:divsChild>
                </w:div>
                <w:div w:id="1154639577">
                  <w:marLeft w:val="0"/>
                  <w:marRight w:val="0"/>
                  <w:marTop w:val="0"/>
                  <w:marBottom w:val="0"/>
                  <w:divBdr>
                    <w:top w:val="none" w:sz="0" w:space="0" w:color="auto"/>
                    <w:left w:val="none" w:sz="0" w:space="0" w:color="auto"/>
                    <w:bottom w:val="none" w:sz="0" w:space="0" w:color="auto"/>
                    <w:right w:val="none" w:sz="0" w:space="0" w:color="auto"/>
                  </w:divBdr>
                  <w:divsChild>
                    <w:div w:id="966356741">
                      <w:marLeft w:val="0"/>
                      <w:marRight w:val="0"/>
                      <w:marTop w:val="0"/>
                      <w:marBottom w:val="0"/>
                      <w:divBdr>
                        <w:top w:val="none" w:sz="0" w:space="0" w:color="auto"/>
                        <w:left w:val="none" w:sz="0" w:space="0" w:color="auto"/>
                        <w:bottom w:val="none" w:sz="0" w:space="0" w:color="auto"/>
                        <w:right w:val="none" w:sz="0" w:space="0" w:color="auto"/>
                      </w:divBdr>
                    </w:div>
                  </w:divsChild>
                </w:div>
                <w:div w:id="1156799230">
                  <w:marLeft w:val="0"/>
                  <w:marRight w:val="0"/>
                  <w:marTop w:val="0"/>
                  <w:marBottom w:val="0"/>
                  <w:divBdr>
                    <w:top w:val="none" w:sz="0" w:space="0" w:color="auto"/>
                    <w:left w:val="none" w:sz="0" w:space="0" w:color="auto"/>
                    <w:bottom w:val="none" w:sz="0" w:space="0" w:color="auto"/>
                    <w:right w:val="none" w:sz="0" w:space="0" w:color="auto"/>
                  </w:divBdr>
                  <w:divsChild>
                    <w:div w:id="1814833350">
                      <w:marLeft w:val="0"/>
                      <w:marRight w:val="0"/>
                      <w:marTop w:val="0"/>
                      <w:marBottom w:val="0"/>
                      <w:divBdr>
                        <w:top w:val="none" w:sz="0" w:space="0" w:color="auto"/>
                        <w:left w:val="none" w:sz="0" w:space="0" w:color="auto"/>
                        <w:bottom w:val="none" w:sz="0" w:space="0" w:color="auto"/>
                        <w:right w:val="none" w:sz="0" w:space="0" w:color="auto"/>
                      </w:divBdr>
                    </w:div>
                  </w:divsChild>
                </w:div>
                <w:div w:id="1164471550">
                  <w:marLeft w:val="0"/>
                  <w:marRight w:val="0"/>
                  <w:marTop w:val="0"/>
                  <w:marBottom w:val="0"/>
                  <w:divBdr>
                    <w:top w:val="none" w:sz="0" w:space="0" w:color="auto"/>
                    <w:left w:val="none" w:sz="0" w:space="0" w:color="auto"/>
                    <w:bottom w:val="none" w:sz="0" w:space="0" w:color="auto"/>
                    <w:right w:val="none" w:sz="0" w:space="0" w:color="auto"/>
                  </w:divBdr>
                  <w:divsChild>
                    <w:div w:id="422385334">
                      <w:marLeft w:val="0"/>
                      <w:marRight w:val="0"/>
                      <w:marTop w:val="0"/>
                      <w:marBottom w:val="0"/>
                      <w:divBdr>
                        <w:top w:val="none" w:sz="0" w:space="0" w:color="auto"/>
                        <w:left w:val="none" w:sz="0" w:space="0" w:color="auto"/>
                        <w:bottom w:val="none" w:sz="0" w:space="0" w:color="auto"/>
                        <w:right w:val="none" w:sz="0" w:space="0" w:color="auto"/>
                      </w:divBdr>
                    </w:div>
                  </w:divsChild>
                </w:div>
                <w:div w:id="1168255471">
                  <w:marLeft w:val="0"/>
                  <w:marRight w:val="0"/>
                  <w:marTop w:val="0"/>
                  <w:marBottom w:val="0"/>
                  <w:divBdr>
                    <w:top w:val="none" w:sz="0" w:space="0" w:color="auto"/>
                    <w:left w:val="none" w:sz="0" w:space="0" w:color="auto"/>
                    <w:bottom w:val="none" w:sz="0" w:space="0" w:color="auto"/>
                    <w:right w:val="none" w:sz="0" w:space="0" w:color="auto"/>
                  </w:divBdr>
                  <w:divsChild>
                    <w:div w:id="433138009">
                      <w:marLeft w:val="0"/>
                      <w:marRight w:val="0"/>
                      <w:marTop w:val="0"/>
                      <w:marBottom w:val="0"/>
                      <w:divBdr>
                        <w:top w:val="none" w:sz="0" w:space="0" w:color="auto"/>
                        <w:left w:val="none" w:sz="0" w:space="0" w:color="auto"/>
                        <w:bottom w:val="none" w:sz="0" w:space="0" w:color="auto"/>
                        <w:right w:val="none" w:sz="0" w:space="0" w:color="auto"/>
                      </w:divBdr>
                    </w:div>
                  </w:divsChild>
                </w:div>
                <w:div w:id="1174105595">
                  <w:marLeft w:val="0"/>
                  <w:marRight w:val="0"/>
                  <w:marTop w:val="0"/>
                  <w:marBottom w:val="0"/>
                  <w:divBdr>
                    <w:top w:val="none" w:sz="0" w:space="0" w:color="auto"/>
                    <w:left w:val="none" w:sz="0" w:space="0" w:color="auto"/>
                    <w:bottom w:val="none" w:sz="0" w:space="0" w:color="auto"/>
                    <w:right w:val="none" w:sz="0" w:space="0" w:color="auto"/>
                  </w:divBdr>
                  <w:divsChild>
                    <w:div w:id="691299560">
                      <w:marLeft w:val="0"/>
                      <w:marRight w:val="0"/>
                      <w:marTop w:val="0"/>
                      <w:marBottom w:val="0"/>
                      <w:divBdr>
                        <w:top w:val="none" w:sz="0" w:space="0" w:color="auto"/>
                        <w:left w:val="none" w:sz="0" w:space="0" w:color="auto"/>
                        <w:bottom w:val="none" w:sz="0" w:space="0" w:color="auto"/>
                        <w:right w:val="none" w:sz="0" w:space="0" w:color="auto"/>
                      </w:divBdr>
                    </w:div>
                  </w:divsChild>
                </w:div>
                <w:div w:id="1179975902">
                  <w:marLeft w:val="0"/>
                  <w:marRight w:val="0"/>
                  <w:marTop w:val="0"/>
                  <w:marBottom w:val="0"/>
                  <w:divBdr>
                    <w:top w:val="none" w:sz="0" w:space="0" w:color="auto"/>
                    <w:left w:val="none" w:sz="0" w:space="0" w:color="auto"/>
                    <w:bottom w:val="none" w:sz="0" w:space="0" w:color="auto"/>
                    <w:right w:val="none" w:sz="0" w:space="0" w:color="auto"/>
                  </w:divBdr>
                  <w:divsChild>
                    <w:div w:id="1565410327">
                      <w:marLeft w:val="0"/>
                      <w:marRight w:val="0"/>
                      <w:marTop w:val="0"/>
                      <w:marBottom w:val="0"/>
                      <w:divBdr>
                        <w:top w:val="none" w:sz="0" w:space="0" w:color="auto"/>
                        <w:left w:val="none" w:sz="0" w:space="0" w:color="auto"/>
                        <w:bottom w:val="none" w:sz="0" w:space="0" w:color="auto"/>
                        <w:right w:val="none" w:sz="0" w:space="0" w:color="auto"/>
                      </w:divBdr>
                    </w:div>
                  </w:divsChild>
                </w:div>
                <w:div w:id="1189098116">
                  <w:marLeft w:val="0"/>
                  <w:marRight w:val="0"/>
                  <w:marTop w:val="0"/>
                  <w:marBottom w:val="0"/>
                  <w:divBdr>
                    <w:top w:val="none" w:sz="0" w:space="0" w:color="auto"/>
                    <w:left w:val="none" w:sz="0" w:space="0" w:color="auto"/>
                    <w:bottom w:val="none" w:sz="0" w:space="0" w:color="auto"/>
                    <w:right w:val="none" w:sz="0" w:space="0" w:color="auto"/>
                  </w:divBdr>
                  <w:divsChild>
                    <w:div w:id="2056077915">
                      <w:marLeft w:val="0"/>
                      <w:marRight w:val="0"/>
                      <w:marTop w:val="0"/>
                      <w:marBottom w:val="0"/>
                      <w:divBdr>
                        <w:top w:val="none" w:sz="0" w:space="0" w:color="auto"/>
                        <w:left w:val="none" w:sz="0" w:space="0" w:color="auto"/>
                        <w:bottom w:val="none" w:sz="0" w:space="0" w:color="auto"/>
                        <w:right w:val="none" w:sz="0" w:space="0" w:color="auto"/>
                      </w:divBdr>
                    </w:div>
                  </w:divsChild>
                </w:div>
                <w:div w:id="1191384017">
                  <w:marLeft w:val="0"/>
                  <w:marRight w:val="0"/>
                  <w:marTop w:val="0"/>
                  <w:marBottom w:val="0"/>
                  <w:divBdr>
                    <w:top w:val="none" w:sz="0" w:space="0" w:color="auto"/>
                    <w:left w:val="none" w:sz="0" w:space="0" w:color="auto"/>
                    <w:bottom w:val="none" w:sz="0" w:space="0" w:color="auto"/>
                    <w:right w:val="none" w:sz="0" w:space="0" w:color="auto"/>
                  </w:divBdr>
                  <w:divsChild>
                    <w:div w:id="406616975">
                      <w:marLeft w:val="0"/>
                      <w:marRight w:val="0"/>
                      <w:marTop w:val="0"/>
                      <w:marBottom w:val="0"/>
                      <w:divBdr>
                        <w:top w:val="none" w:sz="0" w:space="0" w:color="auto"/>
                        <w:left w:val="none" w:sz="0" w:space="0" w:color="auto"/>
                        <w:bottom w:val="none" w:sz="0" w:space="0" w:color="auto"/>
                        <w:right w:val="none" w:sz="0" w:space="0" w:color="auto"/>
                      </w:divBdr>
                    </w:div>
                  </w:divsChild>
                </w:div>
                <w:div w:id="1192189670">
                  <w:marLeft w:val="0"/>
                  <w:marRight w:val="0"/>
                  <w:marTop w:val="0"/>
                  <w:marBottom w:val="0"/>
                  <w:divBdr>
                    <w:top w:val="none" w:sz="0" w:space="0" w:color="auto"/>
                    <w:left w:val="none" w:sz="0" w:space="0" w:color="auto"/>
                    <w:bottom w:val="none" w:sz="0" w:space="0" w:color="auto"/>
                    <w:right w:val="none" w:sz="0" w:space="0" w:color="auto"/>
                  </w:divBdr>
                  <w:divsChild>
                    <w:div w:id="1180974113">
                      <w:marLeft w:val="0"/>
                      <w:marRight w:val="0"/>
                      <w:marTop w:val="0"/>
                      <w:marBottom w:val="0"/>
                      <w:divBdr>
                        <w:top w:val="none" w:sz="0" w:space="0" w:color="auto"/>
                        <w:left w:val="none" w:sz="0" w:space="0" w:color="auto"/>
                        <w:bottom w:val="none" w:sz="0" w:space="0" w:color="auto"/>
                        <w:right w:val="none" w:sz="0" w:space="0" w:color="auto"/>
                      </w:divBdr>
                    </w:div>
                  </w:divsChild>
                </w:div>
                <w:div w:id="1196964657">
                  <w:marLeft w:val="0"/>
                  <w:marRight w:val="0"/>
                  <w:marTop w:val="0"/>
                  <w:marBottom w:val="0"/>
                  <w:divBdr>
                    <w:top w:val="none" w:sz="0" w:space="0" w:color="auto"/>
                    <w:left w:val="none" w:sz="0" w:space="0" w:color="auto"/>
                    <w:bottom w:val="none" w:sz="0" w:space="0" w:color="auto"/>
                    <w:right w:val="none" w:sz="0" w:space="0" w:color="auto"/>
                  </w:divBdr>
                  <w:divsChild>
                    <w:div w:id="134109652">
                      <w:marLeft w:val="0"/>
                      <w:marRight w:val="0"/>
                      <w:marTop w:val="0"/>
                      <w:marBottom w:val="0"/>
                      <w:divBdr>
                        <w:top w:val="none" w:sz="0" w:space="0" w:color="auto"/>
                        <w:left w:val="none" w:sz="0" w:space="0" w:color="auto"/>
                        <w:bottom w:val="none" w:sz="0" w:space="0" w:color="auto"/>
                        <w:right w:val="none" w:sz="0" w:space="0" w:color="auto"/>
                      </w:divBdr>
                    </w:div>
                  </w:divsChild>
                </w:div>
                <w:div w:id="1200164139">
                  <w:marLeft w:val="0"/>
                  <w:marRight w:val="0"/>
                  <w:marTop w:val="0"/>
                  <w:marBottom w:val="0"/>
                  <w:divBdr>
                    <w:top w:val="none" w:sz="0" w:space="0" w:color="auto"/>
                    <w:left w:val="none" w:sz="0" w:space="0" w:color="auto"/>
                    <w:bottom w:val="none" w:sz="0" w:space="0" w:color="auto"/>
                    <w:right w:val="none" w:sz="0" w:space="0" w:color="auto"/>
                  </w:divBdr>
                  <w:divsChild>
                    <w:div w:id="2132940913">
                      <w:marLeft w:val="0"/>
                      <w:marRight w:val="0"/>
                      <w:marTop w:val="0"/>
                      <w:marBottom w:val="0"/>
                      <w:divBdr>
                        <w:top w:val="none" w:sz="0" w:space="0" w:color="auto"/>
                        <w:left w:val="none" w:sz="0" w:space="0" w:color="auto"/>
                        <w:bottom w:val="none" w:sz="0" w:space="0" w:color="auto"/>
                        <w:right w:val="none" w:sz="0" w:space="0" w:color="auto"/>
                      </w:divBdr>
                    </w:div>
                  </w:divsChild>
                </w:div>
                <w:div w:id="1201359495">
                  <w:marLeft w:val="0"/>
                  <w:marRight w:val="0"/>
                  <w:marTop w:val="0"/>
                  <w:marBottom w:val="0"/>
                  <w:divBdr>
                    <w:top w:val="none" w:sz="0" w:space="0" w:color="auto"/>
                    <w:left w:val="none" w:sz="0" w:space="0" w:color="auto"/>
                    <w:bottom w:val="none" w:sz="0" w:space="0" w:color="auto"/>
                    <w:right w:val="none" w:sz="0" w:space="0" w:color="auto"/>
                  </w:divBdr>
                  <w:divsChild>
                    <w:div w:id="2111512707">
                      <w:marLeft w:val="0"/>
                      <w:marRight w:val="0"/>
                      <w:marTop w:val="0"/>
                      <w:marBottom w:val="0"/>
                      <w:divBdr>
                        <w:top w:val="none" w:sz="0" w:space="0" w:color="auto"/>
                        <w:left w:val="none" w:sz="0" w:space="0" w:color="auto"/>
                        <w:bottom w:val="none" w:sz="0" w:space="0" w:color="auto"/>
                        <w:right w:val="none" w:sz="0" w:space="0" w:color="auto"/>
                      </w:divBdr>
                    </w:div>
                  </w:divsChild>
                </w:div>
                <w:div w:id="1201625175">
                  <w:marLeft w:val="0"/>
                  <w:marRight w:val="0"/>
                  <w:marTop w:val="0"/>
                  <w:marBottom w:val="0"/>
                  <w:divBdr>
                    <w:top w:val="none" w:sz="0" w:space="0" w:color="auto"/>
                    <w:left w:val="none" w:sz="0" w:space="0" w:color="auto"/>
                    <w:bottom w:val="none" w:sz="0" w:space="0" w:color="auto"/>
                    <w:right w:val="none" w:sz="0" w:space="0" w:color="auto"/>
                  </w:divBdr>
                  <w:divsChild>
                    <w:div w:id="430511237">
                      <w:marLeft w:val="0"/>
                      <w:marRight w:val="0"/>
                      <w:marTop w:val="0"/>
                      <w:marBottom w:val="0"/>
                      <w:divBdr>
                        <w:top w:val="none" w:sz="0" w:space="0" w:color="auto"/>
                        <w:left w:val="none" w:sz="0" w:space="0" w:color="auto"/>
                        <w:bottom w:val="none" w:sz="0" w:space="0" w:color="auto"/>
                        <w:right w:val="none" w:sz="0" w:space="0" w:color="auto"/>
                      </w:divBdr>
                    </w:div>
                  </w:divsChild>
                </w:div>
                <w:div w:id="1205023231">
                  <w:marLeft w:val="0"/>
                  <w:marRight w:val="0"/>
                  <w:marTop w:val="0"/>
                  <w:marBottom w:val="0"/>
                  <w:divBdr>
                    <w:top w:val="none" w:sz="0" w:space="0" w:color="auto"/>
                    <w:left w:val="none" w:sz="0" w:space="0" w:color="auto"/>
                    <w:bottom w:val="none" w:sz="0" w:space="0" w:color="auto"/>
                    <w:right w:val="none" w:sz="0" w:space="0" w:color="auto"/>
                  </w:divBdr>
                  <w:divsChild>
                    <w:div w:id="1989553457">
                      <w:marLeft w:val="0"/>
                      <w:marRight w:val="0"/>
                      <w:marTop w:val="0"/>
                      <w:marBottom w:val="0"/>
                      <w:divBdr>
                        <w:top w:val="none" w:sz="0" w:space="0" w:color="auto"/>
                        <w:left w:val="none" w:sz="0" w:space="0" w:color="auto"/>
                        <w:bottom w:val="none" w:sz="0" w:space="0" w:color="auto"/>
                        <w:right w:val="none" w:sz="0" w:space="0" w:color="auto"/>
                      </w:divBdr>
                    </w:div>
                  </w:divsChild>
                </w:div>
                <w:div w:id="1214343682">
                  <w:marLeft w:val="0"/>
                  <w:marRight w:val="0"/>
                  <w:marTop w:val="0"/>
                  <w:marBottom w:val="0"/>
                  <w:divBdr>
                    <w:top w:val="none" w:sz="0" w:space="0" w:color="auto"/>
                    <w:left w:val="none" w:sz="0" w:space="0" w:color="auto"/>
                    <w:bottom w:val="none" w:sz="0" w:space="0" w:color="auto"/>
                    <w:right w:val="none" w:sz="0" w:space="0" w:color="auto"/>
                  </w:divBdr>
                  <w:divsChild>
                    <w:div w:id="36587036">
                      <w:marLeft w:val="0"/>
                      <w:marRight w:val="0"/>
                      <w:marTop w:val="0"/>
                      <w:marBottom w:val="0"/>
                      <w:divBdr>
                        <w:top w:val="none" w:sz="0" w:space="0" w:color="auto"/>
                        <w:left w:val="none" w:sz="0" w:space="0" w:color="auto"/>
                        <w:bottom w:val="none" w:sz="0" w:space="0" w:color="auto"/>
                        <w:right w:val="none" w:sz="0" w:space="0" w:color="auto"/>
                      </w:divBdr>
                    </w:div>
                  </w:divsChild>
                </w:div>
                <w:div w:id="1223905473">
                  <w:marLeft w:val="0"/>
                  <w:marRight w:val="0"/>
                  <w:marTop w:val="0"/>
                  <w:marBottom w:val="0"/>
                  <w:divBdr>
                    <w:top w:val="none" w:sz="0" w:space="0" w:color="auto"/>
                    <w:left w:val="none" w:sz="0" w:space="0" w:color="auto"/>
                    <w:bottom w:val="none" w:sz="0" w:space="0" w:color="auto"/>
                    <w:right w:val="none" w:sz="0" w:space="0" w:color="auto"/>
                  </w:divBdr>
                  <w:divsChild>
                    <w:div w:id="544872">
                      <w:marLeft w:val="0"/>
                      <w:marRight w:val="0"/>
                      <w:marTop w:val="0"/>
                      <w:marBottom w:val="0"/>
                      <w:divBdr>
                        <w:top w:val="none" w:sz="0" w:space="0" w:color="auto"/>
                        <w:left w:val="none" w:sz="0" w:space="0" w:color="auto"/>
                        <w:bottom w:val="none" w:sz="0" w:space="0" w:color="auto"/>
                        <w:right w:val="none" w:sz="0" w:space="0" w:color="auto"/>
                      </w:divBdr>
                    </w:div>
                  </w:divsChild>
                </w:div>
                <w:div w:id="1225873317">
                  <w:marLeft w:val="0"/>
                  <w:marRight w:val="0"/>
                  <w:marTop w:val="0"/>
                  <w:marBottom w:val="0"/>
                  <w:divBdr>
                    <w:top w:val="none" w:sz="0" w:space="0" w:color="auto"/>
                    <w:left w:val="none" w:sz="0" w:space="0" w:color="auto"/>
                    <w:bottom w:val="none" w:sz="0" w:space="0" w:color="auto"/>
                    <w:right w:val="none" w:sz="0" w:space="0" w:color="auto"/>
                  </w:divBdr>
                  <w:divsChild>
                    <w:div w:id="636690313">
                      <w:marLeft w:val="0"/>
                      <w:marRight w:val="0"/>
                      <w:marTop w:val="0"/>
                      <w:marBottom w:val="0"/>
                      <w:divBdr>
                        <w:top w:val="none" w:sz="0" w:space="0" w:color="auto"/>
                        <w:left w:val="none" w:sz="0" w:space="0" w:color="auto"/>
                        <w:bottom w:val="none" w:sz="0" w:space="0" w:color="auto"/>
                        <w:right w:val="none" w:sz="0" w:space="0" w:color="auto"/>
                      </w:divBdr>
                    </w:div>
                  </w:divsChild>
                </w:div>
                <w:div w:id="1229346298">
                  <w:marLeft w:val="0"/>
                  <w:marRight w:val="0"/>
                  <w:marTop w:val="0"/>
                  <w:marBottom w:val="0"/>
                  <w:divBdr>
                    <w:top w:val="none" w:sz="0" w:space="0" w:color="auto"/>
                    <w:left w:val="none" w:sz="0" w:space="0" w:color="auto"/>
                    <w:bottom w:val="none" w:sz="0" w:space="0" w:color="auto"/>
                    <w:right w:val="none" w:sz="0" w:space="0" w:color="auto"/>
                  </w:divBdr>
                  <w:divsChild>
                    <w:div w:id="1976059504">
                      <w:marLeft w:val="0"/>
                      <w:marRight w:val="0"/>
                      <w:marTop w:val="0"/>
                      <w:marBottom w:val="0"/>
                      <w:divBdr>
                        <w:top w:val="none" w:sz="0" w:space="0" w:color="auto"/>
                        <w:left w:val="none" w:sz="0" w:space="0" w:color="auto"/>
                        <w:bottom w:val="none" w:sz="0" w:space="0" w:color="auto"/>
                        <w:right w:val="none" w:sz="0" w:space="0" w:color="auto"/>
                      </w:divBdr>
                    </w:div>
                  </w:divsChild>
                </w:div>
                <w:div w:id="1241453074">
                  <w:marLeft w:val="0"/>
                  <w:marRight w:val="0"/>
                  <w:marTop w:val="0"/>
                  <w:marBottom w:val="0"/>
                  <w:divBdr>
                    <w:top w:val="none" w:sz="0" w:space="0" w:color="auto"/>
                    <w:left w:val="none" w:sz="0" w:space="0" w:color="auto"/>
                    <w:bottom w:val="none" w:sz="0" w:space="0" w:color="auto"/>
                    <w:right w:val="none" w:sz="0" w:space="0" w:color="auto"/>
                  </w:divBdr>
                  <w:divsChild>
                    <w:div w:id="569727805">
                      <w:marLeft w:val="0"/>
                      <w:marRight w:val="0"/>
                      <w:marTop w:val="0"/>
                      <w:marBottom w:val="0"/>
                      <w:divBdr>
                        <w:top w:val="none" w:sz="0" w:space="0" w:color="auto"/>
                        <w:left w:val="none" w:sz="0" w:space="0" w:color="auto"/>
                        <w:bottom w:val="none" w:sz="0" w:space="0" w:color="auto"/>
                        <w:right w:val="none" w:sz="0" w:space="0" w:color="auto"/>
                      </w:divBdr>
                    </w:div>
                  </w:divsChild>
                </w:div>
                <w:div w:id="1243878459">
                  <w:marLeft w:val="0"/>
                  <w:marRight w:val="0"/>
                  <w:marTop w:val="0"/>
                  <w:marBottom w:val="0"/>
                  <w:divBdr>
                    <w:top w:val="none" w:sz="0" w:space="0" w:color="auto"/>
                    <w:left w:val="none" w:sz="0" w:space="0" w:color="auto"/>
                    <w:bottom w:val="none" w:sz="0" w:space="0" w:color="auto"/>
                    <w:right w:val="none" w:sz="0" w:space="0" w:color="auto"/>
                  </w:divBdr>
                  <w:divsChild>
                    <w:div w:id="297538893">
                      <w:marLeft w:val="0"/>
                      <w:marRight w:val="0"/>
                      <w:marTop w:val="0"/>
                      <w:marBottom w:val="0"/>
                      <w:divBdr>
                        <w:top w:val="none" w:sz="0" w:space="0" w:color="auto"/>
                        <w:left w:val="none" w:sz="0" w:space="0" w:color="auto"/>
                        <w:bottom w:val="none" w:sz="0" w:space="0" w:color="auto"/>
                        <w:right w:val="none" w:sz="0" w:space="0" w:color="auto"/>
                      </w:divBdr>
                    </w:div>
                  </w:divsChild>
                </w:div>
                <w:div w:id="1248925563">
                  <w:marLeft w:val="0"/>
                  <w:marRight w:val="0"/>
                  <w:marTop w:val="0"/>
                  <w:marBottom w:val="0"/>
                  <w:divBdr>
                    <w:top w:val="none" w:sz="0" w:space="0" w:color="auto"/>
                    <w:left w:val="none" w:sz="0" w:space="0" w:color="auto"/>
                    <w:bottom w:val="none" w:sz="0" w:space="0" w:color="auto"/>
                    <w:right w:val="none" w:sz="0" w:space="0" w:color="auto"/>
                  </w:divBdr>
                  <w:divsChild>
                    <w:div w:id="960114249">
                      <w:marLeft w:val="0"/>
                      <w:marRight w:val="0"/>
                      <w:marTop w:val="0"/>
                      <w:marBottom w:val="0"/>
                      <w:divBdr>
                        <w:top w:val="none" w:sz="0" w:space="0" w:color="auto"/>
                        <w:left w:val="none" w:sz="0" w:space="0" w:color="auto"/>
                        <w:bottom w:val="none" w:sz="0" w:space="0" w:color="auto"/>
                        <w:right w:val="none" w:sz="0" w:space="0" w:color="auto"/>
                      </w:divBdr>
                    </w:div>
                  </w:divsChild>
                </w:div>
                <w:div w:id="1251427921">
                  <w:marLeft w:val="0"/>
                  <w:marRight w:val="0"/>
                  <w:marTop w:val="0"/>
                  <w:marBottom w:val="0"/>
                  <w:divBdr>
                    <w:top w:val="none" w:sz="0" w:space="0" w:color="auto"/>
                    <w:left w:val="none" w:sz="0" w:space="0" w:color="auto"/>
                    <w:bottom w:val="none" w:sz="0" w:space="0" w:color="auto"/>
                    <w:right w:val="none" w:sz="0" w:space="0" w:color="auto"/>
                  </w:divBdr>
                  <w:divsChild>
                    <w:div w:id="199099007">
                      <w:marLeft w:val="0"/>
                      <w:marRight w:val="0"/>
                      <w:marTop w:val="0"/>
                      <w:marBottom w:val="0"/>
                      <w:divBdr>
                        <w:top w:val="none" w:sz="0" w:space="0" w:color="auto"/>
                        <w:left w:val="none" w:sz="0" w:space="0" w:color="auto"/>
                        <w:bottom w:val="none" w:sz="0" w:space="0" w:color="auto"/>
                        <w:right w:val="none" w:sz="0" w:space="0" w:color="auto"/>
                      </w:divBdr>
                    </w:div>
                  </w:divsChild>
                </w:div>
                <w:div w:id="1252201107">
                  <w:marLeft w:val="0"/>
                  <w:marRight w:val="0"/>
                  <w:marTop w:val="0"/>
                  <w:marBottom w:val="0"/>
                  <w:divBdr>
                    <w:top w:val="none" w:sz="0" w:space="0" w:color="auto"/>
                    <w:left w:val="none" w:sz="0" w:space="0" w:color="auto"/>
                    <w:bottom w:val="none" w:sz="0" w:space="0" w:color="auto"/>
                    <w:right w:val="none" w:sz="0" w:space="0" w:color="auto"/>
                  </w:divBdr>
                  <w:divsChild>
                    <w:div w:id="1737897246">
                      <w:marLeft w:val="0"/>
                      <w:marRight w:val="0"/>
                      <w:marTop w:val="0"/>
                      <w:marBottom w:val="0"/>
                      <w:divBdr>
                        <w:top w:val="none" w:sz="0" w:space="0" w:color="auto"/>
                        <w:left w:val="none" w:sz="0" w:space="0" w:color="auto"/>
                        <w:bottom w:val="none" w:sz="0" w:space="0" w:color="auto"/>
                        <w:right w:val="none" w:sz="0" w:space="0" w:color="auto"/>
                      </w:divBdr>
                    </w:div>
                  </w:divsChild>
                </w:div>
                <w:div w:id="1253661355">
                  <w:marLeft w:val="0"/>
                  <w:marRight w:val="0"/>
                  <w:marTop w:val="0"/>
                  <w:marBottom w:val="0"/>
                  <w:divBdr>
                    <w:top w:val="none" w:sz="0" w:space="0" w:color="auto"/>
                    <w:left w:val="none" w:sz="0" w:space="0" w:color="auto"/>
                    <w:bottom w:val="none" w:sz="0" w:space="0" w:color="auto"/>
                    <w:right w:val="none" w:sz="0" w:space="0" w:color="auto"/>
                  </w:divBdr>
                  <w:divsChild>
                    <w:div w:id="1807576771">
                      <w:marLeft w:val="0"/>
                      <w:marRight w:val="0"/>
                      <w:marTop w:val="0"/>
                      <w:marBottom w:val="0"/>
                      <w:divBdr>
                        <w:top w:val="none" w:sz="0" w:space="0" w:color="auto"/>
                        <w:left w:val="none" w:sz="0" w:space="0" w:color="auto"/>
                        <w:bottom w:val="none" w:sz="0" w:space="0" w:color="auto"/>
                        <w:right w:val="none" w:sz="0" w:space="0" w:color="auto"/>
                      </w:divBdr>
                    </w:div>
                  </w:divsChild>
                </w:div>
                <w:div w:id="1262880305">
                  <w:marLeft w:val="0"/>
                  <w:marRight w:val="0"/>
                  <w:marTop w:val="0"/>
                  <w:marBottom w:val="0"/>
                  <w:divBdr>
                    <w:top w:val="none" w:sz="0" w:space="0" w:color="auto"/>
                    <w:left w:val="none" w:sz="0" w:space="0" w:color="auto"/>
                    <w:bottom w:val="none" w:sz="0" w:space="0" w:color="auto"/>
                    <w:right w:val="none" w:sz="0" w:space="0" w:color="auto"/>
                  </w:divBdr>
                  <w:divsChild>
                    <w:div w:id="1141733863">
                      <w:marLeft w:val="0"/>
                      <w:marRight w:val="0"/>
                      <w:marTop w:val="0"/>
                      <w:marBottom w:val="0"/>
                      <w:divBdr>
                        <w:top w:val="none" w:sz="0" w:space="0" w:color="auto"/>
                        <w:left w:val="none" w:sz="0" w:space="0" w:color="auto"/>
                        <w:bottom w:val="none" w:sz="0" w:space="0" w:color="auto"/>
                        <w:right w:val="none" w:sz="0" w:space="0" w:color="auto"/>
                      </w:divBdr>
                    </w:div>
                  </w:divsChild>
                </w:div>
                <w:div w:id="1271010584">
                  <w:marLeft w:val="0"/>
                  <w:marRight w:val="0"/>
                  <w:marTop w:val="0"/>
                  <w:marBottom w:val="0"/>
                  <w:divBdr>
                    <w:top w:val="none" w:sz="0" w:space="0" w:color="auto"/>
                    <w:left w:val="none" w:sz="0" w:space="0" w:color="auto"/>
                    <w:bottom w:val="none" w:sz="0" w:space="0" w:color="auto"/>
                    <w:right w:val="none" w:sz="0" w:space="0" w:color="auto"/>
                  </w:divBdr>
                  <w:divsChild>
                    <w:div w:id="246503098">
                      <w:marLeft w:val="0"/>
                      <w:marRight w:val="0"/>
                      <w:marTop w:val="0"/>
                      <w:marBottom w:val="0"/>
                      <w:divBdr>
                        <w:top w:val="none" w:sz="0" w:space="0" w:color="auto"/>
                        <w:left w:val="none" w:sz="0" w:space="0" w:color="auto"/>
                        <w:bottom w:val="none" w:sz="0" w:space="0" w:color="auto"/>
                        <w:right w:val="none" w:sz="0" w:space="0" w:color="auto"/>
                      </w:divBdr>
                    </w:div>
                  </w:divsChild>
                </w:div>
                <w:div w:id="1276518375">
                  <w:marLeft w:val="0"/>
                  <w:marRight w:val="0"/>
                  <w:marTop w:val="0"/>
                  <w:marBottom w:val="0"/>
                  <w:divBdr>
                    <w:top w:val="none" w:sz="0" w:space="0" w:color="auto"/>
                    <w:left w:val="none" w:sz="0" w:space="0" w:color="auto"/>
                    <w:bottom w:val="none" w:sz="0" w:space="0" w:color="auto"/>
                    <w:right w:val="none" w:sz="0" w:space="0" w:color="auto"/>
                  </w:divBdr>
                  <w:divsChild>
                    <w:div w:id="1322658137">
                      <w:marLeft w:val="0"/>
                      <w:marRight w:val="0"/>
                      <w:marTop w:val="0"/>
                      <w:marBottom w:val="0"/>
                      <w:divBdr>
                        <w:top w:val="none" w:sz="0" w:space="0" w:color="auto"/>
                        <w:left w:val="none" w:sz="0" w:space="0" w:color="auto"/>
                        <w:bottom w:val="none" w:sz="0" w:space="0" w:color="auto"/>
                        <w:right w:val="none" w:sz="0" w:space="0" w:color="auto"/>
                      </w:divBdr>
                    </w:div>
                  </w:divsChild>
                </w:div>
                <w:div w:id="1277709531">
                  <w:marLeft w:val="0"/>
                  <w:marRight w:val="0"/>
                  <w:marTop w:val="0"/>
                  <w:marBottom w:val="0"/>
                  <w:divBdr>
                    <w:top w:val="none" w:sz="0" w:space="0" w:color="auto"/>
                    <w:left w:val="none" w:sz="0" w:space="0" w:color="auto"/>
                    <w:bottom w:val="none" w:sz="0" w:space="0" w:color="auto"/>
                    <w:right w:val="none" w:sz="0" w:space="0" w:color="auto"/>
                  </w:divBdr>
                  <w:divsChild>
                    <w:div w:id="1898348338">
                      <w:marLeft w:val="0"/>
                      <w:marRight w:val="0"/>
                      <w:marTop w:val="0"/>
                      <w:marBottom w:val="0"/>
                      <w:divBdr>
                        <w:top w:val="none" w:sz="0" w:space="0" w:color="auto"/>
                        <w:left w:val="none" w:sz="0" w:space="0" w:color="auto"/>
                        <w:bottom w:val="none" w:sz="0" w:space="0" w:color="auto"/>
                        <w:right w:val="none" w:sz="0" w:space="0" w:color="auto"/>
                      </w:divBdr>
                    </w:div>
                  </w:divsChild>
                </w:div>
                <w:div w:id="1282029334">
                  <w:marLeft w:val="0"/>
                  <w:marRight w:val="0"/>
                  <w:marTop w:val="0"/>
                  <w:marBottom w:val="0"/>
                  <w:divBdr>
                    <w:top w:val="none" w:sz="0" w:space="0" w:color="auto"/>
                    <w:left w:val="none" w:sz="0" w:space="0" w:color="auto"/>
                    <w:bottom w:val="none" w:sz="0" w:space="0" w:color="auto"/>
                    <w:right w:val="none" w:sz="0" w:space="0" w:color="auto"/>
                  </w:divBdr>
                  <w:divsChild>
                    <w:div w:id="377823586">
                      <w:marLeft w:val="0"/>
                      <w:marRight w:val="0"/>
                      <w:marTop w:val="0"/>
                      <w:marBottom w:val="0"/>
                      <w:divBdr>
                        <w:top w:val="none" w:sz="0" w:space="0" w:color="auto"/>
                        <w:left w:val="none" w:sz="0" w:space="0" w:color="auto"/>
                        <w:bottom w:val="none" w:sz="0" w:space="0" w:color="auto"/>
                        <w:right w:val="none" w:sz="0" w:space="0" w:color="auto"/>
                      </w:divBdr>
                    </w:div>
                  </w:divsChild>
                </w:div>
                <w:div w:id="1287195429">
                  <w:marLeft w:val="0"/>
                  <w:marRight w:val="0"/>
                  <w:marTop w:val="0"/>
                  <w:marBottom w:val="0"/>
                  <w:divBdr>
                    <w:top w:val="none" w:sz="0" w:space="0" w:color="auto"/>
                    <w:left w:val="none" w:sz="0" w:space="0" w:color="auto"/>
                    <w:bottom w:val="none" w:sz="0" w:space="0" w:color="auto"/>
                    <w:right w:val="none" w:sz="0" w:space="0" w:color="auto"/>
                  </w:divBdr>
                  <w:divsChild>
                    <w:div w:id="390344716">
                      <w:marLeft w:val="0"/>
                      <w:marRight w:val="0"/>
                      <w:marTop w:val="0"/>
                      <w:marBottom w:val="0"/>
                      <w:divBdr>
                        <w:top w:val="none" w:sz="0" w:space="0" w:color="auto"/>
                        <w:left w:val="none" w:sz="0" w:space="0" w:color="auto"/>
                        <w:bottom w:val="none" w:sz="0" w:space="0" w:color="auto"/>
                        <w:right w:val="none" w:sz="0" w:space="0" w:color="auto"/>
                      </w:divBdr>
                    </w:div>
                  </w:divsChild>
                </w:div>
                <w:div w:id="1290865602">
                  <w:marLeft w:val="0"/>
                  <w:marRight w:val="0"/>
                  <w:marTop w:val="0"/>
                  <w:marBottom w:val="0"/>
                  <w:divBdr>
                    <w:top w:val="none" w:sz="0" w:space="0" w:color="auto"/>
                    <w:left w:val="none" w:sz="0" w:space="0" w:color="auto"/>
                    <w:bottom w:val="none" w:sz="0" w:space="0" w:color="auto"/>
                    <w:right w:val="none" w:sz="0" w:space="0" w:color="auto"/>
                  </w:divBdr>
                  <w:divsChild>
                    <w:div w:id="732004309">
                      <w:marLeft w:val="0"/>
                      <w:marRight w:val="0"/>
                      <w:marTop w:val="0"/>
                      <w:marBottom w:val="0"/>
                      <w:divBdr>
                        <w:top w:val="none" w:sz="0" w:space="0" w:color="auto"/>
                        <w:left w:val="none" w:sz="0" w:space="0" w:color="auto"/>
                        <w:bottom w:val="none" w:sz="0" w:space="0" w:color="auto"/>
                        <w:right w:val="none" w:sz="0" w:space="0" w:color="auto"/>
                      </w:divBdr>
                    </w:div>
                  </w:divsChild>
                </w:div>
                <w:div w:id="1293554279">
                  <w:marLeft w:val="0"/>
                  <w:marRight w:val="0"/>
                  <w:marTop w:val="0"/>
                  <w:marBottom w:val="0"/>
                  <w:divBdr>
                    <w:top w:val="none" w:sz="0" w:space="0" w:color="auto"/>
                    <w:left w:val="none" w:sz="0" w:space="0" w:color="auto"/>
                    <w:bottom w:val="none" w:sz="0" w:space="0" w:color="auto"/>
                    <w:right w:val="none" w:sz="0" w:space="0" w:color="auto"/>
                  </w:divBdr>
                  <w:divsChild>
                    <w:div w:id="1094791020">
                      <w:marLeft w:val="0"/>
                      <w:marRight w:val="0"/>
                      <w:marTop w:val="0"/>
                      <w:marBottom w:val="0"/>
                      <w:divBdr>
                        <w:top w:val="none" w:sz="0" w:space="0" w:color="auto"/>
                        <w:left w:val="none" w:sz="0" w:space="0" w:color="auto"/>
                        <w:bottom w:val="none" w:sz="0" w:space="0" w:color="auto"/>
                        <w:right w:val="none" w:sz="0" w:space="0" w:color="auto"/>
                      </w:divBdr>
                    </w:div>
                  </w:divsChild>
                </w:div>
                <w:div w:id="1300107959">
                  <w:marLeft w:val="0"/>
                  <w:marRight w:val="0"/>
                  <w:marTop w:val="0"/>
                  <w:marBottom w:val="0"/>
                  <w:divBdr>
                    <w:top w:val="none" w:sz="0" w:space="0" w:color="auto"/>
                    <w:left w:val="none" w:sz="0" w:space="0" w:color="auto"/>
                    <w:bottom w:val="none" w:sz="0" w:space="0" w:color="auto"/>
                    <w:right w:val="none" w:sz="0" w:space="0" w:color="auto"/>
                  </w:divBdr>
                  <w:divsChild>
                    <w:div w:id="459955752">
                      <w:marLeft w:val="0"/>
                      <w:marRight w:val="0"/>
                      <w:marTop w:val="0"/>
                      <w:marBottom w:val="0"/>
                      <w:divBdr>
                        <w:top w:val="none" w:sz="0" w:space="0" w:color="auto"/>
                        <w:left w:val="none" w:sz="0" w:space="0" w:color="auto"/>
                        <w:bottom w:val="none" w:sz="0" w:space="0" w:color="auto"/>
                        <w:right w:val="none" w:sz="0" w:space="0" w:color="auto"/>
                      </w:divBdr>
                    </w:div>
                  </w:divsChild>
                </w:div>
                <w:div w:id="1302272815">
                  <w:marLeft w:val="0"/>
                  <w:marRight w:val="0"/>
                  <w:marTop w:val="0"/>
                  <w:marBottom w:val="0"/>
                  <w:divBdr>
                    <w:top w:val="none" w:sz="0" w:space="0" w:color="auto"/>
                    <w:left w:val="none" w:sz="0" w:space="0" w:color="auto"/>
                    <w:bottom w:val="none" w:sz="0" w:space="0" w:color="auto"/>
                    <w:right w:val="none" w:sz="0" w:space="0" w:color="auto"/>
                  </w:divBdr>
                  <w:divsChild>
                    <w:div w:id="983853265">
                      <w:marLeft w:val="0"/>
                      <w:marRight w:val="0"/>
                      <w:marTop w:val="0"/>
                      <w:marBottom w:val="0"/>
                      <w:divBdr>
                        <w:top w:val="none" w:sz="0" w:space="0" w:color="auto"/>
                        <w:left w:val="none" w:sz="0" w:space="0" w:color="auto"/>
                        <w:bottom w:val="none" w:sz="0" w:space="0" w:color="auto"/>
                        <w:right w:val="none" w:sz="0" w:space="0" w:color="auto"/>
                      </w:divBdr>
                    </w:div>
                  </w:divsChild>
                </w:div>
                <w:div w:id="1313824593">
                  <w:marLeft w:val="0"/>
                  <w:marRight w:val="0"/>
                  <w:marTop w:val="0"/>
                  <w:marBottom w:val="0"/>
                  <w:divBdr>
                    <w:top w:val="none" w:sz="0" w:space="0" w:color="auto"/>
                    <w:left w:val="none" w:sz="0" w:space="0" w:color="auto"/>
                    <w:bottom w:val="none" w:sz="0" w:space="0" w:color="auto"/>
                    <w:right w:val="none" w:sz="0" w:space="0" w:color="auto"/>
                  </w:divBdr>
                  <w:divsChild>
                    <w:div w:id="1362591101">
                      <w:marLeft w:val="0"/>
                      <w:marRight w:val="0"/>
                      <w:marTop w:val="0"/>
                      <w:marBottom w:val="0"/>
                      <w:divBdr>
                        <w:top w:val="none" w:sz="0" w:space="0" w:color="auto"/>
                        <w:left w:val="none" w:sz="0" w:space="0" w:color="auto"/>
                        <w:bottom w:val="none" w:sz="0" w:space="0" w:color="auto"/>
                        <w:right w:val="none" w:sz="0" w:space="0" w:color="auto"/>
                      </w:divBdr>
                    </w:div>
                  </w:divsChild>
                </w:div>
                <w:div w:id="1328284999">
                  <w:marLeft w:val="0"/>
                  <w:marRight w:val="0"/>
                  <w:marTop w:val="0"/>
                  <w:marBottom w:val="0"/>
                  <w:divBdr>
                    <w:top w:val="none" w:sz="0" w:space="0" w:color="auto"/>
                    <w:left w:val="none" w:sz="0" w:space="0" w:color="auto"/>
                    <w:bottom w:val="none" w:sz="0" w:space="0" w:color="auto"/>
                    <w:right w:val="none" w:sz="0" w:space="0" w:color="auto"/>
                  </w:divBdr>
                  <w:divsChild>
                    <w:div w:id="1138451939">
                      <w:marLeft w:val="0"/>
                      <w:marRight w:val="0"/>
                      <w:marTop w:val="0"/>
                      <w:marBottom w:val="0"/>
                      <w:divBdr>
                        <w:top w:val="none" w:sz="0" w:space="0" w:color="auto"/>
                        <w:left w:val="none" w:sz="0" w:space="0" w:color="auto"/>
                        <w:bottom w:val="none" w:sz="0" w:space="0" w:color="auto"/>
                        <w:right w:val="none" w:sz="0" w:space="0" w:color="auto"/>
                      </w:divBdr>
                    </w:div>
                  </w:divsChild>
                </w:div>
                <w:div w:id="1330405791">
                  <w:marLeft w:val="0"/>
                  <w:marRight w:val="0"/>
                  <w:marTop w:val="0"/>
                  <w:marBottom w:val="0"/>
                  <w:divBdr>
                    <w:top w:val="none" w:sz="0" w:space="0" w:color="auto"/>
                    <w:left w:val="none" w:sz="0" w:space="0" w:color="auto"/>
                    <w:bottom w:val="none" w:sz="0" w:space="0" w:color="auto"/>
                    <w:right w:val="none" w:sz="0" w:space="0" w:color="auto"/>
                  </w:divBdr>
                  <w:divsChild>
                    <w:div w:id="77599777">
                      <w:marLeft w:val="0"/>
                      <w:marRight w:val="0"/>
                      <w:marTop w:val="0"/>
                      <w:marBottom w:val="0"/>
                      <w:divBdr>
                        <w:top w:val="none" w:sz="0" w:space="0" w:color="auto"/>
                        <w:left w:val="none" w:sz="0" w:space="0" w:color="auto"/>
                        <w:bottom w:val="none" w:sz="0" w:space="0" w:color="auto"/>
                        <w:right w:val="none" w:sz="0" w:space="0" w:color="auto"/>
                      </w:divBdr>
                    </w:div>
                  </w:divsChild>
                </w:div>
                <w:div w:id="1335188949">
                  <w:marLeft w:val="0"/>
                  <w:marRight w:val="0"/>
                  <w:marTop w:val="0"/>
                  <w:marBottom w:val="0"/>
                  <w:divBdr>
                    <w:top w:val="none" w:sz="0" w:space="0" w:color="auto"/>
                    <w:left w:val="none" w:sz="0" w:space="0" w:color="auto"/>
                    <w:bottom w:val="none" w:sz="0" w:space="0" w:color="auto"/>
                    <w:right w:val="none" w:sz="0" w:space="0" w:color="auto"/>
                  </w:divBdr>
                  <w:divsChild>
                    <w:div w:id="526256431">
                      <w:marLeft w:val="0"/>
                      <w:marRight w:val="0"/>
                      <w:marTop w:val="0"/>
                      <w:marBottom w:val="0"/>
                      <w:divBdr>
                        <w:top w:val="none" w:sz="0" w:space="0" w:color="auto"/>
                        <w:left w:val="none" w:sz="0" w:space="0" w:color="auto"/>
                        <w:bottom w:val="none" w:sz="0" w:space="0" w:color="auto"/>
                        <w:right w:val="none" w:sz="0" w:space="0" w:color="auto"/>
                      </w:divBdr>
                    </w:div>
                  </w:divsChild>
                </w:div>
                <w:div w:id="1335498707">
                  <w:marLeft w:val="0"/>
                  <w:marRight w:val="0"/>
                  <w:marTop w:val="0"/>
                  <w:marBottom w:val="0"/>
                  <w:divBdr>
                    <w:top w:val="none" w:sz="0" w:space="0" w:color="auto"/>
                    <w:left w:val="none" w:sz="0" w:space="0" w:color="auto"/>
                    <w:bottom w:val="none" w:sz="0" w:space="0" w:color="auto"/>
                    <w:right w:val="none" w:sz="0" w:space="0" w:color="auto"/>
                  </w:divBdr>
                  <w:divsChild>
                    <w:div w:id="2059085635">
                      <w:marLeft w:val="0"/>
                      <w:marRight w:val="0"/>
                      <w:marTop w:val="0"/>
                      <w:marBottom w:val="0"/>
                      <w:divBdr>
                        <w:top w:val="none" w:sz="0" w:space="0" w:color="auto"/>
                        <w:left w:val="none" w:sz="0" w:space="0" w:color="auto"/>
                        <w:bottom w:val="none" w:sz="0" w:space="0" w:color="auto"/>
                        <w:right w:val="none" w:sz="0" w:space="0" w:color="auto"/>
                      </w:divBdr>
                    </w:div>
                  </w:divsChild>
                </w:div>
                <w:div w:id="1337227082">
                  <w:marLeft w:val="0"/>
                  <w:marRight w:val="0"/>
                  <w:marTop w:val="0"/>
                  <w:marBottom w:val="0"/>
                  <w:divBdr>
                    <w:top w:val="none" w:sz="0" w:space="0" w:color="auto"/>
                    <w:left w:val="none" w:sz="0" w:space="0" w:color="auto"/>
                    <w:bottom w:val="none" w:sz="0" w:space="0" w:color="auto"/>
                    <w:right w:val="none" w:sz="0" w:space="0" w:color="auto"/>
                  </w:divBdr>
                  <w:divsChild>
                    <w:div w:id="2051102621">
                      <w:marLeft w:val="0"/>
                      <w:marRight w:val="0"/>
                      <w:marTop w:val="0"/>
                      <w:marBottom w:val="0"/>
                      <w:divBdr>
                        <w:top w:val="none" w:sz="0" w:space="0" w:color="auto"/>
                        <w:left w:val="none" w:sz="0" w:space="0" w:color="auto"/>
                        <w:bottom w:val="none" w:sz="0" w:space="0" w:color="auto"/>
                        <w:right w:val="none" w:sz="0" w:space="0" w:color="auto"/>
                      </w:divBdr>
                    </w:div>
                  </w:divsChild>
                </w:div>
                <w:div w:id="1338196493">
                  <w:marLeft w:val="0"/>
                  <w:marRight w:val="0"/>
                  <w:marTop w:val="0"/>
                  <w:marBottom w:val="0"/>
                  <w:divBdr>
                    <w:top w:val="none" w:sz="0" w:space="0" w:color="auto"/>
                    <w:left w:val="none" w:sz="0" w:space="0" w:color="auto"/>
                    <w:bottom w:val="none" w:sz="0" w:space="0" w:color="auto"/>
                    <w:right w:val="none" w:sz="0" w:space="0" w:color="auto"/>
                  </w:divBdr>
                  <w:divsChild>
                    <w:div w:id="2051611628">
                      <w:marLeft w:val="0"/>
                      <w:marRight w:val="0"/>
                      <w:marTop w:val="0"/>
                      <w:marBottom w:val="0"/>
                      <w:divBdr>
                        <w:top w:val="none" w:sz="0" w:space="0" w:color="auto"/>
                        <w:left w:val="none" w:sz="0" w:space="0" w:color="auto"/>
                        <w:bottom w:val="none" w:sz="0" w:space="0" w:color="auto"/>
                        <w:right w:val="none" w:sz="0" w:space="0" w:color="auto"/>
                      </w:divBdr>
                    </w:div>
                  </w:divsChild>
                </w:div>
                <w:div w:id="1347244690">
                  <w:marLeft w:val="0"/>
                  <w:marRight w:val="0"/>
                  <w:marTop w:val="0"/>
                  <w:marBottom w:val="0"/>
                  <w:divBdr>
                    <w:top w:val="none" w:sz="0" w:space="0" w:color="auto"/>
                    <w:left w:val="none" w:sz="0" w:space="0" w:color="auto"/>
                    <w:bottom w:val="none" w:sz="0" w:space="0" w:color="auto"/>
                    <w:right w:val="none" w:sz="0" w:space="0" w:color="auto"/>
                  </w:divBdr>
                  <w:divsChild>
                    <w:div w:id="1901674943">
                      <w:marLeft w:val="0"/>
                      <w:marRight w:val="0"/>
                      <w:marTop w:val="0"/>
                      <w:marBottom w:val="0"/>
                      <w:divBdr>
                        <w:top w:val="none" w:sz="0" w:space="0" w:color="auto"/>
                        <w:left w:val="none" w:sz="0" w:space="0" w:color="auto"/>
                        <w:bottom w:val="none" w:sz="0" w:space="0" w:color="auto"/>
                        <w:right w:val="none" w:sz="0" w:space="0" w:color="auto"/>
                      </w:divBdr>
                    </w:div>
                  </w:divsChild>
                </w:div>
                <w:div w:id="1347828577">
                  <w:marLeft w:val="0"/>
                  <w:marRight w:val="0"/>
                  <w:marTop w:val="0"/>
                  <w:marBottom w:val="0"/>
                  <w:divBdr>
                    <w:top w:val="none" w:sz="0" w:space="0" w:color="auto"/>
                    <w:left w:val="none" w:sz="0" w:space="0" w:color="auto"/>
                    <w:bottom w:val="none" w:sz="0" w:space="0" w:color="auto"/>
                    <w:right w:val="none" w:sz="0" w:space="0" w:color="auto"/>
                  </w:divBdr>
                  <w:divsChild>
                    <w:div w:id="1581476109">
                      <w:marLeft w:val="0"/>
                      <w:marRight w:val="0"/>
                      <w:marTop w:val="0"/>
                      <w:marBottom w:val="0"/>
                      <w:divBdr>
                        <w:top w:val="none" w:sz="0" w:space="0" w:color="auto"/>
                        <w:left w:val="none" w:sz="0" w:space="0" w:color="auto"/>
                        <w:bottom w:val="none" w:sz="0" w:space="0" w:color="auto"/>
                        <w:right w:val="none" w:sz="0" w:space="0" w:color="auto"/>
                      </w:divBdr>
                    </w:div>
                  </w:divsChild>
                </w:div>
                <w:div w:id="1350331104">
                  <w:marLeft w:val="0"/>
                  <w:marRight w:val="0"/>
                  <w:marTop w:val="0"/>
                  <w:marBottom w:val="0"/>
                  <w:divBdr>
                    <w:top w:val="none" w:sz="0" w:space="0" w:color="auto"/>
                    <w:left w:val="none" w:sz="0" w:space="0" w:color="auto"/>
                    <w:bottom w:val="none" w:sz="0" w:space="0" w:color="auto"/>
                    <w:right w:val="none" w:sz="0" w:space="0" w:color="auto"/>
                  </w:divBdr>
                  <w:divsChild>
                    <w:div w:id="1713266727">
                      <w:marLeft w:val="0"/>
                      <w:marRight w:val="0"/>
                      <w:marTop w:val="0"/>
                      <w:marBottom w:val="0"/>
                      <w:divBdr>
                        <w:top w:val="none" w:sz="0" w:space="0" w:color="auto"/>
                        <w:left w:val="none" w:sz="0" w:space="0" w:color="auto"/>
                        <w:bottom w:val="none" w:sz="0" w:space="0" w:color="auto"/>
                        <w:right w:val="none" w:sz="0" w:space="0" w:color="auto"/>
                      </w:divBdr>
                    </w:div>
                  </w:divsChild>
                </w:div>
                <w:div w:id="1378896553">
                  <w:marLeft w:val="0"/>
                  <w:marRight w:val="0"/>
                  <w:marTop w:val="0"/>
                  <w:marBottom w:val="0"/>
                  <w:divBdr>
                    <w:top w:val="none" w:sz="0" w:space="0" w:color="auto"/>
                    <w:left w:val="none" w:sz="0" w:space="0" w:color="auto"/>
                    <w:bottom w:val="none" w:sz="0" w:space="0" w:color="auto"/>
                    <w:right w:val="none" w:sz="0" w:space="0" w:color="auto"/>
                  </w:divBdr>
                  <w:divsChild>
                    <w:div w:id="1749384022">
                      <w:marLeft w:val="0"/>
                      <w:marRight w:val="0"/>
                      <w:marTop w:val="0"/>
                      <w:marBottom w:val="0"/>
                      <w:divBdr>
                        <w:top w:val="none" w:sz="0" w:space="0" w:color="auto"/>
                        <w:left w:val="none" w:sz="0" w:space="0" w:color="auto"/>
                        <w:bottom w:val="none" w:sz="0" w:space="0" w:color="auto"/>
                        <w:right w:val="none" w:sz="0" w:space="0" w:color="auto"/>
                      </w:divBdr>
                    </w:div>
                  </w:divsChild>
                </w:div>
                <w:div w:id="1389569601">
                  <w:marLeft w:val="0"/>
                  <w:marRight w:val="0"/>
                  <w:marTop w:val="0"/>
                  <w:marBottom w:val="0"/>
                  <w:divBdr>
                    <w:top w:val="none" w:sz="0" w:space="0" w:color="auto"/>
                    <w:left w:val="none" w:sz="0" w:space="0" w:color="auto"/>
                    <w:bottom w:val="none" w:sz="0" w:space="0" w:color="auto"/>
                    <w:right w:val="none" w:sz="0" w:space="0" w:color="auto"/>
                  </w:divBdr>
                  <w:divsChild>
                    <w:div w:id="1067413360">
                      <w:marLeft w:val="0"/>
                      <w:marRight w:val="0"/>
                      <w:marTop w:val="0"/>
                      <w:marBottom w:val="0"/>
                      <w:divBdr>
                        <w:top w:val="none" w:sz="0" w:space="0" w:color="auto"/>
                        <w:left w:val="none" w:sz="0" w:space="0" w:color="auto"/>
                        <w:bottom w:val="none" w:sz="0" w:space="0" w:color="auto"/>
                        <w:right w:val="none" w:sz="0" w:space="0" w:color="auto"/>
                      </w:divBdr>
                    </w:div>
                  </w:divsChild>
                </w:div>
                <w:div w:id="1392803366">
                  <w:marLeft w:val="0"/>
                  <w:marRight w:val="0"/>
                  <w:marTop w:val="0"/>
                  <w:marBottom w:val="0"/>
                  <w:divBdr>
                    <w:top w:val="none" w:sz="0" w:space="0" w:color="auto"/>
                    <w:left w:val="none" w:sz="0" w:space="0" w:color="auto"/>
                    <w:bottom w:val="none" w:sz="0" w:space="0" w:color="auto"/>
                    <w:right w:val="none" w:sz="0" w:space="0" w:color="auto"/>
                  </w:divBdr>
                  <w:divsChild>
                    <w:div w:id="915865899">
                      <w:marLeft w:val="0"/>
                      <w:marRight w:val="0"/>
                      <w:marTop w:val="0"/>
                      <w:marBottom w:val="0"/>
                      <w:divBdr>
                        <w:top w:val="none" w:sz="0" w:space="0" w:color="auto"/>
                        <w:left w:val="none" w:sz="0" w:space="0" w:color="auto"/>
                        <w:bottom w:val="none" w:sz="0" w:space="0" w:color="auto"/>
                        <w:right w:val="none" w:sz="0" w:space="0" w:color="auto"/>
                      </w:divBdr>
                    </w:div>
                  </w:divsChild>
                </w:div>
                <w:div w:id="1394618927">
                  <w:marLeft w:val="0"/>
                  <w:marRight w:val="0"/>
                  <w:marTop w:val="0"/>
                  <w:marBottom w:val="0"/>
                  <w:divBdr>
                    <w:top w:val="none" w:sz="0" w:space="0" w:color="auto"/>
                    <w:left w:val="none" w:sz="0" w:space="0" w:color="auto"/>
                    <w:bottom w:val="none" w:sz="0" w:space="0" w:color="auto"/>
                    <w:right w:val="none" w:sz="0" w:space="0" w:color="auto"/>
                  </w:divBdr>
                  <w:divsChild>
                    <w:div w:id="110323504">
                      <w:marLeft w:val="0"/>
                      <w:marRight w:val="0"/>
                      <w:marTop w:val="0"/>
                      <w:marBottom w:val="0"/>
                      <w:divBdr>
                        <w:top w:val="none" w:sz="0" w:space="0" w:color="auto"/>
                        <w:left w:val="none" w:sz="0" w:space="0" w:color="auto"/>
                        <w:bottom w:val="none" w:sz="0" w:space="0" w:color="auto"/>
                        <w:right w:val="none" w:sz="0" w:space="0" w:color="auto"/>
                      </w:divBdr>
                    </w:div>
                  </w:divsChild>
                </w:div>
                <w:div w:id="1400515178">
                  <w:marLeft w:val="0"/>
                  <w:marRight w:val="0"/>
                  <w:marTop w:val="0"/>
                  <w:marBottom w:val="0"/>
                  <w:divBdr>
                    <w:top w:val="none" w:sz="0" w:space="0" w:color="auto"/>
                    <w:left w:val="none" w:sz="0" w:space="0" w:color="auto"/>
                    <w:bottom w:val="none" w:sz="0" w:space="0" w:color="auto"/>
                    <w:right w:val="none" w:sz="0" w:space="0" w:color="auto"/>
                  </w:divBdr>
                  <w:divsChild>
                    <w:div w:id="1922326043">
                      <w:marLeft w:val="0"/>
                      <w:marRight w:val="0"/>
                      <w:marTop w:val="0"/>
                      <w:marBottom w:val="0"/>
                      <w:divBdr>
                        <w:top w:val="none" w:sz="0" w:space="0" w:color="auto"/>
                        <w:left w:val="none" w:sz="0" w:space="0" w:color="auto"/>
                        <w:bottom w:val="none" w:sz="0" w:space="0" w:color="auto"/>
                        <w:right w:val="none" w:sz="0" w:space="0" w:color="auto"/>
                      </w:divBdr>
                    </w:div>
                  </w:divsChild>
                </w:div>
                <w:div w:id="1422876110">
                  <w:marLeft w:val="0"/>
                  <w:marRight w:val="0"/>
                  <w:marTop w:val="0"/>
                  <w:marBottom w:val="0"/>
                  <w:divBdr>
                    <w:top w:val="none" w:sz="0" w:space="0" w:color="auto"/>
                    <w:left w:val="none" w:sz="0" w:space="0" w:color="auto"/>
                    <w:bottom w:val="none" w:sz="0" w:space="0" w:color="auto"/>
                    <w:right w:val="none" w:sz="0" w:space="0" w:color="auto"/>
                  </w:divBdr>
                  <w:divsChild>
                    <w:div w:id="367684411">
                      <w:marLeft w:val="0"/>
                      <w:marRight w:val="0"/>
                      <w:marTop w:val="0"/>
                      <w:marBottom w:val="0"/>
                      <w:divBdr>
                        <w:top w:val="none" w:sz="0" w:space="0" w:color="auto"/>
                        <w:left w:val="none" w:sz="0" w:space="0" w:color="auto"/>
                        <w:bottom w:val="none" w:sz="0" w:space="0" w:color="auto"/>
                        <w:right w:val="none" w:sz="0" w:space="0" w:color="auto"/>
                      </w:divBdr>
                    </w:div>
                  </w:divsChild>
                </w:div>
                <w:div w:id="1437293331">
                  <w:marLeft w:val="0"/>
                  <w:marRight w:val="0"/>
                  <w:marTop w:val="0"/>
                  <w:marBottom w:val="0"/>
                  <w:divBdr>
                    <w:top w:val="none" w:sz="0" w:space="0" w:color="auto"/>
                    <w:left w:val="none" w:sz="0" w:space="0" w:color="auto"/>
                    <w:bottom w:val="none" w:sz="0" w:space="0" w:color="auto"/>
                    <w:right w:val="none" w:sz="0" w:space="0" w:color="auto"/>
                  </w:divBdr>
                  <w:divsChild>
                    <w:div w:id="1217661771">
                      <w:marLeft w:val="0"/>
                      <w:marRight w:val="0"/>
                      <w:marTop w:val="0"/>
                      <w:marBottom w:val="0"/>
                      <w:divBdr>
                        <w:top w:val="none" w:sz="0" w:space="0" w:color="auto"/>
                        <w:left w:val="none" w:sz="0" w:space="0" w:color="auto"/>
                        <w:bottom w:val="none" w:sz="0" w:space="0" w:color="auto"/>
                        <w:right w:val="none" w:sz="0" w:space="0" w:color="auto"/>
                      </w:divBdr>
                    </w:div>
                  </w:divsChild>
                </w:div>
                <w:div w:id="1442988082">
                  <w:marLeft w:val="0"/>
                  <w:marRight w:val="0"/>
                  <w:marTop w:val="0"/>
                  <w:marBottom w:val="0"/>
                  <w:divBdr>
                    <w:top w:val="none" w:sz="0" w:space="0" w:color="auto"/>
                    <w:left w:val="none" w:sz="0" w:space="0" w:color="auto"/>
                    <w:bottom w:val="none" w:sz="0" w:space="0" w:color="auto"/>
                    <w:right w:val="none" w:sz="0" w:space="0" w:color="auto"/>
                  </w:divBdr>
                  <w:divsChild>
                    <w:div w:id="1574854768">
                      <w:marLeft w:val="0"/>
                      <w:marRight w:val="0"/>
                      <w:marTop w:val="0"/>
                      <w:marBottom w:val="0"/>
                      <w:divBdr>
                        <w:top w:val="none" w:sz="0" w:space="0" w:color="auto"/>
                        <w:left w:val="none" w:sz="0" w:space="0" w:color="auto"/>
                        <w:bottom w:val="none" w:sz="0" w:space="0" w:color="auto"/>
                        <w:right w:val="none" w:sz="0" w:space="0" w:color="auto"/>
                      </w:divBdr>
                    </w:div>
                  </w:divsChild>
                </w:div>
                <w:div w:id="1453403591">
                  <w:marLeft w:val="0"/>
                  <w:marRight w:val="0"/>
                  <w:marTop w:val="0"/>
                  <w:marBottom w:val="0"/>
                  <w:divBdr>
                    <w:top w:val="none" w:sz="0" w:space="0" w:color="auto"/>
                    <w:left w:val="none" w:sz="0" w:space="0" w:color="auto"/>
                    <w:bottom w:val="none" w:sz="0" w:space="0" w:color="auto"/>
                    <w:right w:val="none" w:sz="0" w:space="0" w:color="auto"/>
                  </w:divBdr>
                  <w:divsChild>
                    <w:div w:id="1981838953">
                      <w:marLeft w:val="0"/>
                      <w:marRight w:val="0"/>
                      <w:marTop w:val="0"/>
                      <w:marBottom w:val="0"/>
                      <w:divBdr>
                        <w:top w:val="none" w:sz="0" w:space="0" w:color="auto"/>
                        <w:left w:val="none" w:sz="0" w:space="0" w:color="auto"/>
                        <w:bottom w:val="none" w:sz="0" w:space="0" w:color="auto"/>
                        <w:right w:val="none" w:sz="0" w:space="0" w:color="auto"/>
                      </w:divBdr>
                    </w:div>
                  </w:divsChild>
                </w:div>
                <w:div w:id="1456942490">
                  <w:marLeft w:val="0"/>
                  <w:marRight w:val="0"/>
                  <w:marTop w:val="0"/>
                  <w:marBottom w:val="0"/>
                  <w:divBdr>
                    <w:top w:val="none" w:sz="0" w:space="0" w:color="auto"/>
                    <w:left w:val="none" w:sz="0" w:space="0" w:color="auto"/>
                    <w:bottom w:val="none" w:sz="0" w:space="0" w:color="auto"/>
                    <w:right w:val="none" w:sz="0" w:space="0" w:color="auto"/>
                  </w:divBdr>
                  <w:divsChild>
                    <w:div w:id="1244337579">
                      <w:marLeft w:val="0"/>
                      <w:marRight w:val="0"/>
                      <w:marTop w:val="0"/>
                      <w:marBottom w:val="0"/>
                      <w:divBdr>
                        <w:top w:val="none" w:sz="0" w:space="0" w:color="auto"/>
                        <w:left w:val="none" w:sz="0" w:space="0" w:color="auto"/>
                        <w:bottom w:val="none" w:sz="0" w:space="0" w:color="auto"/>
                        <w:right w:val="none" w:sz="0" w:space="0" w:color="auto"/>
                      </w:divBdr>
                    </w:div>
                  </w:divsChild>
                </w:div>
                <w:div w:id="1461919252">
                  <w:marLeft w:val="0"/>
                  <w:marRight w:val="0"/>
                  <w:marTop w:val="0"/>
                  <w:marBottom w:val="0"/>
                  <w:divBdr>
                    <w:top w:val="none" w:sz="0" w:space="0" w:color="auto"/>
                    <w:left w:val="none" w:sz="0" w:space="0" w:color="auto"/>
                    <w:bottom w:val="none" w:sz="0" w:space="0" w:color="auto"/>
                    <w:right w:val="none" w:sz="0" w:space="0" w:color="auto"/>
                  </w:divBdr>
                  <w:divsChild>
                    <w:div w:id="695080760">
                      <w:marLeft w:val="0"/>
                      <w:marRight w:val="0"/>
                      <w:marTop w:val="0"/>
                      <w:marBottom w:val="0"/>
                      <w:divBdr>
                        <w:top w:val="none" w:sz="0" w:space="0" w:color="auto"/>
                        <w:left w:val="none" w:sz="0" w:space="0" w:color="auto"/>
                        <w:bottom w:val="none" w:sz="0" w:space="0" w:color="auto"/>
                        <w:right w:val="none" w:sz="0" w:space="0" w:color="auto"/>
                      </w:divBdr>
                    </w:div>
                  </w:divsChild>
                </w:div>
                <w:div w:id="1462267811">
                  <w:marLeft w:val="0"/>
                  <w:marRight w:val="0"/>
                  <w:marTop w:val="0"/>
                  <w:marBottom w:val="0"/>
                  <w:divBdr>
                    <w:top w:val="none" w:sz="0" w:space="0" w:color="auto"/>
                    <w:left w:val="none" w:sz="0" w:space="0" w:color="auto"/>
                    <w:bottom w:val="none" w:sz="0" w:space="0" w:color="auto"/>
                    <w:right w:val="none" w:sz="0" w:space="0" w:color="auto"/>
                  </w:divBdr>
                  <w:divsChild>
                    <w:div w:id="50737331">
                      <w:marLeft w:val="0"/>
                      <w:marRight w:val="0"/>
                      <w:marTop w:val="0"/>
                      <w:marBottom w:val="0"/>
                      <w:divBdr>
                        <w:top w:val="none" w:sz="0" w:space="0" w:color="auto"/>
                        <w:left w:val="none" w:sz="0" w:space="0" w:color="auto"/>
                        <w:bottom w:val="none" w:sz="0" w:space="0" w:color="auto"/>
                        <w:right w:val="none" w:sz="0" w:space="0" w:color="auto"/>
                      </w:divBdr>
                    </w:div>
                  </w:divsChild>
                </w:div>
                <w:div w:id="1462381140">
                  <w:marLeft w:val="0"/>
                  <w:marRight w:val="0"/>
                  <w:marTop w:val="0"/>
                  <w:marBottom w:val="0"/>
                  <w:divBdr>
                    <w:top w:val="none" w:sz="0" w:space="0" w:color="auto"/>
                    <w:left w:val="none" w:sz="0" w:space="0" w:color="auto"/>
                    <w:bottom w:val="none" w:sz="0" w:space="0" w:color="auto"/>
                    <w:right w:val="none" w:sz="0" w:space="0" w:color="auto"/>
                  </w:divBdr>
                  <w:divsChild>
                    <w:div w:id="910502774">
                      <w:marLeft w:val="0"/>
                      <w:marRight w:val="0"/>
                      <w:marTop w:val="0"/>
                      <w:marBottom w:val="0"/>
                      <w:divBdr>
                        <w:top w:val="none" w:sz="0" w:space="0" w:color="auto"/>
                        <w:left w:val="none" w:sz="0" w:space="0" w:color="auto"/>
                        <w:bottom w:val="none" w:sz="0" w:space="0" w:color="auto"/>
                        <w:right w:val="none" w:sz="0" w:space="0" w:color="auto"/>
                      </w:divBdr>
                    </w:div>
                  </w:divsChild>
                </w:div>
                <w:div w:id="1464883090">
                  <w:marLeft w:val="0"/>
                  <w:marRight w:val="0"/>
                  <w:marTop w:val="0"/>
                  <w:marBottom w:val="0"/>
                  <w:divBdr>
                    <w:top w:val="none" w:sz="0" w:space="0" w:color="auto"/>
                    <w:left w:val="none" w:sz="0" w:space="0" w:color="auto"/>
                    <w:bottom w:val="none" w:sz="0" w:space="0" w:color="auto"/>
                    <w:right w:val="none" w:sz="0" w:space="0" w:color="auto"/>
                  </w:divBdr>
                  <w:divsChild>
                    <w:div w:id="1994332921">
                      <w:marLeft w:val="0"/>
                      <w:marRight w:val="0"/>
                      <w:marTop w:val="0"/>
                      <w:marBottom w:val="0"/>
                      <w:divBdr>
                        <w:top w:val="none" w:sz="0" w:space="0" w:color="auto"/>
                        <w:left w:val="none" w:sz="0" w:space="0" w:color="auto"/>
                        <w:bottom w:val="none" w:sz="0" w:space="0" w:color="auto"/>
                        <w:right w:val="none" w:sz="0" w:space="0" w:color="auto"/>
                      </w:divBdr>
                    </w:div>
                  </w:divsChild>
                </w:div>
                <w:div w:id="1467504146">
                  <w:marLeft w:val="0"/>
                  <w:marRight w:val="0"/>
                  <w:marTop w:val="0"/>
                  <w:marBottom w:val="0"/>
                  <w:divBdr>
                    <w:top w:val="none" w:sz="0" w:space="0" w:color="auto"/>
                    <w:left w:val="none" w:sz="0" w:space="0" w:color="auto"/>
                    <w:bottom w:val="none" w:sz="0" w:space="0" w:color="auto"/>
                    <w:right w:val="none" w:sz="0" w:space="0" w:color="auto"/>
                  </w:divBdr>
                  <w:divsChild>
                    <w:div w:id="764766104">
                      <w:marLeft w:val="0"/>
                      <w:marRight w:val="0"/>
                      <w:marTop w:val="0"/>
                      <w:marBottom w:val="0"/>
                      <w:divBdr>
                        <w:top w:val="none" w:sz="0" w:space="0" w:color="auto"/>
                        <w:left w:val="none" w:sz="0" w:space="0" w:color="auto"/>
                        <w:bottom w:val="none" w:sz="0" w:space="0" w:color="auto"/>
                        <w:right w:val="none" w:sz="0" w:space="0" w:color="auto"/>
                      </w:divBdr>
                    </w:div>
                  </w:divsChild>
                </w:div>
                <w:div w:id="1470509905">
                  <w:marLeft w:val="0"/>
                  <w:marRight w:val="0"/>
                  <w:marTop w:val="0"/>
                  <w:marBottom w:val="0"/>
                  <w:divBdr>
                    <w:top w:val="none" w:sz="0" w:space="0" w:color="auto"/>
                    <w:left w:val="none" w:sz="0" w:space="0" w:color="auto"/>
                    <w:bottom w:val="none" w:sz="0" w:space="0" w:color="auto"/>
                    <w:right w:val="none" w:sz="0" w:space="0" w:color="auto"/>
                  </w:divBdr>
                  <w:divsChild>
                    <w:div w:id="151727883">
                      <w:marLeft w:val="0"/>
                      <w:marRight w:val="0"/>
                      <w:marTop w:val="0"/>
                      <w:marBottom w:val="0"/>
                      <w:divBdr>
                        <w:top w:val="none" w:sz="0" w:space="0" w:color="auto"/>
                        <w:left w:val="none" w:sz="0" w:space="0" w:color="auto"/>
                        <w:bottom w:val="none" w:sz="0" w:space="0" w:color="auto"/>
                        <w:right w:val="none" w:sz="0" w:space="0" w:color="auto"/>
                      </w:divBdr>
                    </w:div>
                  </w:divsChild>
                </w:div>
                <w:div w:id="1471047629">
                  <w:marLeft w:val="0"/>
                  <w:marRight w:val="0"/>
                  <w:marTop w:val="0"/>
                  <w:marBottom w:val="0"/>
                  <w:divBdr>
                    <w:top w:val="none" w:sz="0" w:space="0" w:color="auto"/>
                    <w:left w:val="none" w:sz="0" w:space="0" w:color="auto"/>
                    <w:bottom w:val="none" w:sz="0" w:space="0" w:color="auto"/>
                    <w:right w:val="none" w:sz="0" w:space="0" w:color="auto"/>
                  </w:divBdr>
                  <w:divsChild>
                    <w:div w:id="502283958">
                      <w:marLeft w:val="0"/>
                      <w:marRight w:val="0"/>
                      <w:marTop w:val="0"/>
                      <w:marBottom w:val="0"/>
                      <w:divBdr>
                        <w:top w:val="none" w:sz="0" w:space="0" w:color="auto"/>
                        <w:left w:val="none" w:sz="0" w:space="0" w:color="auto"/>
                        <w:bottom w:val="none" w:sz="0" w:space="0" w:color="auto"/>
                        <w:right w:val="none" w:sz="0" w:space="0" w:color="auto"/>
                      </w:divBdr>
                    </w:div>
                  </w:divsChild>
                </w:div>
                <w:div w:id="1474327289">
                  <w:marLeft w:val="0"/>
                  <w:marRight w:val="0"/>
                  <w:marTop w:val="0"/>
                  <w:marBottom w:val="0"/>
                  <w:divBdr>
                    <w:top w:val="none" w:sz="0" w:space="0" w:color="auto"/>
                    <w:left w:val="none" w:sz="0" w:space="0" w:color="auto"/>
                    <w:bottom w:val="none" w:sz="0" w:space="0" w:color="auto"/>
                    <w:right w:val="none" w:sz="0" w:space="0" w:color="auto"/>
                  </w:divBdr>
                  <w:divsChild>
                    <w:div w:id="1778595232">
                      <w:marLeft w:val="0"/>
                      <w:marRight w:val="0"/>
                      <w:marTop w:val="0"/>
                      <w:marBottom w:val="0"/>
                      <w:divBdr>
                        <w:top w:val="none" w:sz="0" w:space="0" w:color="auto"/>
                        <w:left w:val="none" w:sz="0" w:space="0" w:color="auto"/>
                        <w:bottom w:val="none" w:sz="0" w:space="0" w:color="auto"/>
                        <w:right w:val="none" w:sz="0" w:space="0" w:color="auto"/>
                      </w:divBdr>
                    </w:div>
                  </w:divsChild>
                </w:div>
                <w:div w:id="1482889659">
                  <w:marLeft w:val="0"/>
                  <w:marRight w:val="0"/>
                  <w:marTop w:val="0"/>
                  <w:marBottom w:val="0"/>
                  <w:divBdr>
                    <w:top w:val="none" w:sz="0" w:space="0" w:color="auto"/>
                    <w:left w:val="none" w:sz="0" w:space="0" w:color="auto"/>
                    <w:bottom w:val="none" w:sz="0" w:space="0" w:color="auto"/>
                    <w:right w:val="none" w:sz="0" w:space="0" w:color="auto"/>
                  </w:divBdr>
                  <w:divsChild>
                    <w:div w:id="1752310005">
                      <w:marLeft w:val="0"/>
                      <w:marRight w:val="0"/>
                      <w:marTop w:val="0"/>
                      <w:marBottom w:val="0"/>
                      <w:divBdr>
                        <w:top w:val="none" w:sz="0" w:space="0" w:color="auto"/>
                        <w:left w:val="none" w:sz="0" w:space="0" w:color="auto"/>
                        <w:bottom w:val="none" w:sz="0" w:space="0" w:color="auto"/>
                        <w:right w:val="none" w:sz="0" w:space="0" w:color="auto"/>
                      </w:divBdr>
                    </w:div>
                  </w:divsChild>
                </w:div>
                <w:div w:id="1483891178">
                  <w:marLeft w:val="0"/>
                  <w:marRight w:val="0"/>
                  <w:marTop w:val="0"/>
                  <w:marBottom w:val="0"/>
                  <w:divBdr>
                    <w:top w:val="none" w:sz="0" w:space="0" w:color="auto"/>
                    <w:left w:val="none" w:sz="0" w:space="0" w:color="auto"/>
                    <w:bottom w:val="none" w:sz="0" w:space="0" w:color="auto"/>
                    <w:right w:val="none" w:sz="0" w:space="0" w:color="auto"/>
                  </w:divBdr>
                  <w:divsChild>
                    <w:div w:id="1544559427">
                      <w:marLeft w:val="0"/>
                      <w:marRight w:val="0"/>
                      <w:marTop w:val="0"/>
                      <w:marBottom w:val="0"/>
                      <w:divBdr>
                        <w:top w:val="none" w:sz="0" w:space="0" w:color="auto"/>
                        <w:left w:val="none" w:sz="0" w:space="0" w:color="auto"/>
                        <w:bottom w:val="none" w:sz="0" w:space="0" w:color="auto"/>
                        <w:right w:val="none" w:sz="0" w:space="0" w:color="auto"/>
                      </w:divBdr>
                    </w:div>
                  </w:divsChild>
                </w:div>
                <w:div w:id="1485320353">
                  <w:marLeft w:val="0"/>
                  <w:marRight w:val="0"/>
                  <w:marTop w:val="0"/>
                  <w:marBottom w:val="0"/>
                  <w:divBdr>
                    <w:top w:val="none" w:sz="0" w:space="0" w:color="auto"/>
                    <w:left w:val="none" w:sz="0" w:space="0" w:color="auto"/>
                    <w:bottom w:val="none" w:sz="0" w:space="0" w:color="auto"/>
                    <w:right w:val="none" w:sz="0" w:space="0" w:color="auto"/>
                  </w:divBdr>
                  <w:divsChild>
                    <w:div w:id="183978528">
                      <w:marLeft w:val="0"/>
                      <w:marRight w:val="0"/>
                      <w:marTop w:val="0"/>
                      <w:marBottom w:val="0"/>
                      <w:divBdr>
                        <w:top w:val="none" w:sz="0" w:space="0" w:color="auto"/>
                        <w:left w:val="none" w:sz="0" w:space="0" w:color="auto"/>
                        <w:bottom w:val="none" w:sz="0" w:space="0" w:color="auto"/>
                        <w:right w:val="none" w:sz="0" w:space="0" w:color="auto"/>
                      </w:divBdr>
                    </w:div>
                  </w:divsChild>
                </w:div>
                <w:div w:id="1491947807">
                  <w:marLeft w:val="0"/>
                  <w:marRight w:val="0"/>
                  <w:marTop w:val="0"/>
                  <w:marBottom w:val="0"/>
                  <w:divBdr>
                    <w:top w:val="none" w:sz="0" w:space="0" w:color="auto"/>
                    <w:left w:val="none" w:sz="0" w:space="0" w:color="auto"/>
                    <w:bottom w:val="none" w:sz="0" w:space="0" w:color="auto"/>
                    <w:right w:val="none" w:sz="0" w:space="0" w:color="auto"/>
                  </w:divBdr>
                  <w:divsChild>
                    <w:div w:id="261111835">
                      <w:marLeft w:val="0"/>
                      <w:marRight w:val="0"/>
                      <w:marTop w:val="0"/>
                      <w:marBottom w:val="0"/>
                      <w:divBdr>
                        <w:top w:val="none" w:sz="0" w:space="0" w:color="auto"/>
                        <w:left w:val="none" w:sz="0" w:space="0" w:color="auto"/>
                        <w:bottom w:val="none" w:sz="0" w:space="0" w:color="auto"/>
                        <w:right w:val="none" w:sz="0" w:space="0" w:color="auto"/>
                      </w:divBdr>
                    </w:div>
                  </w:divsChild>
                </w:div>
                <w:div w:id="1497191464">
                  <w:marLeft w:val="0"/>
                  <w:marRight w:val="0"/>
                  <w:marTop w:val="0"/>
                  <w:marBottom w:val="0"/>
                  <w:divBdr>
                    <w:top w:val="none" w:sz="0" w:space="0" w:color="auto"/>
                    <w:left w:val="none" w:sz="0" w:space="0" w:color="auto"/>
                    <w:bottom w:val="none" w:sz="0" w:space="0" w:color="auto"/>
                    <w:right w:val="none" w:sz="0" w:space="0" w:color="auto"/>
                  </w:divBdr>
                  <w:divsChild>
                    <w:div w:id="1173565749">
                      <w:marLeft w:val="0"/>
                      <w:marRight w:val="0"/>
                      <w:marTop w:val="0"/>
                      <w:marBottom w:val="0"/>
                      <w:divBdr>
                        <w:top w:val="none" w:sz="0" w:space="0" w:color="auto"/>
                        <w:left w:val="none" w:sz="0" w:space="0" w:color="auto"/>
                        <w:bottom w:val="none" w:sz="0" w:space="0" w:color="auto"/>
                        <w:right w:val="none" w:sz="0" w:space="0" w:color="auto"/>
                      </w:divBdr>
                    </w:div>
                  </w:divsChild>
                </w:div>
                <w:div w:id="1500536895">
                  <w:marLeft w:val="0"/>
                  <w:marRight w:val="0"/>
                  <w:marTop w:val="0"/>
                  <w:marBottom w:val="0"/>
                  <w:divBdr>
                    <w:top w:val="none" w:sz="0" w:space="0" w:color="auto"/>
                    <w:left w:val="none" w:sz="0" w:space="0" w:color="auto"/>
                    <w:bottom w:val="none" w:sz="0" w:space="0" w:color="auto"/>
                    <w:right w:val="none" w:sz="0" w:space="0" w:color="auto"/>
                  </w:divBdr>
                  <w:divsChild>
                    <w:div w:id="750473027">
                      <w:marLeft w:val="0"/>
                      <w:marRight w:val="0"/>
                      <w:marTop w:val="0"/>
                      <w:marBottom w:val="0"/>
                      <w:divBdr>
                        <w:top w:val="none" w:sz="0" w:space="0" w:color="auto"/>
                        <w:left w:val="none" w:sz="0" w:space="0" w:color="auto"/>
                        <w:bottom w:val="none" w:sz="0" w:space="0" w:color="auto"/>
                        <w:right w:val="none" w:sz="0" w:space="0" w:color="auto"/>
                      </w:divBdr>
                    </w:div>
                  </w:divsChild>
                </w:div>
                <w:div w:id="1500579187">
                  <w:marLeft w:val="0"/>
                  <w:marRight w:val="0"/>
                  <w:marTop w:val="0"/>
                  <w:marBottom w:val="0"/>
                  <w:divBdr>
                    <w:top w:val="none" w:sz="0" w:space="0" w:color="auto"/>
                    <w:left w:val="none" w:sz="0" w:space="0" w:color="auto"/>
                    <w:bottom w:val="none" w:sz="0" w:space="0" w:color="auto"/>
                    <w:right w:val="none" w:sz="0" w:space="0" w:color="auto"/>
                  </w:divBdr>
                  <w:divsChild>
                    <w:div w:id="1492453385">
                      <w:marLeft w:val="0"/>
                      <w:marRight w:val="0"/>
                      <w:marTop w:val="0"/>
                      <w:marBottom w:val="0"/>
                      <w:divBdr>
                        <w:top w:val="none" w:sz="0" w:space="0" w:color="auto"/>
                        <w:left w:val="none" w:sz="0" w:space="0" w:color="auto"/>
                        <w:bottom w:val="none" w:sz="0" w:space="0" w:color="auto"/>
                        <w:right w:val="none" w:sz="0" w:space="0" w:color="auto"/>
                      </w:divBdr>
                    </w:div>
                  </w:divsChild>
                </w:div>
                <w:div w:id="1503740594">
                  <w:marLeft w:val="0"/>
                  <w:marRight w:val="0"/>
                  <w:marTop w:val="0"/>
                  <w:marBottom w:val="0"/>
                  <w:divBdr>
                    <w:top w:val="none" w:sz="0" w:space="0" w:color="auto"/>
                    <w:left w:val="none" w:sz="0" w:space="0" w:color="auto"/>
                    <w:bottom w:val="none" w:sz="0" w:space="0" w:color="auto"/>
                    <w:right w:val="none" w:sz="0" w:space="0" w:color="auto"/>
                  </w:divBdr>
                  <w:divsChild>
                    <w:div w:id="749960113">
                      <w:marLeft w:val="0"/>
                      <w:marRight w:val="0"/>
                      <w:marTop w:val="0"/>
                      <w:marBottom w:val="0"/>
                      <w:divBdr>
                        <w:top w:val="none" w:sz="0" w:space="0" w:color="auto"/>
                        <w:left w:val="none" w:sz="0" w:space="0" w:color="auto"/>
                        <w:bottom w:val="none" w:sz="0" w:space="0" w:color="auto"/>
                        <w:right w:val="none" w:sz="0" w:space="0" w:color="auto"/>
                      </w:divBdr>
                    </w:div>
                  </w:divsChild>
                </w:div>
                <w:div w:id="1508521148">
                  <w:marLeft w:val="0"/>
                  <w:marRight w:val="0"/>
                  <w:marTop w:val="0"/>
                  <w:marBottom w:val="0"/>
                  <w:divBdr>
                    <w:top w:val="none" w:sz="0" w:space="0" w:color="auto"/>
                    <w:left w:val="none" w:sz="0" w:space="0" w:color="auto"/>
                    <w:bottom w:val="none" w:sz="0" w:space="0" w:color="auto"/>
                    <w:right w:val="none" w:sz="0" w:space="0" w:color="auto"/>
                  </w:divBdr>
                  <w:divsChild>
                    <w:div w:id="466776458">
                      <w:marLeft w:val="0"/>
                      <w:marRight w:val="0"/>
                      <w:marTop w:val="0"/>
                      <w:marBottom w:val="0"/>
                      <w:divBdr>
                        <w:top w:val="none" w:sz="0" w:space="0" w:color="auto"/>
                        <w:left w:val="none" w:sz="0" w:space="0" w:color="auto"/>
                        <w:bottom w:val="none" w:sz="0" w:space="0" w:color="auto"/>
                        <w:right w:val="none" w:sz="0" w:space="0" w:color="auto"/>
                      </w:divBdr>
                    </w:div>
                  </w:divsChild>
                </w:div>
                <w:div w:id="1511406474">
                  <w:marLeft w:val="0"/>
                  <w:marRight w:val="0"/>
                  <w:marTop w:val="0"/>
                  <w:marBottom w:val="0"/>
                  <w:divBdr>
                    <w:top w:val="none" w:sz="0" w:space="0" w:color="auto"/>
                    <w:left w:val="none" w:sz="0" w:space="0" w:color="auto"/>
                    <w:bottom w:val="none" w:sz="0" w:space="0" w:color="auto"/>
                    <w:right w:val="none" w:sz="0" w:space="0" w:color="auto"/>
                  </w:divBdr>
                  <w:divsChild>
                    <w:div w:id="1802378544">
                      <w:marLeft w:val="0"/>
                      <w:marRight w:val="0"/>
                      <w:marTop w:val="0"/>
                      <w:marBottom w:val="0"/>
                      <w:divBdr>
                        <w:top w:val="none" w:sz="0" w:space="0" w:color="auto"/>
                        <w:left w:val="none" w:sz="0" w:space="0" w:color="auto"/>
                        <w:bottom w:val="none" w:sz="0" w:space="0" w:color="auto"/>
                        <w:right w:val="none" w:sz="0" w:space="0" w:color="auto"/>
                      </w:divBdr>
                    </w:div>
                  </w:divsChild>
                </w:div>
                <w:div w:id="1514952454">
                  <w:marLeft w:val="0"/>
                  <w:marRight w:val="0"/>
                  <w:marTop w:val="0"/>
                  <w:marBottom w:val="0"/>
                  <w:divBdr>
                    <w:top w:val="none" w:sz="0" w:space="0" w:color="auto"/>
                    <w:left w:val="none" w:sz="0" w:space="0" w:color="auto"/>
                    <w:bottom w:val="none" w:sz="0" w:space="0" w:color="auto"/>
                    <w:right w:val="none" w:sz="0" w:space="0" w:color="auto"/>
                  </w:divBdr>
                  <w:divsChild>
                    <w:div w:id="947079359">
                      <w:marLeft w:val="0"/>
                      <w:marRight w:val="0"/>
                      <w:marTop w:val="0"/>
                      <w:marBottom w:val="0"/>
                      <w:divBdr>
                        <w:top w:val="none" w:sz="0" w:space="0" w:color="auto"/>
                        <w:left w:val="none" w:sz="0" w:space="0" w:color="auto"/>
                        <w:bottom w:val="none" w:sz="0" w:space="0" w:color="auto"/>
                        <w:right w:val="none" w:sz="0" w:space="0" w:color="auto"/>
                      </w:divBdr>
                    </w:div>
                  </w:divsChild>
                </w:div>
                <w:div w:id="1523084104">
                  <w:marLeft w:val="0"/>
                  <w:marRight w:val="0"/>
                  <w:marTop w:val="0"/>
                  <w:marBottom w:val="0"/>
                  <w:divBdr>
                    <w:top w:val="none" w:sz="0" w:space="0" w:color="auto"/>
                    <w:left w:val="none" w:sz="0" w:space="0" w:color="auto"/>
                    <w:bottom w:val="none" w:sz="0" w:space="0" w:color="auto"/>
                    <w:right w:val="none" w:sz="0" w:space="0" w:color="auto"/>
                  </w:divBdr>
                  <w:divsChild>
                    <w:div w:id="2088184343">
                      <w:marLeft w:val="0"/>
                      <w:marRight w:val="0"/>
                      <w:marTop w:val="0"/>
                      <w:marBottom w:val="0"/>
                      <w:divBdr>
                        <w:top w:val="none" w:sz="0" w:space="0" w:color="auto"/>
                        <w:left w:val="none" w:sz="0" w:space="0" w:color="auto"/>
                        <w:bottom w:val="none" w:sz="0" w:space="0" w:color="auto"/>
                        <w:right w:val="none" w:sz="0" w:space="0" w:color="auto"/>
                      </w:divBdr>
                    </w:div>
                  </w:divsChild>
                </w:div>
                <w:div w:id="1533493137">
                  <w:marLeft w:val="0"/>
                  <w:marRight w:val="0"/>
                  <w:marTop w:val="0"/>
                  <w:marBottom w:val="0"/>
                  <w:divBdr>
                    <w:top w:val="none" w:sz="0" w:space="0" w:color="auto"/>
                    <w:left w:val="none" w:sz="0" w:space="0" w:color="auto"/>
                    <w:bottom w:val="none" w:sz="0" w:space="0" w:color="auto"/>
                    <w:right w:val="none" w:sz="0" w:space="0" w:color="auto"/>
                  </w:divBdr>
                  <w:divsChild>
                    <w:div w:id="235672426">
                      <w:marLeft w:val="0"/>
                      <w:marRight w:val="0"/>
                      <w:marTop w:val="0"/>
                      <w:marBottom w:val="0"/>
                      <w:divBdr>
                        <w:top w:val="none" w:sz="0" w:space="0" w:color="auto"/>
                        <w:left w:val="none" w:sz="0" w:space="0" w:color="auto"/>
                        <w:bottom w:val="none" w:sz="0" w:space="0" w:color="auto"/>
                        <w:right w:val="none" w:sz="0" w:space="0" w:color="auto"/>
                      </w:divBdr>
                    </w:div>
                  </w:divsChild>
                </w:div>
                <w:div w:id="1547718236">
                  <w:marLeft w:val="0"/>
                  <w:marRight w:val="0"/>
                  <w:marTop w:val="0"/>
                  <w:marBottom w:val="0"/>
                  <w:divBdr>
                    <w:top w:val="none" w:sz="0" w:space="0" w:color="auto"/>
                    <w:left w:val="none" w:sz="0" w:space="0" w:color="auto"/>
                    <w:bottom w:val="none" w:sz="0" w:space="0" w:color="auto"/>
                    <w:right w:val="none" w:sz="0" w:space="0" w:color="auto"/>
                  </w:divBdr>
                  <w:divsChild>
                    <w:div w:id="325935507">
                      <w:marLeft w:val="0"/>
                      <w:marRight w:val="0"/>
                      <w:marTop w:val="0"/>
                      <w:marBottom w:val="0"/>
                      <w:divBdr>
                        <w:top w:val="none" w:sz="0" w:space="0" w:color="auto"/>
                        <w:left w:val="none" w:sz="0" w:space="0" w:color="auto"/>
                        <w:bottom w:val="none" w:sz="0" w:space="0" w:color="auto"/>
                        <w:right w:val="none" w:sz="0" w:space="0" w:color="auto"/>
                      </w:divBdr>
                    </w:div>
                  </w:divsChild>
                </w:div>
                <w:div w:id="1551771619">
                  <w:marLeft w:val="0"/>
                  <w:marRight w:val="0"/>
                  <w:marTop w:val="0"/>
                  <w:marBottom w:val="0"/>
                  <w:divBdr>
                    <w:top w:val="none" w:sz="0" w:space="0" w:color="auto"/>
                    <w:left w:val="none" w:sz="0" w:space="0" w:color="auto"/>
                    <w:bottom w:val="none" w:sz="0" w:space="0" w:color="auto"/>
                    <w:right w:val="none" w:sz="0" w:space="0" w:color="auto"/>
                  </w:divBdr>
                  <w:divsChild>
                    <w:div w:id="1554928932">
                      <w:marLeft w:val="0"/>
                      <w:marRight w:val="0"/>
                      <w:marTop w:val="0"/>
                      <w:marBottom w:val="0"/>
                      <w:divBdr>
                        <w:top w:val="none" w:sz="0" w:space="0" w:color="auto"/>
                        <w:left w:val="none" w:sz="0" w:space="0" w:color="auto"/>
                        <w:bottom w:val="none" w:sz="0" w:space="0" w:color="auto"/>
                        <w:right w:val="none" w:sz="0" w:space="0" w:color="auto"/>
                      </w:divBdr>
                    </w:div>
                  </w:divsChild>
                </w:div>
                <w:div w:id="1554846486">
                  <w:marLeft w:val="0"/>
                  <w:marRight w:val="0"/>
                  <w:marTop w:val="0"/>
                  <w:marBottom w:val="0"/>
                  <w:divBdr>
                    <w:top w:val="none" w:sz="0" w:space="0" w:color="auto"/>
                    <w:left w:val="none" w:sz="0" w:space="0" w:color="auto"/>
                    <w:bottom w:val="none" w:sz="0" w:space="0" w:color="auto"/>
                    <w:right w:val="none" w:sz="0" w:space="0" w:color="auto"/>
                  </w:divBdr>
                  <w:divsChild>
                    <w:div w:id="1530486036">
                      <w:marLeft w:val="0"/>
                      <w:marRight w:val="0"/>
                      <w:marTop w:val="0"/>
                      <w:marBottom w:val="0"/>
                      <w:divBdr>
                        <w:top w:val="none" w:sz="0" w:space="0" w:color="auto"/>
                        <w:left w:val="none" w:sz="0" w:space="0" w:color="auto"/>
                        <w:bottom w:val="none" w:sz="0" w:space="0" w:color="auto"/>
                        <w:right w:val="none" w:sz="0" w:space="0" w:color="auto"/>
                      </w:divBdr>
                    </w:div>
                  </w:divsChild>
                </w:div>
                <w:div w:id="1560479237">
                  <w:marLeft w:val="0"/>
                  <w:marRight w:val="0"/>
                  <w:marTop w:val="0"/>
                  <w:marBottom w:val="0"/>
                  <w:divBdr>
                    <w:top w:val="none" w:sz="0" w:space="0" w:color="auto"/>
                    <w:left w:val="none" w:sz="0" w:space="0" w:color="auto"/>
                    <w:bottom w:val="none" w:sz="0" w:space="0" w:color="auto"/>
                    <w:right w:val="none" w:sz="0" w:space="0" w:color="auto"/>
                  </w:divBdr>
                  <w:divsChild>
                    <w:div w:id="775055963">
                      <w:marLeft w:val="0"/>
                      <w:marRight w:val="0"/>
                      <w:marTop w:val="0"/>
                      <w:marBottom w:val="0"/>
                      <w:divBdr>
                        <w:top w:val="none" w:sz="0" w:space="0" w:color="auto"/>
                        <w:left w:val="none" w:sz="0" w:space="0" w:color="auto"/>
                        <w:bottom w:val="none" w:sz="0" w:space="0" w:color="auto"/>
                        <w:right w:val="none" w:sz="0" w:space="0" w:color="auto"/>
                      </w:divBdr>
                    </w:div>
                  </w:divsChild>
                </w:div>
                <w:div w:id="1571184861">
                  <w:marLeft w:val="0"/>
                  <w:marRight w:val="0"/>
                  <w:marTop w:val="0"/>
                  <w:marBottom w:val="0"/>
                  <w:divBdr>
                    <w:top w:val="none" w:sz="0" w:space="0" w:color="auto"/>
                    <w:left w:val="none" w:sz="0" w:space="0" w:color="auto"/>
                    <w:bottom w:val="none" w:sz="0" w:space="0" w:color="auto"/>
                    <w:right w:val="none" w:sz="0" w:space="0" w:color="auto"/>
                  </w:divBdr>
                  <w:divsChild>
                    <w:div w:id="1804762360">
                      <w:marLeft w:val="0"/>
                      <w:marRight w:val="0"/>
                      <w:marTop w:val="0"/>
                      <w:marBottom w:val="0"/>
                      <w:divBdr>
                        <w:top w:val="none" w:sz="0" w:space="0" w:color="auto"/>
                        <w:left w:val="none" w:sz="0" w:space="0" w:color="auto"/>
                        <w:bottom w:val="none" w:sz="0" w:space="0" w:color="auto"/>
                        <w:right w:val="none" w:sz="0" w:space="0" w:color="auto"/>
                      </w:divBdr>
                    </w:div>
                  </w:divsChild>
                </w:div>
                <w:div w:id="1577666359">
                  <w:marLeft w:val="0"/>
                  <w:marRight w:val="0"/>
                  <w:marTop w:val="0"/>
                  <w:marBottom w:val="0"/>
                  <w:divBdr>
                    <w:top w:val="none" w:sz="0" w:space="0" w:color="auto"/>
                    <w:left w:val="none" w:sz="0" w:space="0" w:color="auto"/>
                    <w:bottom w:val="none" w:sz="0" w:space="0" w:color="auto"/>
                    <w:right w:val="none" w:sz="0" w:space="0" w:color="auto"/>
                  </w:divBdr>
                  <w:divsChild>
                    <w:div w:id="1494296024">
                      <w:marLeft w:val="0"/>
                      <w:marRight w:val="0"/>
                      <w:marTop w:val="0"/>
                      <w:marBottom w:val="0"/>
                      <w:divBdr>
                        <w:top w:val="none" w:sz="0" w:space="0" w:color="auto"/>
                        <w:left w:val="none" w:sz="0" w:space="0" w:color="auto"/>
                        <w:bottom w:val="none" w:sz="0" w:space="0" w:color="auto"/>
                        <w:right w:val="none" w:sz="0" w:space="0" w:color="auto"/>
                      </w:divBdr>
                    </w:div>
                  </w:divsChild>
                </w:div>
                <w:div w:id="1593393387">
                  <w:marLeft w:val="0"/>
                  <w:marRight w:val="0"/>
                  <w:marTop w:val="0"/>
                  <w:marBottom w:val="0"/>
                  <w:divBdr>
                    <w:top w:val="none" w:sz="0" w:space="0" w:color="auto"/>
                    <w:left w:val="none" w:sz="0" w:space="0" w:color="auto"/>
                    <w:bottom w:val="none" w:sz="0" w:space="0" w:color="auto"/>
                    <w:right w:val="none" w:sz="0" w:space="0" w:color="auto"/>
                  </w:divBdr>
                  <w:divsChild>
                    <w:div w:id="1842508113">
                      <w:marLeft w:val="0"/>
                      <w:marRight w:val="0"/>
                      <w:marTop w:val="0"/>
                      <w:marBottom w:val="0"/>
                      <w:divBdr>
                        <w:top w:val="none" w:sz="0" w:space="0" w:color="auto"/>
                        <w:left w:val="none" w:sz="0" w:space="0" w:color="auto"/>
                        <w:bottom w:val="none" w:sz="0" w:space="0" w:color="auto"/>
                        <w:right w:val="none" w:sz="0" w:space="0" w:color="auto"/>
                      </w:divBdr>
                    </w:div>
                  </w:divsChild>
                </w:div>
                <w:div w:id="1595236630">
                  <w:marLeft w:val="0"/>
                  <w:marRight w:val="0"/>
                  <w:marTop w:val="0"/>
                  <w:marBottom w:val="0"/>
                  <w:divBdr>
                    <w:top w:val="none" w:sz="0" w:space="0" w:color="auto"/>
                    <w:left w:val="none" w:sz="0" w:space="0" w:color="auto"/>
                    <w:bottom w:val="none" w:sz="0" w:space="0" w:color="auto"/>
                    <w:right w:val="none" w:sz="0" w:space="0" w:color="auto"/>
                  </w:divBdr>
                  <w:divsChild>
                    <w:div w:id="2121801592">
                      <w:marLeft w:val="0"/>
                      <w:marRight w:val="0"/>
                      <w:marTop w:val="0"/>
                      <w:marBottom w:val="0"/>
                      <w:divBdr>
                        <w:top w:val="none" w:sz="0" w:space="0" w:color="auto"/>
                        <w:left w:val="none" w:sz="0" w:space="0" w:color="auto"/>
                        <w:bottom w:val="none" w:sz="0" w:space="0" w:color="auto"/>
                        <w:right w:val="none" w:sz="0" w:space="0" w:color="auto"/>
                      </w:divBdr>
                    </w:div>
                  </w:divsChild>
                </w:div>
                <w:div w:id="1598634275">
                  <w:marLeft w:val="0"/>
                  <w:marRight w:val="0"/>
                  <w:marTop w:val="0"/>
                  <w:marBottom w:val="0"/>
                  <w:divBdr>
                    <w:top w:val="none" w:sz="0" w:space="0" w:color="auto"/>
                    <w:left w:val="none" w:sz="0" w:space="0" w:color="auto"/>
                    <w:bottom w:val="none" w:sz="0" w:space="0" w:color="auto"/>
                    <w:right w:val="none" w:sz="0" w:space="0" w:color="auto"/>
                  </w:divBdr>
                  <w:divsChild>
                    <w:div w:id="799227073">
                      <w:marLeft w:val="0"/>
                      <w:marRight w:val="0"/>
                      <w:marTop w:val="0"/>
                      <w:marBottom w:val="0"/>
                      <w:divBdr>
                        <w:top w:val="none" w:sz="0" w:space="0" w:color="auto"/>
                        <w:left w:val="none" w:sz="0" w:space="0" w:color="auto"/>
                        <w:bottom w:val="none" w:sz="0" w:space="0" w:color="auto"/>
                        <w:right w:val="none" w:sz="0" w:space="0" w:color="auto"/>
                      </w:divBdr>
                    </w:div>
                  </w:divsChild>
                </w:div>
                <w:div w:id="1617978180">
                  <w:marLeft w:val="0"/>
                  <w:marRight w:val="0"/>
                  <w:marTop w:val="0"/>
                  <w:marBottom w:val="0"/>
                  <w:divBdr>
                    <w:top w:val="none" w:sz="0" w:space="0" w:color="auto"/>
                    <w:left w:val="none" w:sz="0" w:space="0" w:color="auto"/>
                    <w:bottom w:val="none" w:sz="0" w:space="0" w:color="auto"/>
                    <w:right w:val="none" w:sz="0" w:space="0" w:color="auto"/>
                  </w:divBdr>
                  <w:divsChild>
                    <w:div w:id="1621720642">
                      <w:marLeft w:val="0"/>
                      <w:marRight w:val="0"/>
                      <w:marTop w:val="0"/>
                      <w:marBottom w:val="0"/>
                      <w:divBdr>
                        <w:top w:val="none" w:sz="0" w:space="0" w:color="auto"/>
                        <w:left w:val="none" w:sz="0" w:space="0" w:color="auto"/>
                        <w:bottom w:val="none" w:sz="0" w:space="0" w:color="auto"/>
                        <w:right w:val="none" w:sz="0" w:space="0" w:color="auto"/>
                      </w:divBdr>
                    </w:div>
                  </w:divsChild>
                </w:div>
                <w:div w:id="1630673080">
                  <w:marLeft w:val="0"/>
                  <w:marRight w:val="0"/>
                  <w:marTop w:val="0"/>
                  <w:marBottom w:val="0"/>
                  <w:divBdr>
                    <w:top w:val="none" w:sz="0" w:space="0" w:color="auto"/>
                    <w:left w:val="none" w:sz="0" w:space="0" w:color="auto"/>
                    <w:bottom w:val="none" w:sz="0" w:space="0" w:color="auto"/>
                    <w:right w:val="none" w:sz="0" w:space="0" w:color="auto"/>
                  </w:divBdr>
                  <w:divsChild>
                    <w:div w:id="143939219">
                      <w:marLeft w:val="0"/>
                      <w:marRight w:val="0"/>
                      <w:marTop w:val="0"/>
                      <w:marBottom w:val="0"/>
                      <w:divBdr>
                        <w:top w:val="none" w:sz="0" w:space="0" w:color="auto"/>
                        <w:left w:val="none" w:sz="0" w:space="0" w:color="auto"/>
                        <w:bottom w:val="none" w:sz="0" w:space="0" w:color="auto"/>
                        <w:right w:val="none" w:sz="0" w:space="0" w:color="auto"/>
                      </w:divBdr>
                    </w:div>
                  </w:divsChild>
                </w:div>
                <w:div w:id="1637684091">
                  <w:marLeft w:val="0"/>
                  <w:marRight w:val="0"/>
                  <w:marTop w:val="0"/>
                  <w:marBottom w:val="0"/>
                  <w:divBdr>
                    <w:top w:val="none" w:sz="0" w:space="0" w:color="auto"/>
                    <w:left w:val="none" w:sz="0" w:space="0" w:color="auto"/>
                    <w:bottom w:val="none" w:sz="0" w:space="0" w:color="auto"/>
                    <w:right w:val="none" w:sz="0" w:space="0" w:color="auto"/>
                  </w:divBdr>
                  <w:divsChild>
                    <w:div w:id="859511632">
                      <w:marLeft w:val="0"/>
                      <w:marRight w:val="0"/>
                      <w:marTop w:val="0"/>
                      <w:marBottom w:val="0"/>
                      <w:divBdr>
                        <w:top w:val="none" w:sz="0" w:space="0" w:color="auto"/>
                        <w:left w:val="none" w:sz="0" w:space="0" w:color="auto"/>
                        <w:bottom w:val="none" w:sz="0" w:space="0" w:color="auto"/>
                        <w:right w:val="none" w:sz="0" w:space="0" w:color="auto"/>
                      </w:divBdr>
                    </w:div>
                  </w:divsChild>
                </w:div>
                <w:div w:id="1640568750">
                  <w:marLeft w:val="0"/>
                  <w:marRight w:val="0"/>
                  <w:marTop w:val="0"/>
                  <w:marBottom w:val="0"/>
                  <w:divBdr>
                    <w:top w:val="none" w:sz="0" w:space="0" w:color="auto"/>
                    <w:left w:val="none" w:sz="0" w:space="0" w:color="auto"/>
                    <w:bottom w:val="none" w:sz="0" w:space="0" w:color="auto"/>
                    <w:right w:val="none" w:sz="0" w:space="0" w:color="auto"/>
                  </w:divBdr>
                  <w:divsChild>
                    <w:div w:id="1820534209">
                      <w:marLeft w:val="0"/>
                      <w:marRight w:val="0"/>
                      <w:marTop w:val="0"/>
                      <w:marBottom w:val="0"/>
                      <w:divBdr>
                        <w:top w:val="none" w:sz="0" w:space="0" w:color="auto"/>
                        <w:left w:val="none" w:sz="0" w:space="0" w:color="auto"/>
                        <w:bottom w:val="none" w:sz="0" w:space="0" w:color="auto"/>
                        <w:right w:val="none" w:sz="0" w:space="0" w:color="auto"/>
                      </w:divBdr>
                    </w:div>
                  </w:divsChild>
                </w:div>
                <w:div w:id="1641694266">
                  <w:marLeft w:val="0"/>
                  <w:marRight w:val="0"/>
                  <w:marTop w:val="0"/>
                  <w:marBottom w:val="0"/>
                  <w:divBdr>
                    <w:top w:val="none" w:sz="0" w:space="0" w:color="auto"/>
                    <w:left w:val="none" w:sz="0" w:space="0" w:color="auto"/>
                    <w:bottom w:val="none" w:sz="0" w:space="0" w:color="auto"/>
                    <w:right w:val="none" w:sz="0" w:space="0" w:color="auto"/>
                  </w:divBdr>
                  <w:divsChild>
                    <w:div w:id="2359465">
                      <w:marLeft w:val="0"/>
                      <w:marRight w:val="0"/>
                      <w:marTop w:val="0"/>
                      <w:marBottom w:val="0"/>
                      <w:divBdr>
                        <w:top w:val="none" w:sz="0" w:space="0" w:color="auto"/>
                        <w:left w:val="none" w:sz="0" w:space="0" w:color="auto"/>
                        <w:bottom w:val="none" w:sz="0" w:space="0" w:color="auto"/>
                        <w:right w:val="none" w:sz="0" w:space="0" w:color="auto"/>
                      </w:divBdr>
                    </w:div>
                  </w:divsChild>
                </w:div>
                <w:div w:id="1653172646">
                  <w:marLeft w:val="0"/>
                  <w:marRight w:val="0"/>
                  <w:marTop w:val="0"/>
                  <w:marBottom w:val="0"/>
                  <w:divBdr>
                    <w:top w:val="none" w:sz="0" w:space="0" w:color="auto"/>
                    <w:left w:val="none" w:sz="0" w:space="0" w:color="auto"/>
                    <w:bottom w:val="none" w:sz="0" w:space="0" w:color="auto"/>
                    <w:right w:val="none" w:sz="0" w:space="0" w:color="auto"/>
                  </w:divBdr>
                  <w:divsChild>
                    <w:div w:id="625041617">
                      <w:marLeft w:val="0"/>
                      <w:marRight w:val="0"/>
                      <w:marTop w:val="0"/>
                      <w:marBottom w:val="0"/>
                      <w:divBdr>
                        <w:top w:val="none" w:sz="0" w:space="0" w:color="auto"/>
                        <w:left w:val="none" w:sz="0" w:space="0" w:color="auto"/>
                        <w:bottom w:val="none" w:sz="0" w:space="0" w:color="auto"/>
                        <w:right w:val="none" w:sz="0" w:space="0" w:color="auto"/>
                      </w:divBdr>
                    </w:div>
                  </w:divsChild>
                </w:div>
                <w:div w:id="1657344962">
                  <w:marLeft w:val="0"/>
                  <w:marRight w:val="0"/>
                  <w:marTop w:val="0"/>
                  <w:marBottom w:val="0"/>
                  <w:divBdr>
                    <w:top w:val="none" w:sz="0" w:space="0" w:color="auto"/>
                    <w:left w:val="none" w:sz="0" w:space="0" w:color="auto"/>
                    <w:bottom w:val="none" w:sz="0" w:space="0" w:color="auto"/>
                    <w:right w:val="none" w:sz="0" w:space="0" w:color="auto"/>
                  </w:divBdr>
                  <w:divsChild>
                    <w:div w:id="658340802">
                      <w:marLeft w:val="0"/>
                      <w:marRight w:val="0"/>
                      <w:marTop w:val="0"/>
                      <w:marBottom w:val="0"/>
                      <w:divBdr>
                        <w:top w:val="none" w:sz="0" w:space="0" w:color="auto"/>
                        <w:left w:val="none" w:sz="0" w:space="0" w:color="auto"/>
                        <w:bottom w:val="none" w:sz="0" w:space="0" w:color="auto"/>
                        <w:right w:val="none" w:sz="0" w:space="0" w:color="auto"/>
                      </w:divBdr>
                    </w:div>
                  </w:divsChild>
                </w:div>
                <w:div w:id="1659727552">
                  <w:marLeft w:val="0"/>
                  <w:marRight w:val="0"/>
                  <w:marTop w:val="0"/>
                  <w:marBottom w:val="0"/>
                  <w:divBdr>
                    <w:top w:val="none" w:sz="0" w:space="0" w:color="auto"/>
                    <w:left w:val="none" w:sz="0" w:space="0" w:color="auto"/>
                    <w:bottom w:val="none" w:sz="0" w:space="0" w:color="auto"/>
                    <w:right w:val="none" w:sz="0" w:space="0" w:color="auto"/>
                  </w:divBdr>
                  <w:divsChild>
                    <w:div w:id="1241938845">
                      <w:marLeft w:val="0"/>
                      <w:marRight w:val="0"/>
                      <w:marTop w:val="0"/>
                      <w:marBottom w:val="0"/>
                      <w:divBdr>
                        <w:top w:val="none" w:sz="0" w:space="0" w:color="auto"/>
                        <w:left w:val="none" w:sz="0" w:space="0" w:color="auto"/>
                        <w:bottom w:val="none" w:sz="0" w:space="0" w:color="auto"/>
                        <w:right w:val="none" w:sz="0" w:space="0" w:color="auto"/>
                      </w:divBdr>
                    </w:div>
                  </w:divsChild>
                </w:div>
                <w:div w:id="1680041519">
                  <w:marLeft w:val="0"/>
                  <w:marRight w:val="0"/>
                  <w:marTop w:val="0"/>
                  <w:marBottom w:val="0"/>
                  <w:divBdr>
                    <w:top w:val="none" w:sz="0" w:space="0" w:color="auto"/>
                    <w:left w:val="none" w:sz="0" w:space="0" w:color="auto"/>
                    <w:bottom w:val="none" w:sz="0" w:space="0" w:color="auto"/>
                    <w:right w:val="none" w:sz="0" w:space="0" w:color="auto"/>
                  </w:divBdr>
                  <w:divsChild>
                    <w:div w:id="1501895144">
                      <w:marLeft w:val="0"/>
                      <w:marRight w:val="0"/>
                      <w:marTop w:val="0"/>
                      <w:marBottom w:val="0"/>
                      <w:divBdr>
                        <w:top w:val="none" w:sz="0" w:space="0" w:color="auto"/>
                        <w:left w:val="none" w:sz="0" w:space="0" w:color="auto"/>
                        <w:bottom w:val="none" w:sz="0" w:space="0" w:color="auto"/>
                        <w:right w:val="none" w:sz="0" w:space="0" w:color="auto"/>
                      </w:divBdr>
                    </w:div>
                  </w:divsChild>
                </w:div>
                <w:div w:id="1689134463">
                  <w:marLeft w:val="0"/>
                  <w:marRight w:val="0"/>
                  <w:marTop w:val="0"/>
                  <w:marBottom w:val="0"/>
                  <w:divBdr>
                    <w:top w:val="none" w:sz="0" w:space="0" w:color="auto"/>
                    <w:left w:val="none" w:sz="0" w:space="0" w:color="auto"/>
                    <w:bottom w:val="none" w:sz="0" w:space="0" w:color="auto"/>
                    <w:right w:val="none" w:sz="0" w:space="0" w:color="auto"/>
                  </w:divBdr>
                  <w:divsChild>
                    <w:div w:id="827326506">
                      <w:marLeft w:val="0"/>
                      <w:marRight w:val="0"/>
                      <w:marTop w:val="0"/>
                      <w:marBottom w:val="0"/>
                      <w:divBdr>
                        <w:top w:val="none" w:sz="0" w:space="0" w:color="auto"/>
                        <w:left w:val="none" w:sz="0" w:space="0" w:color="auto"/>
                        <w:bottom w:val="none" w:sz="0" w:space="0" w:color="auto"/>
                        <w:right w:val="none" w:sz="0" w:space="0" w:color="auto"/>
                      </w:divBdr>
                    </w:div>
                  </w:divsChild>
                </w:div>
                <w:div w:id="1701204279">
                  <w:marLeft w:val="0"/>
                  <w:marRight w:val="0"/>
                  <w:marTop w:val="0"/>
                  <w:marBottom w:val="0"/>
                  <w:divBdr>
                    <w:top w:val="none" w:sz="0" w:space="0" w:color="auto"/>
                    <w:left w:val="none" w:sz="0" w:space="0" w:color="auto"/>
                    <w:bottom w:val="none" w:sz="0" w:space="0" w:color="auto"/>
                    <w:right w:val="none" w:sz="0" w:space="0" w:color="auto"/>
                  </w:divBdr>
                  <w:divsChild>
                    <w:div w:id="960260106">
                      <w:marLeft w:val="0"/>
                      <w:marRight w:val="0"/>
                      <w:marTop w:val="0"/>
                      <w:marBottom w:val="0"/>
                      <w:divBdr>
                        <w:top w:val="none" w:sz="0" w:space="0" w:color="auto"/>
                        <w:left w:val="none" w:sz="0" w:space="0" w:color="auto"/>
                        <w:bottom w:val="none" w:sz="0" w:space="0" w:color="auto"/>
                        <w:right w:val="none" w:sz="0" w:space="0" w:color="auto"/>
                      </w:divBdr>
                    </w:div>
                  </w:divsChild>
                </w:div>
                <w:div w:id="1718970425">
                  <w:marLeft w:val="0"/>
                  <w:marRight w:val="0"/>
                  <w:marTop w:val="0"/>
                  <w:marBottom w:val="0"/>
                  <w:divBdr>
                    <w:top w:val="none" w:sz="0" w:space="0" w:color="auto"/>
                    <w:left w:val="none" w:sz="0" w:space="0" w:color="auto"/>
                    <w:bottom w:val="none" w:sz="0" w:space="0" w:color="auto"/>
                    <w:right w:val="none" w:sz="0" w:space="0" w:color="auto"/>
                  </w:divBdr>
                  <w:divsChild>
                    <w:div w:id="426728797">
                      <w:marLeft w:val="0"/>
                      <w:marRight w:val="0"/>
                      <w:marTop w:val="0"/>
                      <w:marBottom w:val="0"/>
                      <w:divBdr>
                        <w:top w:val="none" w:sz="0" w:space="0" w:color="auto"/>
                        <w:left w:val="none" w:sz="0" w:space="0" w:color="auto"/>
                        <w:bottom w:val="none" w:sz="0" w:space="0" w:color="auto"/>
                        <w:right w:val="none" w:sz="0" w:space="0" w:color="auto"/>
                      </w:divBdr>
                    </w:div>
                  </w:divsChild>
                </w:div>
                <w:div w:id="1725643042">
                  <w:marLeft w:val="0"/>
                  <w:marRight w:val="0"/>
                  <w:marTop w:val="0"/>
                  <w:marBottom w:val="0"/>
                  <w:divBdr>
                    <w:top w:val="none" w:sz="0" w:space="0" w:color="auto"/>
                    <w:left w:val="none" w:sz="0" w:space="0" w:color="auto"/>
                    <w:bottom w:val="none" w:sz="0" w:space="0" w:color="auto"/>
                    <w:right w:val="none" w:sz="0" w:space="0" w:color="auto"/>
                  </w:divBdr>
                  <w:divsChild>
                    <w:div w:id="651443764">
                      <w:marLeft w:val="0"/>
                      <w:marRight w:val="0"/>
                      <w:marTop w:val="0"/>
                      <w:marBottom w:val="0"/>
                      <w:divBdr>
                        <w:top w:val="none" w:sz="0" w:space="0" w:color="auto"/>
                        <w:left w:val="none" w:sz="0" w:space="0" w:color="auto"/>
                        <w:bottom w:val="none" w:sz="0" w:space="0" w:color="auto"/>
                        <w:right w:val="none" w:sz="0" w:space="0" w:color="auto"/>
                      </w:divBdr>
                    </w:div>
                  </w:divsChild>
                </w:div>
                <w:div w:id="1729645587">
                  <w:marLeft w:val="0"/>
                  <w:marRight w:val="0"/>
                  <w:marTop w:val="0"/>
                  <w:marBottom w:val="0"/>
                  <w:divBdr>
                    <w:top w:val="none" w:sz="0" w:space="0" w:color="auto"/>
                    <w:left w:val="none" w:sz="0" w:space="0" w:color="auto"/>
                    <w:bottom w:val="none" w:sz="0" w:space="0" w:color="auto"/>
                    <w:right w:val="none" w:sz="0" w:space="0" w:color="auto"/>
                  </w:divBdr>
                  <w:divsChild>
                    <w:div w:id="814833109">
                      <w:marLeft w:val="0"/>
                      <w:marRight w:val="0"/>
                      <w:marTop w:val="0"/>
                      <w:marBottom w:val="0"/>
                      <w:divBdr>
                        <w:top w:val="none" w:sz="0" w:space="0" w:color="auto"/>
                        <w:left w:val="none" w:sz="0" w:space="0" w:color="auto"/>
                        <w:bottom w:val="none" w:sz="0" w:space="0" w:color="auto"/>
                        <w:right w:val="none" w:sz="0" w:space="0" w:color="auto"/>
                      </w:divBdr>
                    </w:div>
                  </w:divsChild>
                </w:div>
                <w:div w:id="1736395008">
                  <w:marLeft w:val="0"/>
                  <w:marRight w:val="0"/>
                  <w:marTop w:val="0"/>
                  <w:marBottom w:val="0"/>
                  <w:divBdr>
                    <w:top w:val="none" w:sz="0" w:space="0" w:color="auto"/>
                    <w:left w:val="none" w:sz="0" w:space="0" w:color="auto"/>
                    <w:bottom w:val="none" w:sz="0" w:space="0" w:color="auto"/>
                    <w:right w:val="none" w:sz="0" w:space="0" w:color="auto"/>
                  </w:divBdr>
                  <w:divsChild>
                    <w:div w:id="1034576986">
                      <w:marLeft w:val="0"/>
                      <w:marRight w:val="0"/>
                      <w:marTop w:val="0"/>
                      <w:marBottom w:val="0"/>
                      <w:divBdr>
                        <w:top w:val="none" w:sz="0" w:space="0" w:color="auto"/>
                        <w:left w:val="none" w:sz="0" w:space="0" w:color="auto"/>
                        <w:bottom w:val="none" w:sz="0" w:space="0" w:color="auto"/>
                        <w:right w:val="none" w:sz="0" w:space="0" w:color="auto"/>
                      </w:divBdr>
                    </w:div>
                  </w:divsChild>
                </w:div>
                <w:div w:id="1737705053">
                  <w:marLeft w:val="0"/>
                  <w:marRight w:val="0"/>
                  <w:marTop w:val="0"/>
                  <w:marBottom w:val="0"/>
                  <w:divBdr>
                    <w:top w:val="none" w:sz="0" w:space="0" w:color="auto"/>
                    <w:left w:val="none" w:sz="0" w:space="0" w:color="auto"/>
                    <w:bottom w:val="none" w:sz="0" w:space="0" w:color="auto"/>
                    <w:right w:val="none" w:sz="0" w:space="0" w:color="auto"/>
                  </w:divBdr>
                  <w:divsChild>
                    <w:div w:id="1299843629">
                      <w:marLeft w:val="0"/>
                      <w:marRight w:val="0"/>
                      <w:marTop w:val="0"/>
                      <w:marBottom w:val="0"/>
                      <w:divBdr>
                        <w:top w:val="none" w:sz="0" w:space="0" w:color="auto"/>
                        <w:left w:val="none" w:sz="0" w:space="0" w:color="auto"/>
                        <w:bottom w:val="none" w:sz="0" w:space="0" w:color="auto"/>
                        <w:right w:val="none" w:sz="0" w:space="0" w:color="auto"/>
                      </w:divBdr>
                    </w:div>
                  </w:divsChild>
                </w:div>
                <w:div w:id="1746027614">
                  <w:marLeft w:val="0"/>
                  <w:marRight w:val="0"/>
                  <w:marTop w:val="0"/>
                  <w:marBottom w:val="0"/>
                  <w:divBdr>
                    <w:top w:val="none" w:sz="0" w:space="0" w:color="auto"/>
                    <w:left w:val="none" w:sz="0" w:space="0" w:color="auto"/>
                    <w:bottom w:val="none" w:sz="0" w:space="0" w:color="auto"/>
                    <w:right w:val="none" w:sz="0" w:space="0" w:color="auto"/>
                  </w:divBdr>
                  <w:divsChild>
                    <w:div w:id="1036389283">
                      <w:marLeft w:val="0"/>
                      <w:marRight w:val="0"/>
                      <w:marTop w:val="0"/>
                      <w:marBottom w:val="0"/>
                      <w:divBdr>
                        <w:top w:val="none" w:sz="0" w:space="0" w:color="auto"/>
                        <w:left w:val="none" w:sz="0" w:space="0" w:color="auto"/>
                        <w:bottom w:val="none" w:sz="0" w:space="0" w:color="auto"/>
                        <w:right w:val="none" w:sz="0" w:space="0" w:color="auto"/>
                      </w:divBdr>
                    </w:div>
                  </w:divsChild>
                </w:div>
                <w:div w:id="1752505755">
                  <w:marLeft w:val="0"/>
                  <w:marRight w:val="0"/>
                  <w:marTop w:val="0"/>
                  <w:marBottom w:val="0"/>
                  <w:divBdr>
                    <w:top w:val="none" w:sz="0" w:space="0" w:color="auto"/>
                    <w:left w:val="none" w:sz="0" w:space="0" w:color="auto"/>
                    <w:bottom w:val="none" w:sz="0" w:space="0" w:color="auto"/>
                    <w:right w:val="none" w:sz="0" w:space="0" w:color="auto"/>
                  </w:divBdr>
                  <w:divsChild>
                    <w:div w:id="2131242450">
                      <w:marLeft w:val="0"/>
                      <w:marRight w:val="0"/>
                      <w:marTop w:val="0"/>
                      <w:marBottom w:val="0"/>
                      <w:divBdr>
                        <w:top w:val="none" w:sz="0" w:space="0" w:color="auto"/>
                        <w:left w:val="none" w:sz="0" w:space="0" w:color="auto"/>
                        <w:bottom w:val="none" w:sz="0" w:space="0" w:color="auto"/>
                        <w:right w:val="none" w:sz="0" w:space="0" w:color="auto"/>
                      </w:divBdr>
                    </w:div>
                  </w:divsChild>
                </w:div>
                <w:div w:id="1754231556">
                  <w:marLeft w:val="0"/>
                  <w:marRight w:val="0"/>
                  <w:marTop w:val="0"/>
                  <w:marBottom w:val="0"/>
                  <w:divBdr>
                    <w:top w:val="none" w:sz="0" w:space="0" w:color="auto"/>
                    <w:left w:val="none" w:sz="0" w:space="0" w:color="auto"/>
                    <w:bottom w:val="none" w:sz="0" w:space="0" w:color="auto"/>
                    <w:right w:val="none" w:sz="0" w:space="0" w:color="auto"/>
                  </w:divBdr>
                  <w:divsChild>
                    <w:div w:id="2049840496">
                      <w:marLeft w:val="0"/>
                      <w:marRight w:val="0"/>
                      <w:marTop w:val="0"/>
                      <w:marBottom w:val="0"/>
                      <w:divBdr>
                        <w:top w:val="none" w:sz="0" w:space="0" w:color="auto"/>
                        <w:left w:val="none" w:sz="0" w:space="0" w:color="auto"/>
                        <w:bottom w:val="none" w:sz="0" w:space="0" w:color="auto"/>
                        <w:right w:val="none" w:sz="0" w:space="0" w:color="auto"/>
                      </w:divBdr>
                    </w:div>
                  </w:divsChild>
                </w:div>
                <w:div w:id="1765151646">
                  <w:marLeft w:val="0"/>
                  <w:marRight w:val="0"/>
                  <w:marTop w:val="0"/>
                  <w:marBottom w:val="0"/>
                  <w:divBdr>
                    <w:top w:val="none" w:sz="0" w:space="0" w:color="auto"/>
                    <w:left w:val="none" w:sz="0" w:space="0" w:color="auto"/>
                    <w:bottom w:val="none" w:sz="0" w:space="0" w:color="auto"/>
                    <w:right w:val="none" w:sz="0" w:space="0" w:color="auto"/>
                  </w:divBdr>
                  <w:divsChild>
                    <w:div w:id="303701637">
                      <w:marLeft w:val="0"/>
                      <w:marRight w:val="0"/>
                      <w:marTop w:val="0"/>
                      <w:marBottom w:val="0"/>
                      <w:divBdr>
                        <w:top w:val="none" w:sz="0" w:space="0" w:color="auto"/>
                        <w:left w:val="none" w:sz="0" w:space="0" w:color="auto"/>
                        <w:bottom w:val="none" w:sz="0" w:space="0" w:color="auto"/>
                        <w:right w:val="none" w:sz="0" w:space="0" w:color="auto"/>
                      </w:divBdr>
                    </w:div>
                  </w:divsChild>
                </w:div>
                <w:div w:id="1776175036">
                  <w:marLeft w:val="0"/>
                  <w:marRight w:val="0"/>
                  <w:marTop w:val="0"/>
                  <w:marBottom w:val="0"/>
                  <w:divBdr>
                    <w:top w:val="none" w:sz="0" w:space="0" w:color="auto"/>
                    <w:left w:val="none" w:sz="0" w:space="0" w:color="auto"/>
                    <w:bottom w:val="none" w:sz="0" w:space="0" w:color="auto"/>
                    <w:right w:val="none" w:sz="0" w:space="0" w:color="auto"/>
                  </w:divBdr>
                  <w:divsChild>
                    <w:div w:id="1224097802">
                      <w:marLeft w:val="0"/>
                      <w:marRight w:val="0"/>
                      <w:marTop w:val="0"/>
                      <w:marBottom w:val="0"/>
                      <w:divBdr>
                        <w:top w:val="none" w:sz="0" w:space="0" w:color="auto"/>
                        <w:left w:val="none" w:sz="0" w:space="0" w:color="auto"/>
                        <w:bottom w:val="none" w:sz="0" w:space="0" w:color="auto"/>
                        <w:right w:val="none" w:sz="0" w:space="0" w:color="auto"/>
                      </w:divBdr>
                    </w:div>
                  </w:divsChild>
                </w:div>
                <w:div w:id="1779829761">
                  <w:marLeft w:val="0"/>
                  <w:marRight w:val="0"/>
                  <w:marTop w:val="0"/>
                  <w:marBottom w:val="0"/>
                  <w:divBdr>
                    <w:top w:val="none" w:sz="0" w:space="0" w:color="auto"/>
                    <w:left w:val="none" w:sz="0" w:space="0" w:color="auto"/>
                    <w:bottom w:val="none" w:sz="0" w:space="0" w:color="auto"/>
                    <w:right w:val="none" w:sz="0" w:space="0" w:color="auto"/>
                  </w:divBdr>
                  <w:divsChild>
                    <w:div w:id="1965194021">
                      <w:marLeft w:val="0"/>
                      <w:marRight w:val="0"/>
                      <w:marTop w:val="0"/>
                      <w:marBottom w:val="0"/>
                      <w:divBdr>
                        <w:top w:val="none" w:sz="0" w:space="0" w:color="auto"/>
                        <w:left w:val="none" w:sz="0" w:space="0" w:color="auto"/>
                        <w:bottom w:val="none" w:sz="0" w:space="0" w:color="auto"/>
                        <w:right w:val="none" w:sz="0" w:space="0" w:color="auto"/>
                      </w:divBdr>
                    </w:div>
                  </w:divsChild>
                </w:div>
                <w:div w:id="1782527957">
                  <w:marLeft w:val="0"/>
                  <w:marRight w:val="0"/>
                  <w:marTop w:val="0"/>
                  <w:marBottom w:val="0"/>
                  <w:divBdr>
                    <w:top w:val="none" w:sz="0" w:space="0" w:color="auto"/>
                    <w:left w:val="none" w:sz="0" w:space="0" w:color="auto"/>
                    <w:bottom w:val="none" w:sz="0" w:space="0" w:color="auto"/>
                    <w:right w:val="none" w:sz="0" w:space="0" w:color="auto"/>
                  </w:divBdr>
                  <w:divsChild>
                    <w:div w:id="2018848520">
                      <w:marLeft w:val="0"/>
                      <w:marRight w:val="0"/>
                      <w:marTop w:val="0"/>
                      <w:marBottom w:val="0"/>
                      <w:divBdr>
                        <w:top w:val="none" w:sz="0" w:space="0" w:color="auto"/>
                        <w:left w:val="none" w:sz="0" w:space="0" w:color="auto"/>
                        <w:bottom w:val="none" w:sz="0" w:space="0" w:color="auto"/>
                        <w:right w:val="none" w:sz="0" w:space="0" w:color="auto"/>
                      </w:divBdr>
                    </w:div>
                  </w:divsChild>
                </w:div>
                <w:div w:id="1783569775">
                  <w:marLeft w:val="0"/>
                  <w:marRight w:val="0"/>
                  <w:marTop w:val="0"/>
                  <w:marBottom w:val="0"/>
                  <w:divBdr>
                    <w:top w:val="none" w:sz="0" w:space="0" w:color="auto"/>
                    <w:left w:val="none" w:sz="0" w:space="0" w:color="auto"/>
                    <w:bottom w:val="none" w:sz="0" w:space="0" w:color="auto"/>
                    <w:right w:val="none" w:sz="0" w:space="0" w:color="auto"/>
                  </w:divBdr>
                  <w:divsChild>
                    <w:div w:id="2023892087">
                      <w:marLeft w:val="0"/>
                      <w:marRight w:val="0"/>
                      <w:marTop w:val="0"/>
                      <w:marBottom w:val="0"/>
                      <w:divBdr>
                        <w:top w:val="none" w:sz="0" w:space="0" w:color="auto"/>
                        <w:left w:val="none" w:sz="0" w:space="0" w:color="auto"/>
                        <w:bottom w:val="none" w:sz="0" w:space="0" w:color="auto"/>
                        <w:right w:val="none" w:sz="0" w:space="0" w:color="auto"/>
                      </w:divBdr>
                    </w:div>
                  </w:divsChild>
                </w:div>
                <w:div w:id="1795055161">
                  <w:marLeft w:val="0"/>
                  <w:marRight w:val="0"/>
                  <w:marTop w:val="0"/>
                  <w:marBottom w:val="0"/>
                  <w:divBdr>
                    <w:top w:val="none" w:sz="0" w:space="0" w:color="auto"/>
                    <w:left w:val="none" w:sz="0" w:space="0" w:color="auto"/>
                    <w:bottom w:val="none" w:sz="0" w:space="0" w:color="auto"/>
                    <w:right w:val="none" w:sz="0" w:space="0" w:color="auto"/>
                  </w:divBdr>
                  <w:divsChild>
                    <w:div w:id="1888367716">
                      <w:marLeft w:val="0"/>
                      <w:marRight w:val="0"/>
                      <w:marTop w:val="0"/>
                      <w:marBottom w:val="0"/>
                      <w:divBdr>
                        <w:top w:val="none" w:sz="0" w:space="0" w:color="auto"/>
                        <w:left w:val="none" w:sz="0" w:space="0" w:color="auto"/>
                        <w:bottom w:val="none" w:sz="0" w:space="0" w:color="auto"/>
                        <w:right w:val="none" w:sz="0" w:space="0" w:color="auto"/>
                      </w:divBdr>
                    </w:div>
                  </w:divsChild>
                </w:div>
                <w:div w:id="1801338653">
                  <w:marLeft w:val="0"/>
                  <w:marRight w:val="0"/>
                  <w:marTop w:val="0"/>
                  <w:marBottom w:val="0"/>
                  <w:divBdr>
                    <w:top w:val="none" w:sz="0" w:space="0" w:color="auto"/>
                    <w:left w:val="none" w:sz="0" w:space="0" w:color="auto"/>
                    <w:bottom w:val="none" w:sz="0" w:space="0" w:color="auto"/>
                    <w:right w:val="none" w:sz="0" w:space="0" w:color="auto"/>
                  </w:divBdr>
                  <w:divsChild>
                    <w:div w:id="1095173834">
                      <w:marLeft w:val="0"/>
                      <w:marRight w:val="0"/>
                      <w:marTop w:val="0"/>
                      <w:marBottom w:val="0"/>
                      <w:divBdr>
                        <w:top w:val="none" w:sz="0" w:space="0" w:color="auto"/>
                        <w:left w:val="none" w:sz="0" w:space="0" w:color="auto"/>
                        <w:bottom w:val="none" w:sz="0" w:space="0" w:color="auto"/>
                        <w:right w:val="none" w:sz="0" w:space="0" w:color="auto"/>
                      </w:divBdr>
                    </w:div>
                  </w:divsChild>
                </w:div>
                <w:div w:id="1801343022">
                  <w:marLeft w:val="0"/>
                  <w:marRight w:val="0"/>
                  <w:marTop w:val="0"/>
                  <w:marBottom w:val="0"/>
                  <w:divBdr>
                    <w:top w:val="none" w:sz="0" w:space="0" w:color="auto"/>
                    <w:left w:val="none" w:sz="0" w:space="0" w:color="auto"/>
                    <w:bottom w:val="none" w:sz="0" w:space="0" w:color="auto"/>
                    <w:right w:val="none" w:sz="0" w:space="0" w:color="auto"/>
                  </w:divBdr>
                  <w:divsChild>
                    <w:div w:id="1431120671">
                      <w:marLeft w:val="0"/>
                      <w:marRight w:val="0"/>
                      <w:marTop w:val="0"/>
                      <w:marBottom w:val="0"/>
                      <w:divBdr>
                        <w:top w:val="none" w:sz="0" w:space="0" w:color="auto"/>
                        <w:left w:val="none" w:sz="0" w:space="0" w:color="auto"/>
                        <w:bottom w:val="none" w:sz="0" w:space="0" w:color="auto"/>
                        <w:right w:val="none" w:sz="0" w:space="0" w:color="auto"/>
                      </w:divBdr>
                    </w:div>
                  </w:divsChild>
                </w:div>
                <w:div w:id="1803577749">
                  <w:marLeft w:val="0"/>
                  <w:marRight w:val="0"/>
                  <w:marTop w:val="0"/>
                  <w:marBottom w:val="0"/>
                  <w:divBdr>
                    <w:top w:val="none" w:sz="0" w:space="0" w:color="auto"/>
                    <w:left w:val="none" w:sz="0" w:space="0" w:color="auto"/>
                    <w:bottom w:val="none" w:sz="0" w:space="0" w:color="auto"/>
                    <w:right w:val="none" w:sz="0" w:space="0" w:color="auto"/>
                  </w:divBdr>
                  <w:divsChild>
                    <w:div w:id="34737639">
                      <w:marLeft w:val="0"/>
                      <w:marRight w:val="0"/>
                      <w:marTop w:val="0"/>
                      <w:marBottom w:val="0"/>
                      <w:divBdr>
                        <w:top w:val="none" w:sz="0" w:space="0" w:color="auto"/>
                        <w:left w:val="none" w:sz="0" w:space="0" w:color="auto"/>
                        <w:bottom w:val="none" w:sz="0" w:space="0" w:color="auto"/>
                        <w:right w:val="none" w:sz="0" w:space="0" w:color="auto"/>
                      </w:divBdr>
                    </w:div>
                  </w:divsChild>
                </w:div>
                <w:div w:id="1833791997">
                  <w:marLeft w:val="0"/>
                  <w:marRight w:val="0"/>
                  <w:marTop w:val="0"/>
                  <w:marBottom w:val="0"/>
                  <w:divBdr>
                    <w:top w:val="none" w:sz="0" w:space="0" w:color="auto"/>
                    <w:left w:val="none" w:sz="0" w:space="0" w:color="auto"/>
                    <w:bottom w:val="none" w:sz="0" w:space="0" w:color="auto"/>
                    <w:right w:val="none" w:sz="0" w:space="0" w:color="auto"/>
                  </w:divBdr>
                  <w:divsChild>
                    <w:div w:id="190147674">
                      <w:marLeft w:val="0"/>
                      <w:marRight w:val="0"/>
                      <w:marTop w:val="0"/>
                      <w:marBottom w:val="0"/>
                      <w:divBdr>
                        <w:top w:val="none" w:sz="0" w:space="0" w:color="auto"/>
                        <w:left w:val="none" w:sz="0" w:space="0" w:color="auto"/>
                        <w:bottom w:val="none" w:sz="0" w:space="0" w:color="auto"/>
                        <w:right w:val="none" w:sz="0" w:space="0" w:color="auto"/>
                      </w:divBdr>
                    </w:div>
                  </w:divsChild>
                </w:div>
                <w:div w:id="1846742004">
                  <w:marLeft w:val="0"/>
                  <w:marRight w:val="0"/>
                  <w:marTop w:val="0"/>
                  <w:marBottom w:val="0"/>
                  <w:divBdr>
                    <w:top w:val="none" w:sz="0" w:space="0" w:color="auto"/>
                    <w:left w:val="none" w:sz="0" w:space="0" w:color="auto"/>
                    <w:bottom w:val="none" w:sz="0" w:space="0" w:color="auto"/>
                    <w:right w:val="none" w:sz="0" w:space="0" w:color="auto"/>
                  </w:divBdr>
                  <w:divsChild>
                    <w:div w:id="1615864157">
                      <w:marLeft w:val="0"/>
                      <w:marRight w:val="0"/>
                      <w:marTop w:val="0"/>
                      <w:marBottom w:val="0"/>
                      <w:divBdr>
                        <w:top w:val="none" w:sz="0" w:space="0" w:color="auto"/>
                        <w:left w:val="none" w:sz="0" w:space="0" w:color="auto"/>
                        <w:bottom w:val="none" w:sz="0" w:space="0" w:color="auto"/>
                        <w:right w:val="none" w:sz="0" w:space="0" w:color="auto"/>
                      </w:divBdr>
                    </w:div>
                  </w:divsChild>
                </w:div>
                <w:div w:id="1849832062">
                  <w:marLeft w:val="0"/>
                  <w:marRight w:val="0"/>
                  <w:marTop w:val="0"/>
                  <w:marBottom w:val="0"/>
                  <w:divBdr>
                    <w:top w:val="none" w:sz="0" w:space="0" w:color="auto"/>
                    <w:left w:val="none" w:sz="0" w:space="0" w:color="auto"/>
                    <w:bottom w:val="none" w:sz="0" w:space="0" w:color="auto"/>
                    <w:right w:val="none" w:sz="0" w:space="0" w:color="auto"/>
                  </w:divBdr>
                  <w:divsChild>
                    <w:div w:id="1005212197">
                      <w:marLeft w:val="0"/>
                      <w:marRight w:val="0"/>
                      <w:marTop w:val="0"/>
                      <w:marBottom w:val="0"/>
                      <w:divBdr>
                        <w:top w:val="none" w:sz="0" w:space="0" w:color="auto"/>
                        <w:left w:val="none" w:sz="0" w:space="0" w:color="auto"/>
                        <w:bottom w:val="none" w:sz="0" w:space="0" w:color="auto"/>
                        <w:right w:val="none" w:sz="0" w:space="0" w:color="auto"/>
                      </w:divBdr>
                    </w:div>
                  </w:divsChild>
                </w:div>
                <w:div w:id="1862283546">
                  <w:marLeft w:val="0"/>
                  <w:marRight w:val="0"/>
                  <w:marTop w:val="0"/>
                  <w:marBottom w:val="0"/>
                  <w:divBdr>
                    <w:top w:val="none" w:sz="0" w:space="0" w:color="auto"/>
                    <w:left w:val="none" w:sz="0" w:space="0" w:color="auto"/>
                    <w:bottom w:val="none" w:sz="0" w:space="0" w:color="auto"/>
                    <w:right w:val="none" w:sz="0" w:space="0" w:color="auto"/>
                  </w:divBdr>
                  <w:divsChild>
                    <w:div w:id="1747678719">
                      <w:marLeft w:val="0"/>
                      <w:marRight w:val="0"/>
                      <w:marTop w:val="0"/>
                      <w:marBottom w:val="0"/>
                      <w:divBdr>
                        <w:top w:val="none" w:sz="0" w:space="0" w:color="auto"/>
                        <w:left w:val="none" w:sz="0" w:space="0" w:color="auto"/>
                        <w:bottom w:val="none" w:sz="0" w:space="0" w:color="auto"/>
                        <w:right w:val="none" w:sz="0" w:space="0" w:color="auto"/>
                      </w:divBdr>
                    </w:div>
                  </w:divsChild>
                </w:div>
                <w:div w:id="1865751621">
                  <w:marLeft w:val="0"/>
                  <w:marRight w:val="0"/>
                  <w:marTop w:val="0"/>
                  <w:marBottom w:val="0"/>
                  <w:divBdr>
                    <w:top w:val="none" w:sz="0" w:space="0" w:color="auto"/>
                    <w:left w:val="none" w:sz="0" w:space="0" w:color="auto"/>
                    <w:bottom w:val="none" w:sz="0" w:space="0" w:color="auto"/>
                    <w:right w:val="none" w:sz="0" w:space="0" w:color="auto"/>
                  </w:divBdr>
                  <w:divsChild>
                    <w:div w:id="1493527823">
                      <w:marLeft w:val="0"/>
                      <w:marRight w:val="0"/>
                      <w:marTop w:val="0"/>
                      <w:marBottom w:val="0"/>
                      <w:divBdr>
                        <w:top w:val="none" w:sz="0" w:space="0" w:color="auto"/>
                        <w:left w:val="none" w:sz="0" w:space="0" w:color="auto"/>
                        <w:bottom w:val="none" w:sz="0" w:space="0" w:color="auto"/>
                        <w:right w:val="none" w:sz="0" w:space="0" w:color="auto"/>
                      </w:divBdr>
                    </w:div>
                  </w:divsChild>
                </w:div>
                <w:div w:id="1872457210">
                  <w:marLeft w:val="0"/>
                  <w:marRight w:val="0"/>
                  <w:marTop w:val="0"/>
                  <w:marBottom w:val="0"/>
                  <w:divBdr>
                    <w:top w:val="none" w:sz="0" w:space="0" w:color="auto"/>
                    <w:left w:val="none" w:sz="0" w:space="0" w:color="auto"/>
                    <w:bottom w:val="none" w:sz="0" w:space="0" w:color="auto"/>
                    <w:right w:val="none" w:sz="0" w:space="0" w:color="auto"/>
                  </w:divBdr>
                  <w:divsChild>
                    <w:div w:id="331028361">
                      <w:marLeft w:val="0"/>
                      <w:marRight w:val="0"/>
                      <w:marTop w:val="0"/>
                      <w:marBottom w:val="0"/>
                      <w:divBdr>
                        <w:top w:val="none" w:sz="0" w:space="0" w:color="auto"/>
                        <w:left w:val="none" w:sz="0" w:space="0" w:color="auto"/>
                        <w:bottom w:val="none" w:sz="0" w:space="0" w:color="auto"/>
                        <w:right w:val="none" w:sz="0" w:space="0" w:color="auto"/>
                      </w:divBdr>
                    </w:div>
                  </w:divsChild>
                </w:div>
                <w:div w:id="1875924614">
                  <w:marLeft w:val="0"/>
                  <w:marRight w:val="0"/>
                  <w:marTop w:val="0"/>
                  <w:marBottom w:val="0"/>
                  <w:divBdr>
                    <w:top w:val="none" w:sz="0" w:space="0" w:color="auto"/>
                    <w:left w:val="none" w:sz="0" w:space="0" w:color="auto"/>
                    <w:bottom w:val="none" w:sz="0" w:space="0" w:color="auto"/>
                    <w:right w:val="none" w:sz="0" w:space="0" w:color="auto"/>
                  </w:divBdr>
                  <w:divsChild>
                    <w:div w:id="1934167330">
                      <w:marLeft w:val="0"/>
                      <w:marRight w:val="0"/>
                      <w:marTop w:val="0"/>
                      <w:marBottom w:val="0"/>
                      <w:divBdr>
                        <w:top w:val="none" w:sz="0" w:space="0" w:color="auto"/>
                        <w:left w:val="none" w:sz="0" w:space="0" w:color="auto"/>
                        <w:bottom w:val="none" w:sz="0" w:space="0" w:color="auto"/>
                        <w:right w:val="none" w:sz="0" w:space="0" w:color="auto"/>
                      </w:divBdr>
                    </w:div>
                  </w:divsChild>
                </w:div>
                <w:div w:id="1879974592">
                  <w:marLeft w:val="0"/>
                  <w:marRight w:val="0"/>
                  <w:marTop w:val="0"/>
                  <w:marBottom w:val="0"/>
                  <w:divBdr>
                    <w:top w:val="none" w:sz="0" w:space="0" w:color="auto"/>
                    <w:left w:val="none" w:sz="0" w:space="0" w:color="auto"/>
                    <w:bottom w:val="none" w:sz="0" w:space="0" w:color="auto"/>
                    <w:right w:val="none" w:sz="0" w:space="0" w:color="auto"/>
                  </w:divBdr>
                  <w:divsChild>
                    <w:div w:id="418059151">
                      <w:marLeft w:val="0"/>
                      <w:marRight w:val="0"/>
                      <w:marTop w:val="0"/>
                      <w:marBottom w:val="0"/>
                      <w:divBdr>
                        <w:top w:val="none" w:sz="0" w:space="0" w:color="auto"/>
                        <w:left w:val="none" w:sz="0" w:space="0" w:color="auto"/>
                        <w:bottom w:val="none" w:sz="0" w:space="0" w:color="auto"/>
                        <w:right w:val="none" w:sz="0" w:space="0" w:color="auto"/>
                      </w:divBdr>
                    </w:div>
                  </w:divsChild>
                </w:div>
                <w:div w:id="1881741641">
                  <w:marLeft w:val="0"/>
                  <w:marRight w:val="0"/>
                  <w:marTop w:val="0"/>
                  <w:marBottom w:val="0"/>
                  <w:divBdr>
                    <w:top w:val="none" w:sz="0" w:space="0" w:color="auto"/>
                    <w:left w:val="none" w:sz="0" w:space="0" w:color="auto"/>
                    <w:bottom w:val="none" w:sz="0" w:space="0" w:color="auto"/>
                    <w:right w:val="none" w:sz="0" w:space="0" w:color="auto"/>
                  </w:divBdr>
                  <w:divsChild>
                    <w:div w:id="1923875760">
                      <w:marLeft w:val="0"/>
                      <w:marRight w:val="0"/>
                      <w:marTop w:val="0"/>
                      <w:marBottom w:val="0"/>
                      <w:divBdr>
                        <w:top w:val="none" w:sz="0" w:space="0" w:color="auto"/>
                        <w:left w:val="none" w:sz="0" w:space="0" w:color="auto"/>
                        <w:bottom w:val="none" w:sz="0" w:space="0" w:color="auto"/>
                        <w:right w:val="none" w:sz="0" w:space="0" w:color="auto"/>
                      </w:divBdr>
                    </w:div>
                  </w:divsChild>
                </w:div>
                <w:div w:id="1882401752">
                  <w:marLeft w:val="0"/>
                  <w:marRight w:val="0"/>
                  <w:marTop w:val="0"/>
                  <w:marBottom w:val="0"/>
                  <w:divBdr>
                    <w:top w:val="none" w:sz="0" w:space="0" w:color="auto"/>
                    <w:left w:val="none" w:sz="0" w:space="0" w:color="auto"/>
                    <w:bottom w:val="none" w:sz="0" w:space="0" w:color="auto"/>
                    <w:right w:val="none" w:sz="0" w:space="0" w:color="auto"/>
                  </w:divBdr>
                  <w:divsChild>
                    <w:div w:id="1595628603">
                      <w:marLeft w:val="0"/>
                      <w:marRight w:val="0"/>
                      <w:marTop w:val="0"/>
                      <w:marBottom w:val="0"/>
                      <w:divBdr>
                        <w:top w:val="none" w:sz="0" w:space="0" w:color="auto"/>
                        <w:left w:val="none" w:sz="0" w:space="0" w:color="auto"/>
                        <w:bottom w:val="none" w:sz="0" w:space="0" w:color="auto"/>
                        <w:right w:val="none" w:sz="0" w:space="0" w:color="auto"/>
                      </w:divBdr>
                    </w:div>
                  </w:divsChild>
                </w:div>
                <w:div w:id="1894928376">
                  <w:marLeft w:val="0"/>
                  <w:marRight w:val="0"/>
                  <w:marTop w:val="0"/>
                  <w:marBottom w:val="0"/>
                  <w:divBdr>
                    <w:top w:val="none" w:sz="0" w:space="0" w:color="auto"/>
                    <w:left w:val="none" w:sz="0" w:space="0" w:color="auto"/>
                    <w:bottom w:val="none" w:sz="0" w:space="0" w:color="auto"/>
                    <w:right w:val="none" w:sz="0" w:space="0" w:color="auto"/>
                  </w:divBdr>
                  <w:divsChild>
                    <w:div w:id="1023089175">
                      <w:marLeft w:val="0"/>
                      <w:marRight w:val="0"/>
                      <w:marTop w:val="0"/>
                      <w:marBottom w:val="0"/>
                      <w:divBdr>
                        <w:top w:val="none" w:sz="0" w:space="0" w:color="auto"/>
                        <w:left w:val="none" w:sz="0" w:space="0" w:color="auto"/>
                        <w:bottom w:val="none" w:sz="0" w:space="0" w:color="auto"/>
                        <w:right w:val="none" w:sz="0" w:space="0" w:color="auto"/>
                      </w:divBdr>
                    </w:div>
                  </w:divsChild>
                </w:div>
                <w:div w:id="1897734782">
                  <w:marLeft w:val="0"/>
                  <w:marRight w:val="0"/>
                  <w:marTop w:val="0"/>
                  <w:marBottom w:val="0"/>
                  <w:divBdr>
                    <w:top w:val="none" w:sz="0" w:space="0" w:color="auto"/>
                    <w:left w:val="none" w:sz="0" w:space="0" w:color="auto"/>
                    <w:bottom w:val="none" w:sz="0" w:space="0" w:color="auto"/>
                    <w:right w:val="none" w:sz="0" w:space="0" w:color="auto"/>
                  </w:divBdr>
                  <w:divsChild>
                    <w:div w:id="2011252454">
                      <w:marLeft w:val="0"/>
                      <w:marRight w:val="0"/>
                      <w:marTop w:val="0"/>
                      <w:marBottom w:val="0"/>
                      <w:divBdr>
                        <w:top w:val="none" w:sz="0" w:space="0" w:color="auto"/>
                        <w:left w:val="none" w:sz="0" w:space="0" w:color="auto"/>
                        <w:bottom w:val="none" w:sz="0" w:space="0" w:color="auto"/>
                        <w:right w:val="none" w:sz="0" w:space="0" w:color="auto"/>
                      </w:divBdr>
                    </w:div>
                  </w:divsChild>
                </w:div>
                <w:div w:id="1903829070">
                  <w:marLeft w:val="0"/>
                  <w:marRight w:val="0"/>
                  <w:marTop w:val="0"/>
                  <w:marBottom w:val="0"/>
                  <w:divBdr>
                    <w:top w:val="none" w:sz="0" w:space="0" w:color="auto"/>
                    <w:left w:val="none" w:sz="0" w:space="0" w:color="auto"/>
                    <w:bottom w:val="none" w:sz="0" w:space="0" w:color="auto"/>
                    <w:right w:val="none" w:sz="0" w:space="0" w:color="auto"/>
                  </w:divBdr>
                  <w:divsChild>
                    <w:div w:id="1685787415">
                      <w:marLeft w:val="0"/>
                      <w:marRight w:val="0"/>
                      <w:marTop w:val="0"/>
                      <w:marBottom w:val="0"/>
                      <w:divBdr>
                        <w:top w:val="none" w:sz="0" w:space="0" w:color="auto"/>
                        <w:left w:val="none" w:sz="0" w:space="0" w:color="auto"/>
                        <w:bottom w:val="none" w:sz="0" w:space="0" w:color="auto"/>
                        <w:right w:val="none" w:sz="0" w:space="0" w:color="auto"/>
                      </w:divBdr>
                    </w:div>
                  </w:divsChild>
                </w:div>
                <w:div w:id="1904750101">
                  <w:marLeft w:val="0"/>
                  <w:marRight w:val="0"/>
                  <w:marTop w:val="0"/>
                  <w:marBottom w:val="0"/>
                  <w:divBdr>
                    <w:top w:val="none" w:sz="0" w:space="0" w:color="auto"/>
                    <w:left w:val="none" w:sz="0" w:space="0" w:color="auto"/>
                    <w:bottom w:val="none" w:sz="0" w:space="0" w:color="auto"/>
                    <w:right w:val="none" w:sz="0" w:space="0" w:color="auto"/>
                  </w:divBdr>
                  <w:divsChild>
                    <w:div w:id="2049064957">
                      <w:marLeft w:val="0"/>
                      <w:marRight w:val="0"/>
                      <w:marTop w:val="0"/>
                      <w:marBottom w:val="0"/>
                      <w:divBdr>
                        <w:top w:val="none" w:sz="0" w:space="0" w:color="auto"/>
                        <w:left w:val="none" w:sz="0" w:space="0" w:color="auto"/>
                        <w:bottom w:val="none" w:sz="0" w:space="0" w:color="auto"/>
                        <w:right w:val="none" w:sz="0" w:space="0" w:color="auto"/>
                      </w:divBdr>
                    </w:div>
                  </w:divsChild>
                </w:div>
                <w:div w:id="1916937809">
                  <w:marLeft w:val="0"/>
                  <w:marRight w:val="0"/>
                  <w:marTop w:val="0"/>
                  <w:marBottom w:val="0"/>
                  <w:divBdr>
                    <w:top w:val="none" w:sz="0" w:space="0" w:color="auto"/>
                    <w:left w:val="none" w:sz="0" w:space="0" w:color="auto"/>
                    <w:bottom w:val="none" w:sz="0" w:space="0" w:color="auto"/>
                    <w:right w:val="none" w:sz="0" w:space="0" w:color="auto"/>
                  </w:divBdr>
                  <w:divsChild>
                    <w:div w:id="437070687">
                      <w:marLeft w:val="0"/>
                      <w:marRight w:val="0"/>
                      <w:marTop w:val="0"/>
                      <w:marBottom w:val="0"/>
                      <w:divBdr>
                        <w:top w:val="none" w:sz="0" w:space="0" w:color="auto"/>
                        <w:left w:val="none" w:sz="0" w:space="0" w:color="auto"/>
                        <w:bottom w:val="none" w:sz="0" w:space="0" w:color="auto"/>
                        <w:right w:val="none" w:sz="0" w:space="0" w:color="auto"/>
                      </w:divBdr>
                    </w:div>
                  </w:divsChild>
                </w:div>
                <w:div w:id="1917202820">
                  <w:marLeft w:val="0"/>
                  <w:marRight w:val="0"/>
                  <w:marTop w:val="0"/>
                  <w:marBottom w:val="0"/>
                  <w:divBdr>
                    <w:top w:val="none" w:sz="0" w:space="0" w:color="auto"/>
                    <w:left w:val="none" w:sz="0" w:space="0" w:color="auto"/>
                    <w:bottom w:val="none" w:sz="0" w:space="0" w:color="auto"/>
                    <w:right w:val="none" w:sz="0" w:space="0" w:color="auto"/>
                  </w:divBdr>
                  <w:divsChild>
                    <w:div w:id="709452923">
                      <w:marLeft w:val="0"/>
                      <w:marRight w:val="0"/>
                      <w:marTop w:val="0"/>
                      <w:marBottom w:val="0"/>
                      <w:divBdr>
                        <w:top w:val="none" w:sz="0" w:space="0" w:color="auto"/>
                        <w:left w:val="none" w:sz="0" w:space="0" w:color="auto"/>
                        <w:bottom w:val="none" w:sz="0" w:space="0" w:color="auto"/>
                        <w:right w:val="none" w:sz="0" w:space="0" w:color="auto"/>
                      </w:divBdr>
                    </w:div>
                  </w:divsChild>
                </w:div>
                <w:div w:id="1917668907">
                  <w:marLeft w:val="0"/>
                  <w:marRight w:val="0"/>
                  <w:marTop w:val="0"/>
                  <w:marBottom w:val="0"/>
                  <w:divBdr>
                    <w:top w:val="none" w:sz="0" w:space="0" w:color="auto"/>
                    <w:left w:val="none" w:sz="0" w:space="0" w:color="auto"/>
                    <w:bottom w:val="none" w:sz="0" w:space="0" w:color="auto"/>
                    <w:right w:val="none" w:sz="0" w:space="0" w:color="auto"/>
                  </w:divBdr>
                  <w:divsChild>
                    <w:div w:id="708409509">
                      <w:marLeft w:val="0"/>
                      <w:marRight w:val="0"/>
                      <w:marTop w:val="0"/>
                      <w:marBottom w:val="0"/>
                      <w:divBdr>
                        <w:top w:val="none" w:sz="0" w:space="0" w:color="auto"/>
                        <w:left w:val="none" w:sz="0" w:space="0" w:color="auto"/>
                        <w:bottom w:val="none" w:sz="0" w:space="0" w:color="auto"/>
                        <w:right w:val="none" w:sz="0" w:space="0" w:color="auto"/>
                      </w:divBdr>
                    </w:div>
                  </w:divsChild>
                </w:div>
                <w:div w:id="1922255953">
                  <w:marLeft w:val="0"/>
                  <w:marRight w:val="0"/>
                  <w:marTop w:val="0"/>
                  <w:marBottom w:val="0"/>
                  <w:divBdr>
                    <w:top w:val="none" w:sz="0" w:space="0" w:color="auto"/>
                    <w:left w:val="none" w:sz="0" w:space="0" w:color="auto"/>
                    <w:bottom w:val="none" w:sz="0" w:space="0" w:color="auto"/>
                    <w:right w:val="none" w:sz="0" w:space="0" w:color="auto"/>
                  </w:divBdr>
                  <w:divsChild>
                    <w:div w:id="984823097">
                      <w:marLeft w:val="0"/>
                      <w:marRight w:val="0"/>
                      <w:marTop w:val="0"/>
                      <w:marBottom w:val="0"/>
                      <w:divBdr>
                        <w:top w:val="none" w:sz="0" w:space="0" w:color="auto"/>
                        <w:left w:val="none" w:sz="0" w:space="0" w:color="auto"/>
                        <w:bottom w:val="none" w:sz="0" w:space="0" w:color="auto"/>
                        <w:right w:val="none" w:sz="0" w:space="0" w:color="auto"/>
                      </w:divBdr>
                    </w:div>
                  </w:divsChild>
                </w:div>
                <w:div w:id="1929146141">
                  <w:marLeft w:val="0"/>
                  <w:marRight w:val="0"/>
                  <w:marTop w:val="0"/>
                  <w:marBottom w:val="0"/>
                  <w:divBdr>
                    <w:top w:val="none" w:sz="0" w:space="0" w:color="auto"/>
                    <w:left w:val="none" w:sz="0" w:space="0" w:color="auto"/>
                    <w:bottom w:val="none" w:sz="0" w:space="0" w:color="auto"/>
                    <w:right w:val="none" w:sz="0" w:space="0" w:color="auto"/>
                  </w:divBdr>
                  <w:divsChild>
                    <w:div w:id="1997144944">
                      <w:marLeft w:val="0"/>
                      <w:marRight w:val="0"/>
                      <w:marTop w:val="0"/>
                      <w:marBottom w:val="0"/>
                      <w:divBdr>
                        <w:top w:val="none" w:sz="0" w:space="0" w:color="auto"/>
                        <w:left w:val="none" w:sz="0" w:space="0" w:color="auto"/>
                        <w:bottom w:val="none" w:sz="0" w:space="0" w:color="auto"/>
                        <w:right w:val="none" w:sz="0" w:space="0" w:color="auto"/>
                      </w:divBdr>
                    </w:div>
                  </w:divsChild>
                </w:div>
                <w:div w:id="1929462345">
                  <w:marLeft w:val="0"/>
                  <w:marRight w:val="0"/>
                  <w:marTop w:val="0"/>
                  <w:marBottom w:val="0"/>
                  <w:divBdr>
                    <w:top w:val="none" w:sz="0" w:space="0" w:color="auto"/>
                    <w:left w:val="none" w:sz="0" w:space="0" w:color="auto"/>
                    <w:bottom w:val="none" w:sz="0" w:space="0" w:color="auto"/>
                    <w:right w:val="none" w:sz="0" w:space="0" w:color="auto"/>
                  </w:divBdr>
                  <w:divsChild>
                    <w:div w:id="2060129147">
                      <w:marLeft w:val="0"/>
                      <w:marRight w:val="0"/>
                      <w:marTop w:val="0"/>
                      <w:marBottom w:val="0"/>
                      <w:divBdr>
                        <w:top w:val="none" w:sz="0" w:space="0" w:color="auto"/>
                        <w:left w:val="none" w:sz="0" w:space="0" w:color="auto"/>
                        <w:bottom w:val="none" w:sz="0" w:space="0" w:color="auto"/>
                        <w:right w:val="none" w:sz="0" w:space="0" w:color="auto"/>
                      </w:divBdr>
                    </w:div>
                  </w:divsChild>
                </w:div>
                <w:div w:id="1930113795">
                  <w:marLeft w:val="0"/>
                  <w:marRight w:val="0"/>
                  <w:marTop w:val="0"/>
                  <w:marBottom w:val="0"/>
                  <w:divBdr>
                    <w:top w:val="none" w:sz="0" w:space="0" w:color="auto"/>
                    <w:left w:val="none" w:sz="0" w:space="0" w:color="auto"/>
                    <w:bottom w:val="none" w:sz="0" w:space="0" w:color="auto"/>
                    <w:right w:val="none" w:sz="0" w:space="0" w:color="auto"/>
                  </w:divBdr>
                  <w:divsChild>
                    <w:div w:id="1070077016">
                      <w:marLeft w:val="0"/>
                      <w:marRight w:val="0"/>
                      <w:marTop w:val="0"/>
                      <w:marBottom w:val="0"/>
                      <w:divBdr>
                        <w:top w:val="none" w:sz="0" w:space="0" w:color="auto"/>
                        <w:left w:val="none" w:sz="0" w:space="0" w:color="auto"/>
                        <w:bottom w:val="none" w:sz="0" w:space="0" w:color="auto"/>
                        <w:right w:val="none" w:sz="0" w:space="0" w:color="auto"/>
                      </w:divBdr>
                    </w:div>
                  </w:divsChild>
                </w:div>
                <w:div w:id="1933972293">
                  <w:marLeft w:val="0"/>
                  <w:marRight w:val="0"/>
                  <w:marTop w:val="0"/>
                  <w:marBottom w:val="0"/>
                  <w:divBdr>
                    <w:top w:val="none" w:sz="0" w:space="0" w:color="auto"/>
                    <w:left w:val="none" w:sz="0" w:space="0" w:color="auto"/>
                    <w:bottom w:val="none" w:sz="0" w:space="0" w:color="auto"/>
                    <w:right w:val="none" w:sz="0" w:space="0" w:color="auto"/>
                  </w:divBdr>
                  <w:divsChild>
                    <w:div w:id="1030302192">
                      <w:marLeft w:val="0"/>
                      <w:marRight w:val="0"/>
                      <w:marTop w:val="0"/>
                      <w:marBottom w:val="0"/>
                      <w:divBdr>
                        <w:top w:val="none" w:sz="0" w:space="0" w:color="auto"/>
                        <w:left w:val="none" w:sz="0" w:space="0" w:color="auto"/>
                        <w:bottom w:val="none" w:sz="0" w:space="0" w:color="auto"/>
                        <w:right w:val="none" w:sz="0" w:space="0" w:color="auto"/>
                      </w:divBdr>
                    </w:div>
                  </w:divsChild>
                </w:div>
                <w:div w:id="1940601456">
                  <w:marLeft w:val="0"/>
                  <w:marRight w:val="0"/>
                  <w:marTop w:val="0"/>
                  <w:marBottom w:val="0"/>
                  <w:divBdr>
                    <w:top w:val="none" w:sz="0" w:space="0" w:color="auto"/>
                    <w:left w:val="none" w:sz="0" w:space="0" w:color="auto"/>
                    <w:bottom w:val="none" w:sz="0" w:space="0" w:color="auto"/>
                    <w:right w:val="none" w:sz="0" w:space="0" w:color="auto"/>
                  </w:divBdr>
                  <w:divsChild>
                    <w:div w:id="385494099">
                      <w:marLeft w:val="0"/>
                      <w:marRight w:val="0"/>
                      <w:marTop w:val="0"/>
                      <w:marBottom w:val="0"/>
                      <w:divBdr>
                        <w:top w:val="none" w:sz="0" w:space="0" w:color="auto"/>
                        <w:left w:val="none" w:sz="0" w:space="0" w:color="auto"/>
                        <w:bottom w:val="none" w:sz="0" w:space="0" w:color="auto"/>
                        <w:right w:val="none" w:sz="0" w:space="0" w:color="auto"/>
                      </w:divBdr>
                    </w:div>
                  </w:divsChild>
                </w:div>
                <w:div w:id="1942757778">
                  <w:marLeft w:val="0"/>
                  <w:marRight w:val="0"/>
                  <w:marTop w:val="0"/>
                  <w:marBottom w:val="0"/>
                  <w:divBdr>
                    <w:top w:val="none" w:sz="0" w:space="0" w:color="auto"/>
                    <w:left w:val="none" w:sz="0" w:space="0" w:color="auto"/>
                    <w:bottom w:val="none" w:sz="0" w:space="0" w:color="auto"/>
                    <w:right w:val="none" w:sz="0" w:space="0" w:color="auto"/>
                  </w:divBdr>
                  <w:divsChild>
                    <w:div w:id="323818360">
                      <w:marLeft w:val="0"/>
                      <w:marRight w:val="0"/>
                      <w:marTop w:val="0"/>
                      <w:marBottom w:val="0"/>
                      <w:divBdr>
                        <w:top w:val="none" w:sz="0" w:space="0" w:color="auto"/>
                        <w:left w:val="none" w:sz="0" w:space="0" w:color="auto"/>
                        <w:bottom w:val="none" w:sz="0" w:space="0" w:color="auto"/>
                        <w:right w:val="none" w:sz="0" w:space="0" w:color="auto"/>
                      </w:divBdr>
                    </w:div>
                  </w:divsChild>
                </w:div>
                <w:div w:id="1948460531">
                  <w:marLeft w:val="0"/>
                  <w:marRight w:val="0"/>
                  <w:marTop w:val="0"/>
                  <w:marBottom w:val="0"/>
                  <w:divBdr>
                    <w:top w:val="none" w:sz="0" w:space="0" w:color="auto"/>
                    <w:left w:val="none" w:sz="0" w:space="0" w:color="auto"/>
                    <w:bottom w:val="none" w:sz="0" w:space="0" w:color="auto"/>
                    <w:right w:val="none" w:sz="0" w:space="0" w:color="auto"/>
                  </w:divBdr>
                  <w:divsChild>
                    <w:div w:id="944314092">
                      <w:marLeft w:val="0"/>
                      <w:marRight w:val="0"/>
                      <w:marTop w:val="0"/>
                      <w:marBottom w:val="0"/>
                      <w:divBdr>
                        <w:top w:val="none" w:sz="0" w:space="0" w:color="auto"/>
                        <w:left w:val="none" w:sz="0" w:space="0" w:color="auto"/>
                        <w:bottom w:val="none" w:sz="0" w:space="0" w:color="auto"/>
                        <w:right w:val="none" w:sz="0" w:space="0" w:color="auto"/>
                      </w:divBdr>
                    </w:div>
                  </w:divsChild>
                </w:div>
                <w:div w:id="1951543264">
                  <w:marLeft w:val="0"/>
                  <w:marRight w:val="0"/>
                  <w:marTop w:val="0"/>
                  <w:marBottom w:val="0"/>
                  <w:divBdr>
                    <w:top w:val="none" w:sz="0" w:space="0" w:color="auto"/>
                    <w:left w:val="none" w:sz="0" w:space="0" w:color="auto"/>
                    <w:bottom w:val="none" w:sz="0" w:space="0" w:color="auto"/>
                    <w:right w:val="none" w:sz="0" w:space="0" w:color="auto"/>
                  </w:divBdr>
                  <w:divsChild>
                    <w:div w:id="1422411597">
                      <w:marLeft w:val="0"/>
                      <w:marRight w:val="0"/>
                      <w:marTop w:val="0"/>
                      <w:marBottom w:val="0"/>
                      <w:divBdr>
                        <w:top w:val="none" w:sz="0" w:space="0" w:color="auto"/>
                        <w:left w:val="none" w:sz="0" w:space="0" w:color="auto"/>
                        <w:bottom w:val="none" w:sz="0" w:space="0" w:color="auto"/>
                        <w:right w:val="none" w:sz="0" w:space="0" w:color="auto"/>
                      </w:divBdr>
                    </w:div>
                  </w:divsChild>
                </w:div>
                <w:div w:id="1953975613">
                  <w:marLeft w:val="0"/>
                  <w:marRight w:val="0"/>
                  <w:marTop w:val="0"/>
                  <w:marBottom w:val="0"/>
                  <w:divBdr>
                    <w:top w:val="none" w:sz="0" w:space="0" w:color="auto"/>
                    <w:left w:val="none" w:sz="0" w:space="0" w:color="auto"/>
                    <w:bottom w:val="none" w:sz="0" w:space="0" w:color="auto"/>
                    <w:right w:val="none" w:sz="0" w:space="0" w:color="auto"/>
                  </w:divBdr>
                  <w:divsChild>
                    <w:div w:id="1962764281">
                      <w:marLeft w:val="0"/>
                      <w:marRight w:val="0"/>
                      <w:marTop w:val="0"/>
                      <w:marBottom w:val="0"/>
                      <w:divBdr>
                        <w:top w:val="none" w:sz="0" w:space="0" w:color="auto"/>
                        <w:left w:val="none" w:sz="0" w:space="0" w:color="auto"/>
                        <w:bottom w:val="none" w:sz="0" w:space="0" w:color="auto"/>
                        <w:right w:val="none" w:sz="0" w:space="0" w:color="auto"/>
                      </w:divBdr>
                    </w:div>
                  </w:divsChild>
                </w:div>
                <w:div w:id="1971326902">
                  <w:marLeft w:val="0"/>
                  <w:marRight w:val="0"/>
                  <w:marTop w:val="0"/>
                  <w:marBottom w:val="0"/>
                  <w:divBdr>
                    <w:top w:val="none" w:sz="0" w:space="0" w:color="auto"/>
                    <w:left w:val="none" w:sz="0" w:space="0" w:color="auto"/>
                    <w:bottom w:val="none" w:sz="0" w:space="0" w:color="auto"/>
                    <w:right w:val="none" w:sz="0" w:space="0" w:color="auto"/>
                  </w:divBdr>
                  <w:divsChild>
                    <w:div w:id="1107043867">
                      <w:marLeft w:val="0"/>
                      <w:marRight w:val="0"/>
                      <w:marTop w:val="0"/>
                      <w:marBottom w:val="0"/>
                      <w:divBdr>
                        <w:top w:val="none" w:sz="0" w:space="0" w:color="auto"/>
                        <w:left w:val="none" w:sz="0" w:space="0" w:color="auto"/>
                        <w:bottom w:val="none" w:sz="0" w:space="0" w:color="auto"/>
                        <w:right w:val="none" w:sz="0" w:space="0" w:color="auto"/>
                      </w:divBdr>
                    </w:div>
                  </w:divsChild>
                </w:div>
                <w:div w:id="1974403492">
                  <w:marLeft w:val="0"/>
                  <w:marRight w:val="0"/>
                  <w:marTop w:val="0"/>
                  <w:marBottom w:val="0"/>
                  <w:divBdr>
                    <w:top w:val="none" w:sz="0" w:space="0" w:color="auto"/>
                    <w:left w:val="none" w:sz="0" w:space="0" w:color="auto"/>
                    <w:bottom w:val="none" w:sz="0" w:space="0" w:color="auto"/>
                    <w:right w:val="none" w:sz="0" w:space="0" w:color="auto"/>
                  </w:divBdr>
                  <w:divsChild>
                    <w:div w:id="1504273445">
                      <w:marLeft w:val="0"/>
                      <w:marRight w:val="0"/>
                      <w:marTop w:val="0"/>
                      <w:marBottom w:val="0"/>
                      <w:divBdr>
                        <w:top w:val="none" w:sz="0" w:space="0" w:color="auto"/>
                        <w:left w:val="none" w:sz="0" w:space="0" w:color="auto"/>
                        <w:bottom w:val="none" w:sz="0" w:space="0" w:color="auto"/>
                        <w:right w:val="none" w:sz="0" w:space="0" w:color="auto"/>
                      </w:divBdr>
                    </w:div>
                  </w:divsChild>
                </w:div>
                <w:div w:id="1977637339">
                  <w:marLeft w:val="0"/>
                  <w:marRight w:val="0"/>
                  <w:marTop w:val="0"/>
                  <w:marBottom w:val="0"/>
                  <w:divBdr>
                    <w:top w:val="none" w:sz="0" w:space="0" w:color="auto"/>
                    <w:left w:val="none" w:sz="0" w:space="0" w:color="auto"/>
                    <w:bottom w:val="none" w:sz="0" w:space="0" w:color="auto"/>
                    <w:right w:val="none" w:sz="0" w:space="0" w:color="auto"/>
                  </w:divBdr>
                  <w:divsChild>
                    <w:div w:id="1352798652">
                      <w:marLeft w:val="0"/>
                      <w:marRight w:val="0"/>
                      <w:marTop w:val="0"/>
                      <w:marBottom w:val="0"/>
                      <w:divBdr>
                        <w:top w:val="none" w:sz="0" w:space="0" w:color="auto"/>
                        <w:left w:val="none" w:sz="0" w:space="0" w:color="auto"/>
                        <w:bottom w:val="none" w:sz="0" w:space="0" w:color="auto"/>
                        <w:right w:val="none" w:sz="0" w:space="0" w:color="auto"/>
                      </w:divBdr>
                    </w:div>
                  </w:divsChild>
                </w:div>
                <w:div w:id="1982685018">
                  <w:marLeft w:val="0"/>
                  <w:marRight w:val="0"/>
                  <w:marTop w:val="0"/>
                  <w:marBottom w:val="0"/>
                  <w:divBdr>
                    <w:top w:val="none" w:sz="0" w:space="0" w:color="auto"/>
                    <w:left w:val="none" w:sz="0" w:space="0" w:color="auto"/>
                    <w:bottom w:val="none" w:sz="0" w:space="0" w:color="auto"/>
                    <w:right w:val="none" w:sz="0" w:space="0" w:color="auto"/>
                  </w:divBdr>
                  <w:divsChild>
                    <w:div w:id="1148742239">
                      <w:marLeft w:val="0"/>
                      <w:marRight w:val="0"/>
                      <w:marTop w:val="0"/>
                      <w:marBottom w:val="0"/>
                      <w:divBdr>
                        <w:top w:val="none" w:sz="0" w:space="0" w:color="auto"/>
                        <w:left w:val="none" w:sz="0" w:space="0" w:color="auto"/>
                        <w:bottom w:val="none" w:sz="0" w:space="0" w:color="auto"/>
                        <w:right w:val="none" w:sz="0" w:space="0" w:color="auto"/>
                      </w:divBdr>
                    </w:div>
                  </w:divsChild>
                </w:div>
                <w:div w:id="1985891214">
                  <w:marLeft w:val="0"/>
                  <w:marRight w:val="0"/>
                  <w:marTop w:val="0"/>
                  <w:marBottom w:val="0"/>
                  <w:divBdr>
                    <w:top w:val="none" w:sz="0" w:space="0" w:color="auto"/>
                    <w:left w:val="none" w:sz="0" w:space="0" w:color="auto"/>
                    <w:bottom w:val="none" w:sz="0" w:space="0" w:color="auto"/>
                    <w:right w:val="none" w:sz="0" w:space="0" w:color="auto"/>
                  </w:divBdr>
                  <w:divsChild>
                    <w:div w:id="1751077266">
                      <w:marLeft w:val="0"/>
                      <w:marRight w:val="0"/>
                      <w:marTop w:val="0"/>
                      <w:marBottom w:val="0"/>
                      <w:divBdr>
                        <w:top w:val="none" w:sz="0" w:space="0" w:color="auto"/>
                        <w:left w:val="none" w:sz="0" w:space="0" w:color="auto"/>
                        <w:bottom w:val="none" w:sz="0" w:space="0" w:color="auto"/>
                        <w:right w:val="none" w:sz="0" w:space="0" w:color="auto"/>
                      </w:divBdr>
                    </w:div>
                  </w:divsChild>
                </w:div>
                <w:div w:id="1987971025">
                  <w:marLeft w:val="0"/>
                  <w:marRight w:val="0"/>
                  <w:marTop w:val="0"/>
                  <w:marBottom w:val="0"/>
                  <w:divBdr>
                    <w:top w:val="none" w:sz="0" w:space="0" w:color="auto"/>
                    <w:left w:val="none" w:sz="0" w:space="0" w:color="auto"/>
                    <w:bottom w:val="none" w:sz="0" w:space="0" w:color="auto"/>
                    <w:right w:val="none" w:sz="0" w:space="0" w:color="auto"/>
                  </w:divBdr>
                  <w:divsChild>
                    <w:div w:id="700014298">
                      <w:marLeft w:val="0"/>
                      <w:marRight w:val="0"/>
                      <w:marTop w:val="0"/>
                      <w:marBottom w:val="0"/>
                      <w:divBdr>
                        <w:top w:val="none" w:sz="0" w:space="0" w:color="auto"/>
                        <w:left w:val="none" w:sz="0" w:space="0" w:color="auto"/>
                        <w:bottom w:val="none" w:sz="0" w:space="0" w:color="auto"/>
                        <w:right w:val="none" w:sz="0" w:space="0" w:color="auto"/>
                      </w:divBdr>
                    </w:div>
                  </w:divsChild>
                </w:div>
                <w:div w:id="1988362757">
                  <w:marLeft w:val="0"/>
                  <w:marRight w:val="0"/>
                  <w:marTop w:val="0"/>
                  <w:marBottom w:val="0"/>
                  <w:divBdr>
                    <w:top w:val="none" w:sz="0" w:space="0" w:color="auto"/>
                    <w:left w:val="none" w:sz="0" w:space="0" w:color="auto"/>
                    <w:bottom w:val="none" w:sz="0" w:space="0" w:color="auto"/>
                    <w:right w:val="none" w:sz="0" w:space="0" w:color="auto"/>
                  </w:divBdr>
                  <w:divsChild>
                    <w:div w:id="1186212303">
                      <w:marLeft w:val="0"/>
                      <w:marRight w:val="0"/>
                      <w:marTop w:val="0"/>
                      <w:marBottom w:val="0"/>
                      <w:divBdr>
                        <w:top w:val="none" w:sz="0" w:space="0" w:color="auto"/>
                        <w:left w:val="none" w:sz="0" w:space="0" w:color="auto"/>
                        <w:bottom w:val="none" w:sz="0" w:space="0" w:color="auto"/>
                        <w:right w:val="none" w:sz="0" w:space="0" w:color="auto"/>
                      </w:divBdr>
                    </w:div>
                  </w:divsChild>
                </w:div>
                <w:div w:id="1991054668">
                  <w:marLeft w:val="0"/>
                  <w:marRight w:val="0"/>
                  <w:marTop w:val="0"/>
                  <w:marBottom w:val="0"/>
                  <w:divBdr>
                    <w:top w:val="none" w:sz="0" w:space="0" w:color="auto"/>
                    <w:left w:val="none" w:sz="0" w:space="0" w:color="auto"/>
                    <w:bottom w:val="none" w:sz="0" w:space="0" w:color="auto"/>
                    <w:right w:val="none" w:sz="0" w:space="0" w:color="auto"/>
                  </w:divBdr>
                  <w:divsChild>
                    <w:div w:id="1963151238">
                      <w:marLeft w:val="0"/>
                      <w:marRight w:val="0"/>
                      <w:marTop w:val="0"/>
                      <w:marBottom w:val="0"/>
                      <w:divBdr>
                        <w:top w:val="none" w:sz="0" w:space="0" w:color="auto"/>
                        <w:left w:val="none" w:sz="0" w:space="0" w:color="auto"/>
                        <w:bottom w:val="none" w:sz="0" w:space="0" w:color="auto"/>
                        <w:right w:val="none" w:sz="0" w:space="0" w:color="auto"/>
                      </w:divBdr>
                    </w:div>
                  </w:divsChild>
                </w:div>
                <w:div w:id="1992781661">
                  <w:marLeft w:val="0"/>
                  <w:marRight w:val="0"/>
                  <w:marTop w:val="0"/>
                  <w:marBottom w:val="0"/>
                  <w:divBdr>
                    <w:top w:val="none" w:sz="0" w:space="0" w:color="auto"/>
                    <w:left w:val="none" w:sz="0" w:space="0" w:color="auto"/>
                    <w:bottom w:val="none" w:sz="0" w:space="0" w:color="auto"/>
                    <w:right w:val="none" w:sz="0" w:space="0" w:color="auto"/>
                  </w:divBdr>
                  <w:divsChild>
                    <w:div w:id="138378575">
                      <w:marLeft w:val="0"/>
                      <w:marRight w:val="0"/>
                      <w:marTop w:val="0"/>
                      <w:marBottom w:val="0"/>
                      <w:divBdr>
                        <w:top w:val="none" w:sz="0" w:space="0" w:color="auto"/>
                        <w:left w:val="none" w:sz="0" w:space="0" w:color="auto"/>
                        <w:bottom w:val="none" w:sz="0" w:space="0" w:color="auto"/>
                        <w:right w:val="none" w:sz="0" w:space="0" w:color="auto"/>
                      </w:divBdr>
                    </w:div>
                  </w:divsChild>
                </w:div>
                <w:div w:id="1995448673">
                  <w:marLeft w:val="0"/>
                  <w:marRight w:val="0"/>
                  <w:marTop w:val="0"/>
                  <w:marBottom w:val="0"/>
                  <w:divBdr>
                    <w:top w:val="none" w:sz="0" w:space="0" w:color="auto"/>
                    <w:left w:val="none" w:sz="0" w:space="0" w:color="auto"/>
                    <w:bottom w:val="none" w:sz="0" w:space="0" w:color="auto"/>
                    <w:right w:val="none" w:sz="0" w:space="0" w:color="auto"/>
                  </w:divBdr>
                  <w:divsChild>
                    <w:div w:id="1190335029">
                      <w:marLeft w:val="0"/>
                      <w:marRight w:val="0"/>
                      <w:marTop w:val="0"/>
                      <w:marBottom w:val="0"/>
                      <w:divBdr>
                        <w:top w:val="none" w:sz="0" w:space="0" w:color="auto"/>
                        <w:left w:val="none" w:sz="0" w:space="0" w:color="auto"/>
                        <w:bottom w:val="none" w:sz="0" w:space="0" w:color="auto"/>
                        <w:right w:val="none" w:sz="0" w:space="0" w:color="auto"/>
                      </w:divBdr>
                    </w:div>
                  </w:divsChild>
                </w:div>
                <w:div w:id="2007435085">
                  <w:marLeft w:val="0"/>
                  <w:marRight w:val="0"/>
                  <w:marTop w:val="0"/>
                  <w:marBottom w:val="0"/>
                  <w:divBdr>
                    <w:top w:val="none" w:sz="0" w:space="0" w:color="auto"/>
                    <w:left w:val="none" w:sz="0" w:space="0" w:color="auto"/>
                    <w:bottom w:val="none" w:sz="0" w:space="0" w:color="auto"/>
                    <w:right w:val="none" w:sz="0" w:space="0" w:color="auto"/>
                  </w:divBdr>
                  <w:divsChild>
                    <w:div w:id="2062241927">
                      <w:marLeft w:val="0"/>
                      <w:marRight w:val="0"/>
                      <w:marTop w:val="0"/>
                      <w:marBottom w:val="0"/>
                      <w:divBdr>
                        <w:top w:val="none" w:sz="0" w:space="0" w:color="auto"/>
                        <w:left w:val="none" w:sz="0" w:space="0" w:color="auto"/>
                        <w:bottom w:val="none" w:sz="0" w:space="0" w:color="auto"/>
                        <w:right w:val="none" w:sz="0" w:space="0" w:color="auto"/>
                      </w:divBdr>
                    </w:div>
                  </w:divsChild>
                </w:div>
                <w:div w:id="2010210640">
                  <w:marLeft w:val="0"/>
                  <w:marRight w:val="0"/>
                  <w:marTop w:val="0"/>
                  <w:marBottom w:val="0"/>
                  <w:divBdr>
                    <w:top w:val="none" w:sz="0" w:space="0" w:color="auto"/>
                    <w:left w:val="none" w:sz="0" w:space="0" w:color="auto"/>
                    <w:bottom w:val="none" w:sz="0" w:space="0" w:color="auto"/>
                    <w:right w:val="none" w:sz="0" w:space="0" w:color="auto"/>
                  </w:divBdr>
                  <w:divsChild>
                    <w:div w:id="178204865">
                      <w:marLeft w:val="0"/>
                      <w:marRight w:val="0"/>
                      <w:marTop w:val="0"/>
                      <w:marBottom w:val="0"/>
                      <w:divBdr>
                        <w:top w:val="none" w:sz="0" w:space="0" w:color="auto"/>
                        <w:left w:val="none" w:sz="0" w:space="0" w:color="auto"/>
                        <w:bottom w:val="none" w:sz="0" w:space="0" w:color="auto"/>
                        <w:right w:val="none" w:sz="0" w:space="0" w:color="auto"/>
                      </w:divBdr>
                    </w:div>
                  </w:divsChild>
                </w:div>
                <w:div w:id="2011518528">
                  <w:marLeft w:val="0"/>
                  <w:marRight w:val="0"/>
                  <w:marTop w:val="0"/>
                  <w:marBottom w:val="0"/>
                  <w:divBdr>
                    <w:top w:val="none" w:sz="0" w:space="0" w:color="auto"/>
                    <w:left w:val="none" w:sz="0" w:space="0" w:color="auto"/>
                    <w:bottom w:val="none" w:sz="0" w:space="0" w:color="auto"/>
                    <w:right w:val="none" w:sz="0" w:space="0" w:color="auto"/>
                  </w:divBdr>
                  <w:divsChild>
                    <w:div w:id="814760891">
                      <w:marLeft w:val="0"/>
                      <w:marRight w:val="0"/>
                      <w:marTop w:val="0"/>
                      <w:marBottom w:val="0"/>
                      <w:divBdr>
                        <w:top w:val="none" w:sz="0" w:space="0" w:color="auto"/>
                        <w:left w:val="none" w:sz="0" w:space="0" w:color="auto"/>
                        <w:bottom w:val="none" w:sz="0" w:space="0" w:color="auto"/>
                        <w:right w:val="none" w:sz="0" w:space="0" w:color="auto"/>
                      </w:divBdr>
                    </w:div>
                  </w:divsChild>
                </w:div>
                <w:div w:id="2015496033">
                  <w:marLeft w:val="0"/>
                  <w:marRight w:val="0"/>
                  <w:marTop w:val="0"/>
                  <w:marBottom w:val="0"/>
                  <w:divBdr>
                    <w:top w:val="none" w:sz="0" w:space="0" w:color="auto"/>
                    <w:left w:val="none" w:sz="0" w:space="0" w:color="auto"/>
                    <w:bottom w:val="none" w:sz="0" w:space="0" w:color="auto"/>
                    <w:right w:val="none" w:sz="0" w:space="0" w:color="auto"/>
                  </w:divBdr>
                  <w:divsChild>
                    <w:div w:id="553275481">
                      <w:marLeft w:val="0"/>
                      <w:marRight w:val="0"/>
                      <w:marTop w:val="0"/>
                      <w:marBottom w:val="0"/>
                      <w:divBdr>
                        <w:top w:val="none" w:sz="0" w:space="0" w:color="auto"/>
                        <w:left w:val="none" w:sz="0" w:space="0" w:color="auto"/>
                        <w:bottom w:val="none" w:sz="0" w:space="0" w:color="auto"/>
                        <w:right w:val="none" w:sz="0" w:space="0" w:color="auto"/>
                      </w:divBdr>
                    </w:div>
                  </w:divsChild>
                </w:div>
                <w:div w:id="2016226429">
                  <w:marLeft w:val="0"/>
                  <w:marRight w:val="0"/>
                  <w:marTop w:val="0"/>
                  <w:marBottom w:val="0"/>
                  <w:divBdr>
                    <w:top w:val="none" w:sz="0" w:space="0" w:color="auto"/>
                    <w:left w:val="none" w:sz="0" w:space="0" w:color="auto"/>
                    <w:bottom w:val="none" w:sz="0" w:space="0" w:color="auto"/>
                    <w:right w:val="none" w:sz="0" w:space="0" w:color="auto"/>
                  </w:divBdr>
                  <w:divsChild>
                    <w:div w:id="1627808901">
                      <w:marLeft w:val="0"/>
                      <w:marRight w:val="0"/>
                      <w:marTop w:val="0"/>
                      <w:marBottom w:val="0"/>
                      <w:divBdr>
                        <w:top w:val="none" w:sz="0" w:space="0" w:color="auto"/>
                        <w:left w:val="none" w:sz="0" w:space="0" w:color="auto"/>
                        <w:bottom w:val="none" w:sz="0" w:space="0" w:color="auto"/>
                        <w:right w:val="none" w:sz="0" w:space="0" w:color="auto"/>
                      </w:divBdr>
                    </w:div>
                  </w:divsChild>
                </w:div>
                <w:div w:id="2018071727">
                  <w:marLeft w:val="0"/>
                  <w:marRight w:val="0"/>
                  <w:marTop w:val="0"/>
                  <w:marBottom w:val="0"/>
                  <w:divBdr>
                    <w:top w:val="none" w:sz="0" w:space="0" w:color="auto"/>
                    <w:left w:val="none" w:sz="0" w:space="0" w:color="auto"/>
                    <w:bottom w:val="none" w:sz="0" w:space="0" w:color="auto"/>
                    <w:right w:val="none" w:sz="0" w:space="0" w:color="auto"/>
                  </w:divBdr>
                  <w:divsChild>
                    <w:div w:id="1642269206">
                      <w:marLeft w:val="0"/>
                      <w:marRight w:val="0"/>
                      <w:marTop w:val="0"/>
                      <w:marBottom w:val="0"/>
                      <w:divBdr>
                        <w:top w:val="none" w:sz="0" w:space="0" w:color="auto"/>
                        <w:left w:val="none" w:sz="0" w:space="0" w:color="auto"/>
                        <w:bottom w:val="none" w:sz="0" w:space="0" w:color="auto"/>
                        <w:right w:val="none" w:sz="0" w:space="0" w:color="auto"/>
                      </w:divBdr>
                    </w:div>
                  </w:divsChild>
                </w:div>
                <w:div w:id="2019381565">
                  <w:marLeft w:val="0"/>
                  <w:marRight w:val="0"/>
                  <w:marTop w:val="0"/>
                  <w:marBottom w:val="0"/>
                  <w:divBdr>
                    <w:top w:val="none" w:sz="0" w:space="0" w:color="auto"/>
                    <w:left w:val="none" w:sz="0" w:space="0" w:color="auto"/>
                    <w:bottom w:val="none" w:sz="0" w:space="0" w:color="auto"/>
                    <w:right w:val="none" w:sz="0" w:space="0" w:color="auto"/>
                  </w:divBdr>
                  <w:divsChild>
                    <w:div w:id="1528908875">
                      <w:marLeft w:val="0"/>
                      <w:marRight w:val="0"/>
                      <w:marTop w:val="0"/>
                      <w:marBottom w:val="0"/>
                      <w:divBdr>
                        <w:top w:val="none" w:sz="0" w:space="0" w:color="auto"/>
                        <w:left w:val="none" w:sz="0" w:space="0" w:color="auto"/>
                        <w:bottom w:val="none" w:sz="0" w:space="0" w:color="auto"/>
                        <w:right w:val="none" w:sz="0" w:space="0" w:color="auto"/>
                      </w:divBdr>
                    </w:div>
                  </w:divsChild>
                </w:div>
                <w:div w:id="2019962831">
                  <w:marLeft w:val="0"/>
                  <w:marRight w:val="0"/>
                  <w:marTop w:val="0"/>
                  <w:marBottom w:val="0"/>
                  <w:divBdr>
                    <w:top w:val="none" w:sz="0" w:space="0" w:color="auto"/>
                    <w:left w:val="none" w:sz="0" w:space="0" w:color="auto"/>
                    <w:bottom w:val="none" w:sz="0" w:space="0" w:color="auto"/>
                    <w:right w:val="none" w:sz="0" w:space="0" w:color="auto"/>
                  </w:divBdr>
                  <w:divsChild>
                    <w:div w:id="1166869491">
                      <w:marLeft w:val="0"/>
                      <w:marRight w:val="0"/>
                      <w:marTop w:val="0"/>
                      <w:marBottom w:val="0"/>
                      <w:divBdr>
                        <w:top w:val="none" w:sz="0" w:space="0" w:color="auto"/>
                        <w:left w:val="none" w:sz="0" w:space="0" w:color="auto"/>
                        <w:bottom w:val="none" w:sz="0" w:space="0" w:color="auto"/>
                        <w:right w:val="none" w:sz="0" w:space="0" w:color="auto"/>
                      </w:divBdr>
                    </w:div>
                  </w:divsChild>
                </w:div>
                <w:div w:id="2020229083">
                  <w:marLeft w:val="0"/>
                  <w:marRight w:val="0"/>
                  <w:marTop w:val="0"/>
                  <w:marBottom w:val="0"/>
                  <w:divBdr>
                    <w:top w:val="none" w:sz="0" w:space="0" w:color="auto"/>
                    <w:left w:val="none" w:sz="0" w:space="0" w:color="auto"/>
                    <w:bottom w:val="none" w:sz="0" w:space="0" w:color="auto"/>
                    <w:right w:val="none" w:sz="0" w:space="0" w:color="auto"/>
                  </w:divBdr>
                  <w:divsChild>
                    <w:div w:id="534192127">
                      <w:marLeft w:val="0"/>
                      <w:marRight w:val="0"/>
                      <w:marTop w:val="0"/>
                      <w:marBottom w:val="0"/>
                      <w:divBdr>
                        <w:top w:val="none" w:sz="0" w:space="0" w:color="auto"/>
                        <w:left w:val="none" w:sz="0" w:space="0" w:color="auto"/>
                        <w:bottom w:val="none" w:sz="0" w:space="0" w:color="auto"/>
                        <w:right w:val="none" w:sz="0" w:space="0" w:color="auto"/>
                      </w:divBdr>
                    </w:div>
                  </w:divsChild>
                </w:div>
                <w:div w:id="2028480425">
                  <w:marLeft w:val="0"/>
                  <w:marRight w:val="0"/>
                  <w:marTop w:val="0"/>
                  <w:marBottom w:val="0"/>
                  <w:divBdr>
                    <w:top w:val="none" w:sz="0" w:space="0" w:color="auto"/>
                    <w:left w:val="none" w:sz="0" w:space="0" w:color="auto"/>
                    <w:bottom w:val="none" w:sz="0" w:space="0" w:color="auto"/>
                    <w:right w:val="none" w:sz="0" w:space="0" w:color="auto"/>
                  </w:divBdr>
                  <w:divsChild>
                    <w:div w:id="1203594213">
                      <w:marLeft w:val="0"/>
                      <w:marRight w:val="0"/>
                      <w:marTop w:val="0"/>
                      <w:marBottom w:val="0"/>
                      <w:divBdr>
                        <w:top w:val="none" w:sz="0" w:space="0" w:color="auto"/>
                        <w:left w:val="none" w:sz="0" w:space="0" w:color="auto"/>
                        <w:bottom w:val="none" w:sz="0" w:space="0" w:color="auto"/>
                        <w:right w:val="none" w:sz="0" w:space="0" w:color="auto"/>
                      </w:divBdr>
                    </w:div>
                  </w:divsChild>
                </w:div>
                <w:div w:id="2030641272">
                  <w:marLeft w:val="0"/>
                  <w:marRight w:val="0"/>
                  <w:marTop w:val="0"/>
                  <w:marBottom w:val="0"/>
                  <w:divBdr>
                    <w:top w:val="none" w:sz="0" w:space="0" w:color="auto"/>
                    <w:left w:val="none" w:sz="0" w:space="0" w:color="auto"/>
                    <w:bottom w:val="none" w:sz="0" w:space="0" w:color="auto"/>
                    <w:right w:val="none" w:sz="0" w:space="0" w:color="auto"/>
                  </w:divBdr>
                  <w:divsChild>
                    <w:div w:id="592200812">
                      <w:marLeft w:val="0"/>
                      <w:marRight w:val="0"/>
                      <w:marTop w:val="0"/>
                      <w:marBottom w:val="0"/>
                      <w:divBdr>
                        <w:top w:val="none" w:sz="0" w:space="0" w:color="auto"/>
                        <w:left w:val="none" w:sz="0" w:space="0" w:color="auto"/>
                        <w:bottom w:val="none" w:sz="0" w:space="0" w:color="auto"/>
                        <w:right w:val="none" w:sz="0" w:space="0" w:color="auto"/>
                      </w:divBdr>
                    </w:div>
                  </w:divsChild>
                </w:div>
                <w:div w:id="2033259628">
                  <w:marLeft w:val="0"/>
                  <w:marRight w:val="0"/>
                  <w:marTop w:val="0"/>
                  <w:marBottom w:val="0"/>
                  <w:divBdr>
                    <w:top w:val="none" w:sz="0" w:space="0" w:color="auto"/>
                    <w:left w:val="none" w:sz="0" w:space="0" w:color="auto"/>
                    <w:bottom w:val="none" w:sz="0" w:space="0" w:color="auto"/>
                    <w:right w:val="none" w:sz="0" w:space="0" w:color="auto"/>
                  </w:divBdr>
                  <w:divsChild>
                    <w:div w:id="1512643729">
                      <w:marLeft w:val="0"/>
                      <w:marRight w:val="0"/>
                      <w:marTop w:val="0"/>
                      <w:marBottom w:val="0"/>
                      <w:divBdr>
                        <w:top w:val="none" w:sz="0" w:space="0" w:color="auto"/>
                        <w:left w:val="none" w:sz="0" w:space="0" w:color="auto"/>
                        <w:bottom w:val="none" w:sz="0" w:space="0" w:color="auto"/>
                        <w:right w:val="none" w:sz="0" w:space="0" w:color="auto"/>
                      </w:divBdr>
                    </w:div>
                  </w:divsChild>
                </w:div>
                <w:div w:id="2034841694">
                  <w:marLeft w:val="0"/>
                  <w:marRight w:val="0"/>
                  <w:marTop w:val="0"/>
                  <w:marBottom w:val="0"/>
                  <w:divBdr>
                    <w:top w:val="none" w:sz="0" w:space="0" w:color="auto"/>
                    <w:left w:val="none" w:sz="0" w:space="0" w:color="auto"/>
                    <w:bottom w:val="none" w:sz="0" w:space="0" w:color="auto"/>
                    <w:right w:val="none" w:sz="0" w:space="0" w:color="auto"/>
                  </w:divBdr>
                  <w:divsChild>
                    <w:div w:id="2039891375">
                      <w:marLeft w:val="0"/>
                      <w:marRight w:val="0"/>
                      <w:marTop w:val="0"/>
                      <w:marBottom w:val="0"/>
                      <w:divBdr>
                        <w:top w:val="none" w:sz="0" w:space="0" w:color="auto"/>
                        <w:left w:val="none" w:sz="0" w:space="0" w:color="auto"/>
                        <w:bottom w:val="none" w:sz="0" w:space="0" w:color="auto"/>
                        <w:right w:val="none" w:sz="0" w:space="0" w:color="auto"/>
                      </w:divBdr>
                    </w:div>
                  </w:divsChild>
                </w:div>
                <w:div w:id="2036418669">
                  <w:marLeft w:val="0"/>
                  <w:marRight w:val="0"/>
                  <w:marTop w:val="0"/>
                  <w:marBottom w:val="0"/>
                  <w:divBdr>
                    <w:top w:val="none" w:sz="0" w:space="0" w:color="auto"/>
                    <w:left w:val="none" w:sz="0" w:space="0" w:color="auto"/>
                    <w:bottom w:val="none" w:sz="0" w:space="0" w:color="auto"/>
                    <w:right w:val="none" w:sz="0" w:space="0" w:color="auto"/>
                  </w:divBdr>
                  <w:divsChild>
                    <w:div w:id="416251873">
                      <w:marLeft w:val="0"/>
                      <w:marRight w:val="0"/>
                      <w:marTop w:val="0"/>
                      <w:marBottom w:val="0"/>
                      <w:divBdr>
                        <w:top w:val="none" w:sz="0" w:space="0" w:color="auto"/>
                        <w:left w:val="none" w:sz="0" w:space="0" w:color="auto"/>
                        <w:bottom w:val="none" w:sz="0" w:space="0" w:color="auto"/>
                        <w:right w:val="none" w:sz="0" w:space="0" w:color="auto"/>
                      </w:divBdr>
                    </w:div>
                  </w:divsChild>
                </w:div>
                <w:div w:id="2044864370">
                  <w:marLeft w:val="0"/>
                  <w:marRight w:val="0"/>
                  <w:marTop w:val="0"/>
                  <w:marBottom w:val="0"/>
                  <w:divBdr>
                    <w:top w:val="none" w:sz="0" w:space="0" w:color="auto"/>
                    <w:left w:val="none" w:sz="0" w:space="0" w:color="auto"/>
                    <w:bottom w:val="none" w:sz="0" w:space="0" w:color="auto"/>
                    <w:right w:val="none" w:sz="0" w:space="0" w:color="auto"/>
                  </w:divBdr>
                  <w:divsChild>
                    <w:div w:id="1749426795">
                      <w:marLeft w:val="0"/>
                      <w:marRight w:val="0"/>
                      <w:marTop w:val="0"/>
                      <w:marBottom w:val="0"/>
                      <w:divBdr>
                        <w:top w:val="none" w:sz="0" w:space="0" w:color="auto"/>
                        <w:left w:val="none" w:sz="0" w:space="0" w:color="auto"/>
                        <w:bottom w:val="none" w:sz="0" w:space="0" w:color="auto"/>
                        <w:right w:val="none" w:sz="0" w:space="0" w:color="auto"/>
                      </w:divBdr>
                    </w:div>
                  </w:divsChild>
                </w:div>
                <w:div w:id="2046247747">
                  <w:marLeft w:val="0"/>
                  <w:marRight w:val="0"/>
                  <w:marTop w:val="0"/>
                  <w:marBottom w:val="0"/>
                  <w:divBdr>
                    <w:top w:val="none" w:sz="0" w:space="0" w:color="auto"/>
                    <w:left w:val="none" w:sz="0" w:space="0" w:color="auto"/>
                    <w:bottom w:val="none" w:sz="0" w:space="0" w:color="auto"/>
                    <w:right w:val="none" w:sz="0" w:space="0" w:color="auto"/>
                  </w:divBdr>
                  <w:divsChild>
                    <w:div w:id="1331913144">
                      <w:marLeft w:val="0"/>
                      <w:marRight w:val="0"/>
                      <w:marTop w:val="0"/>
                      <w:marBottom w:val="0"/>
                      <w:divBdr>
                        <w:top w:val="none" w:sz="0" w:space="0" w:color="auto"/>
                        <w:left w:val="none" w:sz="0" w:space="0" w:color="auto"/>
                        <w:bottom w:val="none" w:sz="0" w:space="0" w:color="auto"/>
                        <w:right w:val="none" w:sz="0" w:space="0" w:color="auto"/>
                      </w:divBdr>
                    </w:div>
                  </w:divsChild>
                </w:div>
                <w:div w:id="2051027370">
                  <w:marLeft w:val="0"/>
                  <w:marRight w:val="0"/>
                  <w:marTop w:val="0"/>
                  <w:marBottom w:val="0"/>
                  <w:divBdr>
                    <w:top w:val="none" w:sz="0" w:space="0" w:color="auto"/>
                    <w:left w:val="none" w:sz="0" w:space="0" w:color="auto"/>
                    <w:bottom w:val="none" w:sz="0" w:space="0" w:color="auto"/>
                    <w:right w:val="none" w:sz="0" w:space="0" w:color="auto"/>
                  </w:divBdr>
                  <w:divsChild>
                    <w:div w:id="148060444">
                      <w:marLeft w:val="0"/>
                      <w:marRight w:val="0"/>
                      <w:marTop w:val="0"/>
                      <w:marBottom w:val="0"/>
                      <w:divBdr>
                        <w:top w:val="none" w:sz="0" w:space="0" w:color="auto"/>
                        <w:left w:val="none" w:sz="0" w:space="0" w:color="auto"/>
                        <w:bottom w:val="none" w:sz="0" w:space="0" w:color="auto"/>
                        <w:right w:val="none" w:sz="0" w:space="0" w:color="auto"/>
                      </w:divBdr>
                    </w:div>
                  </w:divsChild>
                </w:div>
                <w:div w:id="2060666800">
                  <w:marLeft w:val="0"/>
                  <w:marRight w:val="0"/>
                  <w:marTop w:val="0"/>
                  <w:marBottom w:val="0"/>
                  <w:divBdr>
                    <w:top w:val="none" w:sz="0" w:space="0" w:color="auto"/>
                    <w:left w:val="none" w:sz="0" w:space="0" w:color="auto"/>
                    <w:bottom w:val="none" w:sz="0" w:space="0" w:color="auto"/>
                    <w:right w:val="none" w:sz="0" w:space="0" w:color="auto"/>
                  </w:divBdr>
                  <w:divsChild>
                    <w:div w:id="1048913912">
                      <w:marLeft w:val="0"/>
                      <w:marRight w:val="0"/>
                      <w:marTop w:val="0"/>
                      <w:marBottom w:val="0"/>
                      <w:divBdr>
                        <w:top w:val="none" w:sz="0" w:space="0" w:color="auto"/>
                        <w:left w:val="none" w:sz="0" w:space="0" w:color="auto"/>
                        <w:bottom w:val="none" w:sz="0" w:space="0" w:color="auto"/>
                        <w:right w:val="none" w:sz="0" w:space="0" w:color="auto"/>
                      </w:divBdr>
                    </w:div>
                  </w:divsChild>
                </w:div>
                <w:div w:id="2064865086">
                  <w:marLeft w:val="0"/>
                  <w:marRight w:val="0"/>
                  <w:marTop w:val="0"/>
                  <w:marBottom w:val="0"/>
                  <w:divBdr>
                    <w:top w:val="none" w:sz="0" w:space="0" w:color="auto"/>
                    <w:left w:val="none" w:sz="0" w:space="0" w:color="auto"/>
                    <w:bottom w:val="none" w:sz="0" w:space="0" w:color="auto"/>
                    <w:right w:val="none" w:sz="0" w:space="0" w:color="auto"/>
                  </w:divBdr>
                  <w:divsChild>
                    <w:div w:id="207569224">
                      <w:marLeft w:val="0"/>
                      <w:marRight w:val="0"/>
                      <w:marTop w:val="0"/>
                      <w:marBottom w:val="0"/>
                      <w:divBdr>
                        <w:top w:val="none" w:sz="0" w:space="0" w:color="auto"/>
                        <w:left w:val="none" w:sz="0" w:space="0" w:color="auto"/>
                        <w:bottom w:val="none" w:sz="0" w:space="0" w:color="auto"/>
                        <w:right w:val="none" w:sz="0" w:space="0" w:color="auto"/>
                      </w:divBdr>
                    </w:div>
                  </w:divsChild>
                </w:div>
                <w:div w:id="2076471048">
                  <w:marLeft w:val="0"/>
                  <w:marRight w:val="0"/>
                  <w:marTop w:val="0"/>
                  <w:marBottom w:val="0"/>
                  <w:divBdr>
                    <w:top w:val="none" w:sz="0" w:space="0" w:color="auto"/>
                    <w:left w:val="none" w:sz="0" w:space="0" w:color="auto"/>
                    <w:bottom w:val="none" w:sz="0" w:space="0" w:color="auto"/>
                    <w:right w:val="none" w:sz="0" w:space="0" w:color="auto"/>
                  </w:divBdr>
                  <w:divsChild>
                    <w:div w:id="367221126">
                      <w:marLeft w:val="0"/>
                      <w:marRight w:val="0"/>
                      <w:marTop w:val="0"/>
                      <w:marBottom w:val="0"/>
                      <w:divBdr>
                        <w:top w:val="none" w:sz="0" w:space="0" w:color="auto"/>
                        <w:left w:val="none" w:sz="0" w:space="0" w:color="auto"/>
                        <w:bottom w:val="none" w:sz="0" w:space="0" w:color="auto"/>
                        <w:right w:val="none" w:sz="0" w:space="0" w:color="auto"/>
                      </w:divBdr>
                    </w:div>
                  </w:divsChild>
                </w:div>
                <w:div w:id="2083678558">
                  <w:marLeft w:val="0"/>
                  <w:marRight w:val="0"/>
                  <w:marTop w:val="0"/>
                  <w:marBottom w:val="0"/>
                  <w:divBdr>
                    <w:top w:val="none" w:sz="0" w:space="0" w:color="auto"/>
                    <w:left w:val="none" w:sz="0" w:space="0" w:color="auto"/>
                    <w:bottom w:val="none" w:sz="0" w:space="0" w:color="auto"/>
                    <w:right w:val="none" w:sz="0" w:space="0" w:color="auto"/>
                  </w:divBdr>
                  <w:divsChild>
                    <w:div w:id="2135243853">
                      <w:marLeft w:val="0"/>
                      <w:marRight w:val="0"/>
                      <w:marTop w:val="0"/>
                      <w:marBottom w:val="0"/>
                      <w:divBdr>
                        <w:top w:val="none" w:sz="0" w:space="0" w:color="auto"/>
                        <w:left w:val="none" w:sz="0" w:space="0" w:color="auto"/>
                        <w:bottom w:val="none" w:sz="0" w:space="0" w:color="auto"/>
                        <w:right w:val="none" w:sz="0" w:space="0" w:color="auto"/>
                      </w:divBdr>
                    </w:div>
                  </w:divsChild>
                </w:div>
                <w:div w:id="2107771437">
                  <w:marLeft w:val="0"/>
                  <w:marRight w:val="0"/>
                  <w:marTop w:val="0"/>
                  <w:marBottom w:val="0"/>
                  <w:divBdr>
                    <w:top w:val="none" w:sz="0" w:space="0" w:color="auto"/>
                    <w:left w:val="none" w:sz="0" w:space="0" w:color="auto"/>
                    <w:bottom w:val="none" w:sz="0" w:space="0" w:color="auto"/>
                    <w:right w:val="none" w:sz="0" w:space="0" w:color="auto"/>
                  </w:divBdr>
                  <w:divsChild>
                    <w:div w:id="335227310">
                      <w:marLeft w:val="0"/>
                      <w:marRight w:val="0"/>
                      <w:marTop w:val="0"/>
                      <w:marBottom w:val="0"/>
                      <w:divBdr>
                        <w:top w:val="none" w:sz="0" w:space="0" w:color="auto"/>
                        <w:left w:val="none" w:sz="0" w:space="0" w:color="auto"/>
                        <w:bottom w:val="none" w:sz="0" w:space="0" w:color="auto"/>
                        <w:right w:val="none" w:sz="0" w:space="0" w:color="auto"/>
                      </w:divBdr>
                    </w:div>
                  </w:divsChild>
                </w:div>
                <w:div w:id="2117213038">
                  <w:marLeft w:val="0"/>
                  <w:marRight w:val="0"/>
                  <w:marTop w:val="0"/>
                  <w:marBottom w:val="0"/>
                  <w:divBdr>
                    <w:top w:val="none" w:sz="0" w:space="0" w:color="auto"/>
                    <w:left w:val="none" w:sz="0" w:space="0" w:color="auto"/>
                    <w:bottom w:val="none" w:sz="0" w:space="0" w:color="auto"/>
                    <w:right w:val="none" w:sz="0" w:space="0" w:color="auto"/>
                  </w:divBdr>
                  <w:divsChild>
                    <w:div w:id="854421171">
                      <w:marLeft w:val="0"/>
                      <w:marRight w:val="0"/>
                      <w:marTop w:val="0"/>
                      <w:marBottom w:val="0"/>
                      <w:divBdr>
                        <w:top w:val="none" w:sz="0" w:space="0" w:color="auto"/>
                        <w:left w:val="none" w:sz="0" w:space="0" w:color="auto"/>
                        <w:bottom w:val="none" w:sz="0" w:space="0" w:color="auto"/>
                        <w:right w:val="none" w:sz="0" w:space="0" w:color="auto"/>
                      </w:divBdr>
                    </w:div>
                  </w:divsChild>
                </w:div>
                <w:div w:id="2131244824">
                  <w:marLeft w:val="0"/>
                  <w:marRight w:val="0"/>
                  <w:marTop w:val="0"/>
                  <w:marBottom w:val="0"/>
                  <w:divBdr>
                    <w:top w:val="none" w:sz="0" w:space="0" w:color="auto"/>
                    <w:left w:val="none" w:sz="0" w:space="0" w:color="auto"/>
                    <w:bottom w:val="none" w:sz="0" w:space="0" w:color="auto"/>
                    <w:right w:val="none" w:sz="0" w:space="0" w:color="auto"/>
                  </w:divBdr>
                  <w:divsChild>
                    <w:div w:id="2138525087">
                      <w:marLeft w:val="0"/>
                      <w:marRight w:val="0"/>
                      <w:marTop w:val="0"/>
                      <w:marBottom w:val="0"/>
                      <w:divBdr>
                        <w:top w:val="none" w:sz="0" w:space="0" w:color="auto"/>
                        <w:left w:val="none" w:sz="0" w:space="0" w:color="auto"/>
                        <w:bottom w:val="none" w:sz="0" w:space="0" w:color="auto"/>
                        <w:right w:val="none" w:sz="0" w:space="0" w:color="auto"/>
                      </w:divBdr>
                    </w:div>
                  </w:divsChild>
                </w:div>
                <w:div w:id="2133159990">
                  <w:marLeft w:val="0"/>
                  <w:marRight w:val="0"/>
                  <w:marTop w:val="0"/>
                  <w:marBottom w:val="0"/>
                  <w:divBdr>
                    <w:top w:val="none" w:sz="0" w:space="0" w:color="auto"/>
                    <w:left w:val="none" w:sz="0" w:space="0" w:color="auto"/>
                    <w:bottom w:val="none" w:sz="0" w:space="0" w:color="auto"/>
                    <w:right w:val="none" w:sz="0" w:space="0" w:color="auto"/>
                  </w:divBdr>
                  <w:divsChild>
                    <w:div w:id="15749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070126">
      <w:bodyDiv w:val="1"/>
      <w:marLeft w:val="0"/>
      <w:marRight w:val="0"/>
      <w:marTop w:val="0"/>
      <w:marBottom w:val="0"/>
      <w:divBdr>
        <w:top w:val="none" w:sz="0" w:space="0" w:color="auto"/>
        <w:left w:val="none" w:sz="0" w:space="0" w:color="auto"/>
        <w:bottom w:val="none" w:sz="0" w:space="0" w:color="auto"/>
        <w:right w:val="none" w:sz="0" w:space="0" w:color="auto"/>
      </w:divBdr>
    </w:div>
    <w:div w:id="1050156880">
      <w:bodyDiv w:val="1"/>
      <w:marLeft w:val="0"/>
      <w:marRight w:val="0"/>
      <w:marTop w:val="0"/>
      <w:marBottom w:val="0"/>
      <w:divBdr>
        <w:top w:val="none" w:sz="0" w:space="0" w:color="auto"/>
        <w:left w:val="none" w:sz="0" w:space="0" w:color="auto"/>
        <w:bottom w:val="none" w:sz="0" w:space="0" w:color="auto"/>
        <w:right w:val="none" w:sz="0" w:space="0" w:color="auto"/>
      </w:divBdr>
      <w:divsChild>
        <w:div w:id="1706100428">
          <w:marLeft w:val="0"/>
          <w:marRight w:val="0"/>
          <w:marTop w:val="0"/>
          <w:marBottom w:val="0"/>
          <w:divBdr>
            <w:top w:val="none" w:sz="0" w:space="0" w:color="auto"/>
            <w:left w:val="none" w:sz="0" w:space="0" w:color="auto"/>
            <w:bottom w:val="none" w:sz="0" w:space="0" w:color="auto"/>
            <w:right w:val="none" w:sz="0" w:space="0" w:color="auto"/>
          </w:divBdr>
        </w:div>
      </w:divsChild>
    </w:div>
    <w:div w:id="1066222041">
      <w:bodyDiv w:val="1"/>
      <w:marLeft w:val="0"/>
      <w:marRight w:val="0"/>
      <w:marTop w:val="0"/>
      <w:marBottom w:val="0"/>
      <w:divBdr>
        <w:top w:val="none" w:sz="0" w:space="0" w:color="auto"/>
        <w:left w:val="none" w:sz="0" w:space="0" w:color="auto"/>
        <w:bottom w:val="none" w:sz="0" w:space="0" w:color="auto"/>
        <w:right w:val="none" w:sz="0" w:space="0" w:color="auto"/>
      </w:divBdr>
    </w:div>
    <w:div w:id="1071656804">
      <w:bodyDiv w:val="1"/>
      <w:marLeft w:val="0"/>
      <w:marRight w:val="0"/>
      <w:marTop w:val="0"/>
      <w:marBottom w:val="0"/>
      <w:divBdr>
        <w:top w:val="none" w:sz="0" w:space="0" w:color="auto"/>
        <w:left w:val="none" w:sz="0" w:space="0" w:color="auto"/>
        <w:bottom w:val="none" w:sz="0" w:space="0" w:color="auto"/>
        <w:right w:val="none" w:sz="0" w:space="0" w:color="auto"/>
      </w:divBdr>
      <w:divsChild>
        <w:div w:id="934291387">
          <w:marLeft w:val="0"/>
          <w:marRight w:val="0"/>
          <w:marTop w:val="0"/>
          <w:marBottom w:val="0"/>
          <w:divBdr>
            <w:top w:val="none" w:sz="0" w:space="0" w:color="auto"/>
            <w:left w:val="none" w:sz="0" w:space="0" w:color="auto"/>
            <w:bottom w:val="none" w:sz="0" w:space="0" w:color="auto"/>
            <w:right w:val="none" w:sz="0" w:space="0" w:color="auto"/>
          </w:divBdr>
        </w:div>
      </w:divsChild>
    </w:div>
    <w:div w:id="1078013367">
      <w:bodyDiv w:val="1"/>
      <w:marLeft w:val="0"/>
      <w:marRight w:val="0"/>
      <w:marTop w:val="0"/>
      <w:marBottom w:val="0"/>
      <w:divBdr>
        <w:top w:val="none" w:sz="0" w:space="0" w:color="auto"/>
        <w:left w:val="none" w:sz="0" w:space="0" w:color="auto"/>
        <w:bottom w:val="none" w:sz="0" w:space="0" w:color="auto"/>
        <w:right w:val="none" w:sz="0" w:space="0" w:color="auto"/>
      </w:divBdr>
    </w:div>
    <w:div w:id="1105344155">
      <w:bodyDiv w:val="1"/>
      <w:marLeft w:val="0"/>
      <w:marRight w:val="0"/>
      <w:marTop w:val="0"/>
      <w:marBottom w:val="0"/>
      <w:divBdr>
        <w:top w:val="none" w:sz="0" w:space="0" w:color="auto"/>
        <w:left w:val="none" w:sz="0" w:space="0" w:color="auto"/>
        <w:bottom w:val="none" w:sz="0" w:space="0" w:color="auto"/>
        <w:right w:val="none" w:sz="0" w:space="0" w:color="auto"/>
      </w:divBdr>
    </w:div>
    <w:div w:id="1116487194">
      <w:bodyDiv w:val="1"/>
      <w:marLeft w:val="0"/>
      <w:marRight w:val="0"/>
      <w:marTop w:val="0"/>
      <w:marBottom w:val="0"/>
      <w:divBdr>
        <w:top w:val="none" w:sz="0" w:space="0" w:color="auto"/>
        <w:left w:val="none" w:sz="0" w:space="0" w:color="auto"/>
        <w:bottom w:val="none" w:sz="0" w:space="0" w:color="auto"/>
        <w:right w:val="none" w:sz="0" w:space="0" w:color="auto"/>
      </w:divBdr>
      <w:divsChild>
        <w:div w:id="1068381269">
          <w:marLeft w:val="0"/>
          <w:marRight w:val="0"/>
          <w:marTop w:val="0"/>
          <w:marBottom w:val="0"/>
          <w:divBdr>
            <w:top w:val="none" w:sz="0" w:space="0" w:color="auto"/>
            <w:left w:val="none" w:sz="0" w:space="0" w:color="auto"/>
            <w:bottom w:val="none" w:sz="0" w:space="0" w:color="auto"/>
            <w:right w:val="none" w:sz="0" w:space="0" w:color="auto"/>
          </w:divBdr>
        </w:div>
      </w:divsChild>
    </w:div>
    <w:div w:id="1147477182">
      <w:bodyDiv w:val="1"/>
      <w:marLeft w:val="0"/>
      <w:marRight w:val="0"/>
      <w:marTop w:val="0"/>
      <w:marBottom w:val="0"/>
      <w:divBdr>
        <w:top w:val="none" w:sz="0" w:space="0" w:color="auto"/>
        <w:left w:val="none" w:sz="0" w:space="0" w:color="auto"/>
        <w:bottom w:val="none" w:sz="0" w:space="0" w:color="auto"/>
        <w:right w:val="none" w:sz="0" w:space="0" w:color="auto"/>
      </w:divBdr>
    </w:div>
    <w:div w:id="1195844148">
      <w:bodyDiv w:val="1"/>
      <w:marLeft w:val="0"/>
      <w:marRight w:val="0"/>
      <w:marTop w:val="0"/>
      <w:marBottom w:val="0"/>
      <w:divBdr>
        <w:top w:val="none" w:sz="0" w:space="0" w:color="auto"/>
        <w:left w:val="none" w:sz="0" w:space="0" w:color="auto"/>
        <w:bottom w:val="none" w:sz="0" w:space="0" w:color="auto"/>
        <w:right w:val="none" w:sz="0" w:space="0" w:color="auto"/>
      </w:divBdr>
    </w:div>
    <w:div w:id="1250116426">
      <w:bodyDiv w:val="1"/>
      <w:marLeft w:val="0"/>
      <w:marRight w:val="0"/>
      <w:marTop w:val="0"/>
      <w:marBottom w:val="0"/>
      <w:divBdr>
        <w:top w:val="none" w:sz="0" w:space="0" w:color="auto"/>
        <w:left w:val="none" w:sz="0" w:space="0" w:color="auto"/>
        <w:bottom w:val="none" w:sz="0" w:space="0" w:color="auto"/>
        <w:right w:val="none" w:sz="0" w:space="0" w:color="auto"/>
      </w:divBdr>
      <w:divsChild>
        <w:div w:id="1321157338">
          <w:marLeft w:val="547"/>
          <w:marRight w:val="0"/>
          <w:marTop w:val="120"/>
          <w:marBottom w:val="120"/>
          <w:divBdr>
            <w:top w:val="none" w:sz="0" w:space="0" w:color="auto"/>
            <w:left w:val="none" w:sz="0" w:space="0" w:color="auto"/>
            <w:bottom w:val="none" w:sz="0" w:space="0" w:color="auto"/>
            <w:right w:val="none" w:sz="0" w:space="0" w:color="auto"/>
          </w:divBdr>
        </w:div>
      </w:divsChild>
    </w:div>
    <w:div w:id="1263874707">
      <w:bodyDiv w:val="1"/>
      <w:marLeft w:val="0"/>
      <w:marRight w:val="0"/>
      <w:marTop w:val="0"/>
      <w:marBottom w:val="0"/>
      <w:divBdr>
        <w:top w:val="none" w:sz="0" w:space="0" w:color="auto"/>
        <w:left w:val="none" w:sz="0" w:space="0" w:color="auto"/>
        <w:bottom w:val="none" w:sz="0" w:space="0" w:color="auto"/>
        <w:right w:val="none" w:sz="0" w:space="0" w:color="auto"/>
      </w:divBdr>
    </w:div>
    <w:div w:id="1267692252">
      <w:bodyDiv w:val="1"/>
      <w:marLeft w:val="0"/>
      <w:marRight w:val="0"/>
      <w:marTop w:val="0"/>
      <w:marBottom w:val="0"/>
      <w:divBdr>
        <w:top w:val="none" w:sz="0" w:space="0" w:color="auto"/>
        <w:left w:val="none" w:sz="0" w:space="0" w:color="auto"/>
        <w:bottom w:val="none" w:sz="0" w:space="0" w:color="auto"/>
        <w:right w:val="none" w:sz="0" w:space="0" w:color="auto"/>
      </w:divBdr>
    </w:div>
    <w:div w:id="1268809093">
      <w:bodyDiv w:val="1"/>
      <w:marLeft w:val="0"/>
      <w:marRight w:val="0"/>
      <w:marTop w:val="0"/>
      <w:marBottom w:val="0"/>
      <w:divBdr>
        <w:top w:val="none" w:sz="0" w:space="0" w:color="auto"/>
        <w:left w:val="none" w:sz="0" w:space="0" w:color="auto"/>
        <w:bottom w:val="none" w:sz="0" w:space="0" w:color="auto"/>
        <w:right w:val="none" w:sz="0" w:space="0" w:color="auto"/>
      </w:divBdr>
      <w:divsChild>
        <w:div w:id="1178497190">
          <w:marLeft w:val="0"/>
          <w:marRight w:val="0"/>
          <w:marTop w:val="0"/>
          <w:marBottom w:val="0"/>
          <w:divBdr>
            <w:top w:val="none" w:sz="0" w:space="0" w:color="auto"/>
            <w:left w:val="none" w:sz="0" w:space="0" w:color="auto"/>
            <w:bottom w:val="none" w:sz="0" w:space="0" w:color="auto"/>
            <w:right w:val="none" w:sz="0" w:space="0" w:color="auto"/>
          </w:divBdr>
        </w:div>
      </w:divsChild>
    </w:div>
    <w:div w:id="1275362381">
      <w:bodyDiv w:val="1"/>
      <w:marLeft w:val="0"/>
      <w:marRight w:val="0"/>
      <w:marTop w:val="0"/>
      <w:marBottom w:val="0"/>
      <w:divBdr>
        <w:top w:val="none" w:sz="0" w:space="0" w:color="auto"/>
        <w:left w:val="none" w:sz="0" w:space="0" w:color="auto"/>
        <w:bottom w:val="none" w:sz="0" w:space="0" w:color="auto"/>
        <w:right w:val="none" w:sz="0" w:space="0" w:color="auto"/>
      </w:divBdr>
      <w:divsChild>
        <w:div w:id="7031369">
          <w:marLeft w:val="0"/>
          <w:marRight w:val="0"/>
          <w:marTop w:val="0"/>
          <w:marBottom w:val="0"/>
          <w:divBdr>
            <w:top w:val="none" w:sz="0" w:space="0" w:color="auto"/>
            <w:left w:val="none" w:sz="0" w:space="0" w:color="auto"/>
            <w:bottom w:val="none" w:sz="0" w:space="0" w:color="auto"/>
            <w:right w:val="none" w:sz="0" w:space="0" w:color="auto"/>
          </w:divBdr>
        </w:div>
        <w:div w:id="987711849">
          <w:marLeft w:val="0"/>
          <w:marRight w:val="0"/>
          <w:marTop w:val="0"/>
          <w:marBottom w:val="0"/>
          <w:divBdr>
            <w:top w:val="none" w:sz="0" w:space="0" w:color="auto"/>
            <w:left w:val="none" w:sz="0" w:space="0" w:color="auto"/>
            <w:bottom w:val="none" w:sz="0" w:space="0" w:color="auto"/>
            <w:right w:val="none" w:sz="0" w:space="0" w:color="auto"/>
          </w:divBdr>
        </w:div>
        <w:div w:id="1592197926">
          <w:marLeft w:val="0"/>
          <w:marRight w:val="0"/>
          <w:marTop w:val="0"/>
          <w:marBottom w:val="0"/>
          <w:divBdr>
            <w:top w:val="none" w:sz="0" w:space="0" w:color="auto"/>
            <w:left w:val="none" w:sz="0" w:space="0" w:color="auto"/>
            <w:bottom w:val="none" w:sz="0" w:space="0" w:color="auto"/>
            <w:right w:val="none" w:sz="0" w:space="0" w:color="auto"/>
          </w:divBdr>
        </w:div>
        <w:div w:id="1631549361">
          <w:marLeft w:val="0"/>
          <w:marRight w:val="0"/>
          <w:marTop w:val="0"/>
          <w:marBottom w:val="0"/>
          <w:divBdr>
            <w:top w:val="none" w:sz="0" w:space="0" w:color="auto"/>
            <w:left w:val="none" w:sz="0" w:space="0" w:color="auto"/>
            <w:bottom w:val="none" w:sz="0" w:space="0" w:color="auto"/>
            <w:right w:val="none" w:sz="0" w:space="0" w:color="auto"/>
          </w:divBdr>
        </w:div>
        <w:div w:id="1692753553">
          <w:marLeft w:val="0"/>
          <w:marRight w:val="0"/>
          <w:marTop w:val="0"/>
          <w:marBottom w:val="0"/>
          <w:divBdr>
            <w:top w:val="none" w:sz="0" w:space="0" w:color="auto"/>
            <w:left w:val="none" w:sz="0" w:space="0" w:color="auto"/>
            <w:bottom w:val="none" w:sz="0" w:space="0" w:color="auto"/>
            <w:right w:val="none" w:sz="0" w:space="0" w:color="auto"/>
          </w:divBdr>
        </w:div>
        <w:div w:id="1824396381">
          <w:marLeft w:val="0"/>
          <w:marRight w:val="0"/>
          <w:marTop w:val="0"/>
          <w:marBottom w:val="0"/>
          <w:divBdr>
            <w:top w:val="none" w:sz="0" w:space="0" w:color="auto"/>
            <w:left w:val="none" w:sz="0" w:space="0" w:color="auto"/>
            <w:bottom w:val="none" w:sz="0" w:space="0" w:color="auto"/>
            <w:right w:val="none" w:sz="0" w:space="0" w:color="auto"/>
          </w:divBdr>
        </w:div>
        <w:div w:id="1839346354">
          <w:marLeft w:val="0"/>
          <w:marRight w:val="0"/>
          <w:marTop w:val="0"/>
          <w:marBottom w:val="0"/>
          <w:divBdr>
            <w:top w:val="none" w:sz="0" w:space="0" w:color="auto"/>
            <w:left w:val="none" w:sz="0" w:space="0" w:color="auto"/>
            <w:bottom w:val="none" w:sz="0" w:space="0" w:color="auto"/>
            <w:right w:val="none" w:sz="0" w:space="0" w:color="auto"/>
          </w:divBdr>
        </w:div>
        <w:div w:id="1897087580">
          <w:marLeft w:val="0"/>
          <w:marRight w:val="0"/>
          <w:marTop w:val="0"/>
          <w:marBottom w:val="0"/>
          <w:divBdr>
            <w:top w:val="none" w:sz="0" w:space="0" w:color="auto"/>
            <w:left w:val="none" w:sz="0" w:space="0" w:color="auto"/>
            <w:bottom w:val="none" w:sz="0" w:space="0" w:color="auto"/>
            <w:right w:val="none" w:sz="0" w:space="0" w:color="auto"/>
          </w:divBdr>
        </w:div>
      </w:divsChild>
    </w:div>
    <w:div w:id="1285768707">
      <w:bodyDiv w:val="1"/>
      <w:marLeft w:val="0"/>
      <w:marRight w:val="0"/>
      <w:marTop w:val="0"/>
      <w:marBottom w:val="0"/>
      <w:divBdr>
        <w:top w:val="none" w:sz="0" w:space="0" w:color="auto"/>
        <w:left w:val="none" w:sz="0" w:space="0" w:color="auto"/>
        <w:bottom w:val="none" w:sz="0" w:space="0" w:color="auto"/>
        <w:right w:val="none" w:sz="0" w:space="0" w:color="auto"/>
      </w:divBdr>
      <w:divsChild>
        <w:div w:id="1326934035">
          <w:marLeft w:val="0"/>
          <w:marRight w:val="0"/>
          <w:marTop w:val="0"/>
          <w:marBottom w:val="0"/>
          <w:divBdr>
            <w:top w:val="none" w:sz="0" w:space="0" w:color="auto"/>
            <w:left w:val="none" w:sz="0" w:space="0" w:color="auto"/>
            <w:bottom w:val="none" w:sz="0" w:space="0" w:color="auto"/>
            <w:right w:val="none" w:sz="0" w:space="0" w:color="auto"/>
          </w:divBdr>
        </w:div>
      </w:divsChild>
    </w:div>
    <w:div w:id="1304119346">
      <w:bodyDiv w:val="1"/>
      <w:marLeft w:val="0"/>
      <w:marRight w:val="0"/>
      <w:marTop w:val="0"/>
      <w:marBottom w:val="0"/>
      <w:divBdr>
        <w:top w:val="none" w:sz="0" w:space="0" w:color="auto"/>
        <w:left w:val="none" w:sz="0" w:space="0" w:color="auto"/>
        <w:bottom w:val="none" w:sz="0" w:space="0" w:color="auto"/>
        <w:right w:val="none" w:sz="0" w:space="0" w:color="auto"/>
      </w:divBdr>
      <w:divsChild>
        <w:div w:id="554043851">
          <w:marLeft w:val="547"/>
          <w:marRight w:val="0"/>
          <w:marTop w:val="120"/>
          <w:marBottom w:val="120"/>
          <w:divBdr>
            <w:top w:val="none" w:sz="0" w:space="0" w:color="auto"/>
            <w:left w:val="none" w:sz="0" w:space="0" w:color="auto"/>
            <w:bottom w:val="none" w:sz="0" w:space="0" w:color="auto"/>
            <w:right w:val="none" w:sz="0" w:space="0" w:color="auto"/>
          </w:divBdr>
        </w:div>
      </w:divsChild>
    </w:div>
    <w:div w:id="1329945094">
      <w:bodyDiv w:val="1"/>
      <w:marLeft w:val="0"/>
      <w:marRight w:val="0"/>
      <w:marTop w:val="0"/>
      <w:marBottom w:val="0"/>
      <w:divBdr>
        <w:top w:val="none" w:sz="0" w:space="0" w:color="auto"/>
        <w:left w:val="none" w:sz="0" w:space="0" w:color="auto"/>
        <w:bottom w:val="none" w:sz="0" w:space="0" w:color="auto"/>
        <w:right w:val="none" w:sz="0" w:space="0" w:color="auto"/>
      </w:divBdr>
    </w:div>
    <w:div w:id="1334911525">
      <w:bodyDiv w:val="1"/>
      <w:marLeft w:val="0"/>
      <w:marRight w:val="0"/>
      <w:marTop w:val="0"/>
      <w:marBottom w:val="0"/>
      <w:divBdr>
        <w:top w:val="none" w:sz="0" w:space="0" w:color="auto"/>
        <w:left w:val="none" w:sz="0" w:space="0" w:color="auto"/>
        <w:bottom w:val="none" w:sz="0" w:space="0" w:color="auto"/>
        <w:right w:val="none" w:sz="0" w:space="0" w:color="auto"/>
      </w:divBdr>
    </w:div>
    <w:div w:id="1343704665">
      <w:bodyDiv w:val="1"/>
      <w:marLeft w:val="0"/>
      <w:marRight w:val="0"/>
      <w:marTop w:val="0"/>
      <w:marBottom w:val="0"/>
      <w:divBdr>
        <w:top w:val="none" w:sz="0" w:space="0" w:color="auto"/>
        <w:left w:val="none" w:sz="0" w:space="0" w:color="auto"/>
        <w:bottom w:val="none" w:sz="0" w:space="0" w:color="auto"/>
        <w:right w:val="none" w:sz="0" w:space="0" w:color="auto"/>
      </w:divBdr>
    </w:div>
    <w:div w:id="1345395713">
      <w:bodyDiv w:val="1"/>
      <w:marLeft w:val="0"/>
      <w:marRight w:val="0"/>
      <w:marTop w:val="0"/>
      <w:marBottom w:val="0"/>
      <w:divBdr>
        <w:top w:val="none" w:sz="0" w:space="0" w:color="auto"/>
        <w:left w:val="none" w:sz="0" w:space="0" w:color="auto"/>
        <w:bottom w:val="none" w:sz="0" w:space="0" w:color="auto"/>
        <w:right w:val="none" w:sz="0" w:space="0" w:color="auto"/>
      </w:divBdr>
    </w:div>
    <w:div w:id="1367413397">
      <w:bodyDiv w:val="1"/>
      <w:marLeft w:val="0"/>
      <w:marRight w:val="0"/>
      <w:marTop w:val="0"/>
      <w:marBottom w:val="0"/>
      <w:divBdr>
        <w:top w:val="none" w:sz="0" w:space="0" w:color="auto"/>
        <w:left w:val="none" w:sz="0" w:space="0" w:color="auto"/>
        <w:bottom w:val="none" w:sz="0" w:space="0" w:color="auto"/>
        <w:right w:val="none" w:sz="0" w:space="0" w:color="auto"/>
      </w:divBdr>
    </w:div>
    <w:div w:id="1386107087">
      <w:bodyDiv w:val="1"/>
      <w:marLeft w:val="0"/>
      <w:marRight w:val="0"/>
      <w:marTop w:val="0"/>
      <w:marBottom w:val="0"/>
      <w:divBdr>
        <w:top w:val="none" w:sz="0" w:space="0" w:color="auto"/>
        <w:left w:val="none" w:sz="0" w:space="0" w:color="auto"/>
        <w:bottom w:val="none" w:sz="0" w:space="0" w:color="auto"/>
        <w:right w:val="none" w:sz="0" w:space="0" w:color="auto"/>
      </w:divBdr>
    </w:div>
    <w:div w:id="1393235818">
      <w:bodyDiv w:val="1"/>
      <w:marLeft w:val="0"/>
      <w:marRight w:val="0"/>
      <w:marTop w:val="0"/>
      <w:marBottom w:val="0"/>
      <w:divBdr>
        <w:top w:val="none" w:sz="0" w:space="0" w:color="auto"/>
        <w:left w:val="none" w:sz="0" w:space="0" w:color="auto"/>
        <w:bottom w:val="none" w:sz="0" w:space="0" w:color="auto"/>
        <w:right w:val="none" w:sz="0" w:space="0" w:color="auto"/>
      </w:divBdr>
      <w:divsChild>
        <w:div w:id="846137400">
          <w:marLeft w:val="0"/>
          <w:marRight w:val="0"/>
          <w:marTop w:val="0"/>
          <w:marBottom w:val="0"/>
          <w:divBdr>
            <w:top w:val="none" w:sz="0" w:space="0" w:color="auto"/>
            <w:left w:val="none" w:sz="0" w:space="0" w:color="auto"/>
            <w:bottom w:val="none" w:sz="0" w:space="0" w:color="auto"/>
            <w:right w:val="none" w:sz="0" w:space="0" w:color="auto"/>
          </w:divBdr>
        </w:div>
      </w:divsChild>
    </w:div>
    <w:div w:id="1418405354">
      <w:bodyDiv w:val="1"/>
      <w:marLeft w:val="0"/>
      <w:marRight w:val="0"/>
      <w:marTop w:val="0"/>
      <w:marBottom w:val="0"/>
      <w:divBdr>
        <w:top w:val="none" w:sz="0" w:space="0" w:color="auto"/>
        <w:left w:val="none" w:sz="0" w:space="0" w:color="auto"/>
        <w:bottom w:val="none" w:sz="0" w:space="0" w:color="auto"/>
        <w:right w:val="none" w:sz="0" w:space="0" w:color="auto"/>
      </w:divBdr>
    </w:div>
    <w:div w:id="1451972970">
      <w:bodyDiv w:val="1"/>
      <w:marLeft w:val="0"/>
      <w:marRight w:val="0"/>
      <w:marTop w:val="0"/>
      <w:marBottom w:val="0"/>
      <w:divBdr>
        <w:top w:val="none" w:sz="0" w:space="0" w:color="auto"/>
        <w:left w:val="none" w:sz="0" w:space="0" w:color="auto"/>
        <w:bottom w:val="none" w:sz="0" w:space="0" w:color="auto"/>
        <w:right w:val="none" w:sz="0" w:space="0" w:color="auto"/>
      </w:divBdr>
    </w:div>
    <w:div w:id="1480418623">
      <w:bodyDiv w:val="1"/>
      <w:marLeft w:val="0"/>
      <w:marRight w:val="0"/>
      <w:marTop w:val="0"/>
      <w:marBottom w:val="0"/>
      <w:divBdr>
        <w:top w:val="none" w:sz="0" w:space="0" w:color="auto"/>
        <w:left w:val="none" w:sz="0" w:space="0" w:color="auto"/>
        <w:bottom w:val="none" w:sz="0" w:space="0" w:color="auto"/>
        <w:right w:val="none" w:sz="0" w:space="0" w:color="auto"/>
      </w:divBdr>
    </w:div>
    <w:div w:id="1525710642">
      <w:bodyDiv w:val="1"/>
      <w:marLeft w:val="0"/>
      <w:marRight w:val="0"/>
      <w:marTop w:val="0"/>
      <w:marBottom w:val="0"/>
      <w:divBdr>
        <w:top w:val="none" w:sz="0" w:space="0" w:color="auto"/>
        <w:left w:val="none" w:sz="0" w:space="0" w:color="auto"/>
        <w:bottom w:val="none" w:sz="0" w:space="0" w:color="auto"/>
        <w:right w:val="none" w:sz="0" w:space="0" w:color="auto"/>
      </w:divBdr>
    </w:div>
    <w:div w:id="1534266981">
      <w:bodyDiv w:val="1"/>
      <w:marLeft w:val="0"/>
      <w:marRight w:val="0"/>
      <w:marTop w:val="0"/>
      <w:marBottom w:val="0"/>
      <w:divBdr>
        <w:top w:val="none" w:sz="0" w:space="0" w:color="auto"/>
        <w:left w:val="none" w:sz="0" w:space="0" w:color="auto"/>
        <w:bottom w:val="none" w:sz="0" w:space="0" w:color="auto"/>
        <w:right w:val="none" w:sz="0" w:space="0" w:color="auto"/>
      </w:divBdr>
    </w:div>
    <w:div w:id="1678195490">
      <w:bodyDiv w:val="1"/>
      <w:marLeft w:val="0"/>
      <w:marRight w:val="0"/>
      <w:marTop w:val="0"/>
      <w:marBottom w:val="0"/>
      <w:divBdr>
        <w:top w:val="none" w:sz="0" w:space="0" w:color="auto"/>
        <w:left w:val="none" w:sz="0" w:space="0" w:color="auto"/>
        <w:bottom w:val="none" w:sz="0" w:space="0" w:color="auto"/>
        <w:right w:val="none" w:sz="0" w:space="0" w:color="auto"/>
      </w:divBdr>
      <w:divsChild>
        <w:div w:id="2129005007">
          <w:marLeft w:val="0"/>
          <w:marRight w:val="0"/>
          <w:marTop w:val="0"/>
          <w:marBottom w:val="0"/>
          <w:divBdr>
            <w:top w:val="none" w:sz="0" w:space="0" w:color="auto"/>
            <w:left w:val="none" w:sz="0" w:space="0" w:color="auto"/>
            <w:bottom w:val="none" w:sz="0" w:space="0" w:color="auto"/>
            <w:right w:val="none" w:sz="0" w:space="0" w:color="auto"/>
          </w:divBdr>
        </w:div>
      </w:divsChild>
    </w:div>
    <w:div w:id="1696424328">
      <w:bodyDiv w:val="1"/>
      <w:marLeft w:val="0"/>
      <w:marRight w:val="0"/>
      <w:marTop w:val="0"/>
      <w:marBottom w:val="0"/>
      <w:divBdr>
        <w:top w:val="none" w:sz="0" w:space="0" w:color="auto"/>
        <w:left w:val="none" w:sz="0" w:space="0" w:color="auto"/>
        <w:bottom w:val="none" w:sz="0" w:space="0" w:color="auto"/>
        <w:right w:val="none" w:sz="0" w:space="0" w:color="auto"/>
      </w:divBdr>
    </w:div>
    <w:div w:id="1719819077">
      <w:bodyDiv w:val="1"/>
      <w:marLeft w:val="0"/>
      <w:marRight w:val="0"/>
      <w:marTop w:val="0"/>
      <w:marBottom w:val="0"/>
      <w:divBdr>
        <w:top w:val="none" w:sz="0" w:space="0" w:color="auto"/>
        <w:left w:val="none" w:sz="0" w:space="0" w:color="auto"/>
        <w:bottom w:val="none" w:sz="0" w:space="0" w:color="auto"/>
        <w:right w:val="none" w:sz="0" w:space="0" w:color="auto"/>
      </w:divBdr>
    </w:div>
    <w:div w:id="1869442491">
      <w:bodyDiv w:val="1"/>
      <w:marLeft w:val="0"/>
      <w:marRight w:val="0"/>
      <w:marTop w:val="0"/>
      <w:marBottom w:val="0"/>
      <w:divBdr>
        <w:top w:val="none" w:sz="0" w:space="0" w:color="auto"/>
        <w:left w:val="none" w:sz="0" w:space="0" w:color="auto"/>
        <w:bottom w:val="none" w:sz="0" w:space="0" w:color="auto"/>
        <w:right w:val="none" w:sz="0" w:space="0" w:color="auto"/>
      </w:divBdr>
    </w:div>
    <w:div w:id="1923417643">
      <w:bodyDiv w:val="1"/>
      <w:marLeft w:val="0"/>
      <w:marRight w:val="0"/>
      <w:marTop w:val="0"/>
      <w:marBottom w:val="0"/>
      <w:divBdr>
        <w:top w:val="none" w:sz="0" w:space="0" w:color="auto"/>
        <w:left w:val="none" w:sz="0" w:space="0" w:color="auto"/>
        <w:bottom w:val="none" w:sz="0" w:space="0" w:color="auto"/>
        <w:right w:val="none" w:sz="0" w:space="0" w:color="auto"/>
      </w:divBdr>
    </w:div>
    <w:div w:id="1936591612">
      <w:marLeft w:val="0"/>
      <w:marRight w:val="0"/>
      <w:marTop w:val="0"/>
      <w:marBottom w:val="0"/>
      <w:divBdr>
        <w:top w:val="none" w:sz="0" w:space="0" w:color="auto"/>
        <w:left w:val="none" w:sz="0" w:space="0" w:color="auto"/>
        <w:bottom w:val="none" w:sz="0" w:space="0" w:color="auto"/>
        <w:right w:val="none" w:sz="0" w:space="0" w:color="auto"/>
      </w:divBdr>
    </w:div>
    <w:div w:id="1936591613">
      <w:marLeft w:val="0"/>
      <w:marRight w:val="0"/>
      <w:marTop w:val="0"/>
      <w:marBottom w:val="0"/>
      <w:divBdr>
        <w:top w:val="none" w:sz="0" w:space="0" w:color="auto"/>
        <w:left w:val="none" w:sz="0" w:space="0" w:color="auto"/>
        <w:bottom w:val="none" w:sz="0" w:space="0" w:color="auto"/>
        <w:right w:val="none" w:sz="0" w:space="0" w:color="auto"/>
      </w:divBdr>
    </w:div>
    <w:div w:id="1936591614">
      <w:marLeft w:val="0"/>
      <w:marRight w:val="0"/>
      <w:marTop w:val="0"/>
      <w:marBottom w:val="0"/>
      <w:divBdr>
        <w:top w:val="none" w:sz="0" w:space="0" w:color="auto"/>
        <w:left w:val="none" w:sz="0" w:space="0" w:color="auto"/>
        <w:bottom w:val="none" w:sz="0" w:space="0" w:color="auto"/>
        <w:right w:val="none" w:sz="0" w:space="0" w:color="auto"/>
      </w:divBdr>
    </w:div>
    <w:div w:id="1936591615">
      <w:marLeft w:val="0"/>
      <w:marRight w:val="0"/>
      <w:marTop w:val="0"/>
      <w:marBottom w:val="0"/>
      <w:divBdr>
        <w:top w:val="none" w:sz="0" w:space="0" w:color="auto"/>
        <w:left w:val="none" w:sz="0" w:space="0" w:color="auto"/>
        <w:bottom w:val="none" w:sz="0" w:space="0" w:color="auto"/>
        <w:right w:val="none" w:sz="0" w:space="0" w:color="auto"/>
      </w:divBdr>
    </w:div>
    <w:div w:id="1936591616">
      <w:marLeft w:val="0"/>
      <w:marRight w:val="0"/>
      <w:marTop w:val="0"/>
      <w:marBottom w:val="0"/>
      <w:divBdr>
        <w:top w:val="none" w:sz="0" w:space="0" w:color="auto"/>
        <w:left w:val="none" w:sz="0" w:space="0" w:color="auto"/>
        <w:bottom w:val="none" w:sz="0" w:space="0" w:color="auto"/>
        <w:right w:val="none" w:sz="0" w:space="0" w:color="auto"/>
      </w:divBdr>
    </w:div>
    <w:div w:id="1936591617">
      <w:marLeft w:val="0"/>
      <w:marRight w:val="0"/>
      <w:marTop w:val="0"/>
      <w:marBottom w:val="0"/>
      <w:divBdr>
        <w:top w:val="none" w:sz="0" w:space="0" w:color="auto"/>
        <w:left w:val="none" w:sz="0" w:space="0" w:color="auto"/>
        <w:bottom w:val="none" w:sz="0" w:space="0" w:color="auto"/>
        <w:right w:val="none" w:sz="0" w:space="0" w:color="auto"/>
      </w:divBdr>
    </w:div>
    <w:div w:id="1936591618">
      <w:marLeft w:val="0"/>
      <w:marRight w:val="0"/>
      <w:marTop w:val="0"/>
      <w:marBottom w:val="0"/>
      <w:divBdr>
        <w:top w:val="none" w:sz="0" w:space="0" w:color="auto"/>
        <w:left w:val="none" w:sz="0" w:space="0" w:color="auto"/>
        <w:bottom w:val="none" w:sz="0" w:space="0" w:color="auto"/>
        <w:right w:val="none" w:sz="0" w:space="0" w:color="auto"/>
      </w:divBdr>
    </w:div>
    <w:div w:id="1936591619">
      <w:marLeft w:val="0"/>
      <w:marRight w:val="0"/>
      <w:marTop w:val="0"/>
      <w:marBottom w:val="0"/>
      <w:divBdr>
        <w:top w:val="none" w:sz="0" w:space="0" w:color="auto"/>
        <w:left w:val="none" w:sz="0" w:space="0" w:color="auto"/>
        <w:bottom w:val="none" w:sz="0" w:space="0" w:color="auto"/>
        <w:right w:val="none" w:sz="0" w:space="0" w:color="auto"/>
      </w:divBdr>
    </w:div>
    <w:div w:id="1936591620">
      <w:marLeft w:val="0"/>
      <w:marRight w:val="0"/>
      <w:marTop w:val="0"/>
      <w:marBottom w:val="0"/>
      <w:divBdr>
        <w:top w:val="none" w:sz="0" w:space="0" w:color="auto"/>
        <w:left w:val="none" w:sz="0" w:space="0" w:color="auto"/>
        <w:bottom w:val="none" w:sz="0" w:space="0" w:color="auto"/>
        <w:right w:val="none" w:sz="0" w:space="0" w:color="auto"/>
      </w:divBdr>
    </w:div>
    <w:div w:id="1936591621">
      <w:marLeft w:val="0"/>
      <w:marRight w:val="0"/>
      <w:marTop w:val="0"/>
      <w:marBottom w:val="0"/>
      <w:divBdr>
        <w:top w:val="none" w:sz="0" w:space="0" w:color="auto"/>
        <w:left w:val="none" w:sz="0" w:space="0" w:color="auto"/>
        <w:bottom w:val="none" w:sz="0" w:space="0" w:color="auto"/>
        <w:right w:val="none" w:sz="0" w:space="0" w:color="auto"/>
      </w:divBdr>
    </w:div>
    <w:div w:id="1936591622">
      <w:marLeft w:val="0"/>
      <w:marRight w:val="0"/>
      <w:marTop w:val="0"/>
      <w:marBottom w:val="0"/>
      <w:divBdr>
        <w:top w:val="none" w:sz="0" w:space="0" w:color="auto"/>
        <w:left w:val="none" w:sz="0" w:space="0" w:color="auto"/>
        <w:bottom w:val="none" w:sz="0" w:space="0" w:color="auto"/>
        <w:right w:val="none" w:sz="0" w:space="0" w:color="auto"/>
      </w:divBdr>
    </w:div>
    <w:div w:id="1936591623">
      <w:marLeft w:val="0"/>
      <w:marRight w:val="0"/>
      <w:marTop w:val="0"/>
      <w:marBottom w:val="0"/>
      <w:divBdr>
        <w:top w:val="none" w:sz="0" w:space="0" w:color="auto"/>
        <w:left w:val="none" w:sz="0" w:space="0" w:color="auto"/>
        <w:bottom w:val="none" w:sz="0" w:space="0" w:color="auto"/>
        <w:right w:val="none" w:sz="0" w:space="0" w:color="auto"/>
      </w:divBdr>
    </w:div>
    <w:div w:id="1936591624">
      <w:marLeft w:val="0"/>
      <w:marRight w:val="0"/>
      <w:marTop w:val="0"/>
      <w:marBottom w:val="0"/>
      <w:divBdr>
        <w:top w:val="none" w:sz="0" w:space="0" w:color="auto"/>
        <w:left w:val="none" w:sz="0" w:space="0" w:color="auto"/>
        <w:bottom w:val="none" w:sz="0" w:space="0" w:color="auto"/>
        <w:right w:val="none" w:sz="0" w:space="0" w:color="auto"/>
      </w:divBdr>
    </w:div>
    <w:div w:id="1936591625">
      <w:marLeft w:val="0"/>
      <w:marRight w:val="0"/>
      <w:marTop w:val="0"/>
      <w:marBottom w:val="0"/>
      <w:divBdr>
        <w:top w:val="none" w:sz="0" w:space="0" w:color="auto"/>
        <w:left w:val="none" w:sz="0" w:space="0" w:color="auto"/>
        <w:bottom w:val="none" w:sz="0" w:space="0" w:color="auto"/>
        <w:right w:val="none" w:sz="0" w:space="0" w:color="auto"/>
      </w:divBdr>
    </w:div>
    <w:div w:id="1936591626">
      <w:marLeft w:val="0"/>
      <w:marRight w:val="0"/>
      <w:marTop w:val="0"/>
      <w:marBottom w:val="0"/>
      <w:divBdr>
        <w:top w:val="none" w:sz="0" w:space="0" w:color="auto"/>
        <w:left w:val="none" w:sz="0" w:space="0" w:color="auto"/>
        <w:bottom w:val="none" w:sz="0" w:space="0" w:color="auto"/>
        <w:right w:val="none" w:sz="0" w:space="0" w:color="auto"/>
      </w:divBdr>
    </w:div>
    <w:div w:id="1936591627">
      <w:marLeft w:val="0"/>
      <w:marRight w:val="0"/>
      <w:marTop w:val="0"/>
      <w:marBottom w:val="0"/>
      <w:divBdr>
        <w:top w:val="none" w:sz="0" w:space="0" w:color="auto"/>
        <w:left w:val="none" w:sz="0" w:space="0" w:color="auto"/>
        <w:bottom w:val="none" w:sz="0" w:space="0" w:color="auto"/>
        <w:right w:val="none" w:sz="0" w:space="0" w:color="auto"/>
      </w:divBdr>
    </w:div>
    <w:div w:id="1936591628">
      <w:marLeft w:val="0"/>
      <w:marRight w:val="0"/>
      <w:marTop w:val="0"/>
      <w:marBottom w:val="0"/>
      <w:divBdr>
        <w:top w:val="none" w:sz="0" w:space="0" w:color="auto"/>
        <w:left w:val="none" w:sz="0" w:space="0" w:color="auto"/>
        <w:bottom w:val="none" w:sz="0" w:space="0" w:color="auto"/>
        <w:right w:val="none" w:sz="0" w:space="0" w:color="auto"/>
      </w:divBdr>
    </w:div>
    <w:div w:id="1936591629">
      <w:marLeft w:val="0"/>
      <w:marRight w:val="0"/>
      <w:marTop w:val="0"/>
      <w:marBottom w:val="0"/>
      <w:divBdr>
        <w:top w:val="none" w:sz="0" w:space="0" w:color="auto"/>
        <w:left w:val="none" w:sz="0" w:space="0" w:color="auto"/>
        <w:bottom w:val="none" w:sz="0" w:space="0" w:color="auto"/>
        <w:right w:val="none" w:sz="0" w:space="0" w:color="auto"/>
      </w:divBdr>
    </w:div>
    <w:div w:id="1936591630">
      <w:marLeft w:val="0"/>
      <w:marRight w:val="0"/>
      <w:marTop w:val="0"/>
      <w:marBottom w:val="0"/>
      <w:divBdr>
        <w:top w:val="none" w:sz="0" w:space="0" w:color="auto"/>
        <w:left w:val="none" w:sz="0" w:space="0" w:color="auto"/>
        <w:bottom w:val="none" w:sz="0" w:space="0" w:color="auto"/>
        <w:right w:val="none" w:sz="0" w:space="0" w:color="auto"/>
      </w:divBdr>
    </w:div>
    <w:div w:id="1936591631">
      <w:marLeft w:val="0"/>
      <w:marRight w:val="0"/>
      <w:marTop w:val="0"/>
      <w:marBottom w:val="0"/>
      <w:divBdr>
        <w:top w:val="none" w:sz="0" w:space="0" w:color="auto"/>
        <w:left w:val="none" w:sz="0" w:space="0" w:color="auto"/>
        <w:bottom w:val="none" w:sz="0" w:space="0" w:color="auto"/>
        <w:right w:val="none" w:sz="0" w:space="0" w:color="auto"/>
      </w:divBdr>
    </w:div>
    <w:div w:id="1936591632">
      <w:marLeft w:val="0"/>
      <w:marRight w:val="0"/>
      <w:marTop w:val="0"/>
      <w:marBottom w:val="0"/>
      <w:divBdr>
        <w:top w:val="none" w:sz="0" w:space="0" w:color="auto"/>
        <w:left w:val="none" w:sz="0" w:space="0" w:color="auto"/>
        <w:bottom w:val="none" w:sz="0" w:space="0" w:color="auto"/>
        <w:right w:val="none" w:sz="0" w:space="0" w:color="auto"/>
      </w:divBdr>
    </w:div>
    <w:div w:id="1971090750">
      <w:bodyDiv w:val="1"/>
      <w:marLeft w:val="0"/>
      <w:marRight w:val="0"/>
      <w:marTop w:val="0"/>
      <w:marBottom w:val="0"/>
      <w:divBdr>
        <w:top w:val="none" w:sz="0" w:space="0" w:color="auto"/>
        <w:left w:val="none" w:sz="0" w:space="0" w:color="auto"/>
        <w:bottom w:val="none" w:sz="0" w:space="0" w:color="auto"/>
        <w:right w:val="none" w:sz="0" w:space="0" w:color="auto"/>
      </w:divBdr>
      <w:divsChild>
        <w:div w:id="1506745676">
          <w:marLeft w:val="0"/>
          <w:marRight w:val="0"/>
          <w:marTop w:val="0"/>
          <w:marBottom w:val="0"/>
          <w:divBdr>
            <w:top w:val="none" w:sz="0" w:space="0" w:color="auto"/>
            <w:left w:val="none" w:sz="0" w:space="0" w:color="auto"/>
            <w:bottom w:val="none" w:sz="0" w:space="0" w:color="auto"/>
            <w:right w:val="none" w:sz="0" w:space="0" w:color="auto"/>
          </w:divBdr>
          <w:divsChild>
            <w:div w:id="1231964014">
              <w:marLeft w:val="0"/>
              <w:marRight w:val="0"/>
              <w:marTop w:val="0"/>
              <w:marBottom w:val="0"/>
              <w:divBdr>
                <w:top w:val="none" w:sz="0" w:space="0" w:color="auto"/>
                <w:left w:val="none" w:sz="0" w:space="0" w:color="auto"/>
                <w:bottom w:val="none" w:sz="0" w:space="0" w:color="auto"/>
                <w:right w:val="none" w:sz="0" w:space="0" w:color="auto"/>
              </w:divBdr>
              <w:divsChild>
                <w:div w:id="634986864">
                  <w:marLeft w:val="0"/>
                  <w:marRight w:val="0"/>
                  <w:marTop w:val="0"/>
                  <w:marBottom w:val="0"/>
                  <w:divBdr>
                    <w:top w:val="none" w:sz="0" w:space="0" w:color="auto"/>
                    <w:left w:val="none" w:sz="0" w:space="0" w:color="auto"/>
                    <w:bottom w:val="none" w:sz="0" w:space="0" w:color="auto"/>
                    <w:right w:val="none" w:sz="0" w:space="0" w:color="auto"/>
                  </w:divBdr>
                  <w:divsChild>
                    <w:div w:id="2116290385">
                      <w:marLeft w:val="0"/>
                      <w:marRight w:val="0"/>
                      <w:marTop w:val="0"/>
                      <w:marBottom w:val="0"/>
                      <w:divBdr>
                        <w:top w:val="none" w:sz="0" w:space="0" w:color="auto"/>
                        <w:left w:val="none" w:sz="0" w:space="0" w:color="auto"/>
                        <w:bottom w:val="none" w:sz="0" w:space="0" w:color="auto"/>
                        <w:right w:val="none" w:sz="0" w:space="0" w:color="auto"/>
                      </w:divBdr>
                      <w:divsChild>
                        <w:div w:id="192198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9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063320">
      <w:bodyDiv w:val="1"/>
      <w:marLeft w:val="0"/>
      <w:marRight w:val="0"/>
      <w:marTop w:val="0"/>
      <w:marBottom w:val="0"/>
      <w:divBdr>
        <w:top w:val="none" w:sz="0" w:space="0" w:color="auto"/>
        <w:left w:val="none" w:sz="0" w:space="0" w:color="auto"/>
        <w:bottom w:val="none" w:sz="0" w:space="0" w:color="auto"/>
        <w:right w:val="none" w:sz="0" w:space="0" w:color="auto"/>
      </w:divBdr>
      <w:divsChild>
        <w:div w:id="1228805311">
          <w:marLeft w:val="0"/>
          <w:marRight w:val="0"/>
          <w:marTop w:val="0"/>
          <w:marBottom w:val="0"/>
          <w:divBdr>
            <w:top w:val="none" w:sz="0" w:space="0" w:color="auto"/>
            <w:left w:val="none" w:sz="0" w:space="0" w:color="auto"/>
            <w:bottom w:val="none" w:sz="0" w:space="0" w:color="auto"/>
            <w:right w:val="none" w:sz="0" w:space="0" w:color="auto"/>
          </w:divBdr>
          <w:divsChild>
            <w:div w:id="1430466765">
              <w:marLeft w:val="0"/>
              <w:marRight w:val="0"/>
              <w:marTop w:val="0"/>
              <w:marBottom w:val="0"/>
              <w:divBdr>
                <w:top w:val="none" w:sz="0" w:space="0" w:color="auto"/>
                <w:left w:val="none" w:sz="0" w:space="0" w:color="auto"/>
                <w:bottom w:val="none" w:sz="0" w:space="0" w:color="auto"/>
                <w:right w:val="none" w:sz="0" w:space="0" w:color="auto"/>
              </w:divBdr>
              <w:divsChild>
                <w:div w:id="5525399">
                  <w:marLeft w:val="0"/>
                  <w:marRight w:val="0"/>
                  <w:marTop w:val="0"/>
                  <w:marBottom w:val="0"/>
                  <w:divBdr>
                    <w:top w:val="none" w:sz="0" w:space="0" w:color="auto"/>
                    <w:left w:val="none" w:sz="0" w:space="0" w:color="auto"/>
                    <w:bottom w:val="none" w:sz="0" w:space="0" w:color="auto"/>
                    <w:right w:val="none" w:sz="0" w:space="0" w:color="auto"/>
                  </w:divBdr>
                  <w:divsChild>
                    <w:div w:id="223495780">
                      <w:marLeft w:val="0"/>
                      <w:marRight w:val="0"/>
                      <w:marTop w:val="0"/>
                      <w:marBottom w:val="0"/>
                      <w:divBdr>
                        <w:top w:val="none" w:sz="0" w:space="0" w:color="auto"/>
                        <w:left w:val="none" w:sz="0" w:space="0" w:color="auto"/>
                        <w:bottom w:val="none" w:sz="0" w:space="0" w:color="auto"/>
                        <w:right w:val="none" w:sz="0" w:space="0" w:color="auto"/>
                      </w:divBdr>
                    </w:div>
                  </w:divsChild>
                </w:div>
                <w:div w:id="7028839">
                  <w:marLeft w:val="0"/>
                  <w:marRight w:val="0"/>
                  <w:marTop w:val="0"/>
                  <w:marBottom w:val="0"/>
                  <w:divBdr>
                    <w:top w:val="none" w:sz="0" w:space="0" w:color="auto"/>
                    <w:left w:val="none" w:sz="0" w:space="0" w:color="auto"/>
                    <w:bottom w:val="none" w:sz="0" w:space="0" w:color="auto"/>
                    <w:right w:val="none" w:sz="0" w:space="0" w:color="auto"/>
                  </w:divBdr>
                  <w:divsChild>
                    <w:div w:id="1768771156">
                      <w:marLeft w:val="0"/>
                      <w:marRight w:val="0"/>
                      <w:marTop w:val="0"/>
                      <w:marBottom w:val="0"/>
                      <w:divBdr>
                        <w:top w:val="none" w:sz="0" w:space="0" w:color="auto"/>
                        <w:left w:val="none" w:sz="0" w:space="0" w:color="auto"/>
                        <w:bottom w:val="none" w:sz="0" w:space="0" w:color="auto"/>
                        <w:right w:val="none" w:sz="0" w:space="0" w:color="auto"/>
                      </w:divBdr>
                    </w:div>
                  </w:divsChild>
                </w:div>
                <w:div w:id="10844112">
                  <w:marLeft w:val="0"/>
                  <w:marRight w:val="0"/>
                  <w:marTop w:val="0"/>
                  <w:marBottom w:val="0"/>
                  <w:divBdr>
                    <w:top w:val="none" w:sz="0" w:space="0" w:color="auto"/>
                    <w:left w:val="none" w:sz="0" w:space="0" w:color="auto"/>
                    <w:bottom w:val="none" w:sz="0" w:space="0" w:color="auto"/>
                    <w:right w:val="none" w:sz="0" w:space="0" w:color="auto"/>
                  </w:divBdr>
                  <w:divsChild>
                    <w:div w:id="1269703365">
                      <w:marLeft w:val="0"/>
                      <w:marRight w:val="0"/>
                      <w:marTop w:val="0"/>
                      <w:marBottom w:val="0"/>
                      <w:divBdr>
                        <w:top w:val="none" w:sz="0" w:space="0" w:color="auto"/>
                        <w:left w:val="none" w:sz="0" w:space="0" w:color="auto"/>
                        <w:bottom w:val="none" w:sz="0" w:space="0" w:color="auto"/>
                        <w:right w:val="none" w:sz="0" w:space="0" w:color="auto"/>
                      </w:divBdr>
                    </w:div>
                  </w:divsChild>
                </w:div>
                <w:div w:id="11535540">
                  <w:marLeft w:val="0"/>
                  <w:marRight w:val="0"/>
                  <w:marTop w:val="0"/>
                  <w:marBottom w:val="0"/>
                  <w:divBdr>
                    <w:top w:val="none" w:sz="0" w:space="0" w:color="auto"/>
                    <w:left w:val="none" w:sz="0" w:space="0" w:color="auto"/>
                    <w:bottom w:val="none" w:sz="0" w:space="0" w:color="auto"/>
                    <w:right w:val="none" w:sz="0" w:space="0" w:color="auto"/>
                  </w:divBdr>
                  <w:divsChild>
                    <w:div w:id="1091197505">
                      <w:marLeft w:val="0"/>
                      <w:marRight w:val="0"/>
                      <w:marTop w:val="0"/>
                      <w:marBottom w:val="0"/>
                      <w:divBdr>
                        <w:top w:val="none" w:sz="0" w:space="0" w:color="auto"/>
                        <w:left w:val="none" w:sz="0" w:space="0" w:color="auto"/>
                        <w:bottom w:val="none" w:sz="0" w:space="0" w:color="auto"/>
                        <w:right w:val="none" w:sz="0" w:space="0" w:color="auto"/>
                      </w:divBdr>
                    </w:div>
                  </w:divsChild>
                </w:div>
                <w:div w:id="17515482">
                  <w:marLeft w:val="0"/>
                  <w:marRight w:val="0"/>
                  <w:marTop w:val="0"/>
                  <w:marBottom w:val="0"/>
                  <w:divBdr>
                    <w:top w:val="none" w:sz="0" w:space="0" w:color="auto"/>
                    <w:left w:val="none" w:sz="0" w:space="0" w:color="auto"/>
                    <w:bottom w:val="none" w:sz="0" w:space="0" w:color="auto"/>
                    <w:right w:val="none" w:sz="0" w:space="0" w:color="auto"/>
                  </w:divBdr>
                  <w:divsChild>
                    <w:div w:id="484247169">
                      <w:marLeft w:val="0"/>
                      <w:marRight w:val="0"/>
                      <w:marTop w:val="0"/>
                      <w:marBottom w:val="0"/>
                      <w:divBdr>
                        <w:top w:val="none" w:sz="0" w:space="0" w:color="auto"/>
                        <w:left w:val="none" w:sz="0" w:space="0" w:color="auto"/>
                        <w:bottom w:val="none" w:sz="0" w:space="0" w:color="auto"/>
                        <w:right w:val="none" w:sz="0" w:space="0" w:color="auto"/>
                      </w:divBdr>
                    </w:div>
                  </w:divsChild>
                </w:div>
                <w:div w:id="25253202">
                  <w:marLeft w:val="0"/>
                  <w:marRight w:val="0"/>
                  <w:marTop w:val="0"/>
                  <w:marBottom w:val="0"/>
                  <w:divBdr>
                    <w:top w:val="none" w:sz="0" w:space="0" w:color="auto"/>
                    <w:left w:val="none" w:sz="0" w:space="0" w:color="auto"/>
                    <w:bottom w:val="none" w:sz="0" w:space="0" w:color="auto"/>
                    <w:right w:val="none" w:sz="0" w:space="0" w:color="auto"/>
                  </w:divBdr>
                  <w:divsChild>
                    <w:div w:id="399449333">
                      <w:marLeft w:val="0"/>
                      <w:marRight w:val="0"/>
                      <w:marTop w:val="0"/>
                      <w:marBottom w:val="0"/>
                      <w:divBdr>
                        <w:top w:val="none" w:sz="0" w:space="0" w:color="auto"/>
                        <w:left w:val="none" w:sz="0" w:space="0" w:color="auto"/>
                        <w:bottom w:val="none" w:sz="0" w:space="0" w:color="auto"/>
                        <w:right w:val="none" w:sz="0" w:space="0" w:color="auto"/>
                      </w:divBdr>
                    </w:div>
                  </w:divsChild>
                </w:div>
                <w:div w:id="30309717">
                  <w:marLeft w:val="0"/>
                  <w:marRight w:val="0"/>
                  <w:marTop w:val="0"/>
                  <w:marBottom w:val="0"/>
                  <w:divBdr>
                    <w:top w:val="none" w:sz="0" w:space="0" w:color="auto"/>
                    <w:left w:val="none" w:sz="0" w:space="0" w:color="auto"/>
                    <w:bottom w:val="none" w:sz="0" w:space="0" w:color="auto"/>
                    <w:right w:val="none" w:sz="0" w:space="0" w:color="auto"/>
                  </w:divBdr>
                  <w:divsChild>
                    <w:div w:id="1379545819">
                      <w:marLeft w:val="0"/>
                      <w:marRight w:val="0"/>
                      <w:marTop w:val="0"/>
                      <w:marBottom w:val="0"/>
                      <w:divBdr>
                        <w:top w:val="none" w:sz="0" w:space="0" w:color="auto"/>
                        <w:left w:val="none" w:sz="0" w:space="0" w:color="auto"/>
                        <w:bottom w:val="none" w:sz="0" w:space="0" w:color="auto"/>
                        <w:right w:val="none" w:sz="0" w:space="0" w:color="auto"/>
                      </w:divBdr>
                    </w:div>
                  </w:divsChild>
                </w:div>
                <w:div w:id="41563992">
                  <w:marLeft w:val="0"/>
                  <w:marRight w:val="0"/>
                  <w:marTop w:val="0"/>
                  <w:marBottom w:val="0"/>
                  <w:divBdr>
                    <w:top w:val="none" w:sz="0" w:space="0" w:color="auto"/>
                    <w:left w:val="none" w:sz="0" w:space="0" w:color="auto"/>
                    <w:bottom w:val="none" w:sz="0" w:space="0" w:color="auto"/>
                    <w:right w:val="none" w:sz="0" w:space="0" w:color="auto"/>
                  </w:divBdr>
                  <w:divsChild>
                    <w:div w:id="1956861928">
                      <w:marLeft w:val="0"/>
                      <w:marRight w:val="0"/>
                      <w:marTop w:val="0"/>
                      <w:marBottom w:val="0"/>
                      <w:divBdr>
                        <w:top w:val="none" w:sz="0" w:space="0" w:color="auto"/>
                        <w:left w:val="none" w:sz="0" w:space="0" w:color="auto"/>
                        <w:bottom w:val="none" w:sz="0" w:space="0" w:color="auto"/>
                        <w:right w:val="none" w:sz="0" w:space="0" w:color="auto"/>
                      </w:divBdr>
                    </w:div>
                  </w:divsChild>
                </w:div>
                <w:div w:id="42288213">
                  <w:marLeft w:val="0"/>
                  <w:marRight w:val="0"/>
                  <w:marTop w:val="0"/>
                  <w:marBottom w:val="0"/>
                  <w:divBdr>
                    <w:top w:val="none" w:sz="0" w:space="0" w:color="auto"/>
                    <w:left w:val="none" w:sz="0" w:space="0" w:color="auto"/>
                    <w:bottom w:val="none" w:sz="0" w:space="0" w:color="auto"/>
                    <w:right w:val="none" w:sz="0" w:space="0" w:color="auto"/>
                  </w:divBdr>
                  <w:divsChild>
                    <w:div w:id="1934436822">
                      <w:marLeft w:val="0"/>
                      <w:marRight w:val="0"/>
                      <w:marTop w:val="0"/>
                      <w:marBottom w:val="0"/>
                      <w:divBdr>
                        <w:top w:val="none" w:sz="0" w:space="0" w:color="auto"/>
                        <w:left w:val="none" w:sz="0" w:space="0" w:color="auto"/>
                        <w:bottom w:val="none" w:sz="0" w:space="0" w:color="auto"/>
                        <w:right w:val="none" w:sz="0" w:space="0" w:color="auto"/>
                      </w:divBdr>
                    </w:div>
                  </w:divsChild>
                </w:div>
                <w:div w:id="48113351">
                  <w:marLeft w:val="0"/>
                  <w:marRight w:val="0"/>
                  <w:marTop w:val="0"/>
                  <w:marBottom w:val="0"/>
                  <w:divBdr>
                    <w:top w:val="none" w:sz="0" w:space="0" w:color="auto"/>
                    <w:left w:val="none" w:sz="0" w:space="0" w:color="auto"/>
                    <w:bottom w:val="none" w:sz="0" w:space="0" w:color="auto"/>
                    <w:right w:val="none" w:sz="0" w:space="0" w:color="auto"/>
                  </w:divBdr>
                  <w:divsChild>
                    <w:div w:id="600797272">
                      <w:marLeft w:val="0"/>
                      <w:marRight w:val="0"/>
                      <w:marTop w:val="0"/>
                      <w:marBottom w:val="0"/>
                      <w:divBdr>
                        <w:top w:val="none" w:sz="0" w:space="0" w:color="auto"/>
                        <w:left w:val="none" w:sz="0" w:space="0" w:color="auto"/>
                        <w:bottom w:val="none" w:sz="0" w:space="0" w:color="auto"/>
                        <w:right w:val="none" w:sz="0" w:space="0" w:color="auto"/>
                      </w:divBdr>
                    </w:div>
                  </w:divsChild>
                </w:div>
                <w:div w:id="53507078">
                  <w:marLeft w:val="0"/>
                  <w:marRight w:val="0"/>
                  <w:marTop w:val="0"/>
                  <w:marBottom w:val="0"/>
                  <w:divBdr>
                    <w:top w:val="none" w:sz="0" w:space="0" w:color="auto"/>
                    <w:left w:val="none" w:sz="0" w:space="0" w:color="auto"/>
                    <w:bottom w:val="none" w:sz="0" w:space="0" w:color="auto"/>
                    <w:right w:val="none" w:sz="0" w:space="0" w:color="auto"/>
                  </w:divBdr>
                  <w:divsChild>
                    <w:div w:id="1531529585">
                      <w:marLeft w:val="0"/>
                      <w:marRight w:val="0"/>
                      <w:marTop w:val="0"/>
                      <w:marBottom w:val="0"/>
                      <w:divBdr>
                        <w:top w:val="none" w:sz="0" w:space="0" w:color="auto"/>
                        <w:left w:val="none" w:sz="0" w:space="0" w:color="auto"/>
                        <w:bottom w:val="none" w:sz="0" w:space="0" w:color="auto"/>
                        <w:right w:val="none" w:sz="0" w:space="0" w:color="auto"/>
                      </w:divBdr>
                    </w:div>
                  </w:divsChild>
                </w:div>
                <w:div w:id="57244037">
                  <w:marLeft w:val="0"/>
                  <w:marRight w:val="0"/>
                  <w:marTop w:val="0"/>
                  <w:marBottom w:val="0"/>
                  <w:divBdr>
                    <w:top w:val="none" w:sz="0" w:space="0" w:color="auto"/>
                    <w:left w:val="none" w:sz="0" w:space="0" w:color="auto"/>
                    <w:bottom w:val="none" w:sz="0" w:space="0" w:color="auto"/>
                    <w:right w:val="none" w:sz="0" w:space="0" w:color="auto"/>
                  </w:divBdr>
                  <w:divsChild>
                    <w:div w:id="865867124">
                      <w:marLeft w:val="0"/>
                      <w:marRight w:val="0"/>
                      <w:marTop w:val="0"/>
                      <w:marBottom w:val="0"/>
                      <w:divBdr>
                        <w:top w:val="none" w:sz="0" w:space="0" w:color="auto"/>
                        <w:left w:val="none" w:sz="0" w:space="0" w:color="auto"/>
                        <w:bottom w:val="none" w:sz="0" w:space="0" w:color="auto"/>
                        <w:right w:val="none" w:sz="0" w:space="0" w:color="auto"/>
                      </w:divBdr>
                    </w:div>
                  </w:divsChild>
                </w:div>
                <w:div w:id="59183129">
                  <w:marLeft w:val="0"/>
                  <w:marRight w:val="0"/>
                  <w:marTop w:val="0"/>
                  <w:marBottom w:val="0"/>
                  <w:divBdr>
                    <w:top w:val="none" w:sz="0" w:space="0" w:color="auto"/>
                    <w:left w:val="none" w:sz="0" w:space="0" w:color="auto"/>
                    <w:bottom w:val="none" w:sz="0" w:space="0" w:color="auto"/>
                    <w:right w:val="none" w:sz="0" w:space="0" w:color="auto"/>
                  </w:divBdr>
                  <w:divsChild>
                    <w:div w:id="421295432">
                      <w:marLeft w:val="0"/>
                      <w:marRight w:val="0"/>
                      <w:marTop w:val="0"/>
                      <w:marBottom w:val="0"/>
                      <w:divBdr>
                        <w:top w:val="none" w:sz="0" w:space="0" w:color="auto"/>
                        <w:left w:val="none" w:sz="0" w:space="0" w:color="auto"/>
                        <w:bottom w:val="none" w:sz="0" w:space="0" w:color="auto"/>
                        <w:right w:val="none" w:sz="0" w:space="0" w:color="auto"/>
                      </w:divBdr>
                    </w:div>
                  </w:divsChild>
                </w:div>
                <w:div w:id="61951772">
                  <w:marLeft w:val="0"/>
                  <w:marRight w:val="0"/>
                  <w:marTop w:val="0"/>
                  <w:marBottom w:val="0"/>
                  <w:divBdr>
                    <w:top w:val="none" w:sz="0" w:space="0" w:color="auto"/>
                    <w:left w:val="none" w:sz="0" w:space="0" w:color="auto"/>
                    <w:bottom w:val="none" w:sz="0" w:space="0" w:color="auto"/>
                    <w:right w:val="none" w:sz="0" w:space="0" w:color="auto"/>
                  </w:divBdr>
                  <w:divsChild>
                    <w:div w:id="106318063">
                      <w:marLeft w:val="0"/>
                      <w:marRight w:val="0"/>
                      <w:marTop w:val="0"/>
                      <w:marBottom w:val="0"/>
                      <w:divBdr>
                        <w:top w:val="none" w:sz="0" w:space="0" w:color="auto"/>
                        <w:left w:val="none" w:sz="0" w:space="0" w:color="auto"/>
                        <w:bottom w:val="none" w:sz="0" w:space="0" w:color="auto"/>
                        <w:right w:val="none" w:sz="0" w:space="0" w:color="auto"/>
                      </w:divBdr>
                    </w:div>
                  </w:divsChild>
                </w:div>
                <w:div w:id="72431261">
                  <w:marLeft w:val="0"/>
                  <w:marRight w:val="0"/>
                  <w:marTop w:val="0"/>
                  <w:marBottom w:val="0"/>
                  <w:divBdr>
                    <w:top w:val="none" w:sz="0" w:space="0" w:color="auto"/>
                    <w:left w:val="none" w:sz="0" w:space="0" w:color="auto"/>
                    <w:bottom w:val="none" w:sz="0" w:space="0" w:color="auto"/>
                    <w:right w:val="none" w:sz="0" w:space="0" w:color="auto"/>
                  </w:divBdr>
                  <w:divsChild>
                    <w:div w:id="752167579">
                      <w:marLeft w:val="0"/>
                      <w:marRight w:val="0"/>
                      <w:marTop w:val="0"/>
                      <w:marBottom w:val="0"/>
                      <w:divBdr>
                        <w:top w:val="none" w:sz="0" w:space="0" w:color="auto"/>
                        <w:left w:val="none" w:sz="0" w:space="0" w:color="auto"/>
                        <w:bottom w:val="none" w:sz="0" w:space="0" w:color="auto"/>
                        <w:right w:val="none" w:sz="0" w:space="0" w:color="auto"/>
                      </w:divBdr>
                    </w:div>
                  </w:divsChild>
                </w:div>
                <w:div w:id="88548845">
                  <w:marLeft w:val="0"/>
                  <w:marRight w:val="0"/>
                  <w:marTop w:val="0"/>
                  <w:marBottom w:val="0"/>
                  <w:divBdr>
                    <w:top w:val="none" w:sz="0" w:space="0" w:color="auto"/>
                    <w:left w:val="none" w:sz="0" w:space="0" w:color="auto"/>
                    <w:bottom w:val="none" w:sz="0" w:space="0" w:color="auto"/>
                    <w:right w:val="none" w:sz="0" w:space="0" w:color="auto"/>
                  </w:divBdr>
                  <w:divsChild>
                    <w:div w:id="1091243766">
                      <w:marLeft w:val="0"/>
                      <w:marRight w:val="0"/>
                      <w:marTop w:val="0"/>
                      <w:marBottom w:val="0"/>
                      <w:divBdr>
                        <w:top w:val="none" w:sz="0" w:space="0" w:color="auto"/>
                        <w:left w:val="none" w:sz="0" w:space="0" w:color="auto"/>
                        <w:bottom w:val="none" w:sz="0" w:space="0" w:color="auto"/>
                        <w:right w:val="none" w:sz="0" w:space="0" w:color="auto"/>
                      </w:divBdr>
                    </w:div>
                  </w:divsChild>
                </w:div>
                <w:div w:id="95295495">
                  <w:marLeft w:val="0"/>
                  <w:marRight w:val="0"/>
                  <w:marTop w:val="0"/>
                  <w:marBottom w:val="0"/>
                  <w:divBdr>
                    <w:top w:val="none" w:sz="0" w:space="0" w:color="auto"/>
                    <w:left w:val="none" w:sz="0" w:space="0" w:color="auto"/>
                    <w:bottom w:val="none" w:sz="0" w:space="0" w:color="auto"/>
                    <w:right w:val="none" w:sz="0" w:space="0" w:color="auto"/>
                  </w:divBdr>
                  <w:divsChild>
                    <w:div w:id="1782992862">
                      <w:marLeft w:val="0"/>
                      <w:marRight w:val="0"/>
                      <w:marTop w:val="0"/>
                      <w:marBottom w:val="0"/>
                      <w:divBdr>
                        <w:top w:val="none" w:sz="0" w:space="0" w:color="auto"/>
                        <w:left w:val="none" w:sz="0" w:space="0" w:color="auto"/>
                        <w:bottom w:val="none" w:sz="0" w:space="0" w:color="auto"/>
                        <w:right w:val="none" w:sz="0" w:space="0" w:color="auto"/>
                      </w:divBdr>
                    </w:div>
                  </w:divsChild>
                </w:div>
                <w:div w:id="96757036">
                  <w:marLeft w:val="0"/>
                  <w:marRight w:val="0"/>
                  <w:marTop w:val="0"/>
                  <w:marBottom w:val="0"/>
                  <w:divBdr>
                    <w:top w:val="none" w:sz="0" w:space="0" w:color="auto"/>
                    <w:left w:val="none" w:sz="0" w:space="0" w:color="auto"/>
                    <w:bottom w:val="none" w:sz="0" w:space="0" w:color="auto"/>
                    <w:right w:val="none" w:sz="0" w:space="0" w:color="auto"/>
                  </w:divBdr>
                  <w:divsChild>
                    <w:div w:id="1602882491">
                      <w:marLeft w:val="0"/>
                      <w:marRight w:val="0"/>
                      <w:marTop w:val="0"/>
                      <w:marBottom w:val="0"/>
                      <w:divBdr>
                        <w:top w:val="none" w:sz="0" w:space="0" w:color="auto"/>
                        <w:left w:val="none" w:sz="0" w:space="0" w:color="auto"/>
                        <w:bottom w:val="none" w:sz="0" w:space="0" w:color="auto"/>
                        <w:right w:val="none" w:sz="0" w:space="0" w:color="auto"/>
                      </w:divBdr>
                    </w:div>
                  </w:divsChild>
                </w:div>
                <w:div w:id="101850929">
                  <w:marLeft w:val="0"/>
                  <w:marRight w:val="0"/>
                  <w:marTop w:val="0"/>
                  <w:marBottom w:val="0"/>
                  <w:divBdr>
                    <w:top w:val="none" w:sz="0" w:space="0" w:color="auto"/>
                    <w:left w:val="none" w:sz="0" w:space="0" w:color="auto"/>
                    <w:bottom w:val="none" w:sz="0" w:space="0" w:color="auto"/>
                    <w:right w:val="none" w:sz="0" w:space="0" w:color="auto"/>
                  </w:divBdr>
                  <w:divsChild>
                    <w:div w:id="1606498305">
                      <w:marLeft w:val="0"/>
                      <w:marRight w:val="0"/>
                      <w:marTop w:val="0"/>
                      <w:marBottom w:val="0"/>
                      <w:divBdr>
                        <w:top w:val="none" w:sz="0" w:space="0" w:color="auto"/>
                        <w:left w:val="none" w:sz="0" w:space="0" w:color="auto"/>
                        <w:bottom w:val="none" w:sz="0" w:space="0" w:color="auto"/>
                        <w:right w:val="none" w:sz="0" w:space="0" w:color="auto"/>
                      </w:divBdr>
                    </w:div>
                  </w:divsChild>
                </w:div>
                <w:div w:id="105780559">
                  <w:marLeft w:val="0"/>
                  <w:marRight w:val="0"/>
                  <w:marTop w:val="0"/>
                  <w:marBottom w:val="0"/>
                  <w:divBdr>
                    <w:top w:val="none" w:sz="0" w:space="0" w:color="auto"/>
                    <w:left w:val="none" w:sz="0" w:space="0" w:color="auto"/>
                    <w:bottom w:val="none" w:sz="0" w:space="0" w:color="auto"/>
                    <w:right w:val="none" w:sz="0" w:space="0" w:color="auto"/>
                  </w:divBdr>
                  <w:divsChild>
                    <w:div w:id="1882014728">
                      <w:marLeft w:val="0"/>
                      <w:marRight w:val="0"/>
                      <w:marTop w:val="0"/>
                      <w:marBottom w:val="0"/>
                      <w:divBdr>
                        <w:top w:val="none" w:sz="0" w:space="0" w:color="auto"/>
                        <w:left w:val="none" w:sz="0" w:space="0" w:color="auto"/>
                        <w:bottom w:val="none" w:sz="0" w:space="0" w:color="auto"/>
                        <w:right w:val="none" w:sz="0" w:space="0" w:color="auto"/>
                      </w:divBdr>
                    </w:div>
                  </w:divsChild>
                </w:div>
                <w:div w:id="106048789">
                  <w:marLeft w:val="0"/>
                  <w:marRight w:val="0"/>
                  <w:marTop w:val="0"/>
                  <w:marBottom w:val="0"/>
                  <w:divBdr>
                    <w:top w:val="none" w:sz="0" w:space="0" w:color="auto"/>
                    <w:left w:val="none" w:sz="0" w:space="0" w:color="auto"/>
                    <w:bottom w:val="none" w:sz="0" w:space="0" w:color="auto"/>
                    <w:right w:val="none" w:sz="0" w:space="0" w:color="auto"/>
                  </w:divBdr>
                  <w:divsChild>
                    <w:div w:id="1327198803">
                      <w:marLeft w:val="0"/>
                      <w:marRight w:val="0"/>
                      <w:marTop w:val="0"/>
                      <w:marBottom w:val="0"/>
                      <w:divBdr>
                        <w:top w:val="none" w:sz="0" w:space="0" w:color="auto"/>
                        <w:left w:val="none" w:sz="0" w:space="0" w:color="auto"/>
                        <w:bottom w:val="none" w:sz="0" w:space="0" w:color="auto"/>
                        <w:right w:val="none" w:sz="0" w:space="0" w:color="auto"/>
                      </w:divBdr>
                    </w:div>
                  </w:divsChild>
                </w:div>
                <w:div w:id="112604118">
                  <w:marLeft w:val="0"/>
                  <w:marRight w:val="0"/>
                  <w:marTop w:val="0"/>
                  <w:marBottom w:val="0"/>
                  <w:divBdr>
                    <w:top w:val="none" w:sz="0" w:space="0" w:color="auto"/>
                    <w:left w:val="none" w:sz="0" w:space="0" w:color="auto"/>
                    <w:bottom w:val="none" w:sz="0" w:space="0" w:color="auto"/>
                    <w:right w:val="none" w:sz="0" w:space="0" w:color="auto"/>
                  </w:divBdr>
                  <w:divsChild>
                    <w:div w:id="2026898586">
                      <w:marLeft w:val="0"/>
                      <w:marRight w:val="0"/>
                      <w:marTop w:val="0"/>
                      <w:marBottom w:val="0"/>
                      <w:divBdr>
                        <w:top w:val="none" w:sz="0" w:space="0" w:color="auto"/>
                        <w:left w:val="none" w:sz="0" w:space="0" w:color="auto"/>
                        <w:bottom w:val="none" w:sz="0" w:space="0" w:color="auto"/>
                        <w:right w:val="none" w:sz="0" w:space="0" w:color="auto"/>
                      </w:divBdr>
                    </w:div>
                  </w:divsChild>
                </w:div>
                <w:div w:id="117995448">
                  <w:marLeft w:val="0"/>
                  <w:marRight w:val="0"/>
                  <w:marTop w:val="0"/>
                  <w:marBottom w:val="0"/>
                  <w:divBdr>
                    <w:top w:val="none" w:sz="0" w:space="0" w:color="auto"/>
                    <w:left w:val="none" w:sz="0" w:space="0" w:color="auto"/>
                    <w:bottom w:val="none" w:sz="0" w:space="0" w:color="auto"/>
                    <w:right w:val="none" w:sz="0" w:space="0" w:color="auto"/>
                  </w:divBdr>
                  <w:divsChild>
                    <w:div w:id="1488934271">
                      <w:marLeft w:val="0"/>
                      <w:marRight w:val="0"/>
                      <w:marTop w:val="0"/>
                      <w:marBottom w:val="0"/>
                      <w:divBdr>
                        <w:top w:val="none" w:sz="0" w:space="0" w:color="auto"/>
                        <w:left w:val="none" w:sz="0" w:space="0" w:color="auto"/>
                        <w:bottom w:val="none" w:sz="0" w:space="0" w:color="auto"/>
                        <w:right w:val="none" w:sz="0" w:space="0" w:color="auto"/>
                      </w:divBdr>
                    </w:div>
                  </w:divsChild>
                </w:div>
                <w:div w:id="127433706">
                  <w:marLeft w:val="0"/>
                  <w:marRight w:val="0"/>
                  <w:marTop w:val="0"/>
                  <w:marBottom w:val="0"/>
                  <w:divBdr>
                    <w:top w:val="none" w:sz="0" w:space="0" w:color="auto"/>
                    <w:left w:val="none" w:sz="0" w:space="0" w:color="auto"/>
                    <w:bottom w:val="none" w:sz="0" w:space="0" w:color="auto"/>
                    <w:right w:val="none" w:sz="0" w:space="0" w:color="auto"/>
                  </w:divBdr>
                  <w:divsChild>
                    <w:div w:id="152839404">
                      <w:marLeft w:val="0"/>
                      <w:marRight w:val="0"/>
                      <w:marTop w:val="0"/>
                      <w:marBottom w:val="0"/>
                      <w:divBdr>
                        <w:top w:val="none" w:sz="0" w:space="0" w:color="auto"/>
                        <w:left w:val="none" w:sz="0" w:space="0" w:color="auto"/>
                        <w:bottom w:val="none" w:sz="0" w:space="0" w:color="auto"/>
                        <w:right w:val="none" w:sz="0" w:space="0" w:color="auto"/>
                      </w:divBdr>
                    </w:div>
                  </w:divsChild>
                </w:div>
                <w:div w:id="131556518">
                  <w:marLeft w:val="0"/>
                  <w:marRight w:val="0"/>
                  <w:marTop w:val="0"/>
                  <w:marBottom w:val="0"/>
                  <w:divBdr>
                    <w:top w:val="none" w:sz="0" w:space="0" w:color="auto"/>
                    <w:left w:val="none" w:sz="0" w:space="0" w:color="auto"/>
                    <w:bottom w:val="none" w:sz="0" w:space="0" w:color="auto"/>
                    <w:right w:val="none" w:sz="0" w:space="0" w:color="auto"/>
                  </w:divBdr>
                  <w:divsChild>
                    <w:div w:id="1392852803">
                      <w:marLeft w:val="0"/>
                      <w:marRight w:val="0"/>
                      <w:marTop w:val="0"/>
                      <w:marBottom w:val="0"/>
                      <w:divBdr>
                        <w:top w:val="none" w:sz="0" w:space="0" w:color="auto"/>
                        <w:left w:val="none" w:sz="0" w:space="0" w:color="auto"/>
                        <w:bottom w:val="none" w:sz="0" w:space="0" w:color="auto"/>
                        <w:right w:val="none" w:sz="0" w:space="0" w:color="auto"/>
                      </w:divBdr>
                    </w:div>
                  </w:divsChild>
                </w:div>
                <w:div w:id="149951541">
                  <w:marLeft w:val="0"/>
                  <w:marRight w:val="0"/>
                  <w:marTop w:val="0"/>
                  <w:marBottom w:val="0"/>
                  <w:divBdr>
                    <w:top w:val="none" w:sz="0" w:space="0" w:color="auto"/>
                    <w:left w:val="none" w:sz="0" w:space="0" w:color="auto"/>
                    <w:bottom w:val="none" w:sz="0" w:space="0" w:color="auto"/>
                    <w:right w:val="none" w:sz="0" w:space="0" w:color="auto"/>
                  </w:divBdr>
                  <w:divsChild>
                    <w:div w:id="1473674612">
                      <w:marLeft w:val="0"/>
                      <w:marRight w:val="0"/>
                      <w:marTop w:val="0"/>
                      <w:marBottom w:val="0"/>
                      <w:divBdr>
                        <w:top w:val="none" w:sz="0" w:space="0" w:color="auto"/>
                        <w:left w:val="none" w:sz="0" w:space="0" w:color="auto"/>
                        <w:bottom w:val="none" w:sz="0" w:space="0" w:color="auto"/>
                        <w:right w:val="none" w:sz="0" w:space="0" w:color="auto"/>
                      </w:divBdr>
                    </w:div>
                  </w:divsChild>
                </w:div>
                <w:div w:id="151916911">
                  <w:marLeft w:val="0"/>
                  <w:marRight w:val="0"/>
                  <w:marTop w:val="0"/>
                  <w:marBottom w:val="0"/>
                  <w:divBdr>
                    <w:top w:val="none" w:sz="0" w:space="0" w:color="auto"/>
                    <w:left w:val="none" w:sz="0" w:space="0" w:color="auto"/>
                    <w:bottom w:val="none" w:sz="0" w:space="0" w:color="auto"/>
                    <w:right w:val="none" w:sz="0" w:space="0" w:color="auto"/>
                  </w:divBdr>
                  <w:divsChild>
                    <w:div w:id="811411622">
                      <w:marLeft w:val="0"/>
                      <w:marRight w:val="0"/>
                      <w:marTop w:val="0"/>
                      <w:marBottom w:val="0"/>
                      <w:divBdr>
                        <w:top w:val="none" w:sz="0" w:space="0" w:color="auto"/>
                        <w:left w:val="none" w:sz="0" w:space="0" w:color="auto"/>
                        <w:bottom w:val="none" w:sz="0" w:space="0" w:color="auto"/>
                        <w:right w:val="none" w:sz="0" w:space="0" w:color="auto"/>
                      </w:divBdr>
                    </w:div>
                  </w:divsChild>
                </w:div>
                <w:div w:id="152180734">
                  <w:marLeft w:val="0"/>
                  <w:marRight w:val="0"/>
                  <w:marTop w:val="0"/>
                  <w:marBottom w:val="0"/>
                  <w:divBdr>
                    <w:top w:val="none" w:sz="0" w:space="0" w:color="auto"/>
                    <w:left w:val="none" w:sz="0" w:space="0" w:color="auto"/>
                    <w:bottom w:val="none" w:sz="0" w:space="0" w:color="auto"/>
                    <w:right w:val="none" w:sz="0" w:space="0" w:color="auto"/>
                  </w:divBdr>
                  <w:divsChild>
                    <w:div w:id="444811279">
                      <w:marLeft w:val="0"/>
                      <w:marRight w:val="0"/>
                      <w:marTop w:val="0"/>
                      <w:marBottom w:val="0"/>
                      <w:divBdr>
                        <w:top w:val="none" w:sz="0" w:space="0" w:color="auto"/>
                        <w:left w:val="none" w:sz="0" w:space="0" w:color="auto"/>
                        <w:bottom w:val="none" w:sz="0" w:space="0" w:color="auto"/>
                        <w:right w:val="none" w:sz="0" w:space="0" w:color="auto"/>
                      </w:divBdr>
                    </w:div>
                  </w:divsChild>
                </w:div>
                <w:div w:id="160050334">
                  <w:marLeft w:val="0"/>
                  <w:marRight w:val="0"/>
                  <w:marTop w:val="0"/>
                  <w:marBottom w:val="0"/>
                  <w:divBdr>
                    <w:top w:val="none" w:sz="0" w:space="0" w:color="auto"/>
                    <w:left w:val="none" w:sz="0" w:space="0" w:color="auto"/>
                    <w:bottom w:val="none" w:sz="0" w:space="0" w:color="auto"/>
                    <w:right w:val="none" w:sz="0" w:space="0" w:color="auto"/>
                  </w:divBdr>
                  <w:divsChild>
                    <w:div w:id="236403156">
                      <w:marLeft w:val="0"/>
                      <w:marRight w:val="0"/>
                      <w:marTop w:val="0"/>
                      <w:marBottom w:val="0"/>
                      <w:divBdr>
                        <w:top w:val="none" w:sz="0" w:space="0" w:color="auto"/>
                        <w:left w:val="none" w:sz="0" w:space="0" w:color="auto"/>
                        <w:bottom w:val="none" w:sz="0" w:space="0" w:color="auto"/>
                        <w:right w:val="none" w:sz="0" w:space="0" w:color="auto"/>
                      </w:divBdr>
                    </w:div>
                  </w:divsChild>
                </w:div>
                <w:div w:id="164828009">
                  <w:marLeft w:val="0"/>
                  <w:marRight w:val="0"/>
                  <w:marTop w:val="0"/>
                  <w:marBottom w:val="0"/>
                  <w:divBdr>
                    <w:top w:val="none" w:sz="0" w:space="0" w:color="auto"/>
                    <w:left w:val="none" w:sz="0" w:space="0" w:color="auto"/>
                    <w:bottom w:val="none" w:sz="0" w:space="0" w:color="auto"/>
                    <w:right w:val="none" w:sz="0" w:space="0" w:color="auto"/>
                  </w:divBdr>
                  <w:divsChild>
                    <w:div w:id="1320037893">
                      <w:marLeft w:val="0"/>
                      <w:marRight w:val="0"/>
                      <w:marTop w:val="0"/>
                      <w:marBottom w:val="0"/>
                      <w:divBdr>
                        <w:top w:val="none" w:sz="0" w:space="0" w:color="auto"/>
                        <w:left w:val="none" w:sz="0" w:space="0" w:color="auto"/>
                        <w:bottom w:val="none" w:sz="0" w:space="0" w:color="auto"/>
                        <w:right w:val="none" w:sz="0" w:space="0" w:color="auto"/>
                      </w:divBdr>
                    </w:div>
                  </w:divsChild>
                </w:div>
                <w:div w:id="170264772">
                  <w:marLeft w:val="0"/>
                  <w:marRight w:val="0"/>
                  <w:marTop w:val="0"/>
                  <w:marBottom w:val="0"/>
                  <w:divBdr>
                    <w:top w:val="none" w:sz="0" w:space="0" w:color="auto"/>
                    <w:left w:val="none" w:sz="0" w:space="0" w:color="auto"/>
                    <w:bottom w:val="none" w:sz="0" w:space="0" w:color="auto"/>
                    <w:right w:val="none" w:sz="0" w:space="0" w:color="auto"/>
                  </w:divBdr>
                  <w:divsChild>
                    <w:div w:id="1530756519">
                      <w:marLeft w:val="0"/>
                      <w:marRight w:val="0"/>
                      <w:marTop w:val="0"/>
                      <w:marBottom w:val="0"/>
                      <w:divBdr>
                        <w:top w:val="none" w:sz="0" w:space="0" w:color="auto"/>
                        <w:left w:val="none" w:sz="0" w:space="0" w:color="auto"/>
                        <w:bottom w:val="none" w:sz="0" w:space="0" w:color="auto"/>
                        <w:right w:val="none" w:sz="0" w:space="0" w:color="auto"/>
                      </w:divBdr>
                    </w:div>
                  </w:divsChild>
                </w:div>
                <w:div w:id="175583817">
                  <w:marLeft w:val="0"/>
                  <w:marRight w:val="0"/>
                  <w:marTop w:val="0"/>
                  <w:marBottom w:val="0"/>
                  <w:divBdr>
                    <w:top w:val="none" w:sz="0" w:space="0" w:color="auto"/>
                    <w:left w:val="none" w:sz="0" w:space="0" w:color="auto"/>
                    <w:bottom w:val="none" w:sz="0" w:space="0" w:color="auto"/>
                    <w:right w:val="none" w:sz="0" w:space="0" w:color="auto"/>
                  </w:divBdr>
                  <w:divsChild>
                    <w:div w:id="428817519">
                      <w:marLeft w:val="0"/>
                      <w:marRight w:val="0"/>
                      <w:marTop w:val="0"/>
                      <w:marBottom w:val="0"/>
                      <w:divBdr>
                        <w:top w:val="none" w:sz="0" w:space="0" w:color="auto"/>
                        <w:left w:val="none" w:sz="0" w:space="0" w:color="auto"/>
                        <w:bottom w:val="none" w:sz="0" w:space="0" w:color="auto"/>
                        <w:right w:val="none" w:sz="0" w:space="0" w:color="auto"/>
                      </w:divBdr>
                    </w:div>
                  </w:divsChild>
                </w:div>
                <w:div w:id="177694738">
                  <w:marLeft w:val="0"/>
                  <w:marRight w:val="0"/>
                  <w:marTop w:val="0"/>
                  <w:marBottom w:val="0"/>
                  <w:divBdr>
                    <w:top w:val="none" w:sz="0" w:space="0" w:color="auto"/>
                    <w:left w:val="none" w:sz="0" w:space="0" w:color="auto"/>
                    <w:bottom w:val="none" w:sz="0" w:space="0" w:color="auto"/>
                    <w:right w:val="none" w:sz="0" w:space="0" w:color="auto"/>
                  </w:divBdr>
                  <w:divsChild>
                    <w:div w:id="344333417">
                      <w:marLeft w:val="0"/>
                      <w:marRight w:val="0"/>
                      <w:marTop w:val="0"/>
                      <w:marBottom w:val="0"/>
                      <w:divBdr>
                        <w:top w:val="none" w:sz="0" w:space="0" w:color="auto"/>
                        <w:left w:val="none" w:sz="0" w:space="0" w:color="auto"/>
                        <w:bottom w:val="none" w:sz="0" w:space="0" w:color="auto"/>
                        <w:right w:val="none" w:sz="0" w:space="0" w:color="auto"/>
                      </w:divBdr>
                    </w:div>
                  </w:divsChild>
                </w:div>
                <w:div w:id="177744362">
                  <w:marLeft w:val="0"/>
                  <w:marRight w:val="0"/>
                  <w:marTop w:val="0"/>
                  <w:marBottom w:val="0"/>
                  <w:divBdr>
                    <w:top w:val="none" w:sz="0" w:space="0" w:color="auto"/>
                    <w:left w:val="none" w:sz="0" w:space="0" w:color="auto"/>
                    <w:bottom w:val="none" w:sz="0" w:space="0" w:color="auto"/>
                    <w:right w:val="none" w:sz="0" w:space="0" w:color="auto"/>
                  </w:divBdr>
                  <w:divsChild>
                    <w:div w:id="687634154">
                      <w:marLeft w:val="0"/>
                      <w:marRight w:val="0"/>
                      <w:marTop w:val="0"/>
                      <w:marBottom w:val="0"/>
                      <w:divBdr>
                        <w:top w:val="none" w:sz="0" w:space="0" w:color="auto"/>
                        <w:left w:val="none" w:sz="0" w:space="0" w:color="auto"/>
                        <w:bottom w:val="none" w:sz="0" w:space="0" w:color="auto"/>
                        <w:right w:val="none" w:sz="0" w:space="0" w:color="auto"/>
                      </w:divBdr>
                    </w:div>
                  </w:divsChild>
                </w:div>
                <w:div w:id="186145781">
                  <w:marLeft w:val="0"/>
                  <w:marRight w:val="0"/>
                  <w:marTop w:val="0"/>
                  <w:marBottom w:val="0"/>
                  <w:divBdr>
                    <w:top w:val="none" w:sz="0" w:space="0" w:color="auto"/>
                    <w:left w:val="none" w:sz="0" w:space="0" w:color="auto"/>
                    <w:bottom w:val="none" w:sz="0" w:space="0" w:color="auto"/>
                    <w:right w:val="none" w:sz="0" w:space="0" w:color="auto"/>
                  </w:divBdr>
                  <w:divsChild>
                    <w:div w:id="73554690">
                      <w:marLeft w:val="0"/>
                      <w:marRight w:val="0"/>
                      <w:marTop w:val="0"/>
                      <w:marBottom w:val="0"/>
                      <w:divBdr>
                        <w:top w:val="none" w:sz="0" w:space="0" w:color="auto"/>
                        <w:left w:val="none" w:sz="0" w:space="0" w:color="auto"/>
                        <w:bottom w:val="none" w:sz="0" w:space="0" w:color="auto"/>
                        <w:right w:val="none" w:sz="0" w:space="0" w:color="auto"/>
                      </w:divBdr>
                    </w:div>
                  </w:divsChild>
                </w:div>
                <w:div w:id="196083838">
                  <w:marLeft w:val="0"/>
                  <w:marRight w:val="0"/>
                  <w:marTop w:val="0"/>
                  <w:marBottom w:val="0"/>
                  <w:divBdr>
                    <w:top w:val="none" w:sz="0" w:space="0" w:color="auto"/>
                    <w:left w:val="none" w:sz="0" w:space="0" w:color="auto"/>
                    <w:bottom w:val="none" w:sz="0" w:space="0" w:color="auto"/>
                    <w:right w:val="none" w:sz="0" w:space="0" w:color="auto"/>
                  </w:divBdr>
                  <w:divsChild>
                    <w:div w:id="2001809445">
                      <w:marLeft w:val="0"/>
                      <w:marRight w:val="0"/>
                      <w:marTop w:val="0"/>
                      <w:marBottom w:val="0"/>
                      <w:divBdr>
                        <w:top w:val="none" w:sz="0" w:space="0" w:color="auto"/>
                        <w:left w:val="none" w:sz="0" w:space="0" w:color="auto"/>
                        <w:bottom w:val="none" w:sz="0" w:space="0" w:color="auto"/>
                        <w:right w:val="none" w:sz="0" w:space="0" w:color="auto"/>
                      </w:divBdr>
                    </w:div>
                  </w:divsChild>
                </w:div>
                <w:div w:id="201482988">
                  <w:marLeft w:val="0"/>
                  <w:marRight w:val="0"/>
                  <w:marTop w:val="0"/>
                  <w:marBottom w:val="0"/>
                  <w:divBdr>
                    <w:top w:val="none" w:sz="0" w:space="0" w:color="auto"/>
                    <w:left w:val="none" w:sz="0" w:space="0" w:color="auto"/>
                    <w:bottom w:val="none" w:sz="0" w:space="0" w:color="auto"/>
                    <w:right w:val="none" w:sz="0" w:space="0" w:color="auto"/>
                  </w:divBdr>
                  <w:divsChild>
                    <w:div w:id="1161316864">
                      <w:marLeft w:val="0"/>
                      <w:marRight w:val="0"/>
                      <w:marTop w:val="0"/>
                      <w:marBottom w:val="0"/>
                      <w:divBdr>
                        <w:top w:val="none" w:sz="0" w:space="0" w:color="auto"/>
                        <w:left w:val="none" w:sz="0" w:space="0" w:color="auto"/>
                        <w:bottom w:val="none" w:sz="0" w:space="0" w:color="auto"/>
                        <w:right w:val="none" w:sz="0" w:space="0" w:color="auto"/>
                      </w:divBdr>
                    </w:div>
                  </w:divsChild>
                </w:div>
                <w:div w:id="203105277">
                  <w:marLeft w:val="0"/>
                  <w:marRight w:val="0"/>
                  <w:marTop w:val="0"/>
                  <w:marBottom w:val="0"/>
                  <w:divBdr>
                    <w:top w:val="none" w:sz="0" w:space="0" w:color="auto"/>
                    <w:left w:val="none" w:sz="0" w:space="0" w:color="auto"/>
                    <w:bottom w:val="none" w:sz="0" w:space="0" w:color="auto"/>
                    <w:right w:val="none" w:sz="0" w:space="0" w:color="auto"/>
                  </w:divBdr>
                  <w:divsChild>
                    <w:div w:id="1628315447">
                      <w:marLeft w:val="0"/>
                      <w:marRight w:val="0"/>
                      <w:marTop w:val="0"/>
                      <w:marBottom w:val="0"/>
                      <w:divBdr>
                        <w:top w:val="none" w:sz="0" w:space="0" w:color="auto"/>
                        <w:left w:val="none" w:sz="0" w:space="0" w:color="auto"/>
                        <w:bottom w:val="none" w:sz="0" w:space="0" w:color="auto"/>
                        <w:right w:val="none" w:sz="0" w:space="0" w:color="auto"/>
                      </w:divBdr>
                    </w:div>
                  </w:divsChild>
                </w:div>
                <w:div w:id="207491740">
                  <w:marLeft w:val="0"/>
                  <w:marRight w:val="0"/>
                  <w:marTop w:val="0"/>
                  <w:marBottom w:val="0"/>
                  <w:divBdr>
                    <w:top w:val="none" w:sz="0" w:space="0" w:color="auto"/>
                    <w:left w:val="none" w:sz="0" w:space="0" w:color="auto"/>
                    <w:bottom w:val="none" w:sz="0" w:space="0" w:color="auto"/>
                    <w:right w:val="none" w:sz="0" w:space="0" w:color="auto"/>
                  </w:divBdr>
                  <w:divsChild>
                    <w:div w:id="1067261087">
                      <w:marLeft w:val="0"/>
                      <w:marRight w:val="0"/>
                      <w:marTop w:val="0"/>
                      <w:marBottom w:val="0"/>
                      <w:divBdr>
                        <w:top w:val="none" w:sz="0" w:space="0" w:color="auto"/>
                        <w:left w:val="none" w:sz="0" w:space="0" w:color="auto"/>
                        <w:bottom w:val="none" w:sz="0" w:space="0" w:color="auto"/>
                        <w:right w:val="none" w:sz="0" w:space="0" w:color="auto"/>
                      </w:divBdr>
                    </w:div>
                  </w:divsChild>
                </w:div>
                <w:div w:id="209191965">
                  <w:marLeft w:val="0"/>
                  <w:marRight w:val="0"/>
                  <w:marTop w:val="0"/>
                  <w:marBottom w:val="0"/>
                  <w:divBdr>
                    <w:top w:val="none" w:sz="0" w:space="0" w:color="auto"/>
                    <w:left w:val="none" w:sz="0" w:space="0" w:color="auto"/>
                    <w:bottom w:val="none" w:sz="0" w:space="0" w:color="auto"/>
                    <w:right w:val="none" w:sz="0" w:space="0" w:color="auto"/>
                  </w:divBdr>
                  <w:divsChild>
                    <w:div w:id="1169295998">
                      <w:marLeft w:val="0"/>
                      <w:marRight w:val="0"/>
                      <w:marTop w:val="0"/>
                      <w:marBottom w:val="0"/>
                      <w:divBdr>
                        <w:top w:val="none" w:sz="0" w:space="0" w:color="auto"/>
                        <w:left w:val="none" w:sz="0" w:space="0" w:color="auto"/>
                        <w:bottom w:val="none" w:sz="0" w:space="0" w:color="auto"/>
                        <w:right w:val="none" w:sz="0" w:space="0" w:color="auto"/>
                      </w:divBdr>
                    </w:div>
                  </w:divsChild>
                </w:div>
                <w:div w:id="215312743">
                  <w:marLeft w:val="0"/>
                  <w:marRight w:val="0"/>
                  <w:marTop w:val="0"/>
                  <w:marBottom w:val="0"/>
                  <w:divBdr>
                    <w:top w:val="none" w:sz="0" w:space="0" w:color="auto"/>
                    <w:left w:val="none" w:sz="0" w:space="0" w:color="auto"/>
                    <w:bottom w:val="none" w:sz="0" w:space="0" w:color="auto"/>
                    <w:right w:val="none" w:sz="0" w:space="0" w:color="auto"/>
                  </w:divBdr>
                  <w:divsChild>
                    <w:div w:id="388068754">
                      <w:marLeft w:val="0"/>
                      <w:marRight w:val="0"/>
                      <w:marTop w:val="0"/>
                      <w:marBottom w:val="0"/>
                      <w:divBdr>
                        <w:top w:val="none" w:sz="0" w:space="0" w:color="auto"/>
                        <w:left w:val="none" w:sz="0" w:space="0" w:color="auto"/>
                        <w:bottom w:val="none" w:sz="0" w:space="0" w:color="auto"/>
                        <w:right w:val="none" w:sz="0" w:space="0" w:color="auto"/>
                      </w:divBdr>
                    </w:div>
                  </w:divsChild>
                </w:div>
                <w:div w:id="220790833">
                  <w:marLeft w:val="0"/>
                  <w:marRight w:val="0"/>
                  <w:marTop w:val="0"/>
                  <w:marBottom w:val="0"/>
                  <w:divBdr>
                    <w:top w:val="none" w:sz="0" w:space="0" w:color="auto"/>
                    <w:left w:val="none" w:sz="0" w:space="0" w:color="auto"/>
                    <w:bottom w:val="none" w:sz="0" w:space="0" w:color="auto"/>
                    <w:right w:val="none" w:sz="0" w:space="0" w:color="auto"/>
                  </w:divBdr>
                  <w:divsChild>
                    <w:div w:id="422267779">
                      <w:marLeft w:val="0"/>
                      <w:marRight w:val="0"/>
                      <w:marTop w:val="0"/>
                      <w:marBottom w:val="0"/>
                      <w:divBdr>
                        <w:top w:val="none" w:sz="0" w:space="0" w:color="auto"/>
                        <w:left w:val="none" w:sz="0" w:space="0" w:color="auto"/>
                        <w:bottom w:val="none" w:sz="0" w:space="0" w:color="auto"/>
                        <w:right w:val="none" w:sz="0" w:space="0" w:color="auto"/>
                      </w:divBdr>
                    </w:div>
                  </w:divsChild>
                </w:div>
                <w:div w:id="222371207">
                  <w:marLeft w:val="0"/>
                  <w:marRight w:val="0"/>
                  <w:marTop w:val="0"/>
                  <w:marBottom w:val="0"/>
                  <w:divBdr>
                    <w:top w:val="none" w:sz="0" w:space="0" w:color="auto"/>
                    <w:left w:val="none" w:sz="0" w:space="0" w:color="auto"/>
                    <w:bottom w:val="none" w:sz="0" w:space="0" w:color="auto"/>
                    <w:right w:val="none" w:sz="0" w:space="0" w:color="auto"/>
                  </w:divBdr>
                  <w:divsChild>
                    <w:div w:id="941687722">
                      <w:marLeft w:val="0"/>
                      <w:marRight w:val="0"/>
                      <w:marTop w:val="0"/>
                      <w:marBottom w:val="0"/>
                      <w:divBdr>
                        <w:top w:val="none" w:sz="0" w:space="0" w:color="auto"/>
                        <w:left w:val="none" w:sz="0" w:space="0" w:color="auto"/>
                        <w:bottom w:val="none" w:sz="0" w:space="0" w:color="auto"/>
                        <w:right w:val="none" w:sz="0" w:space="0" w:color="auto"/>
                      </w:divBdr>
                    </w:div>
                  </w:divsChild>
                </w:div>
                <w:div w:id="222957144">
                  <w:marLeft w:val="0"/>
                  <w:marRight w:val="0"/>
                  <w:marTop w:val="0"/>
                  <w:marBottom w:val="0"/>
                  <w:divBdr>
                    <w:top w:val="none" w:sz="0" w:space="0" w:color="auto"/>
                    <w:left w:val="none" w:sz="0" w:space="0" w:color="auto"/>
                    <w:bottom w:val="none" w:sz="0" w:space="0" w:color="auto"/>
                    <w:right w:val="none" w:sz="0" w:space="0" w:color="auto"/>
                  </w:divBdr>
                  <w:divsChild>
                    <w:div w:id="1109276549">
                      <w:marLeft w:val="0"/>
                      <w:marRight w:val="0"/>
                      <w:marTop w:val="0"/>
                      <w:marBottom w:val="0"/>
                      <w:divBdr>
                        <w:top w:val="none" w:sz="0" w:space="0" w:color="auto"/>
                        <w:left w:val="none" w:sz="0" w:space="0" w:color="auto"/>
                        <w:bottom w:val="none" w:sz="0" w:space="0" w:color="auto"/>
                        <w:right w:val="none" w:sz="0" w:space="0" w:color="auto"/>
                      </w:divBdr>
                    </w:div>
                  </w:divsChild>
                </w:div>
                <w:div w:id="224025058">
                  <w:marLeft w:val="0"/>
                  <w:marRight w:val="0"/>
                  <w:marTop w:val="0"/>
                  <w:marBottom w:val="0"/>
                  <w:divBdr>
                    <w:top w:val="none" w:sz="0" w:space="0" w:color="auto"/>
                    <w:left w:val="none" w:sz="0" w:space="0" w:color="auto"/>
                    <w:bottom w:val="none" w:sz="0" w:space="0" w:color="auto"/>
                    <w:right w:val="none" w:sz="0" w:space="0" w:color="auto"/>
                  </w:divBdr>
                  <w:divsChild>
                    <w:div w:id="885456973">
                      <w:marLeft w:val="0"/>
                      <w:marRight w:val="0"/>
                      <w:marTop w:val="0"/>
                      <w:marBottom w:val="0"/>
                      <w:divBdr>
                        <w:top w:val="none" w:sz="0" w:space="0" w:color="auto"/>
                        <w:left w:val="none" w:sz="0" w:space="0" w:color="auto"/>
                        <w:bottom w:val="none" w:sz="0" w:space="0" w:color="auto"/>
                        <w:right w:val="none" w:sz="0" w:space="0" w:color="auto"/>
                      </w:divBdr>
                    </w:div>
                  </w:divsChild>
                </w:div>
                <w:div w:id="224728481">
                  <w:marLeft w:val="0"/>
                  <w:marRight w:val="0"/>
                  <w:marTop w:val="0"/>
                  <w:marBottom w:val="0"/>
                  <w:divBdr>
                    <w:top w:val="none" w:sz="0" w:space="0" w:color="auto"/>
                    <w:left w:val="none" w:sz="0" w:space="0" w:color="auto"/>
                    <w:bottom w:val="none" w:sz="0" w:space="0" w:color="auto"/>
                    <w:right w:val="none" w:sz="0" w:space="0" w:color="auto"/>
                  </w:divBdr>
                  <w:divsChild>
                    <w:div w:id="568030733">
                      <w:marLeft w:val="0"/>
                      <w:marRight w:val="0"/>
                      <w:marTop w:val="0"/>
                      <w:marBottom w:val="0"/>
                      <w:divBdr>
                        <w:top w:val="none" w:sz="0" w:space="0" w:color="auto"/>
                        <w:left w:val="none" w:sz="0" w:space="0" w:color="auto"/>
                        <w:bottom w:val="none" w:sz="0" w:space="0" w:color="auto"/>
                        <w:right w:val="none" w:sz="0" w:space="0" w:color="auto"/>
                      </w:divBdr>
                    </w:div>
                  </w:divsChild>
                </w:div>
                <w:div w:id="229080128">
                  <w:marLeft w:val="0"/>
                  <w:marRight w:val="0"/>
                  <w:marTop w:val="0"/>
                  <w:marBottom w:val="0"/>
                  <w:divBdr>
                    <w:top w:val="none" w:sz="0" w:space="0" w:color="auto"/>
                    <w:left w:val="none" w:sz="0" w:space="0" w:color="auto"/>
                    <w:bottom w:val="none" w:sz="0" w:space="0" w:color="auto"/>
                    <w:right w:val="none" w:sz="0" w:space="0" w:color="auto"/>
                  </w:divBdr>
                  <w:divsChild>
                    <w:div w:id="1796173695">
                      <w:marLeft w:val="0"/>
                      <w:marRight w:val="0"/>
                      <w:marTop w:val="0"/>
                      <w:marBottom w:val="0"/>
                      <w:divBdr>
                        <w:top w:val="none" w:sz="0" w:space="0" w:color="auto"/>
                        <w:left w:val="none" w:sz="0" w:space="0" w:color="auto"/>
                        <w:bottom w:val="none" w:sz="0" w:space="0" w:color="auto"/>
                        <w:right w:val="none" w:sz="0" w:space="0" w:color="auto"/>
                      </w:divBdr>
                    </w:div>
                  </w:divsChild>
                </w:div>
                <w:div w:id="229855204">
                  <w:marLeft w:val="0"/>
                  <w:marRight w:val="0"/>
                  <w:marTop w:val="0"/>
                  <w:marBottom w:val="0"/>
                  <w:divBdr>
                    <w:top w:val="none" w:sz="0" w:space="0" w:color="auto"/>
                    <w:left w:val="none" w:sz="0" w:space="0" w:color="auto"/>
                    <w:bottom w:val="none" w:sz="0" w:space="0" w:color="auto"/>
                    <w:right w:val="none" w:sz="0" w:space="0" w:color="auto"/>
                  </w:divBdr>
                  <w:divsChild>
                    <w:div w:id="1765297498">
                      <w:marLeft w:val="0"/>
                      <w:marRight w:val="0"/>
                      <w:marTop w:val="0"/>
                      <w:marBottom w:val="0"/>
                      <w:divBdr>
                        <w:top w:val="none" w:sz="0" w:space="0" w:color="auto"/>
                        <w:left w:val="none" w:sz="0" w:space="0" w:color="auto"/>
                        <w:bottom w:val="none" w:sz="0" w:space="0" w:color="auto"/>
                        <w:right w:val="none" w:sz="0" w:space="0" w:color="auto"/>
                      </w:divBdr>
                    </w:div>
                  </w:divsChild>
                </w:div>
                <w:div w:id="237444381">
                  <w:marLeft w:val="0"/>
                  <w:marRight w:val="0"/>
                  <w:marTop w:val="0"/>
                  <w:marBottom w:val="0"/>
                  <w:divBdr>
                    <w:top w:val="none" w:sz="0" w:space="0" w:color="auto"/>
                    <w:left w:val="none" w:sz="0" w:space="0" w:color="auto"/>
                    <w:bottom w:val="none" w:sz="0" w:space="0" w:color="auto"/>
                    <w:right w:val="none" w:sz="0" w:space="0" w:color="auto"/>
                  </w:divBdr>
                  <w:divsChild>
                    <w:div w:id="1976715286">
                      <w:marLeft w:val="0"/>
                      <w:marRight w:val="0"/>
                      <w:marTop w:val="0"/>
                      <w:marBottom w:val="0"/>
                      <w:divBdr>
                        <w:top w:val="none" w:sz="0" w:space="0" w:color="auto"/>
                        <w:left w:val="none" w:sz="0" w:space="0" w:color="auto"/>
                        <w:bottom w:val="none" w:sz="0" w:space="0" w:color="auto"/>
                        <w:right w:val="none" w:sz="0" w:space="0" w:color="auto"/>
                      </w:divBdr>
                    </w:div>
                  </w:divsChild>
                </w:div>
                <w:div w:id="242300720">
                  <w:marLeft w:val="0"/>
                  <w:marRight w:val="0"/>
                  <w:marTop w:val="0"/>
                  <w:marBottom w:val="0"/>
                  <w:divBdr>
                    <w:top w:val="none" w:sz="0" w:space="0" w:color="auto"/>
                    <w:left w:val="none" w:sz="0" w:space="0" w:color="auto"/>
                    <w:bottom w:val="none" w:sz="0" w:space="0" w:color="auto"/>
                    <w:right w:val="none" w:sz="0" w:space="0" w:color="auto"/>
                  </w:divBdr>
                  <w:divsChild>
                    <w:div w:id="797995099">
                      <w:marLeft w:val="0"/>
                      <w:marRight w:val="0"/>
                      <w:marTop w:val="0"/>
                      <w:marBottom w:val="0"/>
                      <w:divBdr>
                        <w:top w:val="none" w:sz="0" w:space="0" w:color="auto"/>
                        <w:left w:val="none" w:sz="0" w:space="0" w:color="auto"/>
                        <w:bottom w:val="none" w:sz="0" w:space="0" w:color="auto"/>
                        <w:right w:val="none" w:sz="0" w:space="0" w:color="auto"/>
                      </w:divBdr>
                    </w:div>
                  </w:divsChild>
                </w:div>
                <w:div w:id="249003756">
                  <w:marLeft w:val="0"/>
                  <w:marRight w:val="0"/>
                  <w:marTop w:val="0"/>
                  <w:marBottom w:val="0"/>
                  <w:divBdr>
                    <w:top w:val="none" w:sz="0" w:space="0" w:color="auto"/>
                    <w:left w:val="none" w:sz="0" w:space="0" w:color="auto"/>
                    <w:bottom w:val="none" w:sz="0" w:space="0" w:color="auto"/>
                    <w:right w:val="none" w:sz="0" w:space="0" w:color="auto"/>
                  </w:divBdr>
                  <w:divsChild>
                    <w:div w:id="847673650">
                      <w:marLeft w:val="0"/>
                      <w:marRight w:val="0"/>
                      <w:marTop w:val="0"/>
                      <w:marBottom w:val="0"/>
                      <w:divBdr>
                        <w:top w:val="none" w:sz="0" w:space="0" w:color="auto"/>
                        <w:left w:val="none" w:sz="0" w:space="0" w:color="auto"/>
                        <w:bottom w:val="none" w:sz="0" w:space="0" w:color="auto"/>
                        <w:right w:val="none" w:sz="0" w:space="0" w:color="auto"/>
                      </w:divBdr>
                    </w:div>
                  </w:divsChild>
                </w:div>
                <w:div w:id="250163857">
                  <w:marLeft w:val="0"/>
                  <w:marRight w:val="0"/>
                  <w:marTop w:val="0"/>
                  <w:marBottom w:val="0"/>
                  <w:divBdr>
                    <w:top w:val="none" w:sz="0" w:space="0" w:color="auto"/>
                    <w:left w:val="none" w:sz="0" w:space="0" w:color="auto"/>
                    <w:bottom w:val="none" w:sz="0" w:space="0" w:color="auto"/>
                    <w:right w:val="none" w:sz="0" w:space="0" w:color="auto"/>
                  </w:divBdr>
                  <w:divsChild>
                    <w:div w:id="9383466">
                      <w:marLeft w:val="0"/>
                      <w:marRight w:val="0"/>
                      <w:marTop w:val="0"/>
                      <w:marBottom w:val="0"/>
                      <w:divBdr>
                        <w:top w:val="none" w:sz="0" w:space="0" w:color="auto"/>
                        <w:left w:val="none" w:sz="0" w:space="0" w:color="auto"/>
                        <w:bottom w:val="none" w:sz="0" w:space="0" w:color="auto"/>
                        <w:right w:val="none" w:sz="0" w:space="0" w:color="auto"/>
                      </w:divBdr>
                    </w:div>
                  </w:divsChild>
                </w:div>
                <w:div w:id="251359285">
                  <w:marLeft w:val="0"/>
                  <w:marRight w:val="0"/>
                  <w:marTop w:val="0"/>
                  <w:marBottom w:val="0"/>
                  <w:divBdr>
                    <w:top w:val="none" w:sz="0" w:space="0" w:color="auto"/>
                    <w:left w:val="none" w:sz="0" w:space="0" w:color="auto"/>
                    <w:bottom w:val="none" w:sz="0" w:space="0" w:color="auto"/>
                    <w:right w:val="none" w:sz="0" w:space="0" w:color="auto"/>
                  </w:divBdr>
                  <w:divsChild>
                    <w:div w:id="1781027045">
                      <w:marLeft w:val="0"/>
                      <w:marRight w:val="0"/>
                      <w:marTop w:val="0"/>
                      <w:marBottom w:val="0"/>
                      <w:divBdr>
                        <w:top w:val="none" w:sz="0" w:space="0" w:color="auto"/>
                        <w:left w:val="none" w:sz="0" w:space="0" w:color="auto"/>
                        <w:bottom w:val="none" w:sz="0" w:space="0" w:color="auto"/>
                        <w:right w:val="none" w:sz="0" w:space="0" w:color="auto"/>
                      </w:divBdr>
                    </w:div>
                  </w:divsChild>
                </w:div>
                <w:div w:id="251360642">
                  <w:marLeft w:val="0"/>
                  <w:marRight w:val="0"/>
                  <w:marTop w:val="0"/>
                  <w:marBottom w:val="0"/>
                  <w:divBdr>
                    <w:top w:val="none" w:sz="0" w:space="0" w:color="auto"/>
                    <w:left w:val="none" w:sz="0" w:space="0" w:color="auto"/>
                    <w:bottom w:val="none" w:sz="0" w:space="0" w:color="auto"/>
                    <w:right w:val="none" w:sz="0" w:space="0" w:color="auto"/>
                  </w:divBdr>
                  <w:divsChild>
                    <w:div w:id="814491404">
                      <w:marLeft w:val="0"/>
                      <w:marRight w:val="0"/>
                      <w:marTop w:val="0"/>
                      <w:marBottom w:val="0"/>
                      <w:divBdr>
                        <w:top w:val="none" w:sz="0" w:space="0" w:color="auto"/>
                        <w:left w:val="none" w:sz="0" w:space="0" w:color="auto"/>
                        <w:bottom w:val="none" w:sz="0" w:space="0" w:color="auto"/>
                        <w:right w:val="none" w:sz="0" w:space="0" w:color="auto"/>
                      </w:divBdr>
                    </w:div>
                  </w:divsChild>
                </w:div>
                <w:div w:id="257059154">
                  <w:marLeft w:val="0"/>
                  <w:marRight w:val="0"/>
                  <w:marTop w:val="0"/>
                  <w:marBottom w:val="0"/>
                  <w:divBdr>
                    <w:top w:val="none" w:sz="0" w:space="0" w:color="auto"/>
                    <w:left w:val="none" w:sz="0" w:space="0" w:color="auto"/>
                    <w:bottom w:val="none" w:sz="0" w:space="0" w:color="auto"/>
                    <w:right w:val="none" w:sz="0" w:space="0" w:color="auto"/>
                  </w:divBdr>
                  <w:divsChild>
                    <w:div w:id="1595092909">
                      <w:marLeft w:val="0"/>
                      <w:marRight w:val="0"/>
                      <w:marTop w:val="0"/>
                      <w:marBottom w:val="0"/>
                      <w:divBdr>
                        <w:top w:val="none" w:sz="0" w:space="0" w:color="auto"/>
                        <w:left w:val="none" w:sz="0" w:space="0" w:color="auto"/>
                        <w:bottom w:val="none" w:sz="0" w:space="0" w:color="auto"/>
                        <w:right w:val="none" w:sz="0" w:space="0" w:color="auto"/>
                      </w:divBdr>
                    </w:div>
                  </w:divsChild>
                </w:div>
                <w:div w:id="258291877">
                  <w:marLeft w:val="0"/>
                  <w:marRight w:val="0"/>
                  <w:marTop w:val="0"/>
                  <w:marBottom w:val="0"/>
                  <w:divBdr>
                    <w:top w:val="none" w:sz="0" w:space="0" w:color="auto"/>
                    <w:left w:val="none" w:sz="0" w:space="0" w:color="auto"/>
                    <w:bottom w:val="none" w:sz="0" w:space="0" w:color="auto"/>
                    <w:right w:val="none" w:sz="0" w:space="0" w:color="auto"/>
                  </w:divBdr>
                  <w:divsChild>
                    <w:div w:id="328489861">
                      <w:marLeft w:val="0"/>
                      <w:marRight w:val="0"/>
                      <w:marTop w:val="0"/>
                      <w:marBottom w:val="0"/>
                      <w:divBdr>
                        <w:top w:val="none" w:sz="0" w:space="0" w:color="auto"/>
                        <w:left w:val="none" w:sz="0" w:space="0" w:color="auto"/>
                        <w:bottom w:val="none" w:sz="0" w:space="0" w:color="auto"/>
                        <w:right w:val="none" w:sz="0" w:space="0" w:color="auto"/>
                      </w:divBdr>
                    </w:div>
                  </w:divsChild>
                </w:div>
                <w:div w:id="263652874">
                  <w:marLeft w:val="0"/>
                  <w:marRight w:val="0"/>
                  <w:marTop w:val="0"/>
                  <w:marBottom w:val="0"/>
                  <w:divBdr>
                    <w:top w:val="none" w:sz="0" w:space="0" w:color="auto"/>
                    <w:left w:val="none" w:sz="0" w:space="0" w:color="auto"/>
                    <w:bottom w:val="none" w:sz="0" w:space="0" w:color="auto"/>
                    <w:right w:val="none" w:sz="0" w:space="0" w:color="auto"/>
                  </w:divBdr>
                  <w:divsChild>
                    <w:div w:id="2107722828">
                      <w:marLeft w:val="0"/>
                      <w:marRight w:val="0"/>
                      <w:marTop w:val="0"/>
                      <w:marBottom w:val="0"/>
                      <w:divBdr>
                        <w:top w:val="none" w:sz="0" w:space="0" w:color="auto"/>
                        <w:left w:val="none" w:sz="0" w:space="0" w:color="auto"/>
                        <w:bottom w:val="none" w:sz="0" w:space="0" w:color="auto"/>
                        <w:right w:val="none" w:sz="0" w:space="0" w:color="auto"/>
                      </w:divBdr>
                    </w:div>
                  </w:divsChild>
                </w:div>
                <w:div w:id="268974784">
                  <w:marLeft w:val="0"/>
                  <w:marRight w:val="0"/>
                  <w:marTop w:val="0"/>
                  <w:marBottom w:val="0"/>
                  <w:divBdr>
                    <w:top w:val="none" w:sz="0" w:space="0" w:color="auto"/>
                    <w:left w:val="none" w:sz="0" w:space="0" w:color="auto"/>
                    <w:bottom w:val="none" w:sz="0" w:space="0" w:color="auto"/>
                    <w:right w:val="none" w:sz="0" w:space="0" w:color="auto"/>
                  </w:divBdr>
                  <w:divsChild>
                    <w:div w:id="58601816">
                      <w:marLeft w:val="0"/>
                      <w:marRight w:val="0"/>
                      <w:marTop w:val="0"/>
                      <w:marBottom w:val="0"/>
                      <w:divBdr>
                        <w:top w:val="none" w:sz="0" w:space="0" w:color="auto"/>
                        <w:left w:val="none" w:sz="0" w:space="0" w:color="auto"/>
                        <w:bottom w:val="none" w:sz="0" w:space="0" w:color="auto"/>
                        <w:right w:val="none" w:sz="0" w:space="0" w:color="auto"/>
                      </w:divBdr>
                    </w:div>
                  </w:divsChild>
                </w:div>
                <w:div w:id="271321739">
                  <w:marLeft w:val="0"/>
                  <w:marRight w:val="0"/>
                  <w:marTop w:val="0"/>
                  <w:marBottom w:val="0"/>
                  <w:divBdr>
                    <w:top w:val="none" w:sz="0" w:space="0" w:color="auto"/>
                    <w:left w:val="none" w:sz="0" w:space="0" w:color="auto"/>
                    <w:bottom w:val="none" w:sz="0" w:space="0" w:color="auto"/>
                    <w:right w:val="none" w:sz="0" w:space="0" w:color="auto"/>
                  </w:divBdr>
                  <w:divsChild>
                    <w:div w:id="1310865582">
                      <w:marLeft w:val="0"/>
                      <w:marRight w:val="0"/>
                      <w:marTop w:val="0"/>
                      <w:marBottom w:val="0"/>
                      <w:divBdr>
                        <w:top w:val="none" w:sz="0" w:space="0" w:color="auto"/>
                        <w:left w:val="none" w:sz="0" w:space="0" w:color="auto"/>
                        <w:bottom w:val="none" w:sz="0" w:space="0" w:color="auto"/>
                        <w:right w:val="none" w:sz="0" w:space="0" w:color="auto"/>
                      </w:divBdr>
                    </w:div>
                  </w:divsChild>
                </w:div>
                <w:div w:id="272591553">
                  <w:marLeft w:val="0"/>
                  <w:marRight w:val="0"/>
                  <w:marTop w:val="0"/>
                  <w:marBottom w:val="0"/>
                  <w:divBdr>
                    <w:top w:val="none" w:sz="0" w:space="0" w:color="auto"/>
                    <w:left w:val="none" w:sz="0" w:space="0" w:color="auto"/>
                    <w:bottom w:val="none" w:sz="0" w:space="0" w:color="auto"/>
                    <w:right w:val="none" w:sz="0" w:space="0" w:color="auto"/>
                  </w:divBdr>
                  <w:divsChild>
                    <w:div w:id="1112555972">
                      <w:marLeft w:val="0"/>
                      <w:marRight w:val="0"/>
                      <w:marTop w:val="0"/>
                      <w:marBottom w:val="0"/>
                      <w:divBdr>
                        <w:top w:val="none" w:sz="0" w:space="0" w:color="auto"/>
                        <w:left w:val="none" w:sz="0" w:space="0" w:color="auto"/>
                        <w:bottom w:val="none" w:sz="0" w:space="0" w:color="auto"/>
                        <w:right w:val="none" w:sz="0" w:space="0" w:color="auto"/>
                      </w:divBdr>
                    </w:div>
                  </w:divsChild>
                </w:div>
                <w:div w:id="295793404">
                  <w:marLeft w:val="0"/>
                  <w:marRight w:val="0"/>
                  <w:marTop w:val="0"/>
                  <w:marBottom w:val="0"/>
                  <w:divBdr>
                    <w:top w:val="none" w:sz="0" w:space="0" w:color="auto"/>
                    <w:left w:val="none" w:sz="0" w:space="0" w:color="auto"/>
                    <w:bottom w:val="none" w:sz="0" w:space="0" w:color="auto"/>
                    <w:right w:val="none" w:sz="0" w:space="0" w:color="auto"/>
                  </w:divBdr>
                  <w:divsChild>
                    <w:div w:id="1044676591">
                      <w:marLeft w:val="0"/>
                      <w:marRight w:val="0"/>
                      <w:marTop w:val="0"/>
                      <w:marBottom w:val="0"/>
                      <w:divBdr>
                        <w:top w:val="none" w:sz="0" w:space="0" w:color="auto"/>
                        <w:left w:val="none" w:sz="0" w:space="0" w:color="auto"/>
                        <w:bottom w:val="none" w:sz="0" w:space="0" w:color="auto"/>
                        <w:right w:val="none" w:sz="0" w:space="0" w:color="auto"/>
                      </w:divBdr>
                    </w:div>
                  </w:divsChild>
                </w:div>
                <w:div w:id="298612852">
                  <w:marLeft w:val="0"/>
                  <w:marRight w:val="0"/>
                  <w:marTop w:val="0"/>
                  <w:marBottom w:val="0"/>
                  <w:divBdr>
                    <w:top w:val="none" w:sz="0" w:space="0" w:color="auto"/>
                    <w:left w:val="none" w:sz="0" w:space="0" w:color="auto"/>
                    <w:bottom w:val="none" w:sz="0" w:space="0" w:color="auto"/>
                    <w:right w:val="none" w:sz="0" w:space="0" w:color="auto"/>
                  </w:divBdr>
                  <w:divsChild>
                    <w:div w:id="1713453921">
                      <w:marLeft w:val="0"/>
                      <w:marRight w:val="0"/>
                      <w:marTop w:val="0"/>
                      <w:marBottom w:val="0"/>
                      <w:divBdr>
                        <w:top w:val="none" w:sz="0" w:space="0" w:color="auto"/>
                        <w:left w:val="none" w:sz="0" w:space="0" w:color="auto"/>
                        <w:bottom w:val="none" w:sz="0" w:space="0" w:color="auto"/>
                        <w:right w:val="none" w:sz="0" w:space="0" w:color="auto"/>
                      </w:divBdr>
                    </w:div>
                  </w:divsChild>
                </w:div>
                <w:div w:id="311183995">
                  <w:marLeft w:val="0"/>
                  <w:marRight w:val="0"/>
                  <w:marTop w:val="0"/>
                  <w:marBottom w:val="0"/>
                  <w:divBdr>
                    <w:top w:val="none" w:sz="0" w:space="0" w:color="auto"/>
                    <w:left w:val="none" w:sz="0" w:space="0" w:color="auto"/>
                    <w:bottom w:val="none" w:sz="0" w:space="0" w:color="auto"/>
                    <w:right w:val="none" w:sz="0" w:space="0" w:color="auto"/>
                  </w:divBdr>
                  <w:divsChild>
                    <w:div w:id="1797598338">
                      <w:marLeft w:val="0"/>
                      <w:marRight w:val="0"/>
                      <w:marTop w:val="0"/>
                      <w:marBottom w:val="0"/>
                      <w:divBdr>
                        <w:top w:val="none" w:sz="0" w:space="0" w:color="auto"/>
                        <w:left w:val="none" w:sz="0" w:space="0" w:color="auto"/>
                        <w:bottom w:val="none" w:sz="0" w:space="0" w:color="auto"/>
                        <w:right w:val="none" w:sz="0" w:space="0" w:color="auto"/>
                      </w:divBdr>
                    </w:div>
                  </w:divsChild>
                </w:div>
                <w:div w:id="311787302">
                  <w:marLeft w:val="0"/>
                  <w:marRight w:val="0"/>
                  <w:marTop w:val="0"/>
                  <w:marBottom w:val="0"/>
                  <w:divBdr>
                    <w:top w:val="none" w:sz="0" w:space="0" w:color="auto"/>
                    <w:left w:val="none" w:sz="0" w:space="0" w:color="auto"/>
                    <w:bottom w:val="none" w:sz="0" w:space="0" w:color="auto"/>
                    <w:right w:val="none" w:sz="0" w:space="0" w:color="auto"/>
                  </w:divBdr>
                  <w:divsChild>
                    <w:div w:id="1882789860">
                      <w:marLeft w:val="0"/>
                      <w:marRight w:val="0"/>
                      <w:marTop w:val="0"/>
                      <w:marBottom w:val="0"/>
                      <w:divBdr>
                        <w:top w:val="none" w:sz="0" w:space="0" w:color="auto"/>
                        <w:left w:val="none" w:sz="0" w:space="0" w:color="auto"/>
                        <w:bottom w:val="none" w:sz="0" w:space="0" w:color="auto"/>
                        <w:right w:val="none" w:sz="0" w:space="0" w:color="auto"/>
                      </w:divBdr>
                    </w:div>
                  </w:divsChild>
                </w:div>
                <w:div w:id="320545972">
                  <w:marLeft w:val="0"/>
                  <w:marRight w:val="0"/>
                  <w:marTop w:val="0"/>
                  <w:marBottom w:val="0"/>
                  <w:divBdr>
                    <w:top w:val="none" w:sz="0" w:space="0" w:color="auto"/>
                    <w:left w:val="none" w:sz="0" w:space="0" w:color="auto"/>
                    <w:bottom w:val="none" w:sz="0" w:space="0" w:color="auto"/>
                    <w:right w:val="none" w:sz="0" w:space="0" w:color="auto"/>
                  </w:divBdr>
                  <w:divsChild>
                    <w:div w:id="1536192817">
                      <w:marLeft w:val="0"/>
                      <w:marRight w:val="0"/>
                      <w:marTop w:val="0"/>
                      <w:marBottom w:val="0"/>
                      <w:divBdr>
                        <w:top w:val="none" w:sz="0" w:space="0" w:color="auto"/>
                        <w:left w:val="none" w:sz="0" w:space="0" w:color="auto"/>
                        <w:bottom w:val="none" w:sz="0" w:space="0" w:color="auto"/>
                        <w:right w:val="none" w:sz="0" w:space="0" w:color="auto"/>
                      </w:divBdr>
                    </w:div>
                  </w:divsChild>
                </w:div>
                <w:div w:id="326785651">
                  <w:marLeft w:val="0"/>
                  <w:marRight w:val="0"/>
                  <w:marTop w:val="0"/>
                  <w:marBottom w:val="0"/>
                  <w:divBdr>
                    <w:top w:val="none" w:sz="0" w:space="0" w:color="auto"/>
                    <w:left w:val="none" w:sz="0" w:space="0" w:color="auto"/>
                    <w:bottom w:val="none" w:sz="0" w:space="0" w:color="auto"/>
                    <w:right w:val="none" w:sz="0" w:space="0" w:color="auto"/>
                  </w:divBdr>
                  <w:divsChild>
                    <w:div w:id="1428234142">
                      <w:marLeft w:val="0"/>
                      <w:marRight w:val="0"/>
                      <w:marTop w:val="0"/>
                      <w:marBottom w:val="0"/>
                      <w:divBdr>
                        <w:top w:val="none" w:sz="0" w:space="0" w:color="auto"/>
                        <w:left w:val="none" w:sz="0" w:space="0" w:color="auto"/>
                        <w:bottom w:val="none" w:sz="0" w:space="0" w:color="auto"/>
                        <w:right w:val="none" w:sz="0" w:space="0" w:color="auto"/>
                      </w:divBdr>
                    </w:div>
                  </w:divsChild>
                </w:div>
                <w:div w:id="332727076">
                  <w:marLeft w:val="0"/>
                  <w:marRight w:val="0"/>
                  <w:marTop w:val="0"/>
                  <w:marBottom w:val="0"/>
                  <w:divBdr>
                    <w:top w:val="none" w:sz="0" w:space="0" w:color="auto"/>
                    <w:left w:val="none" w:sz="0" w:space="0" w:color="auto"/>
                    <w:bottom w:val="none" w:sz="0" w:space="0" w:color="auto"/>
                    <w:right w:val="none" w:sz="0" w:space="0" w:color="auto"/>
                  </w:divBdr>
                  <w:divsChild>
                    <w:div w:id="1932007449">
                      <w:marLeft w:val="0"/>
                      <w:marRight w:val="0"/>
                      <w:marTop w:val="0"/>
                      <w:marBottom w:val="0"/>
                      <w:divBdr>
                        <w:top w:val="none" w:sz="0" w:space="0" w:color="auto"/>
                        <w:left w:val="none" w:sz="0" w:space="0" w:color="auto"/>
                        <w:bottom w:val="none" w:sz="0" w:space="0" w:color="auto"/>
                        <w:right w:val="none" w:sz="0" w:space="0" w:color="auto"/>
                      </w:divBdr>
                    </w:div>
                  </w:divsChild>
                </w:div>
                <w:div w:id="336856783">
                  <w:marLeft w:val="0"/>
                  <w:marRight w:val="0"/>
                  <w:marTop w:val="0"/>
                  <w:marBottom w:val="0"/>
                  <w:divBdr>
                    <w:top w:val="none" w:sz="0" w:space="0" w:color="auto"/>
                    <w:left w:val="none" w:sz="0" w:space="0" w:color="auto"/>
                    <w:bottom w:val="none" w:sz="0" w:space="0" w:color="auto"/>
                    <w:right w:val="none" w:sz="0" w:space="0" w:color="auto"/>
                  </w:divBdr>
                  <w:divsChild>
                    <w:div w:id="1858733424">
                      <w:marLeft w:val="0"/>
                      <w:marRight w:val="0"/>
                      <w:marTop w:val="0"/>
                      <w:marBottom w:val="0"/>
                      <w:divBdr>
                        <w:top w:val="none" w:sz="0" w:space="0" w:color="auto"/>
                        <w:left w:val="none" w:sz="0" w:space="0" w:color="auto"/>
                        <w:bottom w:val="none" w:sz="0" w:space="0" w:color="auto"/>
                        <w:right w:val="none" w:sz="0" w:space="0" w:color="auto"/>
                      </w:divBdr>
                    </w:div>
                  </w:divsChild>
                </w:div>
                <w:div w:id="338701100">
                  <w:marLeft w:val="0"/>
                  <w:marRight w:val="0"/>
                  <w:marTop w:val="0"/>
                  <w:marBottom w:val="0"/>
                  <w:divBdr>
                    <w:top w:val="none" w:sz="0" w:space="0" w:color="auto"/>
                    <w:left w:val="none" w:sz="0" w:space="0" w:color="auto"/>
                    <w:bottom w:val="none" w:sz="0" w:space="0" w:color="auto"/>
                    <w:right w:val="none" w:sz="0" w:space="0" w:color="auto"/>
                  </w:divBdr>
                  <w:divsChild>
                    <w:div w:id="1625192460">
                      <w:marLeft w:val="0"/>
                      <w:marRight w:val="0"/>
                      <w:marTop w:val="0"/>
                      <w:marBottom w:val="0"/>
                      <w:divBdr>
                        <w:top w:val="none" w:sz="0" w:space="0" w:color="auto"/>
                        <w:left w:val="none" w:sz="0" w:space="0" w:color="auto"/>
                        <w:bottom w:val="none" w:sz="0" w:space="0" w:color="auto"/>
                        <w:right w:val="none" w:sz="0" w:space="0" w:color="auto"/>
                      </w:divBdr>
                    </w:div>
                  </w:divsChild>
                </w:div>
                <w:div w:id="345717938">
                  <w:marLeft w:val="0"/>
                  <w:marRight w:val="0"/>
                  <w:marTop w:val="0"/>
                  <w:marBottom w:val="0"/>
                  <w:divBdr>
                    <w:top w:val="none" w:sz="0" w:space="0" w:color="auto"/>
                    <w:left w:val="none" w:sz="0" w:space="0" w:color="auto"/>
                    <w:bottom w:val="none" w:sz="0" w:space="0" w:color="auto"/>
                    <w:right w:val="none" w:sz="0" w:space="0" w:color="auto"/>
                  </w:divBdr>
                  <w:divsChild>
                    <w:div w:id="1608925186">
                      <w:marLeft w:val="0"/>
                      <w:marRight w:val="0"/>
                      <w:marTop w:val="0"/>
                      <w:marBottom w:val="0"/>
                      <w:divBdr>
                        <w:top w:val="none" w:sz="0" w:space="0" w:color="auto"/>
                        <w:left w:val="none" w:sz="0" w:space="0" w:color="auto"/>
                        <w:bottom w:val="none" w:sz="0" w:space="0" w:color="auto"/>
                        <w:right w:val="none" w:sz="0" w:space="0" w:color="auto"/>
                      </w:divBdr>
                    </w:div>
                  </w:divsChild>
                </w:div>
                <w:div w:id="346717475">
                  <w:marLeft w:val="0"/>
                  <w:marRight w:val="0"/>
                  <w:marTop w:val="0"/>
                  <w:marBottom w:val="0"/>
                  <w:divBdr>
                    <w:top w:val="none" w:sz="0" w:space="0" w:color="auto"/>
                    <w:left w:val="none" w:sz="0" w:space="0" w:color="auto"/>
                    <w:bottom w:val="none" w:sz="0" w:space="0" w:color="auto"/>
                    <w:right w:val="none" w:sz="0" w:space="0" w:color="auto"/>
                  </w:divBdr>
                  <w:divsChild>
                    <w:div w:id="1348101544">
                      <w:marLeft w:val="0"/>
                      <w:marRight w:val="0"/>
                      <w:marTop w:val="0"/>
                      <w:marBottom w:val="0"/>
                      <w:divBdr>
                        <w:top w:val="none" w:sz="0" w:space="0" w:color="auto"/>
                        <w:left w:val="none" w:sz="0" w:space="0" w:color="auto"/>
                        <w:bottom w:val="none" w:sz="0" w:space="0" w:color="auto"/>
                        <w:right w:val="none" w:sz="0" w:space="0" w:color="auto"/>
                      </w:divBdr>
                    </w:div>
                  </w:divsChild>
                </w:div>
                <w:div w:id="366368146">
                  <w:marLeft w:val="0"/>
                  <w:marRight w:val="0"/>
                  <w:marTop w:val="0"/>
                  <w:marBottom w:val="0"/>
                  <w:divBdr>
                    <w:top w:val="none" w:sz="0" w:space="0" w:color="auto"/>
                    <w:left w:val="none" w:sz="0" w:space="0" w:color="auto"/>
                    <w:bottom w:val="none" w:sz="0" w:space="0" w:color="auto"/>
                    <w:right w:val="none" w:sz="0" w:space="0" w:color="auto"/>
                  </w:divBdr>
                  <w:divsChild>
                    <w:div w:id="18362188">
                      <w:marLeft w:val="0"/>
                      <w:marRight w:val="0"/>
                      <w:marTop w:val="0"/>
                      <w:marBottom w:val="0"/>
                      <w:divBdr>
                        <w:top w:val="none" w:sz="0" w:space="0" w:color="auto"/>
                        <w:left w:val="none" w:sz="0" w:space="0" w:color="auto"/>
                        <w:bottom w:val="none" w:sz="0" w:space="0" w:color="auto"/>
                        <w:right w:val="none" w:sz="0" w:space="0" w:color="auto"/>
                      </w:divBdr>
                    </w:div>
                  </w:divsChild>
                </w:div>
                <w:div w:id="369690988">
                  <w:marLeft w:val="0"/>
                  <w:marRight w:val="0"/>
                  <w:marTop w:val="0"/>
                  <w:marBottom w:val="0"/>
                  <w:divBdr>
                    <w:top w:val="none" w:sz="0" w:space="0" w:color="auto"/>
                    <w:left w:val="none" w:sz="0" w:space="0" w:color="auto"/>
                    <w:bottom w:val="none" w:sz="0" w:space="0" w:color="auto"/>
                    <w:right w:val="none" w:sz="0" w:space="0" w:color="auto"/>
                  </w:divBdr>
                  <w:divsChild>
                    <w:div w:id="162861852">
                      <w:marLeft w:val="0"/>
                      <w:marRight w:val="0"/>
                      <w:marTop w:val="0"/>
                      <w:marBottom w:val="0"/>
                      <w:divBdr>
                        <w:top w:val="none" w:sz="0" w:space="0" w:color="auto"/>
                        <w:left w:val="none" w:sz="0" w:space="0" w:color="auto"/>
                        <w:bottom w:val="none" w:sz="0" w:space="0" w:color="auto"/>
                        <w:right w:val="none" w:sz="0" w:space="0" w:color="auto"/>
                      </w:divBdr>
                    </w:div>
                  </w:divsChild>
                </w:div>
                <w:div w:id="379090515">
                  <w:marLeft w:val="0"/>
                  <w:marRight w:val="0"/>
                  <w:marTop w:val="0"/>
                  <w:marBottom w:val="0"/>
                  <w:divBdr>
                    <w:top w:val="none" w:sz="0" w:space="0" w:color="auto"/>
                    <w:left w:val="none" w:sz="0" w:space="0" w:color="auto"/>
                    <w:bottom w:val="none" w:sz="0" w:space="0" w:color="auto"/>
                    <w:right w:val="none" w:sz="0" w:space="0" w:color="auto"/>
                  </w:divBdr>
                  <w:divsChild>
                    <w:div w:id="520750661">
                      <w:marLeft w:val="0"/>
                      <w:marRight w:val="0"/>
                      <w:marTop w:val="0"/>
                      <w:marBottom w:val="0"/>
                      <w:divBdr>
                        <w:top w:val="none" w:sz="0" w:space="0" w:color="auto"/>
                        <w:left w:val="none" w:sz="0" w:space="0" w:color="auto"/>
                        <w:bottom w:val="none" w:sz="0" w:space="0" w:color="auto"/>
                        <w:right w:val="none" w:sz="0" w:space="0" w:color="auto"/>
                      </w:divBdr>
                    </w:div>
                  </w:divsChild>
                </w:div>
                <w:div w:id="389768606">
                  <w:marLeft w:val="0"/>
                  <w:marRight w:val="0"/>
                  <w:marTop w:val="0"/>
                  <w:marBottom w:val="0"/>
                  <w:divBdr>
                    <w:top w:val="none" w:sz="0" w:space="0" w:color="auto"/>
                    <w:left w:val="none" w:sz="0" w:space="0" w:color="auto"/>
                    <w:bottom w:val="none" w:sz="0" w:space="0" w:color="auto"/>
                    <w:right w:val="none" w:sz="0" w:space="0" w:color="auto"/>
                  </w:divBdr>
                  <w:divsChild>
                    <w:div w:id="1487673970">
                      <w:marLeft w:val="0"/>
                      <w:marRight w:val="0"/>
                      <w:marTop w:val="0"/>
                      <w:marBottom w:val="0"/>
                      <w:divBdr>
                        <w:top w:val="none" w:sz="0" w:space="0" w:color="auto"/>
                        <w:left w:val="none" w:sz="0" w:space="0" w:color="auto"/>
                        <w:bottom w:val="none" w:sz="0" w:space="0" w:color="auto"/>
                        <w:right w:val="none" w:sz="0" w:space="0" w:color="auto"/>
                      </w:divBdr>
                    </w:div>
                  </w:divsChild>
                </w:div>
                <w:div w:id="390930803">
                  <w:marLeft w:val="0"/>
                  <w:marRight w:val="0"/>
                  <w:marTop w:val="0"/>
                  <w:marBottom w:val="0"/>
                  <w:divBdr>
                    <w:top w:val="none" w:sz="0" w:space="0" w:color="auto"/>
                    <w:left w:val="none" w:sz="0" w:space="0" w:color="auto"/>
                    <w:bottom w:val="none" w:sz="0" w:space="0" w:color="auto"/>
                    <w:right w:val="none" w:sz="0" w:space="0" w:color="auto"/>
                  </w:divBdr>
                  <w:divsChild>
                    <w:div w:id="277180378">
                      <w:marLeft w:val="0"/>
                      <w:marRight w:val="0"/>
                      <w:marTop w:val="0"/>
                      <w:marBottom w:val="0"/>
                      <w:divBdr>
                        <w:top w:val="none" w:sz="0" w:space="0" w:color="auto"/>
                        <w:left w:val="none" w:sz="0" w:space="0" w:color="auto"/>
                        <w:bottom w:val="none" w:sz="0" w:space="0" w:color="auto"/>
                        <w:right w:val="none" w:sz="0" w:space="0" w:color="auto"/>
                      </w:divBdr>
                    </w:div>
                  </w:divsChild>
                </w:div>
                <w:div w:id="402876971">
                  <w:marLeft w:val="0"/>
                  <w:marRight w:val="0"/>
                  <w:marTop w:val="0"/>
                  <w:marBottom w:val="0"/>
                  <w:divBdr>
                    <w:top w:val="none" w:sz="0" w:space="0" w:color="auto"/>
                    <w:left w:val="none" w:sz="0" w:space="0" w:color="auto"/>
                    <w:bottom w:val="none" w:sz="0" w:space="0" w:color="auto"/>
                    <w:right w:val="none" w:sz="0" w:space="0" w:color="auto"/>
                  </w:divBdr>
                  <w:divsChild>
                    <w:div w:id="1033457386">
                      <w:marLeft w:val="0"/>
                      <w:marRight w:val="0"/>
                      <w:marTop w:val="0"/>
                      <w:marBottom w:val="0"/>
                      <w:divBdr>
                        <w:top w:val="none" w:sz="0" w:space="0" w:color="auto"/>
                        <w:left w:val="none" w:sz="0" w:space="0" w:color="auto"/>
                        <w:bottom w:val="none" w:sz="0" w:space="0" w:color="auto"/>
                        <w:right w:val="none" w:sz="0" w:space="0" w:color="auto"/>
                      </w:divBdr>
                    </w:div>
                  </w:divsChild>
                </w:div>
                <w:div w:id="417752421">
                  <w:marLeft w:val="0"/>
                  <w:marRight w:val="0"/>
                  <w:marTop w:val="0"/>
                  <w:marBottom w:val="0"/>
                  <w:divBdr>
                    <w:top w:val="none" w:sz="0" w:space="0" w:color="auto"/>
                    <w:left w:val="none" w:sz="0" w:space="0" w:color="auto"/>
                    <w:bottom w:val="none" w:sz="0" w:space="0" w:color="auto"/>
                    <w:right w:val="none" w:sz="0" w:space="0" w:color="auto"/>
                  </w:divBdr>
                  <w:divsChild>
                    <w:div w:id="405959685">
                      <w:marLeft w:val="0"/>
                      <w:marRight w:val="0"/>
                      <w:marTop w:val="0"/>
                      <w:marBottom w:val="0"/>
                      <w:divBdr>
                        <w:top w:val="none" w:sz="0" w:space="0" w:color="auto"/>
                        <w:left w:val="none" w:sz="0" w:space="0" w:color="auto"/>
                        <w:bottom w:val="none" w:sz="0" w:space="0" w:color="auto"/>
                        <w:right w:val="none" w:sz="0" w:space="0" w:color="auto"/>
                      </w:divBdr>
                    </w:div>
                  </w:divsChild>
                </w:div>
                <w:div w:id="427888210">
                  <w:marLeft w:val="0"/>
                  <w:marRight w:val="0"/>
                  <w:marTop w:val="0"/>
                  <w:marBottom w:val="0"/>
                  <w:divBdr>
                    <w:top w:val="none" w:sz="0" w:space="0" w:color="auto"/>
                    <w:left w:val="none" w:sz="0" w:space="0" w:color="auto"/>
                    <w:bottom w:val="none" w:sz="0" w:space="0" w:color="auto"/>
                    <w:right w:val="none" w:sz="0" w:space="0" w:color="auto"/>
                  </w:divBdr>
                  <w:divsChild>
                    <w:div w:id="2066561936">
                      <w:marLeft w:val="0"/>
                      <w:marRight w:val="0"/>
                      <w:marTop w:val="0"/>
                      <w:marBottom w:val="0"/>
                      <w:divBdr>
                        <w:top w:val="none" w:sz="0" w:space="0" w:color="auto"/>
                        <w:left w:val="none" w:sz="0" w:space="0" w:color="auto"/>
                        <w:bottom w:val="none" w:sz="0" w:space="0" w:color="auto"/>
                        <w:right w:val="none" w:sz="0" w:space="0" w:color="auto"/>
                      </w:divBdr>
                    </w:div>
                  </w:divsChild>
                </w:div>
                <w:div w:id="430055252">
                  <w:marLeft w:val="0"/>
                  <w:marRight w:val="0"/>
                  <w:marTop w:val="0"/>
                  <w:marBottom w:val="0"/>
                  <w:divBdr>
                    <w:top w:val="none" w:sz="0" w:space="0" w:color="auto"/>
                    <w:left w:val="none" w:sz="0" w:space="0" w:color="auto"/>
                    <w:bottom w:val="none" w:sz="0" w:space="0" w:color="auto"/>
                    <w:right w:val="none" w:sz="0" w:space="0" w:color="auto"/>
                  </w:divBdr>
                  <w:divsChild>
                    <w:div w:id="1072698213">
                      <w:marLeft w:val="0"/>
                      <w:marRight w:val="0"/>
                      <w:marTop w:val="0"/>
                      <w:marBottom w:val="0"/>
                      <w:divBdr>
                        <w:top w:val="none" w:sz="0" w:space="0" w:color="auto"/>
                        <w:left w:val="none" w:sz="0" w:space="0" w:color="auto"/>
                        <w:bottom w:val="none" w:sz="0" w:space="0" w:color="auto"/>
                        <w:right w:val="none" w:sz="0" w:space="0" w:color="auto"/>
                      </w:divBdr>
                    </w:div>
                  </w:divsChild>
                </w:div>
                <w:div w:id="442653086">
                  <w:marLeft w:val="0"/>
                  <w:marRight w:val="0"/>
                  <w:marTop w:val="0"/>
                  <w:marBottom w:val="0"/>
                  <w:divBdr>
                    <w:top w:val="none" w:sz="0" w:space="0" w:color="auto"/>
                    <w:left w:val="none" w:sz="0" w:space="0" w:color="auto"/>
                    <w:bottom w:val="none" w:sz="0" w:space="0" w:color="auto"/>
                    <w:right w:val="none" w:sz="0" w:space="0" w:color="auto"/>
                  </w:divBdr>
                  <w:divsChild>
                    <w:div w:id="336003276">
                      <w:marLeft w:val="0"/>
                      <w:marRight w:val="0"/>
                      <w:marTop w:val="0"/>
                      <w:marBottom w:val="0"/>
                      <w:divBdr>
                        <w:top w:val="none" w:sz="0" w:space="0" w:color="auto"/>
                        <w:left w:val="none" w:sz="0" w:space="0" w:color="auto"/>
                        <w:bottom w:val="none" w:sz="0" w:space="0" w:color="auto"/>
                        <w:right w:val="none" w:sz="0" w:space="0" w:color="auto"/>
                      </w:divBdr>
                    </w:div>
                  </w:divsChild>
                </w:div>
                <w:div w:id="474370394">
                  <w:marLeft w:val="0"/>
                  <w:marRight w:val="0"/>
                  <w:marTop w:val="0"/>
                  <w:marBottom w:val="0"/>
                  <w:divBdr>
                    <w:top w:val="none" w:sz="0" w:space="0" w:color="auto"/>
                    <w:left w:val="none" w:sz="0" w:space="0" w:color="auto"/>
                    <w:bottom w:val="none" w:sz="0" w:space="0" w:color="auto"/>
                    <w:right w:val="none" w:sz="0" w:space="0" w:color="auto"/>
                  </w:divBdr>
                  <w:divsChild>
                    <w:div w:id="1786343639">
                      <w:marLeft w:val="0"/>
                      <w:marRight w:val="0"/>
                      <w:marTop w:val="0"/>
                      <w:marBottom w:val="0"/>
                      <w:divBdr>
                        <w:top w:val="none" w:sz="0" w:space="0" w:color="auto"/>
                        <w:left w:val="none" w:sz="0" w:space="0" w:color="auto"/>
                        <w:bottom w:val="none" w:sz="0" w:space="0" w:color="auto"/>
                        <w:right w:val="none" w:sz="0" w:space="0" w:color="auto"/>
                      </w:divBdr>
                    </w:div>
                  </w:divsChild>
                </w:div>
                <w:div w:id="479033010">
                  <w:marLeft w:val="0"/>
                  <w:marRight w:val="0"/>
                  <w:marTop w:val="0"/>
                  <w:marBottom w:val="0"/>
                  <w:divBdr>
                    <w:top w:val="none" w:sz="0" w:space="0" w:color="auto"/>
                    <w:left w:val="none" w:sz="0" w:space="0" w:color="auto"/>
                    <w:bottom w:val="none" w:sz="0" w:space="0" w:color="auto"/>
                    <w:right w:val="none" w:sz="0" w:space="0" w:color="auto"/>
                  </w:divBdr>
                  <w:divsChild>
                    <w:div w:id="889682363">
                      <w:marLeft w:val="0"/>
                      <w:marRight w:val="0"/>
                      <w:marTop w:val="0"/>
                      <w:marBottom w:val="0"/>
                      <w:divBdr>
                        <w:top w:val="none" w:sz="0" w:space="0" w:color="auto"/>
                        <w:left w:val="none" w:sz="0" w:space="0" w:color="auto"/>
                        <w:bottom w:val="none" w:sz="0" w:space="0" w:color="auto"/>
                        <w:right w:val="none" w:sz="0" w:space="0" w:color="auto"/>
                      </w:divBdr>
                    </w:div>
                  </w:divsChild>
                </w:div>
                <w:div w:id="484779931">
                  <w:marLeft w:val="0"/>
                  <w:marRight w:val="0"/>
                  <w:marTop w:val="0"/>
                  <w:marBottom w:val="0"/>
                  <w:divBdr>
                    <w:top w:val="none" w:sz="0" w:space="0" w:color="auto"/>
                    <w:left w:val="none" w:sz="0" w:space="0" w:color="auto"/>
                    <w:bottom w:val="none" w:sz="0" w:space="0" w:color="auto"/>
                    <w:right w:val="none" w:sz="0" w:space="0" w:color="auto"/>
                  </w:divBdr>
                  <w:divsChild>
                    <w:div w:id="1570725378">
                      <w:marLeft w:val="0"/>
                      <w:marRight w:val="0"/>
                      <w:marTop w:val="0"/>
                      <w:marBottom w:val="0"/>
                      <w:divBdr>
                        <w:top w:val="none" w:sz="0" w:space="0" w:color="auto"/>
                        <w:left w:val="none" w:sz="0" w:space="0" w:color="auto"/>
                        <w:bottom w:val="none" w:sz="0" w:space="0" w:color="auto"/>
                        <w:right w:val="none" w:sz="0" w:space="0" w:color="auto"/>
                      </w:divBdr>
                    </w:div>
                  </w:divsChild>
                </w:div>
                <w:div w:id="484858729">
                  <w:marLeft w:val="0"/>
                  <w:marRight w:val="0"/>
                  <w:marTop w:val="0"/>
                  <w:marBottom w:val="0"/>
                  <w:divBdr>
                    <w:top w:val="none" w:sz="0" w:space="0" w:color="auto"/>
                    <w:left w:val="none" w:sz="0" w:space="0" w:color="auto"/>
                    <w:bottom w:val="none" w:sz="0" w:space="0" w:color="auto"/>
                    <w:right w:val="none" w:sz="0" w:space="0" w:color="auto"/>
                  </w:divBdr>
                  <w:divsChild>
                    <w:div w:id="1801024047">
                      <w:marLeft w:val="0"/>
                      <w:marRight w:val="0"/>
                      <w:marTop w:val="0"/>
                      <w:marBottom w:val="0"/>
                      <w:divBdr>
                        <w:top w:val="none" w:sz="0" w:space="0" w:color="auto"/>
                        <w:left w:val="none" w:sz="0" w:space="0" w:color="auto"/>
                        <w:bottom w:val="none" w:sz="0" w:space="0" w:color="auto"/>
                        <w:right w:val="none" w:sz="0" w:space="0" w:color="auto"/>
                      </w:divBdr>
                    </w:div>
                  </w:divsChild>
                </w:div>
                <w:div w:id="489294919">
                  <w:marLeft w:val="0"/>
                  <w:marRight w:val="0"/>
                  <w:marTop w:val="0"/>
                  <w:marBottom w:val="0"/>
                  <w:divBdr>
                    <w:top w:val="none" w:sz="0" w:space="0" w:color="auto"/>
                    <w:left w:val="none" w:sz="0" w:space="0" w:color="auto"/>
                    <w:bottom w:val="none" w:sz="0" w:space="0" w:color="auto"/>
                    <w:right w:val="none" w:sz="0" w:space="0" w:color="auto"/>
                  </w:divBdr>
                  <w:divsChild>
                    <w:div w:id="1773865665">
                      <w:marLeft w:val="0"/>
                      <w:marRight w:val="0"/>
                      <w:marTop w:val="0"/>
                      <w:marBottom w:val="0"/>
                      <w:divBdr>
                        <w:top w:val="none" w:sz="0" w:space="0" w:color="auto"/>
                        <w:left w:val="none" w:sz="0" w:space="0" w:color="auto"/>
                        <w:bottom w:val="none" w:sz="0" w:space="0" w:color="auto"/>
                        <w:right w:val="none" w:sz="0" w:space="0" w:color="auto"/>
                      </w:divBdr>
                    </w:div>
                  </w:divsChild>
                </w:div>
                <w:div w:id="529490309">
                  <w:marLeft w:val="0"/>
                  <w:marRight w:val="0"/>
                  <w:marTop w:val="0"/>
                  <w:marBottom w:val="0"/>
                  <w:divBdr>
                    <w:top w:val="none" w:sz="0" w:space="0" w:color="auto"/>
                    <w:left w:val="none" w:sz="0" w:space="0" w:color="auto"/>
                    <w:bottom w:val="none" w:sz="0" w:space="0" w:color="auto"/>
                    <w:right w:val="none" w:sz="0" w:space="0" w:color="auto"/>
                  </w:divBdr>
                  <w:divsChild>
                    <w:div w:id="1311056152">
                      <w:marLeft w:val="0"/>
                      <w:marRight w:val="0"/>
                      <w:marTop w:val="0"/>
                      <w:marBottom w:val="0"/>
                      <w:divBdr>
                        <w:top w:val="none" w:sz="0" w:space="0" w:color="auto"/>
                        <w:left w:val="none" w:sz="0" w:space="0" w:color="auto"/>
                        <w:bottom w:val="none" w:sz="0" w:space="0" w:color="auto"/>
                        <w:right w:val="none" w:sz="0" w:space="0" w:color="auto"/>
                      </w:divBdr>
                    </w:div>
                  </w:divsChild>
                </w:div>
                <w:div w:id="536818057">
                  <w:marLeft w:val="0"/>
                  <w:marRight w:val="0"/>
                  <w:marTop w:val="0"/>
                  <w:marBottom w:val="0"/>
                  <w:divBdr>
                    <w:top w:val="none" w:sz="0" w:space="0" w:color="auto"/>
                    <w:left w:val="none" w:sz="0" w:space="0" w:color="auto"/>
                    <w:bottom w:val="none" w:sz="0" w:space="0" w:color="auto"/>
                    <w:right w:val="none" w:sz="0" w:space="0" w:color="auto"/>
                  </w:divBdr>
                  <w:divsChild>
                    <w:div w:id="826096678">
                      <w:marLeft w:val="0"/>
                      <w:marRight w:val="0"/>
                      <w:marTop w:val="0"/>
                      <w:marBottom w:val="0"/>
                      <w:divBdr>
                        <w:top w:val="none" w:sz="0" w:space="0" w:color="auto"/>
                        <w:left w:val="none" w:sz="0" w:space="0" w:color="auto"/>
                        <w:bottom w:val="none" w:sz="0" w:space="0" w:color="auto"/>
                        <w:right w:val="none" w:sz="0" w:space="0" w:color="auto"/>
                      </w:divBdr>
                    </w:div>
                  </w:divsChild>
                </w:div>
                <w:div w:id="539318320">
                  <w:marLeft w:val="0"/>
                  <w:marRight w:val="0"/>
                  <w:marTop w:val="0"/>
                  <w:marBottom w:val="0"/>
                  <w:divBdr>
                    <w:top w:val="none" w:sz="0" w:space="0" w:color="auto"/>
                    <w:left w:val="none" w:sz="0" w:space="0" w:color="auto"/>
                    <w:bottom w:val="none" w:sz="0" w:space="0" w:color="auto"/>
                    <w:right w:val="none" w:sz="0" w:space="0" w:color="auto"/>
                  </w:divBdr>
                  <w:divsChild>
                    <w:div w:id="208687888">
                      <w:marLeft w:val="0"/>
                      <w:marRight w:val="0"/>
                      <w:marTop w:val="0"/>
                      <w:marBottom w:val="0"/>
                      <w:divBdr>
                        <w:top w:val="none" w:sz="0" w:space="0" w:color="auto"/>
                        <w:left w:val="none" w:sz="0" w:space="0" w:color="auto"/>
                        <w:bottom w:val="none" w:sz="0" w:space="0" w:color="auto"/>
                        <w:right w:val="none" w:sz="0" w:space="0" w:color="auto"/>
                      </w:divBdr>
                    </w:div>
                  </w:divsChild>
                </w:div>
                <w:div w:id="544099553">
                  <w:marLeft w:val="0"/>
                  <w:marRight w:val="0"/>
                  <w:marTop w:val="0"/>
                  <w:marBottom w:val="0"/>
                  <w:divBdr>
                    <w:top w:val="none" w:sz="0" w:space="0" w:color="auto"/>
                    <w:left w:val="none" w:sz="0" w:space="0" w:color="auto"/>
                    <w:bottom w:val="none" w:sz="0" w:space="0" w:color="auto"/>
                    <w:right w:val="none" w:sz="0" w:space="0" w:color="auto"/>
                  </w:divBdr>
                  <w:divsChild>
                    <w:div w:id="483591336">
                      <w:marLeft w:val="0"/>
                      <w:marRight w:val="0"/>
                      <w:marTop w:val="0"/>
                      <w:marBottom w:val="0"/>
                      <w:divBdr>
                        <w:top w:val="none" w:sz="0" w:space="0" w:color="auto"/>
                        <w:left w:val="none" w:sz="0" w:space="0" w:color="auto"/>
                        <w:bottom w:val="none" w:sz="0" w:space="0" w:color="auto"/>
                        <w:right w:val="none" w:sz="0" w:space="0" w:color="auto"/>
                      </w:divBdr>
                    </w:div>
                  </w:divsChild>
                </w:div>
                <w:div w:id="552234118">
                  <w:marLeft w:val="0"/>
                  <w:marRight w:val="0"/>
                  <w:marTop w:val="0"/>
                  <w:marBottom w:val="0"/>
                  <w:divBdr>
                    <w:top w:val="none" w:sz="0" w:space="0" w:color="auto"/>
                    <w:left w:val="none" w:sz="0" w:space="0" w:color="auto"/>
                    <w:bottom w:val="none" w:sz="0" w:space="0" w:color="auto"/>
                    <w:right w:val="none" w:sz="0" w:space="0" w:color="auto"/>
                  </w:divBdr>
                  <w:divsChild>
                    <w:div w:id="996492057">
                      <w:marLeft w:val="0"/>
                      <w:marRight w:val="0"/>
                      <w:marTop w:val="0"/>
                      <w:marBottom w:val="0"/>
                      <w:divBdr>
                        <w:top w:val="none" w:sz="0" w:space="0" w:color="auto"/>
                        <w:left w:val="none" w:sz="0" w:space="0" w:color="auto"/>
                        <w:bottom w:val="none" w:sz="0" w:space="0" w:color="auto"/>
                        <w:right w:val="none" w:sz="0" w:space="0" w:color="auto"/>
                      </w:divBdr>
                    </w:div>
                  </w:divsChild>
                </w:div>
                <w:div w:id="556866370">
                  <w:marLeft w:val="0"/>
                  <w:marRight w:val="0"/>
                  <w:marTop w:val="0"/>
                  <w:marBottom w:val="0"/>
                  <w:divBdr>
                    <w:top w:val="none" w:sz="0" w:space="0" w:color="auto"/>
                    <w:left w:val="none" w:sz="0" w:space="0" w:color="auto"/>
                    <w:bottom w:val="none" w:sz="0" w:space="0" w:color="auto"/>
                    <w:right w:val="none" w:sz="0" w:space="0" w:color="auto"/>
                  </w:divBdr>
                  <w:divsChild>
                    <w:div w:id="2089693055">
                      <w:marLeft w:val="0"/>
                      <w:marRight w:val="0"/>
                      <w:marTop w:val="0"/>
                      <w:marBottom w:val="0"/>
                      <w:divBdr>
                        <w:top w:val="none" w:sz="0" w:space="0" w:color="auto"/>
                        <w:left w:val="none" w:sz="0" w:space="0" w:color="auto"/>
                        <w:bottom w:val="none" w:sz="0" w:space="0" w:color="auto"/>
                        <w:right w:val="none" w:sz="0" w:space="0" w:color="auto"/>
                      </w:divBdr>
                    </w:div>
                  </w:divsChild>
                </w:div>
                <w:div w:id="564340530">
                  <w:marLeft w:val="0"/>
                  <w:marRight w:val="0"/>
                  <w:marTop w:val="0"/>
                  <w:marBottom w:val="0"/>
                  <w:divBdr>
                    <w:top w:val="none" w:sz="0" w:space="0" w:color="auto"/>
                    <w:left w:val="none" w:sz="0" w:space="0" w:color="auto"/>
                    <w:bottom w:val="none" w:sz="0" w:space="0" w:color="auto"/>
                    <w:right w:val="none" w:sz="0" w:space="0" w:color="auto"/>
                  </w:divBdr>
                  <w:divsChild>
                    <w:div w:id="1393890293">
                      <w:marLeft w:val="0"/>
                      <w:marRight w:val="0"/>
                      <w:marTop w:val="0"/>
                      <w:marBottom w:val="0"/>
                      <w:divBdr>
                        <w:top w:val="none" w:sz="0" w:space="0" w:color="auto"/>
                        <w:left w:val="none" w:sz="0" w:space="0" w:color="auto"/>
                        <w:bottom w:val="none" w:sz="0" w:space="0" w:color="auto"/>
                        <w:right w:val="none" w:sz="0" w:space="0" w:color="auto"/>
                      </w:divBdr>
                    </w:div>
                  </w:divsChild>
                </w:div>
                <w:div w:id="571816409">
                  <w:marLeft w:val="0"/>
                  <w:marRight w:val="0"/>
                  <w:marTop w:val="0"/>
                  <w:marBottom w:val="0"/>
                  <w:divBdr>
                    <w:top w:val="none" w:sz="0" w:space="0" w:color="auto"/>
                    <w:left w:val="none" w:sz="0" w:space="0" w:color="auto"/>
                    <w:bottom w:val="none" w:sz="0" w:space="0" w:color="auto"/>
                    <w:right w:val="none" w:sz="0" w:space="0" w:color="auto"/>
                  </w:divBdr>
                  <w:divsChild>
                    <w:div w:id="1066033943">
                      <w:marLeft w:val="0"/>
                      <w:marRight w:val="0"/>
                      <w:marTop w:val="0"/>
                      <w:marBottom w:val="0"/>
                      <w:divBdr>
                        <w:top w:val="none" w:sz="0" w:space="0" w:color="auto"/>
                        <w:left w:val="none" w:sz="0" w:space="0" w:color="auto"/>
                        <w:bottom w:val="none" w:sz="0" w:space="0" w:color="auto"/>
                        <w:right w:val="none" w:sz="0" w:space="0" w:color="auto"/>
                      </w:divBdr>
                    </w:div>
                  </w:divsChild>
                </w:div>
                <w:div w:id="574555478">
                  <w:marLeft w:val="0"/>
                  <w:marRight w:val="0"/>
                  <w:marTop w:val="0"/>
                  <w:marBottom w:val="0"/>
                  <w:divBdr>
                    <w:top w:val="none" w:sz="0" w:space="0" w:color="auto"/>
                    <w:left w:val="none" w:sz="0" w:space="0" w:color="auto"/>
                    <w:bottom w:val="none" w:sz="0" w:space="0" w:color="auto"/>
                    <w:right w:val="none" w:sz="0" w:space="0" w:color="auto"/>
                  </w:divBdr>
                  <w:divsChild>
                    <w:div w:id="1567180989">
                      <w:marLeft w:val="0"/>
                      <w:marRight w:val="0"/>
                      <w:marTop w:val="0"/>
                      <w:marBottom w:val="0"/>
                      <w:divBdr>
                        <w:top w:val="none" w:sz="0" w:space="0" w:color="auto"/>
                        <w:left w:val="none" w:sz="0" w:space="0" w:color="auto"/>
                        <w:bottom w:val="none" w:sz="0" w:space="0" w:color="auto"/>
                        <w:right w:val="none" w:sz="0" w:space="0" w:color="auto"/>
                      </w:divBdr>
                    </w:div>
                  </w:divsChild>
                </w:div>
                <w:div w:id="580405709">
                  <w:marLeft w:val="0"/>
                  <w:marRight w:val="0"/>
                  <w:marTop w:val="0"/>
                  <w:marBottom w:val="0"/>
                  <w:divBdr>
                    <w:top w:val="none" w:sz="0" w:space="0" w:color="auto"/>
                    <w:left w:val="none" w:sz="0" w:space="0" w:color="auto"/>
                    <w:bottom w:val="none" w:sz="0" w:space="0" w:color="auto"/>
                    <w:right w:val="none" w:sz="0" w:space="0" w:color="auto"/>
                  </w:divBdr>
                  <w:divsChild>
                    <w:div w:id="480082797">
                      <w:marLeft w:val="0"/>
                      <w:marRight w:val="0"/>
                      <w:marTop w:val="0"/>
                      <w:marBottom w:val="0"/>
                      <w:divBdr>
                        <w:top w:val="none" w:sz="0" w:space="0" w:color="auto"/>
                        <w:left w:val="none" w:sz="0" w:space="0" w:color="auto"/>
                        <w:bottom w:val="none" w:sz="0" w:space="0" w:color="auto"/>
                        <w:right w:val="none" w:sz="0" w:space="0" w:color="auto"/>
                      </w:divBdr>
                    </w:div>
                  </w:divsChild>
                </w:div>
                <w:div w:id="590549295">
                  <w:marLeft w:val="0"/>
                  <w:marRight w:val="0"/>
                  <w:marTop w:val="0"/>
                  <w:marBottom w:val="0"/>
                  <w:divBdr>
                    <w:top w:val="none" w:sz="0" w:space="0" w:color="auto"/>
                    <w:left w:val="none" w:sz="0" w:space="0" w:color="auto"/>
                    <w:bottom w:val="none" w:sz="0" w:space="0" w:color="auto"/>
                    <w:right w:val="none" w:sz="0" w:space="0" w:color="auto"/>
                  </w:divBdr>
                  <w:divsChild>
                    <w:div w:id="392461251">
                      <w:marLeft w:val="0"/>
                      <w:marRight w:val="0"/>
                      <w:marTop w:val="0"/>
                      <w:marBottom w:val="0"/>
                      <w:divBdr>
                        <w:top w:val="none" w:sz="0" w:space="0" w:color="auto"/>
                        <w:left w:val="none" w:sz="0" w:space="0" w:color="auto"/>
                        <w:bottom w:val="none" w:sz="0" w:space="0" w:color="auto"/>
                        <w:right w:val="none" w:sz="0" w:space="0" w:color="auto"/>
                      </w:divBdr>
                    </w:div>
                  </w:divsChild>
                </w:div>
                <w:div w:id="593054566">
                  <w:marLeft w:val="0"/>
                  <w:marRight w:val="0"/>
                  <w:marTop w:val="0"/>
                  <w:marBottom w:val="0"/>
                  <w:divBdr>
                    <w:top w:val="none" w:sz="0" w:space="0" w:color="auto"/>
                    <w:left w:val="none" w:sz="0" w:space="0" w:color="auto"/>
                    <w:bottom w:val="none" w:sz="0" w:space="0" w:color="auto"/>
                    <w:right w:val="none" w:sz="0" w:space="0" w:color="auto"/>
                  </w:divBdr>
                  <w:divsChild>
                    <w:div w:id="1042289773">
                      <w:marLeft w:val="0"/>
                      <w:marRight w:val="0"/>
                      <w:marTop w:val="0"/>
                      <w:marBottom w:val="0"/>
                      <w:divBdr>
                        <w:top w:val="none" w:sz="0" w:space="0" w:color="auto"/>
                        <w:left w:val="none" w:sz="0" w:space="0" w:color="auto"/>
                        <w:bottom w:val="none" w:sz="0" w:space="0" w:color="auto"/>
                        <w:right w:val="none" w:sz="0" w:space="0" w:color="auto"/>
                      </w:divBdr>
                    </w:div>
                  </w:divsChild>
                </w:div>
                <w:div w:id="593367978">
                  <w:marLeft w:val="0"/>
                  <w:marRight w:val="0"/>
                  <w:marTop w:val="0"/>
                  <w:marBottom w:val="0"/>
                  <w:divBdr>
                    <w:top w:val="none" w:sz="0" w:space="0" w:color="auto"/>
                    <w:left w:val="none" w:sz="0" w:space="0" w:color="auto"/>
                    <w:bottom w:val="none" w:sz="0" w:space="0" w:color="auto"/>
                    <w:right w:val="none" w:sz="0" w:space="0" w:color="auto"/>
                  </w:divBdr>
                  <w:divsChild>
                    <w:div w:id="728646525">
                      <w:marLeft w:val="0"/>
                      <w:marRight w:val="0"/>
                      <w:marTop w:val="0"/>
                      <w:marBottom w:val="0"/>
                      <w:divBdr>
                        <w:top w:val="none" w:sz="0" w:space="0" w:color="auto"/>
                        <w:left w:val="none" w:sz="0" w:space="0" w:color="auto"/>
                        <w:bottom w:val="none" w:sz="0" w:space="0" w:color="auto"/>
                        <w:right w:val="none" w:sz="0" w:space="0" w:color="auto"/>
                      </w:divBdr>
                    </w:div>
                  </w:divsChild>
                </w:div>
                <w:div w:id="596790878">
                  <w:marLeft w:val="0"/>
                  <w:marRight w:val="0"/>
                  <w:marTop w:val="0"/>
                  <w:marBottom w:val="0"/>
                  <w:divBdr>
                    <w:top w:val="none" w:sz="0" w:space="0" w:color="auto"/>
                    <w:left w:val="none" w:sz="0" w:space="0" w:color="auto"/>
                    <w:bottom w:val="none" w:sz="0" w:space="0" w:color="auto"/>
                    <w:right w:val="none" w:sz="0" w:space="0" w:color="auto"/>
                  </w:divBdr>
                  <w:divsChild>
                    <w:div w:id="1608733853">
                      <w:marLeft w:val="0"/>
                      <w:marRight w:val="0"/>
                      <w:marTop w:val="0"/>
                      <w:marBottom w:val="0"/>
                      <w:divBdr>
                        <w:top w:val="none" w:sz="0" w:space="0" w:color="auto"/>
                        <w:left w:val="none" w:sz="0" w:space="0" w:color="auto"/>
                        <w:bottom w:val="none" w:sz="0" w:space="0" w:color="auto"/>
                        <w:right w:val="none" w:sz="0" w:space="0" w:color="auto"/>
                      </w:divBdr>
                    </w:div>
                  </w:divsChild>
                </w:div>
                <w:div w:id="597325921">
                  <w:marLeft w:val="0"/>
                  <w:marRight w:val="0"/>
                  <w:marTop w:val="0"/>
                  <w:marBottom w:val="0"/>
                  <w:divBdr>
                    <w:top w:val="none" w:sz="0" w:space="0" w:color="auto"/>
                    <w:left w:val="none" w:sz="0" w:space="0" w:color="auto"/>
                    <w:bottom w:val="none" w:sz="0" w:space="0" w:color="auto"/>
                    <w:right w:val="none" w:sz="0" w:space="0" w:color="auto"/>
                  </w:divBdr>
                  <w:divsChild>
                    <w:div w:id="1286275837">
                      <w:marLeft w:val="0"/>
                      <w:marRight w:val="0"/>
                      <w:marTop w:val="0"/>
                      <w:marBottom w:val="0"/>
                      <w:divBdr>
                        <w:top w:val="none" w:sz="0" w:space="0" w:color="auto"/>
                        <w:left w:val="none" w:sz="0" w:space="0" w:color="auto"/>
                        <w:bottom w:val="none" w:sz="0" w:space="0" w:color="auto"/>
                        <w:right w:val="none" w:sz="0" w:space="0" w:color="auto"/>
                      </w:divBdr>
                    </w:div>
                  </w:divsChild>
                </w:div>
                <w:div w:id="598102311">
                  <w:marLeft w:val="0"/>
                  <w:marRight w:val="0"/>
                  <w:marTop w:val="0"/>
                  <w:marBottom w:val="0"/>
                  <w:divBdr>
                    <w:top w:val="none" w:sz="0" w:space="0" w:color="auto"/>
                    <w:left w:val="none" w:sz="0" w:space="0" w:color="auto"/>
                    <w:bottom w:val="none" w:sz="0" w:space="0" w:color="auto"/>
                    <w:right w:val="none" w:sz="0" w:space="0" w:color="auto"/>
                  </w:divBdr>
                  <w:divsChild>
                    <w:div w:id="209846793">
                      <w:marLeft w:val="0"/>
                      <w:marRight w:val="0"/>
                      <w:marTop w:val="0"/>
                      <w:marBottom w:val="0"/>
                      <w:divBdr>
                        <w:top w:val="none" w:sz="0" w:space="0" w:color="auto"/>
                        <w:left w:val="none" w:sz="0" w:space="0" w:color="auto"/>
                        <w:bottom w:val="none" w:sz="0" w:space="0" w:color="auto"/>
                        <w:right w:val="none" w:sz="0" w:space="0" w:color="auto"/>
                      </w:divBdr>
                    </w:div>
                  </w:divsChild>
                </w:div>
                <w:div w:id="613485678">
                  <w:marLeft w:val="0"/>
                  <w:marRight w:val="0"/>
                  <w:marTop w:val="0"/>
                  <w:marBottom w:val="0"/>
                  <w:divBdr>
                    <w:top w:val="none" w:sz="0" w:space="0" w:color="auto"/>
                    <w:left w:val="none" w:sz="0" w:space="0" w:color="auto"/>
                    <w:bottom w:val="none" w:sz="0" w:space="0" w:color="auto"/>
                    <w:right w:val="none" w:sz="0" w:space="0" w:color="auto"/>
                  </w:divBdr>
                  <w:divsChild>
                    <w:div w:id="1916737959">
                      <w:marLeft w:val="0"/>
                      <w:marRight w:val="0"/>
                      <w:marTop w:val="0"/>
                      <w:marBottom w:val="0"/>
                      <w:divBdr>
                        <w:top w:val="none" w:sz="0" w:space="0" w:color="auto"/>
                        <w:left w:val="none" w:sz="0" w:space="0" w:color="auto"/>
                        <w:bottom w:val="none" w:sz="0" w:space="0" w:color="auto"/>
                        <w:right w:val="none" w:sz="0" w:space="0" w:color="auto"/>
                      </w:divBdr>
                    </w:div>
                  </w:divsChild>
                </w:div>
                <w:div w:id="614213180">
                  <w:marLeft w:val="0"/>
                  <w:marRight w:val="0"/>
                  <w:marTop w:val="0"/>
                  <w:marBottom w:val="0"/>
                  <w:divBdr>
                    <w:top w:val="none" w:sz="0" w:space="0" w:color="auto"/>
                    <w:left w:val="none" w:sz="0" w:space="0" w:color="auto"/>
                    <w:bottom w:val="none" w:sz="0" w:space="0" w:color="auto"/>
                    <w:right w:val="none" w:sz="0" w:space="0" w:color="auto"/>
                  </w:divBdr>
                  <w:divsChild>
                    <w:div w:id="82646445">
                      <w:marLeft w:val="0"/>
                      <w:marRight w:val="0"/>
                      <w:marTop w:val="0"/>
                      <w:marBottom w:val="0"/>
                      <w:divBdr>
                        <w:top w:val="none" w:sz="0" w:space="0" w:color="auto"/>
                        <w:left w:val="none" w:sz="0" w:space="0" w:color="auto"/>
                        <w:bottom w:val="none" w:sz="0" w:space="0" w:color="auto"/>
                        <w:right w:val="none" w:sz="0" w:space="0" w:color="auto"/>
                      </w:divBdr>
                    </w:div>
                  </w:divsChild>
                </w:div>
                <w:div w:id="619187892">
                  <w:marLeft w:val="0"/>
                  <w:marRight w:val="0"/>
                  <w:marTop w:val="0"/>
                  <w:marBottom w:val="0"/>
                  <w:divBdr>
                    <w:top w:val="none" w:sz="0" w:space="0" w:color="auto"/>
                    <w:left w:val="none" w:sz="0" w:space="0" w:color="auto"/>
                    <w:bottom w:val="none" w:sz="0" w:space="0" w:color="auto"/>
                    <w:right w:val="none" w:sz="0" w:space="0" w:color="auto"/>
                  </w:divBdr>
                  <w:divsChild>
                    <w:div w:id="204879363">
                      <w:marLeft w:val="0"/>
                      <w:marRight w:val="0"/>
                      <w:marTop w:val="0"/>
                      <w:marBottom w:val="0"/>
                      <w:divBdr>
                        <w:top w:val="none" w:sz="0" w:space="0" w:color="auto"/>
                        <w:left w:val="none" w:sz="0" w:space="0" w:color="auto"/>
                        <w:bottom w:val="none" w:sz="0" w:space="0" w:color="auto"/>
                        <w:right w:val="none" w:sz="0" w:space="0" w:color="auto"/>
                      </w:divBdr>
                    </w:div>
                  </w:divsChild>
                </w:div>
                <w:div w:id="625431402">
                  <w:marLeft w:val="0"/>
                  <w:marRight w:val="0"/>
                  <w:marTop w:val="0"/>
                  <w:marBottom w:val="0"/>
                  <w:divBdr>
                    <w:top w:val="none" w:sz="0" w:space="0" w:color="auto"/>
                    <w:left w:val="none" w:sz="0" w:space="0" w:color="auto"/>
                    <w:bottom w:val="none" w:sz="0" w:space="0" w:color="auto"/>
                    <w:right w:val="none" w:sz="0" w:space="0" w:color="auto"/>
                  </w:divBdr>
                  <w:divsChild>
                    <w:div w:id="1743134446">
                      <w:marLeft w:val="0"/>
                      <w:marRight w:val="0"/>
                      <w:marTop w:val="0"/>
                      <w:marBottom w:val="0"/>
                      <w:divBdr>
                        <w:top w:val="none" w:sz="0" w:space="0" w:color="auto"/>
                        <w:left w:val="none" w:sz="0" w:space="0" w:color="auto"/>
                        <w:bottom w:val="none" w:sz="0" w:space="0" w:color="auto"/>
                        <w:right w:val="none" w:sz="0" w:space="0" w:color="auto"/>
                      </w:divBdr>
                    </w:div>
                  </w:divsChild>
                </w:div>
                <w:div w:id="626088884">
                  <w:marLeft w:val="0"/>
                  <w:marRight w:val="0"/>
                  <w:marTop w:val="0"/>
                  <w:marBottom w:val="0"/>
                  <w:divBdr>
                    <w:top w:val="none" w:sz="0" w:space="0" w:color="auto"/>
                    <w:left w:val="none" w:sz="0" w:space="0" w:color="auto"/>
                    <w:bottom w:val="none" w:sz="0" w:space="0" w:color="auto"/>
                    <w:right w:val="none" w:sz="0" w:space="0" w:color="auto"/>
                  </w:divBdr>
                  <w:divsChild>
                    <w:div w:id="365494533">
                      <w:marLeft w:val="0"/>
                      <w:marRight w:val="0"/>
                      <w:marTop w:val="0"/>
                      <w:marBottom w:val="0"/>
                      <w:divBdr>
                        <w:top w:val="none" w:sz="0" w:space="0" w:color="auto"/>
                        <w:left w:val="none" w:sz="0" w:space="0" w:color="auto"/>
                        <w:bottom w:val="none" w:sz="0" w:space="0" w:color="auto"/>
                        <w:right w:val="none" w:sz="0" w:space="0" w:color="auto"/>
                      </w:divBdr>
                    </w:div>
                  </w:divsChild>
                </w:div>
                <w:div w:id="673218353">
                  <w:marLeft w:val="0"/>
                  <w:marRight w:val="0"/>
                  <w:marTop w:val="0"/>
                  <w:marBottom w:val="0"/>
                  <w:divBdr>
                    <w:top w:val="none" w:sz="0" w:space="0" w:color="auto"/>
                    <w:left w:val="none" w:sz="0" w:space="0" w:color="auto"/>
                    <w:bottom w:val="none" w:sz="0" w:space="0" w:color="auto"/>
                    <w:right w:val="none" w:sz="0" w:space="0" w:color="auto"/>
                  </w:divBdr>
                  <w:divsChild>
                    <w:div w:id="2089885612">
                      <w:marLeft w:val="0"/>
                      <w:marRight w:val="0"/>
                      <w:marTop w:val="0"/>
                      <w:marBottom w:val="0"/>
                      <w:divBdr>
                        <w:top w:val="none" w:sz="0" w:space="0" w:color="auto"/>
                        <w:left w:val="none" w:sz="0" w:space="0" w:color="auto"/>
                        <w:bottom w:val="none" w:sz="0" w:space="0" w:color="auto"/>
                        <w:right w:val="none" w:sz="0" w:space="0" w:color="auto"/>
                      </w:divBdr>
                    </w:div>
                  </w:divsChild>
                </w:div>
                <w:div w:id="674574970">
                  <w:marLeft w:val="0"/>
                  <w:marRight w:val="0"/>
                  <w:marTop w:val="0"/>
                  <w:marBottom w:val="0"/>
                  <w:divBdr>
                    <w:top w:val="none" w:sz="0" w:space="0" w:color="auto"/>
                    <w:left w:val="none" w:sz="0" w:space="0" w:color="auto"/>
                    <w:bottom w:val="none" w:sz="0" w:space="0" w:color="auto"/>
                    <w:right w:val="none" w:sz="0" w:space="0" w:color="auto"/>
                  </w:divBdr>
                  <w:divsChild>
                    <w:div w:id="1562865606">
                      <w:marLeft w:val="0"/>
                      <w:marRight w:val="0"/>
                      <w:marTop w:val="0"/>
                      <w:marBottom w:val="0"/>
                      <w:divBdr>
                        <w:top w:val="none" w:sz="0" w:space="0" w:color="auto"/>
                        <w:left w:val="none" w:sz="0" w:space="0" w:color="auto"/>
                        <w:bottom w:val="none" w:sz="0" w:space="0" w:color="auto"/>
                        <w:right w:val="none" w:sz="0" w:space="0" w:color="auto"/>
                      </w:divBdr>
                    </w:div>
                  </w:divsChild>
                </w:div>
                <w:div w:id="674848160">
                  <w:marLeft w:val="0"/>
                  <w:marRight w:val="0"/>
                  <w:marTop w:val="0"/>
                  <w:marBottom w:val="0"/>
                  <w:divBdr>
                    <w:top w:val="none" w:sz="0" w:space="0" w:color="auto"/>
                    <w:left w:val="none" w:sz="0" w:space="0" w:color="auto"/>
                    <w:bottom w:val="none" w:sz="0" w:space="0" w:color="auto"/>
                    <w:right w:val="none" w:sz="0" w:space="0" w:color="auto"/>
                  </w:divBdr>
                  <w:divsChild>
                    <w:div w:id="1399398333">
                      <w:marLeft w:val="0"/>
                      <w:marRight w:val="0"/>
                      <w:marTop w:val="0"/>
                      <w:marBottom w:val="0"/>
                      <w:divBdr>
                        <w:top w:val="none" w:sz="0" w:space="0" w:color="auto"/>
                        <w:left w:val="none" w:sz="0" w:space="0" w:color="auto"/>
                        <w:bottom w:val="none" w:sz="0" w:space="0" w:color="auto"/>
                        <w:right w:val="none" w:sz="0" w:space="0" w:color="auto"/>
                      </w:divBdr>
                    </w:div>
                  </w:divsChild>
                </w:div>
                <w:div w:id="674963726">
                  <w:marLeft w:val="0"/>
                  <w:marRight w:val="0"/>
                  <w:marTop w:val="0"/>
                  <w:marBottom w:val="0"/>
                  <w:divBdr>
                    <w:top w:val="none" w:sz="0" w:space="0" w:color="auto"/>
                    <w:left w:val="none" w:sz="0" w:space="0" w:color="auto"/>
                    <w:bottom w:val="none" w:sz="0" w:space="0" w:color="auto"/>
                    <w:right w:val="none" w:sz="0" w:space="0" w:color="auto"/>
                  </w:divBdr>
                  <w:divsChild>
                    <w:div w:id="1699236757">
                      <w:marLeft w:val="0"/>
                      <w:marRight w:val="0"/>
                      <w:marTop w:val="0"/>
                      <w:marBottom w:val="0"/>
                      <w:divBdr>
                        <w:top w:val="none" w:sz="0" w:space="0" w:color="auto"/>
                        <w:left w:val="none" w:sz="0" w:space="0" w:color="auto"/>
                        <w:bottom w:val="none" w:sz="0" w:space="0" w:color="auto"/>
                        <w:right w:val="none" w:sz="0" w:space="0" w:color="auto"/>
                      </w:divBdr>
                    </w:div>
                  </w:divsChild>
                </w:div>
                <w:div w:id="675107831">
                  <w:marLeft w:val="0"/>
                  <w:marRight w:val="0"/>
                  <w:marTop w:val="0"/>
                  <w:marBottom w:val="0"/>
                  <w:divBdr>
                    <w:top w:val="none" w:sz="0" w:space="0" w:color="auto"/>
                    <w:left w:val="none" w:sz="0" w:space="0" w:color="auto"/>
                    <w:bottom w:val="none" w:sz="0" w:space="0" w:color="auto"/>
                    <w:right w:val="none" w:sz="0" w:space="0" w:color="auto"/>
                  </w:divBdr>
                  <w:divsChild>
                    <w:div w:id="957102812">
                      <w:marLeft w:val="0"/>
                      <w:marRight w:val="0"/>
                      <w:marTop w:val="0"/>
                      <w:marBottom w:val="0"/>
                      <w:divBdr>
                        <w:top w:val="none" w:sz="0" w:space="0" w:color="auto"/>
                        <w:left w:val="none" w:sz="0" w:space="0" w:color="auto"/>
                        <w:bottom w:val="none" w:sz="0" w:space="0" w:color="auto"/>
                        <w:right w:val="none" w:sz="0" w:space="0" w:color="auto"/>
                      </w:divBdr>
                    </w:div>
                  </w:divsChild>
                </w:div>
                <w:div w:id="675351622">
                  <w:marLeft w:val="0"/>
                  <w:marRight w:val="0"/>
                  <w:marTop w:val="0"/>
                  <w:marBottom w:val="0"/>
                  <w:divBdr>
                    <w:top w:val="none" w:sz="0" w:space="0" w:color="auto"/>
                    <w:left w:val="none" w:sz="0" w:space="0" w:color="auto"/>
                    <w:bottom w:val="none" w:sz="0" w:space="0" w:color="auto"/>
                    <w:right w:val="none" w:sz="0" w:space="0" w:color="auto"/>
                  </w:divBdr>
                  <w:divsChild>
                    <w:div w:id="1708555661">
                      <w:marLeft w:val="0"/>
                      <w:marRight w:val="0"/>
                      <w:marTop w:val="0"/>
                      <w:marBottom w:val="0"/>
                      <w:divBdr>
                        <w:top w:val="none" w:sz="0" w:space="0" w:color="auto"/>
                        <w:left w:val="none" w:sz="0" w:space="0" w:color="auto"/>
                        <w:bottom w:val="none" w:sz="0" w:space="0" w:color="auto"/>
                        <w:right w:val="none" w:sz="0" w:space="0" w:color="auto"/>
                      </w:divBdr>
                    </w:div>
                  </w:divsChild>
                </w:div>
                <w:div w:id="684139987">
                  <w:marLeft w:val="0"/>
                  <w:marRight w:val="0"/>
                  <w:marTop w:val="0"/>
                  <w:marBottom w:val="0"/>
                  <w:divBdr>
                    <w:top w:val="none" w:sz="0" w:space="0" w:color="auto"/>
                    <w:left w:val="none" w:sz="0" w:space="0" w:color="auto"/>
                    <w:bottom w:val="none" w:sz="0" w:space="0" w:color="auto"/>
                    <w:right w:val="none" w:sz="0" w:space="0" w:color="auto"/>
                  </w:divBdr>
                  <w:divsChild>
                    <w:div w:id="11928857">
                      <w:marLeft w:val="0"/>
                      <w:marRight w:val="0"/>
                      <w:marTop w:val="0"/>
                      <w:marBottom w:val="0"/>
                      <w:divBdr>
                        <w:top w:val="none" w:sz="0" w:space="0" w:color="auto"/>
                        <w:left w:val="none" w:sz="0" w:space="0" w:color="auto"/>
                        <w:bottom w:val="none" w:sz="0" w:space="0" w:color="auto"/>
                        <w:right w:val="none" w:sz="0" w:space="0" w:color="auto"/>
                      </w:divBdr>
                    </w:div>
                  </w:divsChild>
                </w:div>
                <w:div w:id="688915602">
                  <w:marLeft w:val="0"/>
                  <w:marRight w:val="0"/>
                  <w:marTop w:val="0"/>
                  <w:marBottom w:val="0"/>
                  <w:divBdr>
                    <w:top w:val="none" w:sz="0" w:space="0" w:color="auto"/>
                    <w:left w:val="none" w:sz="0" w:space="0" w:color="auto"/>
                    <w:bottom w:val="none" w:sz="0" w:space="0" w:color="auto"/>
                    <w:right w:val="none" w:sz="0" w:space="0" w:color="auto"/>
                  </w:divBdr>
                  <w:divsChild>
                    <w:div w:id="2085951888">
                      <w:marLeft w:val="0"/>
                      <w:marRight w:val="0"/>
                      <w:marTop w:val="0"/>
                      <w:marBottom w:val="0"/>
                      <w:divBdr>
                        <w:top w:val="none" w:sz="0" w:space="0" w:color="auto"/>
                        <w:left w:val="none" w:sz="0" w:space="0" w:color="auto"/>
                        <w:bottom w:val="none" w:sz="0" w:space="0" w:color="auto"/>
                        <w:right w:val="none" w:sz="0" w:space="0" w:color="auto"/>
                      </w:divBdr>
                    </w:div>
                  </w:divsChild>
                </w:div>
                <w:div w:id="690761879">
                  <w:marLeft w:val="0"/>
                  <w:marRight w:val="0"/>
                  <w:marTop w:val="0"/>
                  <w:marBottom w:val="0"/>
                  <w:divBdr>
                    <w:top w:val="none" w:sz="0" w:space="0" w:color="auto"/>
                    <w:left w:val="none" w:sz="0" w:space="0" w:color="auto"/>
                    <w:bottom w:val="none" w:sz="0" w:space="0" w:color="auto"/>
                    <w:right w:val="none" w:sz="0" w:space="0" w:color="auto"/>
                  </w:divBdr>
                  <w:divsChild>
                    <w:div w:id="1841043919">
                      <w:marLeft w:val="0"/>
                      <w:marRight w:val="0"/>
                      <w:marTop w:val="0"/>
                      <w:marBottom w:val="0"/>
                      <w:divBdr>
                        <w:top w:val="none" w:sz="0" w:space="0" w:color="auto"/>
                        <w:left w:val="none" w:sz="0" w:space="0" w:color="auto"/>
                        <w:bottom w:val="none" w:sz="0" w:space="0" w:color="auto"/>
                        <w:right w:val="none" w:sz="0" w:space="0" w:color="auto"/>
                      </w:divBdr>
                    </w:div>
                  </w:divsChild>
                </w:div>
                <w:div w:id="692652249">
                  <w:marLeft w:val="0"/>
                  <w:marRight w:val="0"/>
                  <w:marTop w:val="0"/>
                  <w:marBottom w:val="0"/>
                  <w:divBdr>
                    <w:top w:val="none" w:sz="0" w:space="0" w:color="auto"/>
                    <w:left w:val="none" w:sz="0" w:space="0" w:color="auto"/>
                    <w:bottom w:val="none" w:sz="0" w:space="0" w:color="auto"/>
                    <w:right w:val="none" w:sz="0" w:space="0" w:color="auto"/>
                  </w:divBdr>
                  <w:divsChild>
                    <w:div w:id="1311519739">
                      <w:marLeft w:val="0"/>
                      <w:marRight w:val="0"/>
                      <w:marTop w:val="0"/>
                      <w:marBottom w:val="0"/>
                      <w:divBdr>
                        <w:top w:val="none" w:sz="0" w:space="0" w:color="auto"/>
                        <w:left w:val="none" w:sz="0" w:space="0" w:color="auto"/>
                        <w:bottom w:val="none" w:sz="0" w:space="0" w:color="auto"/>
                        <w:right w:val="none" w:sz="0" w:space="0" w:color="auto"/>
                      </w:divBdr>
                    </w:div>
                  </w:divsChild>
                </w:div>
                <w:div w:id="697387431">
                  <w:marLeft w:val="0"/>
                  <w:marRight w:val="0"/>
                  <w:marTop w:val="0"/>
                  <w:marBottom w:val="0"/>
                  <w:divBdr>
                    <w:top w:val="none" w:sz="0" w:space="0" w:color="auto"/>
                    <w:left w:val="none" w:sz="0" w:space="0" w:color="auto"/>
                    <w:bottom w:val="none" w:sz="0" w:space="0" w:color="auto"/>
                    <w:right w:val="none" w:sz="0" w:space="0" w:color="auto"/>
                  </w:divBdr>
                  <w:divsChild>
                    <w:div w:id="859587516">
                      <w:marLeft w:val="0"/>
                      <w:marRight w:val="0"/>
                      <w:marTop w:val="0"/>
                      <w:marBottom w:val="0"/>
                      <w:divBdr>
                        <w:top w:val="none" w:sz="0" w:space="0" w:color="auto"/>
                        <w:left w:val="none" w:sz="0" w:space="0" w:color="auto"/>
                        <w:bottom w:val="none" w:sz="0" w:space="0" w:color="auto"/>
                        <w:right w:val="none" w:sz="0" w:space="0" w:color="auto"/>
                      </w:divBdr>
                    </w:div>
                  </w:divsChild>
                </w:div>
                <w:div w:id="722404994">
                  <w:marLeft w:val="0"/>
                  <w:marRight w:val="0"/>
                  <w:marTop w:val="0"/>
                  <w:marBottom w:val="0"/>
                  <w:divBdr>
                    <w:top w:val="none" w:sz="0" w:space="0" w:color="auto"/>
                    <w:left w:val="none" w:sz="0" w:space="0" w:color="auto"/>
                    <w:bottom w:val="none" w:sz="0" w:space="0" w:color="auto"/>
                    <w:right w:val="none" w:sz="0" w:space="0" w:color="auto"/>
                  </w:divBdr>
                  <w:divsChild>
                    <w:div w:id="1209148947">
                      <w:marLeft w:val="0"/>
                      <w:marRight w:val="0"/>
                      <w:marTop w:val="0"/>
                      <w:marBottom w:val="0"/>
                      <w:divBdr>
                        <w:top w:val="none" w:sz="0" w:space="0" w:color="auto"/>
                        <w:left w:val="none" w:sz="0" w:space="0" w:color="auto"/>
                        <w:bottom w:val="none" w:sz="0" w:space="0" w:color="auto"/>
                        <w:right w:val="none" w:sz="0" w:space="0" w:color="auto"/>
                      </w:divBdr>
                    </w:div>
                  </w:divsChild>
                </w:div>
                <w:div w:id="723218462">
                  <w:marLeft w:val="0"/>
                  <w:marRight w:val="0"/>
                  <w:marTop w:val="0"/>
                  <w:marBottom w:val="0"/>
                  <w:divBdr>
                    <w:top w:val="none" w:sz="0" w:space="0" w:color="auto"/>
                    <w:left w:val="none" w:sz="0" w:space="0" w:color="auto"/>
                    <w:bottom w:val="none" w:sz="0" w:space="0" w:color="auto"/>
                    <w:right w:val="none" w:sz="0" w:space="0" w:color="auto"/>
                  </w:divBdr>
                  <w:divsChild>
                    <w:div w:id="943226433">
                      <w:marLeft w:val="0"/>
                      <w:marRight w:val="0"/>
                      <w:marTop w:val="0"/>
                      <w:marBottom w:val="0"/>
                      <w:divBdr>
                        <w:top w:val="none" w:sz="0" w:space="0" w:color="auto"/>
                        <w:left w:val="none" w:sz="0" w:space="0" w:color="auto"/>
                        <w:bottom w:val="none" w:sz="0" w:space="0" w:color="auto"/>
                        <w:right w:val="none" w:sz="0" w:space="0" w:color="auto"/>
                      </w:divBdr>
                    </w:div>
                  </w:divsChild>
                </w:div>
                <w:div w:id="742600635">
                  <w:marLeft w:val="0"/>
                  <w:marRight w:val="0"/>
                  <w:marTop w:val="0"/>
                  <w:marBottom w:val="0"/>
                  <w:divBdr>
                    <w:top w:val="none" w:sz="0" w:space="0" w:color="auto"/>
                    <w:left w:val="none" w:sz="0" w:space="0" w:color="auto"/>
                    <w:bottom w:val="none" w:sz="0" w:space="0" w:color="auto"/>
                    <w:right w:val="none" w:sz="0" w:space="0" w:color="auto"/>
                  </w:divBdr>
                  <w:divsChild>
                    <w:div w:id="1293484480">
                      <w:marLeft w:val="0"/>
                      <w:marRight w:val="0"/>
                      <w:marTop w:val="0"/>
                      <w:marBottom w:val="0"/>
                      <w:divBdr>
                        <w:top w:val="none" w:sz="0" w:space="0" w:color="auto"/>
                        <w:left w:val="none" w:sz="0" w:space="0" w:color="auto"/>
                        <w:bottom w:val="none" w:sz="0" w:space="0" w:color="auto"/>
                        <w:right w:val="none" w:sz="0" w:space="0" w:color="auto"/>
                      </w:divBdr>
                    </w:div>
                  </w:divsChild>
                </w:div>
                <w:div w:id="744693514">
                  <w:marLeft w:val="0"/>
                  <w:marRight w:val="0"/>
                  <w:marTop w:val="0"/>
                  <w:marBottom w:val="0"/>
                  <w:divBdr>
                    <w:top w:val="none" w:sz="0" w:space="0" w:color="auto"/>
                    <w:left w:val="none" w:sz="0" w:space="0" w:color="auto"/>
                    <w:bottom w:val="none" w:sz="0" w:space="0" w:color="auto"/>
                    <w:right w:val="none" w:sz="0" w:space="0" w:color="auto"/>
                  </w:divBdr>
                  <w:divsChild>
                    <w:div w:id="1978955121">
                      <w:marLeft w:val="0"/>
                      <w:marRight w:val="0"/>
                      <w:marTop w:val="0"/>
                      <w:marBottom w:val="0"/>
                      <w:divBdr>
                        <w:top w:val="none" w:sz="0" w:space="0" w:color="auto"/>
                        <w:left w:val="none" w:sz="0" w:space="0" w:color="auto"/>
                        <w:bottom w:val="none" w:sz="0" w:space="0" w:color="auto"/>
                        <w:right w:val="none" w:sz="0" w:space="0" w:color="auto"/>
                      </w:divBdr>
                    </w:div>
                  </w:divsChild>
                </w:div>
                <w:div w:id="767580209">
                  <w:marLeft w:val="0"/>
                  <w:marRight w:val="0"/>
                  <w:marTop w:val="0"/>
                  <w:marBottom w:val="0"/>
                  <w:divBdr>
                    <w:top w:val="none" w:sz="0" w:space="0" w:color="auto"/>
                    <w:left w:val="none" w:sz="0" w:space="0" w:color="auto"/>
                    <w:bottom w:val="none" w:sz="0" w:space="0" w:color="auto"/>
                    <w:right w:val="none" w:sz="0" w:space="0" w:color="auto"/>
                  </w:divBdr>
                  <w:divsChild>
                    <w:div w:id="1654942545">
                      <w:marLeft w:val="0"/>
                      <w:marRight w:val="0"/>
                      <w:marTop w:val="0"/>
                      <w:marBottom w:val="0"/>
                      <w:divBdr>
                        <w:top w:val="none" w:sz="0" w:space="0" w:color="auto"/>
                        <w:left w:val="none" w:sz="0" w:space="0" w:color="auto"/>
                        <w:bottom w:val="none" w:sz="0" w:space="0" w:color="auto"/>
                        <w:right w:val="none" w:sz="0" w:space="0" w:color="auto"/>
                      </w:divBdr>
                    </w:div>
                  </w:divsChild>
                </w:div>
                <w:div w:id="775750818">
                  <w:marLeft w:val="0"/>
                  <w:marRight w:val="0"/>
                  <w:marTop w:val="0"/>
                  <w:marBottom w:val="0"/>
                  <w:divBdr>
                    <w:top w:val="none" w:sz="0" w:space="0" w:color="auto"/>
                    <w:left w:val="none" w:sz="0" w:space="0" w:color="auto"/>
                    <w:bottom w:val="none" w:sz="0" w:space="0" w:color="auto"/>
                    <w:right w:val="none" w:sz="0" w:space="0" w:color="auto"/>
                  </w:divBdr>
                  <w:divsChild>
                    <w:div w:id="926883339">
                      <w:marLeft w:val="0"/>
                      <w:marRight w:val="0"/>
                      <w:marTop w:val="0"/>
                      <w:marBottom w:val="0"/>
                      <w:divBdr>
                        <w:top w:val="none" w:sz="0" w:space="0" w:color="auto"/>
                        <w:left w:val="none" w:sz="0" w:space="0" w:color="auto"/>
                        <w:bottom w:val="none" w:sz="0" w:space="0" w:color="auto"/>
                        <w:right w:val="none" w:sz="0" w:space="0" w:color="auto"/>
                      </w:divBdr>
                    </w:div>
                  </w:divsChild>
                </w:div>
                <w:div w:id="775950183">
                  <w:marLeft w:val="0"/>
                  <w:marRight w:val="0"/>
                  <w:marTop w:val="0"/>
                  <w:marBottom w:val="0"/>
                  <w:divBdr>
                    <w:top w:val="none" w:sz="0" w:space="0" w:color="auto"/>
                    <w:left w:val="none" w:sz="0" w:space="0" w:color="auto"/>
                    <w:bottom w:val="none" w:sz="0" w:space="0" w:color="auto"/>
                    <w:right w:val="none" w:sz="0" w:space="0" w:color="auto"/>
                  </w:divBdr>
                  <w:divsChild>
                    <w:div w:id="976370893">
                      <w:marLeft w:val="0"/>
                      <w:marRight w:val="0"/>
                      <w:marTop w:val="0"/>
                      <w:marBottom w:val="0"/>
                      <w:divBdr>
                        <w:top w:val="none" w:sz="0" w:space="0" w:color="auto"/>
                        <w:left w:val="none" w:sz="0" w:space="0" w:color="auto"/>
                        <w:bottom w:val="none" w:sz="0" w:space="0" w:color="auto"/>
                        <w:right w:val="none" w:sz="0" w:space="0" w:color="auto"/>
                      </w:divBdr>
                    </w:div>
                  </w:divsChild>
                </w:div>
                <w:div w:id="780802962">
                  <w:marLeft w:val="0"/>
                  <w:marRight w:val="0"/>
                  <w:marTop w:val="0"/>
                  <w:marBottom w:val="0"/>
                  <w:divBdr>
                    <w:top w:val="none" w:sz="0" w:space="0" w:color="auto"/>
                    <w:left w:val="none" w:sz="0" w:space="0" w:color="auto"/>
                    <w:bottom w:val="none" w:sz="0" w:space="0" w:color="auto"/>
                    <w:right w:val="none" w:sz="0" w:space="0" w:color="auto"/>
                  </w:divBdr>
                  <w:divsChild>
                    <w:div w:id="394934878">
                      <w:marLeft w:val="0"/>
                      <w:marRight w:val="0"/>
                      <w:marTop w:val="0"/>
                      <w:marBottom w:val="0"/>
                      <w:divBdr>
                        <w:top w:val="none" w:sz="0" w:space="0" w:color="auto"/>
                        <w:left w:val="none" w:sz="0" w:space="0" w:color="auto"/>
                        <w:bottom w:val="none" w:sz="0" w:space="0" w:color="auto"/>
                        <w:right w:val="none" w:sz="0" w:space="0" w:color="auto"/>
                      </w:divBdr>
                    </w:div>
                  </w:divsChild>
                </w:div>
                <w:div w:id="794561778">
                  <w:marLeft w:val="0"/>
                  <w:marRight w:val="0"/>
                  <w:marTop w:val="0"/>
                  <w:marBottom w:val="0"/>
                  <w:divBdr>
                    <w:top w:val="none" w:sz="0" w:space="0" w:color="auto"/>
                    <w:left w:val="none" w:sz="0" w:space="0" w:color="auto"/>
                    <w:bottom w:val="none" w:sz="0" w:space="0" w:color="auto"/>
                    <w:right w:val="none" w:sz="0" w:space="0" w:color="auto"/>
                  </w:divBdr>
                  <w:divsChild>
                    <w:div w:id="545994350">
                      <w:marLeft w:val="0"/>
                      <w:marRight w:val="0"/>
                      <w:marTop w:val="0"/>
                      <w:marBottom w:val="0"/>
                      <w:divBdr>
                        <w:top w:val="none" w:sz="0" w:space="0" w:color="auto"/>
                        <w:left w:val="none" w:sz="0" w:space="0" w:color="auto"/>
                        <w:bottom w:val="none" w:sz="0" w:space="0" w:color="auto"/>
                        <w:right w:val="none" w:sz="0" w:space="0" w:color="auto"/>
                      </w:divBdr>
                    </w:div>
                  </w:divsChild>
                </w:div>
                <w:div w:id="805397387">
                  <w:marLeft w:val="0"/>
                  <w:marRight w:val="0"/>
                  <w:marTop w:val="0"/>
                  <w:marBottom w:val="0"/>
                  <w:divBdr>
                    <w:top w:val="none" w:sz="0" w:space="0" w:color="auto"/>
                    <w:left w:val="none" w:sz="0" w:space="0" w:color="auto"/>
                    <w:bottom w:val="none" w:sz="0" w:space="0" w:color="auto"/>
                    <w:right w:val="none" w:sz="0" w:space="0" w:color="auto"/>
                  </w:divBdr>
                  <w:divsChild>
                    <w:div w:id="1595554771">
                      <w:marLeft w:val="0"/>
                      <w:marRight w:val="0"/>
                      <w:marTop w:val="0"/>
                      <w:marBottom w:val="0"/>
                      <w:divBdr>
                        <w:top w:val="none" w:sz="0" w:space="0" w:color="auto"/>
                        <w:left w:val="none" w:sz="0" w:space="0" w:color="auto"/>
                        <w:bottom w:val="none" w:sz="0" w:space="0" w:color="auto"/>
                        <w:right w:val="none" w:sz="0" w:space="0" w:color="auto"/>
                      </w:divBdr>
                    </w:div>
                  </w:divsChild>
                </w:div>
                <w:div w:id="806364564">
                  <w:marLeft w:val="0"/>
                  <w:marRight w:val="0"/>
                  <w:marTop w:val="0"/>
                  <w:marBottom w:val="0"/>
                  <w:divBdr>
                    <w:top w:val="none" w:sz="0" w:space="0" w:color="auto"/>
                    <w:left w:val="none" w:sz="0" w:space="0" w:color="auto"/>
                    <w:bottom w:val="none" w:sz="0" w:space="0" w:color="auto"/>
                    <w:right w:val="none" w:sz="0" w:space="0" w:color="auto"/>
                  </w:divBdr>
                  <w:divsChild>
                    <w:div w:id="927732675">
                      <w:marLeft w:val="0"/>
                      <w:marRight w:val="0"/>
                      <w:marTop w:val="0"/>
                      <w:marBottom w:val="0"/>
                      <w:divBdr>
                        <w:top w:val="none" w:sz="0" w:space="0" w:color="auto"/>
                        <w:left w:val="none" w:sz="0" w:space="0" w:color="auto"/>
                        <w:bottom w:val="none" w:sz="0" w:space="0" w:color="auto"/>
                        <w:right w:val="none" w:sz="0" w:space="0" w:color="auto"/>
                      </w:divBdr>
                    </w:div>
                  </w:divsChild>
                </w:div>
                <w:div w:id="815561390">
                  <w:marLeft w:val="0"/>
                  <w:marRight w:val="0"/>
                  <w:marTop w:val="0"/>
                  <w:marBottom w:val="0"/>
                  <w:divBdr>
                    <w:top w:val="none" w:sz="0" w:space="0" w:color="auto"/>
                    <w:left w:val="none" w:sz="0" w:space="0" w:color="auto"/>
                    <w:bottom w:val="none" w:sz="0" w:space="0" w:color="auto"/>
                    <w:right w:val="none" w:sz="0" w:space="0" w:color="auto"/>
                  </w:divBdr>
                  <w:divsChild>
                    <w:div w:id="955523839">
                      <w:marLeft w:val="0"/>
                      <w:marRight w:val="0"/>
                      <w:marTop w:val="0"/>
                      <w:marBottom w:val="0"/>
                      <w:divBdr>
                        <w:top w:val="none" w:sz="0" w:space="0" w:color="auto"/>
                        <w:left w:val="none" w:sz="0" w:space="0" w:color="auto"/>
                        <w:bottom w:val="none" w:sz="0" w:space="0" w:color="auto"/>
                        <w:right w:val="none" w:sz="0" w:space="0" w:color="auto"/>
                      </w:divBdr>
                    </w:div>
                  </w:divsChild>
                </w:div>
                <w:div w:id="818233955">
                  <w:marLeft w:val="0"/>
                  <w:marRight w:val="0"/>
                  <w:marTop w:val="0"/>
                  <w:marBottom w:val="0"/>
                  <w:divBdr>
                    <w:top w:val="none" w:sz="0" w:space="0" w:color="auto"/>
                    <w:left w:val="none" w:sz="0" w:space="0" w:color="auto"/>
                    <w:bottom w:val="none" w:sz="0" w:space="0" w:color="auto"/>
                    <w:right w:val="none" w:sz="0" w:space="0" w:color="auto"/>
                  </w:divBdr>
                  <w:divsChild>
                    <w:div w:id="1924339965">
                      <w:marLeft w:val="0"/>
                      <w:marRight w:val="0"/>
                      <w:marTop w:val="0"/>
                      <w:marBottom w:val="0"/>
                      <w:divBdr>
                        <w:top w:val="none" w:sz="0" w:space="0" w:color="auto"/>
                        <w:left w:val="none" w:sz="0" w:space="0" w:color="auto"/>
                        <w:bottom w:val="none" w:sz="0" w:space="0" w:color="auto"/>
                        <w:right w:val="none" w:sz="0" w:space="0" w:color="auto"/>
                      </w:divBdr>
                    </w:div>
                  </w:divsChild>
                </w:div>
                <w:div w:id="818612004">
                  <w:marLeft w:val="0"/>
                  <w:marRight w:val="0"/>
                  <w:marTop w:val="0"/>
                  <w:marBottom w:val="0"/>
                  <w:divBdr>
                    <w:top w:val="none" w:sz="0" w:space="0" w:color="auto"/>
                    <w:left w:val="none" w:sz="0" w:space="0" w:color="auto"/>
                    <w:bottom w:val="none" w:sz="0" w:space="0" w:color="auto"/>
                    <w:right w:val="none" w:sz="0" w:space="0" w:color="auto"/>
                  </w:divBdr>
                  <w:divsChild>
                    <w:div w:id="804548183">
                      <w:marLeft w:val="0"/>
                      <w:marRight w:val="0"/>
                      <w:marTop w:val="0"/>
                      <w:marBottom w:val="0"/>
                      <w:divBdr>
                        <w:top w:val="none" w:sz="0" w:space="0" w:color="auto"/>
                        <w:left w:val="none" w:sz="0" w:space="0" w:color="auto"/>
                        <w:bottom w:val="none" w:sz="0" w:space="0" w:color="auto"/>
                        <w:right w:val="none" w:sz="0" w:space="0" w:color="auto"/>
                      </w:divBdr>
                    </w:div>
                  </w:divsChild>
                </w:div>
                <w:div w:id="843209916">
                  <w:marLeft w:val="0"/>
                  <w:marRight w:val="0"/>
                  <w:marTop w:val="0"/>
                  <w:marBottom w:val="0"/>
                  <w:divBdr>
                    <w:top w:val="none" w:sz="0" w:space="0" w:color="auto"/>
                    <w:left w:val="none" w:sz="0" w:space="0" w:color="auto"/>
                    <w:bottom w:val="none" w:sz="0" w:space="0" w:color="auto"/>
                    <w:right w:val="none" w:sz="0" w:space="0" w:color="auto"/>
                  </w:divBdr>
                  <w:divsChild>
                    <w:div w:id="1768115994">
                      <w:marLeft w:val="0"/>
                      <w:marRight w:val="0"/>
                      <w:marTop w:val="0"/>
                      <w:marBottom w:val="0"/>
                      <w:divBdr>
                        <w:top w:val="none" w:sz="0" w:space="0" w:color="auto"/>
                        <w:left w:val="none" w:sz="0" w:space="0" w:color="auto"/>
                        <w:bottom w:val="none" w:sz="0" w:space="0" w:color="auto"/>
                        <w:right w:val="none" w:sz="0" w:space="0" w:color="auto"/>
                      </w:divBdr>
                    </w:div>
                  </w:divsChild>
                </w:div>
                <w:div w:id="859974541">
                  <w:marLeft w:val="0"/>
                  <w:marRight w:val="0"/>
                  <w:marTop w:val="0"/>
                  <w:marBottom w:val="0"/>
                  <w:divBdr>
                    <w:top w:val="none" w:sz="0" w:space="0" w:color="auto"/>
                    <w:left w:val="none" w:sz="0" w:space="0" w:color="auto"/>
                    <w:bottom w:val="none" w:sz="0" w:space="0" w:color="auto"/>
                    <w:right w:val="none" w:sz="0" w:space="0" w:color="auto"/>
                  </w:divBdr>
                  <w:divsChild>
                    <w:div w:id="445730809">
                      <w:marLeft w:val="0"/>
                      <w:marRight w:val="0"/>
                      <w:marTop w:val="0"/>
                      <w:marBottom w:val="0"/>
                      <w:divBdr>
                        <w:top w:val="none" w:sz="0" w:space="0" w:color="auto"/>
                        <w:left w:val="none" w:sz="0" w:space="0" w:color="auto"/>
                        <w:bottom w:val="none" w:sz="0" w:space="0" w:color="auto"/>
                        <w:right w:val="none" w:sz="0" w:space="0" w:color="auto"/>
                      </w:divBdr>
                    </w:div>
                  </w:divsChild>
                </w:div>
                <w:div w:id="868835993">
                  <w:marLeft w:val="0"/>
                  <w:marRight w:val="0"/>
                  <w:marTop w:val="0"/>
                  <w:marBottom w:val="0"/>
                  <w:divBdr>
                    <w:top w:val="none" w:sz="0" w:space="0" w:color="auto"/>
                    <w:left w:val="none" w:sz="0" w:space="0" w:color="auto"/>
                    <w:bottom w:val="none" w:sz="0" w:space="0" w:color="auto"/>
                    <w:right w:val="none" w:sz="0" w:space="0" w:color="auto"/>
                  </w:divBdr>
                  <w:divsChild>
                    <w:div w:id="1034036321">
                      <w:marLeft w:val="0"/>
                      <w:marRight w:val="0"/>
                      <w:marTop w:val="0"/>
                      <w:marBottom w:val="0"/>
                      <w:divBdr>
                        <w:top w:val="none" w:sz="0" w:space="0" w:color="auto"/>
                        <w:left w:val="none" w:sz="0" w:space="0" w:color="auto"/>
                        <w:bottom w:val="none" w:sz="0" w:space="0" w:color="auto"/>
                        <w:right w:val="none" w:sz="0" w:space="0" w:color="auto"/>
                      </w:divBdr>
                    </w:div>
                  </w:divsChild>
                </w:div>
                <w:div w:id="869343386">
                  <w:marLeft w:val="0"/>
                  <w:marRight w:val="0"/>
                  <w:marTop w:val="0"/>
                  <w:marBottom w:val="0"/>
                  <w:divBdr>
                    <w:top w:val="none" w:sz="0" w:space="0" w:color="auto"/>
                    <w:left w:val="none" w:sz="0" w:space="0" w:color="auto"/>
                    <w:bottom w:val="none" w:sz="0" w:space="0" w:color="auto"/>
                    <w:right w:val="none" w:sz="0" w:space="0" w:color="auto"/>
                  </w:divBdr>
                  <w:divsChild>
                    <w:div w:id="1471753804">
                      <w:marLeft w:val="0"/>
                      <w:marRight w:val="0"/>
                      <w:marTop w:val="0"/>
                      <w:marBottom w:val="0"/>
                      <w:divBdr>
                        <w:top w:val="none" w:sz="0" w:space="0" w:color="auto"/>
                        <w:left w:val="none" w:sz="0" w:space="0" w:color="auto"/>
                        <w:bottom w:val="none" w:sz="0" w:space="0" w:color="auto"/>
                        <w:right w:val="none" w:sz="0" w:space="0" w:color="auto"/>
                      </w:divBdr>
                    </w:div>
                  </w:divsChild>
                </w:div>
                <w:div w:id="870726870">
                  <w:marLeft w:val="0"/>
                  <w:marRight w:val="0"/>
                  <w:marTop w:val="0"/>
                  <w:marBottom w:val="0"/>
                  <w:divBdr>
                    <w:top w:val="none" w:sz="0" w:space="0" w:color="auto"/>
                    <w:left w:val="none" w:sz="0" w:space="0" w:color="auto"/>
                    <w:bottom w:val="none" w:sz="0" w:space="0" w:color="auto"/>
                    <w:right w:val="none" w:sz="0" w:space="0" w:color="auto"/>
                  </w:divBdr>
                  <w:divsChild>
                    <w:div w:id="717707145">
                      <w:marLeft w:val="0"/>
                      <w:marRight w:val="0"/>
                      <w:marTop w:val="0"/>
                      <w:marBottom w:val="0"/>
                      <w:divBdr>
                        <w:top w:val="none" w:sz="0" w:space="0" w:color="auto"/>
                        <w:left w:val="none" w:sz="0" w:space="0" w:color="auto"/>
                        <w:bottom w:val="none" w:sz="0" w:space="0" w:color="auto"/>
                        <w:right w:val="none" w:sz="0" w:space="0" w:color="auto"/>
                      </w:divBdr>
                    </w:div>
                  </w:divsChild>
                </w:div>
                <w:div w:id="871771435">
                  <w:marLeft w:val="0"/>
                  <w:marRight w:val="0"/>
                  <w:marTop w:val="0"/>
                  <w:marBottom w:val="0"/>
                  <w:divBdr>
                    <w:top w:val="none" w:sz="0" w:space="0" w:color="auto"/>
                    <w:left w:val="none" w:sz="0" w:space="0" w:color="auto"/>
                    <w:bottom w:val="none" w:sz="0" w:space="0" w:color="auto"/>
                    <w:right w:val="none" w:sz="0" w:space="0" w:color="auto"/>
                  </w:divBdr>
                  <w:divsChild>
                    <w:div w:id="382751804">
                      <w:marLeft w:val="0"/>
                      <w:marRight w:val="0"/>
                      <w:marTop w:val="0"/>
                      <w:marBottom w:val="0"/>
                      <w:divBdr>
                        <w:top w:val="none" w:sz="0" w:space="0" w:color="auto"/>
                        <w:left w:val="none" w:sz="0" w:space="0" w:color="auto"/>
                        <w:bottom w:val="none" w:sz="0" w:space="0" w:color="auto"/>
                        <w:right w:val="none" w:sz="0" w:space="0" w:color="auto"/>
                      </w:divBdr>
                    </w:div>
                  </w:divsChild>
                </w:div>
                <w:div w:id="884440646">
                  <w:marLeft w:val="0"/>
                  <w:marRight w:val="0"/>
                  <w:marTop w:val="0"/>
                  <w:marBottom w:val="0"/>
                  <w:divBdr>
                    <w:top w:val="none" w:sz="0" w:space="0" w:color="auto"/>
                    <w:left w:val="none" w:sz="0" w:space="0" w:color="auto"/>
                    <w:bottom w:val="none" w:sz="0" w:space="0" w:color="auto"/>
                    <w:right w:val="none" w:sz="0" w:space="0" w:color="auto"/>
                  </w:divBdr>
                  <w:divsChild>
                    <w:div w:id="1367952070">
                      <w:marLeft w:val="0"/>
                      <w:marRight w:val="0"/>
                      <w:marTop w:val="0"/>
                      <w:marBottom w:val="0"/>
                      <w:divBdr>
                        <w:top w:val="none" w:sz="0" w:space="0" w:color="auto"/>
                        <w:left w:val="none" w:sz="0" w:space="0" w:color="auto"/>
                        <w:bottom w:val="none" w:sz="0" w:space="0" w:color="auto"/>
                        <w:right w:val="none" w:sz="0" w:space="0" w:color="auto"/>
                      </w:divBdr>
                    </w:div>
                  </w:divsChild>
                </w:div>
                <w:div w:id="884558103">
                  <w:marLeft w:val="0"/>
                  <w:marRight w:val="0"/>
                  <w:marTop w:val="0"/>
                  <w:marBottom w:val="0"/>
                  <w:divBdr>
                    <w:top w:val="none" w:sz="0" w:space="0" w:color="auto"/>
                    <w:left w:val="none" w:sz="0" w:space="0" w:color="auto"/>
                    <w:bottom w:val="none" w:sz="0" w:space="0" w:color="auto"/>
                    <w:right w:val="none" w:sz="0" w:space="0" w:color="auto"/>
                  </w:divBdr>
                  <w:divsChild>
                    <w:div w:id="932864075">
                      <w:marLeft w:val="0"/>
                      <w:marRight w:val="0"/>
                      <w:marTop w:val="0"/>
                      <w:marBottom w:val="0"/>
                      <w:divBdr>
                        <w:top w:val="none" w:sz="0" w:space="0" w:color="auto"/>
                        <w:left w:val="none" w:sz="0" w:space="0" w:color="auto"/>
                        <w:bottom w:val="none" w:sz="0" w:space="0" w:color="auto"/>
                        <w:right w:val="none" w:sz="0" w:space="0" w:color="auto"/>
                      </w:divBdr>
                    </w:div>
                  </w:divsChild>
                </w:div>
                <w:div w:id="892884786">
                  <w:marLeft w:val="0"/>
                  <w:marRight w:val="0"/>
                  <w:marTop w:val="0"/>
                  <w:marBottom w:val="0"/>
                  <w:divBdr>
                    <w:top w:val="none" w:sz="0" w:space="0" w:color="auto"/>
                    <w:left w:val="none" w:sz="0" w:space="0" w:color="auto"/>
                    <w:bottom w:val="none" w:sz="0" w:space="0" w:color="auto"/>
                    <w:right w:val="none" w:sz="0" w:space="0" w:color="auto"/>
                  </w:divBdr>
                  <w:divsChild>
                    <w:div w:id="966278039">
                      <w:marLeft w:val="0"/>
                      <w:marRight w:val="0"/>
                      <w:marTop w:val="0"/>
                      <w:marBottom w:val="0"/>
                      <w:divBdr>
                        <w:top w:val="none" w:sz="0" w:space="0" w:color="auto"/>
                        <w:left w:val="none" w:sz="0" w:space="0" w:color="auto"/>
                        <w:bottom w:val="none" w:sz="0" w:space="0" w:color="auto"/>
                        <w:right w:val="none" w:sz="0" w:space="0" w:color="auto"/>
                      </w:divBdr>
                    </w:div>
                  </w:divsChild>
                </w:div>
                <w:div w:id="901910460">
                  <w:marLeft w:val="0"/>
                  <w:marRight w:val="0"/>
                  <w:marTop w:val="0"/>
                  <w:marBottom w:val="0"/>
                  <w:divBdr>
                    <w:top w:val="none" w:sz="0" w:space="0" w:color="auto"/>
                    <w:left w:val="none" w:sz="0" w:space="0" w:color="auto"/>
                    <w:bottom w:val="none" w:sz="0" w:space="0" w:color="auto"/>
                    <w:right w:val="none" w:sz="0" w:space="0" w:color="auto"/>
                  </w:divBdr>
                  <w:divsChild>
                    <w:div w:id="920411300">
                      <w:marLeft w:val="0"/>
                      <w:marRight w:val="0"/>
                      <w:marTop w:val="0"/>
                      <w:marBottom w:val="0"/>
                      <w:divBdr>
                        <w:top w:val="none" w:sz="0" w:space="0" w:color="auto"/>
                        <w:left w:val="none" w:sz="0" w:space="0" w:color="auto"/>
                        <w:bottom w:val="none" w:sz="0" w:space="0" w:color="auto"/>
                        <w:right w:val="none" w:sz="0" w:space="0" w:color="auto"/>
                      </w:divBdr>
                    </w:div>
                  </w:divsChild>
                </w:div>
                <w:div w:id="910427763">
                  <w:marLeft w:val="0"/>
                  <w:marRight w:val="0"/>
                  <w:marTop w:val="0"/>
                  <w:marBottom w:val="0"/>
                  <w:divBdr>
                    <w:top w:val="none" w:sz="0" w:space="0" w:color="auto"/>
                    <w:left w:val="none" w:sz="0" w:space="0" w:color="auto"/>
                    <w:bottom w:val="none" w:sz="0" w:space="0" w:color="auto"/>
                    <w:right w:val="none" w:sz="0" w:space="0" w:color="auto"/>
                  </w:divBdr>
                  <w:divsChild>
                    <w:div w:id="453672026">
                      <w:marLeft w:val="0"/>
                      <w:marRight w:val="0"/>
                      <w:marTop w:val="0"/>
                      <w:marBottom w:val="0"/>
                      <w:divBdr>
                        <w:top w:val="none" w:sz="0" w:space="0" w:color="auto"/>
                        <w:left w:val="none" w:sz="0" w:space="0" w:color="auto"/>
                        <w:bottom w:val="none" w:sz="0" w:space="0" w:color="auto"/>
                        <w:right w:val="none" w:sz="0" w:space="0" w:color="auto"/>
                      </w:divBdr>
                    </w:div>
                  </w:divsChild>
                </w:div>
                <w:div w:id="919565247">
                  <w:marLeft w:val="0"/>
                  <w:marRight w:val="0"/>
                  <w:marTop w:val="0"/>
                  <w:marBottom w:val="0"/>
                  <w:divBdr>
                    <w:top w:val="none" w:sz="0" w:space="0" w:color="auto"/>
                    <w:left w:val="none" w:sz="0" w:space="0" w:color="auto"/>
                    <w:bottom w:val="none" w:sz="0" w:space="0" w:color="auto"/>
                    <w:right w:val="none" w:sz="0" w:space="0" w:color="auto"/>
                  </w:divBdr>
                  <w:divsChild>
                    <w:div w:id="1910379960">
                      <w:marLeft w:val="0"/>
                      <w:marRight w:val="0"/>
                      <w:marTop w:val="0"/>
                      <w:marBottom w:val="0"/>
                      <w:divBdr>
                        <w:top w:val="none" w:sz="0" w:space="0" w:color="auto"/>
                        <w:left w:val="none" w:sz="0" w:space="0" w:color="auto"/>
                        <w:bottom w:val="none" w:sz="0" w:space="0" w:color="auto"/>
                        <w:right w:val="none" w:sz="0" w:space="0" w:color="auto"/>
                      </w:divBdr>
                    </w:div>
                  </w:divsChild>
                </w:div>
                <w:div w:id="922110270">
                  <w:marLeft w:val="0"/>
                  <w:marRight w:val="0"/>
                  <w:marTop w:val="0"/>
                  <w:marBottom w:val="0"/>
                  <w:divBdr>
                    <w:top w:val="none" w:sz="0" w:space="0" w:color="auto"/>
                    <w:left w:val="none" w:sz="0" w:space="0" w:color="auto"/>
                    <w:bottom w:val="none" w:sz="0" w:space="0" w:color="auto"/>
                    <w:right w:val="none" w:sz="0" w:space="0" w:color="auto"/>
                  </w:divBdr>
                  <w:divsChild>
                    <w:div w:id="1434783182">
                      <w:marLeft w:val="0"/>
                      <w:marRight w:val="0"/>
                      <w:marTop w:val="0"/>
                      <w:marBottom w:val="0"/>
                      <w:divBdr>
                        <w:top w:val="none" w:sz="0" w:space="0" w:color="auto"/>
                        <w:left w:val="none" w:sz="0" w:space="0" w:color="auto"/>
                        <w:bottom w:val="none" w:sz="0" w:space="0" w:color="auto"/>
                        <w:right w:val="none" w:sz="0" w:space="0" w:color="auto"/>
                      </w:divBdr>
                    </w:div>
                  </w:divsChild>
                </w:div>
                <w:div w:id="925193968">
                  <w:marLeft w:val="0"/>
                  <w:marRight w:val="0"/>
                  <w:marTop w:val="0"/>
                  <w:marBottom w:val="0"/>
                  <w:divBdr>
                    <w:top w:val="none" w:sz="0" w:space="0" w:color="auto"/>
                    <w:left w:val="none" w:sz="0" w:space="0" w:color="auto"/>
                    <w:bottom w:val="none" w:sz="0" w:space="0" w:color="auto"/>
                    <w:right w:val="none" w:sz="0" w:space="0" w:color="auto"/>
                  </w:divBdr>
                  <w:divsChild>
                    <w:div w:id="1828352696">
                      <w:marLeft w:val="0"/>
                      <w:marRight w:val="0"/>
                      <w:marTop w:val="0"/>
                      <w:marBottom w:val="0"/>
                      <w:divBdr>
                        <w:top w:val="none" w:sz="0" w:space="0" w:color="auto"/>
                        <w:left w:val="none" w:sz="0" w:space="0" w:color="auto"/>
                        <w:bottom w:val="none" w:sz="0" w:space="0" w:color="auto"/>
                        <w:right w:val="none" w:sz="0" w:space="0" w:color="auto"/>
                      </w:divBdr>
                    </w:div>
                  </w:divsChild>
                </w:div>
                <w:div w:id="932857919">
                  <w:marLeft w:val="0"/>
                  <w:marRight w:val="0"/>
                  <w:marTop w:val="0"/>
                  <w:marBottom w:val="0"/>
                  <w:divBdr>
                    <w:top w:val="none" w:sz="0" w:space="0" w:color="auto"/>
                    <w:left w:val="none" w:sz="0" w:space="0" w:color="auto"/>
                    <w:bottom w:val="none" w:sz="0" w:space="0" w:color="auto"/>
                    <w:right w:val="none" w:sz="0" w:space="0" w:color="auto"/>
                  </w:divBdr>
                  <w:divsChild>
                    <w:div w:id="261911538">
                      <w:marLeft w:val="0"/>
                      <w:marRight w:val="0"/>
                      <w:marTop w:val="0"/>
                      <w:marBottom w:val="0"/>
                      <w:divBdr>
                        <w:top w:val="none" w:sz="0" w:space="0" w:color="auto"/>
                        <w:left w:val="none" w:sz="0" w:space="0" w:color="auto"/>
                        <w:bottom w:val="none" w:sz="0" w:space="0" w:color="auto"/>
                        <w:right w:val="none" w:sz="0" w:space="0" w:color="auto"/>
                      </w:divBdr>
                    </w:div>
                  </w:divsChild>
                </w:div>
                <w:div w:id="936250298">
                  <w:marLeft w:val="0"/>
                  <w:marRight w:val="0"/>
                  <w:marTop w:val="0"/>
                  <w:marBottom w:val="0"/>
                  <w:divBdr>
                    <w:top w:val="none" w:sz="0" w:space="0" w:color="auto"/>
                    <w:left w:val="none" w:sz="0" w:space="0" w:color="auto"/>
                    <w:bottom w:val="none" w:sz="0" w:space="0" w:color="auto"/>
                    <w:right w:val="none" w:sz="0" w:space="0" w:color="auto"/>
                  </w:divBdr>
                  <w:divsChild>
                    <w:div w:id="1369183839">
                      <w:marLeft w:val="0"/>
                      <w:marRight w:val="0"/>
                      <w:marTop w:val="0"/>
                      <w:marBottom w:val="0"/>
                      <w:divBdr>
                        <w:top w:val="none" w:sz="0" w:space="0" w:color="auto"/>
                        <w:left w:val="none" w:sz="0" w:space="0" w:color="auto"/>
                        <w:bottom w:val="none" w:sz="0" w:space="0" w:color="auto"/>
                        <w:right w:val="none" w:sz="0" w:space="0" w:color="auto"/>
                      </w:divBdr>
                    </w:div>
                  </w:divsChild>
                </w:div>
                <w:div w:id="942767436">
                  <w:marLeft w:val="0"/>
                  <w:marRight w:val="0"/>
                  <w:marTop w:val="0"/>
                  <w:marBottom w:val="0"/>
                  <w:divBdr>
                    <w:top w:val="none" w:sz="0" w:space="0" w:color="auto"/>
                    <w:left w:val="none" w:sz="0" w:space="0" w:color="auto"/>
                    <w:bottom w:val="none" w:sz="0" w:space="0" w:color="auto"/>
                    <w:right w:val="none" w:sz="0" w:space="0" w:color="auto"/>
                  </w:divBdr>
                  <w:divsChild>
                    <w:div w:id="1662004489">
                      <w:marLeft w:val="0"/>
                      <w:marRight w:val="0"/>
                      <w:marTop w:val="0"/>
                      <w:marBottom w:val="0"/>
                      <w:divBdr>
                        <w:top w:val="none" w:sz="0" w:space="0" w:color="auto"/>
                        <w:left w:val="none" w:sz="0" w:space="0" w:color="auto"/>
                        <w:bottom w:val="none" w:sz="0" w:space="0" w:color="auto"/>
                        <w:right w:val="none" w:sz="0" w:space="0" w:color="auto"/>
                      </w:divBdr>
                    </w:div>
                  </w:divsChild>
                </w:div>
                <w:div w:id="943422931">
                  <w:marLeft w:val="0"/>
                  <w:marRight w:val="0"/>
                  <w:marTop w:val="0"/>
                  <w:marBottom w:val="0"/>
                  <w:divBdr>
                    <w:top w:val="none" w:sz="0" w:space="0" w:color="auto"/>
                    <w:left w:val="none" w:sz="0" w:space="0" w:color="auto"/>
                    <w:bottom w:val="none" w:sz="0" w:space="0" w:color="auto"/>
                    <w:right w:val="none" w:sz="0" w:space="0" w:color="auto"/>
                  </w:divBdr>
                  <w:divsChild>
                    <w:div w:id="899898346">
                      <w:marLeft w:val="0"/>
                      <w:marRight w:val="0"/>
                      <w:marTop w:val="0"/>
                      <w:marBottom w:val="0"/>
                      <w:divBdr>
                        <w:top w:val="none" w:sz="0" w:space="0" w:color="auto"/>
                        <w:left w:val="none" w:sz="0" w:space="0" w:color="auto"/>
                        <w:bottom w:val="none" w:sz="0" w:space="0" w:color="auto"/>
                        <w:right w:val="none" w:sz="0" w:space="0" w:color="auto"/>
                      </w:divBdr>
                    </w:div>
                  </w:divsChild>
                </w:div>
                <w:div w:id="947354306">
                  <w:marLeft w:val="0"/>
                  <w:marRight w:val="0"/>
                  <w:marTop w:val="0"/>
                  <w:marBottom w:val="0"/>
                  <w:divBdr>
                    <w:top w:val="none" w:sz="0" w:space="0" w:color="auto"/>
                    <w:left w:val="none" w:sz="0" w:space="0" w:color="auto"/>
                    <w:bottom w:val="none" w:sz="0" w:space="0" w:color="auto"/>
                    <w:right w:val="none" w:sz="0" w:space="0" w:color="auto"/>
                  </w:divBdr>
                  <w:divsChild>
                    <w:div w:id="1363939757">
                      <w:marLeft w:val="0"/>
                      <w:marRight w:val="0"/>
                      <w:marTop w:val="0"/>
                      <w:marBottom w:val="0"/>
                      <w:divBdr>
                        <w:top w:val="none" w:sz="0" w:space="0" w:color="auto"/>
                        <w:left w:val="none" w:sz="0" w:space="0" w:color="auto"/>
                        <w:bottom w:val="none" w:sz="0" w:space="0" w:color="auto"/>
                        <w:right w:val="none" w:sz="0" w:space="0" w:color="auto"/>
                      </w:divBdr>
                    </w:div>
                  </w:divsChild>
                </w:div>
                <w:div w:id="961156895">
                  <w:marLeft w:val="0"/>
                  <w:marRight w:val="0"/>
                  <w:marTop w:val="0"/>
                  <w:marBottom w:val="0"/>
                  <w:divBdr>
                    <w:top w:val="none" w:sz="0" w:space="0" w:color="auto"/>
                    <w:left w:val="none" w:sz="0" w:space="0" w:color="auto"/>
                    <w:bottom w:val="none" w:sz="0" w:space="0" w:color="auto"/>
                    <w:right w:val="none" w:sz="0" w:space="0" w:color="auto"/>
                  </w:divBdr>
                  <w:divsChild>
                    <w:div w:id="1756124824">
                      <w:marLeft w:val="0"/>
                      <w:marRight w:val="0"/>
                      <w:marTop w:val="0"/>
                      <w:marBottom w:val="0"/>
                      <w:divBdr>
                        <w:top w:val="none" w:sz="0" w:space="0" w:color="auto"/>
                        <w:left w:val="none" w:sz="0" w:space="0" w:color="auto"/>
                        <w:bottom w:val="none" w:sz="0" w:space="0" w:color="auto"/>
                        <w:right w:val="none" w:sz="0" w:space="0" w:color="auto"/>
                      </w:divBdr>
                    </w:div>
                  </w:divsChild>
                </w:div>
                <w:div w:id="981809106">
                  <w:marLeft w:val="0"/>
                  <w:marRight w:val="0"/>
                  <w:marTop w:val="0"/>
                  <w:marBottom w:val="0"/>
                  <w:divBdr>
                    <w:top w:val="none" w:sz="0" w:space="0" w:color="auto"/>
                    <w:left w:val="none" w:sz="0" w:space="0" w:color="auto"/>
                    <w:bottom w:val="none" w:sz="0" w:space="0" w:color="auto"/>
                    <w:right w:val="none" w:sz="0" w:space="0" w:color="auto"/>
                  </w:divBdr>
                  <w:divsChild>
                    <w:div w:id="2021590391">
                      <w:marLeft w:val="0"/>
                      <w:marRight w:val="0"/>
                      <w:marTop w:val="0"/>
                      <w:marBottom w:val="0"/>
                      <w:divBdr>
                        <w:top w:val="none" w:sz="0" w:space="0" w:color="auto"/>
                        <w:left w:val="none" w:sz="0" w:space="0" w:color="auto"/>
                        <w:bottom w:val="none" w:sz="0" w:space="0" w:color="auto"/>
                        <w:right w:val="none" w:sz="0" w:space="0" w:color="auto"/>
                      </w:divBdr>
                    </w:div>
                  </w:divsChild>
                </w:div>
                <w:div w:id="985745567">
                  <w:marLeft w:val="0"/>
                  <w:marRight w:val="0"/>
                  <w:marTop w:val="0"/>
                  <w:marBottom w:val="0"/>
                  <w:divBdr>
                    <w:top w:val="none" w:sz="0" w:space="0" w:color="auto"/>
                    <w:left w:val="none" w:sz="0" w:space="0" w:color="auto"/>
                    <w:bottom w:val="none" w:sz="0" w:space="0" w:color="auto"/>
                    <w:right w:val="none" w:sz="0" w:space="0" w:color="auto"/>
                  </w:divBdr>
                  <w:divsChild>
                    <w:div w:id="1595162847">
                      <w:marLeft w:val="0"/>
                      <w:marRight w:val="0"/>
                      <w:marTop w:val="0"/>
                      <w:marBottom w:val="0"/>
                      <w:divBdr>
                        <w:top w:val="none" w:sz="0" w:space="0" w:color="auto"/>
                        <w:left w:val="none" w:sz="0" w:space="0" w:color="auto"/>
                        <w:bottom w:val="none" w:sz="0" w:space="0" w:color="auto"/>
                        <w:right w:val="none" w:sz="0" w:space="0" w:color="auto"/>
                      </w:divBdr>
                    </w:div>
                  </w:divsChild>
                </w:div>
                <w:div w:id="986594554">
                  <w:marLeft w:val="0"/>
                  <w:marRight w:val="0"/>
                  <w:marTop w:val="0"/>
                  <w:marBottom w:val="0"/>
                  <w:divBdr>
                    <w:top w:val="none" w:sz="0" w:space="0" w:color="auto"/>
                    <w:left w:val="none" w:sz="0" w:space="0" w:color="auto"/>
                    <w:bottom w:val="none" w:sz="0" w:space="0" w:color="auto"/>
                    <w:right w:val="none" w:sz="0" w:space="0" w:color="auto"/>
                  </w:divBdr>
                  <w:divsChild>
                    <w:div w:id="1110196630">
                      <w:marLeft w:val="0"/>
                      <w:marRight w:val="0"/>
                      <w:marTop w:val="0"/>
                      <w:marBottom w:val="0"/>
                      <w:divBdr>
                        <w:top w:val="none" w:sz="0" w:space="0" w:color="auto"/>
                        <w:left w:val="none" w:sz="0" w:space="0" w:color="auto"/>
                        <w:bottom w:val="none" w:sz="0" w:space="0" w:color="auto"/>
                        <w:right w:val="none" w:sz="0" w:space="0" w:color="auto"/>
                      </w:divBdr>
                    </w:div>
                  </w:divsChild>
                </w:div>
                <w:div w:id="988897670">
                  <w:marLeft w:val="0"/>
                  <w:marRight w:val="0"/>
                  <w:marTop w:val="0"/>
                  <w:marBottom w:val="0"/>
                  <w:divBdr>
                    <w:top w:val="none" w:sz="0" w:space="0" w:color="auto"/>
                    <w:left w:val="none" w:sz="0" w:space="0" w:color="auto"/>
                    <w:bottom w:val="none" w:sz="0" w:space="0" w:color="auto"/>
                    <w:right w:val="none" w:sz="0" w:space="0" w:color="auto"/>
                  </w:divBdr>
                  <w:divsChild>
                    <w:div w:id="1380932983">
                      <w:marLeft w:val="0"/>
                      <w:marRight w:val="0"/>
                      <w:marTop w:val="0"/>
                      <w:marBottom w:val="0"/>
                      <w:divBdr>
                        <w:top w:val="none" w:sz="0" w:space="0" w:color="auto"/>
                        <w:left w:val="none" w:sz="0" w:space="0" w:color="auto"/>
                        <w:bottom w:val="none" w:sz="0" w:space="0" w:color="auto"/>
                        <w:right w:val="none" w:sz="0" w:space="0" w:color="auto"/>
                      </w:divBdr>
                    </w:div>
                  </w:divsChild>
                </w:div>
                <w:div w:id="988941524">
                  <w:marLeft w:val="0"/>
                  <w:marRight w:val="0"/>
                  <w:marTop w:val="0"/>
                  <w:marBottom w:val="0"/>
                  <w:divBdr>
                    <w:top w:val="none" w:sz="0" w:space="0" w:color="auto"/>
                    <w:left w:val="none" w:sz="0" w:space="0" w:color="auto"/>
                    <w:bottom w:val="none" w:sz="0" w:space="0" w:color="auto"/>
                    <w:right w:val="none" w:sz="0" w:space="0" w:color="auto"/>
                  </w:divBdr>
                  <w:divsChild>
                    <w:div w:id="54359420">
                      <w:marLeft w:val="0"/>
                      <w:marRight w:val="0"/>
                      <w:marTop w:val="0"/>
                      <w:marBottom w:val="0"/>
                      <w:divBdr>
                        <w:top w:val="none" w:sz="0" w:space="0" w:color="auto"/>
                        <w:left w:val="none" w:sz="0" w:space="0" w:color="auto"/>
                        <w:bottom w:val="none" w:sz="0" w:space="0" w:color="auto"/>
                        <w:right w:val="none" w:sz="0" w:space="0" w:color="auto"/>
                      </w:divBdr>
                    </w:div>
                  </w:divsChild>
                </w:div>
                <w:div w:id="995181121">
                  <w:marLeft w:val="0"/>
                  <w:marRight w:val="0"/>
                  <w:marTop w:val="0"/>
                  <w:marBottom w:val="0"/>
                  <w:divBdr>
                    <w:top w:val="none" w:sz="0" w:space="0" w:color="auto"/>
                    <w:left w:val="none" w:sz="0" w:space="0" w:color="auto"/>
                    <w:bottom w:val="none" w:sz="0" w:space="0" w:color="auto"/>
                    <w:right w:val="none" w:sz="0" w:space="0" w:color="auto"/>
                  </w:divBdr>
                  <w:divsChild>
                    <w:div w:id="1433087481">
                      <w:marLeft w:val="0"/>
                      <w:marRight w:val="0"/>
                      <w:marTop w:val="0"/>
                      <w:marBottom w:val="0"/>
                      <w:divBdr>
                        <w:top w:val="none" w:sz="0" w:space="0" w:color="auto"/>
                        <w:left w:val="none" w:sz="0" w:space="0" w:color="auto"/>
                        <w:bottom w:val="none" w:sz="0" w:space="0" w:color="auto"/>
                        <w:right w:val="none" w:sz="0" w:space="0" w:color="auto"/>
                      </w:divBdr>
                    </w:div>
                  </w:divsChild>
                </w:div>
                <w:div w:id="995691501">
                  <w:marLeft w:val="0"/>
                  <w:marRight w:val="0"/>
                  <w:marTop w:val="0"/>
                  <w:marBottom w:val="0"/>
                  <w:divBdr>
                    <w:top w:val="none" w:sz="0" w:space="0" w:color="auto"/>
                    <w:left w:val="none" w:sz="0" w:space="0" w:color="auto"/>
                    <w:bottom w:val="none" w:sz="0" w:space="0" w:color="auto"/>
                    <w:right w:val="none" w:sz="0" w:space="0" w:color="auto"/>
                  </w:divBdr>
                  <w:divsChild>
                    <w:div w:id="131337989">
                      <w:marLeft w:val="0"/>
                      <w:marRight w:val="0"/>
                      <w:marTop w:val="0"/>
                      <w:marBottom w:val="0"/>
                      <w:divBdr>
                        <w:top w:val="none" w:sz="0" w:space="0" w:color="auto"/>
                        <w:left w:val="none" w:sz="0" w:space="0" w:color="auto"/>
                        <w:bottom w:val="none" w:sz="0" w:space="0" w:color="auto"/>
                        <w:right w:val="none" w:sz="0" w:space="0" w:color="auto"/>
                      </w:divBdr>
                    </w:div>
                  </w:divsChild>
                </w:div>
                <w:div w:id="996809065">
                  <w:marLeft w:val="0"/>
                  <w:marRight w:val="0"/>
                  <w:marTop w:val="0"/>
                  <w:marBottom w:val="0"/>
                  <w:divBdr>
                    <w:top w:val="none" w:sz="0" w:space="0" w:color="auto"/>
                    <w:left w:val="none" w:sz="0" w:space="0" w:color="auto"/>
                    <w:bottom w:val="none" w:sz="0" w:space="0" w:color="auto"/>
                    <w:right w:val="none" w:sz="0" w:space="0" w:color="auto"/>
                  </w:divBdr>
                  <w:divsChild>
                    <w:div w:id="177472213">
                      <w:marLeft w:val="0"/>
                      <w:marRight w:val="0"/>
                      <w:marTop w:val="0"/>
                      <w:marBottom w:val="0"/>
                      <w:divBdr>
                        <w:top w:val="none" w:sz="0" w:space="0" w:color="auto"/>
                        <w:left w:val="none" w:sz="0" w:space="0" w:color="auto"/>
                        <w:bottom w:val="none" w:sz="0" w:space="0" w:color="auto"/>
                        <w:right w:val="none" w:sz="0" w:space="0" w:color="auto"/>
                      </w:divBdr>
                    </w:div>
                  </w:divsChild>
                </w:div>
                <w:div w:id="1000885715">
                  <w:marLeft w:val="0"/>
                  <w:marRight w:val="0"/>
                  <w:marTop w:val="0"/>
                  <w:marBottom w:val="0"/>
                  <w:divBdr>
                    <w:top w:val="none" w:sz="0" w:space="0" w:color="auto"/>
                    <w:left w:val="none" w:sz="0" w:space="0" w:color="auto"/>
                    <w:bottom w:val="none" w:sz="0" w:space="0" w:color="auto"/>
                    <w:right w:val="none" w:sz="0" w:space="0" w:color="auto"/>
                  </w:divBdr>
                  <w:divsChild>
                    <w:div w:id="200896261">
                      <w:marLeft w:val="0"/>
                      <w:marRight w:val="0"/>
                      <w:marTop w:val="0"/>
                      <w:marBottom w:val="0"/>
                      <w:divBdr>
                        <w:top w:val="none" w:sz="0" w:space="0" w:color="auto"/>
                        <w:left w:val="none" w:sz="0" w:space="0" w:color="auto"/>
                        <w:bottom w:val="none" w:sz="0" w:space="0" w:color="auto"/>
                        <w:right w:val="none" w:sz="0" w:space="0" w:color="auto"/>
                      </w:divBdr>
                    </w:div>
                  </w:divsChild>
                </w:div>
                <w:div w:id="1020159900">
                  <w:marLeft w:val="0"/>
                  <w:marRight w:val="0"/>
                  <w:marTop w:val="0"/>
                  <w:marBottom w:val="0"/>
                  <w:divBdr>
                    <w:top w:val="none" w:sz="0" w:space="0" w:color="auto"/>
                    <w:left w:val="none" w:sz="0" w:space="0" w:color="auto"/>
                    <w:bottom w:val="none" w:sz="0" w:space="0" w:color="auto"/>
                    <w:right w:val="none" w:sz="0" w:space="0" w:color="auto"/>
                  </w:divBdr>
                  <w:divsChild>
                    <w:div w:id="1386102363">
                      <w:marLeft w:val="0"/>
                      <w:marRight w:val="0"/>
                      <w:marTop w:val="0"/>
                      <w:marBottom w:val="0"/>
                      <w:divBdr>
                        <w:top w:val="none" w:sz="0" w:space="0" w:color="auto"/>
                        <w:left w:val="none" w:sz="0" w:space="0" w:color="auto"/>
                        <w:bottom w:val="none" w:sz="0" w:space="0" w:color="auto"/>
                        <w:right w:val="none" w:sz="0" w:space="0" w:color="auto"/>
                      </w:divBdr>
                    </w:div>
                  </w:divsChild>
                </w:div>
                <w:div w:id="1020741729">
                  <w:marLeft w:val="0"/>
                  <w:marRight w:val="0"/>
                  <w:marTop w:val="0"/>
                  <w:marBottom w:val="0"/>
                  <w:divBdr>
                    <w:top w:val="none" w:sz="0" w:space="0" w:color="auto"/>
                    <w:left w:val="none" w:sz="0" w:space="0" w:color="auto"/>
                    <w:bottom w:val="none" w:sz="0" w:space="0" w:color="auto"/>
                    <w:right w:val="none" w:sz="0" w:space="0" w:color="auto"/>
                  </w:divBdr>
                  <w:divsChild>
                    <w:div w:id="364407363">
                      <w:marLeft w:val="0"/>
                      <w:marRight w:val="0"/>
                      <w:marTop w:val="0"/>
                      <w:marBottom w:val="0"/>
                      <w:divBdr>
                        <w:top w:val="none" w:sz="0" w:space="0" w:color="auto"/>
                        <w:left w:val="none" w:sz="0" w:space="0" w:color="auto"/>
                        <w:bottom w:val="none" w:sz="0" w:space="0" w:color="auto"/>
                        <w:right w:val="none" w:sz="0" w:space="0" w:color="auto"/>
                      </w:divBdr>
                    </w:div>
                  </w:divsChild>
                </w:div>
                <w:div w:id="1027757205">
                  <w:marLeft w:val="0"/>
                  <w:marRight w:val="0"/>
                  <w:marTop w:val="0"/>
                  <w:marBottom w:val="0"/>
                  <w:divBdr>
                    <w:top w:val="none" w:sz="0" w:space="0" w:color="auto"/>
                    <w:left w:val="none" w:sz="0" w:space="0" w:color="auto"/>
                    <w:bottom w:val="none" w:sz="0" w:space="0" w:color="auto"/>
                    <w:right w:val="none" w:sz="0" w:space="0" w:color="auto"/>
                  </w:divBdr>
                  <w:divsChild>
                    <w:div w:id="1695613006">
                      <w:marLeft w:val="0"/>
                      <w:marRight w:val="0"/>
                      <w:marTop w:val="0"/>
                      <w:marBottom w:val="0"/>
                      <w:divBdr>
                        <w:top w:val="none" w:sz="0" w:space="0" w:color="auto"/>
                        <w:left w:val="none" w:sz="0" w:space="0" w:color="auto"/>
                        <w:bottom w:val="none" w:sz="0" w:space="0" w:color="auto"/>
                        <w:right w:val="none" w:sz="0" w:space="0" w:color="auto"/>
                      </w:divBdr>
                    </w:div>
                  </w:divsChild>
                </w:div>
                <w:div w:id="1035155449">
                  <w:marLeft w:val="0"/>
                  <w:marRight w:val="0"/>
                  <w:marTop w:val="0"/>
                  <w:marBottom w:val="0"/>
                  <w:divBdr>
                    <w:top w:val="none" w:sz="0" w:space="0" w:color="auto"/>
                    <w:left w:val="none" w:sz="0" w:space="0" w:color="auto"/>
                    <w:bottom w:val="none" w:sz="0" w:space="0" w:color="auto"/>
                    <w:right w:val="none" w:sz="0" w:space="0" w:color="auto"/>
                  </w:divBdr>
                  <w:divsChild>
                    <w:div w:id="1425029876">
                      <w:marLeft w:val="0"/>
                      <w:marRight w:val="0"/>
                      <w:marTop w:val="0"/>
                      <w:marBottom w:val="0"/>
                      <w:divBdr>
                        <w:top w:val="none" w:sz="0" w:space="0" w:color="auto"/>
                        <w:left w:val="none" w:sz="0" w:space="0" w:color="auto"/>
                        <w:bottom w:val="none" w:sz="0" w:space="0" w:color="auto"/>
                        <w:right w:val="none" w:sz="0" w:space="0" w:color="auto"/>
                      </w:divBdr>
                    </w:div>
                  </w:divsChild>
                </w:div>
                <w:div w:id="1039090248">
                  <w:marLeft w:val="0"/>
                  <w:marRight w:val="0"/>
                  <w:marTop w:val="0"/>
                  <w:marBottom w:val="0"/>
                  <w:divBdr>
                    <w:top w:val="none" w:sz="0" w:space="0" w:color="auto"/>
                    <w:left w:val="none" w:sz="0" w:space="0" w:color="auto"/>
                    <w:bottom w:val="none" w:sz="0" w:space="0" w:color="auto"/>
                    <w:right w:val="none" w:sz="0" w:space="0" w:color="auto"/>
                  </w:divBdr>
                  <w:divsChild>
                    <w:div w:id="1404178054">
                      <w:marLeft w:val="0"/>
                      <w:marRight w:val="0"/>
                      <w:marTop w:val="0"/>
                      <w:marBottom w:val="0"/>
                      <w:divBdr>
                        <w:top w:val="none" w:sz="0" w:space="0" w:color="auto"/>
                        <w:left w:val="none" w:sz="0" w:space="0" w:color="auto"/>
                        <w:bottom w:val="none" w:sz="0" w:space="0" w:color="auto"/>
                        <w:right w:val="none" w:sz="0" w:space="0" w:color="auto"/>
                      </w:divBdr>
                    </w:div>
                  </w:divsChild>
                </w:div>
                <w:div w:id="1044597664">
                  <w:marLeft w:val="0"/>
                  <w:marRight w:val="0"/>
                  <w:marTop w:val="0"/>
                  <w:marBottom w:val="0"/>
                  <w:divBdr>
                    <w:top w:val="none" w:sz="0" w:space="0" w:color="auto"/>
                    <w:left w:val="none" w:sz="0" w:space="0" w:color="auto"/>
                    <w:bottom w:val="none" w:sz="0" w:space="0" w:color="auto"/>
                    <w:right w:val="none" w:sz="0" w:space="0" w:color="auto"/>
                  </w:divBdr>
                  <w:divsChild>
                    <w:div w:id="2079791311">
                      <w:marLeft w:val="0"/>
                      <w:marRight w:val="0"/>
                      <w:marTop w:val="0"/>
                      <w:marBottom w:val="0"/>
                      <w:divBdr>
                        <w:top w:val="none" w:sz="0" w:space="0" w:color="auto"/>
                        <w:left w:val="none" w:sz="0" w:space="0" w:color="auto"/>
                        <w:bottom w:val="none" w:sz="0" w:space="0" w:color="auto"/>
                        <w:right w:val="none" w:sz="0" w:space="0" w:color="auto"/>
                      </w:divBdr>
                    </w:div>
                  </w:divsChild>
                </w:div>
                <w:div w:id="1052074774">
                  <w:marLeft w:val="0"/>
                  <w:marRight w:val="0"/>
                  <w:marTop w:val="0"/>
                  <w:marBottom w:val="0"/>
                  <w:divBdr>
                    <w:top w:val="none" w:sz="0" w:space="0" w:color="auto"/>
                    <w:left w:val="none" w:sz="0" w:space="0" w:color="auto"/>
                    <w:bottom w:val="none" w:sz="0" w:space="0" w:color="auto"/>
                    <w:right w:val="none" w:sz="0" w:space="0" w:color="auto"/>
                  </w:divBdr>
                  <w:divsChild>
                    <w:div w:id="1636837123">
                      <w:marLeft w:val="0"/>
                      <w:marRight w:val="0"/>
                      <w:marTop w:val="0"/>
                      <w:marBottom w:val="0"/>
                      <w:divBdr>
                        <w:top w:val="none" w:sz="0" w:space="0" w:color="auto"/>
                        <w:left w:val="none" w:sz="0" w:space="0" w:color="auto"/>
                        <w:bottom w:val="none" w:sz="0" w:space="0" w:color="auto"/>
                        <w:right w:val="none" w:sz="0" w:space="0" w:color="auto"/>
                      </w:divBdr>
                    </w:div>
                  </w:divsChild>
                </w:div>
                <w:div w:id="1058823185">
                  <w:marLeft w:val="0"/>
                  <w:marRight w:val="0"/>
                  <w:marTop w:val="0"/>
                  <w:marBottom w:val="0"/>
                  <w:divBdr>
                    <w:top w:val="none" w:sz="0" w:space="0" w:color="auto"/>
                    <w:left w:val="none" w:sz="0" w:space="0" w:color="auto"/>
                    <w:bottom w:val="none" w:sz="0" w:space="0" w:color="auto"/>
                    <w:right w:val="none" w:sz="0" w:space="0" w:color="auto"/>
                  </w:divBdr>
                  <w:divsChild>
                    <w:div w:id="470824862">
                      <w:marLeft w:val="0"/>
                      <w:marRight w:val="0"/>
                      <w:marTop w:val="0"/>
                      <w:marBottom w:val="0"/>
                      <w:divBdr>
                        <w:top w:val="none" w:sz="0" w:space="0" w:color="auto"/>
                        <w:left w:val="none" w:sz="0" w:space="0" w:color="auto"/>
                        <w:bottom w:val="none" w:sz="0" w:space="0" w:color="auto"/>
                        <w:right w:val="none" w:sz="0" w:space="0" w:color="auto"/>
                      </w:divBdr>
                    </w:div>
                  </w:divsChild>
                </w:div>
                <w:div w:id="1062479827">
                  <w:marLeft w:val="0"/>
                  <w:marRight w:val="0"/>
                  <w:marTop w:val="0"/>
                  <w:marBottom w:val="0"/>
                  <w:divBdr>
                    <w:top w:val="none" w:sz="0" w:space="0" w:color="auto"/>
                    <w:left w:val="none" w:sz="0" w:space="0" w:color="auto"/>
                    <w:bottom w:val="none" w:sz="0" w:space="0" w:color="auto"/>
                    <w:right w:val="none" w:sz="0" w:space="0" w:color="auto"/>
                  </w:divBdr>
                  <w:divsChild>
                    <w:div w:id="1686711287">
                      <w:marLeft w:val="0"/>
                      <w:marRight w:val="0"/>
                      <w:marTop w:val="0"/>
                      <w:marBottom w:val="0"/>
                      <w:divBdr>
                        <w:top w:val="none" w:sz="0" w:space="0" w:color="auto"/>
                        <w:left w:val="none" w:sz="0" w:space="0" w:color="auto"/>
                        <w:bottom w:val="none" w:sz="0" w:space="0" w:color="auto"/>
                        <w:right w:val="none" w:sz="0" w:space="0" w:color="auto"/>
                      </w:divBdr>
                    </w:div>
                  </w:divsChild>
                </w:div>
                <w:div w:id="1065176487">
                  <w:marLeft w:val="0"/>
                  <w:marRight w:val="0"/>
                  <w:marTop w:val="0"/>
                  <w:marBottom w:val="0"/>
                  <w:divBdr>
                    <w:top w:val="none" w:sz="0" w:space="0" w:color="auto"/>
                    <w:left w:val="none" w:sz="0" w:space="0" w:color="auto"/>
                    <w:bottom w:val="none" w:sz="0" w:space="0" w:color="auto"/>
                    <w:right w:val="none" w:sz="0" w:space="0" w:color="auto"/>
                  </w:divBdr>
                  <w:divsChild>
                    <w:div w:id="1248729852">
                      <w:marLeft w:val="0"/>
                      <w:marRight w:val="0"/>
                      <w:marTop w:val="0"/>
                      <w:marBottom w:val="0"/>
                      <w:divBdr>
                        <w:top w:val="none" w:sz="0" w:space="0" w:color="auto"/>
                        <w:left w:val="none" w:sz="0" w:space="0" w:color="auto"/>
                        <w:bottom w:val="none" w:sz="0" w:space="0" w:color="auto"/>
                        <w:right w:val="none" w:sz="0" w:space="0" w:color="auto"/>
                      </w:divBdr>
                    </w:div>
                  </w:divsChild>
                </w:div>
                <w:div w:id="1076126231">
                  <w:marLeft w:val="0"/>
                  <w:marRight w:val="0"/>
                  <w:marTop w:val="0"/>
                  <w:marBottom w:val="0"/>
                  <w:divBdr>
                    <w:top w:val="none" w:sz="0" w:space="0" w:color="auto"/>
                    <w:left w:val="none" w:sz="0" w:space="0" w:color="auto"/>
                    <w:bottom w:val="none" w:sz="0" w:space="0" w:color="auto"/>
                    <w:right w:val="none" w:sz="0" w:space="0" w:color="auto"/>
                  </w:divBdr>
                  <w:divsChild>
                    <w:div w:id="238638161">
                      <w:marLeft w:val="0"/>
                      <w:marRight w:val="0"/>
                      <w:marTop w:val="0"/>
                      <w:marBottom w:val="0"/>
                      <w:divBdr>
                        <w:top w:val="none" w:sz="0" w:space="0" w:color="auto"/>
                        <w:left w:val="none" w:sz="0" w:space="0" w:color="auto"/>
                        <w:bottom w:val="none" w:sz="0" w:space="0" w:color="auto"/>
                        <w:right w:val="none" w:sz="0" w:space="0" w:color="auto"/>
                      </w:divBdr>
                    </w:div>
                  </w:divsChild>
                </w:div>
                <w:div w:id="1085031216">
                  <w:marLeft w:val="0"/>
                  <w:marRight w:val="0"/>
                  <w:marTop w:val="0"/>
                  <w:marBottom w:val="0"/>
                  <w:divBdr>
                    <w:top w:val="none" w:sz="0" w:space="0" w:color="auto"/>
                    <w:left w:val="none" w:sz="0" w:space="0" w:color="auto"/>
                    <w:bottom w:val="none" w:sz="0" w:space="0" w:color="auto"/>
                    <w:right w:val="none" w:sz="0" w:space="0" w:color="auto"/>
                  </w:divBdr>
                  <w:divsChild>
                    <w:div w:id="488207857">
                      <w:marLeft w:val="0"/>
                      <w:marRight w:val="0"/>
                      <w:marTop w:val="0"/>
                      <w:marBottom w:val="0"/>
                      <w:divBdr>
                        <w:top w:val="none" w:sz="0" w:space="0" w:color="auto"/>
                        <w:left w:val="none" w:sz="0" w:space="0" w:color="auto"/>
                        <w:bottom w:val="none" w:sz="0" w:space="0" w:color="auto"/>
                        <w:right w:val="none" w:sz="0" w:space="0" w:color="auto"/>
                      </w:divBdr>
                    </w:div>
                  </w:divsChild>
                </w:div>
                <w:div w:id="1090080172">
                  <w:marLeft w:val="0"/>
                  <w:marRight w:val="0"/>
                  <w:marTop w:val="0"/>
                  <w:marBottom w:val="0"/>
                  <w:divBdr>
                    <w:top w:val="none" w:sz="0" w:space="0" w:color="auto"/>
                    <w:left w:val="none" w:sz="0" w:space="0" w:color="auto"/>
                    <w:bottom w:val="none" w:sz="0" w:space="0" w:color="auto"/>
                    <w:right w:val="none" w:sz="0" w:space="0" w:color="auto"/>
                  </w:divBdr>
                  <w:divsChild>
                    <w:div w:id="1048605175">
                      <w:marLeft w:val="0"/>
                      <w:marRight w:val="0"/>
                      <w:marTop w:val="0"/>
                      <w:marBottom w:val="0"/>
                      <w:divBdr>
                        <w:top w:val="none" w:sz="0" w:space="0" w:color="auto"/>
                        <w:left w:val="none" w:sz="0" w:space="0" w:color="auto"/>
                        <w:bottom w:val="none" w:sz="0" w:space="0" w:color="auto"/>
                        <w:right w:val="none" w:sz="0" w:space="0" w:color="auto"/>
                      </w:divBdr>
                    </w:div>
                  </w:divsChild>
                </w:div>
                <w:div w:id="1096907475">
                  <w:marLeft w:val="0"/>
                  <w:marRight w:val="0"/>
                  <w:marTop w:val="0"/>
                  <w:marBottom w:val="0"/>
                  <w:divBdr>
                    <w:top w:val="none" w:sz="0" w:space="0" w:color="auto"/>
                    <w:left w:val="none" w:sz="0" w:space="0" w:color="auto"/>
                    <w:bottom w:val="none" w:sz="0" w:space="0" w:color="auto"/>
                    <w:right w:val="none" w:sz="0" w:space="0" w:color="auto"/>
                  </w:divBdr>
                  <w:divsChild>
                    <w:div w:id="857544624">
                      <w:marLeft w:val="0"/>
                      <w:marRight w:val="0"/>
                      <w:marTop w:val="0"/>
                      <w:marBottom w:val="0"/>
                      <w:divBdr>
                        <w:top w:val="none" w:sz="0" w:space="0" w:color="auto"/>
                        <w:left w:val="none" w:sz="0" w:space="0" w:color="auto"/>
                        <w:bottom w:val="none" w:sz="0" w:space="0" w:color="auto"/>
                        <w:right w:val="none" w:sz="0" w:space="0" w:color="auto"/>
                      </w:divBdr>
                    </w:div>
                  </w:divsChild>
                </w:div>
                <w:div w:id="1099915256">
                  <w:marLeft w:val="0"/>
                  <w:marRight w:val="0"/>
                  <w:marTop w:val="0"/>
                  <w:marBottom w:val="0"/>
                  <w:divBdr>
                    <w:top w:val="none" w:sz="0" w:space="0" w:color="auto"/>
                    <w:left w:val="none" w:sz="0" w:space="0" w:color="auto"/>
                    <w:bottom w:val="none" w:sz="0" w:space="0" w:color="auto"/>
                    <w:right w:val="none" w:sz="0" w:space="0" w:color="auto"/>
                  </w:divBdr>
                  <w:divsChild>
                    <w:div w:id="361633565">
                      <w:marLeft w:val="0"/>
                      <w:marRight w:val="0"/>
                      <w:marTop w:val="0"/>
                      <w:marBottom w:val="0"/>
                      <w:divBdr>
                        <w:top w:val="none" w:sz="0" w:space="0" w:color="auto"/>
                        <w:left w:val="none" w:sz="0" w:space="0" w:color="auto"/>
                        <w:bottom w:val="none" w:sz="0" w:space="0" w:color="auto"/>
                        <w:right w:val="none" w:sz="0" w:space="0" w:color="auto"/>
                      </w:divBdr>
                    </w:div>
                  </w:divsChild>
                </w:div>
                <w:div w:id="1102067409">
                  <w:marLeft w:val="0"/>
                  <w:marRight w:val="0"/>
                  <w:marTop w:val="0"/>
                  <w:marBottom w:val="0"/>
                  <w:divBdr>
                    <w:top w:val="none" w:sz="0" w:space="0" w:color="auto"/>
                    <w:left w:val="none" w:sz="0" w:space="0" w:color="auto"/>
                    <w:bottom w:val="none" w:sz="0" w:space="0" w:color="auto"/>
                    <w:right w:val="none" w:sz="0" w:space="0" w:color="auto"/>
                  </w:divBdr>
                  <w:divsChild>
                    <w:div w:id="1184367731">
                      <w:marLeft w:val="0"/>
                      <w:marRight w:val="0"/>
                      <w:marTop w:val="0"/>
                      <w:marBottom w:val="0"/>
                      <w:divBdr>
                        <w:top w:val="none" w:sz="0" w:space="0" w:color="auto"/>
                        <w:left w:val="none" w:sz="0" w:space="0" w:color="auto"/>
                        <w:bottom w:val="none" w:sz="0" w:space="0" w:color="auto"/>
                        <w:right w:val="none" w:sz="0" w:space="0" w:color="auto"/>
                      </w:divBdr>
                    </w:div>
                  </w:divsChild>
                </w:div>
                <w:div w:id="1102339447">
                  <w:marLeft w:val="0"/>
                  <w:marRight w:val="0"/>
                  <w:marTop w:val="0"/>
                  <w:marBottom w:val="0"/>
                  <w:divBdr>
                    <w:top w:val="none" w:sz="0" w:space="0" w:color="auto"/>
                    <w:left w:val="none" w:sz="0" w:space="0" w:color="auto"/>
                    <w:bottom w:val="none" w:sz="0" w:space="0" w:color="auto"/>
                    <w:right w:val="none" w:sz="0" w:space="0" w:color="auto"/>
                  </w:divBdr>
                  <w:divsChild>
                    <w:div w:id="849176481">
                      <w:marLeft w:val="0"/>
                      <w:marRight w:val="0"/>
                      <w:marTop w:val="0"/>
                      <w:marBottom w:val="0"/>
                      <w:divBdr>
                        <w:top w:val="none" w:sz="0" w:space="0" w:color="auto"/>
                        <w:left w:val="none" w:sz="0" w:space="0" w:color="auto"/>
                        <w:bottom w:val="none" w:sz="0" w:space="0" w:color="auto"/>
                        <w:right w:val="none" w:sz="0" w:space="0" w:color="auto"/>
                      </w:divBdr>
                    </w:div>
                  </w:divsChild>
                </w:div>
                <w:div w:id="1111507655">
                  <w:marLeft w:val="0"/>
                  <w:marRight w:val="0"/>
                  <w:marTop w:val="0"/>
                  <w:marBottom w:val="0"/>
                  <w:divBdr>
                    <w:top w:val="none" w:sz="0" w:space="0" w:color="auto"/>
                    <w:left w:val="none" w:sz="0" w:space="0" w:color="auto"/>
                    <w:bottom w:val="none" w:sz="0" w:space="0" w:color="auto"/>
                    <w:right w:val="none" w:sz="0" w:space="0" w:color="auto"/>
                  </w:divBdr>
                  <w:divsChild>
                    <w:div w:id="229275598">
                      <w:marLeft w:val="0"/>
                      <w:marRight w:val="0"/>
                      <w:marTop w:val="0"/>
                      <w:marBottom w:val="0"/>
                      <w:divBdr>
                        <w:top w:val="none" w:sz="0" w:space="0" w:color="auto"/>
                        <w:left w:val="none" w:sz="0" w:space="0" w:color="auto"/>
                        <w:bottom w:val="none" w:sz="0" w:space="0" w:color="auto"/>
                        <w:right w:val="none" w:sz="0" w:space="0" w:color="auto"/>
                      </w:divBdr>
                    </w:div>
                  </w:divsChild>
                </w:div>
                <w:div w:id="1113670682">
                  <w:marLeft w:val="0"/>
                  <w:marRight w:val="0"/>
                  <w:marTop w:val="0"/>
                  <w:marBottom w:val="0"/>
                  <w:divBdr>
                    <w:top w:val="none" w:sz="0" w:space="0" w:color="auto"/>
                    <w:left w:val="none" w:sz="0" w:space="0" w:color="auto"/>
                    <w:bottom w:val="none" w:sz="0" w:space="0" w:color="auto"/>
                    <w:right w:val="none" w:sz="0" w:space="0" w:color="auto"/>
                  </w:divBdr>
                  <w:divsChild>
                    <w:div w:id="2112772220">
                      <w:marLeft w:val="0"/>
                      <w:marRight w:val="0"/>
                      <w:marTop w:val="0"/>
                      <w:marBottom w:val="0"/>
                      <w:divBdr>
                        <w:top w:val="none" w:sz="0" w:space="0" w:color="auto"/>
                        <w:left w:val="none" w:sz="0" w:space="0" w:color="auto"/>
                        <w:bottom w:val="none" w:sz="0" w:space="0" w:color="auto"/>
                        <w:right w:val="none" w:sz="0" w:space="0" w:color="auto"/>
                      </w:divBdr>
                    </w:div>
                  </w:divsChild>
                </w:div>
                <w:div w:id="1123572314">
                  <w:marLeft w:val="0"/>
                  <w:marRight w:val="0"/>
                  <w:marTop w:val="0"/>
                  <w:marBottom w:val="0"/>
                  <w:divBdr>
                    <w:top w:val="none" w:sz="0" w:space="0" w:color="auto"/>
                    <w:left w:val="none" w:sz="0" w:space="0" w:color="auto"/>
                    <w:bottom w:val="none" w:sz="0" w:space="0" w:color="auto"/>
                    <w:right w:val="none" w:sz="0" w:space="0" w:color="auto"/>
                  </w:divBdr>
                  <w:divsChild>
                    <w:div w:id="1003900985">
                      <w:marLeft w:val="0"/>
                      <w:marRight w:val="0"/>
                      <w:marTop w:val="0"/>
                      <w:marBottom w:val="0"/>
                      <w:divBdr>
                        <w:top w:val="none" w:sz="0" w:space="0" w:color="auto"/>
                        <w:left w:val="none" w:sz="0" w:space="0" w:color="auto"/>
                        <w:bottom w:val="none" w:sz="0" w:space="0" w:color="auto"/>
                        <w:right w:val="none" w:sz="0" w:space="0" w:color="auto"/>
                      </w:divBdr>
                    </w:div>
                  </w:divsChild>
                </w:div>
                <w:div w:id="1128426287">
                  <w:marLeft w:val="0"/>
                  <w:marRight w:val="0"/>
                  <w:marTop w:val="0"/>
                  <w:marBottom w:val="0"/>
                  <w:divBdr>
                    <w:top w:val="none" w:sz="0" w:space="0" w:color="auto"/>
                    <w:left w:val="none" w:sz="0" w:space="0" w:color="auto"/>
                    <w:bottom w:val="none" w:sz="0" w:space="0" w:color="auto"/>
                    <w:right w:val="none" w:sz="0" w:space="0" w:color="auto"/>
                  </w:divBdr>
                  <w:divsChild>
                    <w:div w:id="2030835745">
                      <w:marLeft w:val="0"/>
                      <w:marRight w:val="0"/>
                      <w:marTop w:val="0"/>
                      <w:marBottom w:val="0"/>
                      <w:divBdr>
                        <w:top w:val="none" w:sz="0" w:space="0" w:color="auto"/>
                        <w:left w:val="none" w:sz="0" w:space="0" w:color="auto"/>
                        <w:bottom w:val="none" w:sz="0" w:space="0" w:color="auto"/>
                        <w:right w:val="none" w:sz="0" w:space="0" w:color="auto"/>
                      </w:divBdr>
                    </w:div>
                  </w:divsChild>
                </w:div>
                <w:div w:id="1136026431">
                  <w:marLeft w:val="0"/>
                  <w:marRight w:val="0"/>
                  <w:marTop w:val="0"/>
                  <w:marBottom w:val="0"/>
                  <w:divBdr>
                    <w:top w:val="none" w:sz="0" w:space="0" w:color="auto"/>
                    <w:left w:val="none" w:sz="0" w:space="0" w:color="auto"/>
                    <w:bottom w:val="none" w:sz="0" w:space="0" w:color="auto"/>
                    <w:right w:val="none" w:sz="0" w:space="0" w:color="auto"/>
                  </w:divBdr>
                  <w:divsChild>
                    <w:div w:id="858541460">
                      <w:marLeft w:val="0"/>
                      <w:marRight w:val="0"/>
                      <w:marTop w:val="0"/>
                      <w:marBottom w:val="0"/>
                      <w:divBdr>
                        <w:top w:val="none" w:sz="0" w:space="0" w:color="auto"/>
                        <w:left w:val="none" w:sz="0" w:space="0" w:color="auto"/>
                        <w:bottom w:val="none" w:sz="0" w:space="0" w:color="auto"/>
                        <w:right w:val="none" w:sz="0" w:space="0" w:color="auto"/>
                      </w:divBdr>
                    </w:div>
                  </w:divsChild>
                </w:div>
                <w:div w:id="1141733816">
                  <w:marLeft w:val="0"/>
                  <w:marRight w:val="0"/>
                  <w:marTop w:val="0"/>
                  <w:marBottom w:val="0"/>
                  <w:divBdr>
                    <w:top w:val="none" w:sz="0" w:space="0" w:color="auto"/>
                    <w:left w:val="none" w:sz="0" w:space="0" w:color="auto"/>
                    <w:bottom w:val="none" w:sz="0" w:space="0" w:color="auto"/>
                    <w:right w:val="none" w:sz="0" w:space="0" w:color="auto"/>
                  </w:divBdr>
                  <w:divsChild>
                    <w:div w:id="1677490903">
                      <w:marLeft w:val="0"/>
                      <w:marRight w:val="0"/>
                      <w:marTop w:val="0"/>
                      <w:marBottom w:val="0"/>
                      <w:divBdr>
                        <w:top w:val="none" w:sz="0" w:space="0" w:color="auto"/>
                        <w:left w:val="none" w:sz="0" w:space="0" w:color="auto"/>
                        <w:bottom w:val="none" w:sz="0" w:space="0" w:color="auto"/>
                        <w:right w:val="none" w:sz="0" w:space="0" w:color="auto"/>
                      </w:divBdr>
                    </w:div>
                  </w:divsChild>
                </w:div>
                <w:div w:id="1146241250">
                  <w:marLeft w:val="0"/>
                  <w:marRight w:val="0"/>
                  <w:marTop w:val="0"/>
                  <w:marBottom w:val="0"/>
                  <w:divBdr>
                    <w:top w:val="none" w:sz="0" w:space="0" w:color="auto"/>
                    <w:left w:val="none" w:sz="0" w:space="0" w:color="auto"/>
                    <w:bottom w:val="none" w:sz="0" w:space="0" w:color="auto"/>
                    <w:right w:val="none" w:sz="0" w:space="0" w:color="auto"/>
                  </w:divBdr>
                  <w:divsChild>
                    <w:div w:id="1433361366">
                      <w:marLeft w:val="0"/>
                      <w:marRight w:val="0"/>
                      <w:marTop w:val="0"/>
                      <w:marBottom w:val="0"/>
                      <w:divBdr>
                        <w:top w:val="none" w:sz="0" w:space="0" w:color="auto"/>
                        <w:left w:val="none" w:sz="0" w:space="0" w:color="auto"/>
                        <w:bottom w:val="none" w:sz="0" w:space="0" w:color="auto"/>
                        <w:right w:val="none" w:sz="0" w:space="0" w:color="auto"/>
                      </w:divBdr>
                    </w:div>
                  </w:divsChild>
                </w:div>
                <w:div w:id="1148284941">
                  <w:marLeft w:val="0"/>
                  <w:marRight w:val="0"/>
                  <w:marTop w:val="0"/>
                  <w:marBottom w:val="0"/>
                  <w:divBdr>
                    <w:top w:val="none" w:sz="0" w:space="0" w:color="auto"/>
                    <w:left w:val="none" w:sz="0" w:space="0" w:color="auto"/>
                    <w:bottom w:val="none" w:sz="0" w:space="0" w:color="auto"/>
                    <w:right w:val="none" w:sz="0" w:space="0" w:color="auto"/>
                  </w:divBdr>
                  <w:divsChild>
                    <w:div w:id="222569326">
                      <w:marLeft w:val="0"/>
                      <w:marRight w:val="0"/>
                      <w:marTop w:val="0"/>
                      <w:marBottom w:val="0"/>
                      <w:divBdr>
                        <w:top w:val="none" w:sz="0" w:space="0" w:color="auto"/>
                        <w:left w:val="none" w:sz="0" w:space="0" w:color="auto"/>
                        <w:bottom w:val="none" w:sz="0" w:space="0" w:color="auto"/>
                        <w:right w:val="none" w:sz="0" w:space="0" w:color="auto"/>
                      </w:divBdr>
                    </w:div>
                  </w:divsChild>
                </w:div>
                <w:div w:id="1160972550">
                  <w:marLeft w:val="0"/>
                  <w:marRight w:val="0"/>
                  <w:marTop w:val="0"/>
                  <w:marBottom w:val="0"/>
                  <w:divBdr>
                    <w:top w:val="none" w:sz="0" w:space="0" w:color="auto"/>
                    <w:left w:val="none" w:sz="0" w:space="0" w:color="auto"/>
                    <w:bottom w:val="none" w:sz="0" w:space="0" w:color="auto"/>
                    <w:right w:val="none" w:sz="0" w:space="0" w:color="auto"/>
                  </w:divBdr>
                  <w:divsChild>
                    <w:div w:id="945578176">
                      <w:marLeft w:val="0"/>
                      <w:marRight w:val="0"/>
                      <w:marTop w:val="0"/>
                      <w:marBottom w:val="0"/>
                      <w:divBdr>
                        <w:top w:val="none" w:sz="0" w:space="0" w:color="auto"/>
                        <w:left w:val="none" w:sz="0" w:space="0" w:color="auto"/>
                        <w:bottom w:val="none" w:sz="0" w:space="0" w:color="auto"/>
                        <w:right w:val="none" w:sz="0" w:space="0" w:color="auto"/>
                      </w:divBdr>
                    </w:div>
                  </w:divsChild>
                </w:div>
                <w:div w:id="1171332585">
                  <w:marLeft w:val="0"/>
                  <w:marRight w:val="0"/>
                  <w:marTop w:val="0"/>
                  <w:marBottom w:val="0"/>
                  <w:divBdr>
                    <w:top w:val="none" w:sz="0" w:space="0" w:color="auto"/>
                    <w:left w:val="none" w:sz="0" w:space="0" w:color="auto"/>
                    <w:bottom w:val="none" w:sz="0" w:space="0" w:color="auto"/>
                    <w:right w:val="none" w:sz="0" w:space="0" w:color="auto"/>
                  </w:divBdr>
                  <w:divsChild>
                    <w:div w:id="2099252393">
                      <w:marLeft w:val="0"/>
                      <w:marRight w:val="0"/>
                      <w:marTop w:val="0"/>
                      <w:marBottom w:val="0"/>
                      <w:divBdr>
                        <w:top w:val="none" w:sz="0" w:space="0" w:color="auto"/>
                        <w:left w:val="none" w:sz="0" w:space="0" w:color="auto"/>
                        <w:bottom w:val="none" w:sz="0" w:space="0" w:color="auto"/>
                        <w:right w:val="none" w:sz="0" w:space="0" w:color="auto"/>
                      </w:divBdr>
                    </w:div>
                  </w:divsChild>
                </w:div>
                <w:div w:id="1179926202">
                  <w:marLeft w:val="0"/>
                  <w:marRight w:val="0"/>
                  <w:marTop w:val="0"/>
                  <w:marBottom w:val="0"/>
                  <w:divBdr>
                    <w:top w:val="none" w:sz="0" w:space="0" w:color="auto"/>
                    <w:left w:val="none" w:sz="0" w:space="0" w:color="auto"/>
                    <w:bottom w:val="none" w:sz="0" w:space="0" w:color="auto"/>
                    <w:right w:val="none" w:sz="0" w:space="0" w:color="auto"/>
                  </w:divBdr>
                  <w:divsChild>
                    <w:div w:id="73935910">
                      <w:marLeft w:val="0"/>
                      <w:marRight w:val="0"/>
                      <w:marTop w:val="0"/>
                      <w:marBottom w:val="0"/>
                      <w:divBdr>
                        <w:top w:val="none" w:sz="0" w:space="0" w:color="auto"/>
                        <w:left w:val="none" w:sz="0" w:space="0" w:color="auto"/>
                        <w:bottom w:val="none" w:sz="0" w:space="0" w:color="auto"/>
                        <w:right w:val="none" w:sz="0" w:space="0" w:color="auto"/>
                      </w:divBdr>
                    </w:div>
                  </w:divsChild>
                </w:div>
                <w:div w:id="1184706633">
                  <w:marLeft w:val="0"/>
                  <w:marRight w:val="0"/>
                  <w:marTop w:val="0"/>
                  <w:marBottom w:val="0"/>
                  <w:divBdr>
                    <w:top w:val="none" w:sz="0" w:space="0" w:color="auto"/>
                    <w:left w:val="none" w:sz="0" w:space="0" w:color="auto"/>
                    <w:bottom w:val="none" w:sz="0" w:space="0" w:color="auto"/>
                    <w:right w:val="none" w:sz="0" w:space="0" w:color="auto"/>
                  </w:divBdr>
                  <w:divsChild>
                    <w:div w:id="2114670109">
                      <w:marLeft w:val="0"/>
                      <w:marRight w:val="0"/>
                      <w:marTop w:val="0"/>
                      <w:marBottom w:val="0"/>
                      <w:divBdr>
                        <w:top w:val="none" w:sz="0" w:space="0" w:color="auto"/>
                        <w:left w:val="none" w:sz="0" w:space="0" w:color="auto"/>
                        <w:bottom w:val="none" w:sz="0" w:space="0" w:color="auto"/>
                        <w:right w:val="none" w:sz="0" w:space="0" w:color="auto"/>
                      </w:divBdr>
                    </w:div>
                  </w:divsChild>
                </w:div>
                <w:div w:id="1193490971">
                  <w:marLeft w:val="0"/>
                  <w:marRight w:val="0"/>
                  <w:marTop w:val="0"/>
                  <w:marBottom w:val="0"/>
                  <w:divBdr>
                    <w:top w:val="none" w:sz="0" w:space="0" w:color="auto"/>
                    <w:left w:val="none" w:sz="0" w:space="0" w:color="auto"/>
                    <w:bottom w:val="none" w:sz="0" w:space="0" w:color="auto"/>
                    <w:right w:val="none" w:sz="0" w:space="0" w:color="auto"/>
                  </w:divBdr>
                  <w:divsChild>
                    <w:div w:id="1088817528">
                      <w:marLeft w:val="0"/>
                      <w:marRight w:val="0"/>
                      <w:marTop w:val="0"/>
                      <w:marBottom w:val="0"/>
                      <w:divBdr>
                        <w:top w:val="none" w:sz="0" w:space="0" w:color="auto"/>
                        <w:left w:val="none" w:sz="0" w:space="0" w:color="auto"/>
                        <w:bottom w:val="none" w:sz="0" w:space="0" w:color="auto"/>
                        <w:right w:val="none" w:sz="0" w:space="0" w:color="auto"/>
                      </w:divBdr>
                    </w:div>
                  </w:divsChild>
                </w:div>
                <w:div w:id="1203860455">
                  <w:marLeft w:val="0"/>
                  <w:marRight w:val="0"/>
                  <w:marTop w:val="0"/>
                  <w:marBottom w:val="0"/>
                  <w:divBdr>
                    <w:top w:val="none" w:sz="0" w:space="0" w:color="auto"/>
                    <w:left w:val="none" w:sz="0" w:space="0" w:color="auto"/>
                    <w:bottom w:val="none" w:sz="0" w:space="0" w:color="auto"/>
                    <w:right w:val="none" w:sz="0" w:space="0" w:color="auto"/>
                  </w:divBdr>
                  <w:divsChild>
                    <w:div w:id="680857636">
                      <w:marLeft w:val="0"/>
                      <w:marRight w:val="0"/>
                      <w:marTop w:val="0"/>
                      <w:marBottom w:val="0"/>
                      <w:divBdr>
                        <w:top w:val="none" w:sz="0" w:space="0" w:color="auto"/>
                        <w:left w:val="none" w:sz="0" w:space="0" w:color="auto"/>
                        <w:bottom w:val="none" w:sz="0" w:space="0" w:color="auto"/>
                        <w:right w:val="none" w:sz="0" w:space="0" w:color="auto"/>
                      </w:divBdr>
                    </w:div>
                  </w:divsChild>
                </w:div>
                <w:div w:id="1206799159">
                  <w:marLeft w:val="0"/>
                  <w:marRight w:val="0"/>
                  <w:marTop w:val="0"/>
                  <w:marBottom w:val="0"/>
                  <w:divBdr>
                    <w:top w:val="none" w:sz="0" w:space="0" w:color="auto"/>
                    <w:left w:val="none" w:sz="0" w:space="0" w:color="auto"/>
                    <w:bottom w:val="none" w:sz="0" w:space="0" w:color="auto"/>
                    <w:right w:val="none" w:sz="0" w:space="0" w:color="auto"/>
                  </w:divBdr>
                  <w:divsChild>
                    <w:div w:id="740635373">
                      <w:marLeft w:val="0"/>
                      <w:marRight w:val="0"/>
                      <w:marTop w:val="0"/>
                      <w:marBottom w:val="0"/>
                      <w:divBdr>
                        <w:top w:val="none" w:sz="0" w:space="0" w:color="auto"/>
                        <w:left w:val="none" w:sz="0" w:space="0" w:color="auto"/>
                        <w:bottom w:val="none" w:sz="0" w:space="0" w:color="auto"/>
                        <w:right w:val="none" w:sz="0" w:space="0" w:color="auto"/>
                      </w:divBdr>
                    </w:div>
                  </w:divsChild>
                </w:div>
                <w:div w:id="1222982660">
                  <w:marLeft w:val="0"/>
                  <w:marRight w:val="0"/>
                  <w:marTop w:val="0"/>
                  <w:marBottom w:val="0"/>
                  <w:divBdr>
                    <w:top w:val="none" w:sz="0" w:space="0" w:color="auto"/>
                    <w:left w:val="none" w:sz="0" w:space="0" w:color="auto"/>
                    <w:bottom w:val="none" w:sz="0" w:space="0" w:color="auto"/>
                    <w:right w:val="none" w:sz="0" w:space="0" w:color="auto"/>
                  </w:divBdr>
                  <w:divsChild>
                    <w:div w:id="1801802052">
                      <w:marLeft w:val="0"/>
                      <w:marRight w:val="0"/>
                      <w:marTop w:val="0"/>
                      <w:marBottom w:val="0"/>
                      <w:divBdr>
                        <w:top w:val="none" w:sz="0" w:space="0" w:color="auto"/>
                        <w:left w:val="none" w:sz="0" w:space="0" w:color="auto"/>
                        <w:bottom w:val="none" w:sz="0" w:space="0" w:color="auto"/>
                        <w:right w:val="none" w:sz="0" w:space="0" w:color="auto"/>
                      </w:divBdr>
                    </w:div>
                  </w:divsChild>
                </w:div>
                <w:div w:id="1234658718">
                  <w:marLeft w:val="0"/>
                  <w:marRight w:val="0"/>
                  <w:marTop w:val="0"/>
                  <w:marBottom w:val="0"/>
                  <w:divBdr>
                    <w:top w:val="none" w:sz="0" w:space="0" w:color="auto"/>
                    <w:left w:val="none" w:sz="0" w:space="0" w:color="auto"/>
                    <w:bottom w:val="none" w:sz="0" w:space="0" w:color="auto"/>
                    <w:right w:val="none" w:sz="0" w:space="0" w:color="auto"/>
                  </w:divBdr>
                  <w:divsChild>
                    <w:div w:id="1668552754">
                      <w:marLeft w:val="0"/>
                      <w:marRight w:val="0"/>
                      <w:marTop w:val="0"/>
                      <w:marBottom w:val="0"/>
                      <w:divBdr>
                        <w:top w:val="none" w:sz="0" w:space="0" w:color="auto"/>
                        <w:left w:val="none" w:sz="0" w:space="0" w:color="auto"/>
                        <w:bottom w:val="none" w:sz="0" w:space="0" w:color="auto"/>
                        <w:right w:val="none" w:sz="0" w:space="0" w:color="auto"/>
                      </w:divBdr>
                    </w:div>
                  </w:divsChild>
                </w:div>
                <w:div w:id="1242178271">
                  <w:marLeft w:val="0"/>
                  <w:marRight w:val="0"/>
                  <w:marTop w:val="0"/>
                  <w:marBottom w:val="0"/>
                  <w:divBdr>
                    <w:top w:val="none" w:sz="0" w:space="0" w:color="auto"/>
                    <w:left w:val="none" w:sz="0" w:space="0" w:color="auto"/>
                    <w:bottom w:val="none" w:sz="0" w:space="0" w:color="auto"/>
                    <w:right w:val="none" w:sz="0" w:space="0" w:color="auto"/>
                  </w:divBdr>
                  <w:divsChild>
                    <w:div w:id="341128491">
                      <w:marLeft w:val="0"/>
                      <w:marRight w:val="0"/>
                      <w:marTop w:val="0"/>
                      <w:marBottom w:val="0"/>
                      <w:divBdr>
                        <w:top w:val="none" w:sz="0" w:space="0" w:color="auto"/>
                        <w:left w:val="none" w:sz="0" w:space="0" w:color="auto"/>
                        <w:bottom w:val="none" w:sz="0" w:space="0" w:color="auto"/>
                        <w:right w:val="none" w:sz="0" w:space="0" w:color="auto"/>
                      </w:divBdr>
                    </w:div>
                  </w:divsChild>
                </w:div>
                <w:div w:id="1243760270">
                  <w:marLeft w:val="0"/>
                  <w:marRight w:val="0"/>
                  <w:marTop w:val="0"/>
                  <w:marBottom w:val="0"/>
                  <w:divBdr>
                    <w:top w:val="none" w:sz="0" w:space="0" w:color="auto"/>
                    <w:left w:val="none" w:sz="0" w:space="0" w:color="auto"/>
                    <w:bottom w:val="none" w:sz="0" w:space="0" w:color="auto"/>
                    <w:right w:val="none" w:sz="0" w:space="0" w:color="auto"/>
                  </w:divBdr>
                  <w:divsChild>
                    <w:div w:id="923949975">
                      <w:marLeft w:val="0"/>
                      <w:marRight w:val="0"/>
                      <w:marTop w:val="0"/>
                      <w:marBottom w:val="0"/>
                      <w:divBdr>
                        <w:top w:val="none" w:sz="0" w:space="0" w:color="auto"/>
                        <w:left w:val="none" w:sz="0" w:space="0" w:color="auto"/>
                        <w:bottom w:val="none" w:sz="0" w:space="0" w:color="auto"/>
                        <w:right w:val="none" w:sz="0" w:space="0" w:color="auto"/>
                      </w:divBdr>
                    </w:div>
                  </w:divsChild>
                </w:div>
                <w:div w:id="1253245929">
                  <w:marLeft w:val="0"/>
                  <w:marRight w:val="0"/>
                  <w:marTop w:val="0"/>
                  <w:marBottom w:val="0"/>
                  <w:divBdr>
                    <w:top w:val="none" w:sz="0" w:space="0" w:color="auto"/>
                    <w:left w:val="none" w:sz="0" w:space="0" w:color="auto"/>
                    <w:bottom w:val="none" w:sz="0" w:space="0" w:color="auto"/>
                    <w:right w:val="none" w:sz="0" w:space="0" w:color="auto"/>
                  </w:divBdr>
                  <w:divsChild>
                    <w:div w:id="1080831922">
                      <w:marLeft w:val="0"/>
                      <w:marRight w:val="0"/>
                      <w:marTop w:val="0"/>
                      <w:marBottom w:val="0"/>
                      <w:divBdr>
                        <w:top w:val="none" w:sz="0" w:space="0" w:color="auto"/>
                        <w:left w:val="none" w:sz="0" w:space="0" w:color="auto"/>
                        <w:bottom w:val="none" w:sz="0" w:space="0" w:color="auto"/>
                        <w:right w:val="none" w:sz="0" w:space="0" w:color="auto"/>
                      </w:divBdr>
                    </w:div>
                  </w:divsChild>
                </w:div>
                <w:div w:id="1255435368">
                  <w:marLeft w:val="0"/>
                  <w:marRight w:val="0"/>
                  <w:marTop w:val="0"/>
                  <w:marBottom w:val="0"/>
                  <w:divBdr>
                    <w:top w:val="none" w:sz="0" w:space="0" w:color="auto"/>
                    <w:left w:val="none" w:sz="0" w:space="0" w:color="auto"/>
                    <w:bottom w:val="none" w:sz="0" w:space="0" w:color="auto"/>
                    <w:right w:val="none" w:sz="0" w:space="0" w:color="auto"/>
                  </w:divBdr>
                  <w:divsChild>
                    <w:div w:id="2046906092">
                      <w:marLeft w:val="0"/>
                      <w:marRight w:val="0"/>
                      <w:marTop w:val="0"/>
                      <w:marBottom w:val="0"/>
                      <w:divBdr>
                        <w:top w:val="none" w:sz="0" w:space="0" w:color="auto"/>
                        <w:left w:val="none" w:sz="0" w:space="0" w:color="auto"/>
                        <w:bottom w:val="none" w:sz="0" w:space="0" w:color="auto"/>
                        <w:right w:val="none" w:sz="0" w:space="0" w:color="auto"/>
                      </w:divBdr>
                    </w:div>
                  </w:divsChild>
                </w:div>
                <w:div w:id="1262688839">
                  <w:marLeft w:val="0"/>
                  <w:marRight w:val="0"/>
                  <w:marTop w:val="0"/>
                  <w:marBottom w:val="0"/>
                  <w:divBdr>
                    <w:top w:val="none" w:sz="0" w:space="0" w:color="auto"/>
                    <w:left w:val="none" w:sz="0" w:space="0" w:color="auto"/>
                    <w:bottom w:val="none" w:sz="0" w:space="0" w:color="auto"/>
                    <w:right w:val="none" w:sz="0" w:space="0" w:color="auto"/>
                  </w:divBdr>
                  <w:divsChild>
                    <w:div w:id="433598442">
                      <w:marLeft w:val="0"/>
                      <w:marRight w:val="0"/>
                      <w:marTop w:val="0"/>
                      <w:marBottom w:val="0"/>
                      <w:divBdr>
                        <w:top w:val="none" w:sz="0" w:space="0" w:color="auto"/>
                        <w:left w:val="none" w:sz="0" w:space="0" w:color="auto"/>
                        <w:bottom w:val="none" w:sz="0" w:space="0" w:color="auto"/>
                        <w:right w:val="none" w:sz="0" w:space="0" w:color="auto"/>
                      </w:divBdr>
                    </w:div>
                  </w:divsChild>
                </w:div>
                <w:div w:id="1263998608">
                  <w:marLeft w:val="0"/>
                  <w:marRight w:val="0"/>
                  <w:marTop w:val="0"/>
                  <w:marBottom w:val="0"/>
                  <w:divBdr>
                    <w:top w:val="none" w:sz="0" w:space="0" w:color="auto"/>
                    <w:left w:val="none" w:sz="0" w:space="0" w:color="auto"/>
                    <w:bottom w:val="none" w:sz="0" w:space="0" w:color="auto"/>
                    <w:right w:val="none" w:sz="0" w:space="0" w:color="auto"/>
                  </w:divBdr>
                  <w:divsChild>
                    <w:div w:id="1132790519">
                      <w:marLeft w:val="0"/>
                      <w:marRight w:val="0"/>
                      <w:marTop w:val="0"/>
                      <w:marBottom w:val="0"/>
                      <w:divBdr>
                        <w:top w:val="none" w:sz="0" w:space="0" w:color="auto"/>
                        <w:left w:val="none" w:sz="0" w:space="0" w:color="auto"/>
                        <w:bottom w:val="none" w:sz="0" w:space="0" w:color="auto"/>
                        <w:right w:val="none" w:sz="0" w:space="0" w:color="auto"/>
                      </w:divBdr>
                    </w:div>
                  </w:divsChild>
                </w:div>
                <w:div w:id="1265072072">
                  <w:marLeft w:val="0"/>
                  <w:marRight w:val="0"/>
                  <w:marTop w:val="0"/>
                  <w:marBottom w:val="0"/>
                  <w:divBdr>
                    <w:top w:val="none" w:sz="0" w:space="0" w:color="auto"/>
                    <w:left w:val="none" w:sz="0" w:space="0" w:color="auto"/>
                    <w:bottom w:val="none" w:sz="0" w:space="0" w:color="auto"/>
                    <w:right w:val="none" w:sz="0" w:space="0" w:color="auto"/>
                  </w:divBdr>
                  <w:divsChild>
                    <w:div w:id="1935091586">
                      <w:marLeft w:val="0"/>
                      <w:marRight w:val="0"/>
                      <w:marTop w:val="0"/>
                      <w:marBottom w:val="0"/>
                      <w:divBdr>
                        <w:top w:val="none" w:sz="0" w:space="0" w:color="auto"/>
                        <w:left w:val="none" w:sz="0" w:space="0" w:color="auto"/>
                        <w:bottom w:val="none" w:sz="0" w:space="0" w:color="auto"/>
                        <w:right w:val="none" w:sz="0" w:space="0" w:color="auto"/>
                      </w:divBdr>
                    </w:div>
                  </w:divsChild>
                </w:div>
                <w:div w:id="1265532329">
                  <w:marLeft w:val="0"/>
                  <w:marRight w:val="0"/>
                  <w:marTop w:val="0"/>
                  <w:marBottom w:val="0"/>
                  <w:divBdr>
                    <w:top w:val="none" w:sz="0" w:space="0" w:color="auto"/>
                    <w:left w:val="none" w:sz="0" w:space="0" w:color="auto"/>
                    <w:bottom w:val="none" w:sz="0" w:space="0" w:color="auto"/>
                    <w:right w:val="none" w:sz="0" w:space="0" w:color="auto"/>
                  </w:divBdr>
                  <w:divsChild>
                    <w:div w:id="343827018">
                      <w:marLeft w:val="0"/>
                      <w:marRight w:val="0"/>
                      <w:marTop w:val="0"/>
                      <w:marBottom w:val="0"/>
                      <w:divBdr>
                        <w:top w:val="none" w:sz="0" w:space="0" w:color="auto"/>
                        <w:left w:val="none" w:sz="0" w:space="0" w:color="auto"/>
                        <w:bottom w:val="none" w:sz="0" w:space="0" w:color="auto"/>
                        <w:right w:val="none" w:sz="0" w:space="0" w:color="auto"/>
                      </w:divBdr>
                    </w:div>
                  </w:divsChild>
                </w:div>
                <w:div w:id="1271351684">
                  <w:marLeft w:val="0"/>
                  <w:marRight w:val="0"/>
                  <w:marTop w:val="0"/>
                  <w:marBottom w:val="0"/>
                  <w:divBdr>
                    <w:top w:val="none" w:sz="0" w:space="0" w:color="auto"/>
                    <w:left w:val="none" w:sz="0" w:space="0" w:color="auto"/>
                    <w:bottom w:val="none" w:sz="0" w:space="0" w:color="auto"/>
                    <w:right w:val="none" w:sz="0" w:space="0" w:color="auto"/>
                  </w:divBdr>
                  <w:divsChild>
                    <w:div w:id="1748922895">
                      <w:marLeft w:val="0"/>
                      <w:marRight w:val="0"/>
                      <w:marTop w:val="0"/>
                      <w:marBottom w:val="0"/>
                      <w:divBdr>
                        <w:top w:val="none" w:sz="0" w:space="0" w:color="auto"/>
                        <w:left w:val="none" w:sz="0" w:space="0" w:color="auto"/>
                        <w:bottom w:val="none" w:sz="0" w:space="0" w:color="auto"/>
                        <w:right w:val="none" w:sz="0" w:space="0" w:color="auto"/>
                      </w:divBdr>
                    </w:div>
                  </w:divsChild>
                </w:div>
                <w:div w:id="1282036197">
                  <w:marLeft w:val="0"/>
                  <w:marRight w:val="0"/>
                  <w:marTop w:val="0"/>
                  <w:marBottom w:val="0"/>
                  <w:divBdr>
                    <w:top w:val="none" w:sz="0" w:space="0" w:color="auto"/>
                    <w:left w:val="none" w:sz="0" w:space="0" w:color="auto"/>
                    <w:bottom w:val="none" w:sz="0" w:space="0" w:color="auto"/>
                    <w:right w:val="none" w:sz="0" w:space="0" w:color="auto"/>
                  </w:divBdr>
                  <w:divsChild>
                    <w:div w:id="2024284738">
                      <w:marLeft w:val="0"/>
                      <w:marRight w:val="0"/>
                      <w:marTop w:val="0"/>
                      <w:marBottom w:val="0"/>
                      <w:divBdr>
                        <w:top w:val="none" w:sz="0" w:space="0" w:color="auto"/>
                        <w:left w:val="none" w:sz="0" w:space="0" w:color="auto"/>
                        <w:bottom w:val="none" w:sz="0" w:space="0" w:color="auto"/>
                        <w:right w:val="none" w:sz="0" w:space="0" w:color="auto"/>
                      </w:divBdr>
                    </w:div>
                  </w:divsChild>
                </w:div>
                <w:div w:id="1290167544">
                  <w:marLeft w:val="0"/>
                  <w:marRight w:val="0"/>
                  <w:marTop w:val="0"/>
                  <w:marBottom w:val="0"/>
                  <w:divBdr>
                    <w:top w:val="none" w:sz="0" w:space="0" w:color="auto"/>
                    <w:left w:val="none" w:sz="0" w:space="0" w:color="auto"/>
                    <w:bottom w:val="none" w:sz="0" w:space="0" w:color="auto"/>
                    <w:right w:val="none" w:sz="0" w:space="0" w:color="auto"/>
                  </w:divBdr>
                  <w:divsChild>
                    <w:div w:id="1778519189">
                      <w:marLeft w:val="0"/>
                      <w:marRight w:val="0"/>
                      <w:marTop w:val="0"/>
                      <w:marBottom w:val="0"/>
                      <w:divBdr>
                        <w:top w:val="none" w:sz="0" w:space="0" w:color="auto"/>
                        <w:left w:val="none" w:sz="0" w:space="0" w:color="auto"/>
                        <w:bottom w:val="none" w:sz="0" w:space="0" w:color="auto"/>
                        <w:right w:val="none" w:sz="0" w:space="0" w:color="auto"/>
                      </w:divBdr>
                    </w:div>
                  </w:divsChild>
                </w:div>
                <w:div w:id="1291207408">
                  <w:marLeft w:val="0"/>
                  <w:marRight w:val="0"/>
                  <w:marTop w:val="0"/>
                  <w:marBottom w:val="0"/>
                  <w:divBdr>
                    <w:top w:val="none" w:sz="0" w:space="0" w:color="auto"/>
                    <w:left w:val="none" w:sz="0" w:space="0" w:color="auto"/>
                    <w:bottom w:val="none" w:sz="0" w:space="0" w:color="auto"/>
                    <w:right w:val="none" w:sz="0" w:space="0" w:color="auto"/>
                  </w:divBdr>
                  <w:divsChild>
                    <w:div w:id="1940328077">
                      <w:marLeft w:val="0"/>
                      <w:marRight w:val="0"/>
                      <w:marTop w:val="0"/>
                      <w:marBottom w:val="0"/>
                      <w:divBdr>
                        <w:top w:val="none" w:sz="0" w:space="0" w:color="auto"/>
                        <w:left w:val="none" w:sz="0" w:space="0" w:color="auto"/>
                        <w:bottom w:val="none" w:sz="0" w:space="0" w:color="auto"/>
                        <w:right w:val="none" w:sz="0" w:space="0" w:color="auto"/>
                      </w:divBdr>
                    </w:div>
                  </w:divsChild>
                </w:div>
                <w:div w:id="1294484347">
                  <w:marLeft w:val="0"/>
                  <w:marRight w:val="0"/>
                  <w:marTop w:val="0"/>
                  <w:marBottom w:val="0"/>
                  <w:divBdr>
                    <w:top w:val="none" w:sz="0" w:space="0" w:color="auto"/>
                    <w:left w:val="none" w:sz="0" w:space="0" w:color="auto"/>
                    <w:bottom w:val="none" w:sz="0" w:space="0" w:color="auto"/>
                    <w:right w:val="none" w:sz="0" w:space="0" w:color="auto"/>
                  </w:divBdr>
                  <w:divsChild>
                    <w:div w:id="50079875">
                      <w:marLeft w:val="0"/>
                      <w:marRight w:val="0"/>
                      <w:marTop w:val="0"/>
                      <w:marBottom w:val="0"/>
                      <w:divBdr>
                        <w:top w:val="none" w:sz="0" w:space="0" w:color="auto"/>
                        <w:left w:val="none" w:sz="0" w:space="0" w:color="auto"/>
                        <w:bottom w:val="none" w:sz="0" w:space="0" w:color="auto"/>
                        <w:right w:val="none" w:sz="0" w:space="0" w:color="auto"/>
                      </w:divBdr>
                    </w:div>
                  </w:divsChild>
                </w:div>
                <w:div w:id="1296520076">
                  <w:marLeft w:val="0"/>
                  <w:marRight w:val="0"/>
                  <w:marTop w:val="0"/>
                  <w:marBottom w:val="0"/>
                  <w:divBdr>
                    <w:top w:val="none" w:sz="0" w:space="0" w:color="auto"/>
                    <w:left w:val="none" w:sz="0" w:space="0" w:color="auto"/>
                    <w:bottom w:val="none" w:sz="0" w:space="0" w:color="auto"/>
                    <w:right w:val="none" w:sz="0" w:space="0" w:color="auto"/>
                  </w:divBdr>
                  <w:divsChild>
                    <w:div w:id="109052209">
                      <w:marLeft w:val="0"/>
                      <w:marRight w:val="0"/>
                      <w:marTop w:val="0"/>
                      <w:marBottom w:val="0"/>
                      <w:divBdr>
                        <w:top w:val="none" w:sz="0" w:space="0" w:color="auto"/>
                        <w:left w:val="none" w:sz="0" w:space="0" w:color="auto"/>
                        <w:bottom w:val="none" w:sz="0" w:space="0" w:color="auto"/>
                        <w:right w:val="none" w:sz="0" w:space="0" w:color="auto"/>
                      </w:divBdr>
                    </w:div>
                  </w:divsChild>
                </w:div>
                <w:div w:id="1306425832">
                  <w:marLeft w:val="0"/>
                  <w:marRight w:val="0"/>
                  <w:marTop w:val="0"/>
                  <w:marBottom w:val="0"/>
                  <w:divBdr>
                    <w:top w:val="none" w:sz="0" w:space="0" w:color="auto"/>
                    <w:left w:val="none" w:sz="0" w:space="0" w:color="auto"/>
                    <w:bottom w:val="none" w:sz="0" w:space="0" w:color="auto"/>
                    <w:right w:val="none" w:sz="0" w:space="0" w:color="auto"/>
                  </w:divBdr>
                  <w:divsChild>
                    <w:div w:id="1867939174">
                      <w:marLeft w:val="0"/>
                      <w:marRight w:val="0"/>
                      <w:marTop w:val="0"/>
                      <w:marBottom w:val="0"/>
                      <w:divBdr>
                        <w:top w:val="none" w:sz="0" w:space="0" w:color="auto"/>
                        <w:left w:val="none" w:sz="0" w:space="0" w:color="auto"/>
                        <w:bottom w:val="none" w:sz="0" w:space="0" w:color="auto"/>
                        <w:right w:val="none" w:sz="0" w:space="0" w:color="auto"/>
                      </w:divBdr>
                    </w:div>
                  </w:divsChild>
                </w:div>
                <w:div w:id="1320691768">
                  <w:marLeft w:val="0"/>
                  <w:marRight w:val="0"/>
                  <w:marTop w:val="0"/>
                  <w:marBottom w:val="0"/>
                  <w:divBdr>
                    <w:top w:val="none" w:sz="0" w:space="0" w:color="auto"/>
                    <w:left w:val="none" w:sz="0" w:space="0" w:color="auto"/>
                    <w:bottom w:val="none" w:sz="0" w:space="0" w:color="auto"/>
                    <w:right w:val="none" w:sz="0" w:space="0" w:color="auto"/>
                  </w:divBdr>
                  <w:divsChild>
                    <w:div w:id="483857451">
                      <w:marLeft w:val="0"/>
                      <w:marRight w:val="0"/>
                      <w:marTop w:val="0"/>
                      <w:marBottom w:val="0"/>
                      <w:divBdr>
                        <w:top w:val="none" w:sz="0" w:space="0" w:color="auto"/>
                        <w:left w:val="none" w:sz="0" w:space="0" w:color="auto"/>
                        <w:bottom w:val="none" w:sz="0" w:space="0" w:color="auto"/>
                        <w:right w:val="none" w:sz="0" w:space="0" w:color="auto"/>
                      </w:divBdr>
                    </w:div>
                  </w:divsChild>
                </w:div>
                <w:div w:id="1321814251">
                  <w:marLeft w:val="0"/>
                  <w:marRight w:val="0"/>
                  <w:marTop w:val="0"/>
                  <w:marBottom w:val="0"/>
                  <w:divBdr>
                    <w:top w:val="none" w:sz="0" w:space="0" w:color="auto"/>
                    <w:left w:val="none" w:sz="0" w:space="0" w:color="auto"/>
                    <w:bottom w:val="none" w:sz="0" w:space="0" w:color="auto"/>
                    <w:right w:val="none" w:sz="0" w:space="0" w:color="auto"/>
                  </w:divBdr>
                  <w:divsChild>
                    <w:div w:id="934706113">
                      <w:marLeft w:val="0"/>
                      <w:marRight w:val="0"/>
                      <w:marTop w:val="0"/>
                      <w:marBottom w:val="0"/>
                      <w:divBdr>
                        <w:top w:val="none" w:sz="0" w:space="0" w:color="auto"/>
                        <w:left w:val="none" w:sz="0" w:space="0" w:color="auto"/>
                        <w:bottom w:val="none" w:sz="0" w:space="0" w:color="auto"/>
                        <w:right w:val="none" w:sz="0" w:space="0" w:color="auto"/>
                      </w:divBdr>
                    </w:div>
                  </w:divsChild>
                </w:div>
                <w:div w:id="1333340168">
                  <w:marLeft w:val="0"/>
                  <w:marRight w:val="0"/>
                  <w:marTop w:val="0"/>
                  <w:marBottom w:val="0"/>
                  <w:divBdr>
                    <w:top w:val="none" w:sz="0" w:space="0" w:color="auto"/>
                    <w:left w:val="none" w:sz="0" w:space="0" w:color="auto"/>
                    <w:bottom w:val="none" w:sz="0" w:space="0" w:color="auto"/>
                    <w:right w:val="none" w:sz="0" w:space="0" w:color="auto"/>
                  </w:divBdr>
                  <w:divsChild>
                    <w:div w:id="305597513">
                      <w:marLeft w:val="0"/>
                      <w:marRight w:val="0"/>
                      <w:marTop w:val="0"/>
                      <w:marBottom w:val="0"/>
                      <w:divBdr>
                        <w:top w:val="none" w:sz="0" w:space="0" w:color="auto"/>
                        <w:left w:val="none" w:sz="0" w:space="0" w:color="auto"/>
                        <w:bottom w:val="none" w:sz="0" w:space="0" w:color="auto"/>
                        <w:right w:val="none" w:sz="0" w:space="0" w:color="auto"/>
                      </w:divBdr>
                    </w:div>
                  </w:divsChild>
                </w:div>
                <w:div w:id="1339114710">
                  <w:marLeft w:val="0"/>
                  <w:marRight w:val="0"/>
                  <w:marTop w:val="0"/>
                  <w:marBottom w:val="0"/>
                  <w:divBdr>
                    <w:top w:val="none" w:sz="0" w:space="0" w:color="auto"/>
                    <w:left w:val="none" w:sz="0" w:space="0" w:color="auto"/>
                    <w:bottom w:val="none" w:sz="0" w:space="0" w:color="auto"/>
                    <w:right w:val="none" w:sz="0" w:space="0" w:color="auto"/>
                  </w:divBdr>
                  <w:divsChild>
                    <w:div w:id="650445926">
                      <w:marLeft w:val="0"/>
                      <w:marRight w:val="0"/>
                      <w:marTop w:val="0"/>
                      <w:marBottom w:val="0"/>
                      <w:divBdr>
                        <w:top w:val="none" w:sz="0" w:space="0" w:color="auto"/>
                        <w:left w:val="none" w:sz="0" w:space="0" w:color="auto"/>
                        <w:bottom w:val="none" w:sz="0" w:space="0" w:color="auto"/>
                        <w:right w:val="none" w:sz="0" w:space="0" w:color="auto"/>
                      </w:divBdr>
                    </w:div>
                  </w:divsChild>
                </w:div>
                <w:div w:id="1340431241">
                  <w:marLeft w:val="0"/>
                  <w:marRight w:val="0"/>
                  <w:marTop w:val="0"/>
                  <w:marBottom w:val="0"/>
                  <w:divBdr>
                    <w:top w:val="none" w:sz="0" w:space="0" w:color="auto"/>
                    <w:left w:val="none" w:sz="0" w:space="0" w:color="auto"/>
                    <w:bottom w:val="none" w:sz="0" w:space="0" w:color="auto"/>
                    <w:right w:val="none" w:sz="0" w:space="0" w:color="auto"/>
                  </w:divBdr>
                  <w:divsChild>
                    <w:div w:id="399333447">
                      <w:marLeft w:val="0"/>
                      <w:marRight w:val="0"/>
                      <w:marTop w:val="0"/>
                      <w:marBottom w:val="0"/>
                      <w:divBdr>
                        <w:top w:val="none" w:sz="0" w:space="0" w:color="auto"/>
                        <w:left w:val="none" w:sz="0" w:space="0" w:color="auto"/>
                        <w:bottom w:val="none" w:sz="0" w:space="0" w:color="auto"/>
                        <w:right w:val="none" w:sz="0" w:space="0" w:color="auto"/>
                      </w:divBdr>
                    </w:div>
                  </w:divsChild>
                </w:div>
                <w:div w:id="1350185131">
                  <w:marLeft w:val="0"/>
                  <w:marRight w:val="0"/>
                  <w:marTop w:val="0"/>
                  <w:marBottom w:val="0"/>
                  <w:divBdr>
                    <w:top w:val="none" w:sz="0" w:space="0" w:color="auto"/>
                    <w:left w:val="none" w:sz="0" w:space="0" w:color="auto"/>
                    <w:bottom w:val="none" w:sz="0" w:space="0" w:color="auto"/>
                    <w:right w:val="none" w:sz="0" w:space="0" w:color="auto"/>
                  </w:divBdr>
                  <w:divsChild>
                    <w:div w:id="798761234">
                      <w:marLeft w:val="0"/>
                      <w:marRight w:val="0"/>
                      <w:marTop w:val="0"/>
                      <w:marBottom w:val="0"/>
                      <w:divBdr>
                        <w:top w:val="none" w:sz="0" w:space="0" w:color="auto"/>
                        <w:left w:val="none" w:sz="0" w:space="0" w:color="auto"/>
                        <w:bottom w:val="none" w:sz="0" w:space="0" w:color="auto"/>
                        <w:right w:val="none" w:sz="0" w:space="0" w:color="auto"/>
                      </w:divBdr>
                    </w:div>
                  </w:divsChild>
                </w:div>
                <w:div w:id="1351906332">
                  <w:marLeft w:val="0"/>
                  <w:marRight w:val="0"/>
                  <w:marTop w:val="0"/>
                  <w:marBottom w:val="0"/>
                  <w:divBdr>
                    <w:top w:val="none" w:sz="0" w:space="0" w:color="auto"/>
                    <w:left w:val="none" w:sz="0" w:space="0" w:color="auto"/>
                    <w:bottom w:val="none" w:sz="0" w:space="0" w:color="auto"/>
                    <w:right w:val="none" w:sz="0" w:space="0" w:color="auto"/>
                  </w:divBdr>
                  <w:divsChild>
                    <w:div w:id="1656949773">
                      <w:marLeft w:val="0"/>
                      <w:marRight w:val="0"/>
                      <w:marTop w:val="0"/>
                      <w:marBottom w:val="0"/>
                      <w:divBdr>
                        <w:top w:val="none" w:sz="0" w:space="0" w:color="auto"/>
                        <w:left w:val="none" w:sz="0" w:space="0" w:color="auto"/>
                        <w:bottom w:val="none" w:sz="0" w:space="0" w:color="auto"/>
                        <w:right w:val="none" w:sz="0" w:space="0" w:color="auto"/>
                      </w:divBdr>
                    </w:div>
                  </w:divsChild>
                </w:div>
                <w:div w:id="1364787273">
                  <w:marLeft w:val="0"/>
                  <w:marRight w:val="0"/>
                  <w:marTop w:val="0"/>
                  <w:marBottom w:val="0"/>
                  <w:divBdr>
                    <w:top w:val="none" w:sz="0" w:space="0" w:color="auto"/>
                    <w:left w:val="none" w:sz="0" w:space="0" w:color="auto"/>
                    <w:bottom w:val="none" w:sz="0" w:space="0" w:color="auto"/>
                    <w:right w:val="none" w:sz="0" w:space="0" w:color="auto"/>
                  </w:divBdr>
                  <w:divsChild>
                    <w:div w:id="673990706">
                      <w:marLeft w:val="0"/>
                      <w:marRight w:val="0"/>
                      <w:marTop w:val="0"/>
                      <w:marBottom w:val="0"/>
                      <w:divBdr>
                        <w:top w:val="none" w:sz="0" w:space="0" w:color="auto"/>
                        <w:left w:val="none" w:sz="0" w:space="0" w:color="auto"/>
                        <w:bottom w:val="none" w:sz="0" w:space="0" w:color="auto"/>
                        <w:right w:val="none" w:sz="0" w:space="0" w:color="auto"/>
                      </w:divBdr>
                    </w:div>
                  </w:divsChild>
                </w:div>
                <w:div w:id="1378433477">
                  <w:marLeft w:val="0"/>
                  <w:marRight w:val="0"/>
                  <w:marTop w:val="0"/>
                  <w:marBottom w:val="0"/>
                  <w:divBdr>
                    <w:top w:val="none" w:sz="0" w:space="0" w:color="auto"/>
                    <w:left w:val="none" w:sz="0" w:space="0" w:color="auto"/>
                    <w:bottom w:val="none" w:sz="0" w:space="0" w:color="auto"/>
                    <w:right w:val="none" w:sz="0" w:space="0" w:color="auto"/>
                  </w:divBdr>
                  <w:divsChild>
                    <w:div w:id="2072581691">
                      <w:marLeft w:val="0"/>
                      <w:marRight w:val="0"/>
                      <w:marTop w:val="0"/>
                      <w:marBottom w:val="0"/>
                      <w:divBdr>
                        <w:top w:val="none" w:sz="0" w:space="0" w:color="auto"/>
                        <w:left w:val="none" w:sz="0" w:space="0" w:color="auto"/>
                        <w:bottom w:val="none" w:sz="0" w:space="0" w:color="auto"/>
                        <w:right w:val="none" w:sz="0" w:space="0" w:color="auto"/>
                      </w:divBdr>
                    </w:div>
                  </w:divsChild>
                </w:div>
                <w:div w:id="1380669217">
                  <w:marLeft w:val="0"/>
                  <w:marRight w:val="0"/>
                  <w:marTop w:val="0"/>
                  <w:marBottom w:val="0"/>
                  <w:divBdr>
                    <w:top w:val="none" w:sz="0" w:space="0" w:color="auto"/>
                    <w:left w:val="none" w:sz="0" w:space="0" w:color="auto"/>
                    <w:bottom w:val="none" w:sz="0" w:space="0" w:color="auto"/>
                    <w:right w:val="none" w:sz="0" w:space="0" w:color="auto"/>
                  </w:divBdr>
                  <w:divsChild>
                    <w:div w:id="295452265">
                      <w:marLeft w:val="0"/>
                      <w:marRight w:val="0"/>
                      <w:marTop w:val="0"/>
                      <w:marBottom w:val="0"/>
                      <w:divBdr>
                        <w:top w:val="none" w:sz="0" w:space="0" w:color="auto"/>
                        <w:left w:val="none" w:sz="0" w:space="0" w:color="auto"/>
                        <w:bottom w:val="none" w:sz="0" w:space="0" w:color="auto"/>
                        <w:right w:val="none" w:sz="0" w:space="0" w:color="auto"/>
                      </w:divBdr>
                    </w:div>
                  </w:divsChild>
                </w:div>
                <w:div w:id="1387754711">
                  <w:marLeft w:val="0"/>
                  <w:marRight w:val="0"/>
                  <w:marTop w:val="0"/>
                  <w:marBottom w:val="0"/>
                  <w:divBdr>
                    <w:top w:val="none" w:sz="0" w:space="0" w:color="auto"/>
                    <w:left w:val="none" w:sz="0" w:space="0" w:color="auto"/>
                    <w:bottom w:val="none" w:sz="0" w:space="0" w:color="auto"/>
                    <w:right w:val="none" w:sz="0" w:space="0" w:color="auto"/>
                  </w:divBdr>
                  <w:divsChild>
                    <w:div w:id="887450327">
                      <w:marLeft w:val="0"/>
                      <w:marRight w:val="0"/>
                      <w:marTop w:val="0"/>
                      <w:marBottom w:val="0"/>
                      <w:divBdr>
                        <w:top w:val="none" w:sz="0" w:space="0" w:color="auto"/>
                        <w:left w:val="none" w:sz="0" w:space="0" w:color="auto"/>
                        <w:bottom w:val="none" w:sz="0" w:space="0" w:color="auto"/>
                        <w:right w:val="none" w:sz="0" w:space="0" w:color="auto"/>
                      </w:divBdr>
                    </w:div>
                  </w:divsChild>
                </w:div>
                <w:div w:id="1389914944">
                  <w:marLeft w:val="0"/>
                  <w:marRight w:val="0"/>
                  <w:marTop w:val="0"/>
                  <w:marBottom w:val="0"/>
                  <w:divBdr>
                    <w:top w:val="none" w:sz="0" w:space="0" w:color="auto"/>
                    <w:left w:val="none" w:sz="0" w:space="0" w:color="auto"/>
                    <w:bottom w:val="none" w:sz="0" w:space="0" w:color="auto"/>
                    <w:right w:val="none" w:sz="0" w:space="0" w:color="auto"/>
                  </w:divBdr>
                  <w:divsChild>
                    <w:div w:id="284820579">
                      <w:marLeft w:val="0"/>
                      <w:marRight w:val="0"/>
                      <w:marTop w:val="0"/>
                      <w:marBottom w:val="0"/>
                      <w:divBdr>
                        <w:top w:val="none" w:sz="0" w:space="0" w:color="auto"/>
                        <w:left w:val="none" w:sz="0" w:space="0" w:color="auto"/>
                        <w:bottom w:val="none" w:sz="0" w:space="0" w:color="auto"/>
                        <w:right w:val="none" w:sz="0" w:space="0" w:color="auto"/>
                      </w:divBdr>
                    </w:div>
                  </w:divsChild>
                </w:div>
                <w:div w:id="1406412749">
                  <w:marLeft w:val="0"/>
                  <w:marRight w:val="0"/>
                  <w:marTop w:val="0"/>
                  <w:marBottom w:val="0"/>
                  <w:divBdr>
                    <w:top w:val="none" w:sz="0" w:space="0" w:color="auto"/>
                    <w:left w:val="none" w:sz="0" w:space="0" w:color="auto"/>
                    <w:bottom w:val="none" w:sz="0" w:space="0" w:color="auto"/>
                    <w:right w:val="none" w:sz="0" w:space="0" w:color="auto"/>
                  </w:divBdr>
                  <w:divsChild>
                    <w:div w:id="502404566">
                      <w:marLeft w:val="0"/>
                      <w:marRight w:val="0"/>
                      <w:marTop w:val="0"/>
                      <w:marBottom w:val="0"/>
                      <w:divBdr>
                        <w:top w:val="none" w:sz="0" w:space="0" w:color="auto"/>
                        <w:left w:val="none" w:sz="0" w:space="0" w:color="auto"/>
                        <w:bottom w:val="none" w:sz="0" w:space="0" w:color="auto"/>
                        <w:right w:val="none" w:sz="0" w:space="0" w:color="auto"/>
                      </w:divBdr>
                    </w:div>
                  </w:divsChild>
                </w:div>
                <w:div w:id="1407148640">
                  <w:marLeft w:val="0"/>
                  <w:marRight w:val="0"/>
                  <w:marTop w:val="0"/>
                  <w:marBottom w:val="0"/>
                  <w:divBdr>
                    <w:top w:val="none" w:sz="0" w:space="0" w:color="auto"/>
                    <w:left w:val="none" w:sz="0" w:space="0" w:color="auto"/>
                    <w:bottom w:val="none" w:sz="0" w:space="0" w:color="auto"/>
                    <w:right w:val="none" w:sz="0" w:space="0" w:color="auto"/>
                  </w:divBdr>
                  <w:divsChild>
                    <w:div w:id="2143842834">
                      <w:marLeft w:val="0"/>
                      <w:marRight w:val="0"/>
                      <w:marTop w:val="0"/>
                      <w:marBottom w:val="0"/>
                      <w:divBdr>
                        <w:top w:val="none" w:sz="0" w:space="0" w:color="auto"/>
                        <w:left w:val="none" w:sz="0" w:space="0" w:color="auto"/>
                        <w:bottom w:val="none" w:sz="0" w:space="0" w:color="auto"/>
                        <w:right w:val="none" w:sz="0" w:space="0" w:color="auto"/>
                      </w:divBdr>
                    </w:div>
                  </w:divsChild>
                </w:div>
                <w:div w:id="1425345836">
                  <w:marLeft w:val="0"/>
                  <w:marRight w:val="0"/>
                  <w:marTop w:val="0"/>
                  <w:marBottom w:val="0"/>
                  <w:divBdr>
                    <w:top w:val="none" w:sz="0" w:space="0" w:color="auto"/>
                    <w:left w:val="none" w:sz="0" w:space="0" w:color="auto"/>
                    <w:bottom w:val="none" w:sz="0" w:space="0" w:color="auto"/>
                    <w:right w:val="none" w:sz="0" w:space="0" w:color="auto"/>
                  </w:divBdr>
                  <w:divsChild>
                    <w:div w:id="138347045">
                      <w:marLeft w:val="0"/>
                      <w:marRight w:val="0"/>
                      <w:marTop w:val="0"/>
                      <w:marBottom w:val="0"/>
                      <w:divBdr>
                        <w:top w:val="none" w:sz="0" w:space="0" w:color="auto"/>
                        <w:left w:val="none" w:sz="0" w:space="0" w:color="auto"/>
                        <w:bottom w:val="none" w:sz="0" w:space="0" w:color="auto"/>
                        <w:right w:val="none" w:sz="0" w:space="0" w:color="auto"/>
                      </w:divBdr>
                    </w:div>
                  </w:divsChild>
                </w:div>
                <w:div w:id="1427969067">
                  <w:marLeft w:val="0"/>
                  <w:marRight w:val="0"/>
                  <w:marTop w:val="0"/>
                  <w:marBottom w:val="0"/>
                  <w:divBdr>
                    <w:top w:val="none" w:sz="0" w:space="0" w:color="auto"/>
                    <w:left w:val="none" w:sz="0" w:space="0" w:color="auto"/>
                    <w:bottom w:val="none" w:sz="0" w:space="0" w:color="auto"/>
                    <w:right w:val="none" w:sz="0" w:space="0" w:color="auto"/>
                  </w:divBdr>
                  <w:divsChild>
                    <w:div w:id="37513335">
                      <w:marLeft w:val="0"/>
                      <w:marRight w:val="0"/>
                      <w:marTop w:val="0"/>
                      <w:marBottom w:val="0"/>
                      <w:divBdr>
                        <w:top w:val="none" w:sz="0" w:space="0" w:color="auto"/>
                        <w:left w:val="none" w:sz="0" w:space="0" w:color="auto"/>
                        <w:bottom w:val="none" w:sz="0" w:space="0" w:color="auto"/>
                        <w:right w:val="none" w:sz="0" w:space="0" w:color="auto"/>
                      </w:divBdr>
                    </w:div>
                  </w:divsChild>
                </w:div>
                <w:div w:id="1429617170">
                  <w:marLeft w:val="0"/>
                  <w:marRight w:val="0"/>
                  <w:marTop w:val="0"/>
                  <w:marBottom w:val="0"/>
                  <w:divBdr>
                    <w:top w:val="none" w:sz="0" w:space="0" w:color="auto"/>
                    <w:left w:val="none" w:sz="0" w:space="0" w:color="auto"/>
                    <w:bottom w:val="none" w:sz="0" w:space="0" w:color="auto"/>
                    <w:right w:val="none" w:sz="0" w:space="0" w:color="auto"/>
                  </w:divBdr>
                  <w:divsChild>
                    <w:div w:id="1893273026">
                      <w:marLeft w:val="0"/>
                      <w:marRight w:val="0"/>
                      <w:marTop w:val="0"/>
                      <w:marBottom w:val="0"/>
                      <w:divBdr>
                        <w:top w:val="none" w:sz="0" w:space="0" w:color="auto"/>
                        <w:left w:val="none" w:sz="0" w:space="0" w:color="auto"/>
                        <w:bottom w:val="none" w:sz="0" w:space="0" w:color="auto"/>
                        <w:right w:val="none" w:sz="0" w:space="0" w:color="auto"/>
                      </w:divBdr>
                    </w:div>
                  </w:divsChild>
                </w:div>
                <w:div w:id="1431047130">
                  <w:marLeft w:val="0"/>
                  <w:marRight w:val="0"/>
                  <w:marTop w:val="0"/>
                  <w:marBottom w:val="0"/>
                  <w:divBdr>
                    <w:top w:val="none" w:sz="0" w:space="0" w:color="auto"/>
                    <w:left w:val="none" w:sz="0" w:space="0" w:color="auto"/>
                    <w:bottom w:val="none" w:sz="0" w:space="0" w:color="auto"/>
                    <w:right w:val="none" w:sz="0" w:space="0" w:color="auto"/>
                  </w:divBdr>
                  <w:divsChild>
                    <w:div w:id="1123232506">
                      <w:marLeft w:val="0"/>
                      <w:marRight w:val="0"/>
                      <w:marTop w:val="0"/>
                      <w:marBottom w:val="0"/>
                      <w:divBdr>
                        <w:top w:val="none" w:sz="0" w:space="0" w:color="auto"/>
                        <w:left w:val="none" w:sz="0" w:space="0" w:color="auto"/>
                        <w:bottom w:val="none" w:sz="0" w:space="0" w:color="auto"/>
                        <w:right w:val="none" w:sz="0" w:space="0" w:color="auto"/>
                      </w:divBdr>
                    </w:div>
                  </w:divsChild>
                </w:div>
                <w:div w:id="1438064276">
                  <w:marLeft w:val="0"/>
                  <w:marRight w:val="0"/>
                  <w:marTop w:val="0"/>
                  <w:marBottom w:val="0"/>
                  <w:divBdr>
                    <w:top w:val="none" w:sz="0" w:space="0" w:color="auto"/>
                    <w:left w:val="none" w:sz="0" w:space="0" w:color="auto"/>
                    <w:bottom w:val="none" w:sz="0" w:space="0" w:color="auto"/>
                    <w:right w:val="none" w:sz="0" w:space="0" w:color="auto"/>
                  </w:divBdr>
                  <w:divsChild>
                    <w:div w:id="1906840299">
                      <w:marLeft w:val="0"/>
                      <w:marRight w:val="0"/>
                      <w:marTop w:val="0"/>
                      <w:marBottom w:val="0"/>
                      <w:divBdr>
                        <w:top w:val="none" w:sz="0" w:space="0" w:color="auto"/>
                        <w:left w:val="none" w:sz="0" w:space="0" w:color="auto"/>
                        <w:bottom w:val="none" w:sz="0" w:space="0" w:color="auto"/>
                        <w:right w:val="none" w:sz="0" w:space="0" w:color="auto"/>
                      </w:divBdr>
                    </w:div>
                  </w:divsChild>
                </w:div>
                <w:div w:id="1453593470">
                  <w:marLeft w:val="0"/>
                  <w:marRight w:val="0"/>
                  <w:marTop w:val="0"/>
                  <w:marBottom w:val="0"/>
                  <w:divBdr>
                    <w:top w:val="none" w:sz="0" w:space="0" w:color="auto"/>
                    <w:left w:val="none" w:sz="0" w:space="0" w:color="auto"/>
                    <w:bottom w:val="none" w:sz="0" w:space="0" w:color="auto"/>
                    <w:right w:val="none" w:sz="0" w:space="0" w:color="auto"/>
                  </w:divBdr>
                  <w:divsChild>
                    <w:div w:id="1989743292">
                      <w:marLeft w:val="0"/>
                      <w:marRight w:val="0"/>
                      <w:marTop w:val="0"/>
                      <w:marBottom w:val="0"/>
                      <w:divBdr>
                        <w:top w:val="none" w:sz="0" w:space="0" w:color="auto"/>
                        <w:left w:val="none" w:sz="0" w:space="0" w:color="auto"/>
                        <w:bottom w:val="none" w:sz="0" w:space="0" w:color="auto"/>
                        <w:right w:val="none" w:sz="0" w:space="0" w:color="auto"/>
                      </w:divBdr>
                    </w:div>
                  </w:divsChild>
                </w:div>
                <w:div w:id="1463647017">
                  <w:marLeft w:val="0"/>
                  <w:marRight w:val="0"/>
                  <w:marTop w:val="0"/>
                  <w:marBottom w:val="0"/>
                  <w:divBdr>
                    <w:top w:val="none" w:sz="0" w:space="0" w:color="auto"/>
                    <w:left w:val="none" w:sz="0" w:space="0" w:color="auto"/>
                    <w:bottom w:val="none" w:sz="0" w:space="0" w:color="auto"/>
                    <w:right w:val="none" w:sz="0" w:space="0" w:color="auto"/>
                  </w:divBdr>
                  <w:divsChild>
                    <w:div w:id="215514323">
                      <w:marLeft w:val="0"/>
                      <w:marRight w:val="0"/>
                      <w:marTop w:val="0"/>
                      <w:marBottom w:val="0"/>
                      <w:divBdr>
                        <w:top w:val="none" w:sz="0" w:space="0" w:color="auto"/>
                        <w:left w:val="none" w:sz="0" w:space="0" w:color="auto"/>
                        <w:bottom w:val="none" w:sz="0" w:space="0" w:color="auto"/>
                        <w:right w:val="none" w:sz="0" w:space="0" w:color="auto"/>
                      </w:divBdr>
                    </w:div>
                  </w:divsChild>
                </w:div>
                <w:div w:id="1472668810">
                  <w:marLeft w:val="0"/>
                  <w:marRight w:val="0"/>
                  <w:marTop w:val="0"/>
                  <w:marBottom w:val="0"/>
                  <w:divBdr>
                    <w:top w:val="none" w:sz="0" w:space="0" w:color="auto"/>
                    <w:left w:val="none" w:sz="0" w:space="0" w:color="auto"/>
                    <w:bottom w:val="none" w:sz="0" w:space="0" w:color="auto"/>
                    <w:right w:val="none" w:sz="0" w:space="0" w:color="auto"/>
                  </w:divBdr>
                  <w:divsChild>
                    <w:div w:id="875508678">
                      <w:marLeft w:val="0"/>
                      <w:marRight w:val="0"/>
                      <w:marTop w:val="0"/>
                      <w:marBottom w:val="0"/>
                      <w:divBdr>
                        <w:top w:val="none" w:sz="0" w:space="0" w:color="auto"/>
                        <w:left w:val="none" w:sz="0" w:space="0" w:color="auto"/>
                        <w:bottom w:val="none" w:sz="0" w:space="0" w:color="auto"/>
                        <w:right w:val="none" w:sz="0" w:space="0" w:color="auto"/>
                      </w:divBdr>
                    </w:div>
                  </w:divsChild>
                </w:div>
                <w:div w:id="1477843855">
                  <w:marLeft w:val="0"/>
                  <w:marRight w:val="0"/>
                  <w:marTop w:val="0"/>
                  <w:marBottom w:val="0"/>
                  <w:divBdr>
                    <w:top w:val="none" w:sz="0" w:space="0" w:color="auto"/>
                    <w:left w:val="none" w:sz="0" w:space="0" w:color="auto"/>
                    <w:bottom w:val="none" w:sz="0" w:space="0" w:color="auto"/>
                    <w:right w:val="none" w:sz="0" w:space="0" w:color="auto"/>
                  </w:divBdr>
                  <w:divsChild>
                    <w:div w:id="1303656364">
                      <w:marLeft w:val="0"/>
                      <w:marRight w:val="0"/>
                      <w:marTop w:val="0"/>
                      <w:marBottom w:val="0"/>
                      <w:divBdr>
                        <w:top w:val="none" w:sz="0" w:space="0" w:color="auto"/>
                        <w:left w:val="none" w:sz="0" w:space="0" w:color="auto"/>
                        <w:bottom w:val="none" w:sz="0" w:space="0" w:color="auto"/>
                        <w:right w:val="none" w:sz="0" w:space="0" w:color="auto"/>
                      </w:divBdr>
                    </w:div>
                  </w:divsChild>
                </w:div>
                <w:div w:id="1478493487">
                  <w:marLeft w:val="0"/>
                  <w:marRight w:val="0"/>
                  <w:marTop w:val="0"/>
                  <w:marBottom w:val="0"/>
                  <w:divBdr>
                    <w:top w:val="none" w:sz="0" w:space="0" w:color="auto"/>
                    <w:left w:val="none" w:sz="0" w:space="0" w:color="auto"/>
                    <w:bottom w:val="none" w:sz="0" w:space="0" w:color="auto"/>
                    <w:right w:val="none" w:sz="0" w:space="0" w:color="auto"/>
                  </w:divBdr>
                  <w:divsChild>
                    <w:div w:id="1499418805">
                      <w:marLeft w:val="0"/>
                      <w:marRight w:val="0"/>
                      <w:marTop w:val="0"/>
                      <w:marBottom w:val="0"/>
                      <w:divBdr>
                        <w:top w:val="none" w:sz="0" w:space="0" w:color="auto"/>
                        <w:left w:val="none" w:sz="0" w:space="0" w:color="auto"/>
                        <w:bottom w:val="none" w:sz="0" w:space="0" w:color="auto"/>
                        <w:right w:val="none" w:sz="0" w:space="0" w:color="auto"/>
                      </w:divBdr>
                    </w:div>
                  </w:divsChild>
                </w:div>
                <w:div w:id="1478958137">
                  <w:marLeft w:val="0"/>
                  <w:marRight w:val="0"/>
                  <w:marTop w:val="0"/>
                  <w:marBottom w:val="0"/>
                  <w:divBdr>
                    <w:top w:val="none" w:sz="0" w:space="0" w:color="auto"/>
                    <w:left w:val="none" w:sz="0" w:space="0" w:color="auto"/>
                    <w:bottom w:val="none" w:sz="0" w:space="0" w:color="auto"/>
                    <w:right w:val="none" w:sz="0" w:space="0" w:color="auto"/>
                  </w:divBdr>
                  <w:divsChild>
                    <w:div w:id="1666397220">
                      <w:marLeft w:val="0"/>
                      <w:marRight w:val="0"/>
                      <w:marTop w:val="0"/>
                      <w:marBottom w:val="0"/>
                      <w:divBdr>
                        <w:top w:val="none" w:sz="0" w:space="0" w:color="auto"/>
                        <w:left w:val="none" w:sz="0" w:space="0" w:color="auto"/>
                        <w:bottom w:val="none" w:sz="0" w:space="0" w:color="auto"/>
                        <w:right w:val="none" w:sz="0" w:space="0" w:color="auto"/>
                      </w:divBdr>
                    </w:div>
                  </w:divsChild>
                </w:div>
                <w:div w:id="1483617517">
                  <w:marLeft w:val="0"/>
                  <w:marRight w:val="0"/>
                  <w:marTop w:val="0"/>
                  <w:marBottom w:val="0"/>
                  <w:divBdr>
                    <w:top w:val="none" w:sz="0" w:space="0" w:color="auto"/>
                    <w:left w:val="none" w:sz="0" w:space="0" w:color="auto"/>
                    <w:bottom w:val="none" w:sz="0" w:space="0" w:color="auto"/>
                    <w:right w:val="none" w:sz="0" w:space="0" w:color="auto"/>
                  </w:divBdr>
                  <w:divsChild>
                    <w:div w:id="1566604546">
                      <w:marLeft w:val="0"/>
                      <w:marRight w:val="0"/>
                      <w:marTop w:val="0"/>
                      <w:marBottom w:val="0"/>
                      <w:divBdr>
                        <w:top w:val="none" w:sz="0" w:space="0" w:color="auto"/>
                        <w:left w:val="none" w:sz="0" w:space="0" w:color="auto"/>
                        <w:bottom w:val="none" w:sz="0" w:space="0" w:color="auto"/>
                        <w:right w:val="none" w:sz="0" w:space="0" w:color="auto"/>
                      </w:divBdr>
                    </w:div>
                  </w:divsChild>
                </w:div>
                <w:div w:id="1489516369">
                  <w:marLeft w:val="0"/>
                  <w:marRight w:val="0"/>
                  <w:marTop w:val="0"/>
                  <w:marBottom w:val="0"/>
                  <w:divBdr>
                    <w:top w:val="none" w:sz="0" w:space="0" w:color="auto"/>
                    <w:left w:val="none" w:sz="0" w:space="0" w:color="auto"/>
                    <w:bottom w:val="none" w:sz="0" w:space="0" w:color="auto"/>
                    <w:right w:val="none" w:sz="0" w:space="0" w:color="auto"/>
                  </w:divBdr>
                  <w:divsChild>
                    <w:div w:id="1686133502">
                      <w:marLeft w:val="0"/>
                      <w:marRight w:val="0"/>
                      <w:marTop w:val="0"/>
                      <w:marBottom w:val="0"/>
                      <w:divBdr>
                        <w:top w:val="none" w:sz="0" w:space="0" w:color="auto"/>
                        <w:left w:val="none" w:sz="0" w:space="0" w:color="auto"/>
                        <w:bottom w:val="none" w:sz="0" w:space="0" w:color="auto"/>
                        <w:right w:val="none" w:sz="0" w:space="0" w:color="auto"/>
                      </w:divBdr>
                    </w:div>
                  </w:divsChild>
                </w:div>
                <w:div w:id="1495337895">
                  <w:marLeft w:val="0"/>
                  <w:marRight w:val="0"/>
                  <w:marTop w:val="0"/>
                  <w:marBottom w:val="0"/>
                  <w:divBdr>
                    <w:top w:val="none" w:sz="0" w:space="0" w:color="auto"/>
                    <w:left w:val="none" w:sz="0" w:space="0" w:color="auto"/>
                    <w:bottom w:val="none" w:sz="0" w:space="0" w:color="auto"/>
                    <w:right w:val="none" w:sz="0" w:space="0" w:color="auto"/>
                  </w:divBdr>
                  <w:divsChild>
                    <w:div w:id="1512990920">
                      <w:marLeft w:val="0"/>
                      <w:marRight w:val="0"/>
                      <w:marTop w:val="0"/>
                      <w:marBottom w:val="0"/>
                      <w:divBdr>
                        <w:top w:val="none" w:sz="0" w:space="0" w:color="auto"/>
                        <w:left w:val="none" w:sz="0" w:space="0" w:color="auto"/>
                        <w:bottom w:val="none" w:sz="0" w:space="0" w:color="auto"/>
                        <w:right w:val="none" w:sz="0" w:space="0" w:color="auto"/>
                      </w:divBdr>
                    </w:div>
                  </w:divsChild>
                </w:div>
                <w:div w:id="1497963511">
                  <w:marLeft w:val="0"/>
                  <w:marRight w:val="0"/>
                  <w:marTop w:val="0"/>
                  <w:marBottom w:val="0"/>
                  <w:divBdr>
                    <w:top w:val="none" w:sz="0" w:space="0" w:color="auto"/>
                    <w:left w:val="none" w:sz="0" w:space="0" w:color="auto"/>
                    <w:bottom w:val="none" w:sz="0" w:space="0" w:color="auto"/>
                    <w:right w:val="none" w:sz="0" w:space="0" w:color="auto"/>
                  </w:divBdr>
                  <w:divsChild>
                    <w:div w:id="1427381472">
                      <w:marLeft w:val="0"/>
                      <w:marRight w:val="0"/>
                      <w:marTop w:val="0"/>
                      <w:marBottom w:val="0"/>
                      <w:divBdr>
                        <w:top w:val="none" w:sz="0" w:space="0" w:color="auto"/>
                        <w:left w:val="none" w:sz="0" w:space="0" w:color="auto"/>
                        <w:bottom w:val="none" w:sz="0" w:space="0" w:color="auto"/>
                        <w:right w:val="none" w:sz="0" w:space="0" w:color="auto"/>
                      </w:divBdr>
                    </w:div>
                  </w:divsChild>
                </w:div>
                <w:div w:id="1498106939">
                  <w:marLeft w:val="0"/>
                  <w:marRight w:val="0"/>
                  <w:marTop w:val="0"/>
                  <w:marBottom w:val="0"/>
                  <w:divBdr>
                    <w:top w:val="none" w:sz="0" w:space="0" w:color="auto"/>
                    <w:left w:val="none" w:sz="0" w:space="0" w:color="auto"/>
                    <w:bottom w:val="none" w:sz="0" w:space="0" w:color="auto"/>
                    <w:right w:val="none" w:sz="0" w:space="0" w:color="auto"/>
                  </w:divBdr>
                  <w:divsChild>
                    <w:div w:id="998197719">
                      <w:marLeft w:val="0"/>
                      <w:marRight w:val="0"/>
                      <w:marTop w:val="0"/>
                      <w:marBottom w:val="0"/>
                      <w:divBdr>
                        <w:top w:val="none" w:sz="0" w:space="0" w:color="auto"/>
                        <w:left w:val="none" w:sz="0" w:space="0" w:color="auto"/>
                        <w:bottom w:val="none" w:sz="0" w:space="0" w:color="auto"/>
                        <w:right w:val="none" w:sz="0" w:space="0" w:color="auto"/>
                      </w:divBdr>
                    </w:div>
                  </w:divsChild>
                </w:div>
                <w:div w:id="1499424798">
                  <w:marLeft w:val="0"/>
                  <w:marRight w:val="0"/>
                  <w:marTop w:val="0"/>
                  <w:marBottom w:val="0"/>
                  <w:divBdr>
                    <w:top w:val="none" w:sz="0" w:space="0" w:color="auto"/>
                    <w:left w:val="none" w:sz="0" w:space="0" w:color="auto"/>
                    <w:bottom w:val="none" w:sz="0" w:space="0" w:color="auto"/>
                    <w:right w:val="none" w:sz="0" w:space="0" w:color="auto"/>
                  </w:divBdr>
                  <w:divsChild>
                    <w:div w:id="1845705848">
                      <w:marLeft w:val="0"/>
                      <w:marRight w:val="0"/>
                      <w:marTop w:val="0"/>
                      <w:marBottom w:val="0"/>
                      <w:divBdr>
                        <w:top w:val="none" w:sz="0" w:space="0" w:color="auto"/>
                        <w:left w:val="none" w:sz="0" w:space="0" w:color="auto"/>
                        <w:bottom w:val="none" w:sz="0" w:space="0" w:color="auto"/>
                        <w:right w:val="none" w:sz="0" w:space="0" w:color="auto"/>
                      </w:divBdr>
                    </w:div>
                  </w:divsChild>
                </w:div>
                <w:div w:id="1501234549">
                  <w:marLeft w:val="0"/>
                  <w:marRight w:val="0"/>
                  <w:marTop w:val="0"/>
                  <w:marBottom w:val="0"/>
                  <w:divBdr>
                    <w:top w:val="none" w:sz="0" w:space="0" w:color="auto"/>
                    <w:left w:val="none" w:sz="0" w:space="0" w:color="auto"/>
                    <w:bottom w:val="none" w:sz="0" w:space="0" w:color="auto"/>
                    <w:right w:val="none" w:sz="0" w:space="0" w:color="auto"/>
                  </w:divBdr>
                  <w:divsChild>
                    <w:div w:id="913197494">
                      <w:marLeft w:val="0"/>
                      <w:marRight w:val="0"/>
                      <w:marTop w:val="0"/>
                      <w:marBottom w:val="0"/>
                      <w:divBdr>
                        <w:top w:val="none" w:sz="0" w:space="0" w:color="auto"/>
                        <w:left w:val="none" w:sz="0" w:space="0" w:color="auto"/>
                        <w:bottom w:val="none" w:sz="0" w:space="0" w:color="auto"/>
                        <w:right w:val="none" w:sz="0" w:space="0" w:color="auto"/>
                      </w:divBdr>
                    </w:div>
                  </w:divsChild>
                </w:div>
                <w:div w:id="1502545298">
                  <w:marLeft w:val="0"/>
                  <w:marRight w:val="0"/>
                  <w:marTop w:val="0"/>
                  <w:marBottom w:val="0"/>
                  <w:divBdr>
                    <w:top w:val="none" w:sz="0" w:space="0" w:color="auto"/>
                    <w:left w:val="none" w:sz="0" w:space="0" w:color="auto"/>
                    <w:bottom w:val="none" w:sz="0" w:space="0" w:color="auto"/>
                    <w:right w:val="none" w:sz="0" w:space="0" w:color="auto"/>
                  </w:divBdr>
                  <w:divsChild>
                    <w:div w:id="1408502767">
                      <w:marLeft w:val="0"/>
                      <w:marRight w:val="0"/>
                      <w:marTop w:val="0"/>
                      <w:marBottom w:val="0"/>
                      <w:divBdr>
                        <w:top w:val="none" w:sz="0" w:space="0" w:color="auto"/>
                        <w:left w:val="none" w:sz="0" w:space="0" w:color="auto"/>
                        <w:bottom w:val="none" w:sz="0" w:space="0" w:color="auto"/>
                        <w:right w:val="none" w:sz="0" w:space="0" w:color="auto"/>
                      </w:divBdr>
                    </w:div>
                  </w:divsChild>
                </w:div>
                <w:div w:id="1508670420">
                  <w:marLeft w:val="0"/>
                  <w:marRight w:val="0"/>
                  <w:marTop w:val="0"/>
                  <w:marBottom w:val="0"/>
                  <w:divBdr>
                    <w:top w:val="none" w:sz="0" w:space="0" w:color="auto"/>
                    <w:left w:val="none" w:sz="0" w:space="0" w:color="auto"/>
                    <w:bottom w:val="none" w:sz="0" w:space="0" w:color="auto"/>
                    <w:right w:val="none" w:sz="0" w:space="0" w:color="auto"/>
                  </w:divBdr>
                  <w:divsChild>
                    <w:div w:id="679312819">
                      <w:marLeft w:val="0"/>
                      <w:marRight w:val="0"/>
                      <w:marTop w:val="0"/>
                      <w:marBottom w:val="0"/>
                      <w:divBdr>
                        <w:top w:val="none" w:sz="0" w:space="0" w:color="auto"/>
                        <w:left w:val="none" w:sz="0" w:space="0" w:color="auto"/>
                        <w:bottom w:val="none" w:sz="0" w:space="0" w:color="auto"/>
                        <w:right w:val="none" w:sz="0" w:space="0" w:color="auto"/>
                      </w:divBdr>
                    </w:div>
                  </w:divsChild>
                </w:div>
                <w:div w:id="1517185922">
                  <w:marLeft w:val="0"/>
                  <w:marRight w:val="0"/>
                  <w:marTop w:val="0"/>
                  <w:marBottom w:val="0"/>
                  <w:divBdr>
                    <w:top w:val="none" w:sz="0" w:space="0" w:color="auto"/>
                    <w:left w:val="none" w:sz="0" w:space="0" w:color="auto"/>
                    <w:bottom w:val="none" w:sz="0" w:space="0" w:color="auto"/>
                    <w:right w:val="none" w:sz="0" w:space="0" w:color="auto"/>
                  </w:divBdr>
                  <w:divsChild>
                    <w:div w:id="938683651">
                      <w:marLeft w:val="0"/>
                      <w:marRight w:val="0"/>
                      <w:marTop w:val="0"/>
                      <w:marBottom w:val="0"/>
                      <w:divBdr>
                        <w:top w:val="none" w:sz="0" w:space="0" w:color="auto"/>
                        <w:left w:val="none" w:sz="0" w:space="0" w:color="auto"/>
                        <w:bottom w:val="none" w:sz="0" w:space="0" w:color="auto"/>
                        <w:right w:val="none" w:sz="0" w:space="0" w:color="auto"/>
                      </w:divBdr>
                    </w:div>
                  </w:divsChild>
                </w:div>
                <w:div w:id="1525748733">
                  <w:marLeft w:val="0"/>
                  <w:marRight w:val="0"/>
                  <w:marTop w:val="0"/>
                  <w:marBottom w:val="0"/>
                  <w:divBdr>
                    <w:top w:val="none" w:sz="0" w:space="0" w:color="auto"/>
                    <w:left w:val="none" w:sz="0" w:space="0" w:color="auto"/>
                    <w:bottom w:val="none" w:sz="0" w:space="0" w:color="auto"/>
                    <w:right w:val="none" w:sz="0" w:space="0" w:color="auto"/>
                  </w:divBdr>
                  <w:divsChild>
                    <w:div w:id="766124046">
                      <w:marLeft w:val="0"/>
                      <w:marRight w:val="0"/>
                      <w:marTop w:val="0"/>
                      <w:marBottom w:val="0"/>
                      <w:divBdr>
                        <w:top w:val="none" w:sz="0" w:space="0" w:color="auto"/>
                        <w:left w:val="none" w:sz="0" w:space="0" w:color="auto"/>
                        <w:bottom w:val="none" w:sz="0" w:space="0" w:color="auto"/>
                        <w:right w:val="none" w:sz="0" w:space="0" w:color="auto"/>
                      </w:divBdr>
                    </w:div>
                  </w:divsChild>
                </w:div>
                <w:div w:id="1529949654">
                  <w:marLeft w:val="0"/>
                  <w:marRight w:val="0"/>
                  <w:marTop w:val="0"/>
                  <w:marBottom w:val="0"/>
                  <w:divBdr>
                    <w:top w:val="none" w:sz="0" w:space="0" w:color="auto"/>
                    <w:left w:val="none" w:sz="0" w:space="0" w:color="auto"/>
                    <w:bottom w:val="none" w:sz="0" w:space="0" w:color="auto"/>
                    <w:right w:val="none" w:sz="0" w:space="0" w:color="auto"/>
                  </w:divBdr>
                  <w:divsChild>
                    <w:div w:id="150995103">
                      <w:marLeft w:val="0"/>
                      <w:marRight w:val="0"/>
                      <w:marTop w:val="0"/>
                      <w:marBottom w:val="0"/>
                      <w:divBdr>
                        <w:top w:val="none" w:sz="0" w:space="0" w:color="auto"/>
                        <w:left w:val="none" w:sz="0" w:space="0" w:color="auto"/>
                        <w:bottom w:val="none" w:sz="0" w:space="0" w:color="auto"/>
                        <w:right w:val="none" w:sz="0" w:space="0" w:color="auto"/>
                      </w:divBdr>
                    </w:div>
                  </w:divsChild>
                </w:div>
                <w:div w:id="1539273873">
                  <w:marLeft w:val="0"/>
                  <w:marRight w:val="0"/>
                  <w:marTop w:val="0"/>
                  <w:marBottom w:val="0"/>
                  <w:divBdr>
                    <w:top w:val="none" w:sz="0" w:space="0" w:color="auto"/>
                    <w:left w:val="none" w:sz="0" w:space="0" w:color="auto"/>
                    <w:bottom w:val="none" w:sz="0" w:space="0" w:color="auto"/>
                    <w:right w:val="none" w:sz="0" w:space="0" w:color="auto"/>
                  </w:divBdr>
                  <w:divsChild>
                    <w:div w:id="1604144449">
                      <w:marLeft w:val="0"/>
                      <w:marRight w:val="0"/>
                      <w:marTop w:val="0"/>
                      <w:marBottom w:val="0"/>
                      <w:divBdr>
                        <w:top w:val="none" w:sz="0" w:space="0" w:color="auto"/>
                        <w:left w:val="none" w:sz="0" w:space="0" w:color="auto"/>
                        <w:bottom w:val="none" w:sz="0" w:space="0" w:color="auto"/>
                        <w:right w:val="none" w:sz="0" w:space="0" w:color="auto"/>
                      </w:divBdr>
                    </w:div>
                  </w:divsChild>
                </w:div>
                <w:div w:id="1544244032">
                  <w:marLeft w:val="0"/>
                  <w:marRight w:val="0"/>
                  <w:marTop w:val="0"/>
                  <w:marBottom w:val="0"/>
                  <w:divBdr>
                    <w:top w:val="none" w:sz="0" w:space="0" w:color="auto"/>
                    <w:left w:val="none" w:sz="0" w:space="0" w:color="auto"/>
                    <w:bottom w:val="none" w:sz="0" w:space="0" w:color="auto"/>
                    <w:right w:val="none" w:sz="0" w:space="0" w:color="auto"/>
                  </w:divBdr>
                  <w:divsChild>
                    <w:div w:id="774449147">
                      <w:marLeft w:val="0"/>
                      <w:marRight w:val="0"/>
                      <w:marTop w:val="0"/>
                      <w:marBottom w:val="0"/>
                      <w:divBdr>
                        <w:top w:val="none" w:sz="0" w:space="0" w:color="auto"/>
                        <w:left w:val="none" w:sz="0" w:space="0" w:color="auto"/>
                        <w:bottom w:val="none" w:sz="0" w:space="0" w:color="auto"/>
                        <w:right w:val="none" w:sz="0" w:space="0" w:color="auto"/>
                      </w:divBdr>
                    </w:div>
                  </w:divsChild>
                </w:div>
                <w:div w:id="1554777341">
                  <w:marLeft w:val="0"/>
                  <w:marRight w:val="0"/>
                  <w:marTop w:val="0"/>
                  <w:marBottom w:val="0"/>
                  <w:divBdr>
                    <w:top w:val="none" w:sz="0" w:space="0" w:color="auto"/>
                    <w:left w:val="none" w:sz="0" w:space="0" w:color="auto"/>
                    <w:bottom w:val="none" w:sz="0" w:space="0" w:color="auto"/>
                    <w:right w:val="none" w:sz="0" w:space="0" w:color="auto"/>
                  </w:divBdr>
                  <w:divsChild>
                    <w:div w:id="44530832">
                      <w:marLeft w:val="0"/>
                      <w:marRight w:val="0"/>
                      <w:marTop w:val="0"/>
                      <w:marBottom w:val="0"/>
                      <w:divBdr>
                        <w:top w:val="none" w:sz="0" w:space="0" w:color="auto"/>
                        <w:left w:val="none" w:sz="0" w:space="0" w:color="auto"/>
                        <w:bottom w:val="none" w:sz="0" w:space="0" w:color="auto"/>
                        <w:right w:val="none" w:sz="0" w:space="0" w:color="auto"/>
                      </w:divBdr>
                    </w:div>
                  </w:divsChild>
                </w:div>
                <w:div w:id="1556500940">
                  <w:marLeft w:val="0"/>
                  <w:marRight w:val="0"/>
                  <w:marTop w:val="0"/>
                  <w:marBottom w:val="0"/>
                  <w:divBdr>
                    <w:top w:val="none" w:sz="0" w:space="0" w:color="auto"/>
                    <w:left w:val="none" w:sz="0" w:space="0" w:color="auto"/>
                    <w:bottom w:val="none" w:sz="0" w:space="0" w:color="auto"/>
                    <w:right w:val="none" w:sz="0" w:space="0" w:color="auto"/>
                  </w:divBdr>
                  <w:divsChild>
                    <w:div w:id="1238707702">
                      <w:marLeft w:val="0"/>
                      <w:marRight w:val="0"/>
                      <w:marTop w:val="0"/>
                      <w:marBottom w:val="0"/>
                      <w:divBdr>
                        <w:top w:val="none" w:sz="0" w:space="0" w:color="auto"/>
                        <w:left w:val="none" w:sz="0" w:space="0" w:color="auto"/>
                        <w:bottom w:val="none" w:sz="0" w:space="0" w:color="auto"/>
                        <w:right w:val="none" w:sz="0" w:space="0" w:color="auto"/>
                      </w:divBdr>
                    </w:div>
                  </w:divsChild>
                </w:div>
                <w:div w:id="1559633967">
                  <w:marLeft w:val="0"/>
                  <w:marRight w:val="0"/>
                  <w:marTop w:val="0"/>
                  <w:marBottom w:val="0"/>
                  <w:divBdr>
                    <w:top w:val="none" w:sz="0" w:space="0" w:color="auto"/>
                    <w:left w:val="none" w:sz="0" w:space="0" w:color="auto"/>
                    <w:bottom w:val="none" w:sz="0" w:space="0" w:color="auto"/>
                    <w:right w:val="none" w:sz="0" w:space="0" w:color="auto"/>
                  </w:divBdr>
                  <w:divsChild>
                    <w:div w:id="711005818">
                      <w:marLeft w:val="0"/>
                      <w:marRight w:val="0"/>
                      <w:marTop w:val="0"/>
                      <w:marBottom w:val="0"/>
                      <w:divBdr>
                        <w:top w:val="none" w:sz="0" w:space="0" w:color="auto"/>
                        <w:left w:val="none" w:sz="0" w:space="0" w:color="auto"/>
                        <w:bottom w:val="none" w:sz="0" w:space="0" w:color="auto"/>
                        <w:right w:val="none" w:sz="0" w:space="0" w:color="auto"/>
                      </w:divBdr>
                    </w:div>
                  </w:divsChild>
                </w:div>
                <w:div w:id="1566991501">
                  <w:marLeft w:val="0"/>
                  <w:marRight w:val="0"/>
                  <w:marTop w:val="0"/>
                  <w:marBottom w:val="0"/>
                  <w:divBdr>
                    <w:top w:val="none" w:sz="0" w:space="0" w:color="auto"/>
                    <w:left w:val="none" w:sz="0" w:space="0" w:color="auto"/>
                    <w:bottom w:val="none" w:sz="0" w:space="0" w:color="auto"/>
                    <w:right w:val="none" w:sz="0" w:space="0" w:color="auto"/>
                  </w:divBdr>
                  <w:divsChild>
                    <w:div w:id="755974948">
                      <w:marLeft w:val="0"/>
                      <w:marRight w:val="0"/>
                      <w:marTop w:val="0"/>
                      <w:marBottom w:val="0"/>
                      <w:divBdr>
                        <w:top w:val="none" w:sz="0" w:space="0" w:color="auto"/>
                        <w:left w:val="none" w:sz="0" w:space="0" w:color="auto"/>
                        <w:bottom w:val="none" w:sz="0" w:space="0" w:color="auto"/>
                        <w:right w:val="none" w:sz="0" w:space="0" w:color="auto"/>
                      </w:divBdr>
                    </w:div>
                  </w:divsChild>
                </w:div>
                <w:div w:id="1573000685">
                  <w:marLeft w:val="0"/>
                  <w:marRight w:val="0"/>
                  <w:marTop w:val="0"/>
                  <w:marBottom w:val="0"/>
                  <w:divBdr>
                    <w:top w:val="none" w:sz="0" w:space="0" w:color="auto"/>
                    <w:left w:val="none" w:sz="0" w:space="0" w:color="auto"/>
                    <w:bottom w:val="none" w:sz="0" w:space="0" w:color="auto"/>
                    <w:right w:val="none" w:sz="0" w:space="0" w:color="auto"/>
                  </w:divBdr>
                  <w:divsChild>
                    <w:div w:id="230893426">
                      <w:marLeft w:val="0"/>
                      <w:marRight w:val="0"/>
                      <w:marTop w:val="0"/>
                      <w:marBottom w:val="0"/>
                      <w:divBdr>
                        <w:top w:val="none" w:sz="0" w:space="0" w:color="auto"/>
                        <w:left w:val="none" w:sz="0" w:space="0" w:color="auto"/>
                        <w:bottom w:val="none" w:sz="0" w:space="0" w:color="auto"/>
                        <w:right w:val="none" w:sz="0" w:space="0" w:color="auto"/>
                      </w:divBdr>
                    </w:div>
                  </w:divsChild>
                </w:div>
                <w:div w:id="1584608050">
                  <w:marLeft w:val="0"/>
                  <w:marRight w:val="0"/>
                  <w:marTop w:val="0"/>
                  <w:marBottom w:val="0"/>
                  <w:divBdr>
                    <w:top w:val="none" w:sz="0" w:space="0" w:color="auto"/>
                    <w:left w:val="none" w:sz="0" w:space="0" w:color="auto"/>
                    <w:bottom w:val="none" w:sz="0" w:space="0" w:color="auto"/>
                    <w:right w:val="none" w:sz="0" w:space="0" w:color="auto"/>
                  </w:divBdr>
                  <w:divsChild>
                    <w:div w:id="1356231223">
                      <w:marLeft w:val="0"/>
                      <w:marRight w:val="0"/>
                      <w:marTop w:val="0"/>
                      <w:marBottom w:val="0"/>
                      <w:divBdr>
                        <w:top w:val="none" w:sz="0" w:space="0" w:color="auto"/>
                        <w:left w:val="none" w:sz="0" w:space="0" w:color="auto"/>
                        <w:bottom w:val="none" w:sz="0" w:space="0" w:color="auto"/>
                        <w:right w:val="none" w:sz="0" w:space="0" w:color="auto"/>
                      </w:divBdr>
                    </w:div>
                  </w:divsChild>
                </w:div>
                <w:div w:id="1589532620">
                  <w:marLeft w:val="0"/>
                  <w:marRight w:val="0"/>
                  <w:marTop w:val="0"/>
                  <w:marBottom w:val="0"/>
                  <w:divBdr>
                    <w:top w:val="none" w:sz="0" w:space="0" w:color="auto"/>
                    <w:left w:val="none" w:sz="0" w:space="0" w:color="auto"/>
                    <w:bottom w:val="none" w:sz="0" w:space="0" w:color="auto"/>
                    <w:right w:val="none" w:sz="0" w:space="0" w:color="auto"/>
                  </w:divBdr>
                  <w:divsChild>
                    <w:div w:id="1730377906">
                      <w:marLeft w:val="0"/>
                      <w:marRight w:val="0"/>
                      <w:marTop w:val="0"/>
                      <w:marBottom w:val="0"/>
                      <w:divBdr>
                        <w:top w:val="none" w:sz="0" w:space="0" w:color="auto"/>
                        <w:left w:val="none" w:sz="0" w:space="0" w:color="auto"/>
                        <w:bottom w:val="none" w:sz="0" w:space="0" w:color="auto"/>
                        <w:right w:val="none" w:sz="0" w:space="0" w:color="auto"/>
                      </w:divBdr>
                    </w:div>
                  </w:divsChild>
                </w:div>
                <w:div w:id="1589928133">
                  <w:marLeft w:val="0"/>
                  <w:marRight w:val="0"/>
                  <w:marTop w:val="0"/>
                  <w:marBottom w:val="0"/>
                  <w:divBdr>
                    <w:top w:val="none" w:sz="0" w:space="0" w:color="auto"/>
                    <w:left w:val="none" w:sz="0" w:space="0" w:color="auto"/>
                    <w:bottom w:val="none" w:sz="0" w:space="0" w:color="auto"/>
                    <w:right w:val="none" w:sz="0" w:space="0" w:color="auto"/>
                  </w:divBdr>
                  <w:divsChild>
                    <w:div w:id="1504474289">
                      <w:marLeft w:val="0"/>
                      <w:marRight w:val="0"/>
                      <w:marTop w:val="0"/>
                      <w:marBottom w:val="0"/>
                      <w:divBdr>
                        <w:top w:val="none" w:sz="0" w:space="0" w:color="auto"/>
                        <w:left w:val="none" w:sz="0" w:space="0" w:color="auto"/>
                        <w:bottom w:val="none" w:sz="0" w:space="0" w:color="auto"/>
                        <w:right w:val="none" w:sz="0" w:space="0" w:color="auto"/>
                      </w:divBdr>
                    </w:div>
                  </w:divsChild>
                </w:div>
                <w:div w:id="1594388089">
                  <w:marLeft w:val="0"/>
                  <w:marRight w:val="0"/>
                  <w:marTop w:val="0"/>
                  <w:marBottom w:val="0"/>
                  <w:divBdr>
                    <w:top w:val="none" w:sz="0" w:space="0" w:color="auto"/>
                    <w:left w:val="none" w:sz="0" w:space="0" w:color="auto"/>
                    <w:bottom w:val="none" w:sz="0" w:space="0" w:color="auto"/>
                    <w:right w:val="none" w:sz="0" w:space="0" w:color="auto"/>
                  </w:divBdr>
                  <w:divsChild>
                    <w:div w:id="165704978">
                      <w:marLeft w:val="0"/>
                      <w:marRight w:val="0"/>
                      <w:marTop w:val="0"/>
                      <w:marBottom w:val="0"/>
                      <w:divBdr>
                        <w:top w:val="none" w:sz="0" w:space="0" w:color="auto"/>
                        <w:left w:val="none" w:sz="0" w:space="0" w:color="auto"/>
                        <w:bottom w:val="none" w:sz="0" w:space="0" w:color="auto"/>
                        <w:right w:val="none" w:sz="0" w:space="0" w:color="auto"/>
                      </w:divBdr>
                    </w:div>
                  </w:divsChild>
                </w:div>
                <w:div w:id="1594896411">
                  <w:marLeft w:val="0"/>
                  <w:marRight w:val="0"/>
                  <w:marTop w:val="0"/>
                  <w:marBottom w:val="0"/>
                  <w:divBdr>
                    <w:top w:val="none" w:sz="0" w:space="0" w:color="auto"/>
                    <w:left w:val="none" w:sz="0" w:space="0" w:color="auto"/>
                    <w:bottom w:val="none" w:sz="0" w:space="0" w:color="auto"/>
                    <w:right w:val="none" w:sz="0" w:space="0" w:color="auto"/>
                  </w:divBdr>
                  <w:divsChild>
                    <w:div w:id="625543618">
                      <w:marLeft w:val="0"/>
                      <w:marRight w:val="0"/>
                      <w:marTop w:val="0"/>
                      <w:marBottom w:val="0"/>
                      <w:divBdr>
                        <w:top w:val="none" w:sz="0" w:space="0" w:color="auto"/>
                        <w:left w:val="none" w:sz="0" w:space="0" w:color="auto"/>
                        <w:bottom w:val="none" w:sz="0" w:space="0" w:color="auto"/>
                        <w:right w:val="none" w:sz="0" w:space="0" w:color="auto"/>
                      </w:divBdr>
                    </w:div>
                  </w:divsChild>
                </w:div>
                <w:div w:id="1609776395">
                  <w:marLeft w:val="0"/>
                  <w:marRight w:val="0"/>
                  <w:marTop w:val="0"/>
                  <w:marBottom w:val="0"/>
                  <w:divBdr>
                    <w:top w:val="none" w:sz="0" w:space="0" w:color="auto"/>
                    <w:left w:val="none" w:sz="0" w:space="0" w:color="auto"/>
                    <w:bottom w:val="none" w:sz="0" w:space="0" w:color="auto"/>
                    <w:right w:val="none" w:sz="0" w:space="0" w:color="auto"/>
                  </w:divBdr>
                  <w:divsChild>
                    <w:div w:id="501428760">
                      <w:marLeft w:val="0"/>
                      <w:marRight w:val="0"/>
                      <w:marTop w:val="0"/>
                      <w:marBottom w:val="0"/>
                      <w:divBdr>
                        <w:top w:val="none" w:sz="0" w:space="0" w:color="auto"/>
                        <w:left w:val="none" w:sz="0" w:space="0" w:color="auto"/>
                        <w:bottom w:val="none" w:sz="0" w:space="0" w:color="auto"/>
                        <w:right w:val="none" w:sz="0" w:space="0" w:color="auto"/>
                      </w:divBdr>
                    </w:div>
                  </w:divsChild>
                </w:div>
                <w:div w:id="1611551407">
                  <w:marLeft w:val="0"/>
                  <w:marRight w:val="0"/>
                  <w:marTop w:val="0"/>
                  <w:marBottom w:val="0"/>
                  <w:divBdr>
                    <w:top w:val="none" w:sz="0" w:space="0" w:color="auto"/>
                    <w:left w:val="none" w:sz="0" w:space="0" w:color="auto"/>
                    <w:bottom w:val="none" w:sz="0" w:space="0" w:color="auto"/>
                    <w:right w:val="none" w:sz="0" w:space="0" w:color="auto"/>
                  </w:divBdr>
                  <w:divsChild>
                    <w:div w:id="1151603365">
                      <w:marLeft w:val="0"/>
                      <w:marRight w:val="0"/>
                      <w:marTop w:val="0"/>
                      <w:marBottom w:val="0"/>
                      <w:divBdr>
                        <w:top w:val="none" w:sz="0" w:space="0" w:color="auto"/>
                        <w:left w:val="none" w:sz="0" w:space="0" w:color="auto"/>
                        <w:bottom w:val="none" w:sz="0" w:space="0" w:color="auto"/>
                        <w:right w:val="none" w:sz="0" w:space="0" w:color="auto"/>
                      </w:divBdr>
                    </w:div>
                  </w:divsChild>
                </w:div>
                <w:div w:id="1611741809">
                  <w:marLeft w:val="0"/>
                  <w:marRight w:val="0"/>
                  <w:marTop w:val="0"/>
                  <w:marBottom w:val="0"/>
                  <w:divBdr>
                    <w:top w:val="none" w:sz="0" w:space="0" w:color="auto"/>
                    <w:left w:val="none" w:sz="0" w:space="0" w:color="auto"/>
                    <w:bottom w:val="none" w:sz="0" w:space="0" w:color="auto"/>
                    <w:right w:val="none" w:sz="0" w:space="0" w:color="auto"/>
                  </w:divBdr>
                  <w:divsChild>
                    <w:div w:id="744959972">
                      <w:marLeft w:val="0"/>
                      <w:marRight w:val="0"/>
                      <w:marTop w:val="0"/>
                      <w:marBottom w:val="0"/>
                      <w:divBdr>
                        <w:top w:val="none" w:sz="0" w:space="0" w:color="auto"/>
                        <w:left w:val="none" w:sz="0" w:space="0" w:color="auto"/>
                        <w:bottom w:val="none" w:sz="0" w:space="0" w:color="auto"/>
                        <w:right w:val="none" w:sz="0" w:space="0" w:color="auto"/>
                      </w:divBdr>
                    </w:div>
                  </w:divsChild>
                </w:div>
                <w:div w:id="1621961129">
                  <w:marLeft w:val="0"/>
                  <w:marRight w:val="0"/>
                  <w:marTop w:val="0"/>
                  <w:marBottom w:val="0"/>
                  <w:divBdr>
                    <w:top w:val="none" w:sz="0" w:space="0" w:color="auto"/>
                    <w:left w:val="none" w:sz="0" w:space="0" w:color="auto"/>
                    <w:bottom w:val="none" w:sz="0" w:space="0" w:color="auto"/>
                    <w:right w:val="none" w:sz="0" w:space="0" w:color="auto"/>
                  </w:divBdr>
                  <w:divsChild>
                    <w:div w:id="2084912305">
                      <w:marLeft w:val="0"/>
                      <w:marRight w:val="0"/>
                      <w:marTop w:val="0"/>
                      <w:marBottom w:val="0"/>
                      <w:divBdr>
                        <w:top w:val="none" w:sz="0" w:space="0" w:color="auto"/>
                        <w:left w:val="none" w:sz="0" w:space="0" w:color="auto"/>
                        <w:bottom w:val="none" w:sz="0" w:space="0" w:color="auto"/>
                        <w:right w:val="none" w:sz="0" w:space="0" w:color="auto"/>
                      </w:divBdr>
                    </w:div>
                  </w:divsChild>
                </w:div>
                <w:div w:id="1623730649">
                  <w:marLeft w:val="0"/>
                  <w:marRight w:val="0"/>
                  <w:marTop w:val="0"/>
                  <w:marBottom w:val="0"/>
                  <w:divBdr>
                    <w:top w:val="none" w:sz="0" w:space="0" w:color="auto"/>
                    <w:left w:val="none" w:sz="0" w:space="0" w:color="auto"/>
                    <w:bottom w:val="none" w:sz="0" w:space="0" w:color="auto"/>
                    <w:right w:val="none" w:sz="0" w:space="0" w:color="auto"/>
                  </w:divBdr>
                  <w:divsChild>
                    <w:div w:id="509374261">
                      <w:marLeft w:val="0"/>
                      <w:marRight w:val="0"/>
                      <w:marTop w:val="0"/>
                      <w:marBottom w:val="0"/>
                      <w:divBdr>
                        <w:top w:val="none" w:sz="0" w:space="0" w:color="auto"/>
                        <w:left w:val="none" w:sz="0" w:space="0" w:color="auto"/>
                        <w:bottom w:val="none" w:sz="0" w:space="0" w:color="auto"/>
                        <w:right w:val="none" w:sz="0" w:space="0" w:color="auto"/>
                      </w:divBdr>
                    </w:div>
                  </w:divsChild>
                </w:div>
                <w:div w:id="1626548388">
                  <w:marLeft w:val="0"/>
                  <w:marRight w:val="0"/>
                  <w:marTop w:val="0"/>
                  <w:marBottom w:val="0"/>
                  <w:divBdr>
                    <w:top w:val="none" w:sz="0" w:space="0" w:color="auto"/>
                    <w:left w:val="none" w:sz="0" w:space="0" w:color="auto"/>
                    <w:bottom w:val="none" w:sz="0" w:space="0" w:color="auto"/>
                    <w:right w:val="none" w:sz="0" w:space="0" w:color="auto"/>
                  </w:divBdr>
                  <w:divsChild>
                    <w:div w:id="1358773545">
                      <w:marLeft w:val="0"/>
                      <w:marRight w:val="0"/>
                      <w:marTop w:val="0"/>
                      <w:marBottom w:val="0"/>
                      <w:divBdr>
                        <w:top w:val="none" w:sz="0" w:space="0" w:color="auto"/>
                        <w:left w:val="none" w:sz="0" w:space="0" w:color="auto"/>
                        <w:bottom w:val="none" w:sz="0" w:space="0" w:color="auto"/>
                        <w:right w:val="none" w:sz="0" w:space="0" w:color="auto"/>
                      </w:divBdr>
                    </w:div>
                  </w:divsChild>
                </w:div>
                <w:div w:id="1639532041">
                  <w:marLeft w:val="0"/>
                  <w:marRight w:val="0"/>
                  <w:marTop w:val="0"/>
                  <w:marBottom w:val="0"/>
                  <w:divBdr>
                    <w:top w:val="none" w:sz="0" w:space="0" w:color="auto"/>
                    <w:left w:val="none" w:sz="0" w:space="0" w:color="auto"/>
                    <w:bottom w:val="none" w:sz="0" w:space="0" w:color="auto"/>
                    <w:right w:val="none" w:sz="0" w:space="0" w:color="auto"/>
                  </w:divBdr>
                  <w:divsChild>
                    <w:div w:id="899170301">
                      <w:marLeft w:val="0"/>
                      <w:marRight w:val="0"/>
                      <w:marTop w:val="0"/>
                      <w:marBottom w:val="0"/>
                      <w:divBdr>
                        <w:top w:val="none" w:sz="0" w:space="0" w:color="auto"/>
                        <w:left w:val="none" w:sz="0" w:space="0" w:color="auto"/>
                        <w:bottom w:val="none" w:sz="0" w:space="0" w:color="auto"/>
                        <w:right w:val="none" w:sz="0" w:space="0" w:color="auto"/>
                      </w:divBdr>
                    </w:div>
                  </w:divsChild>
                </w:div>
                <w:div w:id="1643653548">
                  <w:marLeft w:val="0"/>
                  <w:marRight w:val="0"/>
                  <w:marTop w:val="0"/>
                  <w:marBottom w:val="0"/>
                  <w:divBdr>
                    <w:top w:val="none" w:sz="0" w:space="0" w:color="auto"/>
                    <w:left w:val="none" w:sz="0" w:space="0" w:color="auto"/>
                    <w:bottom w:val="none" w:sz="0" w:space="0" w:color="auto"/>
                    <w:right w:val="none" w:sz="0" w:space="0" w:color="auto"/>
                  </w:divBdr>
                  <w:divsChild>
                    <w:div w:id="148374527">
                      <w:marLeft w:val="0"/>
                      <w:marRight w:val="0"/>
                      <w:marTop w:val="0"/>
                      <w:marBottom w:val="0"/>
                      <w:divBdr>
                        <w:top w:val="none" w:sz="0" w:space="0" w:color="auto"/>
                        <w:left w:val="none" w:sz="0" w:space="0" w:color="auto"/>
                        <w:bottom w:val="none" w:sz="0" w:space="0" w:color="auto"/>
                        <w:right w:val="none" w:sz="0" w:space="0" w:color="auto"/>
                      </w:divBdr>
                    </w:div>
                  </w:divsChild>
                </w:div>
                <w:div w:id="1652563905">
                  <w:marLeft w:val="0"/>
                  <w:marRight w:val="0"/>
                  <w:marTop w:val="0"/>
                  <w:marBottom w:val="0"/>
                  <w:divBdr>
                    <w:top w:val="none" w:sz="0" w:space="0" w:color="auto"/>
                    <w:left w:val="none" w:sz="0" w:space="0" w:color="auto"/>
                    <w:bottom w:val="none" w:sz="0" w:space="0" w:color="auto"/>
                    <w:right w:val="none" w:sz="0" w:space="0" w:color="auto"/>
                  </w:divBdr>
                  <w:divsChild>
                    <w:div w:id="1756706649">
                      <w:marLeft w:val="0"/>
                      <w:marRight w:val="0"/>
                      <w:marTop w:val="0"/>
                      <w:marBottom w:val="0"/>
                      <w:divBdr>
                        <w:top w:val="none" w:sz="0" w:space="0" w:color="auto"/>
                        <w:left w:val="none" w:sz="0" w:space="0" w:color="auto"/>
                        <w:bottom w:val="none" w:sz="0" w:space="0" w:color="auto"/>
                        <w:right w:val="none" w:sz="0" w:space="0" w:color="auto"/>
                      </w:divBdr>
                    </w:div>
                  </w:divsChild>
                </w:div>
                <w:div w:id="1653216731">
                  <w:marLeft w:val="0"/>
                  <w:marRight w:val="0"/>
                  <w:marTop w:val="0"/>
                  <w:marBottom w:val="0"/>
                  <w:divBdr>
                    <w:top w:val="none" w:sz="0" w:space="0" w:color="auto"/>
                    <w:left w:val="none" w:sz="0" w:space="0" w:color="auto"/>
                    <w:bottom w:val="none" w:sz="0" w:space="0" w:color="auto"/>
                    <w:right w:val="none" w:sz="0" w:space="0" w:color="auto"/>
                  </w:divBdr>
                  <w:divsChild>
                    <w:div w:id="1909029182">
                      <w:marLeft w:val="0"/>
                      <w:marRight w:val="0"/>
                      <w:marTop w:val="0"/>
                      <w:marBottom w:val="0"/>
                      <w:divBdr>
                        <w:top w:val="none" w:sz="0" w:space="0" w:color="auto"/>
                        <w:left w:val="none" w:sz="0" w:space="0" w:color="auto"/>
                        <w:bottom w:val="none" w:sz="0" w:space="0" w:color="auto"/>
                        <w:right w:val="none" w:sz="0" w:space="0" w:color="auto"/>
                      </w:divBdr>
                    </w:div>
                  </w:divsChild>
                </w:div>
                <w:div w:id="1653824165">
                  <w:marLeft w:val="0"/>
                  <w:marRight w:val="0"/>
                  <w:marTop w:val="0"/>
                  <w:marBottom w:val="0"/>
                  <w:divBdr>
                    <w:top w:val="none" w:sz="0" w:space="0" w:color="auto"/>
                    <w:left w:val="none" w:sz="0" w:space="0" w:color="auto"/>
                    <w:bottom w:val="none" w:sz="0" w:space="0" w:color="auto"/>
                    <w:right w:val="none" w:sz="0" w:space="0" w:color="auto"/>
                  </w:divBdr>
                  <w:divsChild>
                    <w:div w:id="1345012973">
                      <w:marLeft w:val="0"/>
                      <w:marRight w:val="0"/>
                      <w:marTop w:val="0"/>
                      <w:marBottom w:val="0"/>
                      <w:divBdr>
                        <w:top w:val="none" w:sz="0" w:space="0" w:color="auto"/>
                        <w:left w:val="none" w:sz="0" w:space="0" w:color="auto"/>
                        <w:bottom w:val="none" w:sz="0" w:space="0" w:color="auto"/>
                        <w:right w:val="none" w:sz="0" w:space="0" w:color="auto"/>
                      </w:divBdr>
                    </w:div>
                  </w:divsChild>
                </w:div>
                <w:div w:id="1655376456">
                  <w:marLeft w:val="0"/>
                  <w:marRight w:val="0"/>
                  <w:marTop w:val="0"/>
                  <w:marBottom w:val="0"/>
                  <w:divBdr>
                    <w:top w:val="none" w:sz="0" w:space="0" w:color="auto"/>
                    <w:left w:val="none" w:sz="0" w:space="0" w:color="auto"/>
                    <w:bottom w:val="none" w:sz="0" w:space="0" w:color="auto"/>
                    <w:right w:val="none" w:sz="0" w:space="0" w:color="auto"/>
                  </w:divBdr>
                  <w:divsChild>
                    <w:div w:id="1098254376">
                      <w:marLeft w:val="0"/>
                      <w:marRight w:val="0"/>
                      <w:marTop w:val="0"/>
                      <w:marBottom w:val="0"/>
                      <w:divBdr>
                        <w:top w:val="none" w:sz="0" w:space="0" w:color="auto"/>
                        <w:left w:val="none" w:sz="0" w:space="0" w:color="auto"/>
                        <w:bottom w:val="none" w:sz="0" w:space="0" w:color="auto"/>
                        <w:right w:val="none" w:sz="0" w:space="0" w:color="auto"/>
                      </w:divBdr>
                    </w:div>
                  </w:divsChild>
                </w:div>
                <w:div w:id="1664626803">
                  <w:marLeft w:val="0"/>
                  <w:marRight w:val="0"/>
                  <w:marTop w:val="0"/>
                  <w:marBottom w:val="0"/>
                  <w:divBdr>
                    <w:top w:val="none" w:sz="0" w:space="0" w:color="auto"/>
                    <w:left w:val="none" w:sz="0" w:space="0" w:color="auto"/>
                    <w:bottom w:val="none" w:sz="0" w:space="0" w:color="auto"/>
                    <w:right w:val="none" w:sz="0" w:space="0" w:color="auto"/>
                  </w:divBdr>
                  <w:divsChild>
                    <w:div w:id="1352142575">
                      <w:marLeft w:val="0"/>
                      <w:marRight w:val="0"/>
                      <w:marTop w:val="0"/>
                      <w:marBottom w:val="0"/>
                      <w:divBdr>
                        <w:top w:val="none" w:sz="0" w:space="0" w:color="auto"/>
                        <w:left w:val="none" w:sz="0" w:space="0" w:color="auto"/>
                        <w:bottom w:val="none" w:sz="0" w:space="0" w:color="auto"/>
                        <w:right w:val="none" w:sz="0" w:space="0" w:color="auto"/>
                      </w:divBdr>
                    </w:div>
                  </w:divsChild>
                </w:div>
                <w:div w:id="1677491868">
                  <w:marLeft w:val="0"/>
                  <w:marRight w:val="0"/>
                  <w:marTop w:val="0"/>
                  <w:marBottom w:val="0"/>
                  <w:divBdr>
                    <w:top w:val="none" w:sz="0" w:space="0" w:color="auto"/>
                    <w:left w:val="none" w:sz="0" w:space="0" w:color="auto"/>
                    <w:bottom w:val="none" w:sz="0" w:space="0" w:color="auto"/>
                    <w:right w:val="none" w:sz="0" w:space="0" w:color="auto"/>
                  </w:divBdr>
                  <w:divsChild>
                    <w:div w:id="2006593862">
                      <w:marLeft w:val="0"/>
                      <w:marRight w:val="0"/>
                      <w:marTop w:val="0"/>
                      <w:marBottom w:val="0"/>
                      <w:divBdr>
                        <w:top w:val="none" w:sz="0" w:space="0" w:color="auto"/>
                        <w:left w:val="none" w:sz="0" w:space="0" w:color="auto"/>
                        <w:bottom w:val="none" w:sz="0" w:space="0" w:color="auto"/>
                        <w:right w:val="none" w:sz="0" w:space="0" w:color="auto"/>
                      </w:divBdr>
                    </w:div>
                  </w:divsChild>
                </w:div>
                <w:div w:id="1680086106">
                  <w:marLeft w:val="0"/>
                  <w:marRight w:val="0"/>
                  <w:marTop w:val="0"/>
                  <w:marBottom w:val="0"/>
                  <w:divBdr>
                    <w:top w:val="none" w:sz="0" w:space="0" w:color="auto"/>
                    <w:left w:val="none" w:sz="0" w:space="0" w:color="auto"/>
                    <w:bottom w:val="none" w:sz="0" w:space="0" w:color="auto"/>
                    <w:right w:val="none" w:sz="0" w:space="0" w:color="auto"/>
                  </w:divBdr>
                  <w:divsChild>
                    <w:div w:id="502358969">
                      <w:marLeft w:val="0"/>
                      <w:marRight w:val="0"/>
                      <w:marTop w:val="0"/>
                      <w:marBottom w:val="0"/>
                      <w:divBdr>
                        <w:top w:val="none" w:sz="0" w:space="0" w:color="auto"/>
                        <w:left w:val="none" w:sz="0" w:space="0" w:color="auto"/>
                        <w:bottom w:val="none" w:sz="0" w:space="0" w:color="auto"/>
                        <w:right w:val="none" w:sz="0" w:space="0" w:color="auto"/>
                      </w:divBdr>
                    </w:div>
                  </w:divsChild>
                </w:div>
                <w:div w:id="1680309336">
                  <w:marLeft w:val="0"/>
                  <w:marRight w:val="0"/>
                  <w:marTop w:val="0"/>
                  <w:marBottom w:val="0"/>
                  <w:divBdr>
                    <w:top w:val="none" w:sz="0" w:space="0" w:color="auto"/>
                    <w:left w:val="none" w:sz="0" w:space="0" w:color="auto"/>
                    <w:bottom w:val="none" w:sz="0" w:space="0" w:color="auto"/>
                    <w:right w:val="none" w:sz="0" w:space="0" w:color="auto"/>
                  </w:divBdr>
                  <w:divsChild>
                    <w:div w:id="1490488247">
                      <w:marLeft w:val="0"/>
                      <w:marRight w:val="0"/>
                      <w:marTop w:val="0"/>
                      <w:marBottom w:val="0"/>
                      <w:divBdr>
                        <w:top w:val="none" w:sz="0" w:space="0" w:color="auto"/>
                        <w:left w:val="none" w:sz="0" w:space="0" w:color="auto"/>
                        <w:bottom w:val="none" w:sz="0" w:space="0" w:color="auto"/>
                        <w:right w:val="none" w:sz="0" w:space="0" w:color="auto"/>
                      </w:divBdr>
                    </w:div>
                  </w:divsChild>
                </w:div>
                <w:div w:id="1686901246">
                  <w:marLeft w:val="0"/>
                  <w:marRight w:val="0"/>
                  <w:marTop w:val="0"/>
                  <w:marBottom w:val="0"/>
                  <w:divBdr>
                    <w:top w:val="none" w:sz="0" w:space="0" w:color="auto"/>
                    <w:left w:val="none" w:sz="0" w:space="0" w:color="auto"/>
                    <w:bottom w:val="none" w:sz="0" w:space="0" w:color="auto"/>
                    <w:right w:val="none" w:sz="0" w:space="0" w:color="auto"/>
                  </w:divBdr>
                  <w:divsChild>
                    <w:div w:id="545407407">
                      <w:marLeft w:val="0"/>
                      <w:marRight w:val="0"/>
                      <w:marTop w:val="0"/>
                      <w:marBottom w:val="0"/>
                      <w:divBdr>
                        <w:top w:val="none" w:sz="0" w:space="0" w:color="auto"/>
                        <w:left w:val="none" w:sz="0" w:space="0" w:color="auto"/>
                        <w:bottom w:val="none" w:sz="0" w:space="0" w:color="auto"/>
                        <w:right w:val="none" w:sz="0" w:space="0" w:color="auto"/>
                      </w:divBdr>
                    </w:div>
                  </w:divsChild>
                </w:div>
                <w:div w:id="1691683075">
                  <w:marLeft w:val="0"/>
                  <w:marRight w:val="0"/>
                  <w:marTop w:val="0"/>
                  <w:marBottom w:val="0"/>
                  <w:divBdr>
                    <w:top w:val="none" w:sz="0" w:space="0" w:color="auto"/>
                    <w:left w:val="none" w:sz="0" w:space="0" w:color="auto"/>
                    <w:bottom w:val="none" w:sz="0" w:space="0" w:color="auto"/>
                    <w:right w:val="none" w:sz="0" w:space="0" w:color="auto"/>
                  </w:divBdr>
                  <w:divsChild>
                    <w:div w:id="1872455643">
                      <w:marLeft w:val="0"/>
                      <w:marRight w:val="0"/>
                      <w:marTop w:val="0"/>
                      <w:marBottom w:val="0"/>
                      <w:divBdr>
                        <w:top w:val="none" w:sz="0" w:space="0" w:color="auto"/>
                        <w:left w:val="none" w:sz="0" w:space="0" w:color="auto"/>
                        <w:bottom w:val="none" w:sz="0" w:space="0" w:color="auto"/>
                        <w:right w:val="none" w:sz="0" w:space="0" w:color="auto"/>
                      </w:divBdr>
                    </w:div>
                  </w:divsChild>
                </w:div>
                <w:div w:id="1704014681">
                  <w:marLeft w:val="0"/>
                  <w:marRight w:val="0"/>
                  <w:marTop w:val="0"/>
                  <w:marBottom w:val="0"/>
                  <w:divBdr>
                    <w:top w:val="none" w:sz="0" w:space="0" w:color="auto"/>
                    <w:left w:val="none" w:sz="0" w:space="0" w:color="auto"/>
                    <w:bottom w:val="none" w:sz="0" w:space="0" w:color="auto"/>
                    <w:right w:val="none" w:sz="0" w:space="0" w:color="auto"/>
                  </w:divBdr>
                  <w:divsChild>
                    <w:div w:id="613486836">
                      <w:marLeft w:val="0"/>
                      <w:marRight w:val="0"/>
                      <w:marTop w:val="0"/>
                      <w:marBottom w:val="0"/>
                      <w:divBdr>
                        <w:top w:val="none" w:sz="0" w:space="0" w:color="auto"/>
                        <w:left w:val="none" w:sz="0" w:space="0" w:color="auto"/>
                        <w:bottom w:val="none" w:sz="0" w:space="0" w:color="auto"/>
                        <w:right w:val="none" w:sz="0" w:space="0" w:color="auto"/>
                      </w:divBdr>
                    </w:div>
                  </w:divsChild>
                </w:div>
                <w:div w:id="1709866665">
                  <w:marLeft w:val="0"/>
                  <w:marRight w:val="0"/>
                  <w:marTop w:val="0"/>
                  <w:marBottom w:val="0"/>
                  <w:divBdr>
                    <w:top w:val="none" w:sz="0" w:space="0" w:color="auto"/>
                    <w:left w:val="none" w:sz="0" w:space="0" w:color="auto"/>
                    <w:bottom w:val="none" w:sz="0" w:space="0" w:color="auto"/>
                    <w:right w:val="none" w:sz="0" w:space="0" w:color="auto"/>
                  </w:divBdr>
                  <w:divsChild>
                    <w:div w:id="694305839">
                      <w:marLeft w:val="0"/>
                      <w:marRight w:val="0"/>
                      <w:marTop w:val="0"/>
                      <w:marBottom w:val="0"/>
                      <w:divBdr>
                        <w:top w:val="none" w:sz="0" w:space="0" w:color="auto"/>
                        <w:left w:val="none" w:sz="0" w:space="0" w:color="auto"/>
                        <w:bottom w:val="none" w:sz="0" w:space="0" w:color="auto"/>
                        <w:right w:val="none" w:sz="0" w:space="0" w:color="auto"/>
                      </w:divBdr>
                    </w:div>
                  </w:divsChild>
                </w:div>
                <w:div w:id="1719430505">
                  <w:marLeft w:val="0"/>
                  <w:marRight w:val="0"/>
                  <w:marTop w:val="0"/>
                  <w:marBottom w:val="0"/>
                  <w:divBdr>
                    <w:top w:val="none" w:sz="0" w:space="0" w:color="auto"/>
                    <w:left w:val="none" w:sz="0" w:space="0" w:color="auto"/>
                    <w:bottom w:val="none" w:sz="0" w:space="0" w:color="auto"/>
                    <w:right w:val="none" w:sz="0" w:space="0" w:color="auto"/>
                  </w:divBdr>
                  <w:divsChild>
                    <w:div w:id="713582408">
                      <w:marLeft w:val="0"/>
                      <w:marRight w:val="0"/>
                      <w:marTop w:val="0"/>
                      <w:marBottom w:val="0"/>
                      <w:divBdr>
                        <w:top w:val="none" w:sz="0" w:space="0" w:color="auto"/>
                        <w:left w:val="none" w:sz="0" w:space="0" w:color="auto"/>
                        <w:bottom w:val="none" w:sz="0" w:space="0" w:color="auto"/>
                        <w:right w:val="none" w:sz="0" w:space="0" w:color="auto"/>
                      </w:divBdr>
                    </w:div>
                  </w:divsChild>
                </w:div>
                <w:div w:id="1724210213">
                  <w:marLeft w:val="0"/>
                  <w:marRight w:val="0"/>
                  <w:marTop w:val="0"/>
                  <w:marBottom w:val="0"/>
                  <w:divBdr>
                    <w:top w:val="none" w:sz="0" w:space="0" w:color="auto"/>
                    <w:left w:val="none" w:sz="0" w:space="0" w:color="auto"/>
                    <w:bottom w:val="none" w:sz="0" w:space="0" w:color="auto"/>
                    <w:right w:val="none" w:sz="0" w:space="0" w:color="auto"/>
                  </w:divBdr>
                  <w:divsChild>
                    <w:div w:id="413160974">
                      <w:marLeft w:val="0"/>
                      <w:marRight w:val="0"/>
                      <w:marTop w:val="0"/>
                      <w:marBottom w:val="0"/>
                      <w:divBdr>
                        <w:top w:val="none" w:sz="0" w:space="0" w:color="auto"/>
                        <w:left w:val="none" w:sz="0" w:space="0" w:color="auto"/>
                        <w:bottom w:val="none" w:sz="0" w:space="0" w:color="auto"/>
                        <w:right w:val="none" w:sz="0" w:space="0" w:color="auto"/>
                      </w:divBdr>
                    </w:div>
                  </w:divsChild>
                </w:div>
                <w:div w:id="1725566810">
                  <w:marLeft w:val="0"/>
                  <w:marRight w:val="0"/>
                  <w:marTop w:val="0"/>
                  <w:marBottom w:val="0"/>
                  <w:divBdr>
                    <w:top w:val="none" w:sz="0" w:space="0" w:color="auto"/>
                    <w:left w:val="none" w:sz="0" w:space="0" w:color="auto"/>
                    <w:bottom w:val="none" w:sz="0" w:space="0" w:color="auto"/>
                    <w:right w:val="none" w:sz="0" w:space="0" w:color="auto"/>
                  </w:divBdr>
                  <w:divsChild>
                    <w:div w:id="814760730">
                      <w:marLeft w:val="0"/>
                      <w:marRight w:val="0"/>
                      <w:marTop w:val="0"/>
                      <w:marBottom w:val="0"/>
                      <w:divBdr>
                        <w:top w:val="none" w:sz="0" w:space="0" w:color="auto"/>
                        <w:left w:val="none" w:sz="0" w:space="0" w:color="auto"/>
                        <w:bottom w:val="none" w:sz="0" w:space="0" w:color="auto"/>
                        <w:right w:val="none" w:sz="0" w:space="0" w:color="auto"/>
                      </w:divBdr>
                    </w:div>
                  </w:divsChild>
                </w:div>
                <w:div w:id="1728411939">
                  <w:marLeft w:val="0"/>
                  <w:marRight w:val="0"/>
                  <w:marTop w:val="0"/>
                  <w:marBottom w:val="0"/>
                  <w:divBdr>
                    <w:top w:val="none" w:sz="0" w:space="0" w:color="auto"/>
                    <w:left w:val="none" w:sz="0" w:space="0" w:color="auto"/>
                    <w:bottom w:val="none" w:sz="0" w:space="0" w:color="auto"/>
                    <w:right w:val="none" w:sz="0" w:space="0" w:color="auto"/>
                  </w:divBdr>
                  <w:divsChild>
                    <w:div w:id="102114229">
                      <w:marLeft w:val="0"/>
                      <w:marRight w:val="0"/>
                      <w:marTop w:val="0"/>
                      <w:marBottom w:val="0"/>
                      <w:divBdr>
                        <w:top w:val="none" w:sz="0" w:space="0" w:color="auto"/>
                        <w:left w:val="none" w:sz="0" w:space="0" w:color="auto"/>
                        <w:bottom w:val="none" w:sz="0" w:space="0" w:color="auto"/>
                        <w:right w:val="none" w:sz="0" w:space="0" w:color="auto"/>
                      </w:divBdr>
                    </w:div>
                  </w:divsChild>
                </w:div>
                <w:div w:id="1744639976">
                  <w:marLeft w:val="0"/>
                  <w:marRight w:val="0"/>
                  <w:marTop w:val="0"/>
                  <w:marBottom w:val="0"/>
                  <w:divBdr>
                    <w:top w:val="none" w:sz="0" w:space="0" w:color="auto"/>
                    <w:left w:val="none" w:sz="0" w:space="0" w:color="auto"/>
                    <w:bottom w:val="none" w:sz="0" w:space="0" w:color="auto"/>
                    <w:right w:val="none" w:sz="0" w:space="0" w:color="auto"/>
                  </w:divBdr>
                  <w:divsChild>
                    <w:div w:id="172690919">
                      <w:marLeft w:val="0"/>
                      <w:marRight w:val="0"/>
                      <w:marTop w:val="0"/>
                      <w:marBottom w:val="0"/>
                      <w:divBdr>
                        <w:top w:val="none" w:sz="0" w:space="0" w:color="auto"/>
                        <w:left w:val="none" w:sz="0" w:space="0" w:color="auto"/>
                        <w:bottom w:val="none" w:sz="0" w:space="0" w:color="auto"/>
                        <w:right w:val="none" w:sz="0" w:space="0" w:color="auto"/>
                      </w:divBdr>
                    </w:div>
                  </w:divsChild>
                </w:div>
                <w:div w:id="1750425208">
                  <w:marLeft w:val="0"/>
                  <w:marRight w:val="0"/>
                  <w:marTop w:val="0"/>
                  <w:marBottom w:val="0"/>
                  <w:divBdr>
                    <w:top w:val="none" w:sz="0" w:space="0" w:color="auto"/>
                    <w:left w:val="none" w:sz="0" w:space="0" w:color="auto"/>
                    <w:bottom w:val="none" w:sz="0" w:space="0" w:color="auto"/>
                    <w:right w:val="none" w:sz="0" w:space="0" w:color="auto"/>
                  </w:divBdr>
                  <w:divsChild>
                    <w:div w:id="326831935">
                      <w:marLeft w:val="0"/>
                      <w:marRight w:val="0"/>
                      <w:marTop w:val="0"/>
                      <w:marBottom w:val="0"/>
                      <w:divBdr>
                        <w:top w:val="none" w:sz="0" w:space="0" w:color="auto"/>
                        <w:left w:val="none" w:sz="0" w:space="0" w:color="auto"/>
                        <w:bottom w:val="none" w:sz="0" w:space="0" w:color="auto"/>
                        <w:right w:val="none" w:sz="0" w:space="0" w:color="auto"/>
                      </w:divBdr>
                    </w:div>
                  </w:divsChild>
                </w:div>
                <w:div w:id="1752114798">
                  <w:marLeft w:val="0"/>
                  <w:marRight w:val="0"/>
                  <w:marTop w:val="0"/>
                  <w:marBottom w:val="0"/>
                  <w:divBdr>
                    <w:top w:val="none" w:sz="0" w:space="0" w:color="auto"/>
                    <w:left w:val="none" w:sz="0" w:space="0" w:color="auto"/>
                    <w:bottom w:val="none" w:sz="0" w:space="0" w:color="auto"/>
                    <w:right w:val="none" w:sz="0" w:space="0" w:color="auto"/>
                  </w:divBdr>
                  <w:divsChild>
                    <w:div w:id="1640454043">
                      <w:marLeft w:val="0"/>
                      <w:marRight w:val="0"/>
                      <w:marTop w:val="0"/>
                      <w:marBottom w:val="0"/>
                      <w:divBdr>
                        <w:top w:val="none" w:sz="0" w:space="0" w:color="auto"/>
                        <w:left w:val="none" w:sz="0" w:space="0" w:color="auto"/>
                        <w:bottom w:val="none" w:sz="0" w:space="0" w:color="auto"/>
                        <w:right w:val="none" w:sz="0" w:space="0" w:color="auto"/>
                      </w:divBdr>
                    </w:div>
                  </w:divsChild>
                </w:div>
                <w:div w:id="1769698006">
                  <w:marLeft w:val="0"/>
                  <w:marRight w:val="0"/>
                  <w:marTop w:val="0"/>
                  <w:marBottom w:val="0"/>
                  <w:divBdr>
                    <w:top w:val="none" w:sz="0" w:space="0" w:color="auto"/>
                    <w:left w:val="none" w:sz="0" w:space="0" w:color="auto"/>
                    <w:bottom w:val="none" w:sz="0" w:space="0" w:color="auto"/>
                    <w:right w:val="none" w:sz="0" w:space="0" w:color="auto"/>
                  </w:divBdr>
                  <w:divsChild>
                    <w:div w:id="1000042883">
                      <w:marLeft w:val="0"/>
                      <w:marRight w:val="0"/>
                      <w:marTop w:val="0"/>
                      <w:marBottom w:val="0"/>
                      <w:divBdr>
                        <w:top w:val="none" w:sz="0" w:space="0" w:color="auto"/>
                        <w:left w:val="none" w:sz="0" w:space="0" w:color="auto"/>
                        <w:bottom w:val="none" w:sz="0" w:space="0" w:color="auto"/>
                        <w:right w:val="none" w:sz="0" w:space="0" w:color="auto"/>
                      </w:divBdr>
                    </w:div>
                  </w:divsChild>
                </w:div>
                <w:div w:id="1769736303">
                  <w:marLeft w:val="0"/>
                  <w:marRight w:val="0"/>
                  <w:marTop w:val="0"/>
                  <w:marBottom w:val="0"/>
                  <w:divBdr>
                    <w:top w:val="none" w:sz="0" w:space="0" w:color="auto"/>
                    <w:left w:val="none" w:sz="0" w:space="0" w:color="auto"/>
                    <w:bottom w:val="none" w:sz="0" w:space="0" w:color="auto"/>
                    <w:right w:val="none" w:sz="0" w:space="0" w:color="auto"/>
                  </w:divBdr>
                  <w:divsChild>
                    <w:div w:id="1514416921">
                      <w:marLeft w:val="0"/>
                      <w:marRight w:val="0"/>
                      <w:marTop w:val="0"/>
                      <w:marBottom w:val="0"/>
                      <w:divBdr>
                        <w:top w:val="none" w:sz="0" w:space="0" w:color="auto"/>
                        <w:left w:val="none" w:sz="0" w:space="0" w:color="auto"/>
                        <w:bottom w:val="none" w:sz="0" w:space="0" w:color="auto"/>
                        <w:right w:val="none" w:sz="0" w:space="0" w:color="auto"/>
                      </w:divBdr>
                    </w:div>
                  </w:divsChild>
                </w:div>
                <w:div w:id="1777871447">
                  <w:marLeft w:val="0"/>
                  <w:marRight w:val="0"/>
                  <w:marTop w:val="0"/>
                  <w:marBottom w:val="0"/>
                  <w:divBdr>
                    <w:top w:val="none" w:sz="0" w:space="0" w:color="auto"/>
                    <w:left w:val="none" w:sz="0" w:space="0" w:color="auto"/>
                    <w:bottom w:val="none" w:sz="0" w:space="0" w:color="auto"/>
                    <w:right w:val="none" w:sz="0" w:space="0" w:color="auto"/>
                  </w:divBdr>
                  <w:divsChild>
                    <w:div w:id="1082262748">
                      <w:marLeft w:val="0"/>
                      <w:marRight w:val="0"/>
                      <w:marTop w:val="0"/>
                      <w:marBottom w:val="0"/>
                      <w:divBdr>
                        <w:top w:val="none" w:sz="0" w:space="0" w:color="auto"/>
                        <w:left w:val="none" w:sz="0" w:space="0" w:color="auto"/>
                        <w:bottom w:val="none" w:sz="0" w:space="0" w:color="auto"/>
                        <w:right w:val="none" w:sz="0" w:space="0" w:color="auto"/>
                      </w:divBdr>
                    </w:div>
                  </w:divsChild>
                </w:div>
                <w:div w:id="1779596271">
                  <w:marLeft w:val="0"/>
                  <w:marRight w:val="0"/>
                  <w:marTop w:val="0"/>
                  <w:marBottom w:val="0"/>
                  <w:divBdr>
                    <w:top w:val="none" w:sz="0" w:space="0" w:color="auto"/>
                    <w:left w:val="none" w:sz="0" w:space="0" w:color="auto"/>
                    <w:bottom w:val="none" w:sz="0" w:space="0" w:color="auto"/>
                    <w:right w:val="none" w:sz="0" w:space="0" w:color="auto"/>
                  </w:divBdr>
                  <w:divsChild>
                    <w:div w:id="363601131">
                      <w:marLeft w:val="0"/>
                      <w:marRight w:val="0"/>
                      <w:marTop w:val="0"/>
                      <w:marBottom w:val="0"/>
                      <w:divBdr>
                        <w:top w:val="none" w:sz="0" w:space="0" w:color="auto"/>
                        <w:left w:val="none" w:sz="0" w:space="0" w:color="auto"/>
                        <w:bottom w:val="none" w:sz="0" w:space="0" w:color="auto"/>
                        <w:right w:val="none" w:sz="0" w:space="0" w:color="auto"/>
                      </w:divBdr>
                    </w:div>
                  </w:divsChild>
                </w:div>
                <w:div w:id="1789738355">
                  <w:marLeft w:val="0"/>
                  <w:marRight w:val="0"/>
                  <w:marTop w:val="0"/>
                  <w:marBottom w:val="0"/>
                  <w:divBdr>
                    <w:top w:val="none" w:sz="0" w:space="0" w:color="auto"/>
                    <w:left w:val="none" w:sz="0" w:space="0" w:color="auto"/>
                    <w:bottom w:val="none" w:sz="0" w:space="0" w:color="auto"/>
                    <w:right w:val="none" w:sz="0" w:space="0" w:color="auto"/>
                  </w:divBdr>
                  <w:divsChild>
                    <w:div w:id="608198819">
                      <w:marLeft w:val="0"/>
                      <w:marRight w:val="0"/>
                      <w:marTop w:val="0"/>
                      <w:marBottom w:val="0"/>
                      <w:divBdr>
                        <w:top w:val="none" w:sz="0" w:space="0" w:color="auto"/>
                        <w:left w:val="none" w:sz="0" w:space="0" w:color="auto"/>
                        <w:bottom w:val="none" w:sz="0" w:space="0" w:color="auto"/>
                        <w:right w:val="none" w:sz="0" w:space="0" w:color="auto"/>
                      </w:divBdr>
                    </w:div>
                  </w:divsChild>
                </w:div>
                <w:div w:id="1791625606">
                  <w:marLeft w:val="0"/>
                  <w:marRight w:val="0"/>
                  <w:marTop w:val="0"/>
                  <w:marBottom w:val="0"/>
                  <w:divBdr>
                    <w:top w:val="none" w:sz="0" w:space="0" w:color="auto"/>
                    <w:left w:val="none" w:sz="0" w:space="0" w:color="auto"/>
                    <w:bottom w:val="none" w:sz="0" w:space="0" w:color="auto"/>
                    <w:right w:val="none" w:sz="0" w:space="0" w:color="auto"/>
                  </w:divBdr>
                  <w:divsChild>
                    <w:div w:id="388771325">
                      <w:marLeft w:val="0"/>
                      <w:marRight w:val="0"/>
                      <w:marTop w:val="0"/>
                      <w:marBottom w:val="0"/>
                      <w:divBdr>
                        <w:top w:val="none" w:sz="0" w:space="0" w:color="auto"/>
                        <w:left w:val="none" w:sz="0" w:space="0" w:color="auto"/>
                        <w:bottom w:val="none" w:sz="0" w:space="0" w:color="auto"/>
                        <w:right w:val="none" w:sz="0" w:space="0" w:color="auto"/>
                      </w:divBdr>
                    </w:div>
                  </w:divsChild>
                </w:div>
                <w:div w:id="1799225936">
                  <w:marLeft w:val="0"/>
                  <w:marRight w:val="0"/>
                  <w:marTop w:val="0"/>
                  <w:marBottom w:val="0"/>
                  <w:divBdr>
                    <w:top w:val="none" w:sz="0" w:space="0" w:color="auto"/>
                    <w:left w:val="none" w:sz="0" w:space="0" w:color="auto"/>
                    <w:bottom w:val="none" w:sz="0" w:space="0" w:color="auto"/>
                    <w:right w:val="none" w:sz="0" w:space="0" w:color="auto"/>
                  </w:divBdr>
                  <w:divsChild>
                    <w:div w:id="158425204">
                      <w:marLeft w:val="0"/>
                      <w:marRight w:val="0"/>
                      <w:marTop w:val="0"/>
                      <w:marBottom w:val="0"/>
                      <w:divBdr>
                        <w:top w:val="none" w:sz="0" w:space="0" w:color="auto"/>
                        <w:left w:val="none" w:sz="0" w:space="0" w:color="auto"/>
                        <w:bottom w:val="none" w:sz="0" w:space="0" w:color="auto"/>
                        <w:right w:val="none" w:sz="0" w:space="0" w:color="auto"/>
                      </w:divBdr>
                    </w:div>
                  </w:divsChild>
                </w:div>
                <w:div w:id="1799256898">
                  <w:marLeft w:val="0"/>
                  <w:marRight w:val="0"/>
                  <w:marTop w:val="0"/>
                  <w:marBottom w:val="0"/>
                  <w:divBdr>
                    <w:top w:val="none" w:sz="0" w:space="0" w:color="auto"/>
                    <w:left w:val="none" w:sz="0" w:space="0" w:color="auto"/>
                    <w:bottom w:val="none" w:sz="0" w:space="0" w:color="auto"/>
                    <w:right w:val="none" w:sz="0" w:space="0" w:color="auto"/>
                  </w:divBdr>
                  <w:divsChild>
                    <w:div w:id="1222787743">
                      <w:marLeft w:val="0"/>
                      <w:marRight w:val="0"/>
                      <w:marTop w:val="0"/>
                      <w:marBottom w:val="0"/>
                      <w:divBdr>
                        <w:top w:val="none" w:sz="0" w:space="0" w:color="auto"/>
                        <w:left w:val="none" w:sz="0" w:space="0" w:color="auto"/>
                        <w:bottom w:val="none" w:sz="0" w:space="0" w:color="auto"/>
                        <w:right w:val="none" w:sz="0" w:space="0" w:color="auto"/>
                      </w:divBdr>
                    </w:div>
                  </w:divsChild>
                </w:div>
                <w:div w:id="1809323360">
                  <w:marLeft w:val="0"/>
                  <w:marRight w:val="0"/>
                  <w:marTop w:val="0"/>
                  <w:marBottom w:val="0"/>
                  <w:divBdr>
                    <w:top w:val="none" w:sz="0" w:space="0" w:color="auto"/>
                    <w:left w:val="none" w:sz="0" w:space="0" w:color="auto"/>
                    <w:bottom w:val="none" w:sz="0" w:space="0" w:color="auto"/>
                    <w:right w:val="none" w:sz="0" w:space="0" w:color="auto"/>
                  </w:divBdr>
                  <w:divsChild>
                    <w:div w:id="315455319">
                      <w:marLeft w:val="0"/>
                      <w:marRight w:val="0"/>
                      <w:marTop w:val="0"/>
                      <w:marBottom w:val="0"/>
                      <w:divBdr>
                        <w:top w:val="none" w:sz="0" w:space="0" w:color="auto"/>
                        <w:left w:val="none" w:sz="0" w:space="0" w:color="auto"/>
                        <w:bottom w:val="none" w:sz="0" w:space="0" w:color="auto"/>
                        <w:right w:val="none" w:sz="0" w:space="0" w:color="auto"/>
                      </w:divBdr>
                    </w:div>
                  </w:divsChild>
                </w:div>
                <w:div w:id="1814058222">
                  <w:marLeft w:val="0"/>
                  <w:marRight w:val="0"/>
                  <w:marTop w:val="0"/>
                  <w:marBottom w:val="0"/>
                  <w:divBdr>
                    <w:top w:val="none" w:sz="0" w:space="0" w:color="auto"/>
                    <w:left w:val="none" w:sz="0" w:space="0" w:color="auto"/>
                    <w:bottom w:val="none" w:sz="0" w:space="0" w:color="auto"/>
                    <w:right w:val="none" w:sz="0" w:space="0" w:color="auto"/>
                  </w:divBdr>
                  <w:divsChild>
                    <w:div w:id="709497249">
                      <w:marLeft w:val="0"/>
                      <w:marRight w:val="0"/>
                      <w:marTop w:val="0"/>
                      <w:marBottom w:val="0"/>
                      <w:divBdr>
                        <w:top w:val="none" w:sz="0" w:space="0" w:color="auto"/>
                        <w:left w:val="none" w:sz="0" w:space="0" w:color="auto"/>
                        <w:bottom w:val="none" w:sz="0" w:space="0" w:color="auto"/>
                        <w:right w:val="none" w:sz="0" w:space="0" w:color="auto"/>
                      </w:divBdr>
                    </w:div>
                  </w:divsChild>
                </w:div>
                <w:div w:id="1815831102">
                  <w:marLeft w:val="0"/>
                  <w:marRight w:val="0"/>
                  <w:marTop w:val="0"/>
                  <w:marBottom w:val="0"/>
                  <w:divBdr>
                    <w:top w:val="none" w:sz="0" w:space="0" w:color="auto"/>
                    <w:left w:val="none" w:sz="0" w:space="0" w:color="auto"/>
                    <w:bottom w:val="none" w:sz="0" w:space="0" w:color="auto"/>
                    <w:right w:val="none" w:sz="0" w:space="0" w:color="auto"/>
                  </w:divBdr>
                  <w:divsChild>
                    <w:div w:id="1322584835">
                      <w:marLeft w:val="0"/>
                      <w:marRight w:val="0"/>
                      <w:marTop w:val="0"/>
                      <w:marBottom w:val="0"/>
                      <w:divBdr>
                        <w:top w:val="none" w:sz="0" w:space="0" w:color="auto"/>
                        <w:left w:val="none" w:sz="0" w:space="0" w:color="auto"/>
                        <w:bottom w:val="none" w:sz="0" w:space="0" w:color="auto"/>
                        <w:right w:val="none" w:sz="0" w:space="0" w:color="auto"/>
                      </w:divBdr>
                    </w:div>
                  </w:divsChild>
                </w:div>
                <w:div w:id="1820802231">
                  <w:marLeft w:val="0"/>
                  <w:marRight w:val="0"/>
                  <w:marTop w:val="0"/>
                  <w:marBottom w:val="0"/>
                  <w:divBdr>
                    <w:top w:val="none" w:sz="0" w:space="0" w:color="auto"/>
                    <w:left w:val="none" w:sz="0" w:space="0" w:color="auto"/>
                    <w:bottom w:val="none" w:sz="0" w:space="0" w:color="auto"/>
                    <w:right w:val="none" w:sz="0" w:space="0" w:color="auto"/>
                  </w:divBdr>
                  <w:divsChild>
                    <w:div w:id="1013068679">
                      <w:marLeft w:val="0"/>
                      <w:marRight w:val="0"/>
                      <w:marTop w:val="0"/>
                      <w:marBottom w:val="0"/>
                      <w:divBdr>
                        <w:top w:val="none" w:sz="0" w:space="0" w:color="auto"/>
                        <w:left w:val="none" w:sz="0" w:space="0" w:color="auto"/>
                        <w:bottom w:val="none" w:sz="0" w:space="0" w:color="auto"/>
                        <w:right w:val="none" w:sz="0" w:space="0" w:color="auto"/>
                      </w:divBdr>
                    </w:div>
                  </w:divsChild>
                </w:div>
                <w:div w:id="1822697305">
                  <w:marLeft w:val="0"/>
                  <w:marRight w:val="0"/>
                  <w:marTop w:val="0"/>
                  <w:marBottom w:val="0"/>
                  <w:divBdr>
                    <w:top w:val="none" w:sz="0" w:space="0" w:color="auto"/>
                    <w:left w:val="none" w:sz="0" w:space="0" w:color="auto"/>
                    <w:bottom w:val="none" w:sz="0" w:space="0" w:color="auto"/>
                    <w:right w:val="none" w:sz="0" w:space="0" w:color="auto"/>
                  </w:divBdr>
                  <w:divsChild>
                    <w:div w:id="2076471870">
                      <w:marLeft w:val="0"/>
                      <w:marRight w:val="0"/>
                      <w:marTop w:val="0"/>
                      <w:marBottom w:val="0"/>
                      <w:divBdr>
                        <w:top w:val="none" w:sz="0" w:space="0" w:color="auto"/>
                        <w:left w:val="none" w:sz="0" w:space="0" w:color="auto"/>
                        <w:bottom w:val="none" w:sz="0" w:space="0" w:color="auto"/>
                        <w:right w:val="none" w:sz="0" w:space="0" w:color="auto"/>
                      </w:divBdr>
                    </w:div>
                  </w:divsChild>
                </w:div>
                <w:div w:id="1824656013">
                  <w:marLeft w:val="0"/>
                  <w:marRight w:val="0"/>
                  <w:marTop w:val="0"/>
                  <w:marBottom w:val="0"/>
                  <w:divBdr>
                    <w:top w:val="none" w:sz="0" w:space="0" w:color="auto"/>
                    <w:left w:val="none" w:sz="0" w:space="0" w:color="auto"/>
                    <w:bottom w:val="none" w:sz="0" w:space="0" w:color="auto"/>
                    <w:right w:val="none" w:sz="0" w:space="0" w:color="auto"/>
                  </w:divBdr>
                  <w:divsChild>
                    <w:div w:id="1672374342">
                      <w:marLeft w:val="0"/>
                      <w:marRight w:val="0"/>
                      <w:marTop w:val="0"/>
                      <w:marBottom w:val="0"/>
                      <w:divBdr>
                        <w:top w:val="none" w:sz="0" w:space="0" w:color="auto"/>
                        <w:left w:val="none" w:sz="0" w:space="0" w:color="auto"/>
                        <w:bottom w:val="none" w:sz="0" w:space="0" w:color="auto"/>
                        <w:right w:val="none" w:sz="0" w:space="0" w:color="auto"/>
                      </w:divBdr>
                    </w:div>
                  </w:divsChild>
                </w:div>
                <w:div w:id="1842426932">
                  <w:marLeft w:val="0"/>
                  <w:marRight w:val="0"/>
                  <w:marTop w:val="0"/>
                  <w:marBottom w:val="0"/>
                  <w:divBdr>
                    <w:top w:val="none" w:sz="0" w:space="0" w:color="auto"/>
                    <w:left w:val="none" w:sz="0" w:space="0" w:color="auto"/>
                    <w:bottom w:val="none" w:sz="0" w:space="0" w:color="auto"/>
                    <w:right w:val="none" w:sz="0" w:space="0" w:color="auto"/>
                  </w:divBdr>
                  <w:divsChild>
                    <w:div w:id="1208489618">
                      <w:marLeft w:val="0"/>
                      <w:marRight w:val="0"/>
                      <w:marTop w:val="0"/>
                      <w:marBottom w:val="0"/>
                      <w:divBdr>
                        <w:top w:val="none" w:sz="0" w:space="0" w:color="auto"/>
                        <w:left w:val="none" w:sz="0" w:space="0" w:color="auto"/>
                        <w:bottom w:val="none" w:sz="0" w:space="0" w:color="auto"/>
                        <w:right w:val="none" w:sz="0" w:space="0" w:color="auto"/>
                      </w:divBdr>
                    </w:div>
                  </w:divsChild>
                </w:div>
                <w:div w:id="1847213152">
                  <w:marLeft w:val="0"/>
                  <w:marRight w:val="0"/>
                  <w:marTop w:val="0"/>
                  <w:marBottom w:val="0"/>
                  <w:divBdr>
                    <w:top w:val="none" w:sz="0" w:space="0" w:color="auto"/>
                    <w:left w:val="none" w:sz="0" w:space="0" w:color="auto"/>
                    <w:bottom w:val="none" w:sz="0" w:space="0" w:color="auto"/>
                    <w:right w:val="none" w:sz="0" w:space="0" w:color="auto"/>
                  </w:divBdr>
                  <w:divsChild>
                    <w:div w:id="1154486586">
                      <w:marLeft w:val="0"/>
                      <w:marRight w:val="0"/>
                      <w:marTop w:val="0"/>
                      <w:marBottom w:val="0"/>
                      <w:divBdr>
                        <w:top w:val="none" w:sz="0" w:space="0" w:color="auto"/>
                        <w:left w:val="none" w:sz="0" w:space="0" w:color="auto"/>
                        <w:bottom w:val="none" w:sz="0" w:space="0" w:color="auto"/>
                        <w:right w:val="none" w:sz="0" w:space="0" w:color="auto"/>
                      </w:divBdr>
                    </w:div>
                  </w:divsChild>
                </w:div>
                <w:div w:id="1853955649">
                  <w:marLeft w:val="0"/>
                  <w:marRight w:val="0"/>
                  <w:marTop w:val="0"/>
                  <w:marBottom w:val="0"/>
                  <w:divBdr>
                    <w:top w:val="none" w:sz="0" w:space="0" w:color="auto"/>
                    <w:left w:val="none" w:sz="0" w:space="0" w:color="auto"/>
                    <w:bottom w:val="none" w:sz="0" w:space="0" w:color="auto"/>
                    <w:right w:val="none" w:sz="0" w:space="0" w:color="auto"/>
                  </w:divBdr>
                  <w:divsChild>
                    <w:div w:id="482507974">
                      <w:marLeft w:val="0"/>
                      <w:marRight w:val="0"/>
                      <w:marTop w:val="0"/>
                      <w:marBottom w:val="0"/>
                      <w:divBdr>
                        <w:top w:val="none" w:sz="0" w:space="0" w:color="auto"/>
                        <w:left w:val="none" w:sz="0" w:space="0" w:color="auto"/>
                        <w:bottom w:val="none" w:sz="0" w:space="0" w:color="auto"/>
                        <w:right w:val="none" w:sz="0" w:space="0" w:color="auto"/>
                      </w:divBdr>
                    </w:div>
                  </w:divsChild>
                </w:div>
                <w:div w:id="1897666199">
                  <w:marLeft w:val="0"/>
                  <w:marRight w:val="0"/>
                  <w:marTop w:val="0"/>
                  <w:marBottom w:val="0"/>
                  <w:divBdr>
                    <w:top w:val="none" w:sz="0" w:space="0" w:color="auto"/>
                    <w:left w:val="none" w:sz="0" w:space="0" w:color="auto"/>
                    <w:bottom w:val="none" w:sz="0" w:space="0" w:color="auto"/>
                    <w:right w:val="none" w:sz="0" w:space="0" w:color="auto"/>
                  </w:divBdr>
                  <w:divsChild>
                    <w:div w:id="1901597770">
                      <w:marLeft w:val="0"/>
                      <w:marRight w:val="0"/>
                      <w:marTop w:val="0"/>
                      <w:marBottom w:val="0"/>
                      <w:divBdr>
                        <w:top w:val="none" w:sz="0" w:space="0" w:color="auto"/>
                        <w:left w:val="none" w:sz="0" w:space="0" w:color="auto"/>
                        <w:bottom w:val="none" w:sz="0" w:space="0" w:color="auto"/>
                        <w:right w:val="none" w:sz="0" w:space="0" w:color="auto"/>
                      </w:divBdr>
                    </w:div>
                  </w:divsChild>
                </w:div>
                <w:div w:id="1903251686">
                  <w:marLeft w:val="0"/>
                  <w:marRight w:val="0"/>
                  <w:marTop w:val="0"/>
                  <w:marBottom w:val="0"/>
                  <w:divBdr>
                    <w:top w:val="none" w:sz="0" w:space="0" w:color="auto"/>
                    <w:left w:val="none" w:sz="0" w:space="0" w:color="auto"/>
                    <w:bottom w:val="none" w:sz="0" w:space="0" w:color="auto"/>
                    <w:right w:val="none" w:sz="0" w:space="0" w:color="auto"/>
                  </w:divBdr>
                  <w:divsChild>
                    <w:div w:id="502550343">
                      <w:marLeft w:val="0"/>
                      <w:marRight w:val="0"/>
                      <w:marTop w:val="0"/>
                      <w:marBottom w:val="0"/>
                      <w:divBdr>
                        <w:top w:val="none" w:sz="0" w:space="0" w:color="auto"/>
                        <w:left w:val="none" w:sz="0" w:space="0" w:color="auto"/>
                        <w:bottom w:val="none" w:sz="0" w:space="0" w:color="auto"/>
                        <w:right w:val="none" w:sz="0" w:space="0" w:color="auto"/>
                      </w:divBdr>
                    </w:div>
                  </w:divsChild>
                </w:div>
                <w:div w:id="1910535962">
                  <w:marLeft w:val="0"/>
                  <w:marRight w:val="0"/>
                  <w:marTop w:val="0"/>
                  <w:marBottom w:val="0"/>
                  <w:divBdr>
                    <w:top w:val="none" w:sz="0" w:space="0" w:color="auto"/>
                    <w:left w:val="none" w:sz="0" w:space="0" w:color="auto"/>
                    <w:bottom w:val="none" w:sz="0" w:space="0" w:color="auto"/>
                    <w:right w:val="none" w:sz="0" w:space="0" w:color="auto"/>
                  </w:divBdr>
                  <w:divsChild>
                    <w:div w:id="2044817799">
                      <w:marLeft w:val="0"/>
                      <w:marRight w:val="0"/>
                      <w:marTop w:val="0"/>
                      <w:marBottom w:val="0"/>
                      <w:divBdr>
                        <w:top w:val="none" w:sz="0" w:space="0" w:color="auto"/>
                        <w:left w:val="none" w:sz="0" w:space="0" w:color="auto"/>
                        <w:bottom w:val="none" w:sz="0" w:space="0" w:color="auto"/>
                        <w:right w:val="none" w:sz="0" w:space="0" w:color="auto"/>
                      </w:divBdr>
                    </w:div>
                  </w:divsChild>
                </w:div>
                <w:div w:id="1942712824">
                  <w:marLeft w:val="0"/>
                  <w:marRight w:val="0"/>
                  <w:marTop w:val="0"/>
                  <w:marBottom w:val="0"/>
                  <w:divBdr>
                    <w:top w:val="none" w:sz="0" w:space="0" w:color="auto"/>
                    <w:left w:val="none" w:sz="0" w:space="0" w:color="auto"/>
                    <w:bottom w:val="none" w:sz="0" w:space="0" w:color="auto"/>
                    <w:right w:val="none" w:sz="0" w:space="0" w:color="auto"/>
                  </w:divBdr>
                  <w:divsChild>
                    <w:div w:id="957175530">
                      <w:marLeft w:val="0"/>
                      <w:marRight w:val="0"/>
                      <w:marTop w:val="0"/>
                      <w:marBottom w:val="0"/>
                      <w:divBdr>
                        <w:top w:val="none" w:sz="0" w:space="0" w:color="auto"/>
                        <w:left w:val="none" w:sz="0" w:space="0" w:color="auto"/>
                        <w:bottom w:val="none" w:sz="0" w:space="0" w:color="auto"/>
                        <w:right w:val="none" w:sz="0" w:space="0" w:color="auto"/>
                      </w:divBdr>
                    </w:div>
                  </w:divsChild>
                </w:div>
                <w:div w:id="1968393593">
                  <w:marLeft w:val="0"/>
                  <w:marRight w:val="0"/>
                  <w:marTop w:val="0"/>
                  <w:marBottom w:val="0"/>
                  <w:divBdr>
                    <w:top w:val="none" w:sz="0" w:space="0" w:color="auto"/>
                    <w:left w:val="none" w:sz="0" w:space="0" w:color="auto"/>
                    <w:bottom w:val="none" w:sz="0" w:space="0" w:color="auto"/>
                    <w:right w:val="none" w:sz="0" w:space="0" w:color="auto"/>
                  </w:divBdr>
                  <w:divsChild>
                    <w:div w:id="241716459">
                      <w:marLeft w:val="0"/>
                      <w:marRight w:val="0"/>
                      <w:marTop w:val="0"/>
                      <w:marBottom w:val="0"/>
                      <w:divBdr>
                        <w:top w:val="none" w:sz="0" w:space="0" w:color="auto"/>
                        <w:left w:val="none" w:sz="0" w:space="0" w:color="auto"/>
                        <w:bottom w:val="none" w:sz="0" w:space="0" w:color="auto"/>
                        <w:right w:val="none" w:sz="0" w:space="0" w:color="auto"/>
                      </w:divBdr>
                    </w:div>
                  </w:divsChild>
                </w:div>
                <w:div w:id="1972860038">
                  <w:marLeft w:val="0"/>
                  <w:marRight w:val="0"/>
                  <w:marTop w:val="0"/>
                  <w:marBottom w:val="0"/>
                  <w:divBdr>
                    <w:top w:val="none" w:sz="0" w:space="0" w:color="auto"/>
                    <w:left w:val="none" w:sz="0" w:space="0" w:color="auto"/>
                    <w:bottom w:val="none" w:sz="0" w:space="0" w:color="auto"/>
                    <w:right w:val="none" w:sz="0" w:space="0" w:color="auto"/>
                  </w:divBdr>
                  <w:divsChild>
                    <w:div w:id="734821137">
                      <w:marLeft w:val="0"/>
                      <w:marRight w:val="0"/>
                      <w:marTop w:val="0"/>
                      <w:marBottom w:val="0"/>
                      <w:divBdr>
                        <w:top w:val="none" w:sz="0" w:space="0" w:color="auto"/>
                        <w:left w:val="none" w:sz="0" w:space="0" w:color="auto"/>
                        <w:bottom w:val="none" w:sz="0" w:space="0" w:color="auto"/>
                        <w:right w:val="none" w:sz="0" w:space="0" w:color="auto"/>
                      </w:divBdr>
                    </w:div>
                  </w:divsChild>
                </w:div>
                <w:div w:id="1978488757">
                  <w:marLeft w:val="0"/>
                  <w:marRight w:val="0"/>
                  <w:marTop w:val="0"/>
                  <w:marBottom w:val="0"/>
                  <w:divBdr>
                    <w:top w:val="none" w:sz="0" w:space="0" w:color="auto"/>
                    <w:left w:val="none" w:sz="0" w:space="0" w:color="auto"/>
                    <w:bottom w:val="none" w:sz="0" w:space="0" w:color="auto"/>
                    <w:right w:val="none" w:sz="0" w:space="0" w:color="auto"/>
                  </w:divBdr>
                  <w:divsChild>
                    <w:div w:id="155996399">
                      <w:marLeft w:val="0"/>
                      <w:marRight w:val="0"/>
                      <w:marTop w:val="0"/>
                      <w:marBottom w:val="0"/>
                      <w:divBdr>
                        <w:top w:val="none" w:sz="0" w:space="0" w:color="auto"/>
                        <w:left w:val="none" w:sz="0" w:space="0" w:color="auto"/>
                        <w:bottom w:val="none" w:sz="0" w:space="0" w:color="auto"/>
                        <w:right w:val="none" w:sz="0" w:space="0" w:color="auto"/>
                      </w:divBdr>
                    </w:div>
                  </w:divsChild>
                </w:div>
                <w:div w:id="1981960348">
                  <w:marLeft w:val="0"/>
                  <w:marRight w:val="0"/>
                  <w:marTop w:val="0"/>
                  <w:marBottom w:val="0"/>
                  <w:divBdr>
                    <w:top w:val="none" w:sz="0" w:space="0" w:color="auto"/>
                    <w:left w:val="none" w:sz="0" w:space="0" w:color="auto"/>
                    <w:bottom w:val="none" w:sz="0" w:space="0" w:color="auto"/>
                    <w:right w:val="none" w:sz="0" w:space="0" w:color="auto"/>
                  </w:divBdr>
                  <w:divsChild>
                    <w:div w:id="277414959">
                      <w:marLeft w:val="0"/>
                      <w:marRight w:val="0"/>
                      <w:marTop w:val="0"/>
                      <w:marBottom w:val="0"/>
                      <w:divBdr>
                        <w:top w:val="none" w:sz="0" w:space="0" w:color="auto"/>
                        <w:left w:val="none" w:sz="0" w:space="0" w:color="auto"/>
                        <w:bottom w:val="none" w:sz="0" w:space="0" w:color="auto"/>
                        <w:right w:val="none" w:sz="0" w:space="0" w:color="auto"/>
                      </w:divBdr>
                    </w:div>
                  </w:divsChild>
                </w:div>
                <w:div w:id="1996494553">
                  <w:marLeft w:val="0"/>
                  <w:marRight w:val="0"/>
                  <w:marTop w:val="0"/>
                  <w:marBottom w:val="0"/>
                  <w:divBdr>
                    <w:top w:val="none" w:sz="0" w:space="0" w:color="auto"/>
                    <w:left w:val="none" w:sz="0" w:space="0" w:color="auto"/>
                    <w:bottom w:val="none" w:sz="0" w:space="0" w:color="auto"/>
                    <w:right w:val="none" w:sz="0" w:space="0" w:color="auto"/>
                  </w:divBdr>
                  <w:divsChild>
                    <w:div w:id="327945653">
                      <w:marLeft w:val="0"/>
                      <w:marRight w:val="0"/>
                      <w:marTop w:val="0"/>
                      <w:marBottom w:val="0"/>
                      <w:divBdr>
                        <w:top w:val="none" w:sz="0" w:space="0" w:color="auto"/>
                        <w:left w:val="none" w:sz="0" w:space="0" w:color="auto"/>
                        <w:bottom w:val="none" w:sz="0" w:space="0" w:color="auto"/>
                        <w:right w:val="none" w:sz="0" w:space="0" w:color="auto"/>
                      </w:divBdr>
                    </w:div>
                  </w:divsChild>
                </w:div>
                <w:div w:id="1996910171">
                  <w:marLeft w:val="0"/>
                  <w:marRight w:val="0"/>
                  <w:marTop w:val="0"/>
                  <w:marBottom w:val="0"/>
                  <w:divBdr>
                    <w:top w:val="none" w:sz="0" w:space="0" w:color="auto"/>
                    <w:left w:val="none" w:sz="0" w:space="0" w:color="auto"/>
                    <w:bottom w:val="none" w:sz="0" w:space="0" w:color="auto"/>
                    <w:right w:val="none" w:sz="0" w:space="0" w:color="auto"/>
                  </w:divBdr>
                  <w:divsChild>
                    <w:div w:id="1132792479">
                      <w:marLeft w:val="0"/>
                      <w:marRight w:val="0"/>
                      <w:marTop w:val="0"/>
                      <w:marBottom w:val="0"/>
                      <w:divBdr>
                        <w:top w:val="none" w:sz="0" w:space="0" w:color="auto"/>
                        <w:left w:val="none" w:sz="0" w:space="0" w:color="auto"/>
                        <w:bottom w:val="none" w:sz="0" w:space="0" w:color="auto"/>
                        <w:right w:val="none" w:sz="0" w:space="0" w:color="auto"/>
                      </w:divBdr>
                    </w:div>
                  </w:divsChild>
                </w:div>
                <w:div w:id="2021199720">
                  <w:marLeft w:val="0"/>
                  <w:marRight w:val="0"/>
                  <w:marTop w:val="0"/>
                  <w:marBottom w:val="0"/>
                  <w:divBdr>
                    <w:top w:val="none" w:sz="0" w:space="0" w:color="auto"/>
                    <w:left w:val="none" w:sz="0" w:space="0" w:color="auto"/>
                    <w:bottom w:val="none" w:sz="0" w:space="0" w:color="auto"/>
                    <w:right w:val="none" w:sz="0" w:space="0" w:color="auto"/>
                  </w:divBdr>
                  <w:divsChild>
                    <w:div w:id="1502239033">
                      <w:marLeft w:val="0"/>
                      <w:marRight w:val="0"/>
                      <w:marTop w:val="0"/>
                      <w:marBottom w:val="0"/>
                      <w:divBdr>
                        <w:top w:val="none" w:sz="0" w:space="0" w:color="auto"/>
                        <w:left w:val="none" w:sz="0" w:space="0" w:color="auto"/>
                        <w:bottom w:val="none" w:sz="0" w:space="0" w:color="auto"/>
                        <w:right w:val="none" w:sz="0" w:space="0" w:color="auto"/>
                      </w:divBdr>
                    </w:div>
                  </w:divsChild>
                </w:div>
                <w:div w:id="2026132351">
                  <w:marLeft w:val="0"/>
                  <w:marRight w:val="0"/>
                  <w:marTop w:val="0"/>
                  <w:marBottom w:val="0"/>
                  <w:divBdr>
                    <w:top w:val="none" w:sz="0" w:space="0" w:color="auto"/>
                    <w:left w:val="none" w:sz="0" w:space="0" w:color="auto"/>
                    <w:bottom w:val="none" w:sz="0" w:space="0" w:color="auto"/>
                    <w:right w:val="none" w:sz="0" w:space="0" w:color="auto"/>
                  </w:divBdr>
                  <w:divsChild>
                    <w:div w:id="1968075871">
                      <w:marLeft w:val="0"/>
                      <w:marRight w:val="0"/>
                      <w:marTop w:val="0"/>
                      <w:marBottom w:val="0"/>
                      <w:divBdr>
                        <w:top w:val="none" w:sz="0" w:space="0" w:color="auto"/>
                        <w:left w:val="none" w:sz="0" w:space="0" w:color="auto"/>
                        <w:bottom w:val="none" w:sz="0" w:space="0" w:color="auto"/>
                        <w:right w:val="none" w:sz="0" w:space="0" w:color="auto"/>
                      </w:divBdr>
                    </w:div>
                  </w:divsChild>
                </w:div>
                <w:div w:id="2039622872">
                  <w:marLeft w:val="0"/>
                  <w:marRight w:val="0"/>
                  <w:marTop w:val="0"/>
                  <w:marBottom w:val="0"/>
                  <w:divBdr>
                    <w:top w:val="none" w:sz="0" w:space="0" w:color="auto"/>
                    <w:left w:val="none" w:sz="0" w:space="0" w:color="auto"/>
                    <w:bottom w:val="none" w:sz="0" w:space="0" w:color="auto"/>
                    <w:right w:val="none" w:sz="0" w:space="0" w:color="auto"/>
                  </w:divBdr>
                  <w:divsChild>
                    <w:div w:id="1448424435">
                      <w:marLeft w:val="0"/>
                      <w:marRight w:val="0"/>
                      <w:marTop w:val="0"/>
                      <w:marBottom w:val="0"/>
                      <w:divBdr>
                        <w:top w:val="none" w:sz="0" w:space="0" w:color="auto"/>
                        <w:left w:val="none" w:sz="0" w:space="0" w:color="auto"/>
                        <w:bottom w:val="none" w:sz="0" w:space="0" w:color="auto"/>
                        <w:right w:val="none" w:sz="0" w:space="0" w:color="auto"/>
                      </w:divBdr>
                    </w:div>
                  </w:divsChild>
                </w:div>
                <w:div w:id="2041585510">
                  <w:marLeft w:val="0"/>
                  <w:marRight w:val="0"/>
                  <w:marTop w:val="0"/>
                  <w:marBottom w:val="0"/>
                  <w:divBdr>
                    <w:top w:val="none" w:sz="0" w:space="0" w:color="auto"/>
                    <w:left w:val="none" w:sz="0" w:space="0" w:color="auto"/>
                    <w:bottom w:val="none" w:sz="0" w:space="0" w:color="auto"/>
                    <w:right w:val="none" w:sz="0" w:space="0" w:color="auto"/>
                  </w:divBdr>
                  <w:divsChild>
                    <w:div w:id="1586958610">
                      <w:marLeft w:val="0"/>
                      <w:marRight w:val="0"/>
                      <w:marTop w:val="0"/>
                      <w:marBottom w:val="0"/>
                      <w:divBdr>
                        <w:top w:val="none" w:sz="0" w:space="0" w:color="auto"/>
                        <w:left w:val="none" w:sz="0" w:space="0" w:color="auto"/>
                        <w:bottom w:val="none" w:sz="0" w:space="0" w:color="auto"/>
                        <w:right w:val="none" w:sz="0" w:space="0" w:color="auto"/>
                      </w:divBdr>
                    </w:div>
                  </w:divsChild>
                </w:div>
                <w:div w:id="2047413333">
                  <w:marLeft w:val="0"/>
                  <w:marRight w:val="0"/>
                  <w:marTop w:val="0"/>
                  <w:marBottom w:val="0"/>
                  <w:divBdr>
                    <w:top w:val="none" w:sz="0" w:space="0" w:color="auto"/>
                    <w:left w:val="none" w:sz="0" w:space="0" w:color="auto"/>
                    <w:bottom w:val="none" w:sz="0" w:space="0" w:color="auto"/>
                    <w:right w:val="none" w:sz="0" w:space="0" w:color="auto"/>
                  </w:divBdr>
                  <w:divsChild>
                    <w:div w:id="1597979829">
                      <w:marLeft w:val="0"/>
                      <w:marRight w:val="0"/>
                      <w:marTop w:val="0"/>
                      <w:marBottom w:val="0"/>
                      <w:divBdr>
                        <w:top w:val="none" w:sz="0" w:space="0" w:color="auto"/>
                        <w:left w:val="none" w:sz="0" w:space="0" w:color="auto"/>
                        <w:bottom w:val="none" w:sz="0" w:space="0" w:color="auto"/>
                        <w:right w:val="none" w:sz="0" w:space="0" w:color="auto"/>
                      </w:divBdr>
                    </w:div>
                  </w:divsChild>
                </w:div>
                <w:div w:id="2054232506">
                  <w:marLeft w:val="0"/>
                  <w:marRight w:val="0"/>
                  <w:marTop w:val="0"/>
                  <w:marBottom w:val="0"/>
                  <w:divBdr>
                    <w:top w:val="none" w:sz="0" w:space="0" w:color="auto"/>
                    <w:left w:val="none" w:sz="0" w:space="0" w:color="auto"/>
                    <w:bottom w:val="none" w:sz="0" w:space="0" w:color="auto"/>
                    <w:right w:val="none" w:sz="0" w:space="0" w:color="auto"/>
                  </w:divBdr>
                  <w:divsChild>
                    <w:div w:id="707461490">
                      <w:marLeft w:val="0"/>
                      <w:marRight w:val="0"/>
                      <w:marTop w:val="0"/>
                      <w:marBottom w:val="0"/>
                      <w:divBdr>
                        <w:top w:val="none" w:sz="0" w:space="0" w:color="auto"/>
                        <w:left w:val="none" w:sz="0" w:space="0" w:color="auto"/>
                        <w:bottom w:val="none" w:sz="0" w:space="0" w:color="auto"/>
                        <w:right w:val="none" w:sz="0" w:space="0" w:color="auto"/>
                      </w:divBdr>
                    </w:div>
                  </w:divsChild>
                </w:div>
                <w:div w:id="2057118021">
                  <w:marLeft w:val="0"/>
                  <w:marRight w:val="0"/>
                  <w:marTop w:val="0"/>
                  <w:marBottom w:val="0"/>
                  <w:divBdr>
                    <w:top w:val="none" w:sz="0" w:space="0" w:color="auto"/>
                    <w:left w:val="none" w:sz="0" w:space="0" w:color="auto"/>
                    <w:bottom w:val="none" w:sz="0" w:space="0" w:color="auto"/>
                    <w:right w:val="none" w:sz="0" w:space="0" w:color="auto"/>
                  </w:divBdr>
                  <w:divsChild>
                    <w:div w:id="1605575809">
                      <w:marLeft w:val="0"/>
                      <w:marRight w:val="0"/>
                      <w:marTop w:val="0"/>
                      <w:marBottom w:val="0"/>
                      <w:divBdr>
                        <w:top w:val="none" w:sz="0" w:space="0" w:color="auto"/>
                        <w:left w:val="none" w:sz="0" w:space="0" w:color="auto"/>
                        <w:bottom w:val="none" w:sz="0" w:space="0" w:color="auto"/>
                        <w:right w:val="none" w:sz="0" w:space="0" w:color="auto"/>
                      </w:divBdr>
                    </w:div>
                  </w:divsChild>
                </w:div>
                <w:div w:id="2073043621">
                  <w:marLeft w:val="0"/>
                  <w:marRight w:val="0"/>
                  <w:marTop w:val="0"/>
                  <w:marBottom w:val="0"/>
                  <w:divBdr>
                    <w:top w:val="none" w:sz="0" w:space="0" w:color="auto"/>
                    <w:left w:val="none" w:sz="0" w:space="0" w:color="auto"/>
                    <w:bottom w:val="none" w:sz="0" w:space="0" w:color="auto"/>
                    <w:right w:val="none" w:sz="0" w:space="0" w:color="auto"/>
                  </w:divBdr>
                  <w:divsChild>
                    <w:div w:id="335032924">
                      <w:marLeft w:val="0"/>
                      <w:marRight w:val="0"/>
                      <w:marTop w:val="0"/>
                      <w:marBottom w:val="0"/>
                      <w:divBdr>
                        <w:top w:val="none" w:sz="0" w:space="0" w:color="auto"/>
                        <w:left w:val="none" w:sz="0" w:space="0" w:color="auto"/>
                        <w:bottom w:val="none" w:sz="0" w:space="0" w:color="auto"/>
                        <w:right w:val="none" w:sz="0" w:space="0" w:color="auto"/>
                      </w:divBdr>
                    </w:div>
                  </w:divsChild>
                </w:div>
                <w:div w:id="2087410020">
                  <w:marLeft w:val="0"/>
                  <w:marRight w:val="0"/>
                  <w:marTop w:val="0"/>
                  <w:marBottom w:val="0"/>
                  <w:divBdr>
                    <w:top w:val="none" w:sz="0" w:space="0" w:color="auto"/>
                    <w:left w:val="none" w:sz="0" w:space="0" w:color="auto"/>
                    <w:bottom w:val="none" w:sz="0" w:space="0" w:color="auto"/>
                    <w:right w:val="none" w:sz="0" w:space="0" w:color="auto"/>
                  </w:divBdr>
                  <w:divsChild>
                    <w:div w:id="1911765129">
                      <w:marLeft w:val="0"/>
                      <w:marRight w:val="0"/>
                      <w:marTop w:val="0"/>
                      <w:marBottom w:val="0"/>
                      <w:divBdr>
                        <w:top w:val="none" w:sz="0" w:space="0" w:color="auto"/>
                        <w:left w:val="none" w:sz="0" w:space="0" w:color="auto"/>
                        <w:bottom w:val="none" w:sz="0" w:space="0" w:color="auto"/>
                        <w:right w:val="none" w:sz="0" w:space="0" w:color="auto"/>
                      </w:divBdr>
                    </w:div>
                  </w:divsChild>
                </w:div>
                <w:div w:id="2097247179">
                  <w:marLeft w:val="0"/>
                  <w:marRight w:val="0"/>
                  <w:marTop w:val="0"/>
                  <w:marBottom w:val="0"/>
                  <w:divBdr>
                    <w:top w:val="none" w:sz="0" w:space="0" w:color="auto"/>
                    <w:left w:val="none" w:sz="0" w:space="0" w:color="auto"/>
                    <w:bottom w:val="none" w:sz="0" w:space="0" w:color="auto"/>
                    <w:right w:val="none" w:sz="0" w:space="0" w:color="auto"/>
                  </w:divBdr>
                  <w:divsChild>
                    <w:div w:id="1793132421">
                      <w:marLeft w:val="0"/>
                      <w:marRight w:val="0"/>
                      <w:marTop w:val="0"/>
                      <w:marBottom w:val="0"/>
                      <w:divBdr>
                        <w:top w:val="none" w:sz="0" w:space="0" w:color="auto"/>
                        <w:left w:val="none" w:sz="0" w:space="0" w:color="auto"/>
                        <w:bottom w:val="none" w:sz="0" w:space="0" w:color="auto"/>
                        <w:right w:val="none" w:sz="0" w:space="0" w:color="auto"/>
                      </w:divBdr>
                    </w:div>
                  </w:divsChild>
                </w:div>
                <w:div w:id="2097286683">
                  <w:marLeft w:val="0"/>
                  <w:marRight w:val="0"/>
                  <w:marTop w:val="0"/>
                  <w:marBottom w:val="0"/>
                  <w:divBdr>
                    <w:top w:val="none" w:sz="0" w:space="0" w:color="auto"/>
                    <w:left w:val="none" w:sz="0" w:space="0" w:color="auto"/>
                    <w:bottom w:val="none" w:sz="0" w:space="0" w:color="auto"/>
                    <w:right w:val="none" w:sz="0" w:space="0" w:color="auto"/>
                  </w:divBdr>
                  <w:divsChild>
                    <w:div w:id="2080396861">
                      <w:marLeft w:val="0"/>
                      <w:marRight w:val="0"/>
                      <w:marTop w:val="0"/>
                      <w:marBottom w:val="0"/>
                      <w:divBdr>
                        <w:top w:val="none" w:sz="0" w:space="0" w:color="auto"/>
                        <w:left w:val="none" w:sz="0" w:space="0" w:color="auto"/>
                        <w:bottom w:val="none" w:sz="0" w:space="0" w:color="auto"/>
                        <w:right w:val="none" w:sz="0" w:space="0" w:color="auto"/>
                      </w:divBdr>
                    </w:div>
                  </w:divsChild>
                </w:div>
                <w:div w:id="2102296339">
                  <w:marLeft w:val="0"/>
                  <w:marRight w:val="0"/>
                  <w:marTop w:val="0"/>
                  <w:marBottom w:val="0"/>
                  <w:divBdr>
                    <w:top w:val="none" w:sz="0" w:space="0" w:color="auto"/>
                    <w:left w:val="none" w:sz="0" w:space="0" w:color="auto"/>
                    <w:bottom w:val="none" w:sz="0" w:space="0" w:color="auto"/>
                    <w:right w:val="none" w:sz="0" w:space="0" w:color="auto"/>
                  </w:divBdr>
                  <w:divsChild>
                    <w:div w:id="1098793848">
                      <w:marLeft w:val="0"/>
                      <w:marRight w:val="0"/>
                      <w:marTop w:val="0"/>
                      <w:marBottom w:val="0"/>
                      <w:divBdr>
                        <w:top w:val="none" w:sz="0" w:space="0" w:color="auto"/>
                        <w:left w:val="none" w:sz="0" w:space="0" w:color="auto"/>
                        <w:bottom w:val="none" w:sz="0" w:space="0" w:color="auto"/>
                        <w:right w:val="none" w:sz="0" w:space="0" w:color="auto"/>
                      </w:divBdr>
                    </w:div>
                  </w:divsChild>
                </w:div>
                <w:div w:id="2102408473">
                  <w:marLeft w:val="0"/>
                  <w:marRight w:val="0"/>
                  <w:marTop w:val="0"/>
                  <w:marBottom w:val="0"/>
                  <w:divBdr>
                    <w:top w:val="none" w:sz="0" w:space="0" w:color="auto"/>
                    <w:left w:val="none" w:sz="0" w:space="0" w:color="auto"/>
                    <w:bottom w:val="none" w:sz="0" w:space="0" w:color="auto"/>
                    <w:right w:val="none" w:sz="0" w:space="0" w:color="auto"/>
                  </w:divBdr>
                  <w:divsChild>
                    <w:div w:id="694504737">
                      <w:marLeft w:val="0"/>
                      <w:marRight w:val="0"/>
                      <w:marTop w:val="0"/>
                      <w:marBottom w:val="0"/>
                      <w:divBdr>
                        <w:top w:val="none" w:sz="0" w:space="0" w:color="auto"/>
                        <w:left w:val="none" w:sz="0" w:space="0" w:color="auto"/>
                        <w:bottom w:val="none" w:sz="0" w:space="0" w:color="auto"/>
                        <w:right w:val="none" w:sz="0" w:space="0" w:color="auto"/>
                      </w:divBdr>
                    </w:div>
                  </w:divsChild>
                </w:div>
                <w:div w:id="2105032288">
                  <w:marLeft w:val="0"/>
                  <w:marRight w:val="0"/>
                  <w:marTop w:val="0"/>
                  <w:marBottom w:val="0"/>
                  <w:divBdr>
                    <w:top w:val="none" w:sz="0" w:space="0" w:color="auto"/>
                    <w:left w:val="none" w:sz="0" w:space="0" w:color="auto"/>
                    <w:bottom w:val="none" w:sz="0" w:space="0" w:color="auto"/>
                    <w:right w:val="none" w:sz="0" w:space="0" w:color="auto"/>
                  </w:divBdr>
                  <w:divsChild>
                    <w:div w:id="2019574275">
                      <w:marLeft w:val="0"/>
                      <w:marRight w:val="0"/>
                      <w:marTop w:val="0"/>
                      <w:marBottom w:val="0"/>
                      <w:divBdr>
                        <w:top w:val="none" w:sz="0" w:space="0" w:color="auto"/>
                        <w:left w:val="none" w:sz="0" w:space="0" w:color="auto"/>
                        <w:bottom w:val="none" w:sz="0" w:space="0" w:color="auto"/>
                        <w:right w:val="none" w:sz="0" w:space="0" w:color="auto"/>
                      </w:divBdr>
                    </w:div>
                  </w:divsChild>
                </w:div>
                <w:div w:id="2105035404">
                  <w:marLeft w:val="0"/>
                  <w:marRight w:val="0"/>
                  <w:marTop w:val="0"/>
                  <w:marBottom w:val="0"/>
                  <w:divBdr>
                    <w:top w:val="none" w:sz="0" w:space="0" w:color="auto"/>
                    <w:left w:val="none" w:sz="0" w:space="0" w:color="auto"/>
                    <w:bottom w:val="none" w:sz="0" w:space="0" w:color="auto"/>
                    <w:right w:val="none" w:sz="0" w:space="0" w:color="auto"/>
                  </w:divBdr>
                  <w:divsChild>
                    <w:div w:id="885221466">
                      <w:marLeft w:val="0"/>
                      <w:marRight w:val="0"/>
                      <w:marTop w:val="0"/>
                      <w:marBottom w:val="0"/>
                      <w:divBdr>
                        <w:top w:val="none" w:sz="0" w:space="0" w:color="auto"/>
                        <w:left w:val="none" w:sz="0" w:space="0" w:color="auto"/>
                        <w:bottom w:val="none" w:sz="0" w:space="0" w:color="auto"/>
                        <w:right w:val="none" w:sz="0" w:space="0" w:color="auto"/>
                      </w:divBdr>
                    </w:div>
                  </w:divsChild>
                </w:div>
                <w:div w:id="2106460444">
                  <w:marLeft w:val="0"/>
                  <w:marRight w:val="0"/>
                  <w:marTop w:val="0"/>
                  <w:marBottom w:val="0"/>
                  <w:divBdr>
                    <w:top w:val="none" w:sz="0" w:space="0" w:color="auto"/>
                    <w:left w:val="none" w:sz="0" w:space="0" w:color="auto"/>
                    <w:bottom w:val="none" w:sz="0" w:space="0" w:color="auto"/>
                    <w:right w:val="none" w:sz="0" w:space="0" w:color="auto"/>
                  </w:divBdr>
                  <w:divsChild>
                    <w:div w:id="1988392818">
                      <w:marLeft w:val="0"/>
                      <w:marRight w:val="0"/>
                      <w:marTop w:val="0"/>
                      <w:marBottom w:val="0"/>
                      <w:divBdr>
                        <w:top w:val="none" w:sz="0" w:space="0" w:color="auto"/>
                        <w:left w:val="none" w:sz="0" w:space="0" w:color="auto"/>
                        <w:bottom w:val="none" w:sz="0" w:space="0" w:color="auto"/>
                        <w:right w:val="none" w:sz="0" w:space="0" w:color="auto"/>
                      </w:divBdr>
                    </w:div>
                  </w:divsChild>
                </w:div>
                <w:div w:id="2114859286">
                  <w:marLeft w:val="0"/>
                  <w:marRight w:val="0"/>
                  <w:marTop w:val="0"/>
                  <w:marBottom w:val="0"/>
                  <w:divBdr>
                    <w:top w:val="none" w:sz="0" w:space="0" w:color="auto"/>
                    <w:left w:val="none" w:sz="0" w:space="0" w:color="auto"/>
                    <w:bottom w:val="none" w:sz="0" w:space="0" w:color="auto"/>
                    <w:right w:val="none" w:sz="0" w:space="0" w:color="auto"/>
                  </w:divBdr>
                  <w:divsChild>
                    <w:div w:id="564144584">
                      <w:marLeft w:val="0"/>
                      <w:marRight w:val="0"/>
                      <w:marTop w:val="0"/>
                      <w:marBottom w:val="0"/>
                      <w:divBdr>
                        <w:top w:val="none" w:sz="0" w:space="0" w:color="auto"/>
                        <w:left w:val="none" w:sz="0" w:space="0" w:color="auto"/>
                        <w:bottom w:val="none" w:sz="0" w:space="0" w:color="auto"/>
                        <w:right w:val="none" w:sz="0" w:space="0" w:color="auto"/>
                      </w:divBdr>
                    </w:div>
                  </w:divsChild>
                </w:div>
                <w:div w:id="2121559984">
                  <w:marLeft w:val="0"/>
                  <w:marRight w:val="0"/>
                  <w:marTop w:val="0"/>
                  <w:marBottom w:val="0"/>
                  <w:divBdr>
                    <w:top w:val="none" w:sz="0" w:space="0" w:color="auto"/>
                    <w:left w:val="none" w:sz="0" w:space="0" w:color="auto"/>
                    <w:bottom w:val="none" w:sz="0" w:space="0" w:color="auto"/>
                    <w:right w:val="none" w:sz="0" w:space="0" w:color="auto"/>
                  </w:divBdr>
                  <w:divsChild>
                    <w:div w:id="2043625309">
                      <w:marLeft w:val="0"/>
                      <w:marRight w:val="0"/>
                      <w:marTop w:val="0"/>
                      <w:marBottom w:val="0"/>
                      <w:divBdr>
                        <w:top w:val="none" w:sz="0" w:space="0" w:color="auto"/>
                        <w:left w:val="none" w:sz="0" w:space="0" w:color="auto"/>
                        <w:bottom w:val="none" w:sz="0" w:space="0" w:color="auto"/>
                        <w:right w:val="none" w:sz="0" w:space="0" w:color="auto"/>
                      </w:divBdr>
                    </w:div>
                  </w:divsChild>
                </w:div>
                <w:div w:id="2133867433">
                  <w:marLeft w:val="0"/>
                  <w:marRight w:val="0"/>
                  <w:marTop w:val="0"/>
                  <w:marBottom w:val="0"/>
                  <w:divBdr>
                    <w:top w:val="none" w:sz="0" w:space="0" w:color="auto"/>
                    <w:left w:val="none" w:sz="0" w:space="0" w:color="auto"/>
                    <w:bottom w:val="none" w:sz="0" w:space="0" w:color="auto"/>
                    <w:right w:val="none" w:sz="0" w:space="0" w:color="auto"/>
                  </w:divBdr>
                  <w:divsChild>
                    <w:div w:id="1241408969">
                      <w:marLeft w:val="0"/>
                      <w:marRight w:val="0"/>
                      <w:marTop w:val="0"/>
                      <w:marBottom w:val="0"/>
                      <w:divBdr>
                        <w:top w:val="none" w:sz="0" w:space="0" w:color="auto"/>
                        <w:left w:val="none" w:sz="0" w:space="0" w:color="auto"/>
                        <w:bottom w:val="none" w:sz="0" w:space="0" w:color="auto"/>
                        <w:right w:val="none" w:sz="0" w:space="0" w:color="auto"/>
                      </w:divBdr>
                    </w:div>
                  </w:divsChild>
                </w:div>
                <w:div w:id="2134325930">
                  <w:marLeft w:val="0"/>
                  <w:marRight w:val="0"/>
                  <w:marTop w:val="0"/>
                  <w:marBottom w:val="0"/>
                  <w:divBdr>
                    <w:top w:val="none" w:sz="0" w:space="0" w:color="auto"/>
                    <w:left w:val="none" w:sz="0" w:space="0" w:color="auto"/>
                    <w:bottom w:val="none" w:sz="0" w:space="0" w:color="auto"/>
                    <w:right w:val="none" w:sz="0" w:space="0" w:color="auto"/>
                  </w:divBdr>
                  <w:divsChild>
                    <w:div w:id="1373774213">
                      <w:marLeft w:val="0"/>
                      <w:marRight w:val="0"/>
                      <w:marTop w:val="0"/>
                      <w:marBottom w:val="0"/>
                      <w:divBdr>
                        <w:top w:val="none" w:sz="0" w:space="0" w:color="auto"/>
                        <w:left w:val="none" w:sz="0" w:space="0" w:color="auto"/>
                        <w:bottom w:val="none" w:sz="0" w:space="0" w:color="auto"/>
                        <w:right w:val="none" w:sz="0" w:space="0" w:color="auto"/>
                      </w:divBdr>
                    </w:div>
                  </w:divsChild>
                </w:div>
                <w:div w:id="2140301381">
                  <w:marLeft w:val="0"/>
                  <w:marRight w:val="0"/>
                  <w:marTop w:val="0"/>
                  <w:marBottom w:val="0"/>
                  <w:divBdr>
                    <w:top w:val="none" w:sz="0" w:space="0" w:color="auto"/>
                    <w:left w:val="none" w:sz="0" w:space="0" w:color="auto"/>
                    <w:bottom w:val="none" w:sz="0" w:space="0" w:color="auto"/>
                    <w:right w:val="none" w:sz="0" w:space="0" w:color="auto"/>
                  </w:divBdr>
                  <w:divsChild>
                    <w:div w:id="114250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927590">
      <w:bodyDiv w:val="1"/>
      <w:marLeft w:val="0"/>
      <w:marRight w:val="0"/>
      <w:marTop w:val="0"/>
      <w:marBottom w:val="0"/>
      <w:divBdr>
        <w:top w:val="none" w:sz="0" w:space="0" w:color="auto"/>
        <w:left w:val="none" w:sz="0" w:space="0" w:color="auto"/>
        <w:bottom w:val="none" w:sz="0" w:space="0" w:color="auto"/>
        <w:right w:val="none" w:sz="0" w:space="0" w:color="auto"/>
      </w:divBdr>
    </w:div>
    <w:div w:id="2060586246">
      <w:bodyDiv w:val="1"/>
      <w:marLeft w:val="0"/>
      <w:marRight w:val="0"/>
      <w:marTop w:val="0"/>
      <w:marBottom w:val="0"/>
      <w:divBdr>
        <w:top w:val="none" w:sz="0" w:space="0" w:color="auto"/>
        <w:left w:val="none" w:sz="0" w:space="0" w:color="auto"/>
        <w:bottom w:val="none" w:sz="0" w:space="0" w:color="auto"/>
        <w:right w:val="none" w:sz="0" w:space="0" w:color="auto"/>
      </w:divBdr>
      <w:divsChild>
        <w:div w:id="39941001">
          <w:marLeft w:val="0"/>
          <w:marRight w:val="0"/>
          <w:marTop w:val="0"/>
          <w:marBottom w:val="0"/>
          <w:divBdr>
            <w:top w:val="none" w:sz="0" w:space="0" w:color="auto"/>
            <w:left w:val="none" w:sz="0" w:space="0" w:color="auto"/>
            <w:bottom w:val="none" w:sz="0" w:space="0" w:color="auto"/>
            <w:right w:val="none" w:sz="0" w:space="0" w:color="auto"/>
          </w:divBdr>
        </w:div>
      </w:divsChild>
    </w:div>
    <w:div w:id="2073036147">
      <w:bodyDiv w:val="1"/>
      <w:marLeft w:val="0"/>
      <w:marRight w:val="0"/>
      <w:marTop w:val="0"/>
      <w:marBottom w:val="0"/>
      <w:divBdr>
        <w:top w:val="none" w:sz="0" w:space="0" w:color="auto"/>
        <w:left w:val="none" w:sz="0" w:space="0" w:color="auto"/>
        <w:bottom w:val="none" w:sz="0" w:space="0" w:color="auto"/>
        <w:right w:val="none" w:sz="0" w:space="0" w:color="auto"/>
      </w:divBdr>
    </w:div>
    <w:div w:id="2086805677">
      <w:bodyDiv w:val="1"/>
      <w:marLeft w:val="0"/>
      <w:marRight w:val="0"/>
      <w:marTop w:val="0"/>
      <w:marBottom w:val="0"/>
      <w:divBdr>
        <w:top w:val="none" w:sz="0" w:space="0" w:color="auto"/>
        <w:left w:val="none" w:sz="0" w:space="0" w:color="auto"/>
        <w:bottom w:val="none" w:sz="0" w:space="0" w:color="auto"/>
        <w:right w:val="none" w:sz="0" w:space="0" w:color="auto"/>
      </w:divBdr>
    </w:div>
    <w:div w:id="2122450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p.lex.pl/akty-prawne/dzu-dziennik-ustaw/ochrona-przyrody-17091515" TargetMode="External"/><Relationship Id="rId21" Type="http://schemas.openxmlformats.org/officeDocument/2006/relationships/image" Target="media/image4.png"/><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chart" Target="charts/chart34.xml"/><Relationship Id="rId68" Type="http://schemas.openxmlformats.org/officeDocument/2006/relationships/image" Target="media/image11.png"/><Relationship Id="rId84" Type="http://schemas.openxmlformats.org/officeDocument/2006/relationships/chart" Target="charts/chart51.xml"/><Relationship Id="rId89" Type="http://schemas.openxmlformats.org/officeDocument/2006/relationships/chart" Target="charts/chart55.xml"/><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3.xml"/><Relationship Id="rId107" Type="http://schemas.openxmlformats.org/officeDocument/2006/relationships/header" Target="header11.xm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6.jpg"/><Relationship Id="rId37" Type="http://schemas.openxmlformats.org/officeDocument/2006/relationships/chart" Target="charts/chart10.xml"/><Relationship Id="rId40" Type="http://schemas.openxmlformats.org/officeDocument/2006/relationships/chart" Target="charts/chart13.xml"/><Relationship Id="rId45" Type="http://schemas.openxmlformats.org/officeDocument/2006/relationships/chart" Target="charts/chart18.xml"/><Relationship Id="rId53" Type="http://schemas.openxmlformats.org/officeDocument/2006/relationships/chart" Target="charts/chart26.xml"/><Relationship Id="rId58" Type="http://schemas.openxmlformats.org/officeDocument/2006/relationships/chart" Target="charts/chart31.xml"/><Relationship Id="rId66" Type="http://schemas.openxmlformats.org/officeDocument/2006/relationships/image" Target="media/image9.png"/><Relationship Id="rId74" Type="http://schemas.openxmlformats.org/officeDocument/2006/relationships/chart" Target="charts/chart41.xml"/><Relationship Id="rId79" Type="http://schemas.openxmlformats.org/officeDocument/2006/relationships/chart" Target="charts/chart46.xml"/><Relationship Id="rId87" Type="http://schemas.openxmlformats.org/officeDocument/2006/relationships/chart" Target="charts/chart53.xml"/><Relationship Id="rId102" Type="http://schemas.openxmlformats.org/officeDocument/2006/relationships/hyperlink" Target="https://www.gov.pl/web/infrastruktura" TargetMode="External"/><Relationship Id="rId110"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chart" Target="charts/chart32.xml"/><Relationship Id="rId82" Type="http://schemas.openxmlformats.org/officeDocument/2006/relationships/chart" Target="charts/chart49.xml"/><Relationship Id="rId90" Type="http://schemas.openxmlformats.org/officeDocument/2006/relationships/chart" Target="charts/chart56.xml"/><Relationship Id="rId95" Type="http://schemas.openxmlformats.org/officeDocument/2006/relationships/header" Target="header9.xml"/><Relationship Id="rId19" Type="http://schemas.openxmlformats.org/officeDocument/2006/relationships/hyperlink" Target="https://sip.lex.pl/akty-prawne/dzu-dziennik-ustaw/ochrona-przyrody-17091515" TargetMode="Externa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8.xml"/><Relationship Id="rId43" Type="http://schemas.openxmlformats.org/officeDocument/2006/relationships/chart" Target="charts/chart16.xml"/><Relationship Id="rId48" Type="http://schemas.openxmlformats.org/officeDocument/2006/relationships/chart" Target="charts/chart21.xml"/><Relationship Id="rId56" Type="http://schemas.openxmlformats.org/officeDocument/2006/relationships/chart" Target="charts/chart29.xml"/><Relationship Id="rId64" Type="http://schemas.openxmlformats.org/officeDocument/2006/relationships/image" Target="media/image8.png"/><Relationship Id="rId69" Type="http://schemas.openxmlformats.org/officeDocument/2006/relationships/chart" Target="charts/chart36.xml"/><Relationship Id="rId77" Type="http://schemas.openxmlformats.org/officeDocument/2006/relationships/chart" Target="charts/chart44.xml"/><Relationship Id="rId100" Type="http://schemas.openxmlformats.org/officeDocument/2006/relationships/hyperlink" Target="http://www.apgw.gov.pl" TargetMode="External"/><Relationship Id="rId105" Type="http://schemas.openxmlformats.org/officeDocument/2006/relationships/hyperlink" Target="http://isap.sejm.gov.pl/isap.nsf/DocDetails.xsp?id=WDU20170002506" TargetMode="External"/><Relationship Id="rId8" Type="http://schemas.openxmlformats.org/officeDocument/2006/relationships/settings" Target="settings.xml"/><Relationship Id="rId51" Type="http://schemas.openxmlformats.org/officeDocument/2006/relationships/chart" Target="charts/chart24.xml"/><Relationship Id="rId72" Type="http://schemas.openxmlformats.org/officeDocument/2006/relationships/chart" Target="charts/chart39.xml"/><Relationship Id="rId80" Type="http://schemas.openxmlformats.org/officeDocument/2006/relationships/chart" Target="charts/chart47.xml"/><Relationship Id="rId85" Type="http://schemas.openxmlformats.org/officeDocument/2006/relationships/chart" Target="charts/chart52.xml"/><Relationship Id="rId93" Type="http://schemas.openxmlformats.org/officeDocument/2006/relationships/footer" Target="footer4.xml"/><Relationship Id="rId98" Type="http://schemas.openxmlformats.org/officeDocument/2006/relationships/hyperlink" Target="https://isap.sejm.gov.pl/isap.nsf/DocDetails.xsp?id=WDU20070860579"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chart" Target="charts/chart19.xml"/><Relationship Id="rId59" Type="http://schemas.openxmlformats.org/officeDocument/2006/relationships/hyperlink" Target="https://eur-lex.europa.eu/legal-content/PL/TXT/?uri=CELEX%3A32013L0039" TargetMode="External"/><Relationship Id="rId67" Type="http://schemas.openxmlformats.org/officeDocument/2006/relationships/image" Target="media/image10.png"/><Relationship Id="rId103" Type="http://schemas.openxmlformats.org/officeDocument/2006/relationships/hyperlink" Target="http://isap.sejm.gov.pl/isap.nsf/DocDetails.xsp?id=WDU20200001220" TargetMode="External"/><Relationship Id="rId108" Type="http://schemas.openxmlformats.org/officeDocument/2006/relationships/footer" Target="footer6.xml"/><Relationship Id="rId20" Type="http://schemas.openxmlformats.org/officeDocument/2006/relationships/image" Target="media/image3.jpeg"/><Relationship Id="rId41" Type="http://schemas.openxmlformats.org/officeDocument/2006/relationships/chart" Target="charts/chart14.xml"/><Relationship Id="rId54" Type="http://schemas.openxmlformats.org/officeDocument/2006/relationships/chart" Target="charts/chart27.xml"/><Relationship Id="rId62" Type="http://schemas.openxmlformats.org/officeDocument/2006/relationships/chart" Target="charts/chart33.xml"/><Relationship Id="rId70" Type="http://schemas.openxmlformats.org/officeDocument/2006/relationships/chart" Target="charts/chart37.xml"/><Relationship Id="rId75" Type="http://schemas.openxmlformats.org/officeDocument/2006/relationships/chart" Target="charts/chart42.xml"/><Relationship Id="rId83" Type="http://schemas.openxmlformats.org/officeDocument/2006/relationships/chart" Target="charts/chart50.xml"/><Relationship Id="rId88" Type="http://schemas.openxmlformats.org/officeDocument/2006/relationships/chart" Target="charts/chart54.xml"/><Relationship Id="rId91" Type="http://schemas.openxmlformats.org/officeDocument/2006/relationships/chart" Target="charts/chart57.xml"/><Relationship Id="rId96" Type="http://schemas.openxmlformats.org/officeDocument/2006/relationships/footer" Target="footer5.xml"/><Relationship Id="rId11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chart" Target="charts/chart2.xml"/><Relationship Id="rId36" Type="http://schemas.openxmlformats.org/officeDocument/2006/relationships/chart" Target="charts/chart9.xml"/><Relationship Id="rId49" Type="http://schemas.openxmlformats.org/officeDocument/2006/relationships/chart" Target="charts/chart22.xml"/><Relationship Id="rId57" Type="http://schemas.openxmlformats.org/officeDocument/2006/relationships/chart" Target="charts/chart30.xml"/><Relationship Id="rId106" Type="http://schemas.openxmlformats.org/officeDocument/2006/relationships/hyperlink" Target="https://www.wody.gov.pl" TargetMode="External"/><Relationship Id="rId10" Type="http://schemas.openxmlformats.org/officeDocument/2006/relationships/footnotes" Target="footnotes.xml"/><Relationship Id="rId31" Type="http://schemas.openxmlformats.org/officeDocument/2006/relationships/chart" Target="charts/chart5.xml"/><Relationship Id="rId44" Type="http://schemas.openxmlformats.org/officeDocument/2006/relationships/chart" Target="charts/chart17.xml"/><Relationship Id="rId52" Type="http://schemas.openxmlformats.org/officeDocument/2006/relationships/chart" Target="charts/chart25.xml"/><Relationship Id="rId60" Type="http://schemas.openxmlformats.org/officeDocument/2006/relationships/image" Target="media/image7.png"/><Relationship Id="rId65" Type="http://schemas.openxmlformats.org/officeDocument/2006/relationships/chart" Target="charts/chart35.xml"/><Relationship Id="rId73" Type="http://schemas.openxmlformats.org/officeDocument/2006/relationships/chart" Target="charts/chart40.xml"/><Relationship Id="rId78" Type="http://schemas.openxmlformats.org/officeDocument/2006/relationships/chart" Target="charts/chart45.xml"/><Relationship Id="rId81" Type="http://schemas.openxmlformats.org/officeDocument/2006/relationships/chart" Target="charts/chart48.xml"/><Relationship Id="rId86" Type="http://schemas.openxmlformats.org/officeDocument/2006/relationships/image" Target="media/image12.png"/><Relationship Id="rId94" Type="http://schemas.openxmlformats.org/officeDocument/2006/relationships/header" Target="header8.xml"/><Relationship Id="rId99" Type="http://schemas.openxmlformats.org/officeDocument/2006/relationships/image" Target="media/image13.png"/><Relationship Id="rId101" Type="http://schemas.openxmlformats.org/officeDocument/2006/relationships/hyperlink" Target="http://isap.sejm.gov.pl/isap.nsf/DocDetails.xsp?id=WDU20200001220"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chart" Target="charts/chart12.xml"/><Relationship Id="rId109" Type="http://schemas.openxmlformats.org/officeDocument/2006/relationships/header" Target="header12.xml"/><Relationship Id="rId34" Type="http://schemas.openxmlformats.org/officeDocument/2006/relationships/chart" Target="charts/chart7.xml"/><Relationship Id="rId50" Type="http://schemas.openxmlformats.org/officeDocument/2006/relationships/chart" Target="charts/chart23.xml"/><Relationship Id="rId55" Type="http://schemas.openxmlformats.org/officeDocument/2006/relationships/chart" Target="charts/chart28.xml"/><Relationship Id="rId76" Type="http://schemas.openxmlformats.org/officeDocument/2006/relationships/chart" Target="charts/chart43.xml"/><Relationship Id="rId97" Type="http://schemas.openxmlformats.org/officeDocument/2006/relationships/header" Target="header10.xml"/><Relationship Id="rId104" Type="http://schemas.openxmlformats.org/officeDocument/2006/relationships/hyperlink" Target="https://www.gov.pl/web/infrastruktura" TargetMode="External"/><Relationship Id="rId7" Type="http://schemas.openxmlformats.org/officeDocument/2006/relationships/styles" Target="styles.xml"/><Relationship Id="rId71" Type="http://schemas.openxmlformats.org/officeDocument/2006/relationships/chart" Target="charts/chart38.xml"/><Relationship Id="rId92"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SIE&#262;%202022-2027_liczbaJCWP.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RW_do2022.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RW_dane.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LW_do2022.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LW_Dane.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9.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0.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2.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4.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6.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7.xlsx"/></Relationships>
</file>

<file path=word/charts/_rels/chart24.xml.rels><?xml version="1.0" encoding="UTF-8" standalone="yes"?>
<Relationships xmlns="http://schemas.openxmlformats.org/package/2006/relationships"><Relationship Id="rId1" Type="http://schemas.openxmlformats.org/officeDocument/2006/relationships/oleObject" Target="file:///C:\!!II_aPGW\xls\skladowiska_DW.xlsx" TargetMode="External"/></Relationships>
</file>

<file path=word/charts/_rels/chart25.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19.xml"/><Relationship Id="rId1" Type="http://schemas.microsoft.com/office/2011/relationships/chartStyle" Target="style19.xml"/></Relationships>
</file>

<file path=word/charts/_rels/chart26.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20.xml"/><Relationship Id="rId1" Type="http://schemas.microsoft.com/office/2011/relationships/chartStyle" Target="style20.xml"/></Relationships>
</file>

<file path=word/charts/_rels/chart2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21.xml"/><Relationship Id="rId1" Type="http://schemas.microsoft.com/office/2011/relationships/chartStyle" Target="style21.xml"/></Relationships>
</file>

<file path=word/charts/_rels/chart28.xml.rels><?xml version="1.0" encoding="UTF-8" standalone="yes"?>
<Relationships xmlns="http://schemas.openxmlformats.org/package/2006/relationships"><Relationship Id="rId3" Type="http://schemas.openxmlformats.org/officeDocument/2006/relationships/oleObject" Target="https://cdmsmithonline-my.sharepoint.com/personal/gebkak_cdmsmith_com/Documents/Pliki%20z%20czat&#243;w%20w%20aplikacji%20Microsoft%20Teams/Plik%20roboczy_prof.%20go&#322;dyn.xlsx" TargetMode="External"/><Relationship Id="rId2" Type="http://schemas.microsoft.com/office/2011/relationships/chartColorStyle" Target="colors22.xml"/><Relationship Id="rId1" Type="http://schemas.microsoft.com/office/2011/relationships/chartStyle" Target="style22.xml"/></Relationships>
</file>

<file path=word/charts/_rels/chart29.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G&#281;bka%20Karolina/Projekty/Rozdzia&#322;%208%20-%20cele%20&#347;rodowiskowe/2apgw_cele_srodowiskowe_chemia_jeziora.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0.xml.rels><?xml version="1.0" encoding="UTF-8" standalone="yes"?>
<Relationships xmlns="http://schemas.openxmlformats.org/package/2006/relationships"><Relationship Id="rId3" Type="http://schemas.openxmlformats.org/officeDocument/2006/relationships/oleObject" Target="https://cdmsmithonline-my.sharepoint.com/personal/gebkak_cdmsmith_com/Documents/Pliki%20z%20czat&#243;w%20w%20aplikacji%20Microsoft%20Teams/Plik%20roboczy_prof.%20go&#322;dyn.xlsx" TargetMode="External"/><Relationship Id="rId2" Type="http://schemas.microsoft.com/office/2011/relationships/chartColorStyle" Target="colors24.xml"/><Relationship Id="rId1" Type="http://schemas.microsoft.com/office/2011/relationships/chartStyle" Target="style24.xml"/></Relationships>
</file>

<file path=word/charts/_rels/chart31.xml.rels><?xml version="1.0" encoding="UTF-8" standalone="yes"?>
<Relationships xmlns="http://schemas.openxmlformats.org/package/2006/relationships"><Relationship Id="rId3" Type="http://schemas.openxmlformats.org/officeDocument/2006/relationships/oleObject" Target="file:///D:\IIaPGW\Cele_och_analizy\WYKAZ%20OBSZAROW%20PRZYRODNICZYCH%20z%20celami%20i%20ocena%20osiagniecia%2012_2020_fin.xlsx" TargetMode="External"/><Relationship Id="rId2" Type="http://schemas.microsoft.com/office/2011/relationships/chartColorStyle" Target="colors25.xml"/><Relationship Id="rId1" Type="http://schemas.microsoft.com/office/2011/relationships/chartStyle" Target="style25.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26.xml"/><Relationship Id="rId1" Type="http://schemas.microsoft.com/office/2011/relationships/chartStyle" Target="style26.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8.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embeddings/oleObject5.bin"/></Relationships>
</file>

<file path=word/charts/_rels/chart35.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29.xml"/><Relationship Id="rId1" Type="http://schemas.microsoft.com/office/2011/relationships/chartStyle" Target="style29.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9.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0.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11.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3.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14.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5.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16.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17.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18.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19.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20.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1.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embeddings/oleObject6.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lukowskaa\Desktop\Zal_1_ZestawGlowne__ver01_20210305.xlsb" TargetMode="Externa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2.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3.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4.xlsx"/></Relationships>
</file>

<file path=word/charts/_rels/chart5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5.xlsx"/><Relationship Id="rId1" Type="http://schemas.openxmlformats.org/officeDocument/2006/relationships/themeOverride" Target="../theme/themeOverride35.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46.xml"/><Relationship Id="rId1" Type="http://schemas.microsoft.com/office/2011/relationships/chartStyle" Target="style46.xml"/></Relationships>
</file>

<file path=word/charts/_rels/chart55.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WilkosGladki%20Ewa/3O+H/Baza_presja/DANE_PRESJA/DANE_PRESJA_DORZECZA.xlsx" TargetMode="External"/><Relationship Id="rId2" Type="http://schemas.microsoft.com/office/2011/relationships/chartColorStyle" Target="colors47.xml"/><Relationship Id="rId1" Type="http://schemas.microsoft.com/office/2011/relationships/chartStyle" Target="style47.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ostrowskao\Desktop\Ostrowska\07_03_2021_wykresy_rzgw\tabele\Nowy%20folder\Kopia%20pliku%20podzia&#322;_%20prac_utrzymaniowych_kateogrie%2020200121_2_niemen.xlsx" TargetMode="External"/><Relationship Id="rId2" Type="http://schemas.microsoft.com/office/2011/relationships/chartColorStyle" Target="colors48.xml"/><Relationship Id="rId1" Type="http://schemas.microsoft.com/office/2011/relationships/chartStyle" Target="style48.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ostrowskao\Desktop\Ostrowska\07_03_2021_wykresy_rzgw\tabele\Nowy%20folder\Kopia%20pliku%20podzia&#322;_%20prac_utrzymaniowych_kateogrie%2020200121_2_niemen.xlsx" TargetMode="External"/><Relationship Id="rId2" Type="http://schemas.microsoft.com/office/2011/relationships/chartColorStyle" Target="colors49.xml"/><Relationship Id="rId1" Type="http://schemas.microsoft.com/office/2011/relationships/chartStyle" Target="style4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cdmsmithonline.sharepoint.com/sites/Extranet/Projects/001-251260/Internal/01_Zesp&#243;&#322;/0_CDM/001_PROJEKTY%20IIaPGW/Roz_3_Charakterystyka/Dane%20&#378;r&#243;d&#322;owe/Dane_Charakterystyk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3.bin"/></Relationships>
</file>

<file path=word/charts/_rels/chart8.xml.rels><?xml version="1.0" encoding="UTF-8" standalone="yes"?>
<Relationships xmlns="http://schemas.openxmlformats.org/package/2006/relationships"><Relationship Id="rId3" Type="http://schemas.openxmlformats.org/officeDocument/2006/relationships/oleObject" Target="file:///C:\Users\klukowskak\AppData\Local\Microsoft\Windows\INetCache\Content.Outlook\X1QB7VD3\zmiany%20klimatu%20-%20tendencja.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SIE&#262;%202022-2027_liczbaJCWP.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IIaPGWCLC!$Z$101:$Z$102</c:f>
              <c:strCache>
                <c:ptCount val="2"/>
                <c:pt idx="0">
                  <c:v>Równiny Wschodnie</c:v>
                </c:pt>
                <c:pt idx="1">
                  <c:v>Region Bałtycki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BB8-4E0E-AA45-9865C7AD25C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BB8-4E0E-AA45-9865C7AD25CE}"/>
              </c:ext>
            </c:extLst>
          </c:dPt>
          <c:dLbls>
            <c:dLbl>
              <c:idx val="0"/>
              <c:tx>
                <c:rich>
                  <a:bodyPr/>
                  <a:lstStyle/>
                  <a:p>
                    <a:fld id="{BB460E3F-B14B-4D0C-8978-09CAAECAA490}" type="VALUE">
                      <a:rPr lang="en-US"/>
                      <a:pPr/>
                      <a:t>[WARTOŚĆ]</a:t>
                    </a:fld>
                    <a:r>
                      <a:rPr lang="en-US"/>
                      <a:t>%</a:t>
                    </a:r>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BB8-4E0E-AA45-9865C7AD25CE}"/>
                </c:ext>
              </c:extLst>
            </c:dLbl>
            <c:dLbl>
              <c:idx val="1"/>
              <c:layout>
                <c:manualLayout>
                  <c:x val="4.7665916192062147E-2"/>
                  <c:y val="0.16667858371042266"/>
                </c:manualLayout>
              </c:layout>
              <c:tx>
                <c:rich>
                  <a:bodyPr/>
                  <a:lstStyle/>
                  <a:p>
                    <a:fld id="{2F59DBD7-6360-47C7-9E34-71A80B9DD0B4}" type="VALUE">
                      <a:rPr lang="en-US"/>
                      <a:pPr/>
                      <a:t>[WARTOŚĆ]</a:t>
                    </a:fld>
                    <a:r>
                      <a:rPr lang="en-US"/>
                      <a:t>%</a:t>
                    </a: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BB8-4E0E-AA45-9865C7AD25CE}"/>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IIaPGWCLC!$Z$101:$Z$102</c:f>
              <c:strCache>
                <c:ptCount val="2"/>
                <c:pt idx="0">
                  <c:v>Równiny Wschodnie</c:v>
                </c:pt>
                <c:pt idx="1">
                  <c:v>Region Bałtycki</c:v>
                </c:pt>
              </c:strCache>
            </c:strRef>
          </c:cat>
          <c:val>
            <c:numRef>
              <c:f>IIaPGWCLC!$AB$101:$AB$102</c:f>
              <c:numCache>
                <c:formatCode>General</c:formatCode>
                <c:ptCount val="2"/>
                <c:pt idx="0">
                  <c:v>99.7</c:v>
                </c:pt>
                <c:pt idx="1">
                  <c:v>0.3</c:v>
                </c:pt>
              </c:numCache>
            </c:numRef>
          </c:val>
          <c:extLst>
            <c:ext xmlns:c16="http://schemas.microsoft.com/office/drawing/2014/chart" uri="{C3380CC4-5D6E-409C-BE32-E72D297353CC}">
              <c16:uniqueId val="{00000004-1BB8-4E0E-AA45-9865C7AD25C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4A7-4213-8CAF-215E0B894867}"/>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4A7-4213-8CAF-215E0B894867}"/>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Dorzecze_RegWod!$M$20:$N$20</c:f>
              <c:numCache>
                <c:formatCode>0.0%</c:formatCode>
                <c:ptCount val="2"/>
                <c:pt idx="0" formatCode="0%">
                  <c:v>0.43809523809523809</c:v>
                </c:pt>
                <c:pt idx="1">
                  <c:v>0.56190476190476191</c:v>
                </c:pt>
              </c:numCache>
            </c:numRef>
          </c:val>
          <c:extLst>
            <c:ext xmlns:c16="http://schemas.microsoft.com/office/drawing/2014/chart" uri="{C3380CC4-5D6E-409C-BE32-E72D297353CC}">
              <c16:uniqueId val="{00000004-14A7-4213-8CAF-215E0B89486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4EB-46BD-965B-BC3ED157819F}"/>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4EB-46BD-965B-BC3ED157819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IIaPGW!$A$3:$A$4</c:f>
              <c:strCache>
                <c:ptCount val="2"/>
                <c:pt idx="0">
                  <c:v>jcwp bez oceny stanu</c:v>
                </c:pt>
                <c:pt idx="1">
                  <c:v>jcwp z oceną stanu</c:v>
                </c:pt>
              </c:strCache>
            </c:strRef>
          </c:cat>
          <c:val>
            <c:numRef>
              <c:f>IIaPGW!$D$3:$D$4</c:f>
              <c:numCache>
                <c:formatCode>0.00%</c:formatCode>
                <c:ptCount val="2"/>
                <c:pt idx="0">
                  <c:v>0.51219512195121952</c:v>
                </c:pt>
                <c:pt idx="1">
                  <c:v>0.48780487804878048</c:v>
                </c:pt>
              </c:numCache>
            </c:numRef>
          </c:val>
          <c:extLst>
            <c:ext xmlns:c16="http://schemas.microsoft.com/office/drawing/2014/chart" uri="{C3380CC4-5D6E-409C-BE32-E72D297353CC}">
              <c16:uniqueId val="{00000004-94EB-46BD-965B-BC3ED157819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4D1-49E1-8E6B-B66F850DA7E9}"/>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4D1-49E1-8E6B-B66F850DA7E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IIaPGW/Roz_5_Monitoring/Dane/DaneOcenaStanu_GIOŚ_do2022/[Ocena_RW_do2022.xlsx]IIaPGW'!$A$3:$A$4</c:f>
              <c:strCache>
                <c:ptCount val="2"/>
                <c:pt idx="0">
                  <c:v>jcwp bez oceny stanu</c:v>
                </c:pt>
                <c:pt idx="1">
                  <c:v>jcwp z oceną stanu</c:v>
                </c:pt>
              </c:strCache>
            </c:strRef>
          </c:cat>
          <c:val>
            <c:numRef>
              <c:f>Wykresy!$K$19:$K$20</c:f>
              <c:numCache>
                <c:formatCode>0.00%</c:formatCode>
                <c:ptCount val="2"/>
                <c:pt idx="0">
                  <c:v>0.40243902439024393</c:v>
                </c:pt>
                <c:pt idx="1">
                  <c:v>0.59756097560975607</c:v>
                </c:pt>
              </c:numCache>
            </c:numRef>
          </c:val>
          <c:extLst>
            <c:ext xmlns:c16="http://schemas.microsoft.com/office/drawing/2014/chart" uri="{C3380CC4-5D6E-409C-BE32-E72D297353CC}">
              <c16:uniqueId val="{00000004-04D1-49E1-8E6B-B66F850DA7E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EC4-4B74-833D-2E5C46ADFA94}"/>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EC4-4B74-833D-2E5C46ADFA9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[Ocena_RWZb_do2022.xlsx]Przestawna!$J$5:$J$6</c:f>
              <c:strCache>
                <c:ptCount val="2"/>
                <c:pt idx="0">
                  <c:v>jcwp bez oceny stanu</c:v>
                </c:pt>
                <c:pt idx="1">
                  <c:v>jcwp z oceną stanu</c:v>
                </c:pt>
              </c:strCache>
            </c:strRef>
          </c:cat>
          <c:val>
            <c:numRef>
              <c:f>Wykresy!$D$3:$D$4</c:f>
              <c:numCache>
                <c:formatCode>0.0%</c:formatCode>
                <c:ptCount val="2"/>
                <c:pt idx="0">
                  <c:v>0.51428571428571423</c:v>
                </c:pt>
                <c:pt idx="1">
                  <c:v>0.48571428571428577</c:v>
                </c:pt>
              </c:numCache>
            </c:numRef>
          </c:val>
          <c:extLst>
            <c:ext xmlns:c16="http://schemas.microsoft.com/office/drawing/2014/chart" uri="{C3380CC4-5D6E-409C-BE32-E72D297353CC}">
              <c16:uniqueId val="{00000004-7EC4-4B74-833D-2E5C46ADFA9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26-4BEE-9E71-C25F5A0DAA93}"/>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26-4BEE-9E71-C25F5A0DAA9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IIaPGW/Roz_5_Monitoring/Dane/DaneOcenaStanu_GIOŚ_do2022/[Ocena_LW_do2022.xlsx]Wykresy'!$A$3:$A$4</c:f>
              <c:strCache>
                <c:ptCount val="2"/>
                <c:pt idx="0">
                  <c:v>jcwp bez oceny stanu</c:v>
                </c:pt>
                <c:pt idx="1">
                  <c:v>jcwp z oceną stanu</c:v>
                </c:pt>
              </c:strCache>
            </c:strRef>
          </c:cat>
          <c:val>
            <c:numRef>
              <c:f>'Wykresy+tabele'!$N$16:$N$17</c:f>
              <c:numCache>
                <c:formatCode>0.00%</c:formatCode>
                <c:ptCount val="2"/>
                <c:pt idx="0">
                  <c:v>0.45714285714285713</c:v>
                </c:pt>
                <c:pt idx="1">
                  <c:v>0.54285714285714293</c:v>
                </c:pt>
              </c:numCache>
            </c:numRef>
          </c:val>
          <c:extLst>
            <c:ext xmlns:c16="http://schemas.microsoft.com/office/drawing/2014/chart" uri="{C3380CC4-5D6E-409C-BE32-E72D297353CC}">
              <c16:uniqueId val="{00000004-5326-4BEE-9E71-C25F5A0DAA9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01890835270416"/>
          <c:y val="0.16907469074825512"/>
          <c:w val="0.86498109164729586"/>
          <c:h val="0.49322739015650247"/>
        </c:manualLayout>
      </c:layout>
      <c:barChart>
        <c:barDir val="col"/>
        <c:grouping val="stacked"/>
        <c:varyColors val="0"/>
        <c:ser>
          <c:idx val="0"/>
          <c:order val="0"/>
          <c:tx>
            <c:strRef>
              <c:f>pregola!$B$1</c:f>
              <c:strCache>
                <c:ptCount val="1"/>
                <c:pt idx="0">
                  <c:v>woda</c:v>
                </c:pt>
              </c:strCache>
            </c:strRef>
          </c:tx>
          <c:spPr>
            <a:solidFill>
              <a:schemeClr val="accent1"/>
            </a:solidFill>
            <a:ln>
              <a:noFill/>
            </a:ln>
            <a:effectLst/>
          </c:spPr>
          <c:invertIfNegative val="0"/>
          <c:dLbls>
            <c:dLbl>
              <c:idx val="0"/>
              <c:layout>
                <c:manualLayout>
                  <c:x val="2.065528300760337E-5"/>
                  <c:y val="-0.153253561499286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2B-4FF1-B5D6-87B25D5F22D7}"/>
                </c:ext>
              </c:extLst>
            </c:dLbl>
            <c:dLbl>
              <c:idx val="5"/>
              <c:layout>
                <c:manualLayout>
                  <c:x val="2.0655283007489945E-5"/>
                  <c:y val="-0.238120137514099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2B-4FF1-B5D6-87B25D5F22D7}"/>
                </c:ext>
              </c:extLst>
            </c:dLbl>
            <c:dLbl>
              <c:idx val="8"/>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2B-4FF1-B5D6-87B25D5F22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pregola!$A$2:$A$19</c:f>
              <c:strCache>
                <c:ptCount val="9"/>
                <c:pt idx="0">
                  <c:v>benzo(a)piren</c:v>
                </c:pt>
                <c:pt idx="1">
                  <c:v>bromowane difenyloetery </c:v>
                </c:pt>
                <c:pt idx="2">
                  <c:v>rtęć i jej związki </c:v>
                </c:pt>
                <c:pt idx="3">
                  <c:v>heptachlor </c:v>
                </c:pt>
                <c:pt idx="5">
                  <c:v>benzo(a)piren</c:v>
                </c:pt>
                <c:pt idx="6">
                  <c:v>bromowane difenyloetery </c:v>
                </c:pt>
                <c:pt idx="7">
                  <c:v>rtęć i jej związki </c:v>
                </c:pt>
                <c:pt idx="8">
                  <c:v>heptachlor </c:v>
                </c:pt>
              </c:strCache>
              <c:extLst/>
            </c:strRef>
          </c:cat>
          <c:val>
            <c:numRef>
              <c:f>pregola!$B$2:$B$19</c:f>
              <c:numCache>
                <c:formatCode>General</c:formatCode>
                <c:ptCount val="9"/>
                <c:pt idx="0" formatCode="0.0">
                  <c:v>48.5</c:v>
                </c:pt>
                <c:pt idx="5" formatCode="0.0">
                  <c:v>81</c:v>
                </c:pt>
              </c:numCache>
              <c:extLst/>
            </c:numRef>
          </c:val>
          <c:extLst>
            <c:ext xmlns:c16="http://schemas.microsoft.com/office/drawing/2014/chart" uri="{C3380CC4-5D6E-409C-BE32-E72D297353CC}">
              <c16:uniqueId val="{00000003-752B-4FF1-B5D6-87B25D5F22D7}"/>
            </c:ext>
          </c:extLst>
        </c:ser>
        <c:ser>
          <c:idx val="1"/>
          <c:order val="1"/>
          <c:tx>
            <c:strRef>
              <c:f>pregola!$C$1</c:f>
              <c:strCache>
                <c:ptCount val="1"/>
                <c:pt idx="0">
                  <c:v>biota</c:v>
                </c:pt>
              </c:strCache>
            </c:strRef>
          </c:tx>
          <c:spPr>
            <a:solidFill>
              <a:schemeClr val="bg2">
                <a:lumMod val="90000"/>
              </a:schemeClr>
            </a:solidFill>
            <a:ln>
              <a:noFill/>
            </a:ln>
            <a:effectLst/>
          </c:spPr>
          <c:invertIfNegative val="0"/>
          <c:dLbls>
            <c:dLbl>
              <c:idx val="1"/>
              <c:layout>
                <c:manualLayout>
                  <c:x val="2.0655283007535316E-5"/>
                  <c:y val="-0.27496755535131184"/>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752B-4FF1-B5D6-87B25D5F22D7}"/>
                </c:ext>
              </c:extLst>
            </c:dLbl>
            <c:dLbl>
              <c:idx val="2"/>
              <c:layout>
                <c:manualLayout>
                  <c:x val="2.4954033325960477E-3"/>
                  <c:y val="-0.22036784943135104"/>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752B-4FF1-B5D6-87B25D5F22D7}"/>
                </c:ext>
              </c:extLst>
            </c:dLbl>
            <c:dLbl>
              <c:idx val="3"/>
              <c:layout>
                <c:manualLayout>
                  <c:x val="2.4954033325960477E-3"/>
                  <c:y val="-0.1818967724891972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6-752B-4FF1-B5D6-87B25D5F22D7}"/>
                </c:ext>
              </c:extLst>
            </c:dLbl>
            <c:dLbl>
              <c:idx val="6"/>
              <c:layout>
                <c:manualLayout>
                  <c:x val="2.4953920207082853E-3"/>
                  <c:y val="-0.285562501937245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2B-4FF1-B5D6-87B25D5F22D7}"/>
                </c:ext>
              </c:extLst>
            </c:dLbl>
            <c:dLbl>
              <c:idx val="7"/>
              <c:layout>
                <c:manualLayout>
                  <c:x val="2.0656989711454982E-5"/>
                  <c:y val="-0.17313723323098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2B-4FF1-B5D6-87B25D5F22D7}"/>
                </c:ext>
              </c:extLst>
            </c:dLbl>
            <c:dLbl>
              <c:idx val="8"/>
              <c:layout>
                <c:manualLayout>
                  <c:x val="4.9498824402920433E-3"/>
                  <c:y val="-0.225141050282100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2B-4FF1-B5D6-87B25D5F22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pregola!$A$2:$A$19</c:f>
              <c:strCache>
                <c:ptCount val="9"/>
                <c:pt idx="0">
                  <c:v>benzo(a)piren</c:v>
                </c:pt>
                <c:pt idx="1">
                  <c:v>bromowane difenyloetery </c:v>
                </c:pt>
                <c:pt idx="2">
                  <c:v>rtęć i jej związki </c:v>
                </c:pt>
                <c:pt idx="3">
                  <c:v>heptachlor </c:v>
                </c:pt>
                <c:pt idx="5">
                  <c:v>benzo(a)piren</c:v>
                </c:pt>
                <c:pt idx="6">
                  <c:v>bromowane difenyloetery </c:v>
                </c:pt>
                <c:pt idx="7">
                  <c:v>rtęć i jej związki </c:v>
                </c:pt>
                <c:pt idx="8">
                  <c:v>heptachlor </c:v>
                </c:pt>
              </c:strCache>
              <c:extLst/>
            </c:strRef>
          </c:cat>
          <c:val>
            <c:numRef>
              <c:f>pregola!$C$2:$C$19</c:f>
              <c:numCache>
                <c:formatCode>0.0</c:formatCode>
                <c:ptCount val="9"/>
                <c:pt idx="1">
                  <c:v>96</c:v>
                </c:pt>
                <c:pt idx="2">
                  <c:v>76</c:v>
                </c:pt>
                <c:pt idx="3">
                  <c:v>64</c:v>
                </c:pt>
                <c:pt idx="6">
                  <c:v>100</c:v>
                </c:pt>
                <c:pt idx="7">
                  <c:v>59.3</c:v>
                </c:pt>
                <c:pt idx="8">
                  <c:v>77.8</c:v>
                </c:pt>
              </c:numCache>
              <c:extLst/>
            </c:numRef>
          </c:val>
          <c:extLst>
            <c:ext xmlns:c16="http://schemas.microsoft.com/office/drawing/2014/chart" uri="{C3380CC4-5D6E-409C-BE32-E72D297353CC}">
              <c16:uniqueId val="{0000000A-752B-4FF1-B5D6-87B25D5F22D7}"/>
            </c:ext>
          </c:extLst>
        </c:ser>
        <c:dLbls>
          <c:showLegendKey val="0"/>
          <c:showVal val="0"/>
          <c:showCatName val="0"/>
          <c:showSerName val="0"/>
          <c:showPercent val="0"/>
          <c:showBubbleSize val="0"/>
        </c:dLbls>
        <c:gapWidth val="172"/>
        <c:overlap val="100"/>
        <c:axId val="477118152"/>
        <c:axId val="477121432"/>
      </c:barChart>
      <c:catAx>
        <c:axId val="4771181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nazwa wskaźnika</a:t>
                </a:r>
              </a:p>
            </c:rich>
          </c:tx>
          <c:layout>
            <c:manualLayout>
              <c:xMode val="edge"/>
              <c:yMode val="edge"/>
              <c:x val="0.35470156008991638"/>
              <c:y val="0.9429991438235996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21432"/>
        <c:crosses val="autoZero"/>
        <c:auto val="1"/>
        <c:lblAlgn val="ctr"/>
        <c:lblOffset val="100"/>
        <c:noMultiLvlLbl val="0"/>
      </c:catAx>
      <c:valAx>
        <c:axId val="477121432"/>
        <c:scaling>
          <c:orientation val="minMax"/>
          <c:max val="1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Częstość</a:t>
                </a:r>
                <a:r>
                  <a:rPr lang="pl-PL" b="1" baseline="0">
                    <a:solidFill>
                      <a:schemeClr val="tx1"/>
                    </a:solidFill>
                  </a:rPr>
                  <a:t> przekroczeń (%)</a:t>
                </a:r>
                <a:endParaRPr lang="pl-PL"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18152"/>
        <c:crosses val="autoZero"/>
        <c:crossBetween val="between"/>
      </c:valAx>
      <c:spPr>
        <a:noFill/>
        <a:ln>
          <a:noFill/>
        </a:ln>
        <a:effectLst/>
      </c:spPr>
    </c:plotArea>
    <c:legend>
      <c:legendPos val="b"/>
      <c:layout>
        <c:manualLayout>
          <c:xMode val="edge"/>
          <c:yMode val="edge"/>
          <c:x val="1.4991572889105692E-4"/>
          <c:y val="3.2797821546907985E-3"/>
          <c:w val="0.17712829420121062"/>
          <c:h val="6.35132600089084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pl-PL"/>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RW!$D$4</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Pt>
            <c:idx val="8"/>
            <c:invertIfNegative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E40-4699-8D9A-9A4CA28439AB}"/>
              </c:ext>
            </c:extLst>
          </c:dPt>
          <c:dLbls>
            <c:dLbl>
              <c:idx val="0"/>
              <c:layout>
                <c:manualLayout>
                  <c:x val="0"/>
                  <c:y val="8.24325649903661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40-4699-8D9A-9A4CA28439A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RW!$D$18</c:f>
              <c:numCache>
                <c:formatCode>0%</c:formatCode>
                <c:ptCount val="1"/>
                <c:pt idx="0">
                  <c:v>0.53658536585365857</c:v>
                </c:pt>
              </c:numCache>
            </c:numRef>
          </c:val>
          <c:extLst>
            <c:ext xmlns:c16="http://schemas.microsoft.com/office/drawing/2014/chart" uri="{C3380CC4-5D6E-409C-BE32-E72D297353CC}">
              <c16:uniqueId val="{00000003-7E40-4699-8D9A-9A4CA28439AB}"/>
            </c:ext>
          </c:extLst>
        </c:ser>
        <c:ser>
          <c:idx val="1"/>
          <c:order val="1"/>
          <c:tx>
            <c:strRef>
              <c:f>RW!$E$4</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RW!$E$18</c:f>
              <c:numCache>
                <c:formatCode>0%</c:formatCode>
                <c:ptCount val="1"/>
                <c:pt idx="0">
                  <c:v>0.53658536585365857</c:v>
                </c:pt>
              </c:numCache>
            </c:numRef>
          </c:val>
          <c:extLst>
            <c:ext xmlns:c16="http://schemas.microsoft.com/office/drawing/2014/chart" uri="{C3380CC4-5D6E-409C-BE32-E72D297353CC}">
              <c16:uniqueId val="{00000004-7E40-4699-8D9A-9A4CA28439AB}"/>
            </c:ext>
          </c:extLst>
        </c:ser>
        <c:ser>
          <c:idx val="2"/>
          <c:order val="2"/>
          <c:tx>
            <c:strRef>
              <c:f>RW!$F$4</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RW!$F$18</c:f>
              <c:numCache>
                <c:formatCode>0%</c:formatCode>
                <c:ptCount val="1"/>
                <c:pt idx="0">
                  <c:v>0.67073170731707321</c:v>
                </c:pt>
              </c:numCache>
            </c:numRef>
          </c:val>
          <c:extLst>
            <c:ext xmlns:c16="http://schemas.microsoft.com/office/drawing/2014/chart" uri="{C3380CC4-5D6E-409C-BE32-E72D297353CC}">
              <c16:uniqueId val="{00000005-7E40-4699-8D9A-9A4CA28439AB}"/>
            </c:ext>
          </c:extLst>
        </c:ser>
        <c:ser>
          <c:idx val="3"/>
          <c:order val="3"/>
          <c:tx>
            <c:strRef>
              <c:f>RW!$G$4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RW!$G$18</c:f>
              <c:numCache>
                <c:formatCode>0%</c:formatCode>
                <c:ptCount val="1"/>
                <c:pt idx="0">
                  <c:v>0.6097560975609756</c:v>
                </c:pt>
              </c:numCache>
            </c:numRef>
          </c:val>
          <c:extLst>
            <c:ext xmlns:c16="http://schemas.microsoft.com/office/drawing/2014/chart" uri="{C3380CC4-5D6E-409C-BE32-E72D297353CC}">
              <c16:uniqueId val="{00000006-7E40-4699-8D9A-9A4CA28439AB}"/>
            </c:ext>
          </c:extLst>
        </c:ser>
        <c:ser>
          <c:idx val="4"/>
          <c:order val="4"/>
          <c:tx>
            <c:strRef>
              <c:f>RW!$H$4</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RW!$H$18</c:f>
              <c:numCache>
                <c:formatCode>0%</c:formatCode>
                <c:ptCount val="1"/>
                <c:pt idx="0">
                  <c:v>0.32926829268292684</c:v>
                </c:pt>
              </c:numCache>
            </c:numRef>
          </c:val>
          <c:extLst>
            <c:ext xmlns:c16="http://schemas.microsoft.com/office/drawing/2014/chart" uri="{C3380CC4-5D6E-409C-BE32-E72D297353CC}">
              <c16:uniqueId val="{00000007-7E40-4699-8D9A-9A4CA28439AB}"/>
            </c:ext>
          </c:extLst>
        </c:ser>
        <c:ser>
          <c:idx val="5"/>
          <c:order val="5"/>
          <c:tx>
            <c:strRef>
              <c:f>RW!$I$4</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RW!$I$18</c:f>
              <c:numCache>
                <c:formatCode>0%</c:formatCode>
                <c:ptCount val="1"/>
                <c:pt idx="0">
                  <c:v>0.25609756097560976</c:v>
                </c:pt>
              </c:numCache>
            </c:numRef>
          </c:val>
          <c:extLst>
            <c:ext xmlns:c16="http://schemas.microsoft.com/office/drawing/2014/chart" uri="{C3380CC4-5D6E-409C-BE32-E72D297353CC}">
              <c16:uniqueId val="{00000008-7E40-4699-8D9A-9A4CA28439AB}"/>
            </c:ext>
          </c:extLst>
        </c:ser>
        <c:ser>
          <c:idx val="6"/>
          <c:order val="6"/>
          <c:tx>
            <c:strRef>
              <c:f>RW!$J$4</c:f>
              <c:strCache>
                <c:ptCount val="1"/>
                <c:pt idx="0">
                  <c:v>OCH - presja na obszary chronione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RW!$J$18</c:f>
              <c:numCache>
                <c:formatCode>0%</c:formatCode>
                <c:ptCount val="1"/>
                <c:pt idx="0">
                  <c:v>0.87804878048780488</c:v>
                </c:pt>
              </c:numCache>
            </c:numRef>
          </c:val>
          <c:extLst>
            <c:ext xmlns:c16="http://schemas.microsoft.com/office/drawing/2014/chart" uri="{C3380CC4-5D6E-409C-BE32-E72D297353CC}">
              <c16:uniqueId val="{00000009-7E40-4699-8D9A-9A4CA28439AB}"/>
            </c:ext>
          </c:extLst>
        </c:ser>
        <c:ser>
          <c:idx val="7"/>
          <c:order val="7"/>
          <c:tx>
            <c:strRef>
              <c:f>RW!$K$4</c:f>
              <c:strCache>
                <c:ptCount val="1"/>
                <c:pt idx="0">
                  <c:v>IL - presja ilościowa na zasoby wodne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RW!$K$18</c:f>
              <c:numCache>
                <c:formatCode>0%</c:formatCode>
                <c:ptCount val="1"/>
                <c:pt idx="0">
                  <c:v>2.4390243902439025E-2</c:v>
                </c:pt>
              </c:numCache>
            </c:numRef>
          </c:val>
          <c:extLst>
            <c:ext xmlns:c16="http://schemas.microsoft.com/office/drawing/2014/chart" uri="{C3380CC4-5D6E-409C-BE32-E72D297353CC}">
              <c16:uniqueId val="{0000000A-7E40-4699-8D9A-9A4CA28439AB}"/>
            </c:ext>
          </c:extLst>
        </c:ser>
        <c:dLbls>
          <c:showLegendKey val="0"/>
          <c:showVal val="0"/>
          <c:showCatName val="0"/>
          <c:showSerName val="0"/>
          <c:showPercent val="0"/>
          <c:showBubbleSize val="0"/>
        </c:dLbls>
        <c:gapWidth val="100"/>
        <c:axId val="1308142968"/>
        <c:axId val="1308148216"/>
      </c:barChart>
      <c:catAx>
        <c:axId val="1308142968"/>
        <c:scaling>
          <c:orientation val="minMax"/>
        </c:scaling>
        <c:delete val="1"/>
        <c:axPos val="b"/>
        <c:majorTickMark val="out"/>
        <c:minorTickMark val="none"/>
        <c:tickLblPos val="nextTo"/>
        <c:crossAx val="1308148216"/>
        <c:crosses val="autoZero"/>
        <c:auto val="1"/>
        <c:lblAlgn val="ctr"/>
        <c:lblOffset val="100"/>
        <c:noMultiLvlLbl val="0"/>
      </c:catAx>
      <c:valAx>
        <c:axId val="130814821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08142968"/>
        <c:crosses val="autoZero"/>
        <c:crossBetween val="between"/>
      </c:valAx>
      <c:spPr>
        <a:noFill/>
        <a:ln>
          <a:noFill/>
        </a:ln>
        <a:effectLst/>
      </c:spPr>
    </c:plotArea>
    <c:legend>
      <c:legendPos val="r"/>
      <c:layout>
        <c:manualLayout>
          <c:xMode val="edge"/>
          <c:yMode val="edge"/>
          <c:x val="0.64107088654734479"/>
          <c:y val="7.337270341207347E-2"/>
          <c:w val="0.33938109081281975"/>
          <c:h val="0.8395003520901350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[Wykresy_tabele_rozdzial_7MR.xlsx]Hymo_Pregoła!Tabela przestawna4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2"/>
          </a:solidFill>
          <a:ln>
            <a:noFill/>
          </a:ln>
          <a:effectLst/>
        </c:spPr>
        <c:marker>
          <c:symbol val="none"/>
        </c:marker>
      </c:pivotFmt>
      <c:pivotFmt>
        <c:idx val="21"/>
        <c:spPr>
          <a:solidFill>
            <a:schemeClr val="accent3"/>
          </a:solidFill>
          <a:ln>
            <a:noFill/>
          </a:ln>
          <a:effectLst/>
        </c:spPr>
        <c:marker>
          <c:symbol val="none"/>
        </c:marker>
      </c:pivotFmt>
      <c:pivotFmt>
        <c:idx val="22"/>
        <c:spPr>
          <a:solidFill>
            <a:schemeClr val="accent4"/>
          </a:solidFill>
          <a:ln>
            <a:noFill/>
          </a:ln>
          <a:effectLst/>
        </c:spPr>
        <c:marker>
          <c:symbol val="none"/>
        </c:marker>
      </c:pivotFmt>
      <c:pivotFmt>
        <c:idx val="23"/>
        <c:spPr>
          <a:solidFill>
            <a:schemeClr val="accent5"/>
          </a:solidFill>
          <a:ln>
            <a:noFill/>
          </a:ln>
          <a:effectLst/>
        </c:spPr>
        <c:marker>
          <c:symbol val="none"/>
        </c:marker>
      </c:pivotFmt>
      <c:pivotFmt>
        <c:idx val="24"/>
        <c:spPr>
          <a:solidFill>
            <a:schemeClr val="accent6"/>
          </a:solidFill>
          <a:ln>
            <a:noFill/>
          </a:ln>
          <a:effectLst/>
        </c:spPr>
        <c:marker>
          <c:symbol val="none"/>
        </c:marker>
      </c:pivotFmt>
      <c:pivotFmt>
        <c:idx val="25"/>
        <c:spPr>
          <a:solidFill>
            <a:schemeClr val="accent1">
              <a:lumMod val="60000"/>
            </a:schemeClr>
          </a:solidFill>
          <a:ln>
            <a:noFill/>
          </a:ln>
          <a:effectLst/>
        </c:spPr>
        <c:marker>
          <c:symbol val="none"/>
        </c:marker>
      </c:pivotFmt>
      <c:pivotFmt>
        <c:idx val="26"/>
        <c:spPr>
          <a:solidFill>
            <a:schemeClr val="accent2">
              <a:lumMod val="60000"/>
            </a:schemeClr>
          </a:solidFill>
          <a:ln>
            <a:noFill/>
          </a:ln>
          <a:effectLst/>
        </c:spPr>
        <c:marker>
          <c:symbol val="none"/>
        </c:marker>
      </c:pivotFmt>
      <c:pivotFmt>
        <c:idx val="27"/>
        <c:spPr>
          <a:solidFill>
            <a:schemeClr val="accent3">
              <a:lumMod val="60000"/>
            </a:schemeClr>
          </a:solidFill>
          <a:ln>
            <a:noFill/>
          </a:ln>
          <a:effectLst/>
        </c:spPr>
        <c:marker>
          <c:symbol val="none"/>
        </c:marker>
      </c:pivotFmt>
      <c:pivotFmt>
        <c:idx val="28"/>
        <c:spPr>
          <a:solidFill>
            <a:schemeClr val="accent4">
              <a:lumMod val="60000"/>
            </a:schemeClr>
          </a:solidFill>
          <a:ln>
            <a:noFill/>
          </a:ln>
          <a:effectLst/>
        </c:spPr>
        <c:marker>
          <c:symbol val="none"/>
        </c:marker>
      </c:pivotFmt>
      <c:pivotFmt>
        <c:idx val="29"/>
        <c:spPr>
          <a:solidFill>
            <a:schemeClr val="accent5">
              <a:lumMod val="60000"/>
            </a:schemeClr>
          </a:solidFill>
          <a:ln>
            <a:noFill/>
          </a:ln>
          <a:effectLst/>
        </c:spPr>
        <c:marker>
          <c:symbol val="none"/>
        </c:marker>
      </c:pivotFmt>
      <c:pivotFmt>
        <c:idx val="30"/>
        <c:spPr>
          <a:solidFill>
            <a:schemeClr val="accent6">
              <a:lumMod val="60000"/>
            </a:schemeClr>
          </a:solidFill>
          <a:ln>
            <a:noFill/>
          </a:ln>
          <a:effectLst/>
        </c:spPr>
        <c:marker>
          <c:symbol val="none"/>
        </c:marker>
      </c:pivotFmt>
      <c:pivotFmt>
        <c:idx val="31"/>
        <c:spPr>
          <a:solidFill>
            <a:schemeClr val="accent1">
              <a:lumMod val="80000"/>
              <a:lumOff val="20000"/>
            </a:schemeClr>
          </a:solidFill>
          <a:ln>
            <a:noFill/>
          </a:ln>
          <a:effectLst/>
        </c:spPr>
        <c:marker>
          <c:symbol val="none"/>
        </c:marker>
      </c:pivotFmt>
      <c:pivotFmt>
        <c:idx val="32"/>
        <c:spPr>
          <a:solidFill>
            <a:schemeClr val="accent2">
              <a:lumMod val="80000"/>
              <a:lumOff val="20000"/>
            </a:schemeClr>
          </a:solidFill>
          <a:ln>
            <a:noFill/>
          </a:ln>
          <a:effectLst/>
        </c:spPr>
        <c:marker>
          <c:symbol val="none"/>
        </c:marker>
      </c:pivotFmt>
      <c:pivotFmt>
        <c:idx val="33"/>
        <c:spPr>
          <a:solidFill>
            <a:schemeClr val="accent3">
              <a:lumMod val="80000"/>
              <a:lumOff val="20000"/>
            </a:schemeClr>
          </a:solidFill>
          <a:ln>
            <a:noFill/>
          </a:ln>
          <a:effectLst/>
        </c:spPr>
        <c:marker>
          <c:symbol val="none"/>
        </c:marker>
      </c:pivotFmt>
      <c:pivotFmt>
        <c:idx val="34"/>
        <c:spPr>
          <a:solidFill>
            <a:schemeClr val="accent4">
              <a:lumMod val="80000"/>
              <a:lumOff val="20000"/>
            </a:schemeClr>
          </a:solidFill>
          <a:ln>
            <a:noFill/>
          </a:ln>
          <a:effectLst/>
        </c:spPr>
        <c:marker>
          <c:symbol val="none"/>
        </c:marker>
      </c:pivotFmt>
      <c:pivotFmt>
        <c:idx val="35"/>
        <c:spPr>
          <a:solidFill>
            <a:schemeClr val="accent5">
              <a:lumMod val="80000"/>
              <a:lumOff val="20000"/>
            </a:schemeClr>
          </a:solidFill>
          <a:ln>
            <a:noFill/>
          </a:ln>
          <a:effectLst/>
        </c:spPr>
        <c:marker>
          <c:symbol val="none"/>
        </c:marker>
      </c:pivotFmt>
      <c:pivotFmt>
        <c:idx val="36"/>
        <c:spPr>
          <a:solidFill>
            <a:schemeClr val="accent6">
              <a:lumMod val="80000"/>
              <a:lumOff val="20000"/>
            </a:schemeClr>
          </a:solidFill>
          <a:ln>
            <a:noFill/>
          </a:ln>
          <a:effectLst/>
        </c:spPr>
        <c:marker>
          <c:symbol val="none"/>
        </c:marker>
      </c:pivotFmt>
      <c:pivotFmt>
        <c:idx val="37"/>
        <c:spPr>
          <a:solidFill>
            <a:schemeClr val="accent1">
              <a:lumMod val="80000"/>
            </a:schemeClr>
          </a:solidFill>
          <a:ln>
            <a:noFill/>
          </a:ln>
          <a:effectLst/>
        </c:spPr>
        <c:marker>
          <c:symbol val="none"/>
        </c:marker>
      </c:pivotFmt>
      <c:pivotFmt>
        <c:idx val="38"/>
        <c:spPr>
          <a:solidFill>
            <a:schemeClr val="accent2">
              <a:lumMod val="80000"/>
            </a:schemeClr>
          </a:solidFill>
          <a:ln>
            <a:noFill/>
          </a:ln>
          <a:effectLst/>
        </c:spPr>
        <c:marker>
          <c:symbol val="none"/>
        </c:marker>
      </c:pivotFmt>
      <c:pivotFmt>
        <c:idx val="39"/>
        <c:spPr>
          <a:solidFill>
            <a:srgbClr val="009999"/>
          </a:solidFill>
        </c:spPr>
        <c:marker>
          <c:symbol val="none"/>
        </c:marker>
      </c:pivotFmt>
      <c:pivotFmt>
        <c:idx val="40"/>
        <c:marker>
          <c:symbol val="none"/>
        </c:marker>
      </c:pivotFmt>
      <c:pivotFmt>
        <c:idx val="41"/>
        <c:marker>
          <c:symbol val="none"/>
        </c:marker>
      </c:pivotFmt>
      <c:pivotFmt>
        <c:idx val="42"/>
        <c:marker>
          <c:symbol val="none"/>
        </c:marker>
      </c:pivotFmt>
      <c:pivotFmt>
        <c:idx val="43"/>
        <c:spPr>
          <a:solidFill>
            <a:srgbClr val="FF0000"/>
          </a:solidFill>
          <a:ln>
            <a:noFill/>
          </a:ln>
        </c:spPr>
        <c:marker>
          <c:symbol val="none"/>
        </c:marker>
      </c:pivotFmt>
      <c:pivotFmt>
        <c:idx val="44"/>
        <c:marker>
          <c:symbol val="none"/>
        </c:marker>
      </c:pivotFmt>
      <c:pivotFmt>
        <c:idx val="45"/>
        <c:marker>
          <c:symbol val="none"/>
        </c:marker>
      </c:pivotFmt>
      <c:pivotFmt>
        <c:idx val="46"/>
        <c:marker>
          <c:symbol val="none"/>
        </c:marker>
      </c:pivotFmt>
      <c:pivotFmt>
        <c:idx val="47"/>
        <c:marker>
          <c:symbol val="none"/>
        </c:marker>
      </c:pivotFmt>
      <c:pivotFmt>
        <c:idx val="48"/>
        <c:marker>
          <c:symbol val="none"/>
        </c:marker>
      </c:pivotFmt>
      <c:pivotFmt>
        <c:idx val="49"/>
        <c:marker>
          <c:symbol val="none"/>
        </c:marker>
      </c:pivotFmt>
      <c:pivotFmt>
        <c:idx val="50"/>
        <c:marker>
          <c:symbol val="none"/>
        </c:marker>
      </c:pivotFmt>
      <c:pivotFmt>
        <c:idx val="51"/>
        <c:marker>
          <c:symbol val="none"/>
        </c:marker>
      </c:pivotFmt>
      <c:pivotFmt>
        <c:idx val="52"/>
        <c:spPr>
          <a:solidFill>
            <a:srgbClr val="009999"/>
          </a:solidFill>
        </c:spPr>
        <c:marker>
          <c:symbol val="none"/>
        </c:marker>
      </c:pivotFmt>
      <c:pivotFmt>
        <c:idx val="53"/>
        <c:marker>
          <c:symbol val="none"/>
        </c:marker>
      </c:pivotFmt>
      <c:pivotFmt>
        <c:idx val="54"/>
        <c:spPr>
          <a:solidFill>
            <a:srgbClr val="FF0000"/>
          </a:solidFill>
          <a:ln>
            <a:noFill/>
          </a:ln>
        </c:spPr>
        <c:marker>
          <c:symbol val="none"/>
        </c:marker>
      </c:pivotFmt>
      <c:pivotFmt>
        <c:idx val="55"/>
        <c:marker>
          <c:symbol val="none"/>
        </c:marker>
      </c:pivotFmt>
      <c:pivotFmt>
        <c:idx val="56"/>
        <c:marker>
          <c:symbol val="none"/>
        </c:marker>
      </c:pivotFmt>
      <c:pivotFmt>
        <c:idx val="57"/>
        <c:marker>
          <c:symbol val="none"/>
        </c:marker>
      </c:pivotFmt>
      <c:pivotFmt>
        <c:idx val="58"/>
        <c:marker>
          <c:symbol val="none"/>
        </c:marker>
      </c:pivotFmt>
      <c:pivotFmt>
        <c:idx val="59"/>
        <c:marker>
          <c:symbol val="none"/>
        </c:marker>
      </c:pivotFmt>
      <c:pivotFmt>
        <c:idx val="60"/>
        <c:marker>
          <c:symbol val="none"/>
        </c:marker>
      </c:pivotFmt>
      <c:pivotFmt>
        <c:idx val="61"/>
        <c:marker>
          <c:symbol val="none"/>
        </c:marker>
      </c:pivotFmt>
      <c:pivotFmt>
        <c:idx val="62"/>
        <c:spPr>
          <a:solidFill>
            <a:srgbClr val="009999"/>
          </a:solidFill>
        </c:spPr>
        <c:marker>
          <c:symbol val="none"/>
        </c:marker>
      </c:pivotFmt>
      <c:pivotFmt>
        <c:idx val="63"/>
        <c:marker>
          <c:symbol val="none"/>
        </c:marker>
      </c:pivotFmt>
      <c:pivotFmt>
        <c:idx val="64"/>
        <c:spPr>
          <a:solidFill>
            <a:srgbClr val="FF0000"/>
          </a:solidFill>
          <a:ln>
            <a:noFill/>
          </a:ln>
        </c:spPr>
        <c:marker>
          <c:symbol val="none"/>
        </c:marker>
      </c:pivotFmt>
      <c:pivotFmt>
        <c:idx val="65"/>
        <c:marker>
          <c:symbol val="none"/>
        </c:marker>
      </c:pivotFmt>
      <c:pivotFmt>
        <c:idx val="66"/>
        <c:marker>
          <c:symbol val="none"/>
        </c:marker>
      </c:pivotFmt>
      <c:pivotFmt>
        <c:idx val="67"/>
        <c:marker>
          <c:symbol val="none"/>
        </c:marker>
      </c:pivotFmt>
      <c:pivotFmt>
        <c:idx val="68"/>
        <c:marker>
          <c:symbol val="none"/>
        </c:marker>
      </c:pivotFmt>
      <c:pivotFmt>
        <c:idx val="69"/>
        <c:marker>
          <c:symbol val="none"/>
        </c:marker>
      </c:pivotFmt>
      <c:pivotFmt>
        <c:idx val="70"/>
        <c:marker>
          <c:symbol val="none"/>
        </c:marker>
      </c:pivotFmt>
      <c:pivotFmt>
        <c:idx val="71"/>
        <c:marker>
          <c:symbol val="none"/>
        </c:marker>
      </c:pivotFmt>
      <c:pivotFmt>
        <c:idx val="72"/>
        <c:spPr>
          <a:solidFill>
            <a:srgbClr val="009999"/>
          </a:solidFill>
        </c:spPr>
        <c:marker>
          <c:symbol val="none"/>
        </c:marker>
      </c:pivotFmt>
      <c:pivotFmt>
        <c:idx val="73"/>
        <c:marker>
          <c:symbol val="none"/>
        </c:marker>
      </c:pivotFmt>
      <c:pivotFmt>
        <c:idx val="74"/>
        <c:marker>
          <c:symbol val="none"/>
        </c:marker>
      </c:pivotFmt>
      <c:pivotFmt>
        <c:idx val="75"/>
        <c:marker>
          <c:symbol val="none"/>
        </c:marker>
      </c:pivotFmt>
      <c:pivotFmt>
        <c:idx val="76"/>
        <c:marker>
          <c:symbol val="none"/>
        </c:marker>
      </c:pivotFmt>
      <c:pivotFmt>
        <c:idx val="77"/>
        <c:marker>
          <c:symbol val="none"/>
        </c:marker>
      </c:pivotFmt>
      <c:pivotFmt>
        <c:idx val="78"/>
        <c:marker>
          <c:symbol val="none"/>
        </c:marker>
      </c:pivotFmt>
      <c:pivotFmt>
        <c:idx val="79"/>
        <c:marker>
          <c:symbol val="none"/>
        </c:marker>
      </c:pivotFmt>
      <c:pivotFmt>
        <c:idx val="80"/>
        <c:marker>
          <c:symbol val="none"/>
        </c:marker>
      </c:pivotFmt>
      <c:pivotFmt>
        <c:idx val="81"/>
        <c:marker>
          <c:symbol val="none"/>
        </c:marker>
      </c:pivotFmt>
      <c:pivotFmt>
        <c:idx val="82"/>
        <c:marker>
          <c:symbol val="none"/>
        </c:marker>
      </c:pivotFmt>
      <c:pivotFmt>
        <c:idx val="83"/>
        <c:marker>
          <c:symbol val="none"/>
        </c:marker>
      </c:pivotFmt>
      <c:pivotFmt>
        <c:idx val="84"/>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85"/>
        <c:spPr>
          <a:solidFill>
            <a:schemeClr val="accent5">
              <a:lumMod val="50000"/>
            </a:schemeClr>
          </a:solidFill>
        </c:spPr>
        <c:marker>
          <c:symbol val="none"/>
        </c:marker>
        <c:dLbl>
          <c:idx val="0"/>
          <c:delete val="1"/>
          <c:extLst>
            <c:ext xmlns:c15="http://schemas.microsoft.com/office/drawing/2012/chart" uri="{CE6537A1-D6FC-4f65-9D91-7224C49458BB}"/>
          </c:extLst>
        </c:dLbl>
      </c:pivotFmt>
      <c:pivotFmt>
        <c:idx val="86"/>
        <c:spPr>
          <a:solidFill>
            <a:srgbClr val="FF0000"/>
          </a:solidFill>
        </c:spPr>
        <c:marker>
          <c:symbol val="none"/>
        </c:marker>
        <c:dLbl>
          <c:idx val="0"/>
          <c:delete val="1"/>
          <c:extLst>
            <c:ext xmlns:c15="http://schemas.microsoft.com/office/drawing/2012/chart" uri="{CE6537A1-D6FC-4f65-9D91-7224C49458BB}"/>
          </c:extLst>
        </c:dLbl>
      </c:pivotFmt>
      <c:pivotFmt>
        <c:idx val="87"/>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88"/>
        <c:marker>
          <c:symbol val="none"/>
        </c:marker>
      </c:pivotFmt>
      <c:pivotFmt>
        <c:idx val="89"/>
        <c:marker>
          <c:symbol val="none"/>
        </c:marker>
      </c:pivotFmt>
      <c:pivotFmt>
        <c:idx val="90"/>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91"/>
        <c:spPr>
          <a:solidFill>
            <a:srgbClr val="00B0F0"/>
          </a:solidFill>
        </c:spPr>
        <c:marker>
          <c:symbol val="none"/>
        </c:marker>
        <c:dLbl>
          <c:idx val="0"/>
          <c:delete val="1"/>
          <c:extLst>
            <c:ext xmlns:c15="http://schemas.microsoft.com/office/drawing/2012/chart" uri="{CE6537A1-D6FC-4f65-9D91-7224C49458BB}"/>
          </c:extLst>
        </c:dLbl>
      </c:pivotFmt>
      <c:pivotFmt>
        <c:idx val="92"/>
        <c:spPr>
          <a:solidFill>
            <a:srgbClr val="009999"/>
          </a:solidFill>
        </c:spPr>
      </c:pivotFmt>
      <c:pivotFmt>
        <c:idx val="93"/>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94"/>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95"/>
        <c:spPr>
          <a:solidFill>
            <a:schemeClr val="accent5">
              <a:lumMod val="50000"/>
            </a:schemeClr>
          </a:solidFill>
        </c:spPr>
        <c:marker>
          <c:symbol val="none"/>
        </c:marker>
        <c:dLbl>
          <c:idx val="0"/>
          <c:delete val="1"/>
          <c:extLst>
            <c:ext xmlns:c15="http://schemas.microsoft.com/office/drawing/2012/chart" uri="{CE6537A1-D6FC-4f65-9D91-7224C49458BB}"/>
          </c:extLst>
        </c:dLbl>
      </c:pivotFmt>
      <c:pivotFmt>
        <c:idx val="96"/>
        <c:spPr>
          <a:solidFill>
            <a:srgbClr val="FF0000"/>
          </a:solidFill>
        </c:spPr>
        <c:marker>
          <c:symbol val="none"/>
        </c:marker>
        <c:dLbl>
          <c:idx val="0"/>
          <c:delete val="1"/>
          <c:extLst>
            <c:ext xmlns:c15="http://schemas.microsoft.com/office/drawing/2012/chart" uri="{CE6537A1-D6FC-4f65-9D91-7224C49458BB}"/>
          </c:extLst>
        </c:dLbl>
      </c:pivotFmt>
      <c:pivotFmt>
        <c:idx val="97"/>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98"/>
        <c:spPr>
          <a:solidFill>
            <a:srgbClr val="00B0F0"/>
          </a:solidFill>
        </c:spPr>
        <c:marker>
          <c:symbol val="none"/>
        </c:marker>
        <c:dLbl>
          <c:idx val="0"/>
          <c:delete val="1"/>
          <c:extLst>
            <c:ext xmlns:c15="http://schemas.microsoft.com/office/drawing/2012/chart" uri="{CE6537A1-D6FC-4f65-9D91-7224C49458BB}"/>
          </c:extLst>
        </c:dLbl>
      </c:pivotFmt>
      <c:pivotFmt>
        <c:idx val="99"/>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100"/>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101"/>
        <c:spPr>
          <a:solidFill>
            <a:schemeClr val="accent5">
              <a:lumMod val="50000"/>
            </a:schemeClr>
          </a:solidFill>
        </c:spPr>
        <c:marker>
          <c:symbol val="none"/>
        </c:marker>
        <c:dLbl>
          <c:idx val="0"/>
          <c:delete val="1"/>
          <c:extLst>
            <c:ext xmlns:c15="http://schemas.microsoft.com/office/drawing/2012/chart" uri="{CE6537A1-D6FC-4f65-9D91-7224C49458BB}"/>
          </c:extLst>
        </c:dLbl>
      </c:pivotFmt>
      <c:pivotFmt>
        <c:idx val="102"/>
        <c:spPr>
          <a:solidFill>
            <a:srgbClr val="FF0000"/>
          </a:solidFill>
        </c:spPr>
        <c:marker>
          <c:symbol val="none"/>
        </c:marker>
        <c:dLbl>
          <c:idx val="0"/>
          <c:delete val="1"/>
          <c:extLst>
            <c:ext xmlns:c15="http://schemas.microsoft.com/office/drawing/2012/chart" uri="{CE6537A1-D6FC-4f65-9D91-7224C49458BB}"/>
          </c:extLst>
        </c:dLbl>
      </c:pivotFmt>
      <c:pivotFmt>
        <c:idx val="103"/>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104"/>
        <c:spPr>
          <a:solidFill>
            <a:srgbClr val="00B0F0"/>
          </a:solidFill>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5.7059422318361107E-2"/>
          <c:y val="3.9350860791271418E-2"/>
          <c:w val="0.82184893554972294"/>
          <c:h val="0.63422433649293763"/>
        </c:manualLayout>
      </c:layout>
      <c:barChart>
        <c:barDir val="col"/>
        <c:grouping val="percentStacked"/>
        <c:varyColors val="0"/>
        <c:ser>
          <c:idx val="0"/>
          <c:order val="0"/>
          <c:tx>
            <c:strRef>
              <c:f>Hymo_Pregoła!$B$3:$B$4</c:f>
              <c:strCache>
                <c:ptCount val="1"/>
                <c:pt idx="0">
                  <c:v>budowle piętrzące</c:v>
                </c:pt>
              </c:strCache>
            </c:strRef>
          </c:tx>
          <c:spPr>
            <a:solidFill>
              <a:schemeClr val="tx1">
                <a:lumMod val="65000"/>
                <a:lumOff val="35000"/>
              </a:schemeClr>
            </a:solidFill>
          </c:spPr>
          <c:invertIfNegative val="0"/>
          <c:dPt>
            <c:idx val="0"/>
            <c:invertIfNegative val="0"/>
            <c:bubble3D val="0"/>
            <c:extLst>
              <c:ext xmlns:c16="http://schemas.microsoft.com/office/drawing/2014/chart" uri="{C3380CC4-5D6E-409C-BE32-E72D297353CC}">
                <c16:uniqueId val="{00000000-74F9-4043-A35F-690B06872908}"/>
              </c:ext>
            </c:extLst>
          </c:dPt>
          <c:cat>
            <c:strRef>
              <c:f>Hymo_Pregoła!$A$5:$A$6</c:f>
              <c:strCache>
                <c:ptCount val="1"/>
                <c:pt idx="0">
                  <c:v>Region wodny Łyny i Węgorapy</c:v>
                </c:pt>
              </c:strCache>
            </c:strRef>
          </c:cat>
          <c:val>
            <c:numRef>
              <c:f>Hymo_Pregoła!$B$5:$B$6</c:f>
              <c:numCache>
                <c:formatCode>General</c:formatCode>
                <c:ptCount val="1"/>
                <c:pt idx="0">
                  <c:v>29</c:v>
                </c:pt>
              </c:numCache>
            </c:numRef>
          </c:val>
          <c:extLst>
            <c:ext xmlns:c16="http://schemas.microsoft.com/office/drawing/2014/chart" uri="{C3380CC4-5D6E-409C-BE32-E72D297353CC}">
              <c16:uniqueId val="{00000001-74F9-4043-A35F-690B06872908}"/>
            </c:ext>
          </c:extLst>
        </c:ser>
        <c:ser>
          <c:idx val="1"/>
          <c:order val="1"/>
          <c:tx>
            <c:strRef>
              <c:f>Hymo_Pregoła!$C$3:$C$4</c:f>
              <c:strCache>
                <c:ptCount val="1"/>
                <c:pt idx="0">
                  <c:v>górnictwo</c:v>
                </c:pt>
              </c:strCache>
            </c:strRef>
          </c:tx>
          <c:spPr>
            <a:solidFill>
              <a:schemeClr val="bg1">
                <a:lumMod val="50000"/>
              </a:schemeClr>
            </a:solidFill>
          </c:spPr>
          <c:invertIfNegative val="0"/>
          <c:cat>
            <c:strRef>
              <c:f>Hymo_Pregoła!$A$5:$A$6</c:f>
              <c:strCache>
                <c:ptCount val="1"/>
                <c:pt idx="0">
                  <c:v>Region wodny Łyny i Węgorapy</c:v>
                </c:pt>
              </c:strCache>
            </c:strRef>
          </c:cat>
          <c:val>
            <c:numRef>
              <c:f>Hymo_Pregoła!$C$5:$C$6</c:f>
              <c:numCache>
                <c:formatCode>General</c:formatCode>
                <c:ptCount val="1"/>
                <c:pt idx="0">
                  <c:v>1</c:v>
                </c:pt>
              </c:numCache>
            </c:numRef>
          </c:val>
          <c:extLst>
            <c:ext xmlns:c16="http://schemas.microsoft.com/office/drawing/2014/chart" uri="{C3380CC4-5D6E-409C-BE32-E72D297353CC}">
              <c16:uniqueId val="{00000002-74F9-4043-A35F-690B06872908}"/>
            </c:ext>
          </c:extLst>
        </c:ser>
        <c:ser>
          <c:idx val="2"/>
          <c:order val="2"/>
          <c:tx>
            <c:strRef>
              <c:f>Hymo_Pregoła!$D$3:$D$4</c:f>
              <c:strCache>
                <c:ptCount val="1"/>
                <c:pt idx="0">
                  <c:v>niezidentyfikowane</c:v>
                </c:pt>
              </c:strCache>
            </c:strRef>
          </c:tx>
          <c:spPr>
            <a:solidFill>
              <a:schemeClr val="accent5">
                <a:lumMod val="50000"/>
              </a:schemeClr>
            </a:solidFill>
          </c:spPr>
          <c:invertIfNegative val="0"/>
          <c:cat>
            <c:strRef>
              <c:f>Hymo_Pregoła!$A$5:$A$6</c:f>
              <c:strCache>
                <c:ptCount val="1"/>
                <c:pt idx="0">
                  <c:v>Region wodny Łyny i Węgorapy</c:v>
                </c:pt>
              </c:strCache>
            </c:strRef>
          </c:cat>
          <c:val>
            <c:numRef>
              <c:f>Hymo_Pregoła!$D$5:$D$6</c:f>
              <c:numCache>
                <c:formatCode>General</c:formatCode>
                <c:ptCount val="1"/>
                <c:pt idx="0">
                  <c:v>10</c:v>
                </c:pt>
              </c:numCache>
            </c:numRef>
          </c:val>
          <c:extLst>
            <c:ext xmlns:c16="http://schemas.microsoft.com/office/drawing/2014/chart" uri="{C3380CC4-5D6E-409C-BE32-E72D297353CC}">
              <c16:uniqueId val="{00000003-74F9-4043-A35F-690B06872908}"/>
            </c:ext>
          </c:extLst>
        </c:ser>
        <c:ser>
          <c:idx val="3"/>
          <c:order val="3"/>
          <c:tx>
            <c:strRef>
              <c:f>Hymo_Pregoła!$E$3:$E$4</c:f>
              <c:strCache>
                <c:ptCount val="1"/>
                <c:pt idx="0">
                  <c:v>obiekty mostowe</c:v>
                </c:pt>
              </c:strCache>
            </c:strRef>
          </c:tx>
          <c:spPr>
            <a:solidFill>
              <a:srgbClr val="FF0000"/>
            </a:solidFill>
          </c:spPr>
          <c:invertIfNegative val="0"/>
          <c:cat>
            <c:strRef>
              <c:f>Hymo_Pregoła!$A$5:$A$6</c:f>
              <c:strCache>
                <c:ptCount val="1"/>
                <c:pt idx="0">
                  <c:v>Region wodny Łyny i Węgorapy</c:v>
                </c:pt>
              </c:strCache>
            </c:strRef>
          </c:cat>
          <c:val>
            <c:numRef>
              <c:f>Hymo_Pregoła!$E$5:$E$6</c:f>
              <c:numCache>
                <c:formatCode>General</c:formatCode>
                <c:ptCount val="1"/>
                <c:pt idx="0">
                  <c:v>2</c:v>
                </c:pt>
              </c:numCache>
            </c:numRef>
          </c:val>
          <c:extLst>
            <c:ext xmlns:c16="http://schemas.microsoft.com/office/drawing/2014/chart" uri="{C3380CC4-5D6E-409C-BE32-E72D297353CC}">
              <c16:uniqueId val="{00000004-74F9-4043-A35F-690B06872908}"/>
            </c:ext>
          </c:extLst>
        </c:ser>
        <c:ser>
          <c:idx val="4"/>
          <c:order val="4"/>
          <c:tx>
            <c:strRef>
              <c:f>Hymo_Pregoła!$F$3:$F$4</c:f>
              <c:strCache>
                <c:ptCount val="1"/>
                <c:pt idx="0">
                  <c:v>prostowanie koryta</c:v>
                </c:pt>
              </c:strCache>
            </c:strRef>
          </c:tx>
          <c:spPr>
            <a:solidFill>
              <a:schemeClr val="bg1">
                <a:lumMod val="75000"/>
              </a:schemeClr>
            </a:solidFill>
          </c:spPr>
          <c:invertIfNegative val="0"/>
          <c:cat>
            <c:strRef>
              <c:f>Hymo_Pregoła!$A$5:$A$6</c:f>
              <c:strCache>
                <c:ptCount val="1"/>
                <c:pt idx="0">
                  <c:v>Region wodny Łyny i Węgorapy</c:v>
                </c:pt>
              </c:strCache>
            </c:strRef>
          </c:cat>
          <c:val>
            <c:numRef>
              <c:f>Hymo_Pregoła!$F$5:$F$6</c:f>
              <c:numCache>
                <c:formatCode>General</c:formatCode>
                <c:ptCount val="1"/>
                <c:pt idx="0">
                  <c:v>19</c:v>
                </c:pt>
              </c:numCache>
            </c:numRef>
          </c:val>
          <c:extLst>
            <c:ext xmlns:c16="http://schemas.microsoft.com/office/drawing/2014/chart" uri="{C3380CC4-5D6E-409C-BE32-E72D297353CC}">
              <c16:uniqueId val="{00000005-74F9-4043-A35F-690B06872908}"/>
            </c:ext>
          </c:extLst>
        </c:ser>
        <c:ser>
          <c:idx val="5"/>
          <c:order val="5"/>
          <c:tx>
            <c:strRef>
              <c:f>Hymo_Pregoła!$G$3:$G$4</c:f>
              <c:strCache>
                <c:ptCount val="1"/>
                <c:pt idx="0">
                  <c:v>wały przeciwpowodziowe</c:v>
                </c:pt>
              </c:strCache>
            </c:strRef>
          </c:tx>
          <c:spPr>
            <a:solidFill>
              <a:srgbClr val="00B0F0"/>
            </a:solidFill>
          </c:spPr>
          <c:invertIfNegative val="0"/>
          <c:cat>
            <c:strRef>
              <c:f>Hymo_Pregoła!$A$5:$A$6</c:f>
              <c:strCache>
                <c:ptCount val="1"/>
                <c:pt idx="0">
                  <c:v>Region wodny Łyny i Węgorapy</c:v>
                </c:pt>
              </c:strCache>
            </c:strRef>
          </c:cat>
          <c:val>
            <c:numRef>
              <c:f>Hymo_Pregoła!$G$5:$G$6</c:f>
              <c:numCache>
                <c:formatCode>General</c:formatCode>
                <c:ptCount val="1"/>
                <c:pt idx="0">
                  <c:v>1</c:v>
                </c:pt>
              </c:numCache>
            </c:numRef>
          </c:val>
          <c:extLst>
            <c:ext xmlns:c16="http://schemas.microsoft.com/office/drawing/2014/chart" uri="{C3380CC4-5D6E-409C-BE32-E72D297353CC}">
              <c16:uniqueId val="{00000006-74F9-4043-A35F-690B06872908}"/>
            </c:ext>
          </c:extLst>
        </c:ser>
        <c:dLbls>
          <c:showLegendKey val="0"/>
          <c:showVal val="0"/>
          <c:showCatName val="0"/>
          <c:showSerName val="0"/>
          <c:showPercent val="0"/>
          <c:showBubbleSize val="0"/>
        </c:dLbls>
        <c:gapWidth val="500"/>
        <c:overlap val="100"/>
        <c:axId val="227476480"/>
        <c:axId val="219913536"/>
      </c:barChart>
      <c:catAx>
        <c:axId val="227476480"/>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19913536"/>
        <c:crosses val="autoZero"/>
        <c:auto val="1"/>
        <c:lblAlgn val="ctr"/>
        <c:lblOffset val="100"/>
        <c:noMultiLvlLbl val="0"/>
      </c:catAx>
      <c:valAx>
        <c:axId val="219913536"/>
        <c:scaling>
          <c:orientation val="minMax"/>
        </c:scaling>
        <c:delete val="0"/>
        <c:axPos val="l"/>
        <c:majorGridlines>
          <c:spPr>
            <a:ln w="6350"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27476480"/>
        <c:crosses val="autoZero"/>
        <c:crossBetween val="between"/>
        <c:majorUnit val="0.1"/>
      </c:valAx>
      <c:spPr>
        <a:noFill/>
        <a:ln>
          <a:noFill/>
        </a:ln>
        <a:effectLst/>
      </c:spPr>
    </c:plotArea>
    <c:legend>
      <c:legendPos val="r"/>
      <c:layout>
        <c:manualLayout>
          <c:xMode val="edge"/>
          <c:yMode val="edge"/>
          <c:x val="0"/>
          <c:y val="0.79628469483494202"/>
          <c:w val="1"/>
          <c:h val="0.203715059294213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[Wykresy_tabele_rozdzial_7MR.xlsx]Trof_Pregoła!Tabela przestawna5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2"/>
          </a:solidFill>
          <a:ln>
            <a:noFill/>
          </a:ln>
          <a:effectLst/>
        </c:spPr>
        <c:marker>
          <c:symbol val="none"/>
        </c:marker>
      </c:pivotFmt>
      <c:pivotFmt>
        <c:idx val="16"/>
        <c:spPr>
          <a:solidFill>
            <a:schemeClr val="accent3"/>
          </a:solidFill>
          <a:ln>
            <a:noFill/>
          </a:ln>
          <a:effectLst/>
        </c:spPr>
        <c:marker>
          <c:symbol val="none"/>
        </c:marker>
      </c:pivotFmt>
      <c:pivotFmt>
        <c:idx val="17"/>
        <c:spPr>
          <a:solidFill>
            <a:schemeClr val="accent4"/>
          </a:solidFill>
          <a:ln>
            <a:noFill/>
          </a:ln>
          <a:effectLst/>
        </c:spPr>
        <c:marker>
          <c:symbol val="none"/>
        </c:marker>
      </c:pivotFmt>
      <c:pivotFmt>
        <c:idx val="18"/>
        <c:spPr>
          <a:solidFill>
            <a:schemeClr val="accent5"/>
          </a:solidFill>
          <a:ln>
            <a:noFill/>
          </a:ln>
          <a:effectLst/>
        </c:spPr>
        <c:marker>
          <c:symbol val="none"/>
        </c:marker>
      </c:pivotFmt>
      <c:pivotFmt>
        <c:idx val="19"/>
        <c:spPr>
          <a:solidFill>
            <a:schemeClr val="accent6"/>
          </a:solidFill>
          <a:ln>
            <a:noFill/>
          </a:ln>
          <a:effectLst/>
        </c:spPr>
        <c:marker>
          <c:symbol val="none"/>
        </c:marker>
      </c:pivotFmt>
      <c:pivotFmt>
        <c:idx val="20"/>
        <c:spPr>
          <a:solidFill>
            <a:schemeClr val="accent1">
              <a:lumMod val="60000"/>
            </a:schemeClr>
          </a:solidFill>
          <a:ln>
            <a:noFill/>
          </a:ln>
          <a:effectLst/>
        </c:spPr>
        <c:marker>
          <c:symbol val="none"/>
        </c:marker>
      </c:pivotFmt>
      <c:pivotFmt>
        <c:idx val="21"/>
        <c:spPr>
          <a:solidFill>
            <a:schemeClr val="accent2">
              <a:lumMod val="60000"/>
            </a:schemeClr>
          </a:solidFill>
          <a:ln>
            <a:noFill/>
          </a:ln>
          <a:effectLst/>
        </c:spPr>
        <c:marker>
          <c:symbol val="none"/>
        </c:marker>
      </c:pivotFmt>
      <c:pivotFmt>
        <c:idx val="22"/>
        <c:spPr>
          <a:solidFill>
            <a:schemeClr val="accent3">
              <a:lumMod val="60000"/>
            </a:schemeClr>
          </a:solidFill>
          <a:ln>
            <a:noFill/>
          </a:ln>
          <a:effectLst/>
        </c:spPr>
        <c:marker>
          <c:symbol val="none"/>
        </c:marker>
      </c:pivotFmt>
      <c:pivotFmt>
        <c:idx val="23"/>
        <c:spPr>
          <a:solidFill>
            <a:schemeClr val="accent4">
              <a:lumMod val="60000"/>
            </a:schemeClr>
          </a:solidFill>
          <a:ln>
            <a:noFill/>
          </a:ln>
          <a:effectLst/>
        </c:spPr>
        <c:marker>
          <c:symbol val="none"/>
        </c:marker>
      </c:pivotFmt>
      <c:pivotFmt>
        <c:idx val="24"/>
        <c:spPr>
          <a:solidFill>
            <a:schemeClr val="accent5">
              <a:lumMod val="60000"/>
            </a:schemeClr>
          </a:solidFill>
          <a:ln>
            <a:noFill/>
          </a:ln>
          <a:effectLst/>
        </c:spPr>
        <c:marker>
          <c:symbol val="none"/>
        </c:marker>
      </c:pivotFmt>
      <c:pivotFmt>
        <c:idx val="25"/>
        <c:spPr>
          <a:solidFill>
            <a:schemeClr val="accent6">
              <a:lumMod val="60000"/>
            </a:schemeClr>
          </a:solidFill>
          <a:ln>
            <a:noFill/>
          </a:ln>
          <a:effectLst/>
        </c:spPr>
        <c:marker>
          <c:symbol val="none"/>
        </c:marker>
      </c:pivotFmt>
      <c:pivotFmt>
        <c:idx val="26"/>
        <c:spPr>
          <a:solidFill>
            <a:schemeClr val="accent1">
              <a:lumMod val="80000"/>
              <a:lumOff val="20000"/>
            </a:schemeClr>
          </a:solidFill>
          <a:ln>
            <a:noFill/>
          </a:ln>
          <a:effectLst/>
        </c:spPr>
        <c:marker>
          <c:symbol val="none"/>
        </c:marker>
      </c:pivotFmt>
      <c:pivotFmt>
        <c:idx val="27"/>
        <c:spPr>
          <a:solidFill>
            <a:schemeClr val="accent2">
              <a:lumMod val="80000"/>
              <a:lumOff val="20000"/>
            </a:schemeClr>
          </a:solidFill>
          <a:ln>
            <a:noFill/>
          </a:ln>
          <a:effectLst/>
        </c:spPr>
        <c:marker>
          <c:symbol val="none"/>
        </c:marker>
      </c:pivotFmt>
      <c:pivotFmt>
        <c:idx val="28"/>
        <c:spPr>
          <a:solidFill>
            <a:schemeClr val="accent3">
              <a:lumMod val="80000"/>
              <a:lumOff val="20000"/>
            </a:schemeClr>
          </a:solidFill>
          <a:ln>
            <a:noFill/>
          </a:ln>
          <a:effectLst/>
        </c:spPr>
        <c:marker>
          <c:symbol val="none"/>
        </c:marker>
      </c:pivotFmt>
      <c:pivotFmt>
        <c:idx val="29"/>
        <c:marker>
          <c:symbol val="none"/>
        </c:marker>
      </c:pivotFmt>
      <c:pivotFmt>
        <c:idx val="30"/>
        <c:spPr>
          <a:solidFill>
            <a:srgbClr val="009999"/>
          </a:solidFill>
        </c:spPr>
        <c:marker>
          <c:symbol val="none"/>
        </c:marker>
      </c:pivotFmt>
      <c:pivotFmt>
        <c:idx val="31"/>
        <c:spPr>
          <a:solidFill>
            <a:srgbClr val="FF0000"/>
          </a:solidFill>
        </c:spPr>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
        <c:idx val="36"/>
        <c:marker>
          <c:symbol val="none"/>
        </c:marker>
      </c:pivotFmt>
      <c:pivotFmt>
        <c:idx val="37"/>
        <c:marker>
          <c:symbol val="none"/>
        </c:marker>
      </c:pivotFmt>
      <c:pivotFmt>
        <c:idx val="38"/>
        <c:spPr>
          <a:solidFill>
            <a:srgbClr val="009999"/>
          </a:solidFill>
        </c:spPr>
        <c:marker>
          <c:symbol val="none"/>
        </c:marker>
      </c:pivotFmt>
      <c:pivotFmt>
        <c:idx val="39"/>
        <c:spPr>
          <a:solidFill>
            <a:srgbClr val="FF0000"/>
          </a:solidFill>
        </c:spPr>
        <c:marker>
          <c:symbol val="none"/>
        </c:marker>
      </c:pivotFmt>
      <c:pivotFmt>
        <c:idx val="40"/>
        <c:marker>
          <c:symbol val="none"/>
        </c:marker>
      </c:pivotFmt>
      <c:pivotFmt>
        <c:idx val="41"/>
        <c:marker>
          <c:symbol val="none"/>
        </c:marker>
      </c:pivotFmt>
      <c:pivotFmt>
        <c:idx val="42"/>
        <c:marker>
          <c:symbol val="none"/>
        </c:marker>
      </c:pivotFmt>
      <c:pivotFmt>
        <c:idx val="43"/>
        <c:marker>
          <c:symbol val="none"/>
        </c:marker>
      </c:pivotFmt>
      <c:pivotFmt>
        <c:idx val="44"/>
        <c:marker>
          <c:symbol val="none"/>
        </c:marker>
      </c:pivotFmt>
      <c:pivotFmt>
        <c:idx val="45"/>
        <c:marker>
          <c:symbol val="none"/>
        </c:marker>
      </c:pivotFmt>
      <c:pivotFmt>
        <c:idx val="46"/>
        <c:spPr>
          <a:solidFill>
            <a:srgbClr val="009999"/>
          </a:solidFill>
        </c:spPr>
        <c:marker>
          <c:symbol val="none"/>
        </c:marker>
      </c:pivotFmt>
      <c:pivotFmt>
        <c:idx val="47"/>
        <c:spPr>
          <a:solidFill>
            <a:srgbClr val="FF0000"/>
          </a:solidFill>
        </c:spPr>
        <c:marker>
          <c:symbol val="none"/>
        </c:marker>
      </c:pivotFmt>
      <c:pivotFmt>
        <c:idx val="48"/>
        <c:marker>
          <c:symbol val="none"/>
        </c:marker>
      </c:pivotFmt>
      <c:pivotFmt>
        <c:idx val="49"/>
        <c:marker>
          <c:symbol val="none"/>
        </c:marker>
      </c:pivotFmt>
      <c:pivotFmt>
        <c:idx val="50"/>
        <c:marker>
          <c:symbol val="none"/>
        </c:marker>
      </c:pivotFmt>
      <c:pivotFmt>
        <c:idx val="51"/>
        <c:marker>
          <c:symbol val="none"/>
        </c:marker>
      </c:pivotFmt>
      <c:pivotFmt>
        <c:idx val="52"/>
        <c:marker>
          <c:symbol val="none"/>
        </c:marker>
      </c:pivotFmt>
      <c:pivotFmt>
        <c:idx val="53"/>
        <c:marker>
          <c:symbol val="none"/>
        </c:marker>
      </c:pivotFmt>
      <c:pivotFmt>
        <c:idx val="54"/>
        <c:spPr>
          <a:solidFill>
            <a:srgbClr val="009999"/>
          </a:solidFill>
        </c:spPr>
        <c:marker>
          <c:symbol val="none"/>
        </c:marker>
      </c:pivotFmt>
      <c:pivotFmt>
        <c:idx val="55"/>
        <c:spPr>
          <a:solidFill>
            <a:srgbClr val="FF0000"/>
          </a:solidFill>
        </c:spPr>
        <c:marker>
          <c:symbol val="none"/>
        </c:marker>
      </c:pivotFmt>
      <c:pivotFmt>
        <c:idx val="56"/>
        <c:marker>
          <c:symbol val="none"/>
        </c:marker>
      </c:pivotFmt>
      <c:pivotFmt>
        <c:idx val="57"/>
        <c:marker>
          <c:symbol val="none"/>
        </c:marker>
      </c:pivotFmt>
      <c:pivotFmt>
        <c:idx val="58"/>
        <c:marker>
          <c:symbol val="none"/>
        </c:marker>
      </c:pivotFmt>
      <c:pivotFmt>
        <c:idx val="59"/>
        <c:marker>
          <c:symbol val="none"/>
        </c:marker>
      </c:pivotFmt>
      <c:pivotFmt>
        <c:idx val="60"/>
        <c:spPr>
          <a:solidFill>
            <a:srgbClr val="009999"/>
          </a:solidFill>
        </c:spPr>
        <c:marker>
          <c:symbol val="none"/>
        </c:marker>
      </c:pivotFmt>
      <c:pivotFmt>
        <c:idx val="61"/>
        <c:spPr>
          <a:solidFill>
            <a:srgbClr val="FF0000"/>
          </a:solidFill>
        </c:spPr>
        <c:marker>
          <c:symbol val="none"/>
        </c:marker>
      </c:pivotFmt>
      <c:pivotFmt>
        <c:idx val="62"/>
        <c:marker>
          <c:symbol val="none"/>
        </c:marker>
      </c:pivotFmt>
      <c:pivotFmt>
        <c:idx val="63"/>
        <c:marker>
          <c:symbol val="none"/>
        </c:marker>
      </c:pivotFmt>
      <c:pivotFmt>
        <c:idx val="64"/>
        <c:marker>
          <c:symbol val="none"/>
        </c:marker>
      </c:pivotFmt>
      <c:pivotFmt>
        <c:idx val="65"/>
        <c:marker>
          <c:symbol val="none"/>
        </c:marker>
      </c:pivotFmt>
      <c:pivotFmt>
        <c:idx val="66"/>
        <c:marker>
          <c:symbol val="none"/>
        </c:marker>
      </c:pivotFmt>
      <c:pivotFmt>
        <c:idx val="67"/>
        <c:marker>
          <c:symbol val="none"/>
        </c:marker>
      </c:pivotFmt>
      <c:pivotFmt>
        <c:idx val="68"/>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69"/>
        <c:spPr>
          <a:solidFill>
            <a:srgbClr val="FF0000"/>
          </a:solidFill>
        </c:spPr>
        <c:marker>
          <c:symbol val="none"/>
        </c:marker>
        <c:dLbl>
          <c:idx val="0"/>
          <c:delete val="1"/>
          <c:extLst>
            <c:ext xmlns:c15="http://schemas.microsoft.com/office/drawing/2012/chart" uri="{CE6537A1-D6FC-4f65-9D91-7224C49458BB}"/>
          </c:extLst>
        </c:dLbl>
      </c:pivotFmt>
      <c:pivotFmt>
        <c:idx val="70"/>
        <c:spPr>
          <a:solidFill>
            <a:srgbClr val="0070C0"/>
          </a:solidFill>
        </c:spPr>
        <c:marker>
          <c:symbol val="none"/>
        </c:marker>
        <c:dLbl>
          <c:idx val="0"/>
          <c:delete val="1"/>
          <c:extLst>
            <c:ext xmlns:c15="http://schemas.microsoft.com/office/drawing/2012/chart" uri="{CE6537A1-D6FC-4f65-9D91-7224C49458BB}"/>
          </c:extLst>
        </c:dLbl>
      </c:pivotFmt>
      <c:pivotFmt>
        <c:idx val="71"/>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72"/>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73"/>
        <c:spPr>
          <a:solidFill>
            <a:srgbClr val="00B0F0"/>
          </a:solidFill>
        </c:spPr>
        <c:marker>
          <c:symbol val="none"/>
        </c:marker>
        <c:dLbl>
          <c:idx val="0"/>
          <c:delete val="1"/>
          <c:extLst>
            <c:ext xmlns:c15="http://schemas.microsoft.com/office/drawing/2012/chart" uri="{CE6537A1-D6FC-4f65-9D91-7224C49458BB}"/>
          </c:extLst>
        </c:dLbl>
      </c:pivotFmt>
      <c:pivotFmt>
        <c:idx val="74"/>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7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76"/>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77"/>
        <c:spPr>
          <a:solidFill>
            <a:srgbClr val="FF0000"/>
          </a:solidFill>
        </c:spPr>
        <c:marker>
          <c:symbol val="none"/>
        </c:marker>
        <c:dLbl>
          <c:idx val="0"/>
          <c:delete val="1"/>
          <c:extLst>
            <c:ext xmlns:c15="http://schemas.microsoft.com/office/drawing/2012/chart" uri="{CE6537A1-D6FC-4f65-9D91-7224C49458BB}"/>
          </c:extLst>
        </c:dLbl>
      </c:pivotFmt>
      <c:pivotFmt>
        <c:idx val="78"/>
        <c:spPr>
          <a:solidFill>
            <a:srgbClr val="0070C0"/>
          </a:solidFill>
        </c:spPr>
        <c:marker>
          <c:symbol val="none"/>
        </c:marker>
        <c:dLbl>
          <c:idx val="0"/>
          <c:delete val="1"/>
          <c:extLst>
            <c:ext xmlns:c15="http://schemas.microsoft.com/office/drawing/2012/chart" uri="{CE6537A1-D6FC-4f65-9D91-7224C49458BB}"/>
          </c:extLst>
        </c:dLbl>
      </c:pivotFmt>
      <c:pivotFmt>
        <c:idx val="79"/>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80"/>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81"/>
        <c:spPr>
          <a:solidFill>
            <a:srgbClr val="00B0F0"/>
          </a:solidFill>
        </c:spPr>
        <c:marker>
          <c:symbol val="none"/>
        </c:marker>
        <c:dLbl>
          <c:idx val="0"/>
          <c:delete val="1"/>
          <c:extLst>
            <c:ext xmlns:c15="http://schemas.microsoft.com/office/drawing/2012/chart" uri="{CE6537A1-D6FC-4f65-9D91-7224C49458BB}"/>
          </c:extLst>
        </c:dLbl>
      </c:pivotFmt>
      <c:pivotFmt>
        <c:idx val="82"/>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83"/>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84"/>
        <c:spPr>
          <a:solidFill>
            <a:srgbClr val="FF0000"/>
          </a:solidFill>
        </c:spPr>
        <c:marker>
          <c:symbol val="none"/>
        </c:marker>
        <c:dLbl>
          <c:idx val="0"/>
          <c:delete val="1"/>
          <c:extLst>
            <c:ext xmlns:c15="http://schemas.microsoft.com/office/drawing/2012/chart" uri="{CE6537A1-D6FC-4f65-9D91-7224C49458BB}"/>
          </c:extLst>
        </c:dLbl>
      </c:pivotFmt>
      <c:pivotFmt>
        <c:idx val="85"/>
        <c:spPr>
          <a:solidFill>
            <a:srgbClr val="0070C0"/>
          </a:solidFill>
        </c:spPr>
        <c:marker>
          <c:symbol val="none"/>
        </c:marker>
        <c:dLbl>
          <c:idx val="0"/>
          <c:delete val="1"/>
          <c:extLst>
            <c:ext xmlns:c15="http://schemas.microsoft.com/office/drawing/2012/chart" uri="{CE6537A1-D6FC-4f65-9D91-7224C49458BB}"/>
          </c:extLst>
        </c:dLbl>
      </c:pivotFmt>
      <c:pivotFmt>
        <c:idx val="86"/>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87"/>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88"/>
        <c:spPr>
          <a:solidFill>
            <a:srgbClr val="00B0F0"/>
          </a:solidFill>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2.0198829132493622E-2"/>
          <c:y val="4.6111651773865343E-2"/>
          <c:w val="0.85808368192257223"/>
          <c:h val="0.64887265227427982"/>
        </c:manualLayout>
      </c:layout>
      <c:barChart>
        <c:barDir val="col"/>
        <c:grouping val="percentStacked"/>
        <c:varyColors val="0"/>
        <c:ser>
          <c:idx val="0"/>
          <c:order val="0"/>
          <c:tx>
            <c:strRef>
              <c:f>Trof_Pregoła!$B$3:$B$4</c:f>
              <c:strCache>
                <c:ptCount val="1"/>
                <c:pt idx="0">
                  <c:v>nawożenie i depozycja</c:v>
                </c:pt>
              </c:strCache>
            </c:strRef>
          </c:tx>
          <c:spPr>
            <a:solidFill>
              <a:schemeClr val="tx1">
                <a:lumMod val="65000"/>
                <a:lumOff val="35000"/>
              </a:schemeClr>
            </a:solidFill>
          </c:spPr>
          <c:invertIfNegative val="0"/>
          <c:cat>
            <c:strRef>
              <c:f>Trof_Pregoła!$A$5:$A$6</c:f>
              <c:strCache>
                <c:ptCount val="1"/>
                <c:pt idx="0">
                  <c:v>Region wodny Łyny i Węgorapy</c:v>
                </c:pt>
              </c:strCache>
            </c:strRef>
          </c:cat>
          <c:val>
            <c:numRef>
              <c:f>Trof_Pregoła!$B$5:$B$6</c:f>
              <c:numCache>
                <c:formatCode>General</c:formatCode>
                <c:ptCount val="1"/>
                <c:pt idx="0">
                  <c:v>25</c:v>
                </c:pt>
              </c:numCache>
            </c:numRef>
          </c:val>
          <c:extLst>
            <c:ext xmlns:c16="http://schemas.microsoft.com/office/drawing/2014/chart" uri="{C3380CC4-5D6E-409C-BE32-E72D297353CC}">
              <c16:uniqueId val="{00000000-BDEF-42DD-A591-709F43EB4DEC}"/>
            </c:ext>
          </c:extLst>
        </c:ser>
        <c:ser>
          <c:idx val="1"/>
          <c:order val="1"/>
          <c:tx>
            <c:strRef>
              <c:f>Trof_Pregoła!$C$3:$C$4</c:f>
              <c:strCache>
                <c:ptCount val="1"/>
                <c:pt idx="0">
                  <c:v>niezidentyfikowane</c:v>
                </c:pt>
              </c:strCache>
            </c:strRef>
          </c:tx>
          <c:spPr>
            <a:solidFill>
              <a:schemeClr val="accent1">
                <a:lumMod val="50000"/>
              </a:schemeClr>
            </a:solidFill>
          </c:spPr>
          <c:invertIfNegative val="0"/>
          <c:cat>
            <c:strRef>
              <c:f>Trof_Pregoła!$A$5:$A$6</c:f>
              <c:strCache>
                <c:ptCount val="1"/>
                <c:pt idx="0">
                  <c:v>Region wodny Łyny i Węgorapy</c:v>
                </c:pt>
              </c:strCache>
            </c:strRef>
          </c:cat>
          <c:val>
            <c:numRef>
              <c:f>Trof_Pregoła!$C$5:$C$6</c:f>
              <c:numCache>
                <c:formatCode>General</c:formatCode>
                <c:ptCount val="1"/>
                <c:pt idx="0">
                  <c:v>1</c:v>
                </c:pt>
              </c:numCache>
            </c:numRef>
          </c:val>
          <c:extLst>
            <c:ext xmlns:c16="http://schemas.microsoft.com/office/drawing/2014/chart" uri="{C3380CC4-5D6E-409C-BE32-E72D297353CC}">
              <c16:uniqueId val="{00000001-BDEF-42DD-A591-709F43EB4DEC}"/>
            </c:ext>
          </c:extLst>
        </c:ser>
        <c:ser>
          <c:idx val="2"/>
          <c:order val="2"/>
          <c:tx>
            <c:strRef>
              <c:f>Trof_Pregoła!$D$3:$D$4</c:f>
              <c:strCache>
                <c:ptCount val="1"/>
                <c:pt idx="0">
                  <c:v>odpływ miejski (wody opadowe)</c:v>
                </c:pt>
              </c:strCache>
            </c:strRef>
          </c:tx>
          <c:spPr>
            <a:solidFill>
              <a:srgbClr val="FF0000"/>
            </a:solidFill>
          </c:spPr>
          <c:invertIfNegative val="0"/>
          <c:cat>
            <c:strRef>
              <c:f>Trof_Pregoła!$A$5:$A$6</c:f>
              <c:strCache>
                <c:ptCount val="1"/>
                <c:pt idx="0">
                  <c:v>Region wodny Łyny i Węgorapy</c:v>
                </c:pt>
              </c:strCache>
            </c:strRef>
          </c:cat>
          <c:val>
            <c:numRef>
              <c:f>Trof_Pregoła!$D$5:$D$6</c:f>
              <c:numCache>
                <c:formatCode>General</c:formatCode>
                <c:ptCount val="1"/>
                <c:pt idx="0">
                  <c:v>10</c:v>
                </c:pt>
              </c:numCache>
            </c:numRef>
          </c:val>
          <c:extLst>
            <c:ext xmlns:c16="http://schemas.microsoft.com/office/drawing/2014/chart" uri="{C3380CC4-5D6E-409C-BE32-E72D297353CC}">
              <c16:uniqueId val="{00000002-BDEF-42DD-A591-709F43EB4DEC}"/>
            </c:ext>
          </c:extLst>
        </c:ser>
        <c:ser>
          <c:idx val="3"/>
          <c:order val="3"/>
          <c:tx>
            <c:strRef>
              <c:f>Trof_Pregoła!$E$3:$E$4</c:f>
              <c:strCache>
                <c:ptCount val="1"/>
                <c:pt idx="0">
                  <c:v>źródła bytowe i komunalne (punktowe i rozproszone)</c:v>
                </c:pt>
              </c:strCache>
            </c:strRef>
          </c:tx>
          <c:spPr>
            <a:solidFill>
              <a:srgbClr val="0070C0"/>
            </a:solidFill>
          </c:spPr>
          <c:invertIfNegative val="0"/>
          <c:cat>
            <c:strRef>
              <c:f>Trof_Pregoła!$A$5:$A$6</c:f>
              <c:strCache>
                <c:ptCount val="1"/>
                <c:pt idx="0">
                  <c:v>Region wodny Łyny i Węgorapy</c:v>
                </c:pt>
              </c:strCache>
            </c:strRef>
          </c:cat>
          <c:val>
            <c:numRef>
              <c:f>Trof_Pregoła!$E$5:$E$6</c:f>
              <c:numCache>
                <c:formatCode>General</c:formatCode>
                <c:ptCount val="1"/>
                <c:pt idx="0">
                  <c:v>6</c:v>
                </c:pt>
              </c:numCache>
            </c:numRef>
          </c:val>
          <c:extLst>
            <c:ext xmlns:c16="http://schemas.microsoft.com/office/drawing/2014/chart" uri="{C3380CC4-5D6E-409C-BE32-E72D297353CC}">
              <c16:uniqueId val="{00000003-BDEF-42DD-A591-709F43EB4DEC}"/>
            </c:ext>
          </c:extLst>
        </c:ser>
        <c:ser>
          <c:idx val="4"/>
          <c:order val="4"/>
          <c:tx>
            <c:strRef>
              <c:f>Trof_Pregoła!$F$3:$F$4</c:f>
              <c:strCache>
                <c:ptCount val="1"/>
                <c:pt idx="0">
                  <c:v>źródła bytowe i komunalne (punktowe)</c:v>
                </c:pt>
              </c:strCache>
            </c:strRef>
          </c:tx>
          <c:spPr>
            <a:solidFill>
              <a:schemeClr val="bg1">
                <a:lumMod val="50000"/>
              </a:schemeClr>
            </a:solidFill>
          </c:spPr>
          <c:invertIfNegative val="0"/>
          <c:cat>
            <c:strRef>
              <c:f>Trof_Pregoła!$A$5:$A$6</c:f>
              <c:strCache>
                <c:ptCount val="1"/>
                <c:pt idx="0">
                  <c:v>Region wodny Łyny i Węgorapy</c:v>
                </c:pt>
              </c:strCache>
            </c:strRef>
          </c:cat>
          <c:val>
            <c:numRef>
              <c:f>Trof_Pregoła!$F$5:$F$6</c:f>
              <c:numCache>
                <c:formatCode>General</c:formatCode>
                <c:ptCount val="1"/>
                <c:pt idx="0">
                  <c:v>13</c:v>
                </c:pt>
              </c:numCache>
            </c:numRef>
          </c:val>
          <c:extLst>
            <c:ext xmlns:c16="http://schemas.microsoft.com/office/drawing/2014/chart" uri="{C3380CC4-5D6E-409C-BE32-E72D297353CC}">
              <c16:uniqueId val="{00000004-BDEF-42DD-A591-709F43EB4DEC}"/>
            </c:ext>
          </c:extLst>
        </c:ser>
        <c:ser>
          <c:idx val="5"/>
          <c:order val="5"/>
          <c:tx>
            <c:strRef>
              <c:f>Trof_Pregoła!$G$3:$G$4</c:f>
              <c:strCache>
                <c:ptCount val="1"/>
                <c:pt idx="0">
                  <c:v>źródła bytowe i komunalne (rozproszone)</c:v>
                </c:pt>
              </c:strCache>
            </c:strRef>
          </c:tx>
          <c:spPr>
            <a:solidFill>
              <a:schemeClr val="bg1">
                <a:lumMod val="75000"/>
              </a:schemeClr>
            </a:solidFill>
          </c:spPr>
          <c:invertIfNegative val="0"/>
          <c:cat>
            <c:strRef>
              <c:f>Trof_Pregoła!$A$5:$A$6</c:f>
              <c:strCache>
                <c:ptCount val="1"/>
                <c:pt idx="0">
                  <c:v>Region wodny Łyny i Węgorapy</c:v>
                </c:pt>
              </c:strCache>
            </c:strRef>
          </c:cat>
          <c:val>
            <c:numRef>
              <c:f>Trof_Pregoła!$G$5:$G$6</c:f>
              <c:numCache>
                <c:formatCode>General</c:formatCode>
                <c:ptCount val="1"/>
                <c:pt idx="0">
                  <c:v>13</c:v>
                </c:pt>
              </c:numCache>
            </c:numRef>
          </c:val>
          <c:extLst>
            <c:ext xmlns:c16="http://schemas.microsoft.com/office/drawing/2014/chart" uri="{C3380CC4-5D6E-409C-BE32-E72D297353CC}">
              <c16:uniqueId val="{00000005-BDEF-42DD-A591-709F43EB4DEC}"/>
            </c:ext>
          </c:extLst>
        </c:ser>
        <c:ser>
          <c:idx val="6"/>
          <c:order val="6"/>
          <c:tx>
            <c:strRef>
              <c:f>Trof_Pregoła!$H$3:$H$4</c:f>
              <c:strCache>
                <c:ptCount val="1"/>
                <c:pt idx="0">
                  <c:v>źródła przemysłowe</c:v>
                </c:pt>
              </c:strCache>
            </c:strRef>
          </c:tx>
          <c:spPr>
            <a:solidFill>
              <a:srgbClr val="00B0F0"/>
            </a:solidFill>
          </c:spPr>
          <c:invertIfNegative val="0"/>
          <c:cat>
            <c:strRef>
              <c:f>Trof_Pregoła!$A$5:$A$6</c:f>
              <c:strCache>
                <c:ptCount val="1"/>
                <c:pt idx="0">
                  <c:v>Region wodny Łyny i Węgorapy</c:v>
                </c:pt>
              </c:strCache>
            </c:strRef>
          </c:cat>
          <c:val>
            <c:numRef>
              <c:f>Trof_Pregoła!$H$5:$H$6</c:f>
              <c:numCache>
                <c:formatCode>General</c:formatCode>
                <c:ptCount val="1"/>
                <c:pt idx="0">
                  <c:v>16</c:v>
                </c:pt>
              </c:numCache>
            </c:numRef>
          </c:val>
          <c:extLst>
            <c:ext xmlns:c16="http://schemas.microsoft.com/office/drawing/2014/chart" uri="{C3380CC4-5D6E-409C-BE32-E72D297353CC}">
              <c16:uniqueId val="{00000006-BDEF-42DD-A591-709F43EB4DEC}"/>
            </c:ext>
          </c:extLst>
        </c:ser>
        <c:dLbls>
          <c:showLegendKey val="0"/>
          <c:showVal val="0"/>
          <c:showCatName val="0"/>
          <c:showSerName val="0"/>
          <c:showPercent val="0"/>
          <c:showBubbleSize val="0"/>
        </c:dLbls>
        <c:gapWidth val="500"/>
        <c:overlap val="100"/>
        <c:axId val="228269568"/>
        <c:axId val="229551488"/>
      </c:barChart>
      <c:catAx>
        <c:axId val="228269568"/>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29551488"/>
        <c:crosses val="autoZero"/>
        <c:auto val="1"/>
        <c:lblAlgn val="ctr"/>
        <c:lblOffset val="100"/>
        <c:noMultiLvlLbl val="0"/>
      </c:catAx>
      <c:valAx>
        <c:axId val="229551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8269568"/>
        <c:crosses val="autoZero"/>
        <c:crossBetween val="between"/>
        <c:majorUnit val="0.1"/>
      </c:valAx>
      <c:spPr>
        <a:noFill/>
        <a:ln>
          <a:noFill/>
        </a:ln>
        <a:effectLst/>
      </c:spPr>
    </c:plotArea>
    <c:legend>
      <c:legendPos val="r"/>
      <c:layout>
        <c:manualLayout>
          <c:xMode val="edge"/>
          <c:yMode val="edge"/>
          <c:x val="0"/>
          <c:y val="0.78586763174306684"/>
          <c:w val="0.99528550862842946"/>
          <c:h val="0.213175381949671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[Wykresy_tabele_rozdzial_7MR.xlsx]RYZ_Pregoła!Tabela przestawna7</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spPr>
          <a:solidFill>
            <a:srgbClr val="75C468"/>
          </a:solidFill>
          <a:effectLst>
            <a:outerShdw blurRad="50800" dist="38100" dir="2700000" algn="tl" rotWithShape="0">
              <a:prstClr val="black">
                <a:alpha val="40000"/>
              </a:prstClr>
            </a:outerShdw>
          </a:effectLst>
        </c:spPr>
        <c:marker>
          <c:symbol val="none"/>
        </c:marker>
      </c:pivotFmt>
      <c:pivotFmt>
        <c:idx val="6"/>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7"/>
        <c:spPr>
          <a:solidFill>
            <a:srgbClr val="C00000"/>
          </a:solidFill>
          <a:effectLst>
            <a:outerShdw blurRad="50800" dist="38100" dir="2700000" algn="tl" rotWithShape="0">
              <a:prstClr val="black">
                <a:alpha val="40000"/>
              </a:prstClr>
            </a:outerShdw>
          </a:effectLst>
        </c:spPr>
        <c:marker>
          <c:symbol val="none"/>
        </c:marker>
      </c:pivotFmt>
      <c:pivotFmt>
        <c:idx val="8"/>
        <c:spPr>
          <a:solidFill>
            <a:srgbClr val="FF5050"/>
          </a:solidFill>
          <a:effectLst>
            <a:outerShdw blurRad="50800" dist="38100" dir="2700000" algn="tl" rotWithShape="0">
              <a:prstClr val="black">
                <a:alpha val="40000"/>
              </a:prstClr>
            </a:outerShdw>
          </a:effectLst>
        </c:spPr>
        <c:marker>
          <c:symbol val="none"/>
        </c:marker>
      </c:pivotFmt>
      <c:pivotFmt>
        <c:idx val="9"/>
        <c:spPr>
          <a:solidFill>
            <a:srgbClr val="FF9933"/>
          </a:solidFill>
          <a:effectLst>
            <a:outerShdw blurRad="50800" dist="38100" dir="2700000" algn="tl" rotWithShape="0">
              <a:prstClr val="black">
                <a:alpha val="40000"/>
              </a:prstClr>
            </a:outerShdw>
          </a:effectLst>
        </c:spPr>
        <c:marker>
          <c:symbol val="none"/>
        </c:marker>
      </c:pivotFmt>
      <c:pivotFmt>
        <c:idx val="10"/>
        <c:spPr>
          <a:solidFill>
            <a:srgbClr val="75C468"/>
          </a:solidFill>
          <a:effectLst>
            <a:outerShdw blurRad="50800" dist="38100" dir="2700000" algn="tl" rotWithShape="0">
              <a:prstClr val="black">
                <a:alpha val="40000"/>
              </a:prstClr>
            </a:outerShdw>
          </a:effectLst>
        </c:spPr>
        <c:marker>
          <c:symbol val="none"/>
        </c:marker>
      </c:pivotFmt>
      <c:pivotFmt>
        <c:idx val="11"/>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12"/>
        <c:spPr>
          <a:solidFill>
            <a:srgbClr val="C00000"/>
          </a:solidFill>
          <a:effectLst>
            <a:outerShdw blurRad="50800" dist="38100" dir="2700000" algn="tl" rotWithShape="0">
              <a:prstClr val="black">
                <a:alpha val="40000"/>
              </a:prstClr>
            </a:outerShdw>
          </a:effectLst>
        </c:spPr>
        <c:marker>
          <c:symbol val="none"/>
        </c:marker>
      </c:pivotFmt>
      <c:pivotFmt>
        <c:idx val="13"/>
        <c:spPr>
          <a:solidFill>
            <a:srgbClr val="FF5050"/>
          </a:solidFill>
          <a:effectLst>
            <a:outerShdw blurRad="50800" dist="38100" dir="2700000" algn="tl" rotWithShape="0">
              <a:prstClr val="black">
                <a:alpha val="40000"/>
              </a:prstClr>
            </a:outerShdw>
          </a:effectLst>
        </c:spPr>
        <c:marker>
          <c:symbol val="none"/>
        </c:marker>
      </c:pivotFmt>
      <c:pivotFmt>
        <c:idx val="14"/>
        <c:spPr>
          <a:solidFill>
            <a:srgbClr val="FF9933"/>
          </a:solidFill>
          <a:effectLst>
            <a:outerShdw blurRad="50800" dist="38100" dir="2700000" algn="tl" rotWithShape="0">
              <a:prstClr val="black">
                <a:alpha val="40000"/>
              </a:prstClr>
            </a:outerShdw>
          </a:effectLst>
        </c:spPr>
        <c:marker>
          <c:symbol val="none"/>
        </c:marker>
      </c:pivotFmt>
      <c:pivotFmt>
        <c:idx val="15"/>
        <c:spPr>
          <a:solidFill>
            <a:srgbClr val="75C468"/>
          </a:solidFill>
          <a:effectLst>
            <a:outerShdw blurRad="50800" dist="38100" dir="2700000" algn="tl" rotWithShape="0">
              <a:prstClr val="black">
                <a:alpha val="40000"/>
              </a:prstClr>
            </a:outerShdw>
          </a:effectLst>
        </c:spPr>
        <c:marker>
          <c:symbol val="none"/>
        </c:marker>
      </c:pivotFmt>
      <c:pivotFmt>
        <c:idx val="16"/>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17"/>
        <c:spPr>
          <a:solidFill>
            <a:srgbClr val="C00000"/>
          </a:solidFill>
          <a:effectLst>
            <a:outerShdw blurRad="50800" dist="38100" dir="2700000" algn="tl" rotWithShape="0">
              <a:prstClr val="black">
                <a:alpha val="40000"/>
              </a:prstClr>
            </a:outerShdw>
          </a:effectLst>
        </c:spPr>
        <c:marker>
          <c:symbol val="none"/>
        </c:marker>
      </c:pivotFmt>
      <c:pivotFmt>
        <c:idx val="18"/>
        <c:spPr>
          <a:solidFill>
            <a:srgbClr val="FF5050"/>
          </a:solidFill>
          <a:effectLst>
            <a:outerShdw blurRad="50800" dist="38100" dir="2700000" algn="tl" rotWithShape="0">
              <a:prstClr val="black">
                <a:alpha val="40000"/>
              </a:prstClr>
            </a:outerShdw>
          </a:effectLst>
        </c:spPr>
        <c:marker>
          <c:symbol val="none"/>
        </c:marker>
      </c:pivotFmt>
      <c:pivotFmt>
        <c:idx val="19"/>
        <c:spPr>
          <a:solidFill>
            <a:srgbClr val="FF9933"/>
          </a:solidFill>
          <a:effectLst>
            <a:outerShdw blurRad="50800" dist="38100" dir="2700000" algn="tl" rotWithShape="0">
              <a:prstClr val="black">
                <a:alpha val="40000"/>
              </a:prstClr>
            </a:outerShdw>
          </a:effectLst>
        </c:spPr>
        <c:marker>
          <c:symbol val="none"/>
        </c:marker>
      </c:pivotFmt>
      <c:pivotFmt>
        <c:idx val="20"/>
        <c:spPr>
          <a:solidFill>
            <a:srgbClr val="75C468"/>
          </a:solidFill>
          <a:effectLst>
            <a:outerShdw blurRad="50800" dist="38100" dir="2700000" algn="tl" rotWithShape="0">
              <a:prstClr val="black">
                <a:alpha val="40000"/>
              </a:prstClr>
            </a:outerShdw>
          </a:effectLst>
        </c:spPr>
        <c:marker>
          <c:symbol val="none"/>
        </c:marker>
      </c:pivotFmt>
      <c:pivotFmt>
        <c:idx val="21"/>
        <c:spPr>
          <a:solidFill>
            <a:srgbClr val="FF5050"/>
          </a:solidFill>
          <a:effectLst>
            <a:outerShdw blurRad="50800" dist="38100" dir="2700000" algn="tl" rotWithShape="0">
              <a:prstClr val="black">
                <a:alpha val="40000"/>
              </a:prstClr>
            </a:outerShdw>
          </a:effectLst>
        </c:spPr>
        <c:marker>
          <c:symbol val="none"/>
        </c:marker>
      </c:pivotFmt>
      <c:pivotFmt>
        <c:idx val="22"/>
        <c:spPr>
          <a:solidFill>
            <a:srgbClr val="FF9933"/>
          </a:solidFill>
          <a:effectLst>
            <a:outerShdw blurRad="50800" dist="38100" dir="2700000" algn="tl" rotWithShape="0">
              <a:prstClr val="black">
                <a:alpha val="40000"/>
              </a:prstClr>
            </a:outerShdw>
          </a:effectLst>
        </c:spPr>
        <c:marker>
          <c:symbol val="none"/>
        </c:marker>
      </c:pivotFmt>
      <c:pivotFmt>
        <c:idx val="23"/>
        <c:spPr>
          <a:solidFill>
            <a:srgbClr val="75C468"/>
          </a:solidFill>
          <a:effectLst>
            <a:outerShdw blurRad="50800" dist="38100" dir="2700000" algn="tl" rotWithShape="0">
              <a:prstClr val="black">
                <a:alpha val="40000"/>
              </a:prstClr>
            </a:outerShdw>
          </a:effectLst>
        </c:spPr>
        <c:marker>
          <c:symbol val="none"/>
        </c:marker>
      </c:pivotFmt>
      <c:pivotFmt>
        <c:idx val="24"/>
        <c:spPr>
          <a:solidFill>
            <a:srgbClr val="FF5050"/>
          </a:solidFill>
          <a:effectLst>
            <a:outerShdw blurRad="50800" dist="38100" dir="2700000" algn="tl" rotWithShape="0">
              <a:prstClr val="black">
                <a:alpha val="40000"/>
              </a:prstClr>
            </a:outerShdw>
          </a:effectLst>
        </c:spPr>
        <c:marker>
          <c:symbol val="none"/>
        </c:marker>
      </c:pivotFmt>
      <c:pivotFmt>
        <c:idx val="25"/>
        <c:spPr>
          <a:solidFill>
            <a:srgbClr val="FF9933"/>
          </a:solidFill>
          <a:effectLst>
            <a:outerShdw blurRad="50800" dist="38100" dir="2700000" algn="tl" rotWithShape="0">
              <a:prstClr val="black">
                <a:alpha val="40000"/>
              </a:prstClr>
            </a:outerShdw>
          </a:effectLst>
        </c:spPr>
        <c:marker>
          <c:symbol val="none"/>
        </c:marker>
      </c:pivotFmt>
      <c:pivotFmt>
        <c:idx val="26"/>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27"/>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8"/>
        <c:spPr>
          <a:solidFill>
            <a:schemeClr val="bg1">
              <a:lumMod val="75000"/>
            </a:schemeClr>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9"/>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0"/>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1"/>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2"/>
      </c:pivotFmt>
      <c:pivotFmt>
        <c:idx val="33"/>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4"/>
        <c:spPr>
          <a:solidFill>
            <a:schemeClr val="bg1">
              <a:lumMod val="75000"/>
            </a:schemeClr>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5"/>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6"/>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7"/>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8"/>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9"/>
        <c:spPr>
          <a:solidFill>
            <a:schemeClr val="bg1">
              <a:lumMod val="75000"/>
            </a:schemeClr>
          </a:solidFill>
          <a:ln>
            <a:noFill/>
          </a:ln>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0"/>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1"/>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2"/>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6.9274889685110877E-2"/>
          <c:y val="4.5035027555862084E-2"/>
          <c:w val="0.87762005982877134"/>
          <c:h val="0.70426349145381217"/>
        </c:manualLayout>
      </c:layout>
      <c:barChart>
        <c:barDir val="col"/>
        <c:grouping val="percentStacked"/>
        <c:varyColors val="0"/>
        <c:ser>
          <c:idx val="0"/>
          <c:order val="0"/>
          <c:tx>
            <c:strRef>
              <c:f>RYZ_Pregoła!$N$3:$N$4</c:f>
              <c:strCache>
                <c:ptCount val="1"/>
                <c:pt idx="0">
                  <c:v>brak ryzyka</c:v>
                </c:pt>
              </c:strCache>
            </c:strRef>
          </c:tx>
          <c:spPr>
            <a:solidFill>
              <a:schemeClr val="tx1">
                <a:lumMod val="65000"/>
                <a:lumOff val="35000"/>
              </a:schemeClr>
            </a:solidFill>
            <a:effectLst>
              <a:outerShdw blurRad="50800" dist="38100" dir="2700000" algn="tl" rotWithShape="0">
                <a:prstClr val="black">
                  <a:alpha val="40000"/>
                </a:prstClr>
              </a:outerShdw>
            </a:effectLst>
          </c:spPr>
          <c:invertIfNegative val="0"/>
          <c:cat>
            <c:strRef>
              <c:f>RYZ_Pregoła!$M$5:$M$6</c:f>
              <c:strCache>
                <c:ptCount val="1"/>
                <c:pt idx="0">
                  <c:v>Region wodny Łyny i Węgorapy</c:v>
                </c:pt>
              </c:strCache>
            </c:strRef>
          </c:cat>
          <c:val>
            <c:numRef>
              <c:f>RYZ_Pregoła!$N$5:$N$6</c:f>
              <c:numCache>
                <c:formatCode>General</c:formatCode>
                <c:ptCount val="1"/>
                <c:pt idx="0">
                  <c:v>22</c:v>
                </c:pt>
              </c:numCache>
            </c:numRef>
          </c:val>
          <c:extLst>
            <c:ext xmlns:c16="http://schemas.microsoft.com/office/drawing/2014/chart" uri="{C3380CC4-5D6E-409C-BE32-E72D297353CC}">
              <c16:uniqueId val="{00000000-5D91-4ADE-9489-2D3B1770DD43}"/>
            </c:ext>
          </c:extLst>
        </c:ser>
        <c:ser>
          <c:idx val="1"/>
          <c:order val="1"/>
          <c:tx>
            <c:strRef>
              <c:f>RYZ_Pregoła!$O$3:$O$4</c:f>
              <c:strCache>
                <c:ptCount val="1"/>
                <c:pt idx="0">
                  <c:v>ryzyko nieznaczące</c:v>
                </c:pt>
              </c:strCache>
            </c:strRef>
          </c:tx>
          <c:spPr>
            <a:solidFill>
              <a:srgbClr val="00B0F0"/>
            </a:solidFill>
            <a:ln>
              <a:noFill/>
            </a:ln>
            <a:effectLst>
              <a:outerShdw blurRad="50800" dist="38100" dir="2700000" algn="tl" rotWithShape="0">
                <a:prstClr val="black">
                  <a:alpha val="40000"/>
                </a:prstClr>
              </a:outerShdw>
            </a:effectLst>
          </c:spPr>
          <c:invertIfNegative val="0"/>
          <c:cat>
            <c:strRef>
              <c:f>RYZ_Pregoła!$M$5:$M$6</c:f>
              <c:strCache>
                <c:ptCount val="1"/>
                <c:pt idx="0">
                  <c:v>Region wodny Łyny i Węgorapy</c:v>
                </c:pt>
              </c:strCache>
            </c:strRef>
          </c:cat>
          <c:val>
            <c:numRef>
              <c:f>RYZ_Pregoła!$O$5:$O$6</c:f>
              <c:numCache>
                <c:formatCode>General</c:formatCode>
                <c:ptCount val="1"/>
                <c:pt idx="0">
                  <c:v>16</c:v>
                </c:pt>
              </c:numCache>
            </c:numRef>
          </c:val>
          <c:extLst>
            <c:ext xmlns:c16="http://schemas.microsoft.com/office/drawing/2014/chart" uri="{C3380CC4-5D6E-409C-BE32-E72D297353CC}">
              <c16:uniqueId val="{00000001-5D91-4ADE-9489-2D3B1770DD43}"/>
            </c:ext>
          </c:extLst>
        </c:ser>
        <c:ser>
          <c:idx val="2"/>
          <c:order val="2"/>
          <c:tx>
            <c:strRef>
              <c:f>RYZ_Pregoła!$P$3:$P$4</c:f>
              <c:strCache>
                <c:ptCount val="1"/>
                <c:pt idx="0">
                  <c:v>ryzyko znaczące bardzo silne</c:v>
                </c:pt>
              </c:strCache>
            </c:strRef>
          </c:tx>
          <c:spPr>
            <a:solidFill>
              <a:srgbClr val="FF0000"/>
            </a:solidFill>
            <a:effectLst>
              <a:outerShdw blurRad="50800" dist="38100" dir="2700000" algn="tl" rotWithShape="0">
                <a:prstClr val="black">
                  <a:alpha val="40000"/>
                </a:prstClr>
              </a:outerShdw>
            </a:effectLst>
          </c:spPr>
          <c:invertIfNegative val="0"/>
          <c:cat>
            <c:strRef>
              <c:f>RYZ_Pregoła!$M$5:$M$6</c:f>
              <c:strCache>
                <c:ptCount val="1"/>
                <c:pt idx="0">
                  <c:v>Region wodny Łyny i Węgorapy</c:v>
                </c:pt>
              </c:strCache>
            </c:strRef>
          </c:cat>
          <c:val>
            <c:numRef>
              <c:f>RYZ_Pregoła!$P$5:$P$6</c:f>
              <c:numCache>
                <c:formatCode>General</c:formatCode>
                <c:ptCount val="1"/>
                <c:pt idx="0">
                  <c:v>7</c:v>
                </c:pt>
              </c:numCache>
            </c:numRef>
          </c:val>
          <c:extLst>
            <c:ext xmlns:c16="http://schemas.microsoft.com/office/drawing/2014/chart" uri="{C3380CC4-5D6E-409C-BE32-E72D297353CC}">
              <c16:uniqueId val="{00000002-5D91-4ADE-9489-2D3B1770DD43}"/>
            </c:ext>
          </c:extLst>
        </c:ser>
        <c:ser>
          <c:idx val="3"/>
          <c:order val="3"/>
          <c:tx>
            <c:strRef>
              <c:f>RYZ_Pregoła!$Q$3:$Q$4</c:f>
              <c:strCache>
                <c:ptCount val="1"/>
                <c:pt idx="0">
                  <c:v>ryzyko znaczące silne</c:v>
                </c:pt>
              </c:strCache>
            </c:strRef>
          </c:tx>
          <c:spPr>
            <a:solidFill>
              <a:srgbClr val="FF7C80"/>
            </a:solidFill>
            <a:effectLst>
              <a:outerShdw blurRad="50800" dist="38100" dir="2700000" algn="tl" rotWithShape="0">
                <a:prstClr val="black">
                  <a:alpha val="40000"/>
                </a:prstClr>
              </a:outerShdw>
            </a:effectLst>
          </c:spPr>
          <c:invertIfNegative val="0"/>
          <c:cat>
            <c:strRef>
              <c:f>RYZ_Pregoła!$M$5:$M$6</c:f>
              <c:strCache>
                <c:ptCount val="1"/>
                <c:pt idx="0">
                  <c:v>Region wodny Łyny i Węgorapy</c:v>
                </c:pt>
              </c:strCache>
            </c:strRef>
          </c:cat>
          <c:val>
            <c:numRef>
              <c:f>RYZ_Pregoła!$Q$5:$Q$6</c:f>
              <c:numCache>
                <c:formatCode>General</c:formatCode>
                <c:ptCount val="1"/>
                <c:pt idx="0">
                  <c:v>19</c:v>
                </c:pt>
              </c:numCache>
            </c:numRef>
          </c:val>
          <c:extLst>
            <c:ext xmlns:c16="http://schemas.microsoft.com/office/drawing/2014/chart" uri="{C3380CC4-5D6E-409C-BE32-E72D297353CC}">
              <c16:uniqueId val="{00000003-5D91-4ADE-9489-2D3B1770DD43}"/>
            </c:ext>
          </c:extLst>
        </c:ser>
        <c:ser>
          <c:idx val="4"/>
          <c:order val="4"/>
          <c:tx>
            <c:strRef>
              <c:f>RYZ_Pregoła!$R$3:$R$4</c:f>
              <c:strCache>
                <c:ptCount val="1"/>
                <c:pt idx="0">
                  <c:v>ryzyko znaczące umiarkowane</c:v>
                </c:pt>
              </c:strCache>
            </c:strRef>
          </c:tx>
          <c:spPr>
            <a:solidFill>
              <a:sysClr val="window" lastClr="FFFFFF">
                <a:lumMod val="75000"/>
              </a:sysClr>
            </a:solidFill>
            <a:effectLst>
              <a:outerShdw blurRad="50800" dist="38100" dir="2700000" algn="tl" rotWithShape="0">
                <a:prstClr val="black">
                  <a:alpha val="40000"/>
                </a:prstClr>
              </a:outerShdw>
            </a:effectLst>
          </c:spPr>
          <c:invertIfNegative val="0"/>
          <c:cat>
            <c:strRef>
              <c:f>RYZ_Pregoła!$M$5:$M$6</c:f>
              <c:strCache>
                <c:ptCount val="1"/>
                <c:pt idx="0">
                  <c:v>Region wodny Łyny i Węgorapy</c:v>
                </c:pt>
              </c:strCache>
            </c:strRef>
          </c:cat>
          <c:val>
            <c:numRef>
              <c:f>RYZ_Pregoła!$R$5:$R$6</c:f>
              <c:numCache>
                <c:formatCode>General</c:formatCode>
                <c:ptCount val="1"/>
                <c:pt idx="0">
                  <c:v>18</c:v>
                </c:pt>
              </c:numCache>
            </c:numRef>
          </c:val>
          <c:extLst>
            <c:ext xmlns:c16="http://schemas.microsoft.com/office/drawing/2014/chart" uri="{C3380CC4-5D6E-409C-BE32-E72D297353CC}">
              <c16:uniqueId val="{00000004-5D91-4ADE-9489-2D3B1770DD43}"/>
            </c:ext>
          </c:extLst>
        </c:ser>
        <c:dLbls>
          <c:showLegendKey val="0"/>
          <c:showVal val="0"/>
          <c:showCatName val="0"/>
          <c:showSerName val="0"/>
          <c:showPercent val="0"/>
          <c:showBubbleSize val="0"/>
        </c:dLbls>
        <c:gapWidth val="500"/>
        <c:overlap val="100"/>
        <c:axId val="236191744"/>
        <c:axId val="235809600"/>
      </c:barChart>
      <c:catAx>
        <c:axId val="236191744"/>
        <c:scaling>
          <c:orientation val="minMax"/>
        </c:scaling>
        <c:delete val="0"/>
        <c:axPos val="b"/>
        <c:numFmt formatCode="General" sourceLinked="0"/>
        <c:majorTickMark val="out"/>
        <c:minorTickMark val="none"/>
        <c:tickLblPos val="nextTo"/>
        <c:spPr>
          <a:ln>
            <a:noFill/>
          </a:ln>
        </c:spPr>
        <c:txPr>
          <a:bodyPr/>
          <a:lstStyle/>
          <a:p>
            <a:pPr>
              <a:defRPr sz="1200" b="0">
                <a:solidFill>
                  <a:schemeClr val="bg2">
                    <a:lumMod val="50000"/>
                  </a:schemeClr>
                </a:solidFill>
              </a:defRPr>
            </a:pPr>
            <a:endParaRPr lang="pl-PL"/>
          </a:p>
        </c:txPr>
        <c:crossAx val="235809600"/>
        <c:crosses val="autoZero"/>
        <c:auto val="1"/>
        <c:lblAlgn val="ctr"/>
        <c:lblOffset val="100"/>
        <c:noMultiLvlLbl val="0"/>
      </c:catAx>
      <c:valAx>
        <c:axId val="235809600"/>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baseline="0">
                <a:solidFill>
                  <a:schemeClr val="tx1">
                    <a:lumMod val="65000"/>
                    <a:lumOff val="35000"/>
                  </a:schemeClr>
                </a:solidFill>
              </a:defRPr>
            </a:pPr>
            <a:endParaRPr lang="pl-PL"/>
          </a:p>
        </c:txPr>
        <c:crossAx val="236191744"/>
        <c:crosses val="autoZero"/>
        <c:crossBetween val="between"/>
        <c:majorUnit val="0.1"/>
      </c:valAx>
    </c:plotArea>
    <c:legend>
      <c:legendPos val="r"/>
      <c:layout>
        <c:manualLayout>
          <c:xMode val="edge"/>
          <c:yMode val="edge"/>
          <c:x val="3.0493063367079114E-2"/>
          <c:y val="0.86684385100890915"/>
          <c:w val="0.96730232971562458"/>
          <c:h val="0.10964549356343847"/>
        </c:manualLayout>
      </c:layout>
      <c:overlay val="0"/>
      <c:txPr>
        <a:bodyPr/>
        <a:lstStyle/>
        <a:p>
          <a:pPr>
            <a:defRPr sz="900" baseline="0">
              <a:solidFill>
                <a:schemeClr val="tx1">
                  <a:lumMod val="65000"/>
                  <a:lumOff val="35000"/>
                </a:schemeClr>
              </a:solidFill>
            </a:defRPr>
          </a:pPr>
          <a:endParaRPr lang="pl-PL"/>
        </a:p>
      </c:txPr>
    </c:legend>
    <c:plotVisOnly val="1"/>
    <c:dispBlanksAs val="gap"/>
    <c:showDLblsOverMax val="0"/>
  </c:chart>
  <c:spPr>
    <a:ln>
      <a:noFill/>
    </a:ln>
  </c:sp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8950512791425"/>
          <c:y val="0.14895610695430811"/>
          <c:w val="0.44267844078534224"/>
          <c:h val="0.71002170993789326"/>
        </c:manualLayout>
      </c:layout>
      <c:pieChart>
        <c:varyColors val="1"/>
        <c:ser>
          <c:idx val="0"/>
          <c:order val="0"/>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c:spPr>
            <c:extLst>
              <c:ext xmlns:c16="http://schemas.microsoft.com/office/drawing/2014/chart" uri="{C3380CC4-5D6E-409C-BE32-E72D297353CC}">
                <c16:uniqueId val="{00000001-9F3E-4A0D-ABD2-8B7BD2740E85}"/>
              </c:ext>
            </c:extLst>
          </c:dPt>
          <c:dPt>
            <c:idx val="1"/>
            <c:bubble3D val="0"/>
            <c:spPr>
              <a:solidFill>
                <a:schemeClr val="tx1"/>
              </a:solidFill>
            </c:spPr>
            <c:extLst>
              <c:ext xmlns:c16="http://schemas.microsoft.com/office/drawing/2014/chart" uri="{C3380CC4-5D6E-409C-BE32-E72D297353CC}">
                <c16:uniqueId val="{00000003-9F3E-4A0D-ABD2-8B7BD2740E85}"/>
              </c:ext>
            </c:extLst>
          </c:dPt>
          <c:dPt>
            <c:idx val="2"/>
            <c:bubble3D val="0"/>
            <c:spPr>
              <a:solidFill>
                <a:schemeClr val="accent6"/>
              </a:solidFill>
            </c:spPr>
            <c:extLst>
              <c:ext xmlns:c16="http://schemas.microsoft.com/office/drawing/2014/chart" uri="{C3380CC4-5D6E-409C-BE32-E72D297353CC}">
                <c16:uniqueId val="{00000005-9F3E-4A0D-ABD2-8B7BD2740E85}"/>
              </c:ext>
            </c:extLst>
          </c:dPt>
          <c:dLbls>
            <c:dLbl>
              <c:idx val="0"/>
              <c:tx>
                <c:rich>
                  <a:bodyPr/>
                  <a:lstStyle/>
                  <a:p>
                    <a:r>
                      <a:rPr lang="en-US"/>
                      <a:t>63,6%</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F3E-4A0D-ABD2-8B7BD2740E85}"/>
                </c:ext>
              </c:extLst>
            </c:dLbl>
            <c:dLbl>
              <c:idx val="1"/>
              <c:tx>
                <c:rich>
                  <a:bodyPr/>
                  <a:lstStyle/>
                  <a:p>
                    <a:r>
                      <a:rPr lang="en-US"/>
                      <a:t>2,8%</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F3E-4A0D-ABD2-8B7BD2740E85}"/>
                </c:ext>
              </c:extLst>
            </c:dLbl>
            <c:dLbl>
              <c:idx val="2"/>
              <c:tx>
                <c:rich>
                  <a:bodyPr/>
                  <a:lstStyle/>
                  <a:p>
                    <a:r>
                      <a:rPr lang="en-US"/>
                      <a:t>27,3%</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F3E-4A0D-ABD2-8B7BD2740E85}"/>
                </c:ext>
              </c:extLst>
            </c:dLbl>
            <c:dLbl>
              <c:idx val="3"/>
              <c:tx>
                <c:rich>
                  <a:bodyPr/>
                  <a:lstStyle/>
                  <a:p>
                    <a:r>
                      <a:rPr lang="en-US"/>
                      <a:t>6,3%</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9F3E-4A0D-ABD2-8B7BD2740E85}"/>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Pregoła!$F$2:$F$5</c:f>
              <c:strCache>
                <c:ptCount val="4"/>
                <c:pt idx="0">
                  <c:v>Tereny rolne</c:v>
                </c:pt>
                <c:pt idx="1">
                  <c:v>Tereny przekształcone antopogenicznie</c:v>
                </c:pt>
                <c:pt idx="2">
                  <c:v>Tereny leśne</c:v>
                </c:pt>
                <c:pt idx="3">
                  <c:v>Tereny pozostałe</c:v>
                </c:pt>
              </c:strCache>
            </c:strRef>
          </c:cat>
          <c:val>
            <c:numRef>
              <c:f>IIaPGWCLC!$F$28:$I$28</c:f>
              <c:numCache>
                <c:formatCode>0.0</c:formatCode>
                <c:ptCount val="4"/>
                <c:pt idx="0">
                  <c:v>63.611095096249315</c:v>
                </c:pt>
                <c:pt idx="1">
                  <c:v>2.7922432016911705</c:v>
                </c:pt>
                <c:pt idx="2">
                  <c:v>27.283144091049827</c:v>
                </c:pt>
                <c:pt idx="3">
                  <c:v>6.3135176110097007</c:v>
                </c:pt>
              </c:numCache>
            </c:numRef>
          </c:val>
          <c:extLst>
            <c:ext xmlns:c16="http://schemas.microsoft.com/office/drawing/2014/chart" uri="{C3380CC4-5D6E-409C-BE32-E72D297353CC}">
              <c16:uniqueId val="{00000007-9F3E-4A0D-ABD2-8B7BD2740E85}"/>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59771331917771142"/>
          <c:y val="0.28626027067037896"/>
          <c:w val="0.38252918145428916"/>
          <c:h val="0.50127963625018757"/>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[Wykresy_tabele_rozdzial_7MR.xlsx]RYZ_Pregoła!Tabela przestawna6</c:name>
    <c:fmtId val="-1"/>
  </c:pivotSource>
  <c:chart>
    <c:autoTitleDeleted val="0"/>
    <c:pivotFmts>
      <c:pivotFmt>
        <c:idx val="0"/>
        <c:marker>
          <c:symbol val="none"/>
        </c:marker>
      </c:pivotFmt>
      <c:pivotFmt>
        <c:idx val="1"/>
        <c:spPr>
          <a:solidFill>
            <a:srgbClr val="75C468"/>
          </a:solidFill>
          <a:effectLst>
            <a:outerShdw blurRad="50800" dist="38100" dir="2700000" algn="tl" rotWithShape="0">
              <a:prstClr val="black">
                <a:alpha val="40000"/>
              </a:prstClr>
            </a:outerShdw>
          </a:effectLst>
        </c:spPr>
        <c:marker>
          <c:symbol val="none"/>
        </c:marker>
      </c:pivotFmt>
      <c:pivotFmt>
        <c:idx val="2"/>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3"/>
        <c:spPr>
          <a:solidFill>
            <a:srgbClr val="C00000"/>
          </a:solidFill>
          <a:effectLst>
            <a:outerShdw blurRad="50800" dist="38100" dir="2700000" algn="tl" rotWithShape="0">
              <a:prstClr val="black">
                <a:alpha val="40000"/>
              </a:prstClr>
            </a:outerShdw>
          </a:effectLst>
        </c:spPr>
        <c:marker>
          <c:symbol val="none"/>
        </c:marker>
      </c:pivotFmt>
      <c:pivotFmt>
        <c:idx val="4"/>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5"/>
        <c:spPr>
          <a:solidFill>
            <a:srgbClr val="FF9933"/>
          </a:solidFill>
          <a:effectLst>
            <a:outerShdw blurRad="50800" dist="38100" dir="2700000" algn="tl" rotWithShape="0">
              <a:prstClr val="black">
                <a:alpha val="40000"/>
              </a:prstClr>
            </a:outerShdw>
          </a:effectLst>
        </c:spPr>
        <c:marker>
          <c:symbol val="none"/>
        </c:marker>
      </c:pivotFmt>
      <c:pivotFmt>
        <c:idx val="6"/>
        <c:spPr>
          <a:solidFill>
            <a:srgbClr val="FF5050"/>
          </a:solidFill>
          <a:effectLst>
            <a:outerShdw blurRad="50800" dist="38100" dir="2700000" algn="tl" rotWithShape="0">
              <a:prstClr val="black">
                <a:alpha val="40000"/>
              </a:prstClr>
            </a:outerShdw>
          </a:effectLst>
        </c:spPr>
        <c:marker>
          <c:symbol val="none"/>
        </c:marker>
      </c:pivotFmt>
      <c:pivotFmt>
        <c:idx val="7"/>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8"/>
        <c:spPr>
          <a:solidFill>
            <a:srgbClr val="75C468"/>
          </a:solidFill>
          <a:effectLst>
            <a:outerShdw blurRad="50800" dist="38100" dir="2700000" algn="tl" rotWithShape="0">
              <a:prstClr val="black">
                <a:alpha val="40000"/>
              </a:prstClr>
            </a:outerShdw>
          </a:effectLst>
        </c:spPr>
        <c:marker>
          <c:symbol val="none"/>
        </c:marker>
      </c:pivotFmt>
      <c:pivotFmt>
        <c:idx val="9"/>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10"/>
        <c:spPr>
          <a:solidFill>
            <a:srgbClr val="C00000"/>
          </a:solidFill>
          <a:effectLst>
            <a:outerShdw blurRad="50800" dist="38100" dir="2700000" algn="tl" rotWithShape="0">
              <a:prstClr val="black">
                <a:alpha val="40000"/>
              </a:prstClr>
            </a:outerShdw>
          </a:effectLst>
        </c:spPr>
        <c:marker>
          <c:symbol val="none"/>
        </c:marker>
      </c:pivotFmt>
      <c:pivotFmt>
        <c:idx val="11"/>
        <c:spPr>
          <a:solidFill>
            <a:srgbClr val="FF5050"/>
          </a:solidFill>
          <a:effectLst>
            <a:outerShdw blurRad="50800" dist="38100" dir="2700000" algn="tl" rotWithShape="0">
              <a:prstClr val="black">
                <a:alpha val="40000"/>
              </a:prstClr>
            </a:outerShdw>
          </a:effectLst>
        </c:spPr>
        <c:marker>
          <c:symbol val="none"/>
        </c:marker>
      </c:pivotFmt>
      <c:pivotFmt>
        <c:idx val="12"/>
        <c:spPr>
          <a:solidFill>
            <a:srgbClr val="FF9933"/>
          </a:solidFill>
          <a:effectLst>
            <a:outerShdw blurRad="50800" dist="38100" dir="2700000" algn="tl" rotWithShape="0">
              <a:prstClr val="black">
                <a:alpha val="40000"/>
              </a:prstClr>
            </a:outerShdw>
          </a:effectLst>
        </c:spPr>
        <c:marker>
          <c:symbol val="none"/>
        </c:marker>
      </c:pivotFmt>
      <c:pivotFmt>
        <c:idx val="13"/>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14"/>
        <c:spPr>
          <a:solidFill>
            <a:srgbClr val="75C468"/>
          </a:solidFill>
          <a:effectLst>
            <a:outerShdw blurRad="50800" dist="38100" dir="2700000" algn="tl" rotWithShape="0">
              <a:prstClr val="black">
                <a:alpha val="40000"/>
              </a:prstClr>
            </a:outerShdw>
          </a:effectLst>
        </c:spPr>
        <c:marker>
          <c:symbol val="none"/>
        </c:marker>
      </c:pivotFmt>
      <c:pivotFmt>
        <c:idx val="15"/>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16"/>
        <c:spPr>
          <a:solidFill>
            <a:srgbClr val="C00000"/>
          </a:solidFill>
          <a:effectLst>
            <a:outerShdw blurRad="50800" dist="38100" dir="2700000" algn="tl" rotWithShape="0">
              <a:prstClr val="black">
                <a:alpha val="40000"/>
              </a:prstClr>
            </a:outerShdw>
          </a:effectLst>
        </c:spPr>
        <c:marker>
          <c:symbol val="none"/>
        </c:marker>
      </c:pivotFmt>
      <c:pivotFmt>
        <c:idx val="17"/>
        <c:spPr>
          <a:solidFill>
            <a:srgbClr val="FF5050"/>
          </a:solidFill>
          <a:effectLst>
            <a:outerShdw blurRad="50800" dist="38100" dir="2700000" algn="tl" rotWithShape="0">
              <a:prstClr val="black">
                <a:alpha val="40000"/>
              </a:prstClr>
            </a:outerShdw>
          </a:effectLst>
        </c:spPr>
        <c:marker>
          <c:symbol val="none"/>
        </c:marker>
      </c:pivotFmt>
      <c:pivotFmt>
        <c:idx val="18"/>
        <c:spPr>
          <a:solidFill>
            <a:srgbClr val="FF9933"/>
          </a:solidFill>
          <a:effectLst>
            <a:outerShdw blurRad="50800" dist="38100" dir="2700000" algn="tl" rotWithShape="0">
              <a:prstClr val="black">
                <a:alpha val="40000"/>
              </a:prstClr>
            </a:outerShdw>
          </a:effectLst>
        </c:spPr>
        <c:marker>
          <c:symbol val="none"/>
        </c:marker>
      </c:pivotFmt>
      <c:pivotFmt>
        <c:idx val="19"/>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20"/>
        <c:spPr>
          <a:solidFill>
            <a:srgbClr val="75C468"/>
          </a:solidFill>
          <a:effectLst>
            <a:outerShdw blurRad="50800" dist="38100" dir="2700000" algn="tl" rotWithShape="0">
              <a:prstClr val="black">
                <a:alpha val="40000"/>
              </a:prstClr>
            </a:outerShdw>
          </a:effectLst>
        </c:spPr>
        <c:marker>
          <c:symbol val="none"/>
        </c:marker>
      </c:pivotFmt>
      <c:pivotFmt>
        <c:idx val="21"/>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22"/>
        <c:spPr>
          <a:solidFill>
            <a:srgbClr val="FF9933"/>
          </a:solidFill>
          <a:effectLst>
            <a:outerShdw blurRad="50800" dist="38100" dir="2700000" algn="tl" rotWithShape="0">
              <a:prstClr val="black">
                <a:alpha val="40000"/>
              </a:prstClr>
            </a:outerShdw>
          </a:effectLst>
        </c:spPr>
        <c:marker>
          <c:symbol val="none"/>
        </c:marker>
      </c:pivotFmt>
      <c:pivotFmt>
        <c:idx val="23"/>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24"/>
        <c:spPr>
          <a:solidFill>
            <a:srgbClr val="75C468"/>
          </a:solidFill>
          <a:effectLst>
            <a:outerShdw blurRad="50800" dist="38100" dir="2700000" algn="tl" rotWithShape="0">
              <a:prstClr val="black">
                <a:alpha val="40000"/>
              </a:prstClr>
            </a:outerShdw>
          </a:effectLst>
        </c:spPr>
        <c:marker>
          <c:symbol val="none"/>
        </c:marker>
      </c:pivotFmt>
      <c:pivotFmt>
        <c:idx val="25"/>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26"/>
        <c:spPr>
          <a:solidFill>
            <a:srgbClr val="FF9933"/>
          </a:solidFill>
          <a:effectLst>
            <a:outerShdw blurRad="50800" dist="38100" dir="2700000" algn="tl" rotWithShape="0">
              <a:prstClr val="black">
                <a:alpha val="40000"/>
              </a:prstClr>
            </a:outerShdw>
          </a:effectLst>
        </c:spPr>
        <c:marker>
          <c:symbol val="none"/>
        </c:marker>
      </c:pivotFmt>
      <c:pivotFmt>
        <c:idx val="27"/>
        <c:spPr>
          <a:solidFill>
            <a:srgbClr val="FF5050"/>
          </a:solidFill>
          <a:effectLst>
            <a:outerShdw blurRad="50800" dist="38100" dir="2700000" algn="tl" rotWithShape="0">
              <a:prstClr val="black">
                <a:alpha val="40000"/>
              </a:prstClr>
            </a:outerShdw>
          </a:effectLst>
        </c:spPr>
        <c:marker>
          <c:symbol val="none"/>
        </c:marker>
      </c:pivotFmt>
      <c:pivotFmt>
        <c:idx val="28"/>
        <c:marker>
          <c:symbol val="none"/>
        </c:marker>
      </c:pivotFmt>
      <c:pivotFmt>
        <c:idx val="29"/>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0"/>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1"/>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2"/>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3"/>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4"/>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5"/>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6"/>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7"/>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8"/>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39"/>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0"/>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1"/>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2"/>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3"/>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4"/>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5"/>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46"/>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3.7153269510375952E-2"/>
          <c:y val="4.0721440143050319E-2"/>
          <c:w val="0.8448900098569706"/>
          <c:h val="0.73637652463289038"/>
        </c:manualLayout>
      </c:layout>
      <c:barChart>
        <c:barDir val="col"/>
        <c:grouping val="percentStacked"/>
        <c:varyColors val="0"/>
        <c:ser>
          <c:idx val="0"/>
          <c:order val="0"/>
          <c:tx>
            <c:strRef>
              <c:f>RYZ_Pregoła!$B$3:$B$4</c:f>
              <c:strCache>
                <c:ptCount val="1"/>
                <c:pt idx="0">
                  <c:v>brak możliwości oceny ryzyka</c:v>
                </c:pt>
              </c:strCache>
            </c:strRef>
          </c:tx>
          <c:spPr>
            <a:solidFill>
              <a:schemeClr val="tx1">
                <a:lumMod val="65000"/>
                <a:lumOff val="35000"/>
              </a:schemeClr>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RYZ_Pregoła!$B$5:$B$6</c:f>
              <c:numCache>
                <c:formatCode>General</c:formatCode>
                <c:ptCount val="1"/>
                <c:pt idx="0">
                  <c:v>8</c:v>
                </c:pt>
              </c:numCache>
            </c:numRef>
          </c:val>
          <c:extLst>
            <c:ext xmlns:c16="http://schemas.microsoft.com/office/drawing/2014/chart" uri="{C3380CC4-5D6E-409C-BE32-E72D297353CC}">
              <c16:uniqueId val="{00000000-E331-4D62-83DB-794C0B574778}"/>
            </c:ext>
          </c:extLst>
        </c:ser>
        <c:ser>
          <c:idx val="1"/>
          <c:order val="1"/>
          <c:tx>
            <c:strRef>
              <c:f>RYZ_Pregoła!$C$3:$C$4</c:f>
              <c:strCache>
                <c:ptCount val="1"/>
                <c:pt idx="0">
                  <c:v>brak ryzyka</c:v>
                </c:pt>
              </c:strCache>
            </c:strRef>
          </c:tx>
          <c:spPr>
            <a:solidFill>
              <a:schemeClr val="bg1">
                <a:lumMod val="50000"/>
              </a:schemeClr>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RYZ_Pregoła!$C$5:$C$6</c:f>
              <c:numCache>
                <c:formatCode>General</c:formatCode>
                <c:ptCount val="1"/>
                <c:pt idx="0">
                  <c:v>7</c:v>
                </c:pt>
              </c:numCache>
            </c:numRef>
          </c:val>
          <c:extLst>
            <c:ext xmlns:c16="http://schemas.microsoft.com/office/drawing/2014/chart" uri="{C3380CC4-5D6E-409C-BE32-E72D297353CC}">
              <c16:uniqueId val="{00000001-E331-4D62-83DB-794C0B574778}"/>
            </c:ext>
          </c:extLst>
        </c:ser>
        <c:ser>
          <c:idx val="2"/>
          <c:order val="2"/>
          <c:tx>
            <c:strRef>
              <c:f>RYZ_Pregoła!$D$3:$D$4</c:f>
              <c:strCache>
                <c:ptCount val="1"/>
                <c:pt idx="0">
                  <c:v>ryzyko nieznaczące</c:v>
                </c:pt>
              </c:strCache>
            </c:strRef>
          </c:tx>
          <c:spPr>
            <a:solidFill>
              <a:srgbClr val="00B0F0"/>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RYZ_Pregoła!$D$5:$D$6</c:f>
              <c:numCache>
                <c:formatCode>General</c:formatCode>
                <c:ptCount val="1"/>
                <c:pt idx="0">
                  <c:v>23</c:v>
                </c:pt>
              </c:numCache>
            </c:numRef>
          </c:val>
          <c:extLst>
            <c:ext xmlns:c16="http://schemas.microsoft.com/office/drawing/2014/chart" uri="{C3380CC4-5D6E-409C-BE32-E72D297353CC}">
              <c16:uniqueId val="{00000002-E331-4D62-83DB-794C0B574778}"/>
            </c:ext>
          </c:extLst>
        </c:ser>
        <c:ser>
          <c:idx val="3"/>
          <c:order val="3"/>
          <c:tx>
            <c:strRef>
              <c:f>RYZ_Pregoła!$E$3:$E$4</c:f>
              <c:strCache>
                <c:ptCount val="1"/>
                <c:pt idx="0">
                  <c:v>ryzyko znaczące bardzo silne</c:v>
                </c:pt>
              </c:strCache>
            </c:strRef>
          </c:tx>
          <c:spPr>
            <a:solidFill>
              <a:srgbClr val="FF0000"/>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RYZ_Pregoła!$E$5:$E$6</c:f>
              <c:numCache>
                <c:formatCode>General</c:formatCode>
                <c:ptCount val="1"/>
                <c:pt idx="0">
                  <c:v>12</c:v>
                </c:pt>
              </c:numCache>
            </c:numRef>
          </c:val>
          <c:extLst>
            <c:ext xmlns:c16="http://schemas.microsoft.com/office/drawing/2014/chart" uri="{C3380CC4-5D6E-409C-BE32-E72D297353CC}">
              <c16:uniqueId val="{00000003-E331-4D62-83DB-794C0B574778}"/>
            </c:ext>
          </c:extLst>
        </c:ser>
        <c:ser>
          <c:idx val="4"/>
          <c:order val="4"/>
          <c:tx>
            <c:strRef>
              <c:f>RYZ_Pregoła!$F$3:$F$4</c:f>
              <c:strCache>
                <c:ptCount val="1"/>
                <c:pt idx="0">
                  <c:v>ryzyko znaczące silne</c:v>
                </c:pt>
              </c:strCache>
            </c:strRef>
          </c:tx>
          <c:spPr>
            <a:solidFill>
              <a:srgbClr val="FF7C80"/>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RYZ_Pregoła!$F$5:$F$6</c:f>
              <c:numCache>
                <c:formatCode>General</c:formatCode>
                <c:ptCount val="1"/>
                <c:pt idx="0">
                  <c:v>15</c:v>
                </c:pt>
              </c:numCache>
            </c:numRef>
          </c:val>
          <c:extLst>
            <c:ext xmlns:c16="http://schemas.microsoft.com/office/drawing/2014/chart" uri="{C3380CC4-5D6E-409C-BE32-E72D297353CC}">
              <c16:uniqueId val="{00000004-E331-4D62-83DB-794C0B574778}"/>
            </c:ext>
          </c:extLst>
        </c:ser>
        <c:ser>
          <c:idx val="5"/>
          <c:order val="5"/>
          <c:tx>
            <c:strRef>
              <c:f>RYZ_Pregoła!$G$3:$G$4</c:f>
              <c:strCache>
                <c:ptCount val="1"/>
                <c:pt idx="0">
                  <c:v>ryzyko znaczące umiarkowane</c:v>
                </c:pt>
              </c:strCache>
            </c:strRef>
          </c:tx>
          <c:spPr>
            <a:solidFill>
              <a:schemeClr val="bg1">
                <a:lumMod val="75000"/>
              </a:schemeClr>
            </a:solidFill>
            <a:effectLst>
              <a:outerShdw blurRad="50800" dist="38100" dir="2700000" algn="tl" rotWithShape="0">
                <a:prstClr val="black">
                  <a:alpha val="40000"/>
                </a:prstClr>
              </a:outerShdw>
            </a:effectLst>
          </c:spPr>
          <c:invertIfNegative val="0"/>
          <c:cat>
            <c:strRef>
              <c:f>RYZ_Pregoła!$A$5:$A$6</c:f>
              <c:strCache>
                <c:ptCount val="1"/>
                <c:pt idx="0">
                  <c:v>Region wodny Łyny i Węgorapy</c:v>
                </c:pt>
              </c:strCache>
            </c:strRef>
          </c:cat>
          <c:val>
            <c:numRef>
              <c:f>RYZ_Pregoła!$G$5:$G$6</c:f>
              <c:numCache>
                <c:formatCode>General</c:formatCode>
                <c:ptCount val="1"/>
                <c:pt idx="0">
                  <c:v>17</c:v>
                </c:pt>
              </c:numCache>
            </c:numRef>
          </c:val>
          <c:extLst>
            <c:ext xmlns:c16="http://schemas.microsoft.com/office/drawing/2014/chart" uri="{C3380CC4-5D6E-409C-BE32-E72D297353CC}">
              <c16:uniqueId val="{00000005-E331-4D62-83DB-794C0B574778}"/>
            </c:ext>
          </c:extLst>
        </c:ser>
        <c:dLbls>
          <c:showLegendKey val="0"/>
          <c:showVal val="0"/>
          <c:showCatName val="0"/>
          <c:showSerName val="0"/>
          <c:showPercent val="0"/>
          <c:showBubbleSize val="0"/>
        </c:dLbls>
        <c:gapWidth val="500"/>
        <c:overlap val="100"/>
        <c:axId val="236142080"/>
        <c:axId val="235807872"/>
      </c:barChart>
      <c:catAx>
        <c:axId val="236142080"/>
        <c:scaling>
          <c:orientation val="minMax"/>
        </c:scaling>
        <c:delete val="0"/>
        <c:axPos val="b"/>
        <c:numFmt formatCode="General" sourceLinked="0"/>
        <c:majorTickMark val="out"/>
        <c:minorTickMark val="none"/>
        <c:tickLblPos val="nextTo"/>
        <c:spPr>
          <a:ln>
            <a:noFill/>
          </a:ln>
        </c:spPr>
        <c:txPr>
          <a:bodyPr/>
          <a:lstStyle/>
          <a:p>
            <a:pPr>
              <a:defRPr sz="1200" b="0" baseline="0">
                <a:solidFill>
                  <a:schemeClr val="tx1">
                    <a:lumMod val="65000"/>
                    <a:lumOff val="35000"/>
                  </a:schemeClr>
                </a:solidFill>
              </a:defRPr>
            </a:pPr>
            <a:endParaRPr lang="pl-PL"/>
          </a:p>
        </c:txPr>
        <c:crossAx val="235807872"/>
        <c:crosses val="autoZero"/>
        <c:auto val="1"/>
        <c:lblAlgn val="ctr"/>
        <c:lblOffset val="100"/>
        <c:noMultiLvlLbl val="0"/>
      </c:catAx>
      <c:valAx>
        <c:axId val="235807872"/>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baseline="0">
                <a:solidFill>
                  <a:schemeClr val="tx1">
                    <a:lumMod val="65000"/>
                    <a:lumOff val="35000"/>
                  </a:schemeClr>
                </a:solidFill>
              </a:defRPr>
            </a:pPr>
            <a:endParaRPr lang="pl-PL"/>
          </a:p>
        </c:txPr>
        <c:crossAx val="236142080"/>
        <c:crosses val="autoZero"/>
        <c:crossBetween val="between"/>
        <c:majorUnit val="0.1"/>
      </c:valAx>
    </c:plotArea>
    <c:legend>
      <c:legendPos val="r"/>
      <c:layout>
        <c:manualLayout>
          <c:xMode val="edge"/>
          <c:yMode val="edge"/>
          <c:x val="4.5121141019267667E-2"/>
          <c:y val="0.86710154995975963"/>
          <c:w val="0.95487881739529024"/>
          <c:h val="0.13289845004024031"/>
        </c:manualLayout>
      </c:layout>
      <c:overlay val="0"/>
      <c:txPr>
        <a:bodyPr/>
        <a:lstStyle/>
        <a:p>
          <a:pPr>
            <a:defRPr sz="900" baseline="0">
              <a:solidFill>
                <a:schemeClr val="tx1">
                  <a:lumMod val="65000"/>
                  <a:lumOff val="35000"/>
                </a:schemeClr>
              </a:solidFill>
            </a:defRPr>
          </a:pPr>
          <a:endParaRPr lang="pl-PL"/>
        </a:p>
      </c:txPr>
    </c:legend>
    <c:plotVisOnly val="1"/>
    <c:dispBlanksAs val="gap"/>
    <c:showDLblsOverMax val="0"/>
  </c:chart>
  <c:spPr>
    <a:ln>
      <a:noFill/>
    </a:ln>
  </c:sp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363148154867736E-2"/>
          <c:y val="5.5341689048045359E-2"/>
          <c:w val="0.94956750797855338"/>
          <c:h val="0.59388853280729192"/>
        </c:manualLayout>
      </c:layout>
      <c:barChart>
        <c:barDir val="col"/>
        <c:grouping val="percentStacked"/>
        <c:varyColors val="0"/>
        <c:ser>
          <c:idx val="0"/>
          <c:order val="0"/>
          <c:tx>
            <c:strRef>
              <c:f>[dorzecza_zrodla_presji_FIZ_rodz_7_typy_wod_osobno.xlsx]Pregoła!$I$34</c:f>
              <c:strCache>
                <c:ptCount val="1"/>
                <c:pt idx="0">
                  <c:v>dopływ z innego jcwp</c:v>
                </c:pt>
              </c:strCache>
            </c:strRef>
          </c:tx>
          <c:spPr>
            <a:solidFill>
              <a:schemeClr val="tx1">
                <a:lumMod val="65000"/>
                <a:lumOff val="35000"/>
              </a:schemeClr>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[dorzecza_zrodla_presji_FIZ_rodz_7_typy_wod_osobno.xlsx]Pregoła!$I$35</c:f>
              <c:numCache>
                <c:formatCode>General</c:formatCode>
                <c:ptCount val="1"/>
                <c:pt idx="0">
                  <c:v>15</c:v>
                </c:pt>
              </c:numCache>
            </c:numRef>
          </c:val>
          <c:extLst>
            <c:ext xmlns:c16="http://schemas.microsoft.com/office/drawing/2014/chart" uri="{C3380CC4-5D6E-409C-BE32-E72D297353CC}">
              <c16:uniqueId val="{00000000-EB9F-41C8-B192-DABEE7F71E4C}"/>
            </c:ext>
          </c:extLst>
        </c:ser>
        <c:ser>
          <c:idx val="1"/>
          <c:order val="1"/>
          <c:tx>
            <c:strRef>
              <c:f>[dorzecza_zrodla_presji_FIZ_rodz_7_typy_wod_osobno.xlsx]Pregoła!$C$34</c:f>
              <c:strCache>
                <c:ptCount val="1"/>
                <c:pt idx="0">
                  <c:v>odpływ miejski</c:v>
                </c:pt>
              </c:strCache>
            </c:strRef>
          </c:tx>
          <c:spPr>
            <a:solidFill>
              <a:srgbClr val="FF0000"/>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[dorzecza_zrodla_presji_FIZ_rodz_7_typy_wod_osobno.xlsx]Pregoła!$C$35</c:f>
              <c:numCache>
                <c:formatCode>General</c:formatCode>
                <c:ptCount val="1"/>
                <c:pt idx="0">
                  <c:v>7</c:v>
                </c:pt>
              </c:numCache>
            </c:numRef>
          </c:val>
          <c:extLst>
            <c:ext xmlns:c16="http://schemas.microsoft.com/office/drawing/2014/chart" uri="{C3380CC4-5D6E-409C-BE32-E72D297353CC}">
              <c16:uniqueId val="{00000001-EB9F-41C8-B192-DABEE7F71E4C}"/>
            </c:ext>
          </c:extLst>
        </c:ser>
        <c:ser>
          <c:idx val="2"/>
          <c:order val="2"/>
          <c:tx>
            <c:strRef>
              <c:f>[dorzecza_zrodla_presji_FIZ_rodz_7_typy_wod_osobno.xlsx]Pregoła!$G$34</c:f>
              <c:strCache>
                <c:ptCount val="1"/>
                <c:pt idx="0">
                  <c:v>presja skumulowana - dopływ z innego jcwp oraz źródła presji w jcwp</c:v>
                </c:pt>
              </c:strCache>
            </c:strRef>
          </c:tx>
          <c:spPr>
            <a:solidFill>
              <a:srgbClr val="0070C0"/>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[dorzecza_zrodla_presji_FIZ_rodz_7_typy_wod_osobno.xlsx]Pregoła!$G$35</c:f>
              <c:numCache>
                <c:formatCode>General</c:formatCode>
                <c:ptCount val="1"/>
                <c:pt idx="0">
                  <c:v>1</c:v>
                </c:pt>
              </c:numCache>
            </c:numRef>
          </c:val>
          <c:extLst>
            <c:ext xmlns:c16="http://schemas.microsoft.com/office/drawing/2014/chart" uri="{C3380CC4-5D6E-409C-BE32-E72D297353CC}">
              <c16:uniqueId val="{00000002-EB9F-41C8-B192-DABEE7F71E4C}"/>
            </c:ext>
          </c:extLst>
        </c:ser>
        <c:ser>
          <c:idx val="3"/>
          <c:order val="3"/>
          <c:tx>
            <c:strRef>
              <c:f>[dorzecza_zrodla_presji_FIZ_rodz_7_typy_wod_osobno.xlsx]Pregoła!$H$34</c:f>
              <c:strCache>
                <c:ptCount val="1"/>
                <c:pt idx="0">
                  <c:v>presja skumulowana w jcwp - zrzuty ścieków i źródła obszarowe</c:v>
                </c:pt>
              </c:strCache>
            </c:strRef>
          </c:tx>
          <c:spPr>
            <a:solidFill>
              <a:schemeClr val="bg1">
                <a:lumMod val="50000"/>
              </a:schemeClr>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[dorzecza_zrodla_presji_FIZ_rodz_7_typy_wod_osobno.xlsx]Pregoła!$H$35</c:f>
              <c:numCache>
                <c:formatCode>General</c:formatCode>
                <c:ptCount val="1"/>
                <c:pt idx="0">
                  <c:v>0</c:v>
                </c:pt>
              </c:numCache>
            </c:numRef>
          </c:val>
          <c:extLst>
            <c:ext xmlns:c16="http://schemas.microsoft.com/office/drawing/2014/chart" uri="{C3380CC4-5D6E-409C-BE32-E72D297353CC}">
              <c16:uniqueId val="{00000003-EB9F-41C8-B192-DABEE7F71E4C}"/>
            </c:ext>
          </c:extLst>
        </c:ser>
        <c:ser>
          <c:idx val="5"/>
          <c:order val="5"/>
          <c:tx>
            <c:strRef>
              <c:f>[dorzecza_zrodla_presji_FIZ_rodz_7_typy_wod_osobno.xlsx]Pregoła!$D$34</c:f>
              <c:strCache>
                <c:ptCount val="1"/>
                <c:pt idx="0">
                  <c:v>rolnictwo i depozycja</c:v>
                </c:pt>
              </c:strCache>
            </c:strRef>
          </c:tx>
          <c:spPr>
            <a:solidFill>
              <a:srgbClr val="00B0F0"/>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[dorzecza_zrodla_presji_FIZ_rodz_7_typy_wod_osobno.xlsx]Pregoła!$D$35</c:f>
              <c:numCache>
                <c:formatCode>General</c:formatCode>
                <c:ptCount val="1"/>
                <c:pt idx="0">
                  <c:v>25</c:v>
                </c:pt>
              </c:numCache>
            </c:numRef>
          </c:val>
          <c:extLst>
            <c:ext xmlns:c16="http://schemas.microsoft.com/office/drawing/2014/chart" uri="{C3380CC4-5D6E-409C-BE32-E72D297353CC}">
              <c16:uniqueId val="{00000004-EB9F-41C8-B192-DABEE7F71E4C}"/>
            </c:ext>
          </c:extLst>
        </c:ser>
        <c:ser>
          <c:idx val="6"/>
          <c:order val="6"/>
          <c:tx>
            <c:strRef>
              <c:f>[dorzecza_zrodla_presji_FIZ_rodz_7_typy_wod_osobno.xlsx]Pregoła!$E$34</c:f>
              <c:strCache>
                <c:ptCount val="1"/>
                <c:pt idx="0">
                  <c:v>rolnictwo i depozycja oraz odpływ miejski</c:v>
                </c:pt>
              </c:strCache>
            </c:strRef>
          </c:tx>
          <c:spPr>
            <a:solidFill>
              <a:schemeClr val="accent1">
                <a:lumMod val="75000"/>
              </a:schemeClr>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[dorzecza_zrodla_presji_FIZ_rodz_7_typy_wod_osobno.xlsx]Pregoła!$E$35</c:f>
              <c:numCache>
                <c:formatCode>General</c:formatCode>
                <c:ptCount val="1"/>
                <c:pt idx="0">
                  <c:v>6</c:v>
                </c:pt>
              </c:numCache>
            </c:numRef>
          </c:val>
          <c:extLst>
            <c:ext xmlns:c16="http://schemas.microsoft.com/office/drawing/2014/chart" uri="{C3380CC4-5D6E-409C-BE32-E72D297353CC}">
              <c16:uniqueId val="{00000005-EB9F-41C8-B192-DABEE7F71E4C}"/>
            </c:ext>
          </c:extLst>
        </c:ser>
        <c:ser>
          <c:idx val="7"/>
          <c:order val="7"/>
          <c:tx>
            <c:strRef>
              <c:f>[dorzecza_zrodla_presji_FIZ_rodz_7_typy_wod_osobno.xlsx]Pregoła!$F$34</c:f>
              <c:strCache>
                <c:ptCount val="1"/>
                <c:pt idx="0">
                  <c:v>zrzuty ścieków przemysłowych i komunalnych</c:v>
                </c:pt>
              </c:strCache>
            </c:strRef>
          </c:tx>
          <c:spPr>
            <a:solidFill>
              <a:schemeClr val="bg1">
                <a:lumMod val="75000"/>
              </a:schemeClr>
            </a:solidFill>
            <a:ln>
              <a:noFill/>
            </a:ln>
            <a:effectLst/>
          </c:spPr>
          <c:invertIfNegative val="0"/>
          <c:cat>
            <c:strRef>
              <c:f>[dorzecza_zrodla_presji_FIZ_rodz_7_typy_wod_osobno.xlsx]Pregoła!$B$35</c:f>
              <c:strCache>
                <c:ptCount val="1"/>
                <c:pt idx="0">
                  <c:v>Region wodny Łyny i Węgorapy</c:v>
                </c:pt>
              </c:strCache>
            </c:strRef>
          </c:cat>
          <c:val>
            <c:numRef>
              <c:f>[dorzecza_zrodla_presji_FIZ_rodz_7_typy_wod_osobno.xlsx]Pregoła!$F$35</c:f>
              <c:numCache>
                <c:formatCode>General</c:formatCode>
                <c:ptCount val="1"/>
                <c:pt idx="0">
                  <c:v>0</c:v>
                </c:pt>
              </c:numCache>
            </c:numRef>
          </c:val>
          <c:extLst>
            <c:ext xmlns:c16="http://schemas.microsoft.com/office/drawing/2014/chart" uri="{C3380CC4-5D6E-409C-BE32-E72D297353CC}">
              <c16:uniqueId val="{00000006-EB9F-41C8-B192-DABEE7F71E4C}"/>
            </c:ext>
          </c:extLst>
        </c:ser>
        <c:dLbls>
          <c:showLegendKey val="0"/>
          <c:showVal val="0"/>
          <c:showCatName val="0"/>
          <c:showSerName val="0"/>
          <c:showPercent val="0"/>
          <c:showBubbleSize val="0"/>
        </c:dLbls>
        <c:gapWidth val="500"/>
        <c:overlap val="100"/>
        <c:axId val="502225296"/>
        <c:axId val="502227592"/>
        <c:extLst>
          <c:ext xmlns:c15="http://schemas.microsoft.com/office/drawing/2012/chart" uri="{02D57815-91ED-43cb-92C2-25804820EDAC}">
            <c15:filteredBarSeries>
              <c15:ser>
                <c:idx val="4"/>
                <c:order val="4"/>
                <c:tx>
                  <c:strRef>
                    <c:extLst>
                      <c:ext uri="{02D57815-91ED-43cb-92C2-25804820EDAC}">
                        <c15:formulaRef>
                          <c15:sqref>'ODRA-1'!#REF!</c15:sqref>
                        </c15:formulaRef>
                      </c:ext>
                    </c:extLst>
                    <c:strCache>
                      <c:ptCount val="1"/>
                      <c:pt idx="0">
                        <c:v>#REF!</c:v>
                      </c:pt>
                    </c:strCache>
                  </c:strRef>
                </c:tx>
                <c:spPr>
                  <a:solidFill>
                    <a:schemeClr val="accent5"/>
                  </a:solidFill>
                  <a:ln>
                    <a:noFill/>
                  </a:ln>
                  <a:effectLst/>
                </c:spPr>
                <c:invertIfNegative val="0"/>
                <c:cat>
                  <c:strRef>
                    <c:extLst>
                      <c:ext uri="{02D57815-91ED-43cb-92C2-25804820EDAC}">
                        <c15:formulaRef>
                          <c15:sqref>[dorzecza_zrodla_presji_FIZ_rodz_7_typy_wod_osobno.xlsx]Pregoła!$B$35</c15:sqref>
                        </c15:formulaRef>
                      </c:ext>
                    </c:extLst>
                    <c:strCache>
                      <c:ptCount val="1"/>
                      <c:pt idx="0">
                        <c:v>Region wodny Łyny i Węgorapy</c:v>
                      </c:pt>
                    </c:strCache>
                  </c:strRef>
                </c:cat>
                <c:val>
                  <c:numRef>
                    <c:extLst>
                      <c:ext uri="{02D57815-91ED-43cb-92C2-25804820EDAC}">
                        <c15:formulaRef>
                          <c15:sqref>'ODRA-1'!#REF!</c15:sqref>
                        </c15:formulaRef>
                      </c:ext>
                    </c:extLst>
                    <c:numCache>
                      <c:formatCode>General</c:formatCode>
                      <c:ptCount val="1"/>
                      <c:pt idx="0">
                        <c:v>1</c:v>
                      </c:pt>
                    </c:numCache>
                  </c:numRef>
                </c:val>
                <c:extLst>
                  <c:ext xmlns:c16="http://schemas.microsoft.com/office/drawing/2014/chart" uri="{C3380CC4-5D6E-409C-BE32-E72D297353CC}">
                    <c16:uniqueId val="{00000007-EB9F-41C8-B192-DABEE7F71E4C}"/>
                  </c:ext>
                </c:extLst>
              </c15:ser>
            </c15:filteredBarSeries>
          </c:ext>
        </c:extLst>
      </c:barChart>
      <c:catAx>
        <c:axId val="50222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502227592"/>
        <c:crosses val="autoZero"/>
        <c:auto val="1"/>
        <c:lblAlgn val="ctr"/>
        <c:lblOffset val="100"/>
        <c:noMultiLvlLbl val="0"/>
      </c:catAx>
      <c:valAx>
        <c:axId val="502227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225296"/>
        <c:crosses val="autoZero"/>
        <c:crossBetween val="between"/>
        <c:majorUnit val="0.1"/>
      </c:valAx>
      <c:spPr>
        <a:noFill/>
        <a:ln>
          <a:noFill/>
        </a:ln>
        <a:effectLst/>
      </c:spPr>
    </c:plotArea>
    <c:legend>
      <c:legendPos val="b"/>
      <c:layout>
        <c:manualLayout>
          <c:xMode val="edge"/>
          <c:yMode val="edge"/>
          <c:x val="0"/>
          <c:y val="0.72968137523509702"/>
          <c:w val="0.95698662667166601"/>
          <c:h val="0.239389340356074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LW!$D$4</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Pt>
            <c:idx val="8"/>
            <c:invertIfNegative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F7E-46E5-82A1-094A908A03E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LW!$D$18</c:f>
              <c:numCache>
                <c:formatCode>0%</c:formatCode>
                <c:ptCount val="1"/>
                <c:pt idx="0">
                  <c:v>0.13333333333333333</c:v>
                </c:pt>
              </c:numCache>
            </c:numRef>
          </c:val>
          <c:extLst>
            <c:ext xmlns:c16="http://schemas.microsoft.com/office/drawing/2014/chart" uri="{C3380CC4-5D6E-409C-BE32-E72D297353CC}">
              <c16:uniqueId val="{00000002-1F7E-46E5-82A1-094A908A03EF}"/>
            </c:ext>
          </c:extLst>
        </c:ser>
        <c:ser>
          <c:idx val="1"/>
          <c:order val="1"/>
          <c:tx>
            <c:strRef>
              <c:f>LW!$E$4</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LW!$E$18</c:f>
              <c:numCache>
                <c:formatCode>0%</c:formatCode>
                <c:ptCount val="1"/>
                <c:pt idx="0">
                  <c:v>0.47619047619047616</c:v>
                </c:pt>
              </c:numCache>
            </c:numRef>
          </c:val>
          <c:extLst>
            <c:ext xmlns:c16="http://schemas.microsoft.com/office/drawing/2014/chart" uri="{C3380CC4-5D6E-409C-BE32-E72D297353CC}">
              <c16:uniqueId val="{00000003-1F7E-46E5-82A1-094A908A03EF}"/>
            </c:ext>
          </c:extLst>
        </c:ser>
        <c:ser>
          <c:idx val="2"/>
          <c:order val="2"/>
          <c:tx>
            <c:strRef>
              <c:f>LW!$F$4</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LW!$F$18</c:f>
              <c:numCache>
                <c:formatCode>0%</c:formatCode>
                <c:ptCount val="1"/>
                <c:pt idx="0">
                  <c:v>0.3619047619047619</c:v>
                </c:pt>
              </c:numCache>
            </c:numRef>
          </c:val>
          <c:extLst>
            <c:ext xmlns:c16="http://schemas.microsoft.com/office/drawing/2014/chart" uri="{C3380CC4-5D6E-409C-BE32-E72D297353CC}">
              <c16:uniqueId val="{00000004-1F7E-46E5-82A1-094A908A03EF}"/>
            </c:ext>
          </c:extLst>
        </c:ser>
        <c:ser>
          <c:idx val="3"/>
          <c:order val="3"/>
          <c:tx>
            <c:strRef>
              <c:f>LW!$G$4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LW!$G$18</c:f>
              <c:numCache>
                <c:formatCode>0%</c:formatCode>
                <c:ptCount val="1"/>
                <c:pt idx="0">
                  <c:v>0.49523809523809526</c:v>
                </c:pt>
              </c:numCache>
            </c:numRef>
          </c:val>
          <c:extLst>
            <c:ext xmlns:c16="http://schemas.microsoft.com/office/drawing/2014/chart" uri="{C3380CC4-5D6E-409C-BE32-E72D297353CC}">
              <c16:uniqueId val="{00000005-1F7E-46E5-82A1-094A908A03EF}"/>
            </c:ext>
          </c:extLst>
        </c:ser>
        <c:ser>
          <c:idx val="4"/>
          <c:order val="4"/>
          <c:tx>
            <c:strRef>
              <c:f>LW!$H$4</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LW!$H$18</c:f>
              <c:numCache>
                <c:formatCode>0%</c:formatCode>
                <c:ptCount val="1"/>
                <c:pt idx="0">
                  <c:v>0.22857142857142856</c:v>
                </c:pt>
              </c:numCache>
            </c:numRef>
          </c:val>
          <c:extLst>
            <c:ext xmlns:c16="http://schemas.microsoft.com/office/drawing/2014/chart" uri="{C3380CC4-5D6E-409C-BE32-E72D297353CC}">
              <c16:uniqueId val="{00000006-1F7E-46E5-82A1-094A908A03EF}"/>
            </c:ext>
          </c:extLst>
        </c:ser>
        <c:ser>
          <c:idx val="5"/>
          <c:order val="5"/>
          <c:tx>
            <c:strRef>
              <c:f>LW!$I$4</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LW!$I$18</c:f>
              <c:numCache>
                <c:formatCode>0%</c:formatCode>
                <c:ptCount val="1"/>
                <c:pt idx="0">
                  <c:v>0.15238095238095239</c:v>
                </c:pt>
              </c:numCache>
            </c:numRef>
          </c:val>
          <c:extLst>
            <c:ext xmlns:c16="http://schemas.microsoft.com/office/drawing/2014/chart" uri="{C3380CC4-5D6E-409C-BE32-E72D297353CC}">
              <c16:uniqueId val="{00000007-1F7E-46E5-82A1-094A908A03EF}"/>
            </c:ext>
          </c:extLst>
        </c:ser>
        <c:ser>
          <c:idx val="6"/>
          <c:order val="6"/>
          <c:tx>
            <c:strRef>
              <c:f>LW!$J$4</c:f>
              <c:strCache>
                <c:ptCount val="1"/>
                <c:pt idx="0">
                  <c:v>OCH - presja na obszary chronione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LW!$J$18</c:f>
              <c:numCache>
                <c:formatCode>0%</c:formatCode>
                <c:ptCount val="1"/>
                <c:pt idx="0">
                  <c:v>0.46666666666666667</c:v>
                </c:pt>
              </c:numCache>
            </c:numRef>
          </c:val>
          <c:extLst>
            <c:ext xmlns:c16="http://schemas.microsoft.com/office/drawing/2014/chart" uri="{C3380CC4-5D6E-409C-BE32-E72D297353CC}">
              <c16:uniqueId val="{00000008-1F7E-46E5-82A1-094A908A03EF}"/>
            </c:ext>
          </c:extLst>
        </c:ser>
        <c:dLbls>
          <c:showLegendKey val="0"/>
          <c:showVal val="0"/>
          <c:showCatName val="0"/>
          <c:showSerName val="0"/>
          <c:showPercent val="0"/>
          <c:showBubbleSize val="0"/>
        </c:dLbls>
        <c:gapWidth val="100"/>
        <c:axId val="1308142968"/>
        <c:axId val="1308148216"/>
      </c:barChart>
      <c:catAx>
        <c:axId val="1308142968"/>
        <c:scaling>
          <c:orientation val="minMax"/>
        </c:scaling>
        <c:delete val="1"/>
        <c:axPos val="b"/>
        <c:majorTickMark val="out"/>
        <c:minorTickMark val="none"/>
        <c:tickLblPos val="nextTo"/>
        <c:crossAx val="1308148216"/>
        <c:crosses val="autoZero"/>
        <c:auto val="1"/>
        <c:lblAlgn val="ctr"/>
        <c:lblOffset val="100"/>
        <c:noMultiLvlLbl val="0"/>
      </c:catAx>
      <c:valAx>
        <c:axId val="130814821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08142968"/>
        <c:crosses val="autoZero"/>
        <c:crossBetween val="between"/>
      </c:valAx>
      <c:spPr>
        <a:noFill/>
        <a:ln>
          <a:noFill/>
        </a:ln>
        <a:effectLst/>
      </c:spPr>
    </c:plotArea>
    <c:legend>
      <c:legendPos val="r"/>
      <c:layout>
        <c:manualLayout>
          <c:xMode val="edge"/>
          <c:yMode val="edge"/>
          <c:x val="0.64107084511866219"/>
          <c:y val="0.10327454455646917"/>
          <c:w val="0.33938109081281975"/>
          <c:h val="0.81515621869853183"/>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solidFill>
              <a:srgbClr val="C00000"/>
            </a:solidFill>
          </c:spPr>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3AF-4A35-9746-124C1D29D6FE}"/>
              </c:ext>
            </c:extLst>
          </c:dPt>
          <c:dPt>
            <c:idx val="1"/>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3AF-4A35-9746-124C1D29D6F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LW!$P$2:$Q$2</c:f>
              <c:strCache>
                <c:ptCount val="2"/>
                <c:pt idx="0">
                  <c:v>jcwp niezagrożone nieosiągnięciem celów środowiskowych</c:v>
                </c:pt>
                <c:pt idx="1">
                  <c:v>jcwp zagrożone nieosiągnięciem celów środowiskowych</c:v>
                </c:pt>
              </c:strCache>
            </c:strRef>
          </c:cat>
          <c:val>
            <c:numRef>
              <c:f>LW!$P$17:$Q$17</c:f>
              <c:numCache>
                <c:formatCode>0%</c:formatCode>
                <c:ptCount val="2"/>
                <c:pt idx="0">
                  <c:v>0.52</c:v>
                </c:pt>
                <c:pt idx="1">
                  <c:v>0.48</c:v>
                </c:pt>
              </c:numCache>
            </c:numRef>
          </c:val>
          <c:extLst>
            <c:ext xmlns:c16="http://schemas.microsoft.com/office/drawing/2014/chart" uri="{C3380CC4-5D6E-409C-BE32-E72D297353CC}">
              <c16:uniqueId val="{00000004-33AF-4A35-9746-124C1D29D6F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0.12485611595847811"/>
                  <c:y val="-0.15706620005832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14-4F1E-A016-44A8504DC252}"/>
                </c:ext>
              </c:extLst>
            </c:dLbl>
            <c:dLbl>
              <c:idx val="1"/>
              <c:layout>
                <c:manualLayout>
                  <c:x val="8.0365276921029974E-2"/>
                  <c:y val="0.171190215806357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14-4F1E-A016-44A8504DC252}"/>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skladowiska_02!$F$19:$F$20</c:f>
              <c:strCache>
                <c:ptCount val="2"/>
                <c:pt idx="0">
                  <c:v>komunalne</c:v>
                </c:pt>
                <c:pt idx="1">
                  <c:v>przemysłowe</c:v>
                </c:pt>
              </c:strCache>
            </c:strRef>
          </c:cat>
          <c:val>
            <c:numRef>
              <c:f>skladowiska_02!$G$19:$G$20</c:f>
              <c:numCache>
                <c:formatCode>0%</c:formatCode>
                <c:ptCount val="2"/>
                <c:pt idx="0">
                  <c:v>0.8571428571428571</c:v>
                </c:pt>
                <c:pt idx="1">
                  <c:v>0.14285714285714285</c:v>
                </c:pt>
              </c:numCache>
            </c:numRef>
          </c:val>
          <c:extLst>
            <c:ext xmlns:c16="http://schemas.microsoft.com/office/drawing/2014/chart" uri="{C3380CC4-5D6E-409C-BE32-E72D297353CC}">
              <c16:uniqueId val="{00000002-E314-4F1E-A016-44A8504DC252}"/>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w="3175">
      <a:solidFill>
        <a:schemeClr val="bg1">
          <a:lumMod val="50000"/>
        </a:schemeClr>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aseline="0"/>
              <a:t>Ocena osiągnięcia celów środowiskowych wyznaczonych </a:t>
            </a:r>
            <a:br>
              <a:rPr lang="pl-PL" sz="1000" baseline="0"/>
            </a:br>
            <a:r>
              <a:rPr lang="pl-PL" sz="1000" baseline="0"/>
              <a:t>w aPGW dla stanu/potencjału ekologicznego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'[2apgw_cele_srodowiskowe_rzeki_rozdz_8.xlsx]Pregoła'!$U$34</c:f>
              <c:strCache>
                <c:ptCount val="1"/>
                <c:pt idx="0">
                  <c:v>brak oceny</c:v>
                </c:pt>
              </c:strCache>
            </c:strRef>
          </c:tx>
          <c:spPr>
            <a:solidFill>
              <a:schemeClr val="bg1">
                <a:lumMod val="50000"/>
              </a:schemeClr>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'[2apgw_cele_srodowiskowe_rzeki_rozdz_8.xlsx]Pregoła'!$U$35</c:f>
              <c:numCache>
                <c:formatCode>0.00%</c:formatCode>
                <c:ptCount val="1"/>
                <c:pt idx="0">
                  <c:v>8.5365853658536592E-2</c:v>
                </c:pt>
              </c:numCache>
            </c:numRef>
          </c:val>
          <c:extLst>
            <c:ext xmlns:c16="http://schemas.microsoft.com/office/drawing/2014/chart" uri="{C3380CC4-5D6E-409C-BE32-E72D297353CC}">
              <c16:uniqueId val="{00000000-CEF9-4E01-ADC9-13CB6F378490}"/>
            </c:ext>
          </c:extLst>
        </c:ser>
        <c:ser>
          <c:idx val="1"/>
          <c:order val="1"/>
          <c:tx>
            <c:strRef>
              <c:f>'[2apgw_cele_srodowiskowe_rzeki_rozdz_8.xlsx]Pregoła'!$V$34</c:f>
              <c:strCache>
                <c:ptCount val="1"/>
                <c:pt idx="0">
                  <c:v>NIE</c:v>
                </c:pt>
              </c:strCache>
            </c:strRef>
          </c:tx>
          <c:spPr>
            <a:solidFill>
              <a:srgbClr val="FF000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'[2apgw_cele_srodowiskowe_rzeki_rozdz_8.xlsx]Pregoła'!$V$35</c:f>
              <c:numCache>
                <c:formatCode>0.00%</c:formatCode>
                <c:ptCount val="1"/>
                <c:pt idx="0">
                  <c:v>0.43902439024390244</c:v>
                </c:pt>
              </c:numCache>
            </c:numRef>
          </c:val>
          <c:extLst>
            <c:ext xmlns:c16="http://schemas.microsoft.com/office/drawing/2014/chart" uri="{C3380CC4-5D6E-409C-BE32-E72D297353CC}">
              <c16:uniqueId val="{00000001-CEF9-4E01-ADC9-13CB6F378490}"/>
            </c:ext>
          </c:extLst>
        </c:ser>
        <c:ser>
          <c:idx val="2"/>
          <c:order val="2"/>
          <c:tx>
            <c:strRef>
              <c:f>'[2apgw_cele_srodowiskowe_rzeki_rozdz_8.xlsx]Pregoła'!$W$34</c:f>
              <c:strCache>
                <c:ptCount val="1"/>
                <c:pt idx="0">
                  <c:v>TAK</c:v>
                </c:pt>
              </c:strCache>
            </c:strRef>
          </c:tx>
          <c:spPr>
            <a:solidFill>
              <a:srgbClr val="00B0F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'[2apgw_cele_srodowiskowe_rzeki_rozdz_8.xlsx]Pregoła'!$W$35</c:f>
              <c:numCache>
                <c:formatCode>0.00%</c:formatCode>
                <c:ptCount val="1"/>
                <c:pt idx="0">
                  <c:v>1.2195121951219513E-2</c:v>
                </c:pt>
              </c:numCache>
            </c:numRef>
          </c:val>
          <c:extLst>
            <c:ext xmlns:c16="http://schemas.microsoft.com/office/drawing/2014/chart" uri="{C3380CC4-5D6E-409C-BE32-E72D297353CC}">
              <c16:uniqueId val="{00000002-CEF9-4E01-ADC9-13CB6F378490}"/>
            </c:ext>
          </c:extLst>
        </c:ser>
        <c:ser>
          <c:idx val="3"/>
          <c:order val="3"/>
          <c:tx>
            <c:strRef>
              <c:f>'[2apgw_cele_srodowiskowe_rzeki_rozdz_8.xlsx]Pregoła'!$X$34</c:f>
              <c:strCache>
                <c:ptCount val="1"/>
                <c:pt idx="0">
                  <c:v>brak oceny - cel nie został wyznaczony</c:v>
                </c:pt>
              </c:strCache>
            </c:strRef>
          </c:tx>
          <c:spPr>
            <a:solidFill>
              <a:schemeClr val="bg1">
                <a:lumMod val="75000"/>
              </a:schemeClr>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'[2apgw_cele_srodowiskowe_rzeki_rozdz_8.xlsx]Pregoła'!$X$35</c:f>
              <c:numCache>
                <c:formatCode>0.00%</c:formatCode>
                <c:ptCount val="1"/>
                <c:pt idx="0">
                  <c:v>0.46341463414634149</c:v>
                </c:pt>
              </c:numCache>
            </c:numRef>
          </c:val>
          <c:extLst>
            <c:ext xmlns:c16="http://schemas.microsoft.com/office/drawing/2014/chart" uri="{C3380CC4-5D6E-409C-BE32-E72D297353CC}">
              <c16:uniqueId val="{00000003-CEF9-4E01-ADC9-13CB6F378490}"/>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aseline="0"/>
              <a:t>Ocena osiągnięcia celów środowiskowych wyznaczonych </a:t>
            </a:r>
            <a:br>
              <a:rPr lang="pl-PL" sz="1000" baseline="0"/>
            </a:br>
            <a:r>
              <a:rPr lang="pl-PL" sz="1000" baseline="0"/>
              <a:t>w aPGW dla stanu chemicznego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'[2apgw_cele_srodowiskowe_rzeki_rozdz_8.xlsx]Pregoła'!$AH$34</c:f>
              <c:strCache>
                <c:ptCount val="1"/>
                <c:pt idx="0">
                  <c:v>brak oceny</c:v>
                </c:pt>
              </c:strCache>
            </c:strRef>
          </c:tx>
          <c:spPr>
            <a:solidFill>
              <a:schemeClr val="bg1">
                <a:lumMod val="50000"/>
              </a:schemeClr>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'[2apgw_cele_srodowiskowe_rzeki_rozdz_8.xlsx]Pregoła'!$AH$36</c:f>
              <c:numCache>
                <c:formatCode>0.00%</c:formatCode>
                <c:ptCount val="1"/>
                <c:pt idx="0">
                  <c:v>0.2073170731707317</c:v>
                </c:pt>
              </c:numCache>
            </c:numRef>
          </c:val>
          <c:extLst>
            <c:ext xmlns:c16="http://schemas.microsoft.com/office/drawing/2014/chart" uri="{C3380CC4-5D6E-409C-BE32-E72D297353CC}">
              <c16:uniqueId val="{00000000-72CB-4735-9A19-BAF15C580063}"/>
            </c:ext>
          </c:extLst>
        </c:ser>
        <c:ser>
          <c:idx val="1"/>
          <c:order val="1"/>
          <c:tx>
            <c:strRef>
              <c:f>'[2apgw_cele_srodowiskowe_rzeki_rozdz_8.xlsx]Pregoła'!$AI$34</c:f>
              <c:strCache>
                <c:ptCount val="1"/>
                <c:pt idx="0">
                  <c:v>brak oceny - cel nie został wyznaczony</c:v>
                </c:pt>
              </c:strCache>
            </c:strRef>
          </c:tx>
          <c:spPr>
            <a:solidFill>
              <a:schemeClr val="bg1">
                <a:lumMod val="75000"/>
              </a:schemeClr>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'[2apgw_cele_srodowiskowe_rzeki_rozdz_8.xlsx]Pregoła'!$AI$36</c:f>
              <c:numCache>
                <c:formatCode>0.00%</c:formatCode>
                <c:ptCount val="1"/>
                <c:pt idx="0">
                  <c:v>0.46341463414634149</c:v>
                </c:pt>
              </c:numCache>
            </c:numRef>
          </c:val>
          <c:extLst>
            <c:ext xmlns:c16="http://schemas.microsoft.com/office/drawing/2014/chart" uri="{C3380CC4-5D6E-409C-BE32-E72D297353CC}">
              <c16:uniqueId val="{00000001-72CB-4735-9A19-BAF15C580063}"/>
            </c:ext>
          </c:extLst>
        </c:ser>
        <c:ser>
          <c:idx val="2"/>
          <c:order val="2"/>
          <c:tx>
            <c:strRef>
              <c:f>'[2apgw_cele_srodowiskowe_rzeki_rozdz_8.xlsx]Pregoła'!$AJ$34</c:f>
              <c:strCache>
                <c:ptCount val="1"/>
                <c:pt idx="0">
                  <c:v>NIE</c:v>
                </c:pt>
              </c:strCache>
            </c:strRef>
          </c:tx>
          <c:spPr>
            <a:solidFill>
              <a:srgbClr val="FF000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'[2apgw_cele_srodowiskowe_rzeki_rozdz_8.xlsx]Pregoła'!$AJ$36</c:f>
              <c:numCache>
                <c:formatCode>0.00%</c:formatCode>
                <c:ptCount val="1"/>
                <c:pt idx="0">
                  <c:v>0.29268292682926828</c:v>
                </c:pt>
              </c:numCache>
            </c:numRef>
          </c:val>
          <c:extLst>
            <c:ext xmlns:c16="http://schemas.microsoft.com/office/drawing/2014/chart" uri="{C3380CC4-5D6E-409C-BE32-E72D297353CC}">
              <c16:uniqueId val="{00000002-72CB-4735-9A19-BAF15C580063}"/>
            </c:ext>
          </c:extLst>
        </c:ser>
        <c:ser>
          <c:idx val="3"/>
          <c:order val="3"/>
          <c:tx>
            <c:strRef>
              <c:f>'[2apgw_cele_srodowiskowe_rzeki_rozdz_8.xlsx]Pregoła'!$AK$34</c:f>
              <c:strCache>
                <c:ptCount val="1"/>
                <c:pt idx="0">
                  <c:v>TAK</c:v>
                </c:pt>
              </c:strCache>
            </c:strRef>
          </c:tx>
          <c:spPr>
            <a:solidFill>
              <a:srgbClr val="00B0F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'[2apgw_cele_srodowiskowe_rzeki_rozdz_8.xlsx]Pregoła'!$AK$36</c:f>
              <c:numCache>
                <c:formatCode>0.00%</c:formatCode>
                <c:ptCount val="1"/>
                <c:pt idx="0">
                  <c:v>3.6585365853658534E-2</c:v>
                </c:pt>
              </c:numCache>
            </c:numRef>
          </c:val>
          <c:extLst>
            <c:ext xmlns:c16="http://schemas.microsoft.com/office/drawing/2014/chart" uri="{C3380CC4-5D6E-409C-BE32-E72D297353CC}">
              <c16:uniqueId val="{00000003-72CB-4735-9A19-BAF15C580063}"/>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aseline="0"/>
              <a:t>Ocena osiągnięcia celów środowiskowych wyznaczonych</a:t>
            </a:r>
            <a:br>
              <a:rPr lang="pl-PL" sz="1000" baseline="0"/>
            </a:br>
            <a:r>
              <a:rPr lang="pl-PL" sz="1000" baseline="0"/>
              <a:t>w aPGW dla stanu ogólnego wód</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'[2apgw_cele_srodowiskowe_rzeki_rozdz_8.xlsx]Pregoła'!$AO$34</c:f>
              <c:strCache>
                <c:ptCount val="1"/>
                <c:pt idx="0">
                  <c:v>brak możliwości oceny</c:v>
                </c:pt>
              </c:strCache>
            </c:strRef>
          </c:tx>
          <c:spPr>
            <a:solidFill>
              <a:schemeClr val="bg1">
                <a:lumMod val="50000"/>
              </a:schemeClr>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'[2apgw_cele_srodowiskowe_rzeki_rozdz_8.xlsx]Pregoła'!$AO$35</c:f>
              <c:numCache>
                <c:formatCode>0.00%</c:formatCode>
                <c:ptCount val="1"/>
                <c:pt idx="0">
                  <c:v>0.51219512195121952</c:v>
                </c:pt>
              </c:numCache>
            </c:numRef>
          </c:val>
          <c:extLst>
            <c:ext xmlns:c16="http://schemas.microsoft.com/office/drawing/2014/chart" uri="{C3380CC4-5D6E-409C-BE32-E72D297353CC}">
              <c16:uniqueId val="{00000000-5A82-4B5E-95A4-66C56912136C}"/>
            </c:ext>
          </c:extLst>
        </c:ser>
        <c:ser>
          <c:idx val="1"/>
          <c:order val="1"/>
          <c:tx>
            <c:strRef>
              <c:f>'[2apgw_cele_srodowiskowe_rzeki_rozdz_8.xlsx]Pregoła'!$AP$34</c:f>
              <c:strCache>
                <c:ptCount val="1"/>
                <c:pt idx="0">
                  <c:v>NIE</c:v>
                </c:pt>
              </c:strCache>
            </c:strRef>
          </c:tx>
          <c:spPr>
            <a:solidFill>
              <a:srgbClr val="FF000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'[2apgw_cele_srodowiskowe_rzeki_rozdz_8.xlsx]Pregoła'!$AP$35</c:f>
              <c:numCache>
                <c:formatCode>0.00%</c:formatCode>
                <c:ptCount val="1"/>
                <c:pt idx="0">
                  <c:v>0.48780487804878048</c:v>
                </c:pt>
              </c:numCache>
            </c:numRef>
          </c:val>
          <c:extLst>
            <c:ext xmlns:c16="http://schemas.microsoft.com/office/drawing/2014/chart" uri="{C3380CC4-5D6E-409C-BE32-E72D297353CC}">
              <c16:uniqueId val="{00000001-5A82-4B5E-95A4-66C56912136C}"/>
            </c:ext>
          </c:extLst>
        </c:ser>
        <c:ser>
          <c:idx val="2"/>
          <c:order val="2"/>
          <c:tx>
            <c:strRef>
              <c:f>'[2apgw_cele_srodowiskowe_rzeki_rozdz_8.xlsx]Pregoła'!$AQ$34</c:f>
              <c:strCache>
                <c:ptCount val="1"/>
                <c:pt idx="0">
                  <c:v>TAK</c:v>
                </c:pt>
              </c:strCache>
            </c:strRef>
          </c:tx>
          <c:spPr>
            <a:solidFill>
              <a:srgbClr val="00B0F0"/>
            </a:solidFill>
            <a:ln>
              <a:noFill/>
            </a:ln>
            <a:effectLst/>
          </c:spPr>
          <c:invertIfNegative val="0"/>
          <c:cat>
            <c:strRef>
              <c:f>'[2apgw_cele_srodowiskowe_rzeki_rozdz_8.xlsx]Pregoła'!$T$35</c:f>
              <c:strCache>
                <c:ptCount val="1"/>
                <c:pt idx="0">
                  <c:v>Region wodny Łyny i Węgorapy</c:v>
                </c:pt>
              </c:strCache>
            </c:strRef>
          </c:cat>
          <c:val>
            <c:numRef>
              <c:f>'[2apgw_cele_srodowiskowe_rzeki_rozdz_8.xlsx]Pregoła'!$AQ$35</c:f>
              <c:numCache>
                <c:formatCode>0.00%</c:formatCode>
                <c:ptCount val="1"/>
              </c:numCache>
            </c:numRef>
          </c:val>
          <c:extLst>
            <c:ext xmlns:c16="http://schemas.microsoft.com/office/drawing/2014/chart" uri="{C3380CC4-5D6E-409C-BE32-E72D297353CC}">
              <c16:uniqueId val="{00000002-5A82-4B5E-95A4-66C56912136C}"/>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0" i="0" baseline="0">
                <a:effectLst/>
              </a:rPr>
              <a:t>Ocena osiągnięcia celów środowiskowych wyznaczonych</a:t>
            </a:r>
            <a:br>
              <a:rPr lang="pl-PL" sz="1000" b="0" i="0" baseline="0">
                <a:effectLst/>
              </a:rPr>
            </a:br>
            <a:r>
              <a:rPr lang="pl-PL" sz="1000" b="0" i="0" baseline="0">
                <a:effectLst/>
              </a:rPr>
              <a:t>w  aPGW dla stanu/potencjału ekologicznego</a:t>
            </a:r>
          </a:p>
        </c:rich>
      </c:tx>
      <c:layout>
        <c:manualLayout>
          <c:xMode val="edge"/>
          <c:yMode val="edge"/>
          <c:x val="0.22689160169475131"/>
          <c:y val="3.336409871842942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Pregoła!$M$2</c:f>
              <c:strCache>
                <c:ptCount val="1"/>
                <c:pt idx="0">
                  <c:v>brak oceny</c:v>
                </c:pt>
              </c:strCache>
            </c:strRef>
          </c:tx>
          <c:spPr>
            <a:solidFill>
              <a:schemeClr val="tx1">
                <a:lumMod val="65000"/>
                <a:lumOff val="35000"/>
              </a:schemeClr>
            </a:solidFill>
            <a:ln>
              <a:noFill/>
            </a:ln>
            <a:effectLst/>
          </c:spPr>
          <c:invertIfNegative val="0"/>
          <c:cat>
            <c:strRef>
              <c:f>Pregoła!$N$1</c:f>
              <c:strCache>
                <c:ptCount val="1"/>
                <c:pt idx="0">
                  <c:v>Region wodny Łyny i Węgorapy</c:v>
                </c:pt>
              </c:strCache>
            </c:strRef>
          </c:cat>
          <c:val>
            <c:numRef>
              <c:f>Pregoła!$O$2</c:f>
              <c:numCache>
                <c:formatCode>0.00%</c:formatCode>
                <c:ptCount val="1"/>
                <c:pt idx="0">
                  <c:v>0.13333333333333333</c:v>
                </c:pt>
              </c:numCache>
            </c:numRef>
          </c:val>
          <c:extLst>
            <c:ext xmlns:c16="http://schemas.microsoft.com/office/drawing/2014/chart" uri="{C3380CC4-5D6E-409C-BE32-E72D297353CC}">
              <c16:uniqueId val="{00000000-E3E1-48D6-930A-E8FF81074E71}"/>
            </c:ext>
          </c:extLst>
        </c:ser>
        <c:ser>
          <c:idx val="1"/>
          <c:order val="1"/>
          <c:tx>
            <c:strRef>
              <c:f>Pregoła!$M$3</c:f>
              <c:strCache>
                <c:ptCount val="1"/>
                <c:pt idx="0">
                  <c:v>NIE</c:v>
                </c:pt>
              </c:strCache>
            </c:strRef>
          </c:tx>
          <c:spPr>
            <a:solidFill>
              <a:srgbClr val="FF0000"/>
            </a:solidFill>
            <a:ln>
              <a:noFill/>
            </a:ln>
            <a:effectLst/>
          </c:spPr>
          <c:invertIfNegative val="0"/>
          <c:cat>
            <c:strRef>
              <c:f>Pregoła!$N$1</c:f>
              <c:strCache>
                <c:ptCount val="1"/>
                <c:pt idx="0">
                  <c:v>Region wodny Łyny i Węgorapy</c:v>
                </c:pt>
              </c:strCache>
            </c:strRef>
          </c:cat>
          <c:val>
            <c:numRef>
              <c:f>Pregoła!$O$3</c:f>
              <c:numCache>
                <c:formatCode>0.00%</c:formatCode>
                <c:ptCount val="1"/>
                <c:pt idx="0">
                  <c:v>0.64761904761904765</c:v>
                </c:pt>
              </c:numCache>
            </c:numRef>
          </c:val>
          <c:extLst>
            <c:ext xmlns:c16="http://schemas.microsoft.com/office/drawing/2014/chart" uri="{C3380CC4-5D6E-409C-BE32-E72D297353CC}">
              <c16:uniqueId val="{00000001-E3E1-48D6-930A-E8FF81074E71}"/>
            </c:ext>
          </c:extLst>
        </c:ser>
        <c:ser>
          <c:idx val="2"/>
          <c:order val="2"/>
          <c:tx>
            <c:strRef>
              <c:f>Pregoła!$M$4</c:f>
              <c:strCache>
                <c:ptCount val="1"/>
                <c:pt idx="0">
                  <c:v>TAK</c:v>
                </c:pt>
              </c:strCache>
            </c:strRef>
          </c:tx>
          <c:spPr>
            <a:solidFill>
              <a:srgbClr val="00B0F0"/>
            </a:solidFill>
            <a:ln>
              <a:noFill/>
            </a:ln>
            <a:effectLst/>
          </c:spPr>
          <c:invertIfNegative val="0"/>
          <c:cat>
            <c:strRef>
              <c:f>Pregoła!$N$1</c:f>
              <c:strCache>
                <c:ptCount val="1"/>
                <c:pt idx="0">
                  <c:v>Region wodny Łyny i Węgorapy</c:v>
                </c:pt>
              </c:strCache>
            </c:strRef>
          </c:cat>
          <c:val>
            <c:numRef>
              <c:f>Pregoła!$O$4</c:f>
              <c:numCache>
                <c:formatCode>0.00%</c:formatCode>
                <c:ptCount val="1"/>
                <c:pt idx="0">
                  <c:v>0.16190476190476191</c:v>
                </c:pt>
              </c:numCache>
            </c:numRef>
          </c:val>
          <c:extLst>
            <c:ext xmlns:c16="http://schemas.microsoft.com/office/drawing/2014/chart" uri="{C3380CC4-5D6E-409C-BE32-E72D297353CC}">
              <c16:uniqueId val="{00000002-E3E1-48D6-930A-E8FF81074E71}"/>
            </c:ext>
          </c:extLst>
        </c:ser>
        <c:ser>
          <c:idx val="3"/>
          <c:order val="3"/>
          <c:tx>
            <c:strRef>
              <c:f>Pregoła!$M$5</c:f>
              <c:strCache>
                <c:ptCount val="1"/>
                <c:pt idx="0">
                  <c:v>brak oceny - cel nie został określony</c:v>
                </c:pt>
              </c:strCache>
            </c:strRef>
          </c:tx>
          <c:spPr>
            <a:solidFill>
              <a:schemeClr val="bg1">
                <a:lumMod val="75000"/>
              </a:schemeClr>
            </a:solidFill>
            <a:ln>
              <a:noFill/>
            </a:ln>
            <a:effectLst/>
          </c:spPr>
          <c:invertIfNegative val="0"/>
          <c:cat>
            <c:strRef>
              <c:f>Pregoła!$N$1</c:f>
              <c:strCache>
                <c:ptCount val="1"/>
                <c:pt idx="0">
                  <c:v>Region wodny Łyny i Węgorapy</c:v>
                </c:pt>
              </c:strCache>
            </c:strRef>
          </c:cat>
          <c:val>
            <c:numRef>
              <c:f>Pregoła!$O$5</c:f>
              <c:numCache>
                <c:formatCode>0.00%</c:formatCode>
                <c:ptCount val="1"/>
                <c:pt idx="0">
                  <c:v>5.7142857142857141E-2</c:v>
                </c:pt>
              </c:numCache>
            </c:numRef>
          </c:val>
          <c:extLst>
            <c:ext xmlns:c16="http://schemas.microsoft.com/office/drawing/2014/chart" uri="{C3380CC4-5D6E-409C-BE32-E72D297353CC}">
              <c16:uniqueId val="{00000003-E3E1-48D6-930A-E8FF81074E71}"/>
            </c:ext>
          </c:extLst>
        </c:ser>
        <c:dLbls>
          <c:showLegendKey val="0"/>
          <c:showVal val="0"/>
          <c:showCatName val="0"/>
          <c:showSerName val="0"/>
          <c:showPercent val="0"/>
          <c:showBubbleSize val="0"/>
        </c:dLbls>
        <c:gapWidth val="500"/>
        <c:overlap val="100"/>
        <c:axId val="519662904"/>
        <c:axId val="519659952"/>
      </c:barChart>
      <c:catAx>
        <c:axId val="519662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519659952"/>
        <c:crosses val="autoZero"/>
        <c:auto val="1"/>
        <c:lblAlgn val="ctr"/>
        <c:lblOffset val="100"/>
        <c:noMultiLvlLbl val="0"/>
      </c:catAx>
      <c:valAx>
        <c:axId val="519659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66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0" i="0" baseline="0">
                <a:effectLst/>
              </a:rPr>
              <a:t>Ocena osiągnięcia celów środowiskowych wyznaczonych  </a:t>
            </a:r>
            <a:br>
              <a:rPr lang="pl-PL" sz="1000" b="0" i="0" baseline="0">
                <a:effectLst/>
              </a:rPr>
            </a:br>
            <a:r>
              <a:rPr lang="pl-PL" sz="1000" b="0" i="0" baseline="0">
                <a:effectLst/>
              </a:rPr>
              <a:t>w aPGW dla stanu chemicznego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Pregoła!$I$15</c:f>
              <c:strCache>
                <c:ptCount val="1"/>
                <c:pt idx="0">
                  <c:v>brak oceny - cel nie został wyznaczony</c:v>
                </c:pt>
              </c:strCache>
            </c:strRef>
          </c:tx>
          <c:spPr>
            <a:solidFill>
              <a:schemeClr val="bg1">
                <a:lumMod val="50000"/>
              </a:schemeClr>
            </a:solidFill>
            <a:ln>
              <a:noFill/>
            </a:ln>
            <a:effectLst/>
          </c:spPr>
          <c:invertIfNegative val="0"/>
          <c:cat>
            <c:strRef>
              <c:f>Pregoła!$H$16</c:f>
              <c:strCache>
                <c:ptCount val="1"/>
                <c:pt idx="0">
                  <c:v>Region wodny Łyny i Węgorapy</c:v>
                </c:pt>
              </c:strCache>
            </c:strRef>
          </c:cat>
          <c:val>
            <c:numRef>
              <c:f>Pregoła!$I$16</c:f>
              <c:numCache>
                <c:formatCode>General</c:formatCode>
                <c:ptCount val="1"/>
                <c:pt idx="0">
                  <c:v>6</c:v>
                </c:pt>
              </c:numCache>
            </c:numRef>
          </c:val>
          <c:extLst>
            <c:ext xmlns:c16="http://schemas.microsoft.com/office/drawing/2014/chart" uri="{C3380CC4-5D6E-409C-BE32-E72D297353CC}">
              <c16:uniqueId val="{00000000-A015-4C21-B86D-54247B25CE43}"/>
            </c:ext>
          </c:extLst>
        </c:ser>
        <c:ser>
          <c:idx val="1"/>
          <c:order val="1"/>
          <c:tx>
            <c:strRef>
              <c:f>Pregoła!$J$15</c:f>
              <c:strCache>
                <c:ptCount val="1"/>
                <c:pt idx="0">
                  <c:v>NIE</c:v>
                </c:pt>
              </c:strCache>
            </c:strRef>
          </c:tx>
          <c:spPr>
            <a:solidFill>
              <a:srgbClr val="FF0000"/>
            </a:solidFill>
            <a:ln>
              <a:noFill/>
            </a:ln>
            <a:effectLst/>
          </c:spPr>
          <c:invertIfNegative val="0"/>
          <c:cat>
            <c:strRef>
              <c:f>Pregoła!$H$16</c:f>
              <c:strCache>
                <c:ptCount val="1"/>
                <c:pt idx="0">
                  <c:v>Region wodny Łyny i Węgorapy</c:v>
                </c:pt>
              </c:strCache>
            </c:strRef>
          </c:cat>
          <c:val>
            <c:numRef>
              <c:f>Pregoła!$J$16</c:f>
              <c:numCache>
                <c:formatCode>General</c:formatCode>
                <c:ptCount val="1"/>
                <c:pt idx="0">
                  <c:v>44</c:v>
                </c:pt>
              </c:numCache>
            </c:numRef>
          </c:val>
          <c:extLst>
            <c:ext xmlns:c16="http://schemas.microsoft.com/office/drawing/2014/chart" uri="{C3380CC4-5D6E-409C-BE32-E72D297353CC}">
              <c16:uniqueId val="{00000001-A015-4C21-B86D-54247B25CE43}"/>
            </c:ext>
          </c:extLst>
        </c:ser>
        <c:ser>
          <c:idx val="2"/>
          <c:order val="2"/>
          <c:tx>
            <c:strRef>
              <c:f>Pregoła!$K$15</c:f>
              <c:strCache>
                <c:ptCount val="1"/>
                <c:pt idx="0">
                  <c:v>TAK</c:v>
                </c:pt>
              </c:strCache>
            </c:strRef>
          </c:tx>
          <c:spPr>
            <a:solidFill>
              <a:srgbClr val="00B0F0"/>
            </a:solidFill>
            <a:ln>
              <a:noFill/>
            </a:ln>
            <a:effectLst/>
          </c:spPr>
          <c:invertIfNegative val="0"/>
          <c:cat>
            <c:strRef>
              <c:f>Pregoła!$H$16</c:f>
              <c:strCache>
                <c:ptCount val="1"/>
                <c:pt idx="0">
                  <c:v>Region wodny Łyny i Węgorapy</c:v>
                </c:pt>
              </c:strCache>
            </c:strRef>
          </c:cat>
          <c:val>
            <c:numRef>
              <c:f>Pregoła!$K$16</c:f>
              <c:numCache>
                <c:formatCode>General</c:formatCode>
                <c:ptCount val="1"/>
                <c:pt idx="0">
                  <c:v>55</c:v>
                </c:pt>
              </c:numCache>
            </c:numRef>
          </c:val>
          <c:extLst>
            <c:ext xmlns:c16="http://schemas.microsoft.com/office/drawing/2014/chart" uri="{C3380CC4-5D6E-409C-BE32-E72D297353CC}">
              <c16:uniqueId val="{00000002-A015-4C21-B86D-54247B25CE43}"/>
            </c:ext>
          </c:extLst>
        </c:ser>
        <c:dLbls>
          <c:showLegendKey val="0"/>
          <c:showVal val="0"/>
          <c:showCatName val="0"/>
          <c:showSerName val="0"/>
          <c:showPercent val="0"/>
          <c:showBubbleSize val="0"/>
        </c:dLbls>
        <c:gapWidth val="500"/>
        <c:overlap val="100"/>
        <c:axId val="922868600"/>
        <c:axId val="922866960"/>
      </c:barChart>
      <c:catAx>
        <c:axId val="922868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922866960"/>
        <c:crosses val="autoZero"/>
        <c:auto val="1"/>
        <c:lblAlgn val="ctr"/>
        <c:lblOffset val="100"/>
        <c:noMultiLvlLbl val="0"/>
      </c:catAx>
      <c:valAx>
        <c:axId val="922866960"/>
        <c:scaling>
          <c:orientation val="minMax"/>
        </c:scaling>
        <c:delete val="0"/>
        <c:axPos val="l"/>
        <c:majorGridlines>
          <c:spPr>
            <a:ln w="9525" cap="flat" cmpd="sng" algn="ctr">
              <a:solidFill>
                <a:schemeClr val="bg1">
                  <a:lumMod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8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a:t>
            </a:r>
            <a:r>
              <a:rPr lang="en-US"/>
              <a:t>RW</a:t>
            </a:r>
            <a:r>
              <a:rPr lang="pl-PL"/>
              <a:t> i</a:t>
            </a:r>
            <a:r>
              <a:rPr lang="pl-PL" baseline="0"/>
              <a:t> jcwp LW</a:t>
            </a:r>
            <a:endParaRPr lang="en-US"/>
          </a:p>
        </c:rich>
      </c:tx>
      <c:layout>
        <c:manualLayout>
          <c:xMode val="edge"/>
          <c:yMode val="edge"/>
          <c:x val="0.28777279851987136"/>
          <c:y val="6.063261571113823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tx>
            <c:strRef>
              <c:f>Regiony_Wodne!$I$53:$I$54</c:f>
              <c:strCache>
                <c:ptCount val="2"/>
                <c:pt idx="0">
                  <c:v>82</c:v>
                </c:pt>
                <c:pt idx="1">
                  <c:v>105</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306-4C30-82C5-E4533DCF769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306-4C30-82C5-E4533DCF769C}"/>
              </c:ext>
            </c:extLst>
          </c:dPt>
          <c:dLbls>
            <c:dLbl>
              <c:idx val="0"/>
              <c:layout>
                <c:manualLayout>
                  <c:x val="-0.12736537317895105"/>
                  <c:y val="4.42408176208824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306-4C30-82C5-E4533DCF769C}"/>
                </c:ext>
              </c:extLst>
            </c:dLbl>
            <c:dLbl>
              <c:idx val="1"/>
              <c:layout>
                <c:manualLayout>
                  <c:x val="0.14277630277643277"/>
                  <c:y val="-6.97046259583438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306-4C30-82C5-E4533DCF769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Regiony_Wodne!$H$53:$H$54</c:f>
              <c:strCache>
                <c:ptCount val="2"/>
                <c:pt idx="0">
                  <c:v>RW</c:v>
                </c:pt>
                <c:pt idx="1">
                  <c:v>LW</c:v>
                </c:pt>
              </c:strCache>
              <c:extLst/>
            </c:strRef>
          </c:cat>
          <c:val>
            <c:numRef>
              <c:f>Regiony_Wodne!$M$46:$M$52</c:f>
              <c:numCache>
                <c:formatCode>0%</c:formatCode>
                <c:ptCount val="2"/>
                <c:pt idx="0">
                  <c:v>0.14776032577079698</c:v>
                </c:pt>
                <c:pt idx="1">
                  <c:v>0.20767888307155322</c:v>
                </c:pt>
              </c:numCache>
              <c:extLst/>
            </c:numRef>
          </c:val>
          <c:extLst>
            <c:ext xmlns:c16="http://schemas.microsoft.com/office/drawing/2014/chart" uri="{C3380CC4-5D6E-409C-BE32-E72D297353CC}">
              <c16:uniqueId val="{00000004-B306-4C30-82C5-E4533DCF769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5024372003868334"/>
          <c:y val="0.49795958633799531"/>
          <c:w val="7.9176266813119678E-2"/>
          <c:h val="0.1776795799972226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0" i="0" baseline="0">
                <a:effectLst/>
              </a:rPr>
              <a:t>Ocena osiągnięcia celów środowiskowych wyznaczonych </a:t>
            </a:r>
            <a:br>
              <a:rPr lang="pl-PL" sz="1000" b="0" i="0" baseline="0">
                <a:effectLst/>
              </a:rPr>
            </a:br>
            <a:r>
              <a:rPr lang="pl-PL" sz="1000" b="0" i="0" baseline="0">
                <a:effectLst/>
              </a:rPr>
              <a:t>w  aPGW dla stanu ogólnego wód</a:t>
            </a:r>
          </a:p>
        </c:rich>
      </c:tx>
      <c:layout>
        <c:manualLayout>
          <c:xMode val="edge"/>
          <c:yMode val="edge"/>
          <c:x val="0.21758533256034088"/>
          <c:y val="2.862305758267385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Pregoła!$M$2</c:f>
              <c:strCache>
                <c:ptCount val="1"/>
                <c:pt idx="0">
                  <c:v>brak oceny</c:v>
                </c:pt>
              </c:strCache>
            </c:strRef>
          </c:tx>
          <c:spPr>
            <a:solidFill>
              <a:schemeClr val="accent1"/>
            </a:solidFill>
            <a:ln>
              <a:noFill/>
            </a:ln>
            <a:effectLst/>
          </c:spPr>
          <c:invertIfNegative val="0"/>
          <c:dPt>
            <c:idx val="0"/>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1-5AF1-412A-9581-54CFF95E6A9E}"/>
              </c:ext>
            </c:extLst>
          </c:dPt>
          <c:cat>
            <c:strRef>
              <c:f>Pregoła!$N$1</c:f>
              <c:strCache>
                <c:ptCount val="1"/>
                <c:pt idx="0">
                  <c:v>Region wodny Łyny i Węgorapy</c:v>
                </c:pt>
              </c:strCache>
            </c:strRef>
          </c:cat>
          <c:val>
            <c:numRef>
              <c:f>Pregoła!$O$2</c:f>
              <c:numCache>
                <c:formatCode>0.00%</c:formatCode>
                <c:ptCount val="1"/>
                <c:pt idx="0">
                  <c:v>0.13333333333333333</c:v>
                </c:pt>
              </c:numCache>
            </c:numRef>
          </c:val>
          <c:extLst>
            <c:ext xmlns:c16="http://schemas.microsoft.com/office/drawing/2014/chart" uri="{C3380CC4-5D6E-409C-BE32-E72D297353CC}">
              <c16:uniqueId val="{00000002-5AF1-412A-9581-54CFF95E6A9E}"/>
            </c:ext>
          </c:extLst>
        </c:ser>
        <c:ser>
          <c:idx val="1"/>
          <c:order val="1"/>
          <c:tx>
            <c:strRef>
              <c:f>Pregoła!$X$4</c:f>
              <c:strCache>
                <c:ptCount val="1"/>
                <c:pt idx="0">
                  <c:v>NIE</c:v>
                </c:pt>
              </c:strCache>
            </c:strRef>
          </c:tx>
          <c:spPr>
            <a:solidFill>
              <a:srgbClr val="FF0000"/>
            </a:solidFill>
            <a:ln>
              <a:noFill/>
            </a:ln>
            <a:effectLst/>
          </c:spPr>
          <c:invertIfNegative val="0"/>
          <c:cat>
            <c:strRef>
              <c:f>Pregoła!$N$1</c:f>
              <c:strCache>
                <c:ptCount val="1"/>
                <c:pt idx="0">
                  <c:v>Region wodny Łyny i Węgorapy</c:v>
                </c:pt>
              </c:strCache>
            </c:strRef>
          </c:cat>
          <c:val>
            <c:numRef>
              <c:f>Pregoła!$Z$4</c:f>
              <c:numCache>
                <c:formatCode>0.0</c:formatCode>
                <c:ptCount val="1"/>
                <c:pt idx="0">
                  <c:v>71.428571428571431</c:v>
                </c:pt>
              </c:numCache>
            </c:numRef>
          </c:val>
          <c:extLst>
            <c:ext xmlns:c16="http://schemas.microsoft.com/office/drawing/2014/chart" uri="{C3380CC4-5D6E-409C-BE32-E72D297353CC}">
              <c16:uniqueId val="{00000003-5AF1-412A-9581-54CFF95E6A9E}"/>
            </c:ext>
          </c:extLst>
        </c:ser>
        <c:ser>
          <c:idx val="2"/>
          <c:order val="2"/>
          <c:tx>
            <c:strRef>
              <c:f>Pregoła!$M$4</c:f>
              <c:strCache>
                <c:ptCount val="1"/>
                <c:pt idx="0">
                  <c:v>TAK</c:v>
                </c:pt>
              </c:strCache>
            </c:strRef>
          </c:tx>
          <c:spPr>
            <a:solidFill>
              <a:srgbClr val="00B0F0"/>
            </a:solidFill>
            <a:ln>
              <a:noFill/>
            </a:ln>
            <a:effectLst/>
          </c:spPr>
          <c:invertIfNegative val="0"/>
          <c:cat>
            <c:strRef>
              <c:f>Pregoła!$N$1</c:f>
              <c:strCache>
                <c:ptCount val="1"/>
                <c:pt idx="0">
                  <c:v>Region wodny Łyny i Węgorapy</c:v>
                </c:pt>
              </c:strCache>
            </c:strRef>
          </c:cat>
          <c:val>
            <c:numRef>
              <c:f>Pregoła!$Z$5</c:f>
              <c:numCache>
                <c:formatCode>0.0</c:formatCode>
                <c:ptCount val="1"/>
                <c:pt idx="0">
                  <c:v>9.5238095238095237</c:v>
                </c:pt>
              </c:numCache>
            </c:numRef>
          </c:val>
          <c:extLst>
            <c:ext xmlns:c16="http://schemas.microsoft.com/office/drawing/2014/chart" uri="{C3380CC4-5D6E-409C-BE32-E72D297353CC}">
              <c16:uniqueId val="{00000004-5AF1-412A-9581-54CFF95E6A9E}"/>
            </c:ext>
          </c:extLst>
        </c:ser>
        <c:ser>
          <c:idx val="3"/>
          <c:order val="3"/>
          <c:tx>
            <c:strRef>
              <c:f>Pregoła!$E$37</c:f>
              <c:strCache>
                <c:ptCount val="1"/>
                <c:pt idx="0">
                  <c:v>brak możliwości oceny</c:v>
                </c:pt>
              </c:strCache>
            </c:strRef>
          </c:tx>
          <c:spPr>
            <a:solidFill>
              <a:schemeClr val="bg1">
                <a:lumMod val="75000"/>
              </a:schemeClr>
            </a:solidFill>
            <a:ln>
              <a:noFill/>
            </a:ln>
            <a:effectLst>
              <a:outerShdw blurRad="50800" dist="50800" dir="5400000" algn="ctr" rotWithShape="0">
                <a:schemeClr val="bg1">
                  <a:lumMod val="75000"/>
                </a:schemeClr>
              </a:outerShdw>
            </a:effectLst>
          </c:spPr>
          <c:invertIfNegative val="0"/>
          <c:cat>
            <c:strRef>
              <c:f>Pregoła!$N$1</c:f>
              <c:strCache>
                <c:ptCount val="1"/>
                <c:pt idx="0">
                  <c:v>Region wodny Łyny i Węgorapy</c:v>
                </c:pt>
              </c:strCache>
            </c:strRef>
          </c:cat>
          <c:val>
            <c:numRef>
              <c:f>Pregoła!$Z$6</c:f>
              <c:numCache>
                <c:formatCode>0.0</c:formatCode>
                <c:ptCount val="1"/>
                <c:pt idx="0">
                  <c:v>19.047619047619047</c:v>
                </c:pt>
              </c:numCache>
            </c:numRef>
          </c:val>
          <c:extLst>
            <c:ext xmlns:c16="http://schemas.microsoft.com/office/drawing/2014/chart" uri="{C3380CC4-5D6E-409C-BE32-E72D297353CC}">
              <c16:uniqueId val="{00000005-5AF1-412A-9581-54CFF95E6A9E}"/>
            </c:ext>
          </c:extLst>
        </c:ser>
        <c:dLbls>
          <c:showLegendKey val="0"/>
          <c:showVal val="0"/>
          <c:showCatName val="0"/>
          <c:showSerName val="0"/>
          <c:showPercent val="0"/>
          <c:showBubbleSize val="0"/>
        </c:dLbls>
        <c:gapWidth val="500"/>
        <c:overlap val="100"/>
        <c:axId val="519662904"/>
        <c:axId val="519659952"/>
      </c:barChart>
      <c:catAx>
        <c:axId val="519662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519659952"/>
        <c:crosses val="autoZero"/>
        <c:auto val="1"/>
        <c:lblAlgn val="ctr"/>
        <c:lblOffset val="100"/>
        <c:noMultiLvlLbl val="0"/>
      </c:catAx>
      <c:valAx>
        <c:axId val="519659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662904"/>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70C0"/>
              </a:solidFill>
              <a:ln>
                <a:noFill/>
              </a:ln>
              <a:effectLst/>
            </c:spPr>
            <c:extLst>
              <c:ext xmlns:c16="http://schemas.microsoft.com/office/drawing/2014/chart" uri="{C3380CC4-5D6E-409C-BE32-E72D297353CC}">
                <c16:uniqueId val="{00000001-8751-451C-B0B8-BF8C34E7D5E8}"/>
              </c:ext>
            </c:extLst>
          </c:dPt>
          <c:dPt>
            <c:idx val="1"/>
            <c:bubble3D val="0"/>
            <c:spPr>
              <a:solidFill>
                <a:schemeClr val="accent1">
                  <a:lumMod val="60000"/>
                  <a:lumOff val="40000"/>
                </a:schemeClr>
              </a:solidFill>
              <a:ln>
                <a:noFill/>
              </a:ln>
              <a:effectLst/>
            </c:spPr>
            <c:extLst>
              <c:ext xmlns:c16="http://schemas.microsoft.com/office/drawing/2014/chart" uri="{C3380CC4-5D6E-409C-BE32-E72D297353CC}">
                <c16:uniqueId val="{00000003-8751-451C-B0B8-BF8C34E7D5E8}"/>
              </c:ext>
            </c:extLst>
          </c:dPt>
          <c:dPt>
            <c:idx val="2"/>
            <c:bubble3D val="0"/>
            <c:spPr>
              <a:solidFill>
                <a:srgbClr val="FF0000"/>
              </a:solidFill>
              <a:ln>
                <a:noFill/>
              </a:ln>
              <a:effectLst/>
            </c:spPr>
            <c:extLst>
              <c:ext xmlns:c16="http://schemas.microsoft.com/office/drawing/2014/chart" uri="{C3380CC4-5D6E-409C-BE32-E72D297353CC}">
                <c16:uniqueId val="{00000005-8751-451C-B0B8-BF8C34E7D5E8}"/>
              </c:ext>
            </c:extLst>
          </c:dPt>
          <c:dPt>
            <c:idx val="3"/>
            <c:bubble3D val="0"/>
            <c:spPr>
              <a:solidFill>
                <a:schemeClr val="bg1">
                  <a:lumMod val="75000"/>
                </a:schemeClr>
              </a:solidFill>
              <a:ln>
                <a:noFill/>
              </a:ln>
              <a:effectLst/>
            </c:spPr>
            <c:extLst>
              <c:ext xmlns:c16="http://schemas.microsoft.com/office/drawing/2014/chart" uri="{C3380CC4-5D6E-409C-BE32-E72D297353CC}">
                <c16:uniqueId val="{00000007-8751-451C-B0B8-BF8C34E7D5E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Pregoła!$V$56:$Y$56</c:f>
              <c:strCache>
                <c:ptCount val="4"/>
                <c:pt idx="0">
                  <c:v>Cel środowiskowy osiągnięty</c:v>
                </c:pt>
                <c:pt idx="1">
                  <c:v>Cel środowiskowy częściowo osiągnięty</c:v>
                </c:pt>
                <c:pt idx="2">
                  <c:v>Cel środowiskowy nieosiągnięty</c:v>
                </c:pt>
                <c:pt idx="3">
                  <c:v>Brak danych</c:v>
                </c:pt>
              </c:strCache>
            </c:strRef>
          </c:cat>
          <c:val>
            <c:numRef>
              <c:f>Pregoła!$V$57:$Y$57</c:f>
              <c:numCache>
                <c:formatCode>General</c:formatCode>
                <c:ptCount val="4"/>
                <c:pt idx="0">
                  <c:v>24</c:v>
                </c:pt>
                <c:pt idx="1">
                  <c:v>6</c:v>
                </c:pt>
                <c:pt idx="2">
                  <c:v>2</c:v>
                </c:pt>
                <c:pt idx="3">
                  <c:v>21</c:v>
                </c:pt>
              </c:numCache>
            </c:numRef>
          </c:val>
          <c:extLst>
            <c:ext xmlns:c16="http://schemas.microsoft.com/office/drawing/2014/chart" uri="{C3380CC4-5D6E-409C-BE32-E72D297353CC}">
              <c16:uniqueId val="{00000008-8751-451C-B0B8-BF8C34E7D5E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303414256170161E-2"/>
          <c:y val="6.4590542099192613E-2"/>
          <c:w val="0.53984753984753986"/>
          <c:h val="0.89850057670126871"/>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DC7-4290-8CB5-DD664B4BACD3}"/>
              </c:ext>
            </c:extLst>
          </c:dPt>
          <c:dPt>
            <c:idx val="1"/>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DC7-4290-8CB5-DD664B4BACD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DC7-4290-8CB5-DD664B4BACD3}"/>
              </c:ext>
            </c:extLst>
          </c:dPt>
          <c:dLbls>
            <c:dLbl>
              <c:idx val="2"/>
              <c:layout>
                <c:manualLayout>
                  <c:x val="2.5862423447069117E-2"/>
                  <c:y val="0.1219189268008165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DC7-4290-8CB5-DD664B4BACD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ZL!$D$19:$D$21</c:f>
              <c:numCache>
                <c:formatCode>General</c:formatCode>
                <c:ptCount val="3"/>
                <c:pt idx="0">
                  <c:v>131</c:v>
                </c:pt>
                <c:pt idx="1">
                  <c:v>7</c:v>
                </c:pt>
                <c:pt idx="2">
                  <c:v>5</c:v>
                </c:pt>
              </c:numCache>
            </c:numRef>
          </c:val>
          <c:extLst>
            <c:ext xmlns:c16="http://schemas.microsoft.com/office/drawing/2014/chart" uri="{C3380CC4-5D6E-409C-BE32-E72D297353CC}">
              <c16:uniqueId val="{00000006-6DC7-4290-8CB5-DD664B4BACD3}"/>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6DC7-4290-8CB5-DD664B4BACD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6DC7-4290-8CB5-DD664B4BACD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6DC7-4290-8CB5-DD664B4BACD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ZL!$E$19:$E$21</c:f>
              <c:numCache>
                <c:formatCode>General</c:formatCode>
                <c:ptCount val="3"/>
                <c:pt idx="0" formatCode="0.00%">
                  <c:v>1</c:v>
                </c:pt>
                <c:pt idx="2" formatCode="0%">
                  <c:v>0.7142857142857143</c:v>
                </c:pt>
              </c:numCache>
            </c:numRef>
          </c:val>
          <c:extLst>
            <c:ext xmlns:c16="http://schemas.microsoft.com/office/drawing/2014/chart" uri="{C3380CC4-5D6E-409C-BE32-E72D297353CC}">
              <c16:uniqueId val="{0000000D-6DC7-4290-8CB5-DD664B4BACD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75000"/>
              </a:schemeClr>
            </a:solidFill>
          </c:spPr>
          <c:dPt>
            <c:idx val="0"/>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84A-40C8-B725-D6906BF05B06}"/>
              </c:ext>
            </c:extLst>
          </c:dPt>
          <c:dPt>
            <c:idx val="1"/>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84A-40C8-B725-D6906BF05B0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ZL!$C$24:$C$25</c:f>
              <c:strCache>
                <c:ptCount val="2"/>
                <c:pt idx="0">
                  <c:v>działania krajowe z terminem realizacji -niezrealizowane</c:v>
                </c:pt>
                <c:pt idx="1">
                  <c:v>działania krajowe z terminem realizacji - zrealizowane</c:v>
                </c:pt>
              </c:strCache>
            </c:strRef>
          </c:cat>
          <c:val>
            <c:numRef>
              <c:f>ZL!$D$24:$D$25</c:f>
              <c:numCache>
                <c:formatCode>General</c:formatCode>
                <c:ptCount val="2"/>
                <c:pt idx="0">
                  <c:v>29</c:v>
                </c:pt>
                <c:pt idx="1">
                  <c:v>71</c:v>
                </c:pt>
              </c:numCache>
            </c:numRef>
          </c:val>
          <c:extLst>
            <c:ext xmlns:c16="http://schemas.microsoft.com/office/drawing/2014/chart" uri="{C3380CC4-5D6E-409C-BE32-E72D297353CC}">
              <c16:uniqueId val="{00000004-D84A-40C8-B725-D6906BF05B0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CE-4519-89CE-D5376FCE175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CE-4519-89CE-D5376FCE175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9CE-4519-89CE-D5376FCE175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9CE-4519-89CE-D5376FCE1750}"/>
              </c:ext>
            </c:extLst>
          </c:dPt>
          <c:dLbls>
            <c:dLbl>
              <c:idx val="2"/>
              <c:layout>
                <c:manualLayout>
                  <c:x val="7.9776902887139081E-2"/>
                  <c:y val="7.33398950131233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9CE-4519-89CE-D5376FCE175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ZL!$A$40:$A$43</c:f>
              <c:strCache>
                <c:ptCount val="4"/>
                <c:pt idx="0">
                  <c:v>jcwp RW</c:v>
                </c:pt>
                <c:pt idx="1">
                  <c:v>jcwp LW</c:v>
                </c:pt>
                <c:pt idx="2">
                  <c:v>jcwp TW i CW</c:v>
                </c:pt>
                <c:pt idx="3">
                  <c:v>jcwpd</c:v>
                </c:pt>
              </c:strCache>
            </c:strRef>
          </c:cat>
          <c:val>
            <c:numRef>
              <c:f>ZL!$B$40:$B$43</c:f>
              <c:numCache>
                <c:formatCode>0%</c:formatCode>
                <c:ptCount val="4"/>
                <c:pt idx="0">
                  <c:v>0.82206719589447519</c:v>
                </c:pt>
                <c:pt idx="1">
                  <c:v>3.1272552321385615E-2</c:v>
                </c:pt>
                <c:pt idx="2">
                  <c:v>6.9360917328201424E-3</c:v>
                </c:pt>
                <c:pt idx="3">
                  <c:v>0.13972416005131907</c:v>
                </c:pt>
              </c:numCache>
            </c:numRef>
          </c:val>
          <c:extLst>
            <c:ext xmlns:c16="http://schemas.microsoft.com/office/drawing/2014/chart" uri="{C3380CC4-5D6E-409C-BE32-E72D297353CC}">
              <c16:uniqueId val="{00000008-C9CE-4519-89CE-D5376FCE175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7E-4434-A6EA-53F28E7F570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7E-4434-A6EA-53F28E7F570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27E-4434-A6EA-53F28E7F570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27E-4434-A6EA-53F28E7F5707}"/>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27E-4434-A6EA-53F28E7F5707}"/>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27E-4434-A6EA-53F28E7F5707}"/>
              </c:ext>
            </c:extLst>
          </c:dPt>
          <c:dLbls>
            <c:dLbl>
              <c:idx val="2"/>
              <c:delete val="1"/>
              <c:extLst>
                <c:ext xmlns:c15="http://schemas.microsoft.com/office/drawing/2012/chart" uri="{CE6537A1-D6FC-4f65-9D91-7224C49458BB}"/>
                <c:ext xmlns:c16="http://schemas.microsoft.com/office/drawing/2014/chart" uri="{C3380CC4-5D6E-409C-BE32-E72D297353CC}">
                  <c16:uniqueId val="{00000005-B27E-4434-A6EA-53F28E7F5707}"/>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ZL!$C$71:$C$76</c:f>
              <c:strCache>
                <c:ptCount val="6"/>
                <c:pt idx="0">
                  <c:v>gospodarka komunalna</c:v>
                </c:pt>
                <c:pt idx="1">
                  <c:v>rolnictwo</c:v>
                </c:pt>
                <c:pt idx="2">
                  <c:v>działania kontrolne - 100% jcwp LW</c:v>
                </c:pt>
                <c:pt idx="3">
                  <c:v>monioring</c:v>
                </c:pt>
                <c:pt idx="4">
                  <c:v>działania organizacyjno-prawne i edukacyjne</c:v>
                </c:pt>
                <c:pt idx="5">
                  <c:v>rekultywacja</c:v>
                </c:pt>
              </c:strCache>
            </c:strRef>
          </c:cat>
          <c:val>
            <c:numRef>
              <c:f>ZL!$E$71:$E$76</c:f>
              <c:numCache>
                <c:formatCode>0%</c:formatCode>
                <c:ptCount val="6"/>
                <c:pt idx="0">
                  <c:v>0.59167750325097535</c:v>
                </c:pt>
                <c:pt idx="1">
                  <c:v>8.9726918075422629E-2</c:v>
                </c:pt>
                <c:pt idx="2">
                  <c:v>0</c:v>
                </c:pt>
                <c:pt idx="3">
                  <c:v>0.46684005201560469</c:v>
                </c:pt>
                <c:pt idx="4">
                  <c:v>0.11053315994798439</c:v>
                </c:pt>
                <c:pt idx="5">
                  <c:v>0.10273081924577374</c:v>
                </c:pt>
              </c:numCache>
            </c:numRef>
          </c:val>
          <c:extLst>
            <c:ext xmlns:c16="http://schemas.microsoft.com/office/drawing/2014/chart" uri="{C3380CC4-5D6E-409C-BE32-E72D297353CC}">
              <c16:uniqueId val="{0000000C-B27E-4434-A6EA-53F28E7F570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36924475366518E-2"/>
          <c:y val="3.2505742254547096E-2"/>
          <c:w val="0.46478617256176313"/>
          <c:h val="0.85522265599153047"/>
        </c:manualLayout>
      </c:layout>
      <c:barChart>
        <c:barDir val="bar"/>
        <c:grouping val="clustered"/>
        <c:varyColors val="0"/>
        <c:ser>
          <c:idx val="0"/>
          <c:order val="0"/>
          <c:tx>
            <c:strRef>
              <c:f>'dzialania krajowe'!$B$29</c:f>
              <c:strCache>
                <c:ptCount val="1"/>
                <c:pt idx="0">
                  <c:v>przemysł</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921960349803749E-3"/>
                  <c:y val="3.25057422545470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62-4757-B290-19D7B4EC6E5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krajowe'!$C$29</c:f>
              <c:numCache>
                <c:formatCode>0.0%</c:formatCode>
                <c:ptCount val="1"/>
                <c:pt idx="0">
                  <c:v>0.09</c:v>
                </c:pt>
              </c:numCache>
            </c:numRef>
          </c:val>
          <c:extLst>
            <c:ext xmlns:c16="http://schemas.microsoft.com/office/drawing/2014/chart" uri="{C3380CC4-5D6E-409C-BE32-E72D297353CC}">
              <c16:uniqueId val="{00000001-9462-4757-B290-19D7B4EC6E50}"/>
            </c:ext>
          </c:extLst>
        </c:ser>
        <c:ser>
          <c:idx val="1"/>
          <c:order val="1"/>
          <c:tx>
            <c:strRef>
              <c:f>'dzialania krajowe'!$B$30</c:f>
              <c:strCache>
                <c:ptCount val="1"/>
                <c:pt idx="0">
                  <c:v>gospodarka komunalna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krajowe'!$C$30</c:f>
              <c:numCache>
                <c:formatCode>0.0%</c:formatCode>
                <c:ptCount val="1"/>
                <c:pt idx="0">
                  <c:v>0.10100000000000001</c:v>
                </c:pt>
              </c:numCache>
            </c:numRef>
          </c:val>
          <c:extLst>
            <c:ext xmlns:c16="http://schemas.microsoft.com/office/drawing/2014/chart" uri="{C3380CC4-5D6E-409C-BE32-E72D297353CC}">
              <c16:uniqueId val="{00000002-9462-4757-B290-19D7B4EC6E50}"/>
            </c:ext>
          </c:extLst>
        </c:ser>
        <c:ser>
          <c:idx val="2"/>
          <c:order val="2"/>
          <c:tx>
            <c:strRef>
              <c:f>'dzialania krajowe'!$B$31</c:f>
              <c:strCache>
                <c:ptCount val="1"/>
                <c:pt idx="0">
                  <c:v>rolnictwo</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krajowe'!$C$31</c:f>
              <c:numCache>
                <c:formatCode>0.0%</c:formatCode>
                <c:ptCount val="1"/>
                <c:pt idx="0">
                  <c:v>0.10100000000000001</c:v>
                </c:pt>
              </c:numCache>
            </c:numRef>
          </c:val>
          <c:extLst>
            <c:ext xmlns:c16="http://schemas.microsoft.com/office/drawing/2014/chart" uri="{C3380CC4-5D6E-409C-BE32-E72D297353CC}">
              <c16:uniqueId val="{00000003-9462-4757-B290-19D7B4EC6E50}"/>
            </c:ext>
          </c:extLst>
        </c:ser>
        <c:ser>
          <c:idx val="3"/>
          <c:order val="3"/>
          <c:tx>
            <c:strRef>
              <c:f>'dzialania krajowe'!$B$32</c:f>
              <c:strCache>
                <c:ptCount val="1"/>
                <c:pt idx="0">
                  <c:v>kształtowanie naturalnych warunków hydromorfologicznych</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krajowe'!$C$32</c:f>
              <c:numCache>
                <c:formatCode>0.0%</c:formatCode>
                <c:ptCount val="1"/>
                <c:pt idx="0">
                  <c:v>1.6E-2</c:v>
                </c:pt>
              </c:numCache>
            </c:numRef>
          </c:val>
          <c:extLst>
            <c:ext xmlns:c16="http://schemas.microsoft.com/office/drawing/2014/chart" uri="{C3380CC4-5D6E-409C-BE32-E72D297353CC}">
              <c16:uniqueId val="{00000004-9462-4757-B290-19D7B4EC6E50}"/>
            </c:ext>
          </c:extLst>
        </c:ser>
        <c:ser>
          <c:idx val="4"/>
          <c:order val="4"/>
          <c:tx>
            <c:strRef>
              <c:f>'dzialania krajowe'!$B$33</c:f>
              <c:strCache>
                <c:ptCount val="1"/>
                <c:pt idx="0">
                  <c:v>kształtowanie naturalnych warunków hydrologicznych</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krajowe'!$C$33</c:f>
              <c:numCache>
                <c:formatCode>0.0%</c:formatCode>
                <c:ptCount val="1"/>
                <c:pt idx="0">
                  <c:v>1.0999999999999999E-2</c:v>
                </c:pt>
              </c:numCache>
            </c:numRef>
          </c:val>
          <c:extLst>
            <c:ext xmlns:c16="http://schemas.microsoft.com/office/drawing/2014/chart" uri="{C3380CC4-5D6E-409C-BE32-E72D297353CC}">
              <c16:uniqueId val="{00000005-9462-4757-B290-19D7B4EC6E50}"/>
            </c:ext>
          </c:extLst>
        </c:ser>
        <c:ser>
          <c:idx val="5"/>
          <c:order val="5"/>
          <c:tx>
            <c:strRef>
              <c:f>'dzialania krajowe'!$B$34</c:f>
              <c:strCache>
                <c:ptCount val="1"/>
                <c:pt idx="0">
                  <c:v>monitoring i ewaluacja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krajowe'!$C$34</c:f>
              <c:numCache>
                <c:formatCode>0.0%</c:formatCode>
                <c:ptCount val="1"/>
                <c:pt idx="0">
                  <c:v>4.8000000000000001E-2</c:v>
                </c:pt>
              </c:numCache>
            </c:numRef>
          </c:val>
          <c:extLst>
            <c:ext xmlns:c16="http://schemas.microsoft.com/office/drawing/2014/chart" uri="{C3380CC4-5D6E-409C-BE32-E72D297353CC}">
              <c16:uniqueId val="{00000006-9462-4757-B290-19D7B4EC6E50}"/>
            </c:ext>
          </c:extLst>
        </c:ser>
        <c:ser>
          <c:idx val="6"/>
          <c:order val="6"/>
          <c:tx>
            <c:strRef>
              <c:f>'dzialania krajowe'!$B$35</c:f>
              <c:strCache>
                <c:ptCount val="1"/>
                <c:pt idx="0">
                  <c:v>działania kontrolne i nadzorcze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krajowe'!$C$35</c:f>
              <c:numCache>
                <c:formatCode>0.0%</c:formatCode>
                <c:ptCount val="1"/>
                <c:pt idx="0">
                  <c:v>0.13200000000000001</c:v>
                </c:pt>
              </c:numCache>
            </c:numRef>
          </c:val>
          <c:extLst>
            <c:ext xmlns:c16="http://schemas.microsoft.com/office/drawing/2014/chart" uri="{C3380CC4-5D6E-409C-BE32-E72D297353CC}">
              <c16:uniqueId val="{00000007-9462-4757-B290-19D7B4EC6E50}"/>
            </c:ext>
          </c:extLst>
        </c:ser>
        <c:ser>
          <c:idx val="7"/>
          <c:order val="7"/>
          <c:tx>
            <c:strRef>
              <c:f>'dzialania krajowe'!$B$36</c:f>
              <c:strCache>
                <c:ptCount val="1"/>
                <c:pt idx="0">
                  <c:v>działania organizacyjno-prawne, informacyjne i edukacyjne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dLbl>
              <c:idx val="0"/>
              <c:layout>
                <c:manualLayout>
                  <c:x val="-8.0833869257269799E-17"/>
                  <c:y val="2.8011204481792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462-4757-B290-19D7B4EC6E5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krajowe'!$C$36</c:f>
              <c:numCache>
                <c:formatCode>0.0%</c:formatCode>
                <c:ptCount val="1"/>
                <c:pt idx="0">
                  <c:v>0.22220000000000001</c:v>
                </c:pt>
              </c:numCache>
            </c:numRef>
          </c:val>
          <c:extLst>
            <c:ext xmlns:c16="http://schemas.microsoft.com/office/drawing/2014/chart" uri="{C3380CC4-5D6E-409C-BE32-E72D297353CC}">
              <c16:uniqueId val="{00000009-9462-4757-B290-19D7B4EC6E50}"/>
            </c:ext>
          </c:extLst>
        </c:ser>
        <c:ser>
          <c:idx val="8"/>
          <c:order val="8"/>
          <c:tx>
            <c:strRef>
              <c:f>'dzialania krajowe'!$B$37</c:f>
              <c:strCache>
                <c:ptCount val="1"/>
                <c:pt idx="0">
                  <c:v>projekty badawczo-rozwojowe</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krajowe'!$C$37</c:f>
              <c:numCache>
                <c:formatCode>0.0%</c:formatCode>
                <c:ptCount val="1"/>
                <c:pt idx="0">
                  <c:v>0.185</c:v>
                </c:pt>
              </c:numCache>
            </c:numRef>
          </c:val>
          <c:extLst>
            <c:ext xmlns:c16="http://schemas.microsoft.com/office/drawing/2014/chart" uri="{C3380CC4-5D6E-409C-BE32-E72D297353CC}">
              <c16:uniqueId val="{0000000A-9462-4757-B290-19D7B4EC6E50}"/>
            </c:ext>
          </c:extLst>
        </c:ser>
        <c:ser>
          <c:idx val="9"/>
          <c:order val="9"/>
          <c:tx>
            <c:strRef>
              <c:f>'dzialania krajowe'!$B$38</c:f>
              <c:strCache>
                <c:ptCount val="1"/>
                <c:pt idx="0">
                  <c:v>działania organizacyjno-prawne</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krajowe'!$C$38</c:f>
              <c:numCache>
                <c:formatCode>0.00%</c:formatCode>
                <c:ptCount val="1"/>
                <c:pt idx="0">
                  <c:v>8.5000000000000006E-2</c:v>
                </c:pt>
              </c:numCache>
            </c:numRef>
          </c:val>
          <c:extLst>
            <c:ext xmlns:c16="http://schemas.microsoft.com/office/drawing/2014/chart" uri="{C3380CC4-5D6E-409C-BE32-E72D297353CC}">
              <c16:uniqueId val="{0000000B-9462-4757-B290-19D7B4EC6E50}"/>
            </c:ext>
          </c:extLst>
        </c:ser>
        <c:ser>
          <c:idx val="10"/>
          <c:order val="10"/>
          <c:tx>
            <c:strRef>
              <c:f>'dzialania krajowe'!$B$39</c:f>
              <c:strCache>
                <c:ptCount val="1"/>
                <c:pt idx="0">
                  <c:v>kształtowanie stosunków wodnych oraz ochrona ekosystemów od wód zależnych (w tym morfologia i zachowanie ciągłości biologicznej cieków)</c:v>
                </c:pt>
              </c:strCache>
            </c:strRef>
          </c:tx>
          <c:spPr>
            <a:solidFill>
              <a:schemeClr val="accent5">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krajowe'!$C$39</c:f>
              <c:numCache>
                <c:formatCode>0.00%</c:formatCode>
                <c:ptCount val="1"/>
                <c:pt idx="0">
                  <c:v>0.01</c:v>
                </c:pt>
              </c:numCache>
            </c:numRef>
          </c:val>
          <c:extLst>
            <c:ext xmlns:c16="http://schemas.microsoft.com/office/drawing/2014/chart" uri="{C3380CC4-5D6E-409C-BE32-E72D297353CC}">
              <c16:uniqueId val="{0000000C-9462-4757-B290-19D7B4EC6E50}"/>
            </c:ext>
          </c:extLst>
        </c:ser>
        <c:dLbls>
          <c:showLegendKey val="0"/>
          <c:showVal val="0"/>
          <c:showCatName val="0"/>
          <c:showSerName val="0"/>
          <c:showPercent val="0"/>
          <c:showBubbleSize val="0"/>
        </c:dLbls>
        <c:gapWidth val="150"/>
        <c:axId val="816856544"/>
        <c:axId val="816864088"/>
      </c:barChart>
      <c:valAx>
        <c:axId val="816864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16856544"/>
        <c:crosses val="autoZero"/>
        <c:crossBetween val="between"/>
      </c:valAx>
      <c:catAx>
        <c:axId val="816856544"/>
        <c:scaling>
          <c:orientation val="minMax"/>
        </c:scaling>
        <c:delete val="1"/>
        <c:axPos val="l"/>
        <c:majorTickMark val="out"/>
        <c:minorTickMark val="none"/>
        <c:tickLblPos val="nextTo"/>
        <c:crossAx val="816864088"/>
        <c:crosses val="autoZero"/>
        <c:auto val="1"/>
        <c:lblAlgn val="ctr"/>
        <c:lblOffset val="100"/>
        <c:noMultiLvlLbl val="0"/>
      </c:catAx>
      <c:spPr>
        <a:noFill/>
        <a:ln>
          <a:noFill/>
        </a:ln>
        <a:effectLst/>
      </c:spPr>
    </c:plotArea>
    <c:legend>
      <c:legendPos val="r"/>
      <c:layout>
        <c:manualLayout>
          <c:xMode val="edge"/>
          <c:yMode val="edge"/>
          <c:x val="0.53130511463844798"/>
          <c:y val="2.7628752288316908E-2"/>
          <c:w val="0.46869488536155196"/>
          <c:h val="0.92475220009263559"/>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59D-48C2-A526-AE46D184E7B7}"/>
              </c:ext>
            </c:extLst>
          </c:dPt>
          <c:dPt>
            <c:idx val="1"/>
            <c:bubble3D val="0"/>
            <c:spPr>
              <a:solidFill>
                <a:schemeClr val="accent4">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59D-48C2-A526-AE46D184E7B7}"/>
              </c:ext>
            </c:extLst>
          </c:dPt>
          <c:dLbls>
            <c:dLbl>
              <c:idx val="0"/>
              <c:tx>
                <c:rich>
                  <a:bodyPr/>
                  <a:lstStyle/>
                  <a:p>
                    <a:fld id="{B1CBE18C-7B28-4006-A356-E8345AD6445B}"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59D-48C2-A526-AE46D184E7B7}"/>
                </c:ext>
              </c:extLst>
            </c:dLbl>
            <c:dLbl>
              <c:idx val="1"/>
              <c:tx>
                <c:rich>
                  <a:bodyPr/>
                  <a:lstStyle/>
                  <a:p>
                    <a:fld id="{D49E658B-4F69-409E-B2D5-2CD6614984A6}" type="VALUE">
                      <a:rPr lang="en-US"/>
                      <a:pPr/>
                      <a:t>[WARTOŚĆ]</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9D-48C2-A526-AE46D184E7B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krajowe'!$B$6:$B$7</c:f>
              <c:strCache>
                <c:ptCount val="2"/>
                <c:pt idx="0">
                  <c:v>działania z prolongacji</c:v>
                </c:pt>
                <c:pt idx="1">
                  <c:v>działania nowe</c:v>
                </c:pt>
              </c:strCache>
            </c:strRef>
          </c:cat>
          <c:val>
            <c:numRef>
              <c:f>'dzialania krajowe'!$C$6:$C$7</c:f>
              <c:numCache>
                <c:formatCode>0.0%</c:formatCode>
                <c:ptCount val="2"/>
                <c:pt idx="0">
                  <c:v>0.57399999999999995</c:v>
                </c:pt>
                <c:pt idx="1">
                  <c:v>0.436</c:v>
                </c:pt>
              </c:numCache>
            </c:numRef>
          </c:val>
          <c:extLst>
            <c:ext xmlns:c16="http://schemas.microsoft.com/office/drawing/2014/chart" uri="{C3380CC4-5D6E-409C-BE32-E72D297353CC}">
              <c16:uniqueId val="{00000004-959D-48C2-A526-AE46D184E7B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50000"/>
              </a:schemeClr>
            </a:solidFill>
          </c:spPr>
          <c:dPt>
            <c:idx val="0"/>
            <c:bubble3D val="0"/>
            <c:spPr>
              <a:solidFill>
                <a:schemeClr val="bg1">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B69-4DD4-956E-C6190C55A032}"/>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B69-4DD4-956E-C6190C55A03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krajowe'!$B$16:$B$17</c:f>
              <c:strCache>
                <c:ptCount val="2"/>
                <c:pt idx="0">
                  <c:v>działania ciągłe bez określonego terminu realizacji</c:v>
                </c:pt>
                <c:pt idx="1">
                  <c:v>działania z określonym terminem realizacji</c:v>
                </c:pt>
              </c:strCache>
            </c:strRef>
          </c:cat>
          <c:val>
            <c:numRef>
              <c:f>'dzialania krajowe'!$C$16:$C$17</c:f>
              <c:numCache>
                <c:formatCode>0.0%</c:formatCode>
                <c:ptCount val="2"/>
                <c:pt idx="0">
                  <c:v>0.92900000000000005</c:v>
                </c:pt>
                <c:pt idx="1">
                  <c:v>7.0999999999999994E-2</c:v>
                </c:pt>
              </c:numCache>
            </c:numRef>
          </c:val>
          <c:extLst>
            <c:ext xmlns:c16="http://schemas.microsoft.com/office/drawing/2014/chart" uri="{C3380CC4-5D6E-409C-BE32-E72D297353CC}">
              <c16:uniqueId val="{00000004-5B69-4DD4-956E-C6190C55A03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katalog_RW!$B$14</c:f>
              <c:strCache>
                <c:ptCount val="1"/>
                <c:pt idx="0">
                  <c:v>adaptacja do zmian klimatu</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4010860532443785E-3"/>
                  <c:y val="-3.48409879258144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27-497C-BF5D-EB379756A470}"/>
                </c:ext>
              </c:extLst>
            </c:dLbl>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katalog_RW!$C$14</c:f>
              <c:numCache>
                <c:formatCode>0%</c:formatCode>
                <c:ptCount val="1"/>
                <c:pt idx="0">
                  <c:v>0.19354838709677419</c:v>
                </c:pt>
              </c:numCache>
            </c:numRef>
          </c:val>
          <c:extLst>
            <c:ext xmlns:c16="http://schemas.microsoft.com/office/drawing/2014/chart" uri="{C3380CC4-5D6E-409C-BE32-E72D297353CC}">
              <c16:uniqueId val="{00000001-7227-497C-BF5D-EB379756A470}"/>
            </c:ext>
          </c:extLst>
        </c:ser>
        <c:ser>
          <c:idx val="1"/>
          <c:order val="1"/>
          <c:tx>
            <c:strRef>
              <c:f>katalog_RW!$B$15</c:f>
              <c:strCache>
                <c:ptCount val="1"/>
                <c:pt idx="0">
                  <c:v>edukacja i informacja</c:v>
                </c:pt>
              </c:strCache>
            </c:strRef>
          </c:tx>
          <c:spPr>
            <a:solidFill>
              <a:schemeClr val="accent2"/>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katalog_RW!$C$15</c:f>
              <c:numCache>
                <c:formatCode>0%</c:formatCode>
                <c:ptCount val="1"/>
                <c:pt idx="0">
                  <c:v>0.03</c:v>
                </c:pt>
              </c:numCache>
            </c:numRef>
          </c:val>
          <c:extLst>
            <c:ext xmlns:c16="http://schemas.microsoft.com/office/drawing/2014/chart" uri="{C3380CC4-5D6E-409C-BE32-E72D297353CC}">
              <c16:uniqueId val="{00000002-7227-497C-BF5D-EB379756A470}"/>
            </c:ext>
          </c:extLst>
        </c:ser>
        <c:ser>
          <c:idx val="2"/>
          <c:order val="2"/>
          <c:tx>
            <c:strRef>
              <c:f>katalog_RW!$B$16</c:f>
              <c:strCache>
                <c:ptCount val="1"/>
                <c:pt idx="0">
                  <c:v>gospodarka ściekowa</c:v>
                </c:pt>
              </c:strCache>
            </c:strRef>
          </c:tx>
          <c:spPr>
            <a:solidFill>
              <a:schemeClr val="accent3"/>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katalog_RW!$C$16</c:f>
              <c:numCache>
                <c:formatCode>0%</c:formatCode>
                <c:ptCount val="1"/>
                <c:pt idx="0">
                  <c:v>9.6774193548387094E-2</c:v>
                </c:pt>
              </c:numCache>
            </c:numRef>
          </c:val>
          <c:extLst>
            <c:ext xmlns:c16="http://schemas.microsoft.com/office/drawing/2014/chart" uri="{C3380CC4-5D6E-409C-BE32-E72D297353CC}">
              <c16:uniqueId val="{00000003-7227-497C-BF5D-EB379756A470}"/>
            </c:ext>
          </c:extLst>
        </c:ser>
        <c:ser>
          <c:idx val="3"/>
          <c:order val="3"/>
          <c:tx>
            <c:strRef>
              <c:f>katalog_RW!$B$17</c:f>
              <c:strCache>
                <c:ptCount val="1"/>
                <c:pt idx="0">
                  <c:v>kształtowanie stosunków wodnych w zlewni jcwp</c:v>
                </c:pt>
              </c:strCache>
            </c:strRef>
          </c:tx>
          <c:spPr>
            <a:solidFill>
              <a:schemeClr val="accent4"/>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katalog_RW!$C$17</c:f>
              <c:numCache>
                <c:formatCode>0%</c:formatCode>
                <c:ptCount val="1"/>
                <c:pt idx="0">
                  <c:v>0.06</c:v>
                </c:pt>
              </c:numCache>
            </c:numRef>
          </c:val>
          <c:extLst>
            <c:ext xmlns:c16="http://schemas.microsoft.com/office/drawing/2014/chart" uri="{C3380CC4-5D6E-409C-BE32-E72D297353CC}">
              <c16:uniqueId val="{00000004-7227-497C-BF5D-EB379756A470}"/>
            </c:ext>
          </c:extLst>
        </c:ser>
        <c:ser>
          <c:idx val="4"/>
          <c:order val="4"/>
          <c:tx>
            <c:strRef>
              <c:f>katalog_RW!$B$18</c:f>
              <c:strCache>
                <c:ptCount val="1"/>
                <c:pt idx="0">
                  <c:v>ograniczenie zanieczyszczeń rozproszonych z rolnictwa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katalog_RW!$C$18</c:f>
              <c:numCache>
                <c:formatCode>0%</c:formatCode>
                <c:ptCount val="1"/>
                <c:pt idx="0">
                  <c:v>0.06</c:v>
                </c:pt>
              </c:numCache>
            </c:numRef>
          </c:val>
          <c:extLst>
            <c:ext xmlns:c16="http://schemas.microsoft.com/office/drawing/2014/chart" uri="{C3380CC4-5D6E-409C-BE32-E72D297353CC}">
              <c16:uniqueId val="{00000005-7227-497C-BF5D-EB379756A470}"/>
            </c:ext>
          </c:extLst>
        </c:ser>
        <c:ser>
          <c:idx val="5"/>
          <c:order val="5"/>
          <c:tx>
            <c:strRef>
              <c:f>katalog_RW!$B$19</c:f>
              <c:strCache>
                <c:ptCount val="1"/>
                <c:pt idx="0">
                  <c:v>poprawa warunków dla obszarów chronionych</c:v>
                </c:pt>
              </c:strCache>
            </c:strRef>
          </c:tx>
          <c:spPr>
            <a:solidFill>
              <a:schemeClr val="accent6"/>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katalog_RW!$C$19</c:f>
              <c:numCache>
                <c:formatCode>0%</c:formatCode>
                <c:ptCount val="1"/>
                <c:pt idx="0">
                  <c:v>0.06</c:v>
                </c:pt>
              </c:numCache>
            </c:numRef>
          </c:val>
          <c:extLst>
            <c:ext xmlns:c16="http://schemas.microsoft.com/office/drawing/2014/chart" uri="{C3380CC4-5D6E-409C-BE32-E72D297353CC}">
              <c16:uniqueId val="{00000006-7227-497C-BF5D-EB379756A470}"/>
            </c:ext>
          </c:extLst>
        </c:ser>
        <c:ser>
          <c:idx val="6"/>
          <c:order val="6"/>
          <c:tx>
            <c:strRef>
              <c:f>katalog_RW!$B$20</c:f>
              <c:strCache>
                <c:ptCount val="1"/>
                <c:pt idx="0">
                  <c:v>poprawa warunków hydromorfologicznych rzek i potoków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katalog_RW!$C$20</c:f>
              <c:numCache>
                <c:formatCode>0%</c:formatCode>
                <c:ptCount val="1"/>
                <c:pt idx="0">
                  <c:v>0.12903225806451613</c:v>
                </c:pt>
              </c:numCache>
            </c:numRef>
          </c:val>
          <c:extLst>
            <c:ext xmlns:c16="http://schemas.microsoft.com/office/drawing/2014/chart" uri="{C3380CC4-5D6E-409C-BE32-E72D297353CC}">
              <c16:uniqueId val="{00000007-7227-497C-BF5D-EB379756A470}"/>
            </c:ext>
          </c:extLst>
        </c:ser>
        <c:ser>
          <c:idx val="7"/>
          <c:order val="7"/>
          <c:tx>
            <c:strRef>
              <c:f>katalog_RW!$B$21</c:f>
              <c:strCache>
                <c:ptCount val="1"/>
                <c:pt idx="0">
                  <c:v>redukcja emisji i zrzutów substancji priorytetowych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katalog_RW!$C$21</c:f>
              <c:numCache>
                <c:formatCode>0%</c:formatCode>
                <c:ptCount val="1"/>
                <c:pt idx="0">
                  <c:v>0.03</c:v>
                </c:pt>
              </c:numCache>
            </c:numRef>
          </c:val>
          <c:extLst>
            <c:ext xmlns:c16="http://schemas.microsoft.com/office/drawing/2014/chart" uri="{C3380CC4-5D6E-409C-BE32-E72D297353CC}">
              <c16:uniqueId val="{00000008-7227-497C-BF5D-EB379756A470}"/>
            </c:ext>
          </c:extLst>
        </c:ser>
        <c:ser>
          <c:idx val="8"/>
          <c:order val="8"/>
          <c:tx>
            <c:strRef>
              <c:f>katalog_RW!$B$22</c:f>
              <c:strCache>
                <c:ptCount val="1"/>
                <c:pt idx="0">
                  <c:v>weryfikacja programu ochrony środowiska</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katalog_RW!$C$22</c:f>
              <c:numCache>
                <c:formatCode>0%</c:formatCode>
                <c:ptCount val="1"/>
                <c:pt idx="0">
                  <c:v>0.03</c:v>
                </c:pt>
              </c:numCache>
            </c:numRef>
          </c:val>
          <c:extLst>
            <c:ext xmlns:c16="http://schemas.microsoft.com/office/drawing/2014/chart" uri="{C3380CC4-5D6E-409C-BE32-E72D297353CC}">
              <c16:uniqueId val="{00000009-7227-497C-BF5D-EB379756A470}"/>
            </c:ext>
          </c:extLst>
        </c:ser>
        <c:ser>
          <c:idx val="9"/>
          <c:order val="9"/>
          <c:tx>
            <c:strRef>
              <c:f>katalog_RW!$B$23</c:f>
              <c:strCache>
                <c:ptCount val="1"/>
                <c:pt idx="0">
                  <c:v>zapewnienie ciągłości biologicznej i morfologicznej rzek i potoków </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katalog_RW!$C$23</c:f>
              <c:numCache>
                <c:formatCode>0%</c:formatCode>
                <c:ptCount val="1"/>
                <c:pt idx="0">
                  <c:v>0.06</c:v>
                </c:pt>
              </c:numCache>
            </c:numRef>
          </c:val>
          <c:extLst>
            <c:ext xmlns:c16="http://schemas.microsoft.com/office/drawing/2014/chart" uri="{C3380CC4-5D6E-409C-BE32-E72D297353CC}">
              <c16:uniqueId val="{0000000A-7227-497C-BF5D-EB379756A470}"/>
            </c:ext>
          </c:extLst>
        </c:ser>
        <c:ser>
          <c:idx val="10"/>
          <c:order val="10"/>
          <c:tx>
            <c:strRef>
              <c:f>katalog_RW!$B$24</c:f>
              <c:strCache>
                <c:ptCount val="1"/>
                <c:pt idx="0">
                  <c:v>zapewnienie ciągłości biologicznej rzek i potoków </c:v>
                </c:pt>
              </c:strCache>
            </c:strRef>
          </c:tx>
          <c:spPr>
            <a:solidFill>
              <a:schemeClr val="accent6">
                <a:lumMod val="60000"/>
                <a:lumOff val="4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katalog_RW!$C$24</c:f>
              <c:numCache>
                <c:formatCode>0%</c:formatCode>
                <c:ptCount val="1"/>
                <c:pt idx="0">
                  <c:v>0.22580645161290322</c:v>
                </c:pt>
              </c:numCache>
            </c:numRef>
          </c:val>
          <c:extLst>
            <c:ext xmlns:c16="http://schemas.microsoft.com/office/drawing/2014/chart" uri="{C3380CC4-5D6E-409C-BE32-E72D297353CC}">
              <c16:uniqueId val="{0000000B-7227-497C-BF5D-EB379756A470}"/>
            </c:ext>
          </c:extLst>
        </c:ser>
        <c:dLbls>
          <c:showLegendKey val="0"/>
          <c:showVal val="0"/>
          <c:showCatName val="0"/>
          <c:showSerName val="0"/>
          <c:showPercent val="0"/>
          <c:showBubbleSize val="0"/>
        </c:dLbls>
        <c:gapWidth val="150"/>
        <c:axId val="792121840"/>
        <c:axId val="792124792"/>
      </c:barChart>
      <c:valAx>
        <c:axId val="7921247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2121840"/>
        <c:crosses val="autoZero"/>
        <c:crossBetween val="between"/>
      </c:valAx>
      <c:catAx>
        <c:axId val="792121840"/>
        <c:scaling>
          <c:orientation val="minMax"/>
        </c:scaling>
        <c:delete val="1"/>
        <c:axPos val="l"/>
        <c:majorTickMark val="out"/>
        <c:minorTickMark val="none"/>
        <c:tickLblPos val="nextTo"/>
        <c:crossAx val="792124792"/>
        <c:crosses val="autoZero"/>
        <c:auto val="1"/>
        <c:lblAlgn val="ctr"/>
        <c:lblOffset val="100"/>
        <c:noMultiLvlLbl val="0"/>
      </c:catAx>
      <c:spPr>
        <a:noFill/>
        <a:ln>
          <a:noFill/>
        </a:ln>
        <a:effectLst/>
      </c:spPr>
    </c:plotArea>
    <c:legend>
      <c:legendPos val="r"/>
      <c:layout>
        <c:manualLayout>
          <c:xMode val="edge"/>
          <c:yMode val="edge"/>
          <c:x val="0.64349925009373821"/>
          <c:y val="6.6879085395362178E-2"/>
          <c:w val="0.35445881764779402"/>
          <c:h val="0.866241880952459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A3D-4709-86A4-4E150977E2A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A3D-4709-86A4-4E150977E2A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A3D-4709-86A4-4E150977E2A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A3D-4709-86A4-4E150977E2A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A3D-4709-86A4-4E150977E2A1}"/>
              </c:ext>
            </c:extLst>
          </c:dPt>
          <c:dLbls>
            <c:dLbl>
              <c:idx val="0"/>
              <c:layout>
                <c:manualLayout>
                  <c:x val="8.8827203331020121E-2"/>
                  <c:y val="-4.087193460490463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A3D-4709-86A4-4E150977E2A1}"/>
                </c:ext>
              </c:extLst>
            </c:dLbl>
            <c:dLbl>
              <c:idx val="1"/>
              <c:layout>
                <c:manualLayout>
                  <c:x val="-4.9965301873698874E-2"/>
                  <c:y val="0.1271571298819255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A3D-4709-86A4-4E150977E2A1}"/>
                </c:ext>
              </c:extLst>
            </c:dLbl>
            <c:dLbl>
              <c:idx val="2"/>
              <c:layout>
                <c:manualLayout>
                  <c:x val="-7.2172102706453883E-2"/>
                  <c:y val="5.903723887375113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A3D-4709-86A4-4E150977E2A1}"/>
                </c:ext>
              </c:extLst>
            </c:dLbl>
            <c:dLbl>
              <c:idx val="3"/>
              <c:layout>
                <c:manualLayout>
                  <c:x val="-5.8292852185981979E-2"/>
                  <c:y val="-6.3578564940962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A3D-4709-86A4-4E150977E2A1}"/>
                </c:ext>
              </c:extLst>
            </c:dLbl>
            <c:dLbl>
              <c:idx val="4"/>
              <c:layout>
                <c:manualLayout>
                  <c:x val="-0.10270645385149205"/>
                  <c:y val="-9.990917347865577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A3D-4709-86A4-4E150977E2A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Arkusz3!$C$28:$C$32</c:f>
              <c:strCache>
                <c:ptCount val="5"/>
                <c:pt idx="0">
                  <c:v>PN</c:v>
                </c:pt>
                <c:pt idx="1">
                  <c:v>PNp</c:v>
                </c:pt>
                <c:pt idx="2">
                  <c:v>R_poj</c:v>
                </c:pt>
                <c:pt idx="3">
                  <c:v>Rz_org</c:v>
                </c:pt>
                <c:pt idx="4">
                  <c:v>RzN</c:v>
                </c:pt>
              </c:strCache>
            </c:strRef>
          </c:cat>
          <c:val>
            <c:numRef>
              <c:f>Arkusz3!$D$28:$D$32</c:f>
              <c:numCache>
                <c:formatCode>General</c:formatCode>
                <c:ptCount val="5"/>
                <c:pt idx="0">
                  <c:v>38</c:v>
                </c:pt>
                <c:pt idx="1">
                  <c:v>22</c:v>
                </c:pt>
                <c:pt idx="2">
                  <c:v>6</c:v>
                </c:pt>
                <c:pt idx="3">
                  <c:v>2</c:v>
                </c:pt>
                <c:pt idx="4">
                  <c:v>14</c:v>
                </c:pt>
              </c:numCache>
            </c:numRef>
          </c:val>
          <c:extLst>
            <c:ext xmlns:c16="http://schemas.microsoft.com/office/drawing/2014/chart" uri="{C3380CC4-5D6E-409C-BE32-E72D297353CC}">
              <c16:uniqueId val="{0000000A-7A3D-4709-86A4-4E150977E2A1}"/>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80730363283451E-2"/>
          <c:y val="1.5120967741935484E-2"/>
          <c:w val="0.56269292958988681"/>
          <c:h val="0.96471774193548387"/>
        </c:manualLayout>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207-48E2-A4F2-955B7494FD83}"/>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207-48E2-A4F2-955B7494FD83}"/>
              </c:ext>
            </c:extLst>
          </c:dPt>
          <c:dLbls>
            <c:dLbl>
              <c:idx val="0"/>
              <c:tx>
                <c:rich>
                  <a:bodyPr/>
                  <a:lstStyle/>
                  <a:p>
                    <a:r>
                      <a:rPr lang="en-US"/>
                      <a:t>64,52%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207-48E2-A4F2-955B7494FD83}"/>
                </c:ext>
              </c:extLst>
            </c:dLbl>
            <c:dLbl>
              <c:idx val="1"/>
              <c:tx>
                <c:rich>
                  <a:bodyPr/>
                  <a:lstStyle/>
                  <a:p>
                    <a:r>
                      <a:rPr lang="en-US"/>
                      <a:t>35,48%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6207-48E2-A4F2-955B7494FD8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RW!$B$21:$B$22</c:f>
              <c:strCache>
                <c:ptCount val="2"/>
                <c:pt idx="0">
                  <c:v>działania podstawowe</c:v>
                </c:pt>
                <c:pt idx="1">
                  <c:v>działania uzupełniające</c:v>
                </c:pt>
              </c:strCache>
            </c:strRef>
          </c:cat>
          <c:val>
            <c:numRef>
              <c:f>RW!$C$21:$C$22</c:f>
              <c:numCache>
                <c:formatCode>0%</c:formatCode>
                <c:ptCount val="2"/>
                <c:pt idx="0">
                  <c:v>0.65</c:v>
                </c:pt>
                <c:pt idx="1">
                  <c:v>0.35</c:v>
                </c:pt>
              </c:numCache>
            </c:numRef>
          </c:val>
          <c:extLst>
            <c:ext xmlns:c16="http://schemas.microsoft.com/office/drawing/2014/chart" uri="{C3380CC4-5D6E-409C-BE32-E72D297353CC}">
              <c16:uniqueId val="{00000004-6207-48E2-A4F2-955B7494FD8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9F4-420B-9A41-C8659A49A86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9F4-420B-9A41-C8659A49A86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9F4-420B-9A41-C8659A49A86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9F4-420B-9A41-C8659A49A86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katalog_RW!$B$43:$B$46</c:f>
              <c:strCache>
                <c:ptCount val="4"/>
                <c:pt idx="0">
                  <c:v>presje skumulowane wód</c:v>
                </c:pt>
                <c:pt idx="1">
                  <c:v>presje chemiczne i fizykochemiczne</c:v>
                </c:pt>
                <c:pt idx="2">
                  <c:v>presje hydrologiczne</c:v>
                </c:pt>
                <c:pt idx="3">
                  <c:v>presje hydromofologiczne</c:v>
                </c:pt>
              </c:strCache>
            </c:strRef>
          </c:cat>
          <c:val>
            <c:numRef>
              <c:f>katalog_RW!$C$43:$C$46</c:f>
              <c:numCache>
                <c:formatCode>General</c:formatCode>
                <c:ptCount val="4"/>
                <c:pt idx="0">
                  <c:v>26</c:v>
                </c:pt>
                <c:pt idx="1">
                  <c:v>26</c:v>
                </c:pt>
                <c:pt idx="2">
                  <c:v>6</c:v>
                </c:pt>
                <c:pt idx="3">
                  <c:v>42</c:v>
                </c:pt>
              </c:numCache>
            </c:numRef>
          </c:val>
          <c:extLst>
            <c:ext xmlns:c16="http://schemas.microsoft.com/office/drawing/2014/chart" uri="{C3380CC4-5D6E-409C-BE32-E72D297353CC}">
              <c16:uniqueId val="{00000008-09F4-420B-9A41-C8659A49A8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katalog_LW!$B$14</c:f>
              <c:strCache>
                <c:ptCount val="1"/>
                <c:pt idx="0">
                  <c:v>kształtowanie stref buforowych</c:v>
                </c:pt>
              </c:strCache>
            </c:strRef>
          </c:tx>
          <c:spPr>
            <a:solidFill>
              <a:schemeClr val="accent1"/>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katalog_LW!$C$14</c:f>
              <c:numCache>
                <c:formatCode>0%</c:formatCode>
                <c:ptCount val="1"/>
                <c:pt idx="0">
                  <c:v>0.125</c:v>
                </c:pt>
              </c:numCache>
            </c:numRef>
          </c:val>
          <c:extLst>
            <c:ext xmlns:c16="http://schemas.microsoft.com/office/drawing/2014/chart" uri="{C3380CC4-5D6E-409C-BE32-E72D297353CC}">
              <c16:uniqueId val="{00000000-5DB7-4540-8EC8-AAD325CB0A85}"/>
            </c:ext>
          </c:extLst>
        </c:ser>
        <c:ser>
          <c:idx val="1"/>
          <c:order val="1"/>
          <c:tx>
            <c:strRef>
              <c:f>katalog_LW!$B$15</c:f>
              <c:strCache>
                <c:ptCount val="1"/>
                <c:pt idx="0">
                  <c:v>zintegrowany system monitoringu suszy </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katalog_LW!$C$15</c:f>
              <c:numCache>
                <c:formatCode>0%</c:formatCode>
                <c:ptCount val="1"/>
                <c:pt idx="0">
                  <c:v>8.3299999999999999E-2</c:v>
                </c:pt>
              </c:numCache>
            </c:numRef>
          </c:val>
          <c:extLst>
            <c:ext xmlns:c16="http://schemas.microsoft.com/office/drawing/2014/chart" uri="{C3380CC4-5D6E-409C-BE32-E72D297353CC}">
              <c16:uniqueId val="{00000001-5DB7-4540-8EC8-AAD325CB0A85}"/>
            </c:ext>
          </c:extLst>
        </c:ser>
        <c:ser>
          <c:idx val="2"/>
          <c:order val="2"/>
          <c:tx>
            <c:strRef>
              <c:f>katalog_LW!$B$16</c:f>
              <c:strCache>
                <c:ptCount val="1"/>
                <c:pt idx="0">
                  <c:v>indywidualne programy poprawy stanu jcwp</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katalog_LW!$C$16</c:f>
              <c:numCache>
                <c:formatCode>0%</c:formatCode>
                <c:ptCount val="1"/>
                <c:pt idx="0">
                  <c:v>0.25</c:v>
                </c:pt>
              </c:numCache>
            </c:numRef>
          </c:val>
          <c:extLst>
            <c:ext xmlns:c16="http://schemas.microsoft.com/office/drawing/2014/chart" uri="{C3380CC4-5D6E-409C-BE32-E72D297353CC}">
              <c16:uniqueId val="{00000002-5DB7-4540-8EC8-AAD325CB0A85}"/>
            </c:ext>
          </c:extLst>
        </c:ser>
        <c:ser>
          <c:idx val="3"/>
          <c:order val="3"/>
          <c:tx>
            <c:strRef>
              <c:f>katalog_LW!$B$17</c:f>
              <c:strCache>
                <c:ptCount val="1"/>
                <c:pt idx="0">
                  <c:v>edukacja i informacja</c:v>
                </c:pt>
              </c:strCache>
            </c:strRef>
          </c:tx>
          <c:spPr>
            <a:solidFill>
              <a:schemeClr val="accent4"/>
            </a:solidFill>
            <a:ln>
              <a:noFill/>
            </a:ln>
            <a:effectLst>
              <a:outerShdw blurRad="254000" sx="102000" sy="102000" algn="ctr" rotWithShape="0">
                <a:prstClr val="black">
                  <a:alpha val="20000"/>
                </a:prstClr>
              </a:outerShdw>
            </a:effectLst>
          </c:spPr>
          <c:invertIfNegative val="0"/>
          <c:dLbls>
            <c:dLbl>
              <c:idx val="0"/>
              <c:layout>
                <c:manualLayout>
                  <c:x val="-1.9081364829396453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B7-4540-8EC8-AAD325CB0A8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katalog_LW!$C$17</c:f>
              <c:numCache>
                <c:formatCode>0%</c:formatCode>
                <c:ptCount val="1"/>
                <c:pt idx="0">
                  <c:v>4.1700000000000001E-2</c:v>
                </c:pt>
              </c:numCache>
            </c:numRef>
          </c:val>
          <c:extLst>
            <c:ext xmlns:c16="http://schemas.microsoft.com/office/drawing/2014/chart" uri="{C3380CC4-5D6E-409C-BE32-E72D297353CC}">
              <c16:uniqueId val="{00000004-5DB7-4540-8EC8-AAD325CB0A85}"/>
            </c:ext>
          </c:extLst>
        </c:ser>
        <c:ser>
          <c:idx val="4"/>
          <c:order val="4"/>
          <c:tx>
            <c:strRef>
              <c:f>katalog_LW!$B$18</c:f>
              <c:strCache>
                <c:ptCount val="1"/>
                <c:pt idx="0">
                  <c:v>gospodarka ściekowa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katalog_LW!$C$18</c:f>
              <c:numCache>
                <c:formatCode>0%</c:formatCode>
                <c:ptCount val="1"/>
                <c:pt idx="0">
                  <c:v>0.125</c:v>
                </c:pt>
              </c:numCache>
            </c:numRef>
          </c:val>
          <c:extLst>
            <c:ext xmlns:c16="http://schemas.microsoft.com/office/drawing/2014/chart" uri="{C3380CC4-5D6E-409C-BE32-E72D297353CC}">
              <c16:uniqueId val="{00000005-5DB7-4540-8EC8-AAD325CB0A85}"/>
            </c:ext>
          </c:extLst>
        </c:ser>
        <c:ser>
          <c:idx val="5"/>
          <c:order val="5"/>
          <c:tx>
            <c:strRef>
              <c:f>katalog_LW!$B$19</c:f>
              <c:strCache>
                <c:ptCount val="1"/>
                <c:pt idx="0">
                  <c:v>redukcja emisji i zrzutów substancji priorytetowych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katalog_LW!$C$19</c:f>
              <c:numCache>
                <c:formatCode>0%</c:formatCode>
                <c:ptCount val="1"/>
                <c:pt idx="0">
                  <c:v>4.1700000000000001E-2</c:v>
                </c:pt>
              </c:numCache>
            </c:numRef>
          </c:val>
          <c:extLst>
            <c:ext xmlns:c16="http://schemas.microsoft.com/office/drawing/2014/chart" uri="{C3380CC4-5D6E-409C-BE32-E72D297353CC}">
              <c16:uniqueId val="{00000006-5DB7-4540-8EC8-AAD325CB0A85}"/>
            </c:ext>
          </c:extLst>
        </c:ser>
        <c:ser>
          <c:idx val="6"/>
          <c:order val="6"/>
          <c:tx>
            <c:strRef>
              <c:f>katalog_LW!$B$20</c:f>
              <c:strCache>
                <c:ptCount val="1"/>
                <c:pt idx="0">
                  <c:v>ograniczenie zanieczyszczeń rozproszonych z rolnictwa</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katalog_LW!$C$20</c:f>
              <c:numCache>
                <c:formatCode>0%</c:formatCode>
                <c:ptCount val="1"/>
                <c:pt idx="0">
                  <c:v>8.3299999999999999E-2</c:v>
                </c:pt>
              </c:numCache>
            </c:numRef>
          </c:val>
          <c:extLst>
            <c:ext xmlns:c16="http://schemas.microsoft.com/office/drawing/2014/chart" uri="{C3380CC4-5D6E-409C-BE32-E72D297353CC}">
              <c16:uniqueId val="{00000007-5DB7-4540-8EC8-AAD325CB0A85}"/>
            </c:ext>
          </c:extLst>
        </c:ser>
        <c:ser>
          <c:idx val="7"/>
          <c:order val="7"/>
          <c:tx>
            <c:strRef>
              <c:f>katalog_LW!$B$21</c:f>
              <c:strCache>
                <c:ptCount val="1"/>
                <c:pt idx="0">
                  <c:v>weryfikacja programu ochrony środowiska</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katalog_LW!$C$21</c:f>
              <c:numCache>
                <c:formatCode>0%</c:formatCode>
                <c:ptCount val="1"/>
                <c:pt idx="0">
                  <c:v>4.1700000000000001E-2</c:v>
                </c:pt>
              </c:numCache>
            </c:numRef>
          </c:val>
          <c:extLst>
            <c:ext xmlns:c16="http://schemas.microsoft.com/office/drawing/2014/chart" uri="{C3380CC4-5D6E-409C-BE32-E72D297353CC}">
              <c16:uniqueId val="{00000008-5DB7-4540-8EC8-AAD325CB0A85}"/>
            </c:ext>
          </c:extLst>
        </c:ser>
        <c:ser>
          <c:idx val="8"/>
          <c:order val="8"/>
          <c:tx>
            <c:strRef>
              <c:f>katalog_LW!$B$22</c:f>
              <c:strCache>
                <c:ptCount val="1"/>
                <c:pt idx="0">
                  <c:v>monitoring</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katalog_LW!$C$22</c:f>
              <c:numCache>
                <c:formatCode>0%</c:formatCode>
                <c:ptCount val="1"/>
                <c:pt idx="0">
                  <c:v>4.1700000000000001E-2</c:v>
                </c:pt>
              </c:numCache>
            </c:numRef>
          </c:val>
          <c:extLst>
            <c:ext xmlns:c16="http://schemas.microsoft.com/office/drawing/2014/chart" uri="{C3380CC4-5D6E-409C-BE32-E72D297353CC}">
              <c16:uniqueId val="{00000009-5DB7-4540-8EC8-AAD325CB0A85}"/>
            </c:ext>
          </c:extLst>
        </c:ser>
        <c:ser>
          <c:idx val="9"/>
          <c:order val="9"/>
          <c:tx>
            <c:strRef>
              <c:f>katalog_LW!$B$23</c:f>
              <c:strCache>
                <c:ptCount val="1"/>
                <c:pt idx="0">
                  <c:v>poprawy warunków dla obszarów chronionych</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katalog_LW!$C$23</c:f>
              <c:numCache>
                <c:formatCode>0%</c:formatCode>
                <c:ptCount val="1"/>
                <c:pt idx="0">
                  <c:v>0.16670000000000001</c:v>
                </c:pt>
              </c:numCache>
            </c:numRef>
          </c:val>
          <c:extLst>
            <c:ext xmlns:c16="http://schemas.microsoft.com/office/drawing/2014/chart" uri="{C3380CC4-5D6E-409C-BE32-E72D297353CC}">
              <c16:uniqueId val="{0000000A-5DB7-4540-8EC8-AAD325CB0A85}"/>
            </c:ext>
          </c:extLst>
        </c:ser>
        <c:dLbls>
          <c:showLegendKey val="0"/>
          <c:showVal val="0"/>
          <c:showCatName val="0"/>
          <c:showSerName val="0"/>
          <c:showPercent val="0"/>
          <c:showBubbleSize val="0"/>
        </c:dLbls>
        <c:gapWidth val="150"/>
        <c:axId val="791256208"/>
        <c:axId val="791264408"/>
      </c:barChart>
      <c:valAx>
        <c:axId val="7912644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1256208"/>
        <c:crosses val="autoZero"/>
        <c:crossBetween val="between"/>
      </c:valAx>
      <c:catAx>
        <c:axId val="791256208"/>
        <c:scaling>
          <c:orientation val="minMax"/>
        </c:scaling>
        <c:delete val="1"/>
        <c:axPos val="l"/>
        <c:majorTickMark val="out"/>
        <c:minorTickMark val="none"/>
        <c:tickLblPos val="nextTo"/>
        <c:crossAx val="791264408"/>
        <c:crosses val="autoZero"/>
        <c:auto val="1"/>
        <c:lblAlgn val="ctr"/>
        <c:lblOffset val="100"/>
        <c:noMultiLvlLbl val="0"/>
      </c:catAx>
      <c:spPr>
        <a:noFill/>
        <a:ln>
          <a:noFill/>
        </a:ln>
        <a:effectLst/>
      </c:spPr>
    </c:plotArea>
    <c:legend>
      <c:legendPos val="r"/>
      <c:layout>
        <c:manualLayout>
          <c:xMode val="edge"/>
          <c:yMode val="edge"/>
          <c:x val="0.59908605174353213"/>
          <c:y val="5.3836606267590043E-2"/>
          <c:w val="0.3883983252093488"/>
          <c:h val="0.92606864626534346"/>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C65-484C-9782-2E99752C0EB0}"/>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C65-484C-9782-2E99752C0EB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katalog_LW!$B$3:$B$4</c:f>
              <c:strCache>
                <c:ptCount val="2"/>
                <c:pt idx="0">
                  <c:v>działania podstawowe</c:v>
                </c:pt>
                <c:pt idx="1">
                  <c:v>działania uzupełniające</c:v>
                </c:pt>
              </c:strCache>
            </c:strRef>
          </c:cat>
          <c:val>
            <c:numRef>
              <c:f>katalog_LW!$C$3:$C$4</c:f>
              <c:numCache>
                <c:formatCode>0%</c:formatCode>
                <c:ptCount val="2"/>
                <c:pt idx="0">
                  <c:v>0.625</c:v>
                </c:pt>
                <c:pt idx="1">
                  <c:v>0.375</c:v>
                </c:pt>
              </c:numCache>
            </c:numRef>
          </c:val>
          <c:extLst>
            <c:ext xmlns:c16="http://schemas.microsoft.com/office/drawing/2014/chart" uri="{C3380CC4-5D6E-409C-BE32-E72D297353CC}">
              <c16:uniqueId val="{00000004-5C65-484C-9782-2E99752C0EB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971-4B04-8095-F904C04E324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971-4B04-8095-F904C04E324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971-4B04-8095-F904C04E324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971-4B04-8095-F904C04E324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katalog_LW!$B$49:$B$52</c:f>
              <c:strCache>
                <c:ptCount val="4"/>
                <c:pt idx="0">
                  <c:v>presje skumulowane wód</c:v>
                </c:pt>
                <c:pt idx="1">
                  <c:v>presje chemiczne i fizykochemiczne</c:v>
                </c:pt>
                <c:pt idx="2">
                  <c:v>presje hydrologiczne</c:v>
                </c:pt>
                <c:pt idx="3">
                  <c:v>presje hydromofologiczne</c:v>
                </c:pt>
              </c:strCache>
            </c:strRef>
          </c:cat>
          <c:val>
            <c:numRef>
              <c:f>katalog_LW!$C$49:$C$52</c:f>
              <c:numCache>
                <c:formatCode>General</c:formatCode>
                <c:ptCount val="4"/>
                <c:pt idx="0">
                  <c:v>50</c:v>
                </c:pt>
                <c:pt idx="1">
                  <c:v>29</c:v>
                </c:pt>
                <c:pt idx="2">
                  <c:v>8</c:v>
                </c:pt>
                <c:pt idx="3">
                  <c:v>13</c:v>
                </c:pt>
              </c:numCache>
            </c:numRef>
          </c:val>
          <c:extLst>
            <c:ext xmlns:c16="http://schemas.microsoft.com/office/drawing/2014/chart" uri="{C3380CC4-5D6E-409C-BE32-E72D297353CC}">
              <c16:uniqueId val="{00000008-7971-4B04-8095-F904C04E324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katalog_jcwpd!$B$9</c:f>
              <c:strCache>
                <c:ptCount val="1"/>
                <c:pt idx="0">
                  <c:v>gospodarka komunalna</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8175853018372703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5C-48CB-85A1-F4CB001C577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katalog_jcwpd!$C$9</c:f>
              <c:numCache>
                <c:formatCode>0%</c:formatCode>
                <c:ptCount val="1"/>
                <c:pt idx="0">
                  <c:v>0.41</c:v>
                </c:pt>
              </c:numCache>
            </c:numRef>
          </c:val>
          <c:extLst>
            <c:ext xmlns:c16="http://schemas.microsoft.com/office/drawing/2014/chart" uri="{C3380CC4-5D6E-409C-BE32-E72D297353CC}">
              <c16:uniqueId val="{00000001-A75C-48CB-85A1-F4CB001C5774}"/>
            </c:ext>
          </c:extLst>
        </c:ser>
        <c:ser>
          <c:idx val="1"/>
          <c:order val="1"/>
          <c:tx>
            <c:strRef>
              <c:f>katalog_jcwpd!$B$10</c:f>
              <c:strCache>
                <c:ptCount val="1"/>
                <c:pt idx="0">
                  <c:v>leśnictwo</c:v>
                </c:pt>
              </c:strCache>
            </c:strRef>
          </c:tx>
          <c:spPr>
            <a:solidFill>
              <a:schemeClr val="accent2"/>
            </a:solidFill>
            <a:ln>
              <a:noFill/>
            </a:ln>
            <a:effectLst>
              <a:outerShdw blurRad="254000" sx="102000" sy="102000" algn="ctr" rotWithShape="0">
                <a:prstClr val="black">
                  <a:alpha val="20000"/>
                </a:prstClr>
              </a:outerShdw>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0E2-4ECD-A7DB-A8D7C3196357}"/>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katalog_jcwpd!$C$10</c:f>
              <c:numCache>
                <c:formatCode>0%</c:formatCode>
                <c:ptCount val="1"/>
                <c:pt idx="0">
                  <c:v>2.5000000000000001E-2</c:v>
                </c:pt>
              </c:numCache>
            </c:numRef>
          </c:val>
          <c:extLst>
            <c:ext xmlns:c16="http://schemas.microsoft.com/office/drawing/2014/chart" uri="{C3380CC4-5D6E-409C-BE32-E72D297353CC}">
              <c16:uniqueId val="{00000002-A75C-48CB-85A1-F4CB001C5774}"/>
            </c:ext>
          </c:extLst>
        </c:ser>
        <c:ser>
          <c:idx val="2"/>
          <c:order val="2"/>
          <c:tx>
            <c:strRef>
              <c:f>katalog_jcwpd!$B$11</c:f>
              <c:strCache>
                <c:ptCount val="1"/>
                <c:pt idx="0">
                  <c:v>przemysł</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katalog_jcwpd!$C$11</c:f>
              <c:numCache>
                <c:formatCode>0%</c:formatCode>
                <c:ptCount val="1"/>
                <c:pt idx="0">
                  <c:v>0.17499999999999999</c:v>
                </c:pt>
              </c:numCache>
            </c:numRef>
          </c:val>
          <c:extLst>
            <c:ext xmlns:c16="http://schemas.microsoft.com/office/drawing/2014/chart" uri="{C3380CC4-5D6E-409C-BE32-E72D297353CC}">
              <c16:uniqueId val="{00000003-A75C-48CB-85A1-F4CB001C5774}"/>
            </c:ext>
          </c:extLst>
        </c:ser>
        <c:ser>
          <c:idx val="3"/>
          <c:order val="3"/>
          <c:tx>
            <c:strRef>
              <c:f>katalog_jcwpd!$B$12</c:f>
              <c:strCache>
                <c:ptCount val="1"/>
                <c:pt idx="0">
                  <c:v>rolnictwo</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katalog_jcwpd!$C$12</c:f>
              <c:numCache>
                <c:formatCode>0%</c:formatCode>
                <c:ptCount val="1"/>
                <c:pt idx="0">
                  <c:v>0.1</c:v>
                </c:pt>
              </c:numCache>
            </c:numRef>
          </c:val>
          <c:extLst>
            <c:ext xmlns:c16="http://schemas.microsoft.com/office/drawing/2014/chart" uri="{C3380CC4-5D6E-409C-BE32-E72D297353CC}">
              <c16:uniqueId val="{00000004-A75C-48CB-85A1-F4CB001C5774}"/>
            </c:ext>
          </c:extLst>
        </c:ser>
        <c:ser>
          <c:idx val="4"/>
          <c:order val="4"/>
          <c:tx>
            <c:strRef>
              <c:f>katalog_jcwpd!$B$13</c:f>
              <c:strCache>
                <c:ptCount val="1"/>
                <c:pt idx="0">
                  <c:v>inne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katalog_jcwpd!$C$13</c:f>
              <c:numCache>
                <c:formatCode>0%</c:formatCode>
                <c:ptCount val="1"/>
                <c:pt idx="0">
                  <c:v>0.28999999999999998</c:v>
                </c:pt>
              </c:numCache>
            </c:numRef>
          </c:val>
          <c:extLst>
            <c:ext xmlns:c16="http://schemas.microsoft.com/office/drawing/2014/chart" uri="{C3380CC4-5D6E-409C-BE32-E72D297353CC}">
              <c16:uniqueId val="{00000005-A75C-48CB-85A1-F4CB001C5774}"/>
            </c:ext>
          </c:extLst>
        </c:ser>
        <c:dLbls>
          <c:showLegendKey val="0"/>
          <c:showVal val="0"/>
          <c:showCatName val="0"/>
          <c:showSerName val="0"/>
          <c:showPercent val="0"/>
          <c:showBubbleSize val="0"/>
        </c:dLbls>
        <c:gapWidth val="150"/>
        <c:axId val="1312206984"/>
        <c:axId val="1312204032"/>
      </c:barChart>
      <c:valAx>
        <c:axId val="131220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206984"/>
        <c:crosses val="autoZero"/>
        <c:crossBetween val="between"/>
      </c:valAx>
      <c:catAx>
        <c:axId val="1312206984"/>
        <c:scaling>
          <c:orientation val="minMax"/>
        </c:scaling>
        <c:delete val="1"/>
        <c:axPos val="l"/>
        <c:majorTickMark val="out"/>
        <c:minorTickMark val="none"/>
        <c:tickLblPos val="nextTo"/>
        <c:crossAx val="1312204032"/>
        <c:crosses val="autoZero"/>
        <c:auto val="1"/>
        <c:lblAlgn val="ctr"/>
        <c:lblOffset val="100"/>
        <c:noMultiLvlLbl val="0"/>
      </c:catAx>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08-484B-92BA-5E0B3580C277}"/>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08-484B-92BA-5E0B3580C27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katalog_jcwpd!$B$3:$B$4</c:f>
              <c:strCache>
                <c:ptCount val="2"/>
                <c:pt idx="0">
                  <c:v>działania podstawowe</c:v>
                </c:pt>
                <c:pt idx="1">
                  <c:v>działania uzupełniające</c:v>
                </c:pt>
              </c:strCache>
            </c:strRef>
          </c:cat>
          <c:val>
            <c:numRef>
              <c:f>katalog_jcwpd!$C$3:$C$4</c:f>
              <c:numCache>
                <c:formatCode>0%</c:formatCode>
                <c:ptCount val="2"/>
                <c:pt idx="0">
                  <c:v>0.25</c:v>
                </c:pt>
                <c:pt idx="1">
                  <c:v>0.75</c:v>
                </c:pt>
              </c:numCache>
            </c:numRef>
          </c:val>
          <c:extLst>
            <c:ext xmlns:c16="http://schemas.microsoft.com/office/drawing/2014/chart" uri="{C3380CC4-5D6E-409C-BE32-E72D297353CC}">
              <c16:uniqueId val="{00000004-5308-484B-92BA-5E0B3580C27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0F2-4D73-8E24-DA2EE266B5E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0F2-4D73-8E24-DA2EE266B5E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0F2-4D73-8E24-DA2EE266B5E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0F2-4D73-8E24-DA2EE266B5EB}"/>
              </c:ext>
            </c:extLst>
          </c:dPt>
          <c:dPt>
            <c:idx val="4"/>
            <c:bubble3D val="0"/>
            <c:spPr>
              <a:solidFill>
                <a:schemeClr val="accent4">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0F2-4D73-8E24-DA2EE266B5E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0F2-4D73-8E24-DA2EE266B5EB}"/>
              </c:ext>
            </c:extLst>
          </c:dPt>
          <c:dLbls>
            <c:dLbl>
              <c:idx val="0"/>
              <c:layout>
                <c:manualLayout>
                  <c:x val="-8.0190288713910707E-2"/>
                  <c:y val="0.2101549285505978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F2-4D73-8E24-DA2EE266B5EB}"/>
                </c:ext>
              </c:extLst>
            </c:dLbl>
            <c:dLbl>
              <c:idx val="1"/>
              <c:layout>
                <c:manualLayout>
                  <c:x val="-0.12283005249343833"/>
                  <c:y val="0.111399825021872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F2-4D73-8E24-DA2EE266B5EB}"/>
                </c:ext>
              </c:extLst>
            </c:dLbl>
            <c:dLbl>
              <c:idx val="2"/>
              <c:layout>
                <c:manualLayout>
                  <c:x val="-0.13033267716535438"/>
                  <c:y val="-8.7976086322543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F2-4D73-8E24-DA2EE266B5EB}"/>
                </c:ext>
              </c:extLst>
            </c:dLbl>
            <c:dLbl>
              <c:idx val="3"/>
              <c:layout>
                <c:manualLayout>
                  <c:x val="-2.9750218722659667E-2"/>
                  <c:y val="-0.121790974044910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0F2-4D73-8E24-DA2EE266B5EB}"/>
                </c:ext>
              </c:extLst>
            </c:dLbl>
            <c:dLbl>
              <c:idx val="4"/>
              <c:layout>
                <c:manualLayout>
                  <c:x val="-1.111220472440945E-2"/>
                  <c:y val="-0.115266477107028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0F2-4D73-8E24-DA2EE266B5EB}"/>
                </c:ext>
              </c:extLst>
            </c:dLbl>
            <c:dLbl>
              <c:idx val="5"/>
              <c:layout>
                <c:manualLayout>
                  <c:x val="0.15370319335083116"/>
                  <c:y val="-1.659448818897637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0F2-4D73-8E24-DA2EE266B5E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katalog_jcwpd!$B$29:$B$34</c:f>
              <c:strCache>
                <c:ptCount val="6"/>
                <c:pt idx="0">
                  <c:v>organizacyjno-prawne</c:v>
                </c:pt>
                <c:pt idx="1">
                  <c:v>monitoring środowiska</c:v>
                </c:pt>
                <c:pt idx="2">
                  <c:v>administracyjne</c:v>
                </c:pt>
                <c:pt idx="3">
                  <c:v>edukacyjne</c:v>
                </c:pt>
                <c:pt idx="4">
                  <c:v>naukowo badawcze</c:v>
                </c:pt>
                <c:pt idx="5">
                  <c:v>pozostałe</c:v>
                </c:pt>
              </c:strCache>
            </c:strRef>
          </c:cat>
          <c:val>
            <c:numRef>
              <c:f>katalog_jcwpd!$C$29:$C$34</c:f>
              <c:numCache>
                <c:formatCode>General</c:formatCode>
                <c:ptCount val="6"/>
                <c:pt idx="0">
                  <c:v>10</c:v>
                </c:pt>
                <c:pt idx="1">
                  <c:v>17.5</c:v>
                </c:pt>
                <c:pt idx="2">
                  <c:v>17.5</c:v>
                </c:pt>
                <c:pt idx="3">
                  <c:v>5</c:v>
                </c:pt>
                <c:pt idx="4">
                  <c:v>2.5</c:v>
                </c:pt>
                <c:pt idx="5">
                  <c:v>47.5</c:v>
                </c:pt>
              </c:numCache>
            </c:numRef>
          </c:val>
          <c:extLst>
            <c:ext xmlns:c16="http://schemas.microsoft.com/office/drawing/2014/chart" uri="{C3380CC4-5D6E-409C-BE32-E72D297353CC}">
              <c16:uniqueId val="{0000000C-90F2-4D73-8E24-DA2EE266B5E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5D7-4A9C-9ED8-13687101F7C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5D7-4A9C-9ED8-13687101F7C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5D7-4A9C-9ED8-13687101F7C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5D7-4A9C-9ED8-13687101F7C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5D7-4A9C-9ED8-13687101F7C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katalog_jcwpd!$C$53:$C$57</c:f>
              <c:strCache>
                <c:ptCount val="5"/>
                <c:pt idx="0">
                  <c:v>Presje ilościowe</c:v>
                </c:pt>
                <c:pt idx="1">
                  <c:v>Presje chemiczne</c:v>
                </c:pt>
                <c:pt idx="2">
                  <c:v>Presje chemiczne A (rolnictwo i gospodarka komunalna)</c:v>
                </c:pt>
                <c:pt idx="3">
                  <c:v>Presje chemiczne B (przemysł i urbanizacja)</c:v>
                </c:pt>
                <c:pt idx="4">
                  <c:v>Presje ilościowe i chemiczne</c:v>
                </c:pt>
              </c:strCache>
            </c:strRef>
          </c:cat>
          <c:val>
            <c:numRef>
              <c:f>katalog_jcwpd!$D$53:$D$57</c:f>
              <c:numCache>
                <c:formatCode>0%</c:formatCode>
                <c:ptCount val="5"/>
                <c:pt idx="0">
                  <c:v>0.55000000000000004</c:v>
                </c:pt>
                <c:pt idx="1">
                  <c:v>0.15</c:v>
                </c:pt>
                <c:pt idx="2" formatCode="0.0%">
                  <c:v>7.4999999999999997E-2</c:v>
                </c:pt>
                <c:pt idx="3">
                  <c:v>0.1</c:v>
                </c:pt>
                <c:pt idx="4" formatCode="0.0%">
                  <c:v>0.125</c:v>
                </c:pt>
              </c:numCache>
            </c:numRef>
          </c:val>
          <c:extLst>
            <c:ext xmlns:c16="http://schemas.microsoft.com/office/drawing/2014/chart" uri="{C3380CC4-5D6E-409C-BE32-E72D297353CC}">
              <c16:uniqueId val="{0000000A-D5D7-4A9C-9ED8-13687101F7C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[ZestawieniaTabelaryczne_Pregola.xlsx]RW!$F$4</c:f>
              <c:strCache>
                <c:ptCount val="1"/>
                <c:pt idx="0">
                  <c:v>% jcwp z zestawem działań</c:v>
                </c:pt>
              </c:strCache>
            </c:strRef>
          </c:tx>
          <c:spPr>
            <a:solidFill>
              <a:schemeClr val="accent3"/>
            </a:solidFill>
            <a:ln>
              <a:noFill/>
            </a:ln>
            <a:effectLst/>
          </c:spPr>
          <c:invertIfNegative val="0"/>
          <c:cat>
            <c:strRef>
              <c:f>[ZestawieniaTabelaryczne_Pregola.xlsx]RW!$B$6</c:f>
              <c:strCache>
                <c:ptCount val="1"/>
                <c:pt idx="0">
                  <c:v>Region wodny Łyny i Węgorapy</c:v>
                </c:pt>
              </c:strCache>
            </c:strRef>
          </c:cat>
          <c:val>
            <c:numRef>
              <c:f>[ZestawieniaTabelaryczne_Pregola.xlsx]RW!$F$6</c:f>
              <c:numCache>
                <c:formatCode>0.00%</c:formatCode>
                <c:ptCount val="1"/>
                <c:pt idx="0">
                  <c:v>0.81699999999999995</c:v>
                </c:pt>
              </c:numCache>
            </c:numRef>
          </c:val>
          <c:extLst>
            <c:ext xmlns:c16="http://schemas.microsoft.com/office/drawing/2014/chart" uri="{C3380CC4-5D6E-409C-BE32-E72D297353CC}">
              <c16:uniqueId val="{00000000-1898-4FEC-B158-87EB98548C04}"/>
            </c:ext>
          </c:extLst>
        </c:ser>
        <c:ser>
          <c:idx val="1"/>
          <c:order val="1"/>
          <c:tx>
            <c:strRef>
              <c:f>[ZestawieniaTabelaryczne_Pregola.xlsx]RW!$G$4</c:f>
              <c:strCache>
                <c:ptCount val="1"/>
                <c:pt idx="0">
                  <c:v>% jcwp bez zestawu działań (realizacja działań krajowych)</c:v>
                </c:pt>
              </c:strCache>
            </c:strRef>
          </c:tx>
          <c:spPr>
            <a:solidFill>
              <a:schemeClr val="accent6"/>
            </a:solidFill>
            <a:ln>
              <a:noFill/>
            </a:ln>
            <a:effectLst/>
          </c:spPr>
          <c:invertIfNegative val="0"/>
          <c:cat>
            <c:strRef>
              <c:f>[ZestawieniaTabelaryczne_Pregola.xlsx]RW!$B$6</c:f>
              <c:strCache>
                <c:ptCount val="1"/>
                <c:pt idx="0">
                  <c:v>Region wodny Łyny i Węgorapy</c:v>
                </c:pt>
              </c:strCache>
            </c:strRef>
          </c:cat>
          <c:val>
            <c:numRef>
              <c:f>[ZestawieniaTabelaryczne_Pregola.xlsx]RW!$G$6</c:f>
              <c:numCache>
                <c:formatCode>0.00%</c:formatCode>
                <c:ptCount val="1"/>
                <c:pt idx="0">
                  <c:v>0.18300000000000005</c:v>
                </c:pt>
              </c:numCache>
            </c:numRef>
          </c:val>
          <c:extLst>
            <c:ext xmlns:c16="http://schemas.microsoft.com/office/drawing/2014/chart" uri="{C3380CC4-5D6E-409C-BE32-E72D297353CC}">
              <c16:uniqueId val="{00000001-1898-4FEC-B158-87EB98548C04}"/>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1"/>
        <c:lblAlgn val="ctr"/>
        <c:lblOffset val="100"/>
        <c:noMultiLvlLbl val="0"/>
      </c:catAx>
      <c:valAx>
        <c:axId val="1044451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AE5-4BA0-B879-35E2A1111EA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AE5-4BA0-B879-35E2A1111EA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AE5-4BA0-B879-35E2A1111EA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AE5-4BA0-B879-35E2A1111EA1}"/>
              </c:ext>
            </c:extLst>
          </c:dPt>
          <c:dLbls>
            <c:dLbl>
              <c:idx val="0"/>
              <c:layout>
                <c:manualLayout>
                  <c:x val="7.4947952810548127E-2"/>
                  <c:y val="-9.082652134423255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AE5-4BA0-B879-35E2A1111EA1}"/>
                </c:ext>
              </c:extLst>
            </c:dLbl>
            <c:dLbl>
              <c:idx val="1"/>
              <c:layout>
                <c:manualLayout>
                  <c:x val="-0.10825815405968073"/>
                  <c:y val="0.1044504995458672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AE5-4BA0-B879-35E2A1111EA1}"/>
                </c:ext>
              </c:extLst>
            </c:dLbl>
            <c:dLbl>
              <c:idx val="2"/>
              <c:layout>
                <c:manualLayout>
                  <c:x val="-7.4947952810548252E-2"/>
                  <c:y val="-6.35785649409627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AE5-4BA0-B879-35E2A1111EA1}"/>
                </c:ext>
              </c:extLst>
            </c:dLbl>
            <c:dLbl>
              <c:idx val="3"/>
              <c:layout>
                <c:manualLayout>
                  <c:x val="-8.0499653018736933E-2"/>
                  <c:y val="-6.35785649409627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AE5-4BA0-B879-35E2A1111EA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Arkusz3!$C$17:$C$20</c:f>
              <c:strCache>
                <c:ptCount val="4"/>
                <c:pt idx="0">
                  <c:v>Wsd_a</c:v>
                </c:pt>
                <c:pt idx="1">
                  <c:v>Wsd_b</c:v>
                </c:pt>
                <c:pt idx="2">
                  <c:v>Wsm_a</c:v>
                </c:pt>
                <c:pt idx="3">
                  <c:v>Wsm_b</c:v>
                </c:pt>
              </c:strCache>
            </c:strRef>
          </c:cat>
          <c:val>
            <c:numRef>
              <c:f>Arkusz3!$D$17:$D$20</c:f>
              <c:numCache>
                <c:formatCode>General</c:formatCode>
                <c:ptCount val="4"/>
                <c:pt idx="0">
                  <c:v>39</c:v>
                </c:pt>
                <c:pt idx="1">
                  <c:v>32</c:v>
                </c:pt>
                <c:pt idx="2">
                  <c:v>31</c:v>
                </c:pt>
                <c:pt idx="3">
                  <c:v>3</c:v>
                </c:pt>
              </c:numCache>
            </c:numRef>
          </c:val>
          <c:extLst>
            <c:ext xmlns:c16="http://schemas.microsoft.com/office/drawing/2014/chart" uri="{C3380CC4-5D6E-409C-BE32-E72D297353CC}">
              <c16:uniqueId val="{00000008-3AE5-4BA0-B879-35E2A1111EA1}"/>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PREGOŁA!$B$29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PREGOŁA!$C$29:$E$29</c:f>
              <c:numCache>
                <c:formatCode>General</c:formatCode>
                <c:ptCount val="3"/>
                <c:pt idx="0">
                  <c:v>208</c:v>
                </c:pt>
              </c:numCache>
            </c:numRef>
          </c:val>
          <c:extLst>
            <c:ext xmlns:c16="http://schemas.microsoft.com/office/drawing/2014/chart" uri="{C3380CC4-5D6E-409C-BE32-E72D297353CC}">
              <c16:uniqueId val="{00000000-5C69-4990-9324-44E1B620CED9}"/>
            </c:ext>
          </c:extLst>
        </c:ser>
        <c:ser>
          <c:idx val="1"/>
          <c:order val="1"/>
          <c:tx>
            <c:strRef>
              <c:f>PREGOŁA!$B$30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PREGOŁA!$C$30:$E$30</c:f>
              <c:numCache>
                <c:formatCode>General</c:formatCode>
                <c:ptCount val="3"/>
                <c:pt idx="0">
                  <c:v>91</c:v>
                </c:pt>
              </c:numCache>
            </c:numRef>
          </c:val>
          <c:extLst>
            <c:ext xmlns:c16="http://schemas.microsoft.com/office/drawing/2014/chart" uri="{C3380CC4-5D6E-409C-BE32-E72D297353CC}">
              <c16:uniqueId val="{00000001-5C69-4990-9324-44E1B620CED9}"/>
            </c:ext>
          </c:extLst>
        </c:ser>
        <c:ser>
          <c:idx val="2"/>
          <c:order val="2"/>
          <c:tx>
            <c:strRef>
              <c:f>PREGOŁA!$B$31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PREGOŁA!$C$31:$E$31</c:f>
              <c:numCache>
                <c:formatCode>General</c:formatCode>
                <c:ptCount val="3"/>
                <c:pt idx="1">
                  <c:v>179</c:v>
                </c:pt>
              </c:numCache>
            </c:numRef>
          </c:val>
          <c:extLst>
            <c:ext xmlns:c16="http://schemas.microsoft.com/office/drawing/2014/chart" uri="{C3380CC4-5D6E-409C-BE32-E72D297353CC}">
              <c16:uniqueId val="{00000002-5C69-4990-9324-44E1B620CED9}"/>
            </c:ext>
          </c:extLst>
        </c:ser>
        <c:ser>
          <c:idx val="3"/>
          <c:order val="3"/>
          <c:tx>
            <c:strRef>
              <c:f>PREGOŁA!$B$32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PREGOŁA!$C$32:$E$32</c:f>
              <c:numCache>
                <c:formatCode>General</c:formatCode>
                <c:ptCount val="3"/>
                <c:pt idx="1">
                  <c:v>83</c:v>
                </c:pt>
              </c:numCache>
            </c:numRef>
          </c:val>
          <c:extLst>
            <c:ext xmlns:c16="http://schemas.microsoft.com/office/drawing/2014/chart" uri="{C3380CC4-5D6E-409C-BE32-E72D297353CC}">
              <c16:uniqueId val="{00000003-5C69-4990-9324-44E1B620CED9}"/>
            </c:ext>
          </c:extLst>
        </c:ser>
        <c:ser>
          <c:idx val="4"/>
          <c:order val="4"/>
          <c:tx>
            <c:strRef>
              <c:f>PREGOŁA!$B$33</c:f>
              <c:strCache>
                <c:ptCount val="1"/>
                <c:pt idx="0">
                  <c:v>techniczne / nietechniczne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PREGOŁA!$C$33:$E$33</c:f>
              <c:numCache>
                <c:formatCode>General</c:formatCode>
                <c:ptCount val="3"/>
                <c:pt idx="1">
                  <c:v>37</c:v>
                </c:pt>
              </c:numCache>
            </c:numRef>
          </c:val>
          <c:extLst>
            <c:ext xmlns:c16="http://schemas.microsoft.com/office/drawing/2014/chart" uri="{C3380CC4-5D6E-409C-BE32-E72D297353CC}">
              <c16:uniqueId val="{00000004-5C69-4990-9324-44E1B620CED9}"/>
            </c:ext>
          </c:extLst>
        </c:ser>
        <c:ser>
          <c:idx val="5"/>
          <c:order val="5"/>
          <c:tx>
            <c:strRef>
              <c:f>PREGOŁA!$B$34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PREGOŁA!$C$34:$E$34</c:f>
              <c:numCache>
                <c:formatCode>General</c:formatCode>
                <c:ptCount val="3"/>
                <c:pt idx="2" formatCode="0">
                  <c:v>100</c:v>
                </c:pt>
              </c:numCache>
            </c:numRef>
          </c:val>
          <c:extLst>
            <c:ext xmlns:c16="http://schemas.microsoft.com/office/drawing/2014/chart" uri="{C3380CC4-5D6E-409C-BE32-E72D297353CC}">
              <c16:uniqueId val="{00000005-5C69-4990-9324-44E1B620CED9}"/>
            </c:ext>
          </c:extLst>
        </c:ser>
        <c:ser>
          <c:idx val="6"/>
          <c:order val="6"/>
          <c:tx>
            <c:strRef>
              <c:f>PREGOŁA!$B$35</c:f>
              <c:strCache>
                <c:ptCount val="1"/>
                <c:pt idx="0">
                  <c:v>hydromorfologiczne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PREGOŁA!$C$35:$E$35</c:f>
              <c:numCache>
                <c:formatCode>General</c:formatCode>
                <c:ptCount val="3"/>
                <c:pt idx="2" formatCode="0">
                  <c:v>51</c:v>
                </c:pt>
              </c:numCache>
            </c:numRef>
          </c:val>
          <c:extLst>
            <c:ext xmlns:c16="http://schemas.microsoft.com/office/drawing/2014/chart" uri="{C3380CC4-5D6E-409C-BE32-E72D297353CC}">
              <c16:uniqueId val="{00000006-5C69-4990-9324-44E1B620CED9}"/>
            </c:ext>
          </c:extLst>
        </c:ser>
        <c:ser>
          <c:idx val="7"/>
          <c:order val="7"/>
          <c:tx>
            <c:strRef>
              <c:f>PREGOŁA!$B$36</c:f>
              <c:strCache>
                <c:ptCount val="1"/>
                <c:pt idx="0">
                  <c:v>hydrologiczne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PREGOŁA!$C$36:$E$36</c:f>
              <c:numCache>
                <c:formatCode>General</c:formatCode>
                <c:ptCount val="3"/>
                <c:pt idx="2" formatCode="0">
                  <c:v>4</c:v>
                </c:pt>
              </c:numCache>
            </c:numRef>
          </c:val>
          <c:extLst>
            <c:ext xmlns:c16="http://schemas.microsoft.com/office/drawing/2014/chart" uri="{C3380CC4-5D6E-409C-BE32-E72D297353CC}">
              <c16:uniqueId val="{00000007-5C69-4990-9324-44E1B620CED9}"/>
            </c:ext>
          </c:extLst>
        </c:ser>
        <c:ser>
          <c:idx val="8"/>
          <c:order val="8"/>
          <c:tx>
            <c:strRef>
              <c:f>PREGOŁA!$B$37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PREGOŁA!$C$37:$E$37</c:f>
              <c:numCache>
                <c:formatCode>General</c:formatCode>
                <c:ptCount val="3"/>
                <c:pt idx="2" formatCode="0">
                  <c:v>144</c:v>
                </c:pt>
              </c:numCache>
            </c:numRef>
          </c:val>
          <c:extLst>
            <c:ext xmlns:c16="http://schemas.microsoft.com/office/drawing/2014/chart" uri="{C3380CC4-5D6E-409C-BE32-E72D297353CC}">
              <c16:uniqueId val="{00000008-5C69-4990-9324-44E1B620CED9}"/>
            </c:ext>
          </c:extLst>
        </c:ser>
        <c:dLbls>
          <c:showLegendKey val="0"/>
          <c:showVal val="0"/>
          <c:showCatName val="0"/>
          <c:showSerName val="0"/>
          <c:showPercent val="0"/>
          <c:showBubbleSize val="0"/>
        </c:dLbls>
        <c:gapWidth val="150"/>
        <c:overlap val="100"/>
        <c:axId val="285830144"/>
        <c:axId val="302667392"/>
      </c:barChart>
      <c:catAx>
        <c:axId val="28583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667392"/>
        <c:crosses val="autoZero"/>
        <c:auto val="1"/>
        <c:lblAlgn val="ctr"/>
        <c:lblOffset val="100"/>
        <c:noMultiLvlLbl val="0"/>
      </c:catAx>
      <c:valAx>
        <c:axId val="30266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5830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RW!$F$4</c:f>
              <c:strCache>
                <c:ptCount val="1"/>
                <c:pt idx="0">
                  <c:v>% jcwp z zestawem działań</c:v>
                </c:pt>
              </c:strCache>
            </c:strRef>
          </c:tx>
          <c:spPr>
            <a:solidFill>
              <a:schemeClr val="accent3"/>
            </a:solidFill>
            <a:ln>
              <a:noFill/>
            </a:ln>
            <a:effectLst/>
          </c:spPr>
          <c:invertIfNegative val="0"/>
          <c:cat>
            <c:strRef>
              <c:f>RW!$B$6</c:f>
              <c:strCache>
                <c:ptCount val="1"/>
                <c:pt idx="0">
                  <c:v>region wodny Łyny i Węgorapy</c:v>
                </c:pt>
              </c:strCache>
            </c:strRef>
          </c:cat>
          <c:val>
            <c:numRef>
              <c:f>RW!$F$6</c:f>
              <c:numCache>
                <c:formatCode>0.00%</c:formatCode>
                <c:ptCount val="1"/>
                <c:pt idx="0">
                  <c:v>0.56000000000000005</c:v>
                </c:pt>
              </c:numCache>
            </c:numRef>
          </c:val>
          <c:extLst>
            <c:ext xmlns:c16="http://schemas.microsoft.com/office/drawing/2014/chart" uri="{C3380CC4-5D6E-409C-BE32-E72D297353CC}">
              <c16:uniqueId val="{00000000-82E1-447F-866A-155DA73B99BA}"/>
            </c:ext>
          </c:extLst>
        </c:ser>
        <c:ser>
          <c:idx val="1"/>
          <c:order val="1"/>
          <c:tx>
            <c:strRef>
              <c:f>RW!$G$4</c:f>
              <c:strCache>
                <c:ptCount val="1"/>
                <c:pt idx="0">
                  <c:v>% jcwp bez zestawu działań (realizacja działań krajowych)</c:v>
                </c:pt>
              </c:strCache>
            </c:strRef>
          </c:tx>
          <c:spPr>
            <a:solidFill>
              <a:schemeClr val="accent6"/>
            </a:solidFill>
            <a:ln>
              <a:noFill/>
            </a:ln>
            <a:effectLst/>
          </c:spPr>
          <c:invertIfNegative val="0"/>
          <c:cat>
            <c:strRef>
              <c:f>RW!$B$6</c:f>
              <c:strCache>
                <c:ptCount val="1"/>
                <c:pt idx="0">
                  <c:v>region wodny Łyny i Węgorapy</c:v>
                </c:pt>
              </c:strCache>
            </c:strRef>
          </c:cat>
          <c:val>
            <c:numRef>
              <c:f>RW!$G$6</c:f>
              <c:numCache>
                <c:formatCode>0.00%</c:formatCode>
                <c:ptCount val="1"/>
                <c:pt idx="0">
                  <c:v>0.43999999999999995</c:v>
                </c:pt>
              </c:numCache>
            </c:numRef>
          </c:val>
          <c:extLst>
            <c:ext xmlns:c16="http://schemas.microsoft.com/office/drawing/2014/chart" uri="{C3380CC4-5D6E-409C-BE32-E72D297353CC}">
              <c16:uniqueId val="{00000001-82E1-447F-866A-155DA73B99BA}"/>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1"/>
        <c:lblAlgn val="ctr"/>
        <c:lblOffset val="100"/>
        <c:noMultiLvlLbl val="0"/>
      </c:catAx>
      <c:valAx>
        <c:axId val="1044451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50979325779885"/>
          <c:y val="4.9172236761477459E-2"/>
          <c:w val="0.77715641084803311"/>
          <c:h val="0.87797311531061872"/>
        </c:manualLayout>
      </c:layout>
      <c:barChart>
        <c:barDir val="col"/>
        <c:grouping val="stacked"/>
        <c:varyColors val="0"/>
        <c:ser>
          <c:idx val="0"/>
          <c:order val="0"/>
          <c:tx>
            <c:strRef>
              <c:f>PREGOŁA!$B$29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PREGOŁA!$C$29:$E$29</c:f>
              <c:numCache>
                <c:formatCode>General</c:formatCode>
                <c:ptCount val="3"/>
                <c:pt idx="0">
                  <c:v>119</c:v>
                </c:pt>
              </c:numCache>
            </c:numRef>
          </c:val>
          <c:extLst>
            <c:ext xmlns:c16="http://schemas.microsoft.com/office/drawing/2014/chart" uri="{C3380CC4-5D6E-409C-BE32-E72D297353CC}">
              <c16:uniqueId val="{00000000-FB59-4E26-8195-0DD5EC2A22E1}"/>
            </c:ext>
          </c:extLst>
        </c:ser>
        <c:ser>
          <c:idx val="1"/>
          <c:order val="1"/>
          <c:tx>
            <c:strRef>
              <c:f>PREGOŁA!$B$30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PREGOŁA!$C$30:$E$30</c:f>
              <c:numCache>
                <c:formatCode>General</c:formatCode>
                <c:ptCount val="3"/>
                <c:pt idx="0">
                  <c:v>127</c:v>
                </c:pt>
              </c:numCache>
            </c:numRef>
          </c:val>
          <c:extLst>
            <c:ext xmlns:c16="http://schemas.microsoft.com/office/drawing/2014/chart" uri="{C3380CC4-5D6E-409C-BE32-E72D297353CC}">
              <c16:uniqueId val="{00000001-FB59-4E26-8195-0DD5EC2A22E1}"/>
            </c:ext>
          </c:extLst>
        </c:ser>
        <c:ser>
          <c:idx val="2"/>
          <c:order val="2"/>
          <c:tx>
            <c:strRef>
              <c:f>PREGOŁA!$B$31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PREGOŁA!$C$31:$E$31</c:f>
              <c:numCache>
                <c:formatCode>General</c:formatCode>
                <c:ptCount val="3"/>
                <c:pt idx="1">
                  <c:v>198</c:v>
                </c:pt>
              </c:numCache>
            </c:numRef>
          </c:val>
          <c:extLst>
            <c:ext xmlns:c16="http://schemas.microsoft.com/office/drawing/2014/chart" uri="{C3380CC4-5D6E-409C-BE32-E72D297353CC}">
              <c16:uniqueId val="{00000002-FB59-4E26-8195-0DD5EC2A22E1}"/>
            </c:ext>
          </c:extLst>
        </c:ser>
        <c:ser>
          <c:idx val="3"/>
          <c:order val="3"/>
          <c:tx>
            <c:strRef>
              <c:f>PREGOŁA!$B$32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PREGOŁA!$C$32:$E$32</c:f>
              <c:numCache>
                <c:formatCode>General</c:formatCode>
                <c:ptCount val="3"/>
                <c:pt idx="1">
                  <c:v>48</c:v>
                </c:pt>
              </c:numCache>
            </c:numRef>
          </c:val>
          <c:extLst>
            <c:ext xmlns:c16="http://schemas.microsoft.com/office/drawing/2014/chart" uri="{C3380CC4-5D6E-409C-BE32-E72D297353CC}">
              <c16:uniqueId val="{00000003-FB59-4E26-8195-0DD5EC2A22E1}"/>
            </c:ext>
          </c:extLst>
        </c:ser>
        <c:ser>
          <c:idx val="4"/>
          <c:order val="4"/>
          <c:tx>
            <c:strRef>
              <c:f>PREGOŁA!$B$33</c:f>
              <c:strCache>
                <c:ptCount val="1"/>
                <c:pt idx="0">
                  <c:v>techniczne / nietechniczne</c:v>
                </c:pt>
              </c:strCache>
            </c:strRef>
          </c:tx>
          <c:spPr>
            <a:solidFill>
              <a:schemeClr val="accent3"/>
            </a:solidFill>
            <a:ln>
              <a:noFill/>
            </a:ln>
            <a:effectLst/>
          </c:spPr>
          <c:invertIfNegative val="0"/>
          <c:cat>
            <c:strRef>
              <c:f>PREGOŁA!$C$28:$E$28</c:f>
              <c:strCache>
                <c:ptCount val="3"/>
                <c:pt idx="0">
                  <c:v>rodzaj działania</c:v>
                </c:pt>
                <c:pt idx="1">
                  <c:v>typ działania</c:v>
                </c:pt>
                <c:pt idx="2">
                  <c:v>wpływ na rodzaj presji</c:v>
                </c:pt>
              </c:strCache>
            </c:strRef>
          </c:cat>
          <c:val>
            <c:numRef>
              <c:f>PREGOŁA!$C$33:$E$33</c:f>
              <c:numCache>
                <c:formatCode>General</c:formatCode>
                <c:ptCount val="3"/>
                <c:pt idx="1">
                  <c:v>0</c:v>
                </c:pt>
              </c:numCache>
            </c:numRef>
          </c:val>
          <c:extLst>
            <c:ext xmlns:c16="http://schemas.microsoft.com/office/drawing/2014/chart" uri="{C3380CC4-5D6E-409C-BE32-E72D297353CC}">
              <c16:uniqueId val="{00000004-FB59-4E26-8195-0DD5EC2A22E1}"/>
            </c:ext>
          </c:extLst>
        </c:ser>
        <c:ser>
          <c:idx val="5"/>
          <c:order val="5"/>
          <c:tx>
            <c:strRef>
              <c:f>PREGOŁA!$B$34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PREGOŁA!$C$34:$E$34</c:f>
              <c:numCache>
                <c:formatCode>General</c:formatCode>
                <c:ptCount val="3"/>
                <c:pt idx="2" formatCode="0">
                  <c:v>101</c:v>
                </c:pt>
              </c:numCache>
            </c:numRef>
          </c:val>
          <c:extLst>
            <c:ext xmlns:c16="http://schemas.microsoft.com/office/drawing/2014/chart" uri="{C3380CC4-5D6E-409C-BE32-E72D297353CC}">
              <c16:uniqueId val="{00000005-FB59-4E26-8195-0DD5EC2A22E1}"/>
            </c:ext>
          </c:extLst>
        </c:ser>
        <c:ser>
          <c:idx val="6"/>
          <c:order val="6"/>
          <c:tx>
            <c:strRef>
              <c:f>PREGOŁA!$B$35</c:f>
              <c:strCache>
                <c:ptCount val="1"/>
                <c:pt idx="0">
                  <c:v>hydromorfologiczne</c:v>
                </c:pt>
              </c:strCache>
            </c:strRef>
          </c:tx>
          <c:spPr>
            <a:solidFill>
              <a:schemeClr val="accent2"/>
            </a:solidFill>
            <a:ln>
              <a:noFill/>
            </a:ln>
            <a:effectLst/>
          </c:spPr>
          <c:invertIfNegative val="0"/>
          <c:dLbls>
            <c:dLbl>
              <c:idx val="2"/>
              <c:layout>
                <c:manualLayout>
                  <c:x val="0.12978638675876716"/>
                  <c:y val="6.6287868902429478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FB59-4E26-8195-0DD5EC2A22E1}"/>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PREGOŁA!$C$35:$E$35</c:f>
              <c:numCache>
                <c:formatCode>General</c:formatCode>
                <c:ptCount val="3"/>
                <c:pt idx="2" formatCode="0">
                  <c:v>4</c:v>
                </c:pt>
              </c:numCache>
            </c:numRef>
          </c:val>
          <c:extLst>
            <c:ext xmlns:c16="http://schemas.microsoft.com/office/drawing/2014/chart" uri="{C3380CC4-5D6E-409C-BE32-E72D297353CC}">
              <c16:uniqueId val="{00000007-FB59-4E26-8195-0DD5EC2A22E1}"/>
            </c:ext>
          </c:extLst>
        </c:ser>
        <c:ser>
          <c:idx val="7"/>
          <c:order val="7"/>
          <c:tx>
            <c:strRef>
              <c:f>PREGOŁA!$B$36</c:f>
              <c:strCache>
                <c:ptCount val="1"/>
                <c:pt idx="0">
                  <c:v>hydrologiczne</c:v>
                </c:pt>
              </c:strCache>
            </c:strRef>
          </c:tx>
          <c:spPr>
            <a:solidFill>
              <a:schemeClr val="accent3"/>
            </a:solidFill>
            <a:ln>
              <a:noFill/>
            </a:ln>
            <a:effectLst/>
          </c:spPr>
          <c:invertIfNegative val="0"/>
          <c:dLbls>
            <c:dLbl>
              <c:idx val="2"/>
              <c:layout>
                <c:manualLayout>
                  <c:x val="0.13260782994917505"/>
                  <c:y val="-6.628786890242952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FB59-4E26-8195-0DD5EC2A22E1}"/>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PREGOŁA!$C$36:$E$36</c:f>
              <c:numCache>
                <c:formatCode>General</c:formatCode>
                <c:ptCount val="3"/>
                <c:pt idx="2" formatCode="0">
                  <c:v>2</c:v>
                </c:pt>
              </c:numCache>
            </c:numRef>
          </c:val>
          <c:extLst>
            <c:ext xmlns:c16="http://schemas.microsoft.com/office/drawing/2014/chart" uri="{C3380CC4-5D6E-409C-BE32-E72D297353CC}">
              <c16:uniqueId val="{00000009-FB59-4E26-8195-0DD5EC2A22E1}"/>
            </c:ext>
          </c:extLst>
        </c:ser>
        <c:ser>
          <c:idx val="8"/>
          <c:order val="8"/>
          <c:tx>
            <c:strRef>
              <c:f>PREGOŁA!$B$37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PREGOŁA!$C$28:$E$28</c:f>
              <c:strCache>
                <c:ptCount val="3"/>
                <c:pt idx="0">
                  <c:v>rodzaj działania</c:v>
                </c:pt>
                <c:pt idx="1">
                  <c:v>typ działania</c:v>
                </c:pt>
                <c:pt idx="2">
                  <c:v>wpływ na rodzaj presji</c:v>
                </c:pt>
              </c:strCache>
            </c:strRef>
          </c:cat>
          <c:val>
            <c:numRef>
              <c:f>PREGOŁA!$C$37:$E$37</c:f>
              <c:numCache>
                <c:formatCode>General</c:formatCode>
                <c:ptCount val="3"/>
                <c:pt idx="2" formatCode="0">
                  <c:v>139</c:v>
                </c:pt>
              </c:numCache>
            </c:numRef>
          </c:val>
          <c:extLst>
            <c:ext xmlns:c16="http://schemas.microsoft.com/office/drawing/2014/chart" uri="{C3380CC4-5D6E-409C-BE32-E72D297353CC}">
              <c16:uniqueId val="{0000000A-FB59-4E26-8195-0DD5EC2A22E1}"/>
            </c:ext>
          </c:extLst>
        </c:ser>
        <c:dLbls>
          <c:showLegendKey val="0"/>
          <c:showVal val="0"/>
          <c:showCatName val="0"/>
          <c:showSerName val="0"/>
          <c:showPercent val="0"/>
          <c:showBubbleSize val="0"/>
        </c:dLbls>
        <c:gapWidth val="150"/>
        <c:overlap val="100"/>
        <c:axId val="690133280"/>
        <c:axId val="690131312"/>
      </c:barChart>
      <c:catAx>
        <c:axId val="690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90131312"/>
        <c:crosses val="autoZero"/>
        <c:auto val="1"/>
        <c:lblAlgn val="ctr"/>
        <c:lblOffset val="100"/>
        <c:noMultiLvlLbl val="0"/>
      </c:catAx>
      <c:valAx>
        <c:axId val="69013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90133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invertIfNegative val="0"/>
          <c:dPt>
            <c:idx val="1"/>
            <c:invertIfNegative val="0"/>
            <c:bubble3D val="0"/>
            <c:spPr>
              <a:solidFill>
                <a:schemeClr val="accent1"/>
              </a:solidFill>
            </c:spPr>
            <c:extLst>
              <c:ext xmlns:c16="http://schemas.microsoft.com/office/drawing/2014/chart" uri="{C3380CC4-5D6E-409C-BE32-E72D297353CC}">
                <c16:uniqueId val="{00000001-032A-4CC9-977D-82D2F02595B9}"/>
              </c:ext>
            </c:extLst>
          </c:dPt>
          <c:cat>
            <c:strRef>
              <c:f>'katalog działań'!$A$103:$A$105</c:f>
              <c:strCache>
                <c:ptCount val="3"/>
                <c:pt idx="0">
                  <c:v>rodzaj działania</c:v>
                </c:pt>
                <c:pt idx="1">
                  <c:v>typ działania</c:v>
                </c:pt>
                <c:pt idx="2">
                  <c:v>wpływ na rodzaj presji</c:v>
                </c:pt>
              </c:strCache>
            </c:strRef>
          </c:cat>
          <c:val>
            <c:numRef>
              <c:f>'katalog działań'!$B$103:$B$105</c:f>
              <c:numCache>
                <c:formatCode>General</c:formatCode>
                <c:ptCount val="3"/>
                <c:pt idx="1">
                  <c:v>2</c:v>
                </c:pt>
                <c:pt idx="2">
                  <c:v>3</c:v>
                </c:pt>
              </c:numCache>
            </c:numRef>
          </c:val>
          <c:extLst>
            <c:ext xmlns:c16="http://schemas.microsoft.com/office/drawing/2014/chart" uri="{C3380CC4-5D6E-409C-BE32-E72D297353CC}">
              <c16:uniqueId val="{00000002-032A-4CC9-977D-82D2F02595B9}"/>
            </c:ext>
          </c:extLst>
        </c:ser>
        <c:ser>
          <c:idx val="1"/>
          <c:order val="1"/>
          <c:spPr>
            <a:solidFill>
              <a:schemeClr val="accent6">
                <a:lumMod val="75000"/>
              </a:schemeClr>
            </a:solidFill>
          </c:spPr>
          <c:invertIfNegative val="0"/>
          <c:cat>
            <c:strRef>
              <c:f>'katalog działań'!$A$103:$A$105</c:f>
              <c:strCache>
                <c:ptCount val="3"/>
                <c:pt idx="0">
                  <c:v>rodzaj działania</c:v>
                </c:pt>
                <c:pt idx="1">
                  <c:v>typ działania</c:v>
                </c:pt>
                <c:pt idx="2">
                  <c:v>wpływ na rodzaj presji</c:v>
                </c:pt>
              </c:strCache>
            </c:strRef>
          </c:cat>
          <c:val>
            <c:numRef>
              <c:f>'katalog działań'!$C$103:$C$105</c:f>
              <c:numCache>
                <c:formatCode>General</c:formatCode>
                <c:ptCount val="3"/>
                <c:pt idx="0">
                  <c:v>3</c:v>
                </c:pt>
                <c:pt idx="1">
                  <c:v>1</c:v>
                </c:pt>
              </c:numCache>
            </c:numRef>
          </c:val>
          <c:extLst>
            <c:ext xmlns:c16="http://schemas.microsoft.com/office/drawing/2014/chart" uri="{C3380CC4-5D6E-409C-BE32-E72D297353CC}">
              <c16:uniqueId val="{00000003-032A-4CC9-977D-82D2F02595B9}"/>
            </c:ext>
          </c:extLst>
        </c:ser>
        <c:dLbls>
          <c:showLegendKey val="0"/>
          <c:showVal val="0"/>
          <c:showCatName val="0"/>
          <c:showSerName val="0"/>
          <c:showPercent val="0"/>
          <c:showBubbleSize val="0"/>
        </c:dLbls>
        <c:gapWidth val="102"/>
        <c:overlap val="100"/>
        <c:axId val="210576384"/>
        <c:axId val="245496000"/>
      </c:barChart>
      <c:catAx>
        <c:axId val="210576384"/>
        <c:scaling>
          <c:orientation val="minMax"/>
        </c:scaling>
        <c:delete val="0"/>
        <c:axPos val="b"/>
        <c:numFmt formatCode="General" sourceLinked="0"/>
        <c:majorTickMark val="none"/>
        <c:minorTickMark val="none"/>
        <c:tickLblPos val="nextTo"/>
        <c:txPr>
          <a:bodyPr/>
          <a:lstStyle/>
          <a:p>
            <a:pPr>
              <a:defRPr sz="900">
                <a:solidFill>
                  <a:schemeClr val="tx1">
                    <a:lumMod val="65000"/>
                    <a:lumOff val="35000"/>
                  </a:schemeClr>
                </a:solidFill>
              </a:defRPr>
            </a:pPr>
            <a:endParaRPr lang="pl-PL"/>
          </a:p>
        </c:txPr>
        <c:crossAx val="245496000"/>
        <c:crosses val="autoZero"/>
        <c:auto val="1"/>
        <c:lblAlgn val="ctr"/>
        <c:lblOffset val="100"/>
        <c:noMultiLvlLbl val="0"/>
      </c:catAx>
      <c:valAx>
        <c:axId val="245496000"/>
        <c:scaling>
          <c:orientation val="minMax"/>
          <c:max val="3"/>
        </c:scaling>
        <c:delete val="0"/>
        <c:axPos val="l"/>
        <c:majorGridlines/>
        <c:title>
          <c:tx>
            <c:rich>
              <a:bodyPr rot="-5400000" vert="horz"/>
              <a:lstStyle/>
              <a:p>
                <a:pPr>
                  <a:defRPr sz="900" b="0">
                    <a:solidFill>
                      <a:schemeClr val="tx1">
                        <a:lumMod val="75000"/>
                        <a:lumOff val="25000"/>
                      </a:schemeClr>
                    </a:solidFill>
                  </a:defRPr>
                </a:pPr>
                <a:r>
                  <a:rPr lang="pl-PL" sz="900" b="0">
                    <a:solidFill>
                      <a:schemeClr val="tx1">
                        <a:lumMod val="75000"/>
                        <a:lumOff val="25000"/>
                      </a:schemeClr>
                    </a:solidFill>
                  </a:rPr>
                  <a:t>Liczba</a:t>
                </a:r>
                <a:r>
                  <a:rPr lang="pl-PL" sz="900" b="0" baseline="0">
                    <a:solidFill>
                      <a:schemeClr val="tx1">
                        <a:lumMod val="75000"/>
                        <a:lumOff val="25000"/>
                      </a:schemeClr>
                    </a:solidFill>
                  </a:rPr>
                  <a:t> działań</a:t>
                </a:r>
                <a:endParaRPr lang="pl-PL" sz="900" b="0">
                  <a:solidFill>
                    <a:schemeClr val="tx1">
                      <a:lumMod val="75000"/>
                      <a:lumOff val="25000"/>
                    </a:schemeClr>
                  </a:solidFill>
                </a:endParaRPr>
              </a:p>
            </c:rich>
          </c:tx>
          <c:layout>
            <c:manualLayout>
              <c:xMode val="edge"/>
              <c:yMode val="edge"/>
              <c:x val="1.6062466552996257E-2"/>
              <c:y val="0.34808961601570637"/>
            </c:manualLayout>
          </c:layout>
          <c:overlay val="0"/>
        </c:title>
        <c:numFmt formatCode="General" sourceLinked="1"/>
        <c:majorTickMark val="out"/>
        <c:minorTickMark val="none"/>
        <c:tickLblPos val="nextTo"/>
        <c:crossAx val="210576384"/>
        <c:crosses val="autoZero"/>
        <c:crossBetween val="between"/>
        <c:majorUnit val="1"/>
      </c:valAx>
    </c:plotArea>
    <c:plotVisOnly val="1"/>
    <c:dispBlanksAs val="gap"/>
    <c:showDLblsOverMax val="0"/>
  </c:chart>
  <c:externalData r:id="rId2">
    <c:autoUpdate val="0"/>
  </c:externalData>
  <c:userShapes r:id="rId3"/>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r>
              <a:rPr lang="pl-PL" sz="1200" b="0" i="0" baseline="0"/>
              <a:t>Status działań - Organizacyjno-prawne - jcwpd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D14-46A0-A468-59EF0F7763B2}"/>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D14-46A0-A468-59EF0F7763B2}"/>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D14-46A0-A468-59EF0F7763B2}"/>
              </c:ext>
            </c:extLst>
          </c:dPt>
          <c:dPt>
            <c:idx val="3"/>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D14-46A0-A468-59EF0F7763B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ZL!$C$11:$C$14</c:f>
              <c:strCache>
                <c:ptCount val="4"/>
                <c:pt idx="0">
                  <c:v>zakończone</c:v>
                </c:pt>
                <c:pt idx="1">
                  <c:v>brak danych</c:v>
                </c:pt>
                <c:pt idx="2">
                  <c:v>nierozpoczęte</c:v>
                </c:pt>
                <c:pt idx="3">
                  <c:v>w trakcie realizacji</c:v>
                </c:pt>
              </c:strCache>
            </c:strRef>
          </c:cat>
          <c:val>
            <c:numRef>
              <c:f>ZL!$D$11:$D$14</c:f>
              <c:numCache>
                <c:formatCode>General</c:formatCode>
                <c:ptCount val="4"/>
                <c:pt idx="0">
                  <c:v>42</c:v>
                </c:pt>
                <c:pt idx="1">
                  <c:v>22</c:v>
                </c:pt>
                <c:pt idx="2">
                  <c:v>26</c:v>
                </c:pt>
                <c:pt idx="3">
                  <c:v>10</c:v>
                </c:pt>
              </c:numCache>
            </c:numRef>
          </c:val>
          <c:extLst>
            <c:ext xmlns:c16="http://schemas.microsoft.com/office/drawing/2014/chart" uri="{C3380CC4-5D6E-409C-BE32-E72D297353CC}">
              <c16:uniqueId val="{00000008-FD14-46A0-A468-59EF0F7763B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842362127867253E-2"/>
          <c:y val="4.2313117066290547E-2"/>
          <c:w val="0.62384781514316567"/>
          <c:h val="0.89656793606017871"/>
        </c:manualLayout>
      </c:layout>
      <c:ofPieChart>
        <c:ofPieType val="pie"/>
        <c:varyColors val="1"/>
        <c:ser>
          <c:idx val="0"/>
          <c:order val="0"/>
          <c:tx>
            <c:strRef>
              <c:f>Pregola_daty!$I$33</c:f>
              <c:strCache>
                <c:ptCount val="1"/>
                <c:pt idx="0">
                  <c:v>Obszar Dorzecza Pregoły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8BD-4052-94CE-EDDD43AE58B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8BD-4052-94CE-EDDD43AE58B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8BD-4052-94CE-EDDD43AE58B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8BD-4052-94CE-EDDD43AE58B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8BD-4052-94CE-EDDD43AE58B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8BD-4052-94CE-EDDD43AE58B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C8BD-4052-94CE-EDDD43AE58B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C8BD-4052-94CE-EDDD43AE58B9}"/>
              </c:ext>
            </c:extLst>
          </c:dPt>
          <c:dLbls>
            <c:dLbl>
              <c:idx val="2"/>
              <c:layout>
                <c:manualLayout>
                  <c:x val="6.8008976915951962E-3"/>
                  <c:y val="-1.142417141439847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8BD-4052-94CE-EDDD43AE58B9}"/>
                </c:ext>
              </c:extLst>
            </c:dLbl>
            <c:dLbl>
              <c:idx val="3"/>
              <c:layout>
                <c:manualLayout>
                  <c:x val="5.8766903770996418E-3"/>
                  <c:y val="3.851752310932924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8BD-4052-94CE-EDDD43AE58B9}"/>
                </c:ext>
              </c:extLst>
            </c:dLbl>
            <c:dLbl>
              <c:idx val="4"/>
              <c:layout>
                <c:manualLayout>
                  <c:x val="-7.6132778424658851E-3"/>
                  <c:y val="7.724901806174086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8BD-4052-94CE-EDDD43AE58B9}"/>
                </c:ext>
              </c:extLst>
            </c:dLbl>
            <c:dLbl>
              <c:idx val="5"/>
              <c:delete val="1"/>
              <c:extLst>
                <c:ext xmlns:c15="http://schemas.microsoft.com/office/drawing/2012/chart" uri="{CE6537A1-D6FC-4f65-9D91-7224C49458BB}"/>
                <c:ext xmlns:c16="http://schemas.microsoft.com/office/drawing/2014/chart" uri="{C3380CC4-5D6E-409C-BE32-E72D297353CC}">
                  <c16:uniqueId val="{0000000B-C8BD-4052-94CE-EDDD43AE58B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Pregola_daty!$J$32:$X$32</c:f>
              <c:strCache>
                <c:ptCount val="7"/>
                <c:pt idx="0">
                  <c:v>Pobór wód podziemnych</c:v>
                </c:pt>
                <c:pt idx="1">
                  <c:v>Pobór wód powierzchniowych</c:v>
                </c:pt>
                <c:pt idx="2">
                  <c:v>Zrzuty - wody opadowe</c:v>
                </c:pt>
                <c:pt idx="3">
                  <c:v>Zrzut - ścieki bytowe</c:v>
                </c:pt>
                <c:pt idx="4">
                  <c:v>Zrzuty - ścieki komunalne</c:v>
                </c:pt>
                <c:pt idx="5">
                  <c:v>Zrzuty - ścieki komunalne i przemysłowe</c:v>
                </c:pt>
                <c:pt idx="6">
                  <c:v>Zrzuty - stawy</c:v>
                </c:pt>
              </c:strCache>
            </c:strRef>
          </c:cat>
          <c:val>
            <c:numRef>
              <c:f>Pregola_daty!$J$33:$X$33</c:f>
              <c:numCache>
                <c:formatCode>General</c:formatCode>
                <c:ptCount val="7"/>
                <c:pt idx="0">
                  <c:v>122</c:v>
                </c:pt>
                <c:pt idx="1">
                  <c:v>76</c:v>
                </c:pt>
                <c:pt idx="2">
                  <c:v>2</c:v>
                </c:pt>
                <c:pt idx="3">
                  <c:v>3</c:v>
                </c:pt>
                <c:pt idx="4">
                  <c:v>3</c:v>
                </c:pt>
                <c:pt idx="5">
                  <c:v>1</c:v>
                </c:pt>
                <c:pt idx="6">
                  <c:v>34</c:v>
                </c:pt>
              </c:numCache>
            </c:numRef>
          </c:val>
          <c:extLst>
            <c:ext xmlns:c16="http://schemas.microsoft.com/office/drawing/2014/chart" uri="{C3380CC4-5D6E-409C-BE32-E72D297353CC}">
              <c16:uniqueId val="{00000010-C8BD-4052-94CE-EDDD43AE58B9}"/>
            </c:ext>
          </c:extLst>
        </c:ser>
        <c:ser>
          <c:idx val="1"/>
          <c:order val="1"/>
          <c:tx>
            <c:strRef>
              <c:f>Pregola_daty!$I$34</c:f>
              <c:strCache>
                <c:ptCount val="1"/>
                <c:pt idx="0">
                  <c:v>Region wodny Łyny i Węgorapy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C8BD-4052-94CE-EDDD43AE58B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C8BD-4052-94CE-EDDD43AE58B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C8BD-4052-94CE-EDDD43AE58B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C8BD-4052-94CE-EDDD43AE58B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C8BD-4052-94CE-EDDD43AE58B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C8BD-4052-94CE-EDDD43AE58B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E-C8BD-4052-94CE-EDDD43AE58B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0-C8BD-4052-94CE-EDDD43AE58B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Pregola_daty!$J$32:$X$32</c:f>
              <c:strCache>
                <c:ptCount val="7"/>
                <c:pt idx="0">
                  <c:v>Pobór wód podziemnych</c:v>
                </c:pt>
                <c:pt idx="1">
                  <c:v>Pobór wód powierzchniowych</c:v>
                </c:pt>
                <c:pt idx="2">
                  <c:v>Zrzuty - wody opadowe</c:v>
                </c:pt>
                <c:pt idx="3">
                  <c:v>Zrzut - ścieki bytowe</c:v>
                </c:pt>
                <c:pt idx="4">
                  <c:v>Zrzuty - ścieki komunalne</c:v>
                </c:pt>
                <c:pt idx="5">
                  <c:v>Zrzuty - ścieki komunalne i przemysłowe</c:v>
                </c:pt>
                <c:pt idx="6">
                  <c:v>Zrzuty - stawy</c:v>
                </c:pt>
              </c:strCache>
            </c:strRef>
          </c:cat>
          <c:val>
            <c:numRef>
              <c:f>Pregola_daty!$J$34:$X$34</c:f>
              <c:numCache>
                <c:formatCode>General</c:formatCode>
                <c:ptCount val="7"/>
                <c:pt idx="0">
                  <c:v>122</c:v>
                </c:pt>
                <c:pt idx="1">
                  <c:v>76</c:v>
                </c:pt>
                <c:pt idx="2">
                  <c:v>2</c:v>
                </c:pt>
                <c:pt idx="3">
                  <c:v>3</c:v>
                </c:pt>
                <c:pt idx="4">
                  <c:v>3</c:v>
                </c:pt>
                <c:pt idx="5">
                  <c:v>1</c:v>
                </c:pt>
                <c:pt idx="6">
                  <c:v>34</c:v>
                </c:pt>
              </c:numCache>
            </c:numRef>
          </c:val>
          <c:extLst>
            <c:ext xmlns:c16="http://schemas.microsoft.com/office/drawing/2014/chart" uri="{C3380CC4-5D6E-409C-BE32-E72D297353CC}">
              <c16:uniqueId val="{00000021-C8BD-4052-94CE-EDDD43AE58B9}"/>
            </c:ext>
          </c:extLst>
        </c:ser>
        <c:ser>
          <c:idx val="2"/>
          <c:order val="2"/>
          <c:tx>
            <c:strRef>
              <c:f>Pregola_daty!$I$35</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C8BD-4052-94CE-EDDD43AE58B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C8BD-4052-94CE-EDDD43AE58B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C8BD-4052-94CE-EDDD43AE58B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9-C8BD-4052-94CE-EDDD43AE58B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B-C8BD-4052-94CE-EDDD43AE58B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D-C8BD-4052-94CE-EDDD43AE58B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F-C8BD-4052-94CE-EDDD43AE58B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1-C8BD-4052-94CE-EDDD43AE58B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Pregola_daty!$J$32:$X$32</c:f>
              <c:strCache>
                <c:ptCount val="7"/>
                <c:pt idx="0">
                  <c:v>Pobór wód podziemnych</c:v>
                </c:pt>
                <c:pt idx="1">
                  <c:v>Pobór wód powierzchniowych</c:v>
                </c:pt>
                <c:pt idx="2">
                  <c:v>Zrzuty - wody opadowe</c:v>
                </c:pt>
                <c:pt idx="3">
                  <c:v>Zrzut - ścieki bytowe</c:v>
                </c:pt>
                <c:pt idx="4">
                  <c:v>Zrzuty - ścieki komunalne</c:v>
                </c:pt>
                <c:pt idx="5">
                  <c:v>Zrzuty - ścieki komunalne i przemysłowe</c:v>
                </c:pt>
                <c:pt idx="6">
                  <c:v>Zrzuty - stawy</c:v>
                </c:pt>
              </c:strCache>
            </c:strRef>
          </c:cat>
          <c:val>
            <c:numRef>
              <c:f>Pregola_daty!$J$35:$X$35</c:f>
              <c:numCache>
                <c:formatCode>General</c:formatCode>
                <c:ptCount val="7"/>
                <c:pt idx="0">
                  <c:v>244</c:v>
                </c:pt>
                <c:pt idx="1">
                  <c:v>152</c:v>
                </c:pt>
                <c:pt idx="2">
                  <c:v>4</c:v>
                </c:pt>
                <c:pt idx="3">
                  <c:v>6</c:v>
                </c:pt>
                <c:pt idx="4">
                  <c:v>6</c:v>
                </c:pt>
                <c:pt idx="5">
                  <c:v>2</c:v>
                </c:pt>
                <c:pt idx="6">
                  <c:v>68</c:v>
                </c:pt>
              </c:numCache>
            </c:numRef>
          </c:val>
          <c:extLst>
            <c:ext xmlns:c16="http://schemas.microsoft.com/office/drawing/2014/chart" uri="{C3380CC4-5D6E-409C-BE32-E72D297353CC}">
              <c16:uniqueId val="{00000032-C8BD-4052-94CE-EDDD43AE58B9}"/>
            </c:ext>
          </c:extLst>
        </c:ser>
        <c:dLbls>
          <c:dLblPos val="ctr"/>
          <c:showLegendKey val="0"/>
          <c:showVal val="0"/>
          <c:showCatName val="0"/>
          <c:showSerName val="0"/>
          <c:showPercent val="1"/>
          <c:showBubbleSize val="0"/>
          <c:showLeaderLines val="1"/>
        </c:dLbls>
        <c:gapWidth val="100"/>
        <c:splitType val="pos"/>
        <c:splitPos val="5"/>
        <c:secondPieSize val="75"/>
        <c:serLines>
          <c:spPr>
            <a:ln w="9525">
              <a:solidFill>
                <a:schemeClr val="dk1">
                  <a:lumMod val="50000"/>
                  <a:lumOff val="50000"/>
                </a:schemeClr>
              </a:solidFill>
              <a:round/>
            </a:ln>
            <a:effectLst/>
          </c:spPr>
        </c:serLines>
      </c:ofPieChart>
      <c:spPr>
        <a:noFill/>
        <a:ln>
          <a:noFill/>
        </a:ln>
        <a:effectLst/>
      </c:spPr>
    </c:plotArea>
    <c:legend>
      <c:legendPos val="r"/>
      <c:layout>
        <c:manualLayout>
          <c:xMode val="edge"/>
          <c:yMode val="edge"/>
          <c:x val="0.67767587799694884"/>
          <c:y val="5.034335447138219E-2"/>
          <c:w val="0.31297812773403327"/>
          <c:h val="0.86632327209098858"/>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RZGW_2018!$A$3</c:f>
              <c:strCache>
                <c:ptCount val="1"/>
                <c:pt idx="0">
                  <c:v>1. - 3.</c:v>
                </c:pt>
              </c:strCache>
            </c:strRef>
          </c:tx>
          <c:spPr>
            <a:solidFill>
              <a:schemeClr val="accent1"/>
            </a:solidFill>
            <a:ln>
              <a:noFill/>
            </a:ln>
            <a:effectLst/>
          </c:spPr>
          <c:invertIfNegative val="0"/>
          <c:cat>
            <c:strRef>
              <c:f>RZGW_2018!$B$2</c:f>
              <c:strCache>
                <c:ptCount val="1"/>
                <c:pt idx="0">
                  <c:v>Białystok</c:v>
                </c:pt>
              </c:strCache>
            </c:strRef>
          </c:cat>
          <c:val>
            <c:numRef>
              <c:f>RZGW_2018!$B$3</c:f>
              <c:numCache>
                <c:formatCode>General</c:formatCode>
                <c:ptCount val="1"/>
                <c:pt idx="0">
                  <c:v>205</c:v>
                </c:pt>
              </c:numCache>
            </c:numRef>
          </c:val>
          <c:extLst>
            <c:ext xmlns:c16="http://schemas.microsoft.com/office/drawing/2014/chart" uri="{C3380CC4-5D6E-409C-BE32-E72D297353CC}">
              <c16:uniqueId val="{00000000-FB5B-49CA-8DBE-E22CE98ACA37}"/>
            </c:ext>
          </c:extLst>
        </c:ser>
        <c:ser>
          <c:idx val="1"/>
          <c:order val="1"/>
          <c:tx>
            <c:strRef>
              <c:f>RZGW_2018!$A$4</c:f>
              <c:strCache>
                <c:ptCount val="1"/>
                <c:pt idx="0">
                  <c:v>4.</c:v>
                </c:pt>
              </c:strCache>
            </c:strRef>
          </c:tx>
          <c:spPr>
            <a:solidFill>
              <a:schemeClr val="accent2"/>
            </a:solidFill>
            <a:ln>
              <a:noFill/>
            </a:ln>
            <a:effectLst/>
          </c:spPr>
          <c:invertIfNegative val="0"/>
          <c:cat>
            <c:strRef>
              <c:f>RZGW_2018!$B$2</c:f>
              <c:strCache>
                <c:ptCount val="1"/>
                <c:pt idx="0">
                  <c:v>Białystok</c:v>
                </c:pt>
              </c:strCache>
            </c:strRef>
          </c:cat>
          <c:val>
            <c:numRef>
              <c:f>RZGW_2018!$B$4</c:f>
              <c:numCache>
                <c:formatCode>General</c:formatCode>
                <c:ptCount val="1"/>
                <c:pt idx="0">
                  <c:v>4</c:v>
                </c:pt>
              </c:numCache>
            </c:numRef>
          </c:val>
          <c:extLst>
            <c:ext xmlns:c16="http://schemas.microsoft.com/office/drawing/2014/chart" uri="{C3380CC4-5D6E-409C-BE32-E72D297353CC}">
              <c16:uniqueId val="{00000001-FB5B-49CA-8DBE-E22CE98ACA37}"/>
            </c:ext>
          </c:extLst>
        </c:ser>
        <c:ser>
          <c:idx val="2"/>
          <c:order val="2"/>
          <c:tx>
            <c:strRef>
              <c:f>RZGW_2018!$A$5</c:f>
              <c:strCache>
                <c:ptCount val="1"/>
                <c:pt idx="0">
                  <c:v>5.</c:v>
                </c:pt>
              </c:strCache>
            </c:strRef>
          </c:tx>
          <c:spPr>
            <a:solidFill>
              <a:schemeClr val="accent3"/>
            </a:solidFill>
            <a:ln>
              <a:noFill/>
            </a:ln>
            <a:effectLst/>
          </c:spPr>
          <c:invertIfNegative val="0"/>
          <c:cat>
            <c:strRef>
              <c:f>RZGW_2018!$B$2</c:f>
              <c:strCache>
                <c:ptCount val="1"/>
                <c:pt idx="0">
                  <c:v>Białystok</c:v>
                </c:pt>
              </c:strCache>
            </c:strRef>
          </c:cat>
          <c:val>
            <c:numRef>
              <c:f>RZGW_2018!$B$5</c:f>
              <c:numCache>
                <c:formatCode>General</c:formatCode>
                <c:ptCount val="1"/>
                <c:pt idx="0">
                  <c:v>3</c:v>
                </c:pt>
              </c:numCache>
            </c:numRef>
          </c:val>
          <c:extLst>
            <c:ext xmlns:c16="http://schemas.microsoft.com/office/drawing/2014/chart" uri="{C3380CC4-5D6E-409C-BE32-E72D297353CC}">
              <c16:uniqueId val="{00000002-FB5B-49CA-8DBE-E22CE98ACA37}"/>
            </c:ext>
          </c:extLst>
        </c:ser>
        <c:ser>
          <c:idx val="3"/>
          <c:order val="3"/>
          <c:tx>
            <c:strRef>
              <c:f>RZGW_2018!$A$6</c:f>
              <c:strCache>
                <c:ptCount val="1"/>
                <c:pt idx="0">
                  <c:v>6.</c:v>
                </c:pt>
              </c:strCache>
            </c:strRef>
          </c:tx>
          <c:spPr>
            <a:solidFill>
              <a:schemeClr val="accent4"/>
            </a:solidFill>
            <a:ln>
              <a:noFill/>
            </a:ln>
            <a:effectLst/>
          </c:spPr>
          <c:invertIfNegative val="0"/>
          <c:cat>
            <c:strRef>
              <c:f>RZGW_2018!$B$2</c:f>
              <c:strCache>
                <c:ptCount val="1"/>
                <c:pt idx="0">
                  <c:v>Białystok</c:v>
                </c:pt>
              </c:strCache>
            </c:strRef>
          </c:cat>
          <c:val>
            <c:numRef>
              <c:f>RZGW_2018!$B$6</c:f>
              <c:numCache>
                <c:formatCode>General</c:formatCode>
                <c:ptCount val="1"/>
                <c:pt idx="0">
                  <c:v>1</c:v>
                </c:pt>
              </c:numCache>
            </c:numRef>
          </c:val>
          <c:extLst>
            <c:ext xmlns:c16="http://schemas.microsoft.com/office/drawing/2014/chart" uri="{C3380CC4-5D6E-409C-BE32-E72D297353CC}">
              <c16:uniqueId val="{00000003-FB5B-49CA-8DBE-E22CE98ACA37}"/>
            </c:ext>
          </c:extLst>
        </c:ser>
        <c:ser>
          <c:idx val="4"/>
          <c:order val="4"/>
          <c:tx>
            <c:strRef>
              <c:f>RZGW_2018!$A$7</c:f>
              <c:strCache>
                <c:ptCount val="1"/>
                <c:pt idx="0">
                  <c:v>7.</c:v>
                </c:pt>
              </c:strCache>
            </c:strRef>
          </c:tx>
          <c:spPr>
            <a:solidFill>
              <a:schemeClr val="accent5"/>
            </a:solidFill>
            <a:ln>
              <a:noFill/>
            </a:ln>
            <a:effectLst/>
          </c:spPr>
          <c:invertIfNegative val="0"/>
          <c:cat>
            <c:strRef>
              <c:f>RZGW_2018!$B$2</c:f>
              <c:strCache>
                <c:ptCount val="1"/>
                <c:pt idx="0">
                  <c:v>Białystok</c:v>
                </c:pt>
              </c:strCache>
            </c:strRef>
          </c:cat>
          <c:val>
            <c:numRef>
              <c:f>RZGW_2018!$B$7</c:f>
              <c:numCache>
                <c:formatCode>General</c:formatCode>
                <c:ptCount val="1"/>
                <c:pt idx="0">
                  <c:v>140</c:v>
                </c:pt>
              </c:numCache>
            </c:numRef>
          </c:val>
          <c:extLst>
            <c:ext xmlns:c16="http://schemas.microsoft.com/office/drawing/2014/chart" uri="{C3380CC4-5D6E-409C-BE32-E72D297353CC}">
              <c16:uniqueId val="{00000004-FB5B-49CA-8DBE-E22CE98ACA37}"/>
            </c:ext>
          </c:extLst>
        </c:ser>
        <c:ser>
          <c:idx val="5"/>
          <c:order val="5"/>
          <c:tx>
            <c:strRef>
              <c:f>RZGW_2018!$A$8</c:f>
              <c:strCache>
                <c:ptCount val="1"/>
                <c:pt idx="0">
                  <c:v>8.</c:v>
                </c:pt>
              </c:strCache>
            </c:strRef>
          </c:tx>
          <c:spPr>
            <a:solidFill>
              <a:schemeClr val="accent6"/>
            </a:solidFill>
            <a:ln>
              <a:noFill/>
            </a:ln>
            <a:effectLst/>
          </c:spPr>
          <c:invertIfNegative val="0"/>
          <c:cat>
            <c:strRef>
              <c:f>RZGW_2018!$B$2</c:f>
              <c:strCache>
                <c:ptCount val="1"/>
                <c:pt idx="0">
                  <c:v>Białystok</c:v>
                </c:pt>
              </c:strCache>
            </c:strRef>
          </c:cat>
          <c:val>
            <c:numRef>
              <c:f>RZGW_2018!$B$8</c:f>
              <c:numCache>
                <c:formatCode>General</c:formatCode>
                <c:ptCount val="1"/>
                <c:pt idx="0">
                  <c:v>0</c:v>
                </c:pt>
              </c:numCache>
            </c:numRef>
          </c:val>
          <c:extLst>
            <c:ext xmlns:c16="http://schemas.microsoft.com/office/drawing/2014/chart" uri="{C3380CC4-5D6E-409C-BE32-E72D297353CC}">
              <c16:uniqueId val="{00000005-FB5B-49CA-8DBE-E22CE98ACA37}"/>
            </c:ext>
          </c:extLst>
        </c:ser>
        <c:dLbls>
          <c:showLegendKey val="0"/>
          <c:showVal val="0"/>
          <c:showCatName val="0"/>
          <c:showSerName val="0"/>
          <c:showPercent val="0"/>
          <c:showBubbleSize val="0"/>
        </c:dLbls>
        <c:gapWidth val="219"/>
        <c:overlap val="-27"/>
        <c:axId val="478520832"/>
        <c:axId val="478506728"/>
      </c:barChart>
      <c:catAx>
        <c:axId val="47852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06728"/>
        <c:crosses val="autoZero"/>
        <c:auto val="1"/>
        <c:lblAlgn val="ctr"/>
        <c:lblOffset val="100"/>
        <c:noMultiLvlLbl val="0"/>
      </c:catAx>
      <c:valAx>
        <c:axId val="478506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2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RZGW_2019!$A$4</c:f>
              <c:strCache>
                <c:ptCount val="1"/>
                <c:pt idx="0">
                  <c:v>1.-4.</c:v>
                </c:pt>
              </c:strCache>
            </c:strRef>
          </c:tx>
          <c:spPr>
            <a:solidFill>
              <a:schemeClr val="accent1"/>
            </a:solidFill>
            <a:ln>
              <a:noFill/>
            </a:ln>
            <a:effectLst/>
          </c:spPr>
          <c:invertIfNegative val="0"/>
          <c:cat>
            <c:strRef>
              <c:f>RZGW_2019!$B$3</c:f>
              <c:strCache>
                <c:ptCount val="1"/>
                <c:pt idx="0">
                  <c:v>Białystok</c:v>
                </c:pt>
              </c:strCache>
            </c:strRef>
          </c:cat>
          <c:val>
            <c:numRef>
              <c:f>RZGW_2019!$B$4</c:f>
              <c:numCache>
                <c:formatCode>General</c:formatCode>
                <c:ptCount val="1"/>
                <c:pt idx="0">
                  <c:v>451</c:v>
                </c:pt>
              </c:numCache>
            </c:numRef>
          </c:val>
          <c:extLst>
            <c:ext xmlns:c16="http://schemas.microsoft.com/office/drawing/2014/chart" uri="{C3380CC4-5D6E-409C-BE32-E72D297353CC}">
              <c16:uniqueId val="{00000000-58C7-48AA-8D56-242CDB2A4D47}"/>
            </c:ext>
          </c:extLst>
        </c:ser>
        <c:ser>
          <c:idx val="1"/>
          <c:order val="1"/>
          <c:tx>
            <c:strRef>
              <c:f>RZGW_2019!$A$5</c:f>
              <c:strCache>
                <c:ptCount val="1"/>
                <c:pt idx="0">
                  <c:v>5.</c:v>
                </c:pt>
              </c:strCache>
            </c:strRef>
          </c:tx>
          <c:spPr>
            <a:solidFill>
              <a:schemeClr val="accent3"/>
            </a:solidFill>
            <a:ln>
              <a:noFill/>
            </a:ln>
            <a:effectLst/>
          </c:spPr>
          <c:invertIfNegative val="0"/>
          <c:cat>
            <c:strRef>
              <c:f>RZGW_2019!$B$3</c:f>
              <c:strCache>
                <c:ptCount val="1"/>
                <c:pt idx="0">
                  <c:v>Białystok</c:v>
                </c:pt>
              </c:strCache>
            </c:strRef>
          </c:cat>
          <c:val>
            <c:numRef>
              <c:f>RZGW_2019!$B$5</c:f>
              <c:numCache>
                <c:formatCode>General</c:formatCode>
                <c:ptCount val="1"/>
                <c:pt idx="0">
                  <c:v>0</c:v>
                </c:pt>
              </c:numCache>
            </c:numRef>
          </c:val>
          <c:extLst>
            <c:ext xmlns:c16="http://schemas.microsoft.com/office/drawing/2014/chart" uri="{C3380CC4-5D6E-409C-BE32-E72D297353CC}">
              <c16:uniqueId val="{00000001-58C7-48AA-8D56-242CDB2A4D47}"/>
            </c:ext>
          </c:extLst>
        </c:ser>
        <c:ser>
          <c:idx val="2"/>
          <c:order val="2"/>
          <c:tx>
            <c:strRef>
              <c:f>RZGW_2019!$A$6</c:f>
              <c:strCache>
                <c:ptCount val="1"/>
                <c:pt idx="0">
                  <c:v>6.</c:v>
                </c:pt>
              </c:strCache>
            </c:strRef>
          </c:tx>
          <c:spPr>
            <a:solidFill>
              <a:schemeClr val="accent4"/>
            </a:solidFill>
            <a:ln>
              <a:noFill/>
            </a:ln>
            <a:effectLst/>
          </c:spPr>
          <c:invertIfNegative val="0"/>
          <c:cat>
            <c:strRef>
              <c:f>RZGW_2019!$B$3</c:f>
              <c:strCache>
                <c:ptCount val="1"/>
                <c:pt idx="0">
                  <c:v>Białystok</c:v>
                </c:pt>
              </c:strCache>
            </c:strRef>
          </c:cat>
          <c:val>
            <c:numRef>
              <c:f>RZGW_2019!$B$6</c:f>
              <c:numCache>
                <c:formatCode>General</c:formatCode>
                <c:ptCount val="1"/>
                <c:pt idx="0">
                  <c:v>0</c:v>
                </c:pt>
              </c:numCache>
            </c:numRef>
          </c:val>
          <c:extLst>
            <c:ext xmlns:c16="http://schemas.microsoft.com/office/drawing/2014/chart" uri="{C3380CC4-5D6E-409C-BE32-E72D297353CC}">
              <c16:uniqueId val="{00000002-58C7-48AA-8D56-242CDB2A4D47}"/>
            </c:ext>
          </c:extLst>
        </c:ser>
        <c:ser>
          <c:idx val="3"/>
          <c:order val="3"/>
          <c:tx>
            <c:strRef>
              <c:f>RZGW_2019!$A$7</c:f>
              <c:strCache>
                <c:ptCount val="1"/>
                <c:pt idx="0">
                  <c:v>7.</c:v>
                </c:pt>
              </c:strCache>
            </c:strRef>
          </c:tx>
          <c:spPr>
            <a:solidFill>
              <a:schemeClr val="accent5"/>
            </a:solidFill>
            <a:ln>
              <a:noFill/>
            </a:ln>
            <a:effectLst/>
          </c:spPr>
          <c:invertIfNegative val="0"/>
          <c:cat>
            <c:strRef>
              <c:f>RZGW_2019!$B$3</c:f>
              <c:strCache>
                <c:ptCount val="1"/>
                <c:pt idx="0">
                  <c:v>Białystok</c:v>
                </c:pt>
              </c:strCache>
            </c:strRef>
          </c:cat>
          <c:val>
            <c:numRef>
              <c:f>RZGW_2019!$B$7</c:f>
              <c:numCache>
                <c:formatCode>General</c:formatCode>
                <c:ptCount val="1"/>
                <c:pt idx="0">
                  <c:v>161</c:v>
                </c:pt>
              </c:numCache>
            </c:numRef>
          </c:val>
          <c:extLst>
            <c:ext xmlns:c16="http://schemas.microsoft.com/office/drawing/2014/chart" uri="{C3380CC4-5D6E-409C-BE32-E72D297353CC}">
              <c16:uniqueId val="{00000003-58C7-48AA-8D56-242CDB2A4D47}"/>
            </c:ext>
          </c:extLst>
        </c:ser>
        <c:ser>
          <c:idx val="4"/>
          <c:order val="4"/>
          <c:tx>
            <c:strRef>
              <c:f>RZGW_2019!$A$8</c:f>
              <c:strCache>
                <c:ptCount val="1"/>
                <c:pt idx="0">
                  <c:v>8.</c:v>
                </c:pt>
              </c:strCache>
            </c:strRef>
          </c:tx>
          <c:spPr>
            <a:solidFill>
              <a:schemeClr val="accent6"/>
            </a:solidFill>
            <a:ln>
              <a:noFill/>
            </a:ln>
            <a:effectLst/>
          </c:spPr>
          <c:invertIfNegative val="0"/>
          <c:cat>
            <c:strRef>
              <c:f>RZGW_2019!$B$3</c:f>
              <c:strCache>
                <c:ptCount val="1"/>
                <c:pt idx="0">
                  <c:v>Białystok</c:v>
                </c:pt>
              </c:strCache>
            </c:strRef>
          </c:cat>
          <c:val>
            <c:numRef>
              <c:f>RZGW_2019!$B$8</c:f>
              <c:numCache>
                <c:formatCode>General</c:formatCode>
                <c:ptCount val="1"/>
                <c:pt idx="0">
                  <c:v>0</c:v>
                </c:pt>
              </c:numCache>
            </c:numRef>
          </c:val>
          <c:extLst>
            <c:ext xmlns:c16="http://schemas.microsoft.com/office/drawing/2014/chart" uri="{C3380CC4-5D6E-409C-BE32-E72D297353CC}">
              <c16:uniqueId val="{00000004-58C7-48AA-8D56-242CDB2A4D47}"/>
            </c:ext>
          </c:extLst>
        </c:ser>
        <c:dLbls>
          <c:showLegendKey val="0"/>
          <c:showVal val="0"/>
          <c:showCatName val="0"/>
          <c:showSerName val="0"/>
          <c:showPercent val="0"/>
          <c:showBubbleSize val="0"/>
        </c:dLbls>
        <c:gapWidth val="219"/>
        <c:overlap val="-27"/>
        <c:axId val="649531816"/>
        <c:axId val="692622704"/>
      </c:barChart>
      <c:catAx>
        <c:axId val="64953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92622704"/>
        <c:crosses val="autoZero"/>
        <c:auto val="1"/>
        <c:lblAlgn val="ctr"/>
        <c:lblOffset val="100"/>
        <c:noMultiLvlLbl val="0"/>
      </c:catAx>
      <c:valAx>
        <c:axId val="692622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953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Dorzecza!$AA$19:$AA$21</c:f>
              <c:strCache>
                <c:ptCount val="3"/>
                <c:pt idx="0">
                  <c:v>NAT - naturalna część wód</c:v>
                </c:pt>
                <c:pt idx="1">
                  <c:v>SCW -sztuczna część wód</c:v>
                </c:pt>
                <c:pt idx="2">
                  <c:v>SCW -silnie zmieniona część wód</c:v>
                </c:pt>
              </c:strCache>
            </c:strRef>
          </c:tx>
          <c:spPr>
            <a:solidFill>
              <a:srgbClr val="5B9BD5"/>
            </a:solidFill>
          </c:spPr>
          <c:dPt>
            <c:idx val="0"/>
            <c:bubble3D val="0"/>
            <c:spPr>
              <a:solidFill>
                <a:srgbClr val="70AD47"/>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100-4F30-B51F-3EA8600E6BCB}"/>
              </c:ext>
            </c:extLst>
          </c:dPt>
          <c:dPt>
            <c:idx val="1"/>
            <c:bubble3D val="0"/>
            <c:spPr>
              <a:solidFill>
                <a:sysClr val="windowText" lastClr="0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100-4F30-B51F-3EA8600E6BCB}"/>
              </c:ext>
            </c:extLst>
          </c:dPt>
          <c:dPt>
            <c:idx val="2"/>
            <c:bubble3D val="0"/>
            <c:spPr>
              <a:solidFill>
                <a:sysClr val="window" lastClr="FFFFFF">
                  <a:lumMod val="75000"/>
                </a:sys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100-4F30-B51F-3EA8600E6BCB}"/>
              </c:ext>
            </c:extLst>
          </c:dPt>
          <c:dLbls>
            <c:dLbl>
              <c:idx val="0"/>
              <c:tx>
                <c:rich>
                  <a:bodyPr/>
                  <a:lstStyle/>
                  <a:p>
                    <a:r>
                      <a:rPr lang="en-US"/>
                      <a:t>97,6%</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100-4F30-B51F-3EA8600E6BCB}"/>
                </c:ext>
              </c:extLst>
            </c:dLbl>
            <c:dLbl>
              <c:idx val="1"/>
              <c:layout>
                <c:manualLayout>
                  <c:x val="-1.1329978452341223E-2"/>
                  <c:y val="0.13412924461281622"/>
                </c:manualLayout>
              </c:layout>
              <c:tx>
                <c:rich>
                  <a:bodyPr/>
                  <a:lstStyle/>
                  <a:p>
                    <a:r>
                      <a:rPr lang="en-US"/>
                      <a:t>1,2%</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100-4F30-B51F-3EA8600E6BCB}"/>
                </c:ext>
              </c:extLst>
            </c:dLbl>
            <c:dLbl>
              <c:idx val="2"/>
              <c:layout>
                <c:manualLayout>
                  <c:x val="4.0427479794535454E-2"/>
                  <c:y val="0.19776976778340175"/>
                </c:manualLayout>
              </c:layout>
              <c:tx>
                <c:rich>
                  <a:bodyPr/>
                  <a:lstStyle/>
                  <a:p>
                    <a:r>
                      <a:rPr lang="en-US"/>
                      <a:t>1,2%</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100-4F30-B51F-3EA8600E6BCB}"/>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Dorzecza!$AA$19:$AA$21</c:f>
              <c:strCache>
                <c:ptCount val="3"/>
                <c:pt idx="0">
                  <c:v>NAT - naturalna część wód</c:v>
                </c:pt>
                <c:pt idx="1">
                  <c:v>SCW -sztuczna część wód</c:v>
                </c:pt>
                <c:pt idx="2">
                  <c:v>SCW -silnie zmieniona część wód</c:v>
                </c:pt>
              </c:strCache>
            </c:strRef>
          </c:cat>
          <c:val>
            <c:numRef>
              <c:f>Dorzecza!$Z$19:$Z$21</c:f>
              <c:numCache>
                <c:formatCode>General</c:formatCode>
                <c:ptCount val="3"/>
                <c:pt idx="0">
                  <c:v>80</c:v>
                </c:pt>
                <c:pt idx="1">
                  <c:v>1</c:v>
                </c:pt>
                <c:pt idx="2">
                  <c:v>1</c:v>
                </c:pt>
              </c:numCache>
            </c:numRef>
          </c:val>
          <c:extLst>
            <c:ext xmlns:c16="http://schemas.microsoft.com/office/drawing/2014/chart" uri="{C3380CC4-5D6E-409C-BE32-E72D297353CC}">
              <c16:uniqueId val="{00000006-9100-4F30-B51F-3EA8600E6BC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C0D-46E8-8530-1002B10BAACC}"/>
              </c:ext>
            </c:extLst>
          </c:dPt>
          <c:dPt>
            <c:idx val="1"/>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C0D-46E8-8530-1002B10BAACC}"/>
              </c:ext>
            </c:extLst>
          </c:dPt>
          <c:dPt>
            <c:idx val="2"/>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C0D-46E8-8530-1002B10BAACC}"/>
              </c:ext>
            </c:extLst>
          </c:dPt>
          <c:dLbls>
            <c:dLbl>
              <c:idx val="1"/>
              <c:delete val="1"/>
              <c:extLst>
                <c:ext xmlns:c15="http://schemas.microsoft.com/office/drawing/2012/chart" uri="{CE6537A1-D6FC-4f65-9D91-7224C49458BB}"/>
                <c:ext xmlns:c16="http://schemas.microsoft.com/office/drawing/2014/chart" uri="{C3380CC4-5D6E-409C-BE32-E72D297353CC}">
                  <c16:uniqueId val="{00000003-7C0D-46E8-8530-1002B10BAACC}"/>
                </c:ext>
              </c:extLst>
            </c:dLbl>
            <c:dLbl>
              <c:idx val="2"/>
              <c:layout>
                <c:manualLayout>
                  <c:x val="2.6296150481189801E-2"/>
                  <c:y val="9.32349878451762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C0D-46E8-8530-1002B10BAAC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Regiony_Wodne!$X$53:$X$55</c:f>
              <c:strCache>
                <c:ptCount val="3"/>
                <c:pt idx="0">
                  <c:v>NAT - naturalna część wód</c:v>
                </c:pt>
                <c:pt idx="1">
                  <c:v>SCW - sztuczna część wód</c:v>
                </c:pt>
                <c:pt idx="2">
                  <c:v>SZCW - silnie zmieniona część wód</c:v>
                </c:pt>
              </c:strCache>
            </c:strRef>
          </c:cat>
          <c:val>
            <c:numRef>
              <c:f>Regiony_Wodne!$Y$53:$Y$55</c:f>
              <c:numCache>
                <c:formatCode>0%</c:formatCode>
                <c:ptCount val="3"/>
                <c:pt idx="0">
                  <c:v>0.94188376753507019</c:v>
                </c:pt>
                <c:pt idx="1">
                  <c:v>0</c:v>
                </c:pt>
                <c:pt idx="2">
                  <c:v>5.8116232464929862E-2</c:v>
                </c:pt>
              </c:numCache>
            </c:numRef>
          </c:val>
          <c:extLst>
            <c:ext xmlns:c16="http://schemas.microsoft.com/office/drawing/2014/chart" uri="{C3380CC4-5D6E-409C-BE32-E72D297353CC}">
              <c16:uniqueId val="{00000006-7C0D-46E8-8530-1002B10BAAC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tx>
            <c:strRef>
              <c:f>wykresy!$C$52</c:f>
              <c:strCache>
                <c:ptCount val="1"/>
                <c:pt idx="0">
                  <c:v>1. Ekstremalna temperatura dodatnia</c:v>
                </c:pt>
              </c:strCache>
            </c:strRef>
          </c:tx>
          <c:spPr>
            <a:solidFill>
              <a:srgbClr val="FF0000"/>
            </a:solidFill>
            <a:ln>
              <a:solidFill>
                <a:schemeClr val="tx1"/>
              </a:solidFill>
              <a:prstDash val="solid"/>
            </a:ln>
            <a:effectLst/>
          </c:spPr>
          <c:invertIfNegative val="0"/>
          <c:dLbls>
            <c:dLbl>
              <c:idx val="0"/>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fld id="{0158BB07-7008-4041-8695-9E7310A689AA}" type="SERIESNAME">
                      <a:rPr lang="en-US" sz="700"/>
                      <a:pPr>
                        <a:defRPr sz="700"/>
                      </a:pPr>
                      <a:t>[NAZWA SERII]</a:t>
                    </a:fld>
                    <a:endParaRPr lang="pl-PL"/>
                  </a:p>
                </c:rich>
              </c:tx>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742-43AD-8968-7451CE933A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wykresy!$D$49</c:f>
              <c:numCache>
                <c:formatCode>General</c:formatCode>
                <c:ptCount val="1"/>
                <c:pt idx="0">
                  <c:v>12</c:v>
                </c:pt>
              </c:numCache>
            </c:numRef>
          </c:val>
          <c:extLst>
            <c:ext xmlns:c16="http://schemas.microsoft.com/office/drawing/2014/chart" uri="{C3380CC4-5D6E-409C-BE32-E72D297353CC}">
              <c16:uniqueId val="{00000001-B742-43AD-8968-7451CE933A4F}"/>
            </c:ext>
          </c:extLst>
        </c:ser>
        <c:ser>
          <c:idx val="2"/>
          <c:order val="1"/>
          <c:tx>
            <c:strRef>
              <c:f>wykresy!$F$52</c:f>
              <c:strCache>
                <c:ptCount val="1"/>
                <c:pt idx="0">
                  <c:v>2. Opady nawalne (powyżej 10 mm na dobę)</c:v>
                </c:pt>
              </c:strCache>
            </c:strRef>
          </c:tx>
          <c:spPr>
            <a:solidFill>
              <a:srgbClr val="FF0000"/>
            </a:solidFill>
            <a:ln>
              <a:solidFill>
                <a:schemeClr val="tx1"/>
              </a:solidFill>
            </a:ln>
            <a:effectLst/>
          </c:spPr>
          <c:invertIfNegative val="0"/>
          <c:dLbls>
            <c:dLbl>
              <c:idx val="0"/>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fld id="{A4431BEB-C8FD-49F8-B4DE-3EA674A7A5C9}" type="SERIESNAME">
                      <a:rPr lang="en-US" sz="700"/>
                      <a:pPr>
                        <a:defRPr sz="700"/>
                      </a:pPr>
                      <a:t>[NAZWA SERII]</a:t>
                    </a:fld>
                    <a:endParaRPr lang="pl-PL"/>
                  </a:p>
                </c:rich>
              </c:tx>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742-43AD-8968-7451CE933A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wykresy!$G$49</c:f>
              <c:numCache>
                <c:formatCode>General</c:formatCode>
                <c:ptCount val="1"/>
                <c:pt idx="0">
                  <c:v>1.7</c:v>
                </c:pt>
              </c:numCache>
            </c:numRef>
          </c:val>
          <c:extLst>
            <c:ext xmlns:c16="http://schemas.microsoft.com/office/drawing/2014/chart" uri="{C3380CC4-5D6E-409C-BE32-E72D297353CC}">
              <c16:uniqueId val="{00000003-B742-43AD-8968-7451CE933A4F}"/>
            </c:ext>
          </c:extLst>
        </c:ser>
        <c:ser>
          <c:idx val="3"/>
          <c:order val="2"/>
          <c:tx>
            <c:strRef>
              <c:f>wykresy!$I$52</c:f>
              <c:strCache>
                <c:ptCount val="1"/>
                <c:pt idx="0">
                  <c:v>3. Susza</c:v>
                </c:pt>
              </c:strCache>
            </c:strRef>
          </c:tx>
          <c:spPr>
            <a:solidFill>
              <a:srgbClr val="FFFF00"/>
            </a:solidFill>
            <a:ln>
              <a:solidFill>
                <a:schemeClr val="tx1"/>
              </a:solidFill>
              <a:prstDash val="dash"/>
            </a:ln>
            <a:effectLst/>
          </c:spPr>
          <c:invertIfNegative val="0"/>
          <c:dLbls>
            <c:dLbl>
              <c:idx val="0"/>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fld id="{AF7B3B0C-D9E6-420C-B3C0-893F054BD0F1}" type="SERIESNAME">
                      <a:rPr lang="en-US" sz="700"/>
                      <a:pPr>
                        <a:defRPr sz="700"/>
                      </a:pPr>
                      <a:t>[NAZWA SERII]</a:t>
                    </a:fld>
                    <a:endParaRPr lang="pl-PL"/>
                  </a:p>
                </c:rich>
              </c:tx>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B742-43AD-8968-7451CE933A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wykresy!$J$49</c:f>
              <c:numCache>
                <c:formatCode>General</c:formatCode>
                <c:ptCount val="1"/>
                <c:pt idx="0">
                  <c:v>-2.2999999999999998</c:v>
                </c:pt>
              </c:numCache>
            </c:numRef>
          </c:val>
          <c:extLst>
            <c:ext xmlns:c16="http://schemas.microsoft.com/office/drawing/2014/chart" uri="{C3380CC4-5D6E-409C-BE32-E72D297353CC}">
              <c16:uniqueId val="{00000005-B742-43AD-8968-7451CE933A4F}"/>
            </c:ext>
          </c:extLst>
        </c:ser>
        <c:dLbls>
          <c:showLegendKey val="0"/>
          <c:showVal val="0"/>
          <c:showCatName val="0"/>
          <c:showSerName val="0"/>
          <c:showPercent val="0"/>
          <c:showBubbleSize val="0"/>
        </c:dLbls>
        <c:gapWidth val="219"/>
        <c:overlap val="-27"/>
        <c:axId val="511071864"/>
        <c:axId val="511076456"/>
      </c:barChart>
      <c:catAx>
        <c:axId val="511071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składowa klimatyczna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6456"/>
        <c:crossesAt val="0"/>
        <c:auto val="1"/>
        <c:lblAlgn val="ctr"/>
        <c:lblOffset val="100"/>
        <c:noMultiLvlLbl val="0"/>
      </c:catAx>
      <c:valAx>
        <c:axId val="5110764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r>
                  <a:rPr lang="pl-PL" sz="800"/>
                  <a:t>liczba dni w roku,</a:t>
                </a:r>
                <a:r>
                  <a:rPr lang="pl-PL" sz="800" baseline="0"/>
                  <a:t> o które zmieni </a:t>
                </a:r>
              </a:p>
              <a:p>
                <a:pPr>
                  <a:defRPr sz="800"/>
                </a:pPr>
                <a:r>
                  <a:rPr lang="pl-PL" sz="800" baseline="0"/>
                  <a:t>się składowa klimatyczna</a:t>
                </a:r>
              </a:p>
              <a:p>
                <a:pPr>
                  <a:defRPr sz="800"/>
                </a:pPr>
                <a:r>
                  <a:rPr lang="pl-PL" sz="800" baseline="0"/>
                  <a:t>tendencja wzrostowa/spadkowa</a:t>
                </a:r>
                <a:endParaRPr lang="pl-PL" sz="800"/>
              </a:p>
            </c:rich>
          </c:tx>
          <c:layout>
            <c:manualLayout>
              <c:xMode val="edge"/>
              <c:yMode val="edge"/>
              <c:x val="2.5000000000000001E-2"/>
              <c:y val="0.15348352289297168"/>
            </c:manualLayout>
          </c:layout>
          <c:overlay val="0"/>
          <c:spPr>
            <a:noFill/>
            <a:ln>
              <a:noFill/>
            </a:ln>
            <a:effectLst/>
          </c:spPr>
          <c:txPr>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1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034-4F11-B47C-97C63786286F}"/>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034-4F11-B47C-97C63786286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Dorzecze_RegWod!$M$7:$N$7</c:f>
              <c:numCache>
                <c:formatCode>0.0%</c:formatCode>
                <c:ptCount val="2"/>
                <c:pt idx="0">
                  <c:v>8.536585365853655E-2</c:v>
                </c:pt>
                <c:pt idx="1">
                  <c:v>0.91463414634146345</c:v>
                </c:pt>
              </c:numCache>
            </c:numRef>
          </c:val>
          <c:extLst>
            <c:ext xmlns:c16="http://schemas.microsoft.com/office/drawing/2014/chart" uri="{C3380CC4-5D6E-409C-BE32-E72D297353CC}">
              <c16:uniqueId val="{00000004-2034-4F11-B47C-97C63786286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0.31449</cdr:x>
      <cdr:y>0.04809</cdr:y>
    </cdr:from>
    <cdr:to>
      <cdr:x>0.52871</cdr:x>
      <cdr:y>0.12664</cdr:y>
    </cdr:to>
    <cdr:sp macro="" textlink="">
      <cdr:nvSpPr>
        <cdr:cNvPr id="2" name="pole tekstowe 2">
          <a:extLst xmlns:a="http://schemas.openxmlformats.org/drawingml/2006/main">
            <a:ext uri="{FF2B5EF4-FFF2-40B4-BE49-F238E27FC236}">
              <a16:creationId xmlns:a16="http://schemas.microsoft.com/office/drawing/2014/main" id="{CD682C93-0C7F-4B50-B867-E5E5A1A0EF9F}"/>
            </a:ext>
          </a:extLst>
        </cdr:cNvPr>
        <cdr:cNvSpPr txBox="1"/>
      </cdr:nvSpPr>
      <cdr:spPr>
        <a:xfrm xmlns:a="http://schemas.openxmlformats.org/drawingml/2006/main">
          <a:off x="1613787" y="178391"/>
          <a:ext cx="1099256" cy="291395"/>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LW</a:t>
          </a:r>
        </a:p>
      </cdr:txBody>
    </cdr:sp>
  </cdr:relSizeAnchor>
  <cdr:relSizeAnchor xmlns:cdr="http://schemas.openxmlformats.org/drawingml/2006/chartDrawing">
    <cdr:from>
      <cdr:x>0.76932</cdr:x>
      <cdr:y>0.0339</cdr:y>
    </cdr:from>
    <cdr:to>
      <cdr:x>0.86784</cdr:x>
      <cdr:y>0.11226</cdr:y>
    </cdr:to>
    <cdr:sp macro="" textlink="">
      <cdr:nvSpPr>
        <cdr:cNvPr id="3" name="pole tekstowe 3">
          <a:extLst xmlns:a="http://schemas.openxmlformats.org/drawingml/2006/main">
            <a:ext uri="{FF2B5EF4-FFF2-40B4-BE49-F238E27FC236}">
              <a16:creationId xmlns:a16="http://schemas.microsoft.com/office/drawing/2014/main" id="{7DDCAF07-7CFF-4D24-B987-87A168347CC4}"/>
            </a:ext>
          </a:extLst>
        </cdr:cNvPr>
        <cdr:cNvSpPr txBox="1"/>
      </cdr:nvSpPr>
      <cdr:spPr>
        <a:xfrm xmlns:a="http://schemas.openxmlformats.org/drawingml/2006/main">
          <a:off x="3947700" y="106741"/>
          <a:ext cx="505547" cy="24670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RW</a:t>
          </a:r>
        </a:p>
      </cdr:txBody>
    </cdr:sp>
  </cdr:relSizeAnchor>
</c:userShapes>
</file>

<file path=word/drawings/drawing2.xml><?xml version="1.0" encoding="utf-8"?>
<c:userShapes xmlns:c="http://schemas.openxmlformats.org/drawingml/2006/chart">
  <cdr:relSizeAnchor xmlns:cdr="http://schemas.openxmlformats.org/drawingml/2006/chartDrawing">
    <cdr:from>
      <cdr:x>0.16353</cdr:x>
      <cdr:y>0.41373</cdr:y>
    </cdr:from>
    <cdr:to>
      <cdr:x>0.31236</cdr:x>
      <cdr:y>0.55171</cdr:y>
    </cdr:to>
    <cdr:sp macro="" textlink="">
      <cdr:nvSpPr>
        <cdr:cNvPr id="3" name="pole tekstowe 1"/>
        <cdr:cNvSpPr txBox="1"/>
      </cdr:nvSpPr>
      <cdr:spPr>
        <a:xfrm xmlns:a="http://schemas.openxmlformats.org/drawingml/2006/main">
          <a:off x="941917" y="1340480"/>
          <a:ext cx="857250" cy="4470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uzupełniające</a:t>
          </a:r>
        </a:p>
      </cdr:txBody>
    </cdr:sp>
  </cdr:relSizeAnchor>
  <cdr:relSizeAnchor xmlns:cdr="http://schemas.openxmlformats.org/drawingml/2006/chartDrawing">
    <cdr:from>
      <cdr:x>0.45622</cdr:x>
      <cdr:y>0.52232</cdr:y>
    </cdr:from>
    <cdr:to>
      <cdr:x>0.60836</cdr:x>
      <cdr:y>0.66947</cdr:y>
    </cdr:to>
    <cdr:sp macro="" textlink="">
      <cdr:nvSpPr>
        <cdr:cNvPr id="4" name="pole tekstowe 1"/>
        <cdr:cNvSpPr txBox="1"/>
      </cdr:nvSpPr>
      <cdr:spPr>
        <a:xfrm xmlns:a="http://schemas.openxmlformats.org/drawingml/2006/main">
          <a:off x="2627843" y="1692317"/>
          <a:ext cx="876300" cy="47676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nietechniczne</a:t>
          </a:r>
        </a:p>
      </cdr:txBody>
    </cdr:sp>
  </cdr:relSizeAnchor>
  <cdr:relSizeAnchor xmlns:cdr="http://schemas.openxmlformats.org/drawingml/2006/chartDrawing">
    <cdr:from>
      <cdr:x>0.45777</cdr:x>
      <cdr:y>0.14495</cdr:y>
    </cdr:from>
    <cdr:to>
      <cdr:x>0.6098</cdr:x>
      <cdr:y>0.29211</cdr:y>
    </cdr:to>
    <cdr:sp macro="" textlink="">
      <cdr:nvSpPr>
        <cdr:cNvPr id="5" name="pole tekstowe 1"/>
        <cdr:cNvSpPr txBox="1"/>
      </cdr:nvSpPr>
      <cdr:spPr>
        <a:xfrm xmlns:a="http://schemas.openxmlformats.org/drawingml/2006/main">
          <a:off x="2636767" y="469631"/>
          <a:ext cx="875693" cy="4767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techniczne</a:t>
          </a:r>
        </a:p>
      </cdr:txBody>
    </cdr:sp>
  </cdr:relSizeAnchor>
  <cdr:relSizeAnchor xmlns:cdr="http://schemas.openxmlformats.org/drawingml/2006/chartDrawing">
    <cdr:from>
      <cdr:x>0.78535</cdr:x>
      <cdr:y>0.42028</cdr:y>
    </cdr:from>
    <cdr:to>
      <cdr:x>0.86789</cdr:x>
      <cdr:y>0.55075</cdr:y>
    </cdr:to>
    <cdr:sp macro="" textlink="">
      <cdr:nvSpPr>
        <cdr:cNvPr id="6" name="pole tekstowe 1"/>
        <cdr:cNvSpPr txBox="1"/>
      </cdr:nvSpPr>
      <cdr:spPr>
        <a:xfrm xmlns:a="http://schemas.openxmlformats.org/drawingml/2006/main">
          <a:off x="4523636" y="1361704"/>
          <a:ext cx="475430" cy="42272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chemiczna</a:t>
          </a:r>
        </a:p>
        <a:p xmlns:a="http://schemas.openxmlformats.org/drawingml/2006/main">
          <a:pPr algn="ctr"/>
          <a:r>
            <a:rPr lang="pl-PL" sz="800">
              <a:solidFill>
                <a:schemeClr val="tx1">
                  <a:lumMod val="75000"/>
                  <a:lumOff val="25000"/>
                </a:schemeClr>
              </a:solidFill>
            </a:rPr>
            <a:t>typu</a:t>
          </a:r>
          <a:r>
            <a:rPr lang="pl-PL" sz="800" baseline="0">
              <a:solidFill>
                <a:schemeClr val="tx1">
                  <a:lumMod val="75000"/>
                  <a:lumOff val="25000"/>
                </a:schemeClr>
              </a:solidFill>
            </a:rPr>
            <a:t> A</a:t>
          </a:r>
          <a:endParaRPr lang="pl-PL" sz="800">
            <a:solidFill>
              <a:schemeClr val="tx1">
                <a:lumMod val="75000"/>
                <a:lumOff val="25000"/>
              </a:schemeClr>
            </a:solidFill>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5DFF353B2154D82AF1E15A4A229CFC6"/>
        <w:category>
          <w:name w:val="Ogólne"/>
          <w:gallery w:val="placeholder"/>
        </w:category>
        <w:types>
          <w:type w:val="bbPlcHdr"/>
        </w:types>
        <w:behaviors>
          <w:behavior w:val="content"/>
        </w:behaviors>
        <w:guid w:val="{92572904-9931-4E67-A002-2BD9A3B2AEBD}"/>
      </w:docPartPr>
      <w:docPartBody>
        <w:p w:rsidR="0070748A" w:rsidRDefault="0070748A"/>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Consolas">
    <w:panose1 w:val="020B0609020204030204"/>
    <w:charset w:val="EE"/>
    <w:family w:val="modern"/>
    <w:pitch w:val="fixed"/>
    <w:sig w:usb0="E00006FF" w:usb1="0000FCFF" w:usb2="00000001" w:usb3="00000000" w:csb0="000001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TimesNewRoman">
    <w:altName w:val="Yu Gothic"/>
    <w:panose1 w:val="00000000000000000000"/>
    <w:charset w:val="80"/>
    <w:family w:val="auto"/>
    <w:notTrueType/>
    <w:pitch w:val="default"/>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4A8"/>
    <w:rsid w:val="00006005"/>
    <w:rsid w:val="00057ADA"/>
    <w:rsid w:val="00062CDC"/>
    <w:rsid w:val="00084306"/>
    <w:rsid w:val="000862F5"/>
    <w:rsid w:val="000A1ABC"/>
    <w:rsid w:val="000D47C5"/>
    <w:rsid w:val="000E1C9E"/>
    <w:rsid w:val="000E4D0D"/>
    <w:rsid w:val="001004E9"/>
    <w:rsid w:val="00141761"/>
    <w:rsid w:val="0015388A"/>
    <w:rsid w:val="001819C9"/>
    <w:rsid w:val="001A51AE"/>
    <w:rsid w:val="001C1920"/>
    <w:rsid w:val="002014A8"/>
    <w:rsid w:val="00296965"/>
    <w:rsid w:val="002D26F8"/>
    <w:rsid w:val="00305DE6"/>
    <w:rsid w:val="003556CE"/>
    <w:rsid w:val="003F363F"/>
    <w:rsid w:val="00401C21"/>
    <w:rsid w:val="004518B5"/>
    <w:rsid w:val="00492AE8"/>
    <w:rsid w:val="004C7DEC"/>
    <w:rsid w:val="004E1205"/>
    <w:rsid w:val="0056430A"/>
    <w:rsid w:val="005B6AB8"/>
    <w:rsid w:val="00627166"/>
    <w:rsid w:val="00675E78"/>
    <w:rsid w:val="00683B25"/>
    <w:rsid w:val="006952D9"/>
    <w:rsid w:val="006A7871"/>
    <w:rsid w:val="006F748F"/>
    <w:rsid w:val="00707029"/>
    <w:rsid w:val="0070748A"/>
    <w:rsid w:val="007315C2"/>
    <w:rsid w:val="00793A2F"/>
    <w:rsid w:val="008D1D0A"/>
    <w:rsid w:val="008D4D18"/>
    <w:rsid w:val="00900161"/>
    <w:rsid w:val="009236D7"/>
    <w:rsid w:val="009862EC"/>
    <w:rsid w:val="009970E8"/>
    <w:rsid w:val="009B6469"/>
    <w:rsid w:val="009B72D9"/>
    <w:rsid w:val="009C5131"/>
    <w:rsid w:val="009E791F"/>
    <w:rsid w:val="00B25335"/>
    <w:rsid w:val="00B7373C"/>
    <w:rsid w:val="00B75AC9"/>
    <w:rsid w:val="00BF394B"/>
    <w:rsid w:val="00BF571F"/>
    <w:rsid w:val="00C85E23"/>
    <w:rsid w:val="00CF358E"/>
    <w:rsid w:val="00D34D82"/>
    <w:rsid w:val="00D85EB7"/>
    <w:rsid w:val="00D95A06"/>
    <w:rsid w:val="00DB555A"/>
    <w:rsid w:val="00F01396"/>
    <w:rsid w:val="00F03B0B"/>
    <w:rsid w:val="00F14A20"/>
    <w:rsid w:val="00F226B2"/>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31B5C08652FC1429372B5E78D97DA0F" ma:contentTypeVersion="16" ma:contentTypeDescription="Create a new document." ma:contentTypeScope="" ma:versionID="42b19fc4d629c6b907ff4219543dd0c8">
  <xsd:schema xmlns:xsd="http://www.w3.org/2001/XMLSchema" xmlns:xs="http://www.w3.org/2001/XMLSchema" xmlns:p="http://schemas.microsoft.com/office/2006/metadata/properties" xmlns:ns1="http://schemas.microsoft.com/sharepoint/v3" xmlns:ns2="6f613be0-efef-4148-8d6c-4c6445522e24" xmlns:ns3="c947fafa-9138-486d-ae8b-4def84560bfe" targetNamespace="http://schemas.microsoft.com/office/2006/metadata/properties" ma:root="true" ma:fieldsID="1cce1af8a4d94742d8538d08d32f436b" ns1:_="" ns2:_="" ns3:_="">
    <xsd:import namespace="http://schemas.microsoft.com/sharepoint/v3"/>
    <xsd:import namespace="6f613be0-efef-4148-8d6c-4c6445522e24"/>
    <xsd:import namespace="c947fafa-9138-486d-ae8b-4def84560bfe"/>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_x0067_m02" minOccurs="0"/>
                <xsd:element ref="ns2:Godzina_x0020_Dodania" minOccurs="0"/>
                <xsd:element ref="ns1:TranslationStateStartTim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ranslationStateStartTime" ma:index="21" nillable="true" ma:displayName="Submission Time" ma:description="" ma:indexed="true" ma:internalName="TranslationStateStart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f613be0-efef-4148-8d6c-4c6445522e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_x0067_m02" ma:index="19" nillable="true" ma:displayName="Data i godzina" ma:default="[today]" ma:format="DateTime" ma:internalName="_x0067_m02">
      <xsd:simpleType>
        <xsd:restriction base="dms:DateTime"/>
      </xsd:simpleType>
    </xsd:element>
    <xsd:element name="Godzina_x0020_Dodania" ma:index="20" nillable="true" ma:displayName="Godzina Dodania" ma:default="[today]" ma:format="DateTime" ma:internalName="Godzina_x0020_Dodania">
      <xsd:simpleType>
        <xsd:restriction base="dms:DateTime"/>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47fafa-9138-486d-ae8b-4def84560bfe"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10f259f9-296d-45ec-b40f-2b565e2e2123" ContentTypeId="0x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c947fafa-9138-486d-ae8b-4def84560bfe">
      <UserInfo>
        <DisplayName>Ryszard Gołdyn</DisplayName>
        <AccountId>18700</AccountId>
        <AccountType/>
      </UserInfo>
    </SharedWithUsers>
    <_x0067_m02 xmlns="6f613be0-efef-4148-8d6c-4c6445522e24">2021-03-26T14:51:37+00:00</_x0067_m02>
    <PublishingExpirationDate xmlns="http://schemas.microsoft.com/sharepoint/v3" xsi:nil="true"/>
    <TranslationStateStartTime xmlns="http://schemas.microsoft.com/sharepoint/v3" xsi:nil="true"/>
    <PublishingStartDate xmlns="http://schemas.microsoft.com/sharepoint/v3" xsi:nil="true"/>
    <Godzina_x0020_Dodania xmlns="6f613be0-efef-4148-8d6c-4c6445522e24">2021-03-26T14:51:37+00:00</Godzina_x0020_Dodania>
  </documentManagement>
</p:properties>
</file>

<file path=customXml/itemProps1.xml><?xml version="1.0" encoding="utf-8"?>
<ds:datastoreItem xmlns:ds="http://schemas.openxmlformats.org/officeDocument/2006/customXml" ds:itemID="{1A55832E-6149-4D2C-9D0C-AAF12738305D}">
  <ds:schemaRefs>
    <ds:schemaRef ds:uri="http://schemas.openxmlformats.org/officeDocument/2006/bibliography"/>
  </ds:schemaRefs>
</ds:datastoreItem>
</file>

<file path=customXml/itemProps2.xml><?xml version="1.0" encoding="utf-8"?>
<ds:datastoreItem xmlns:ds="http://schemas.openxmlformats.org/officeDocument/2006/customXml" ds:itemID="{D0440A78-3BAC-453C-8971-028FE20563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f613be0-efef-4148-8d6c-4c6445522e24"/>
    <ds:schemaRef ds:uri="c947fafa-9138-486d-ae8b-4def84560b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D569F1-06C0-46C0-8AA8-94C95BFEDA0B}">
  <ds:schemaRefs>
    <ds:schemaRef ds:uri="Microsoft.SharePoint.Taxonomy.ContentTypeSync"/>
  </ds:schemaRefs>
</ds:datastoreItem>
</file>

<file path=customXml/itemProps4.xml><?xml version="1.0" encoding="utf-8"?>
<ds:datastoreItem xmlns:ds="http://schemas.openxmlformats.org/officeDocument/2006/customXml" ds:itemID="{632F3CF1-8671-4FF1-BBE5-FEC05B22D657}">
  <ds:schemaRefs>
    <ds:schemaRef ds:uri="http://schemas.microsoft.com/sharepoint/v3/contenttype/forms"/>
  </ds:schemaRefs>
</ds:datastoreItem>
</file>

<file path=customXml/itemProps5.xml><?xml version="1.0" encoding="utf-8"?>
<ds:datastoreItem xmlns:ds="http://schemas.openxmlformats.org/officeDocument/2006/customXml" ds:itemID="{E5777299-3E2C-4842-A4D7-1755E46F15DC}">
  <ds:schemaRefs>
    <ds:schemaRef ds:uri="http://schemas.microsoft.com/office/2006/metadata/properties"/>
    <ds:schemaRef ds:uri="http://schemas.microsoft.com/office/infopath/2007/PartnerControls"/>
    <ds:schemaRef ds:uri="c947fafa-9138-486d-ae8b-4def84560bfe"/>
    <ds:schemaRef ds:uri="6f613be0-efef-4148-8d6c-4c6445522e24"/>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330</Pages>
  <Words>111972</Words>
  <Characters>671835</Characters>
  <Application>Microsoft Office Word</Application>
  <DocSecurity>0</DocSecurity>
  <Lines>5598</Lines>
  <Paragraphs>1564</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782243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Dorota.Rudnicka@cdmsmith.com</dc:creator>
  <cp:keywords/>
  <dc:description/>
  <cp:lastModifiedBy>Tkaczyk, Dagmara</cp:lastModifiedBy>
  <cp:revision>2</cp:revision>
  <cp:lastPrinted>2021-03-21T23:45:00Z</cp:lastPrinted>
  <dcterms:created xsi:type="dcterms:W3CDTF">2021-04-07T20:28:00Z</dcterms:created>
  <dcterms:modified xsi:type="dcterms:W3CDTF">2021-04-07T20:28:00Z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0x010100931B5C08652FC1429372B5E78D97DA0F</vt:lpwstr>
  </property>
  <property fmtid="{D5CDD505-2E9C-101B-9397-08002B2CF9AE}" pid="3" name="DataiGodzina">
    <vt:filetime>2020-10-06T21:14:57Z</vt:filetime>
  </property>
</Properties>
</file>